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32"/>
        </w:rPr>
        <w:t>湛江市2025年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32"/>
          <w:lang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32"/>
        </w:rPr>
        <w:t>半年消费品以旧换新项目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32"/>
        </w:rPr>
        <w:t>审核服务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采购需求书</w:t>
      </w:r>
    </w:p>
    <w:p>
      <w:pPr>
        <w:spacing w:line="600" w:lineRule="exact"/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620" w:lineRule="exact"/>
        <w:ind w:left="1600" w:hanging="1600" w:hangingChars="5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  一、项目基本情况</w:t>
      </w:r>
    </w:p>
    <w:p>
      <w:pPr>
        <w:spacing w:after="0" w:line="62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（一）项目名称</w:t>
      </w:r>
    </w:p>
    <w:p>
      <w:pPr>
        <w:spacing w:after="0"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湛江市2025年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半年消费品以旧换新项目审核服务</w:t>
      </w:r>
    </w:p>
    <w:p>
      <w:pPr>
        <w:spacing w:after="0" w:line="62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（二）项目概况</w:t>
      </w:r>
    </w:p>
    <w:p>
      <w:pPr>
        <w:spacing w:after="0"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为保障活动公平、公正、顺利开展，确保财政资金使用合法合规，现对湛江市2025年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半年消费品以旧换新项目审核服务进行采购。本项目包括汽车报废更新、汽车置换更新、家电以旧换新、电动自行车以旧换新、手机等3C类产品购新等促消费活动的补贴申请资料，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根据活动情况定期提供审核意见，出具评审报告，需要工作人员至少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spacing w:after="0" w:line="62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（三）实施地点</w:t>
      </w:r>
    </w:p>
    <w:p>
      <w:pPr>
        <w:spacing w:after="0"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湛江市内。</w:t>
      </w:r>
    </w:p>
    <w:p>
      <w:pPr>
        <w:spacing w:after="0" w:line="62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（四）采购预算</w:t>
      </w:r>
    </w:p>
    <w:p>
      <w:pPr>
        <w:spacing w:after="0"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35万元以内。</w:t>
      </w:r>
    </w:p>
    <w:p>
      <w:pPr>
        <w:spacing w:after="0" w:line="62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（五）服务期限</w:t>
      </w:r>
    </w:p>
    <w:p>
      <w:pPr>
        <w:spacing w:after="0"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spacing w:after="0" w:line="620" w:lineRule="exact"/>
        <w:ind w:left="1598" w:leftChars="304" w:hanging="960" w:hangingChars="300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after="0" w:line="620" w:lineRule="exact"/>
        <w:ind w:left="1598" w:leftChars="304" w:hanging="960" w:hangingChars="3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二、采购需求</w:t>
      </w:r>
    </w:p>
    <w:p>
      <w:pPr>
        <w:tabs>
          <w:tab w:val="left" w:pos="616"/>
        </w:tabs>
        <w:spacing w:after="0" w:line="620" w:lineRule="exact"/>
        <w:ind w:firstLine="640" w:firstLineChars="200"/>
        <w:rPr>
          <w:color w:val="auto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（一）按照国家、省及市商务局有关文件要求，审核包括但不限于家电以旧换新、汽车置换更新、汽车报废更新、电动自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行车以旧换新、手机等3C类产品购新等消费品以旧换新促消费活动的补贴申请资料；</w:t>
      </w:r>
    </w:p>
    <w:p>
      <w:pPr>
        <w:pStyle w:val="2"/>
        <w:spacing w:after="0" w:line="62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（二）确保审核结果准确性和公正性，如有因审核人员失误造成的补贴资金漏发、错发、多发等情况，由投标人承担造成的损失；</w:t>
      </w:r>
    </w:p>
    <w:p>
      <w:pPr>
        <w:pStyle w:val="2"/>
        <w:spacing w:after="0" w:line="62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（三）在市商</w:t>
      </w:r>
      <w:r>
        <w:rPr>
          <w:rFonts w:hint="eastAsia" w:ascii="仿宋_GB2312" w:hAnsi="仿宋_GB2312" w:eastAsia="仿宋_GB2312" w:cs="仿宋_GB2312"/>
          <w:sz w:val="32"/>
          <w:szCs w:val="32"/>
        </w:rPr>
        <w:t>务局规定的时间内完成当期资料的审核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清零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，并定期出具审核意见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确保活动补贴资金及时发放；</w:t>
      </w:r>
    </w:p>
    <w:p>
      <w:pPr>
        <w:pStyle w:val="2"/>
        <w:spacing w:after="0" w:line="62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半年完成所有审核工作后，总结形成一份总体的评审报告，包括审核过程、审核发现的问题及处理建议、审核明细、补贴发放明细等详细内容；</w:t>
      </w:r>
    </w:p>
    <w:p>
      <w:pPr>
        <w:pStyle w:val="2"/>
        <w:spacing w:after="0" w:line="620" w:lineRule="exact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）完成市商务局交办的消费品以旧换新活动其他有关审核工作。</w:t>
      </w:r>
    </w:p>
    <w:p>
      <w:pPr>
        <w:spacing w:after="0" w:line="620" w:lineRule="exact"/>
        <w:ind w:left="1598" w:leftChars="304" w:hanging="960" w:hangingChars="3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三、投标人资格要求</w:t>
      </w:r>
    </w:p>
    <w:p>
      <w:pPr>
        <w:spacing w:after="0"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（一）依法设立。申报单位需依法登记设立，具有独立的法人资格；</w:t>
      </w:r>
    </w:p>
    <w:p>
      <w:pPr>
        <w:spacing w:after="0"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（二）资质齐全。具备相关领域的专业资质和认证，如会计师事务所执业证书、审计资质等。必须为广东政府采购智慧云平台审计定点供应商；</w:t>
      </w:r>
    </w:p>
    <w:p>
      <w:pPr>
        <w:spacing w:after="0"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（三）经验丰富。能够高效、准确地完成工作任务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具有消费品以旧换新活动或类似项目的评审经验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优先考虑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after="0"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（四）信誉良好。在业界具有良好的声誉和口碑，无违法违规行为记录。</w:t>
      </w:r>
    </w:p>
    <w:p>
      <w:pPr>
        <w:spacing w:after="0" w:line="620" w:lineRule="exact"/>
        <w:ind w:left="1598" w:leftChars="304" w:hanging="960" w:hangingChars="3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四、投标文件内容</w:t>
      </w:r>
    </w:p>
    <w:p>
      <w:pPr>
        <w:pStyle w:val="4"/>
        <w:spacing w:after="0" w:line="62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（一）营业执照复印件及法人代表身份证复印件；</w:t>
      </w:r>
    </w:p>
    <w:p>
      <w:pPr>
        <w:pStyle w:val="4"/>
        <w:spacing w:after="0" w:line="6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（二）企业资质和专业技术人员情况；　　</w:t>
      </w:r>
    </w:p>
    <w:p>
      <w:pPr>
        <w:pStyle w:val="4"/>
        <w:spacing w:after="0" w:line="6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（三）依法缴纳税收和社会保障资金证明；</w:t>
      </w:r>
    </w:p>
    <w:p>
      <w:pPr>
        <w:pStyle w:val="4"/>
        <w:spacing w:after="0" w:line="6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（四）无不良信用记录（提供通过“信用中国”网站和中国政府采购网信息查询结果）；</w:t>
      </w:r>
    </w:p>
    <w:p>
      <w:pPr>
        <w:pStyle w:val="4"/>
        <w:spacing w:after="0" w:line="6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（五）近2年来承办过的地市级及以上的类似项目案例（提供合作协议等佐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证材料）；</w:t>
      </w:r>
    </w:p>
    <w:p>
      <w:pPr>
        <w:pStyle w:val="4"/>
        <w:spacing w:after="0" w:line="6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（六）详细报价单（须涵盖所有采购内容的费用构成）。</w:t>
      </w:r>
    </w:p>
    <w:p>
      <w:pPr>
        <w:spacing w:after="0" w:line="620" w:lineRule="exact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FD61C"/>
    <w:rsid w:val="003E2C00"/>
    <w:rsid w:val="00907A1C"/>
    <w:rsid w:val="0093593B"/>
    <w:rsid w:val="00B6217B"/>
    <w:rsid w:val="00F61DE2"/>
    <w:rsid w:val="2AE4E2BF"/>
    <w:rsid w:val="3DFB733D"/>
    <w:rsid w:val="6C7FD61C"/>
    <w:rsid w:val="7B4F3790"/>
    <w:rsid w:val="7D790D16"/>
    <w:rsid w:val="7D8F1756"/>
    <w:rsid w:val="7FFEEF14"/>
    <w:rsid w:val="D27DBC5C"/>
    <w:rsid w:val="D8EAC3F5"/>
    <w:rsid w:val="DE67236D"/>
    <w:rsid w:val="DFAFE0F2"/>
    <w:rsid w:val="F35DE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  <w:rPr>
      <w:rFonts w:ascii="Calibri" w:hAnsi="Calibri"/>
      <w:szCs w:val="21"/>
    </w:rPr>
  </w:style>
  <w:style w:type="paragraph" w:styleId="3">
    <w:name w:val="Body Text"/>
    <w:basedOn w:val="1"/>
    <w:next w:val="4"/>
    <w:unhideWhenUsed/>
    <w:qFormat/>
    <w:uiPriority w:val="99"/>
    <w:pPr>
      <w:widowControl/>
      <w:spacing w:after="120"/>
      <w:jc w:val="left"/>
    </w:pPr>
    <w:rPr>
      <w:rFonts w:ascii="Calibri" w:hAnsi="Calibri"/>
      <w:kern w:val="0"/>
      <w:szCs w:val="21"/>
      <w:lang w:eastAsia="en-US"/>
    </w:rPr>
  </w:style>
  <w:style w:type="paragraph" w:styleId="4">
    <w:name w:val="Title"/>
    <w:basedOn w:val="1"/>
    <w:next w:val="1"/>
    <w:qFormat/>
    <w:uiPriority w:val="0"/>
    <w:pPr>
      <w:jc w:val="left"/>
    </w:pPr>
    <w:rPr>
      <w:rFonts w:ascii="Calibri" w:hAnsi="Calibri"/>
      <w:bCs/>
      <w:sz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</Words>
  <Characters>892</Characters>
  <Lines>7</Lines>
  <Paragraphs>2</Paragraphs>
  <TotalTime>63</TotalTime>
  <ScaleCrop>false</ScaleCrop>
  <LinksUpToDate>false</LinksUpToDate>
  <CharactersWithSpaces>1046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2025-01-19T12:56:00Z</dcterms:created>
  <dc:creator>全琪欣</dc:creator>
  <cp:lastModifiedBy>李剑鹏</cp:lastModifiedBy>
  <cp:lastPrinted>2025-06-25T00:45:00Z</cp:lastPrinted>
  <dcterms:modified xsi:type="dcterms:W3CDTF">2025-06-24T18:25:02Z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