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3"/>
        </w:tabs>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jc w:val="center"/>
        <w:rPr>
          <w:rFonts w:eastAsia="方正小标宋简体" w:cs="Times New Roman"/>
          <w:sz w:val="48"/>
        </w:rPr>
      </w:pPr>
      <w:bookmarkStart w:id="0" w:name="_Hlk93483980"/>
      <w:bookmarkStart w:id="1" w:name="_Hlk76665716"/>
      <w:r>
        <w:rPr>
          <w:rFonts w:eastAsia="方正小标宋简体" w:cs="Times New Roman"/>
          <w:sz w:val="48"/>
        </w:rPr>
        <w:t>湛江市“十四五”住房发展规划</w:t>
      </w:r>
    </w:p>
    <w:bookmarkEnd w:id="0"/>
    <w:bookmarkEnd w:id="1"/>
    <w:p>
      <w:pPr>
        <w:ind w:firstLine="0" w:firstLineChars="0"/>
        <w:rPr>
          <w:rFonts w:eastAsia="方正小标宋简体" w:cs="Times New Roman"/>
          <w:sz w:val="48"/>
        </w:rPr>
      </w:pPr>
    </w:p>
    <w:p>
      <w:pPr>
        <w:ind w:firstLine="0" w:firstLineChars="0"/>
        <w:rPr>
          <w:rFonts w:eastAsia="方正小标宋简体" w:cs="Times New Roman"/>
          <w:sz w:val="48"/>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0" w:firstLineChars="0"/>
        <w:jc w:val="center"/>
        <w:rPr>
          <w:rFonts w:eastAsia="黑体" w:cs="Times New Roman"/>
          <w:sz w:val="32"/>
        </w:rPr>
      </w:pPr>
      <w:r>
        <w:rPr>
          <w:rFonts w:eastAsia="黑体" w:cs="Times New Roman"/>
          <w:sz w:val="32"/>
        </w:rPr>
        <w:t>目 录</w:t>
      </w:r>
    </w:p>
    <w:p>
      <w:pPr>
        <w:pStyle w:val="15"/>
        <w:tabs>
          <w:tab w:val="right" w:leader="dot" w:pos="8296"/>
        </w:tabs>
        <w:rPr>
          <w:rFonts w:asciiTheme="minorHAnsi" w:hAnsiTheme="minorHAnsi" w:eastAsiaTheme="minorEastAsia"/>
          <w:sz w:val="21"/>
        </w:rPr>
      </w:pPr>
      <w:r>
        <w:rPr>
          <w:rFonts w:cs="Times New Roman"/>
        </w:rPr>
        <w:fldChar w:fldCharType="begin"/>
      </w:r>
      <w:r>
        <w:rPr>
          <w:rFonts w:cs="Times New Roman"/>
        </w:rPr>
        <w:instrText xml:space="preserve"> TOC \o "1-2" \h \z \u </w:instrText>
      </w:r>
      <w:r>
        <w:rPr>
          <w:rFonts w:cs="Times New Roman"/>
        </w:rPr>
        <w:fldChar w:fldCharType="separate"/>
      </w:r>
      <w:r>
        <w:fldChar w:fldCharType="begin"/>
      </w:r>
      <w:r>
        <w:instrText xml:space="preserve"> HYPERLINK \l "_Toc107777057" </w:instrText>
      </w:r>
      <w:r>
        <w:fldChar w:fldCharType="separate"/>
      </w:r>
      <w:r>
        <w:rPr>
          <w:rStyle w:val="25"/>
          <w:rFonts w:cs="Times New Roman"/>
        </w:rPr>
        <w:t>前  言</w:t>
      </w:r>
      <w:r>
        <w:tab/>
      </w:r>
      <w:r>
        <w:fldChar w:fldCharType="begin"/>
      </w:r>
      <w:r>
        <w:instrText xml:space="preserve"> PAGEREF _Toc107777057 \h </w:instrText>
      </w:r>
      <w:r>
        <w:fldChar w:fldCharType="separate"/>
      </w:r>
      <w:r>
        <w:t>1</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"_Toc107777058" </w:instrText>
      </w:r>
      <w:r>
        <w:fldChar w:fldCharType="separate"/>
      </w:r>
      <w:r>
        <w:rPr>
          <w:rStyle w:val="25"/>
          <w:rFonts w:cs="Times New Roman"/>
        </w:rPr>
        <w:t>一、发展基础</w:t>
      </w:r>
      <w:r>
        <w:tab/>
      </w:r>
      <w:r>
        <w:fldChar w:fldCharType="begin"/>
      </w:r>
      <w:r>
        <w:instrText xml:space="preserve"> PAGEREF _Toc107777058 \h </w:instrText>
      </w:r>
      <w:r>
        <w:fldChar w:fldCharType="separate"/>
      </w:r>
      <w:r>
        <w:t>2</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"_Toc107777059" </w:instrText>
      </w:r>
      <w:r>
        <w:fldChar w:fldCharType="separate"/>
      </w:r>
      <w:r>
        <w:rPr>
          <w:rStyle w:val="25"/>
          <w:rFonts w:cs="Times New Roman"/>
        </w:rPr>
        <w:t>（一）发展成效</w:t>
      </w:r>
      <w:r>
        <w:tab/>
      </w:r>
      <w:r>
        <w:fldChar w:fldCharType="begin"/>
      </w:r>
      <w:r>
        <w:instrText xml:space="preserve"> PAGEREF _Toc107777059 \h </w:instrText>
      </w:r>
      <w:r>
        <w:fldChar w:fldCharType="separate"/>
      </w:r>
      <w:r>
        <w:t>2</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"_Toc107777060" </w:instrText>
      </w:r>
      <w:r>
        <w:fldChar w:fldCharType="separate"/>
      </w:r>
      <w:r>
        <w:rPr>
          <w:rStyle w:val="25"/>
          <w:rFonts w:cs="Times New Roman"/>
        </w:rPr>
        <w:t>（二）发展形势</w:t>
      </w:r>
      <w:r>
        <w:tab/>
      </w:r>
      <w:r>
        <w:fldChar w:fldCharType="begin"/>
      </w:r>
      <w:r>
        <w:instrText xml:space="preserve"> PAGEREF _Toc107777060 \h </w:instrText>
      </w:r>
      <w:r>
        <w:fldChar w:fldCharType="separate"/>
      </w:r>
      <w:r>
        <w:t>3</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"_Toc107777061" </w:instrText>
      </w:r>
      <w:r>
        <w:fldChar w:fldCharType="separate"/>
      </w:r>
      <w:r>
        <w:rPr>
          <w:rStyle w:val="25"/>
          <w:rFonts w:cs="Times New Roman"/>
        </w:rPr>
        <w:t>（三）存在问题</w:t>
      </w:r>
      <w:r>
        <w:tab/>
      </w:r>
      <w:r>
        <w:fldChar w:fldCharType="begin"/>
      </w:r>
      <w:r>
        <w:instrText xml:space="preserve"> PAGEREF _Toc107777061 \h </w:instrText>
      </w:r>
      <w:r>
        <w:fldChar w:fldCharType="separate"/>
      </w:r>
      <w:r>
        <w:t>6</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"_Toc107777062" </w:instrText>
      </w:r>
      <w:r>
        <w:fldChar w:fldCharType="separate"/>
      </w:r>
      <w:r>
        <w:rPr>
          <w:rStyle w:val="25"/>
          <w:rFonts w:cs="Times New Roman"/>
        </w:rPr>
        <w:t>二、指导思想和发展目标</w:t>
      </w:r>
      <w:r>
        <w:tab/>
      </w:r>
      <w:r>
        <w:fldChar w:fldCharType="begin"/>
      </w:r>
      <w:r>
        <w:instrText xml:space="preserve"> PAGEREF _Toc107777062 \h </w:instrText>
      </w:r>
      <w:r>
        <w:fldChar w:fldCharType="separate"/>
      </w:r>
      <w:r>
        <w:t>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"_Toc107777063" </w:instrText>
      </w:r>
      <w:r>
        <w:fldChar w:fldCharType="separate"/>
      </w:r>
      <w:r>
        <w:rPr>
          <w:rStyle w:val="25"/>
          <w:rFonts w:cs="Times New Roman"/>
        </w:rPr>
        <w:t>（一）指导思想</w:t>
      </w:r>
      <w:r>
        <w:tab/>
      </w:r>
      <w:r>
        <w:fldChar w:fldCharType="begin"/>
      </w:r>
      <w:r>
        <w:instrText xml:space="preserve"> PAGEREF _Toc107777063 \h </w:instrText>
      </w:r>
      <w:r>
        <w:fldChar w:fldCharType="separate"/>
      </w:r>
      <w:r>
        <w:t>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"_Toc107777064" </w:instrText>
      </w:r>
      <w:r>
        <w:fldChar w:fldCharType="separate"/>
      </w:r>
      <w:r>
        <w:rPr>
          <w:rStyle w:val="25"/>
          <w:rFonts w:cs="Times New Roman"/>
        </w:rPr>
        <w:t>（二）基本原则</w:t>
      </w:r>
      <w:r>
        <w:tab/>
      </w:r>
      <w:r>
        <w:fldChar w:fldCharType="begin"/>
      </w:r>
      <w:r>
        <w:instrText xml:space="preserve"> PAGEREF _Toc107777064 \h </w:instrText>
      </w:r>
      <w:r>
        <w:fldChar w:fldCharType="separate"/>
      </w:r>
      <w:r>
        <w:t>7</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"_Toc107777065" </w:instrText>
      </w:r>
      <w:r>
        <w:fldChar w:fldCharType="separate"/>
      </w:r>
      <w:r>
        <w:rPr>
          <w:rStyle w:val="25"/>
          <w:rFonts w:cs="Times New Roman"/>
        </w:rPr>
        <w:t>（三）住房目标</w:t>
      </w:r>
      <w:r>
        <w:tab/>
      </w:r>
      <w:r>
        <w:fldChar w:fldCharType="begin"/>
      </w:r>
      <w:r>
        <w:instrText xml:space="preserve"> PAGEREF _Toc107777065 \h </w:instrText>
      </w:r>
      <w:r>
        <w:fldChar w:fldCharType="separate"/>
      </w:r>
      <w:r>
        <w:t>8</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"_Toc107777066" </w:instrText>
      </w:r>
      <w:r>
        <w:fldChar w:fldCharType="separate"/>
      </w:r>
      <w:r>
        <w:rPr>
          <w:rStyle w:val="25"/>
          <w:rFonts w:cs="Times New Roman"/>
        </w:rPr>
        <w:t>三、构建合理住房空间布局</w:t>
      </w:r>
      <w:r>
        <w:tab/>
      </w:r>
      <w:r>
        <w:fldChar w:fldCharType="begin"/>
      </w:r>
      <w:r>
        <w:instrText xml:space="preserve"> PAGEREF _Toc107777066 \h </w:instrText>
      </w:r>
      <w:r>
        <w:fldChar w:fldCharType="separate"/>
      </w:r>
      <w:r>
        <w:t>9</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"_Toc107777067" </w:instrText>
      </w:r>
      <w:r>
        <w:fldChar w:fldCharType="separate"/>
      </w:r>
      <w:r>
        <w:rPr>
          <w:rStyle w:val="25"/>
          <w:rFonts w:cs="Times New Roman"/>
        </w:rPr>
        <w:t>（一）住房空间布局总体策略</w:t>
      </w:r>
      <w:r>
        <w:tab/>
      </w:r>
      <w:r>
        <w:fldChar w:fldCharType="begin"/>
      </w:r>
      <w:r>
        <w:instrText xml:space="preserve"> PAGEREF _Toc107777067 \h </w:instrText>
      </w:r>
      <w:r>
        <w:fldChar w:fldCharType="separate"/>
      </w:r>
      <w:r>
        <w:t>9</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"_Toc107777068" </w:instrText>
      </w:r>
      <w:r>
        <w:fldChar w:fldCharType="separate"/>
      </w:r>
      <w:r>
        <w:rPr>
          <w:rStyle w:val="25"/>
          <w:rFonts w:cs="Times New Roman"/>
        </w:rPr>
        <w:t>（二）市区住房空间布局</w:t>
      </w:r>
      <w:r>
        <w:tab/>
      </w:r>
      <w:r>
        <w:fldChar w:fldCharType="begin"/>
      </w:r>
      <w:r>
        <w:instrText xml:space="preserve"> PAGEREF _Toc107777068 \h </w:instrText>
      </w:r>
      <w:r>
        <w:fldChar w:fldCharType="separate"/>
      </w:r>
      <w:r>
        <w:t>11</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"_Toc107777069" </w:instrText>
      </w:r>
      <w:r>
        <w:fldChar w:fldCharType="separate"/>
      </w:r>
      <w:r>
        <w:rPr>
          <w:rStyle w:val="25"/>
        </w:rPr>
        <w:t>（三）吴川市住房空间布局</w:t>
      </w:r>
      <w:r>
        <w:tab/>
      </w:r>
      <w:r>
        <w:fldChar w:fldCharType="begin"/>
      </w:r>
      <w:r>
        <w:instrText xml:space="preserve"> PAGEREF _Toc107777069 \h </w:instrText>
      </w:r>
      <w:r>
        <w:fldChar w:fldCharType="separate"/>
      </w:r>
      <w:r>
        <w:t>12</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"_Toc107777070" </w:instrText>
      </w:r>
      <w:r>
        <w:fldChar w:fldCharType="separate"/>
      </w:r>
      <w:r>
        <w:rPr>
          <w:rStyle w:val="25"/>
        </w:rPr>
        <w:t>（四）徐闻县住房空间布局</w:t>
      </w:r>
      <w:r>
        <w:tab/>
      </w:r>
      <w:r>
        <w:fldChar w:fldCharType="begin"/>
      </w:r>
      <w:r>
        <w:instrText xml:space="preserve"> PAGEREF _Toc107777070 \h </w:instrText>
      </w:r>
      <w:r>
        <w:fldChar w:fldCharType="separate"/>
      </w:r>
      <w:r>
        <w:t>13</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"_Toc107777071" </w:instrText>
      </w:r>
      <w:r>
        <w:fldChar w:fldCharType="separate"/>
      </w:r>
      <w:r>
        <w:rPr>
          <w:rStyle w:val="25"/>
        </w:rPr>
        <w:t>（五）雷州市住房空间布局</w:t>
      </w:r>
      <w:r>
        <w:tab/>
      </w:r>
      <w:r>
        <w:fldChar w:fldCharType="begin"/>
      </w:r>
      <w:r>
        <w:instrText xml:space="preserve"> PAGEREF _Toc107777071 \h </w:instrText>
      </w:r>
      <w:r>
        <w:fldChar w:fldCharType="separate"/>
      </w:r>
      <w:r>
        <w:t>14</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"_Toc107777072" </w:instrText>
      </w:r>
      <w:r>
        <w:fldChar w:fldCharType="separate"/>
      </w:r>
      <w:r>
        <w:rPr>
          <w:rStyle w:val="25"/>
        </w:rPr>
        <w:t>（六）遂溪县住房空间布局</w:t>
      </w:r>
      <w:r>
        <w:tab/>
      </w:r>
      <w:r>
        <w:fldChar w:fldCharType="begin"/>
      </w:r>
      <w:r>
        <w:instrText xml:space="preserve"> PAGEREF _Toc107777072 \h </w:instrText>
      </w:r>
      <w:r>
        <w:fldChar w:fldCharType="separate"/>
      </w:r>
      <w:r>
        <w:t>15</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"_Toc107777073" </w:instrText>
      </w:r>
      <w:r>
        <w:fldChar w:fldCharType="separate"/>
      </w:r>
      <w:r>
        <w:rPr>
          <w:rStyle w:val="25"/>
        </w:rPr>
        <w:t>（七）廉江市住房空间布局</w:t>
      </w:r>
      <w:r>
        <w:tab/>
      </w:r>
      <w:r>
        <w:fldChar w:fldCharType="begin"/>
      </w:r>
      <w:r>
        <w:instrText xml:space="preserve"> PAGEREF _Toc107777073 \h </w:instrText>
      </w:r>
      <w:r>
        <w:fldChar w:fldCharType="separate"/>
      </w:r>
      <w:r>
        <w:t>16</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"_Toc107777074" </w:instrText>
      </w:r>
      <w:r>
        <w:fldChar w:fldCharType="separate"/>
      </w:r>
      <w:r>
        <w:rPr>
          <w:rStyle w:val="25"/>
          <w:rFonts w:cs="Times New Roman"/>
        </w:rPr>
        <w:t>四、促进房地产市场健康发展</w:t>
      </w:r>
      <w:r>
        <w:tab/>
      </w:r>
      <w:r>
        <w:fldChar w:fldCharType="begin"/>
      </w:r>
      <w:r>
        <w:instrText xml:space="preserve"> PAGEREF _Toc107777074 \h </w:instrText>
      </w:r>
      <w:r>
        <w:fldChar w:fldCharType="separate"/>
      </w:r>
      <w:r>
        <w:t>16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"_Toc107777075" </w:instrText>
      </w:r>
      <w:r>
        <w:fldChar w:fldCharType="separate"/>
      </w:r>
      <w:r>
        <w:rPr>
          <w:rStyle w:val="25"/>
          <w:rFonts w:cs="Times New Roman"/>
        </w:rPr>
        <w:t>（一）稳步实施“一城一策”</w:t>
      </w:r>
      <w:r>
        <w:tab/>
      </w:r>
      <w:r>
        <w:fldChar w:fldCharType="begin"/>
      </w:r>
      <w:r>
        <w:instrText xml:space="preserve"> PAGEREF _Toc107777075 \h </w:instrText>
      </w:r>
      <w:r>
        <w:fldChar w:fldCharType="separate"/>
      </w:r>
      <w:r>
        <w:t>16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"_Toc107777076" </w:instrText>
      </w:r>
      <w:r>
        <w:fldChar w:fldCharType="separate"/>
      </w:r>
      <w:r>
        <w:rPr>
          <w:rStyle w:val="25"/>
          <w:rFonts w:cs="Times New Roman"/>
        </w:rPr>
        <w:t>（二）健全住房梯度健康消费</w:t>
      </w:r>
      <w:r>
        <w:tab/>
      </w:r>
      <w:r>
        <w:fldChar w:fldCharType="begin"/>
      </w:r>
      <w:r>
        <w:instrText xml:space="preserve"> PAGEREF _Toc107777076 \h </w:instrText>
      </w:r>
      <w:r>
        <w:fldChar w:fldCharType="separate"/>
      </w:r>
      <w:r>
        <w:t>17</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"_Toc107777077" </w:instrText>
      </w:r>
      <w:r>
        <w:fldChar w:fldCharType="separate"/>
      </w:r>
      <w:r>
        <w:rPr>
          <w:rStyle w:val="25"/>
          <w:rFonts w:cs="Times New Roman"/>
        </w:rPr>
        <w:t>（三）加强住房与土地联动</w:t>
      </w:r>
      <w:r>
        <w:tab/>
      </w:r>
      <w:r>
        <w:fldChar w:fldCharType="begin"/>
      </w:r>
      <w:r>
        <w:instrText xml:space="preserve"> PAGEREF _Toc107777077 \h </w:instrText>
      </w:r>
      <w:r>
        <w:fldChar w:fldCharType="separate"/>
      </w:r>
      <w:r>
        <w:t>17</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"_Toc107777078" </w:instrText>
      </w:r>
      <w:r>
        <w:fldChar w:fldCharType="separate"/>
      </w:r>
      <w:r>
        <w:rPr>
          <w:rStyle w:val="25"/>
        </w:rPr>
        <w:t>（四）完善房地产金融政策</w:t>
      </w:r>
      <w:r>
        <w:tab/>
      </w:r>
      <w:r>
        <w:fldChar w:fldCharType="begin"/>
      </w:r>
      <w:r>
        <w:instrText xml:space="preserve"> PAGEREF _Toc107777078 \h </w:instrText>
      </w:r>
      <w:r>
        <w:fldChar w:fldCharType="separate"/>
      </w:r>
      <w:r>
        <w:t>18</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"_Toc107777079" </w:instrText>
      </w:r>
      <w:r>
        <w:fldChar w:fldCharType="separate"/>
      </w:r>
      <w:r>
        <w:rPr>
          <w:rStyle w:val="25"/>
          <w:rFonts w:cs="Times New Roman"/>
        </w:rPr>
        <w:t>五、优化房地产市场营商环境</w:t>
      </w:r>
      <w:r>
        <w:tab/>
      </w:r>
      <w:r>
        <w:fldChar w:fldCharType="begin"/>
      </w:r>
      <w:r>
        <w:instrText xml:space="preserve"> PAGEREF _Toc107777079 \h </w:instrText>
      </w:r>
      <w:r>
        <w:fldChar w:fldCharType="separate"/>
      </w:r>
      <w:r>
        <w:t>19</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"_Toc107777080" </w:instrText>
      </w:r>
      <w:r>
        <w:fldChar w:fldCharType="separate"/>
      </w:r>
      <w:r>
        <w:rPr>
          <w:rStyle w:val="25"/>
          <w:rFonts w:cs="Times New Roman"/>
        </w:rPr>
        <w:t>（一）优化房地产项目审批流程</w:t>
      </w:r>
      <w:r>
        <w:tab/>
      </w:r>
      <w:r>
        <w:fldChar w:fldCharType="begin"/>
      </w:r>
      <w:r>
        <w:instrText xml:space="preserve"> PAGEREF _Toc107777080 \h </w:instrText>
      </w:r>
      <w:r>
        <w:fldChar w:fldCharType="separate"/>
      </w:r>
      <w:r>
        <w:t>19</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"_Toc107777081" </w:instrText>
      </w:r>
      <w:r>
        <w:fldChar w:fldCharType="separate"/>
      </w:r>
      <w:r>
        <w:rPr>
          <w:rStyle w:val="25"/>
        </w:rPr>
        <w:t>（二）创造更加公平的市场参与机制</w:t>
      </w:r>
      <w:r>
        <w:tab/>
      </w:r>
      <w:r>
        <w:fldChar w:fldCharType="begin"/>
      </w:r>
      <w:r>
        <w:instrText xml:space="preserve"> PAGEREF _Toc107777081 \h </w:instrText>
      </w:r>
      <w:r>
        <w:fldChar w:fldCharType="separate"/>
      </w:r>
      <w:r>
        <w:t>20</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"_Toc107777082" </w:instrText>
      </w:r>
      <w:r>
        <w:fldChar w:fldCharType="separate"/>
      </w:r>
      <w:r>
        <w:rPr>
          <w:rStyle w:val="25"/>
        </w:rPr>
        <w:t>（三）做好房地产重点项目跟踪服务</w:t>
      </w:r>
      <w:r>
        <w:tab/>
      </w:r>
      <w:r>
        <w:fldChar w:fldCharType="begin"/>
      </w:r>
      <w:r>
        <w:instrText xml:space="preserve"> PAGEREF _Toc107777082 \h </w:instrText>
      </w:r>
      <w:r>
        <w:fldChar w:fldCharType="separate"/>
      </w:r>
      <w:r>
        <w:t>21</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"_Toc107777083" </w:instrText>
      </w:r>
      <w:r>
        <w:fldChar w:fldCharType="separate"/>
      </w:r>
      <w:r>
        <w:rPr>
          <w:rStyle w:val="25"/>
          <w:rFonts w:cs="Times New Roman"/>
        </w:rPr>
        <w:t>六、稳步提升住房保障水平</w:t>
      </w:r>
      <w:r>
        <w:tab/>
      </w:r>
      <w:r>
        <w:fldChar w:fldCharType="begin"/>
      </w:r>
      <w:r>
        <w:instrText xml:space="preserve"> PAGEREF _Toc107777083 \h </w:instrText>
      </w:r>
      <w:r>
        <w:fldChar w:fldCharType="separate"/>
      </w:r>
      <w:r>
        <w:t>21</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"_Toc107777084" </w:instrText>
      </w:r>
      <w:r>
        <w:fldChar w:fldCharType="separate"/>
      </w:r>
      <w:r>
        <w:rPr>
          <w:rStyle w:val="25"/>
          <w:rFonts w:cs="Times New Roman"/>
        </w:rPr>
        <w:t>（一）加强住房基本保障</w:t>
      </w:r>
      <w:r>
        <w:tab/>
      </w:r>
      <w:r>
        <w:fldChar w:fldCharType="begin"/>
      </w:r>
      <w:r>
        <w:instrText xml:space="preserve"> PAGEREF _Toc107777084 \h </w:instrText>
      </w:r>
      <w:r>
        <w:fldChar w:fldCharType="separate"/>
      </w:r>
      <w:r>
        <w:t>21</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"_Toc107777085" </w:instrText>
      </w:r>
      <w:r>
        <w:fldChar w:fldCharType="separate"/>
      </w:r>
      <w:r>
        <w:rPr>
          <w:rStyle w:val="25"/>
          <w:rFonts w:cs="Times New Roman"/>
        </w:rPr>
        <w:t>（二）推动住房保障适度普惠</w:t>
      </w:r>
      <w:r>
        <w:tab/>
      </w:r>
      <w:r>
        <w:fldChar w:fldCharType="begin"/>
      </w:r>
      <w:r>
        <w:instrText xml:space="preserve"> PAGEREF _Toc107777085 \h </w:instrText>
      </w:r>
      <w:r>
        <w:fldChar w:fldCharType="separate"/>
      </w:r>
      <w:r>
        <w:t>22</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"_Toc107777086" </w:instrText>
      </w:r>
      <w:r>
        <w:fldChar w:fldCharType="separate"/>
      </w:r>
      <w:r>
        <w:rPr>
          <w:rStyle w:val="25"/>
          <w:rFonts w:cs="Times New Roman"/>
        </w:rPr>
        <w:t>（三）加大高层次人才安居</w:t>
      </w:r>
      <w:r>
        <w:tab/>
      </w:r>
      <w:r>
        <w:fldChar w:fldCharType="begin"/>
      </w:r>
      <w:r>
        <w:instrText xml:space="preserve"> PAGEREF _Toc107777086 \h </w:instrText>
      </w:r>
      <w:r>
        <w:fldChar w:fldCharType="separate"/>
      </w:r>
      <w:r>
        <w:t>22</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"_Toc107777087" </w:instrText>
      </w:r>
      <w:r>
        <w:fldChar w:fldCharType="separate"/>
      </w:r>
      <w:r>
        <w:rPr>
          <w:rStyle w:val="25"/>
          <w:rFonts w:cs="Times New Roman"/>
        </w:rPr>
        <w:t>（四）创新重点行业人员住房保障机制</w:t>
      </w:r>
      <w:r>
        <w:tab/>
      </w:r>
      <w:r>
        <w:fldChar w:fldCharType="begin"/>
      </w:r>
      <w:r>
        <w:instrText xml:space="preserve"> PAGEREF _Toc107777087 \h </w:instrText>
      </w:r>
      <w:r>
        <w:fldChar w:fldCharType="separate"/>
      </w:r>
      <w:r>
        <w:t>23</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"_Toc107777088" </w:instrText>
      </w:r>
      <w:r>
        <w:fldChar w:fldCharType="separate"/>
      </w:r>
      <w:r>
        <w:rPr>
          <w:rStyle w:val="25"/>
          <w:rFonts w:cs="Times New Roman"/>
        </w:rPr>
        <w:t>七、全面提升居住品质</w:t>
      </w:r>
      <w:r>
        <w:tab/>
      </w:r>
      <w:r>
        <w:fldChar w:fldCharType="begin"/>
      </w:r>
      <w:r>
        <w:instrText xml:space="preserve"> PAGEREF _Toc107777088 \h </w:instrText>
      </w:r>
      <w:r>
        <w:fldChar w:fldCharType="separate"/>
      </w:r>
      <w:r>
        <w:t>23</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"_Toc107777089" </w:instrText>
      </w:r>
      <w:r>
        <w:fldChar w:fldCharType="separate"/>
      </w:r>
      <w:r>
        <w:rPr>
          <w:rStyle w:val="25"/>
          <w:rFonts w:cs="Times New Roman"/>
        </w:rPr>
        <w:t>（一）创建宜居活力社区</w:t>
      </w:r>
      <w:r>
        <w:tab/>
      </w:r>
      <w:r>
        <w:fldChar w:fldCharType="begin"/>
      </w:r>
      <w:r>
        <w:instrText xml:space="preserve"> PAGEREF _Toc107777089 \h </w:instrText>
      </w:r>
      <w:r>
        <w:fldChar w:fldCharType="separate"/>
      </w:r>
      <w:r>
        <w:t>23</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"_Toc107777090" </w:instrText>
      </w:r>
      <w:r>
        <w:fldChar w:fldCharType="separate"/>
      </w:r>
      <w:r>
        <w:rPr>
          <w:rStyle w:val="25"/>
          <w:rFonts w:cs="Times New Roman"/>
        </w:rPr>
        <w:t>（二）建设智慧生态小区</w:t>
      </w:r>
      <w:r>
        <w:tab/>
      </w:r>
      <w:r>
        <w:fldChar w:fldCharType="begin"/>
      </w:r>
      <w:r>
        <w:instrText xml:space="preserve"> PAGEREF _Toc107777090 \h </w:instrText>
      </w:r>
      <w:r>
        <w:fldChar w:fldCharType="separate"/>
      </w:r>
      <w:r>
        <w:t>25</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"_Toc107777091" </w:instrText>
      </w:r>
      <w:r>
        <w:fldChar w:fldCharType="separate"/>
      </w:r>
      <w:r>
        <w:rPr>
          <w:rStyle w:val="25"/>
        </w:rPr>
        <w:t>（三）推进旅游地产转型</w:t>
      </w:r>
      <w:r>
        <w:tab/>
      </w:r>
      <w:r>
        <w:fldChar w:fldCharType="begin"/>
      </w:r>
      <w:r>
        <w:instrText xml:space="preserve"> PAGEREF _Toc107777091 \h </w:instrText>
      </w:r>
      <w:r>
        <w:fldChar w:fldCharType="separate"/>
      </w:r>
      <w:r>
        <w:t>25</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"_Toc107777092" </w:instrText>
      </w:r>
      <w:r>
        <w:fldChar w:fldCharType="separate"/>
      </w:r>
      <w:r>
        <w:rPr>
          <w:rStyle w:val="25"/>
          <w:rFonts w:cs="Times New Roman"/>
        </w:rPr>
        <w:t>八、保障措施</w:t>
      </w:r>
      <w:r>
        <w:tab/>
      </w:r>
      <w:r>
        <w:fldChar w:fldCharType="begin"/>
      </w:r>
      <w:r>
        <w:instrText xml:space="preserve"> PAGEREF _Toc107777092 \h </w:instrText>
      </w:r>
      <w:r>
        <w:fldChar w:fldCharType="separate"/>
      </w:r>
      <w:r>
        <w:t>26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"_Toc107777093" </w:instrText>
      </w:r>
      <w:r>
        <w:fldChar w:fldCharType="separate"/>
      </w:r>
      <w:r>
        <w:rPr>
          <w:rStyle w:val="25"/>
          <w:rFonts w:cs="Times New Roman"/>
        </w:rPr>
        <w:t>（一）加强组织领导</w:t>
      </w:r>
      <w:r>
        <w:tab/>
      </w:r>
      <w:r>
        <w:fldChar w:fldCharType="begin"/>
      </w:r>
      <w:r>
        <w:instrText xml:space="preserve"> PAGEREF _Toc107777093 \h </w:instrText>
      </w:r>
      <w:r>
        <w:fldChar w:fldCharType="separate"/>
      </w:r>
      <w:r>
        <w:t>26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"_Toc107777094" </w:instrText>
      </w:r>
      <w:r>
        <w:fldChar w:fldCharType="separate"/>
      </w:r>
      <w:r>
        <w:rPr>
          <w:rStyle w:val="25"/>
          <w:rFonts w:cs="Times New Roman"/>
        </w:rPr>
        <w:t>（二）健全住房发展要素保障机制</w:t>
      </w:r>
      <w:r>
        <w:tab/>
      </w:r>
      <w:r>
        <w:fldChar w:fldCharType="begin"/>
      </w:r>
      <w:r>
        <w:instrText xml:space="preserve"> PAGEREF _Toc107777094 \h </w:instrText>
      </w:r>
      <w:r>
        <w:fldChar w:fldCharType="separate"/>
      </w:r>
      <w:r>
        <w:t>26</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"_Toc107777095" </w:instrText>
      </w:r>
      <w:r>
        <w:fldChar w:fldCharType="separate"/>
      </w:r>
      <w:r>
        <w:rPr>
          <w:rStyle w:val="25"/>
          <w:rFonts w:cs="Times New Roman"/>
        </w:rPr>
        <w:t>（三）完善规划实施的评估机制</w:t>
      </w:r>
      <w:r>
        <w:tab/>
      </w:r>
      <w:r>
        <w:fldChar w:fldCharType="begin"/>
      </w:r>
      <w:r>
        <w:instrText xml:space="preserve"> PAGEREF _Toc107777095 \h </w:instrText>
      </w:r>
      <w:r>
        <w:fldChar w:fldCharType="separate"/>
      </w:r>
      <w:r>
        <w:t>27</w:t>
      </w:r>
      <w:r>
        <w:fldChar w:fldCharType="end"/>
      </w:r>
      <w: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"_Toc107777096" </w:instrText>
      </w:r>
      <w:r>
        <w:fldChar w:fldCharType="separate"/>
      </w:r>
      <w:r>
        <w:rPr>
          <w:rStyle w:val="25"/>
          <w:rFonts w:cs="Times New Roman"/>
        </w:rPr>
        <w:t>（四）做好规划宣传引导工作</w:t>
      </w:r>
      <w:r>
        <w:tab/>
      </w:r>
      <w:r>
        <w:fldChar w:fldCharType="begin"/>
      </w:r>
      <w:r>
        <w:instrText xml:space="preserve"> PAGEREF _Toc107777096 \h </w:instrText>
      </w:r>
      <w:r>
        <w:fldChar w:fldCharType="separate"/>
      </w:r>
      <w:r>
        <w:t>27</w:t>
      </w:r>
      <w:r>
        <w:fldChar w:fldCharType="end"/>
      </w:r>
      <w:r>
        <w:fldChar w:fldCharType="end"/>
      </w:r>
    </w:p>
    <w:p>
      <w:pPr>
        <w:pStyle w:val="15"/>
        <w:tabs>
          <w:tab w:val="right" w:leader="dot" w:pos="8296"/>
        </w:tabs>
        <w:rPr>
          <w:rFonts w:asciiTheme="minorHAnsi" w:hAnsiTheme="minorHAnsi" w:eastAsiaTheme="minorEastAsia"/>
          <w:sz w:val="21"/>
        </w:rPr>
      </w:pPr>
      <w:r>
        <w:fldChar w:fldCharType="begin"/>
      </w:r>
      <w:r>
        <w:instrText xml:space="preserve"> HYPERLINK \l "_Toc107777097" </w:instrText>
      </w:r>
      <w:r>
        <w:fldChar w:fldCharType="separate"/>
      </w:r>
      <w:r>
        <w:rPr>
          <w:rStyle w:val="25"/>
          <w:rFonts w:cs="Times New Roman"/>
        </w:rPr>
        <w:t>附表</w:t>
      </w:r>
      <w:r>
        <w:tab/>
      </w:r>
      <w:r>
        <w:fldChar w:fldCharType="begin"/>
      </w:r>
      <w:r>
        <w:instrText xml:space="preserve"> PAGEREF _Toc107777097 \h </w:instrText>
      </w:r>
      <w:r>
        <w:fldChar w:fldCharType="separate"/>
      </w:r>
      <w:r>
        <w:t>28</w:t>
      </w:r>
      <w:r>
        <w:fldChar w:fldCharType="end"/>
      </w:r>
      <w:r>
        <w:fldChar w:fldCharType="end"/>
      </w:r>
    </w:p>
    <w:p>
      <w:pPr>
        <w:pStyle w:val="19"/>
        <w:tabs>
          <w:tab w:val="right" w:leader="dot" w:pos="8296"/>
        </w:tabs>
        <w:ind w:left="560"/>
        <w:rPr>
          <w:rFonts w:ascii="仿宋_GB2312" w:hAnsiTheme="minorHAnsi"/>
          <w:sz w:val="21"/>
        </w:rPr>
      </w:pPr>
      <w:r>
        <w:fldChar w:fldCharType="begin"/>
      </w:r>
      <w:r>
        <w:instrText xml:space="preserve"> HYPERLINK \l "_Toc107777098" </w:instrText>
      </w:r>
      <w:r>
        <w:fldChar w:fldCharType="separate"/>
      </w:r>
      <w:r>
        <w:rPr>
          <w:rStyle w:val="25"/>
          <w:rFonts w:hint="eastAsia" w:ascii="仿宋_GB2312" w:cs="Times New Roman"/>
        </w:rPr>
        <w:t>表1 “十四五”湛江市住房发展规模目标表</w:t>
      </w:r>
      <w:r>
        <w:rPr>
          <w:rFonts w:ascii="仿宋_GB2312"/>
        </w:rPr>
        <w:tab/>
      </w:r>
      <w:r>
        <w:rPr>
          <w:rFonts w:hint="eastAsia" w:ascii="仿宋_GB2312"/>
        </w:rPr>
        <w:fldChar w:fldCharType="begin"/>
      </w:r>
      <w:r>
        <w:rPr>
          <w:rFonts w:hint="eastAsia" w:ascii="仿宋_GB2312"/>
        </w:rPr>
        <w:instrText xml:space="preserve"> PAGEREF _Toc107777098 \h </w:instrText>
      </w:r>
      <w:r>
        <w:rPr>
          <w:rFonts w:hint="eastAsia" w:ascii="仿宋_GB2312"/>
        </w:rPr>
        <w:fldChar w:fldCharType="separate"/>
      </w:r>
      <w:r>
        <w:rPr>
          <w:rFonts w:ascii="仿宋_GB2312"/>
        </w:rPr>
        <w:t>28</w:t>
      </w:r>
      <w:r>
        <w:rPr>
          <w:rFonts w:hint="eastAsia" w:ascii="仿宋_GB2312"/>
        </w:rPr>
        <w:fldChar w:fldCharType="end"/>
      </w:r>
      <w:r>
        <w:rPr>
          <w:rFonts w:hint="eastAsia" w:ascii="仿宋_GB2312"/>
        </w:rPr>
        <w:fldChar w:fldCharType="end"/>
      </w:r>
    </w:p>
    <w:p>
      <w:pPr>
        <w:pStyle w:val="19"/>
        <w:tabs>
          <w:tab w:val="right" w:leader="dot" w:pos="8296"/>
        </w:tabs>
        <w:ind w:left="560"/>
        <w:rPr>
          <w:rFonts w:ascii="仿宋_GB2312" w:hAnsiTheme="minorHAnsi"/>
          <w:sz w:val="21"/>
        </w:rPr>
      </w:pPr>
      <w:r>
        <w:fldChar w:fldCharType="begin"/>
      </w:r>
      <w:r>
        <w:instrText xml:space="preserve"> HYPERLINK \l "_Toc107777099" </w:instrText>
      </w:r>
      <w:r>
        <w:fldChar w:fldCharType="separate"/>
      </w:r>
      <w:r>
        <w:rPr>
          <w:rStyle w:val="25"/>
          <w:rFonts w:hint="eastAsia" w:ascii="仿宋_GB2312" w:cs="Times New Roman"/>
        </w:rPr>
        <w:t>表2 “十四五”湛江市各县（市、区）住房发展规模目标表</w:t>
      </w:r>
      <w:r>
        <w:rPr>
          <w:rFonts w:hint="eastAsia" w:ascii="仿宋_GB2312"/>
        </w:rPr>
        <w:tab/>
      </w:r>
      <w:r>
        <w:rPr>
          <w:rFonts w:hint="eastAsia" w:ascii="仿宋_GB2312"/>
        </w:rPr>
        <w:fldChar w:fldCharType="begin"/>
      </w:r>
      <w:r>
        <w:rPr>
          <w:rFonts w:hint="eastAsia" w:ascii="仿宋_GB2312"/>
        </w:rPr>
        <w:instrText xml:space="preserve"> PAGEREF _Toc107777099 \h </w:instrText>
      </w:r>
      <w:r>
        <w:rPr>
          <w:rFonts w:hint="eastAsia" w:ascii="仿宋_GB2312"/>
        </w:rPr>
        <w:fldChar w:fldCharType="separate"/>
      </w:r>
      <w:r>
        <w:rPr>
          <w:rFonts w:ascii="仿宋_GB2312"/>
        </w:rPr>
        <w:t>29</w:t>
      </w:r>
      <w:r>
        <w:rPr>
          <w:rFonts w:hint="eastAsia" w:ascii="仿宋_GB2312"/>
        </w:rPr>
        <w:fldChar w:fldCharType="end"/>
      </w:r>
      <w:r>
        <w:rPr>
          <w:rFonts w:hint="eastAsia" w:ascii="仿宋_GB2312"/>
        </w:rPr>
        <w:fldChar w:fldCharType="end"/>
      </w:r>
    </w:p>
    <w:p>
      <w:pPr>
        <w:pStyle w:val="19"/>
        <w:tabs>
          <w:tab w:val="right" w:leader="dot" w:pos="8296"/>
        </w:tabs>
        <w:ind w:left="560"/>
        <w:rPr>
          <w:rFonts w:asciiTheme="minorHAnsi" w:hAnsiTheme="minorHAnsi" w:eastAsiaTheme="minorEastAsia"/>
          <w:sz w:val="21"/>
        </w:rPr>
      </w:pPr>
      <w:r>
        <w:fldChar w:fldCharType="begin"/>
      </w:r>
      <w:r>
        <w:instrText xml:space="preserve"> HYPERLINK \l "_Toc107777100" </w:instrText>
      </w:r>
      <w:r>
        <w:fldChar w:fldCharType="separate"/>
      </w:r>
      <w:r>
        <w:rPr>
          <w:rStyle w:val="25"/>
          <w:rFonts w:hint="eastAsia" w:ascii="仿宋_GB2312" w:cs="Times New Roman"/>
        </w:rPr>
        <w:t>表3 “十四五”湛江市各县（市、区）住房发展所需住宅用地表</w:t>
      </w:r>
      <w:r>
        <w:rPr>
          <w:rFonts w:hint="eastAsia" w:ascii="仿宋_GB2312"/>
        </w:rPr>
        <w:tab/>
      </w:r>
      <w:r>
        <w:rPr>
          <w:rFonts w:hint="eastAsia" w:ascii="仿宋_GB2312"/>
        </w:rPr>
        <w:fldChar w:fldCharType="begin"/>
      </w:r>
      <w:r>
        <w:rPr>
          <w:rFonts w:hint="eastAsia" w:ascii="仿宋_GB2312"/>
        </w:rPr>
        <w:instrText xml:space="preserve"> PAGEREF _Toc107777100 \h </w:instrText>
      </w:r>
      <w:r>
        <w:rPr>
          <w:rFonts w:hint="eastAsia" w:ascii="仿宋_GB2312"/>
        </w:rPr>
        <w:fldChar w:fldCharType="separate"/>
      </w:r>
      <w:r>
        <w:rPr>
          <w:rFonts w:ascii="仿宋_GB2312"/>
        </w:rPr>
        <w:t>30</w:t>
      </w:r>
      <w:r>
        <w:rPr>
          <w:rFonts w:hint="eastAsia" w:ascii="仿宋_GB2312"/>
        </w:rPr>
        <w:fldChar w:fldCharType="end"/>
      </w:r>
      <w:r>
        <w:rPr>
          <w:rFonts w:hint="eastAsia" w:ascii="仿宋_GB2312"/>
        </w:rPr>
        <w:fldChar w:fldCharType="end"/>
      </w:r>
    </w:p>
    <w:p>
      <w:pPr>
        <w:pStyle w:val="19"/>
        <w:tabs>
          <w:tab w:val="right" w:leader="dot" w:pos="8296"/>
        </w:tabs>
        <w:ind w:left="560"/>
        <w:rPr>
          <w:rFonts w:ascii="仿宋_GB2312" w:hAnsiTheme="minorHAnsi"/>
          <w:sz w:val="21"/>
        </w:rPr>
      </w:pPr>
      <w:r>
        <w:fldChar w:fldCharType="begin"/>
      </w:r>
      <w:r>
        <w:instrText xml:space="preserve"> HYPERLINK \l "_Toc107777101" </w:instrText>
      </w:r>
      <w:r>
        <w:fldChar w:fldCharType="separate"/>
      </w:r>
      <w:r>
        <w:rPr>
          <w:rStyle w:val="25"/>
          <w:rFonts w:hint="eastAsia" w:ascii="仿宋_GB2312" w:cs="Times New Roman"/>
        </w:rPr>
        <w:t>表4 “十四五”湛江市住房发展年度计划表</w:t>
      </w:r>
      <w:r>
        <w:rPr>
          <w:rFonts w:hint="eastAsia" w:ascii="仿宋_GB2312"/>
        </w:rPr>
        <w:tab/>
      </w:r>
      <w:r>
        <w:rPr>
          <w:rFonts w:hint="eastAsia" w:ascii="仿宋_GB2312"/>
        </w:rPr>
        <w:fldChar w:fldCharType="begin"/>
      </w:r>
      <w:r>
        <w:rPr>
          <w:rFonts w:hint="eastAsia" w:ascii="仿宋_GB2312"/>
        </w:rPr>
        <w:instrText xml:space="preserve"> PAGEREF _Toc107777101 \h </w:instrText>
      </w:r>
      <w:r>
        <w:rPr>
          <w:rFonts w:hint="eastAsia" w:ascii="仿宋_GB2312"/>
        </w:rPr>
        <w:fldChar w:fldCharType="separate"/>
      </w:r>
      <w:r>
        <w:rPr>
          <w:rFonts w:ascii="仿宋_GB2312"/>
        </w:rPr>
        <w:t>31</w:t>
      </w:r>
      <w:r>
        <w:rPr>
          <w:rFonts w:hint="eastAsia" w:ascii="仿宋_GB2312"/>
        </w:rPr>
        <w:fldChar w:fldCharType="end"/>
      </w:r>
      <w:r>
        <w:rPr>
          <w:rFonts w:hint="eastAsia" w:ascii="仿宋_GB2312"/>
        </w:rPr>
        <w:fldChar w:fldCharType="end"/>
      </w:r>
    </w:p>
    <w:p>
      <w:pPr>
        <w:pStyle w:val="19"/>
        <w:tabs>
          <w:tab w:val="right" w:leader="dot" w:pos="8296"/>
        </w:tabs>
        <w:ind w:left="560"/>
        <w:rPr>
          <w:rFonts w:ascii="仿宋_GB2312" w:hAnsiTheme="minorHAnsi"/>
          <w:sz w:val="21"/>
        </w:rPr>
      </w:pPr>
      <w:r>
        <w:fldChar w:fldCharType="begin"/>
      </w:r>
      <w:r>
        <w:instrText xml:space="preserve"> HYPERLINK \l "_Toc107777102" </w:instrText>
      </w:r>
      <w:r>
        <w:fldChar w:fldCharType="separate"/>
      </w:r>
      <w:r>
        <w:rPr>
          <w:rStyle w:val="25"/>
          <w:rFonts w:hint="eastAsia" w:ascii="仿宋_GB2312" w:cs="Times New Roman"/>
        </w:rPr>
        <w:t>表5 《湛江市“十四五”住房发展规划》重点工作任务清单</w:t>
      </w:r>
      <w:r>
        <w:rPr>
          <w:rFonts w:hint="eastAsia" w:ascii="仿宋_GB2312"/>
        </w:rPr>
        <w:tab/>
      </w:r>
      <w:r>
        <w:rPr>
          <w:rFonts w:hint="eastAsia" w:ascii="仿宋_GB2312"/>
        </w:rPr>
        <w:fldChar w:fldCharType="begin"/>
      </w:r>
      <w:r>
        <w:rPr>
          <w:rFonts w:hint="eastAsia" w:ascii="仿宋_GB2312"/>
        </w:rPr>
        <w:instrText xml:space="preserve"> PAGEREF _Toc107777102 \h </w:instrText>
      </w:r>
      <w:r>
        <w:rPr>
          <w:rFonts w:hint="eastAsia" w:ascii="仿宋_GB2312"/>
        </w:rPr>
        <w:fldChar w:fldCharType="separate"/>
      </w:r>
      <w:r>
        <w:rPr>
          <w:rFonts w:ascii="仿宋_GB2312"/>
        </w:rPr>
        <w:t>32</w:t>
      </w:r>
      <w:r>
        <w:rPr>
          <w:rFonts w:hint="eastAsia" w:ascii="仿宋_GB2312"/>
        </w:rPr>
        <w:fldChar w:fldCharType="end"/>
      </w:r>
      <w:r>
        <w:rPr>
          <w:rFonts w:hint="eastAsia" w:ascii="仿宋_GB2312"/>
        </w:rPr>
        <w:fldChar w:fldCharType="end"/>
      </w:r>
    </w:p>
    <w:p>
      <w:pPr>
        <w:pStyle w:val="15"/>
        <w:tabs>
          <w:tab w:val="right" w:leader="dot" w:pos="8296"/>
        </w:tabs>
        <w:spacing w:before="93" w:beforeLines="30" w:after="93" w:afterLines="30"/>
        <w:rPr>
          <w:rStyle w:val="25"/>
          <w:rFonts w:cs="Times New Roman"/>
          <w:color w:val="auto"/>
          <w:u w:val="none"/>
        </w:rPr>
      </w:pPr>
      <w:r>
        <w:rPr>
          <w:rFonts w:cs="Times New Roman"/>
        </w:rPr>
        <w:fldChar w:fldCharType="end"/>
      </w:r>
      <w:r>
        <w:rPr>
          <w:rStyle w:val="25"/>
          <w:rFonts w:cs="Times New Roman"/>
          <w:color w:val="auto"/>
          <w:u w:val="none"/>
        </w:rPr>
        <w:t>分册</w:t>
      </w:r>
      <w:r>
        <w:rPr>
          <w:rStyle w:val="25"/>
          <w:rFonts w:hint="eastAsia" w:cs="Times New Roman"/>
          <w:color w:val="auto"/>
          <w:u w:val="none"/>
        </w:rPr>
        <w:t>一：湛江市市区“十四五”住房发展规划</w:t>
      </w:r>
      <w:r>
        <w:rPr>
          <w:rStyle w:val="25"/>
          <w:rFonts w:hint="eastAsia" w:cs="Times New Roman"/>
          <w:color w:val="auto"/>
          <w:u w:val="none"/>
        </w:rPr>
        <w:tab/>
      </w:r>
      <w:r>
        <w:rPr>
          <w:rStyle w:val="25"/>
          <w:rFonts w:cs="Times New Roman"/>
          <w:color w:val="auto"/>
          <w:u w:val="none"/>
        </w:rPr>
        <w:t>39</w:t>
      </w:r>
    </w:p>
    <w:p>
      <w:pPr>
        <w:pStyle w:val="15"/>
        <w:tabs>
          <w:tab w:val="right" w:leader="dot" w:pos="8296"/>
        </w:tabs>
        <w:spacing w:after="93" w:afterLines="30"/>
        <w:rPr>
          <w:rStyle w:val="25"/>
          <w:rFonts w:cs="Times New Roman"/>
          <w:color w:val="auto"/>
          <w:u w:val="none"/>
        </w:rPr>
      </w:pPr>
      <w:r>
        <w:rPr>
          <w:rStyle w:val="25"/>
          <w:rFonts w:cs="Times New Roman"/>
          <w:color w:val="auto"/>
          <w:u w:val="none"/>
        </w:rPr>
        <w:t>分册二：</w:t>
      </w:r>
      <w:r>
        <w:rPr>
          <w:rStyle w:val="25"/>
          <w:rFonts w:hint="eastAsia" w:cs="Times New Roman"/>
          <w:color w:val="auto"/>
          <w:u w:val="none"/>
        </w:rPr>
        <w:t>吴川市“十四五”住房发展规划</w:t>
      </w:r>
      <w:r>
        <w:rPr>
          <w:rStyle w:val="25"/>
          <w:rFonts w:hint="eastAsia" w:cs="Times New Roman"/>
          <w:color w:val="auto"/>
          <w:u w:val="none"/>
        </w:rPr>
        <w:tab/>
      </w:r>
      <w:r>
        <w:rPr>
          <w:rStyle w:val="25"/>
          <w:rFonts w:hint="eastAsia" w:cs="Times New Roman"/>
          <w:color w:val="auto"/>
          <w:u w:val="none"/>
        </w:rPr>
        <w:t>55</w:t>
      </w:r>
    </w:p>
    <w:p>
      <w:pPr>
        <w:pStyle w:val="15"/>
        <w:tabs>
          <w:tab w:val="right" w:leader="dot" w:pos="8296"/>
        </w:tabs>
        <w:spacing w:after="93" w:afterLines="30"/>
        <w:rPr>
          <w:rStyle w:val="25"/>
          <w:rFonts w:cs="Times New Roman"/>
          <w:color w:val="auto"/>
          <w:u w:val="none"/>
        </w:rPr>
      </w:pPr>
      <w:r>
        <w:rPr>
          <w:rStyle w:val="25"/>
          <w:rFonts w:cs="Times New Roman"/>
          <w:color w:val="auto"/>
          <w:u w:val="none"/>
        </w:rPr>
        <w:t>分册</w:t>
      </w:r>
      <w:r>
        <w:rPr>
          <w:rStyle w:val="25"/>
          <w:rFonts w:hint="eastAsia" w:cs="Times New Roman"/>
          <w:color w:val="auto"/>
          <w:u w:val="none"/>
        </w:rPr>
        <w:t>三</w:t>
      </w:r>
      <w:r>
        <w:rPr>
          <w:rStyle w:val="25"/>
          <w:rFonts w:cs="Times New Roman"/>
          <w:color w:val="auto"/>
          <w:u w:val="none"/>
        </w:rPr>
        <w:t>：</w:t>
      </w:r>
      <w:r>
        <w:rPr>
          <w:rStyle w:val="25"/>
          <w:rFonts w:hint="eastAsia" w:cs="Times New Roman"/>
          <w:color w:val="auto"/>
          <w:u w:val="none"/>
        </w:rPr>
        <w:t>徐闻县“十四五”住房发展规划</w:t>
      </w:r>
      <w:r>
        <w:rPr>
          <w:rStyle w:val="25"/>
          <w:rFonts w:hint="eastAsia" w:cs="Times New Roman"/>
          <w:color w:val="auto"/>
          <w:u w:val="none"/>
        </w:rPr>
        <w:tab/>
      </w:r>
      <w:r>
        <w:rPr>
          <w:rStyle w:val="25"/>
          <w:rFonts w:cs="Times New Roman"/>
          <w:color w:val="auto"/>
          <w:u w:val="none"/>
        </w:rPr>
        <w:t>72</w:t>
      </w:r>
    </w:p>
    <w:p>
      <w:pPr>
        <w:pStyle w:val="15"/>
        <w:tabs>
          <w:tab w:val="right" w:leader="dot" w:pos="8296"/>
        </w:tabs>
        <w:spacing w:after="93" w:afterLines="30"/>
        <w:rPr>
          <w:rStyle w:val="25"/>
          <w:rFonts w:cs="Times New Roman"/>
          <w:color w:val="auto"/>
          <w:u w:val="none"/>
        </w:rPr>
      </w:pPr>
      <w:r>
        <w:rPr>
          <w:rStyle w:val="25"/>
          <w:rFonts w:cs="Times New Roman"/>
          <w:color w:val="auto"/>
          <w:u w:val="none"/>
        </w:rPr>
        <w:t>分册</w:t>
      </w:r>
      <w:r>
        <w:rPr>
          <w:rStyle w:val="25"/>
          <w:rFonts w:hint="eastAsia" w:cs="Times New Roman"/>
          <w:color w:val="auto"/>
          <w:u w:val="none"/>
        </w:rPr>
        <w:t>四</w:t>
      </w:r>
      <w:r>
        <w:rPr>
          <w:rStyle w:val="25"/>
          <w:rFonts w:cs="Times New Roman"/>
          <w:color w:val="auto"/>
          <w:u w:val="none"/>
        </w:rPr>
        <w:t>：</w:t>
      </w:r>
      <w:r>
        <w:rPr>
          <w:rStyle w:val="25"/>
          <w:rFonts w:hint="eastAsia" w:cs="Times New Roman"/>
          <w:color w:val="auto"/>
          <w:u w:val="none"/>
        </w:rPr>
        <w:t>雷州市“十四五”住房发展规划</w:t>
      </w:r>
      <w:r>
        <w:rPr>
          <w:rStyle w:val="25"/>
          <w:rFonts w:hint="eastAsia" w:cs="Times New Roman"/>
          <w:color w:val="auto"/>
          <w:u w:val="none"/>
        </w:rPr>
        <w:tab/>
      </w:r>
      <w:r>
        <w:rPr>
          <w:rStyle w:val="25"/>
          <w:rFonts w:cs="Times New Roman"/>
          <w:color w:val="auto"/>
          <w:u w:val="none"/>
        </w:rPr>
        <w:t>89</w:t>
      </w:r>
    </w:p>
    <w:p>
      <w:pPr>
        <w:pStyle w:val="15"/>
        <w:tabs>
          <w:tab w:val="right" w:leader="dot" w:pos="8296"/>
        </w:tabs>
        <w:spacing w:after="93" w:afterLines="30"/>
        <w:rPr>
          <w:rStyle w:val="25"/>
          <w:rFonts w:cs="Times New Roman"/>
          <w:color w:val="auto"/>
          <w:u w:val="none"/>
        </w:rPr>
      </w:pPr>
      <w:r>
        <w:rPr>
          <w:rStyle w:val="25"/>
          <w:rFonts w:cs="Times New Roman"/>
          <w:color w:val="auto"/>
          <w:u w:val="none"/>
        </w:rPr>
        <w:t>分册</w:t>
      </w:r>
      <w:r>
        <w:rPr>
          <w:rStyle w:val="25"/>
          <w:rFonts w:hint="eastAsia" w:cs="Times New Roman"/>
          <w:color w:val="auto"/>
          <w:u w:val="none"/>
        </w:rPr>
        <w:t>五</w:t>
      </w:r>
      <w:r>
        <w:rPr>
          <w:rStyle w:val="25"/>
          <w:rFonts w:cs="Times New Roman"/>
          <w:color w:val="auto"/>
          <w:u w:val="none"/>
        </w:rPr>
        <w:t>：</w:t>
      </w:r>
      <w:r>
        <w:rPr>
          <w:rStyle w:val="25"/>
          <w:rFonts w:hint="eastAsia" w:cs="Times New Roman"/>
          <w:color w:val="auto"/>
          <w:u w:val="none"/>
        </w:rPr>
        <w:t>遂溪县“十四五”住房发展规划</w:t>
      </w:r>
      <w:r>
        <w:rPr>
          <w:rStyle w:val="25"/>
          <w:rFonts w:hint="eastAsia" w:cs="Times New Roman"/>
          <w:color w:val="auto"/>
          <w:u w:val="none"/>
        </w:rPr>
        <w:tab/>
      </w:r>
      <w:r>
        <w:rPr>
          <w:rStyle w:val="25"/>
          <w:rFonts w:cs="Times New Roman"/>
          <w:color w:val="auto"/>
          <w:u w:val="none"/>
        </w:rPr>
        <w:t>106</w:t>
      </w:r>
    </w:p>
    <w:p>
      <w:pPr>
        <w:pStyle w:val="15"/>
        <w:tabs>
          <w:tab w:val="right" w:leader="dot" w:pos="8296"/>
        </w:tabs>
        <w:spacing w:after="93" w:afterLines="30"/>
        <w:rPr>
          <w:rStyle w:val="25"/>
          <w:rFonts w:cs="Times New Roman"/>
          <w:color w:val="auto"/>
          <w:u w:val="none"/>
        </w:rPr>
      </w:pPr>
      <w:r>
        <w:rPr>
          <w:rStyle w:val="25"/>
          <w:rFonts w:cs="Times New Roman"/>
          <w:color w:val="auto"/>
          <w:u w:val="none"/>
        </w:rPr>
        <w:t>分册</w:t>
      </w:r>
      <w:r>
        <w:rPr>
          <w:rStyle w:val="25"/>
          <w:rFonts w:hint="eastAsia" w:cs="Times New Roman"/>
          <w:color w:val="auto"/>
          <w:u w:val="none"/>
        </w:rPr>
        <w:t>六</w:t>
      </w:r>
      <w:r>
        <w:rPr>
          <w:rStyle w:val="25"/>
          <w:rFonts w:cs="Times New Roman"/>
          <w:color w:val="auto"/>
          <w:u w:val="none"/>
        </w:rPr>
        <w:t>：</w:t>
      </w:r>
      <w:r>
        <w:rPr>
          <w:rStyle w:val="25"/>
          <w:rFonts w:hint="eastAsia" w:cs="Times New Roman"/>
          <w:color w:val="auto"/>
          <w:u w:val="none"/>
        </w:rPr>
        <w:t>廉江市“十四五”住房发展规划</w:t>
      </w:r>
      <w:r>
        <w:rPr>
          <w:rStyle w:val="25"/>
          <w:rFonts w:hint="eastAsia" w:cs="Times New Roman"/>
          <w:color w:val="auto"/>
          <w:u w:val="none"/>
        </w:rPr>
        <w:tab/>
      </w:r>
      <w:r>
        <w:rPr>
          <w:rStyle w:val="25"/>
          <w:rFonts w:cs="Times New Roman"/>
          <w:color w:val="auto"/>
          <w:u w:val="none"/>
        </w:rPr>
        <w:t>123</w:t>
      </w:r>
    </w:p>
    <w:p>
      <w:pPr>
        <w:spacing w:line="360" w:lineRule="auto"/>
        <w:ind w:firstLine="560"/>
        <w:rPr>
          <w:rFonts w:eastAsia="黑体" w:cs="Times New Roman"/>
        </w:rPr>
      </w:pPr>
    </w:p>
    <w:p>
      <w:pPr>
        <w:spacing w:line="360" w:lineRule="auto"/>
        <w:ind w:firstLine="560"/>
        <w:rPr>
          <w:rFonts w:cs="Times New Roman"/>
        </w:rPr>
      </w:pPr>
    </w:p>
    <w:p>
      <w:pPr>
        <w:ind w:firstLine="560"/>
        <w:rPr>
          <w:rFonts w:cs="Times New Roman"/>
        </w:rPr>
        <w:sectPr>
          <w:headerReference r:id="rId11" w:type="default"/>
          <w:footerReference r:id="rId12" w:type="default"/>
          <w:pgSz w:w="11906" w:h="16838"/>
          <w:pgMar w:top="1440" w:right="1800" w:bottom="1440" w:left="1800" w:header="851" w:footer="992" w:gutter="0"/>
          <w:pgNumType w:fmt="upperRoman" w:start="1" w:chapStyle="1"/>
          <w:cols w:space="425" w:num="1"/>
          <w:docGrid w:type="lines" w:linePitch="312" w:charSpace="0"/>
        </w:sectPr>
      </w:pPr>
    </w:p>
    <w:p>
      <w:pPr>
        <w:ind w:firstLine="560"/>
        <w:rPr>
          <w:rFonts w:cs="Times New Roman"/>
        </w:rPr>
      </w:pPr>
      <w:bookmarkStart w:id="2" w:name="_Toc12561076"/>
      <w:bookmarkStart w:id="3" w:name="_Toc25008742"/>
    </w:p>
    <w:p>
      <w:pPr>
        <w:pStyle w:val="2"/>
        <w:spacing w:before="312" w:after="312"/>
        <w:ind w:firstLine="0" w:firstLineChars="0"/>
        <w:jc w:val="center"/>
        <w:rPr>
          <w:rFonts w:ascii="Times New Roman" w:hAnsi="Times New Roman" w:cs="Times New Roman"/>
        </w:rPr>
      </w:pPr>
      <w:bookmarkStart w:id="4" w:name="_Toc107777057"/>
      <w:r>
        <w:rPr>
          <w:rFonts w:ascii="Times New Roman" w:hAnsi="Times New Roman" w:cs="Times New Roman"/>
        </w:rPr>
        <w:t>前  言</w:t>
      </w:r>
      <w:bookmarkEnd w:id="2"/>
      <w:bookmarkEnd w:id="3"/>
      <w:bookmarkEnd w:id="4"/>
    </w:p>
    <w:p>
      <w:pPr>
        <w:ind w:firstLine="560"/>
        <w:rPr>
          <w:rFonts w:cs="Times New Roman"/>
        </w:rPr>
      </w:pPr>
      <w:r>
        <w:rPr>
          <w:rFonts w:cs="Times New Roman"/>
        </w:rPr>
        <w:t>“十四五”时期是我国开启全面建设社会主义现代化国家新征程的第一个五年，也是湛江市加快建设成为现代化沿海经济带重要发展极、广东省域副中心城市的关键时期。为贯彻落实国家、省和市的有关工作要求，以及各级国民经济和社会发展第十四个五年规划和2035年远景目标纲要等文件精神，更好地发挥住房对湛江市经济、社会发展的支持作用，制定《湛江市“十四五”住房发展规划》。本规划</w:t>
      </w:r>
      <w:bookmarkStart w:id="5" w:name="_Hlk83825579"/>
      <w:r>
        <w:rPr>
          <w:rFonts w:cs="Times New Roman"/>
        </w:rPr>
        <w:t>旨在</w:t>
      </w:r>
      <w:bookmarkStart w:id="6" w:name="_Hlk83827704"/>
      <w:r>
        <w:rPr>
          <w:rFonts w:cs="Times New Roman"/>
        </w:rPr>
        <w:t>阐明“十四五”期间，我市住房发展的总体思路、发展目标和主要任务</w:t>
      </w:r>
      <w:bookmarkEnd w:id="6"/>
      <w:r>
        <w:rPr>
          <w:rFonts w:cs="Times New Roman"/>
        </w:rPr>
        <w:t>，是指导全市</w:t>
      </w:r>
      <w:r>
        <w:rPr>
          <w:rFonts w:hint="eastAsia" w:cs="Times New Roman"/>
        </w:rPr>
        <w:t>2</w:t>
      </w:r>
      <w:r>
        <w:rPr>
          <w:rFonts w:cs="Times New Roman"/>
        </w:rPr>
        <w:t>021-2025</w:t>
      </w:r>
      <w:r>
        <w:rPr>
          <w:rFonts w:hint="eastAsia" w:cs="Times New Roman"/>
        </w:rPr>
        <w:t>年</w:t>
      </w:r>
      <w:r>
        <w:rPr>
          <w:rFonts w:cs="Times New Roman"/>
        </w:rPr>
        <w:t>推进湛江市房地产市场和住房保障发展的纲领性文件。</w:t>
      </w:r>
    </w:p>
    <w:bookmarkEnd w:id="5"/>
    <w:p>
      <w:pPr>
        <w:pStyle w:val="2"/>
        <w:pageBreakBefore/>
        <w:spacing w:before="312" w:after="312"/>
        <w:ind w:firstLine="640"/>
        <w:rPr>
          <w:rFonts w:ascii="Times New Roman" w:hAnsi="Times New Roman" w:cs="Times New Roman"/>
        </w:rPr>
      </w:pPr>
      <w:bookmarkStart w:id="7" w:name="_Toc107777058"/>
      <w:r>
        <w:rPr>
          <w:rFonts w:ascii="Times New Roman" w:hAnsi="Times New Roman" w:cs="Times New Roman"/>
        </w:rPr>
        <w:t>一、发展基础</w:t>
      </w:r>
      <w:bookmarkEnd w:id="7"/>
    </w:p>
    <w:p>
      <w:pPr>
        <w:pStyle w:val="3"/>
        <w:spacing w:before="312" w:after="312"/>
        <w:ind w:firstLine="602"/>
        <w:rPr>
          <w:rFonts w:ascii="Times New Roman" w:cs="Times New Roman"/>
        </w:rPr>
      </w:pPr>
      <w:bookmarkStart w:id="8" w:name="_Toc107777059"/>
      <w:r>
        <w:rPr>
          <w:rFonts w:ascii="Times New Roman" w:cs="Times New Roman"/>
        </w:rPr>
        <w:t>（一）发展成效</w:t>
      </w:r>
      <w:bookmarkEnd w:id="8"/>
    </w:p>
    <w:p>
      <w:pPr>
        <w:ind w:firstLine="560"/>
        <w:rPr>
          <w:rFonts w:cs="Times New Roman"/>
        </w:rPr>
      </w:pPr>
      <w:r>
        <w:rPr>
          <w:rFonts w:cs="Times New Roman"/>
        </w:rPr>
        <w:t>“十三五”时期，我市认真贯彻落实党中央、国务院和省委、省政府关于住房工作的决策部署，坚持房子是用来住的、不是用来炒的定位，不断完善住房市场体系和保障体系，加强房地产市场监督管理，稳步推进保障性安居工程，在推动经济产业、人口发展方面取得积极成效，全市住房发展呈现以下特点：</w:t>
      </w:r>
    </w:p>
    <w:p>
      <w:pPr>
        <w:ind w:firstLine="562"/>
        <w:rPr>
          <w:rFonts w:cs="Times New Roman"/>
        </w:rPr>
      </w:pPr>
      <w:r>
        <w:rPr>
          <w:rFonts w:cs="Times New Roman"/>
          <w:b/>
          <w:bCs/>
        </w:rPr>
        <w:t>1. 居住水平持续改善。</w:t>
      </w:r>
      <w:r>
        <w:rPr>
          <w:rFonts w:cs="Times New Roman"/>
        </w:rPr>
        <w:t>“十三五”时期，湛江市人均住房面积稳步提升，高品质住房供给持续增加，全市累计开工商品住房2734万平方米，同比“十二五”时期增长90%；累计开工棚户区改造安置房11255户，“三旧”改造和老旧小区改造等工作稳步推进，城镇住房结构和居住条件不断优化。</w:t>
      </w:r>
    </w:p>
    <w:p>
      <w:pPr>
        <w:ind w:firstLine="56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2．房地产业发展迅速。</w:t>
      </w:r>
      <w:r>
        <w:rPr>
          <w:rFonts w:cs="Times New Roman"/>
          <w:color w:val="000000" w:themeColor="text1"/>
          <w14:textFill>
            <w14:solidFill>
              <w14:schemeClr w14:val="tx1"/>
            </w14:solidFill>
          </w14:textFill>
        </w:rPr>
        <w:t>“十三五”时期，房地产业增加值从132.70亿元提升至265.59亿元，发挥了稳定经济增长的重要作用。2016-2020年，全市新建商品住房销售面积累计2520万平方米，年均销售504万平方米，较2011-2015年年均销售水平增长约107%，新建商品住房库存消化周期处于合理区间，基本实现供需平衡。</w:t>
      </w:r>
    </w:p>
    <w:p>
      <w:pPr>
        <w:ind w:firstLine="562"/>
        <w:rPr>
          <w:rFonts w:cs="Times New Roman"/>
        </w:rPr>
      </w:pPr>
      <w:r>
        <w:rPr>
          <w:rFonts w:cs="Times New Roman"/>
          <w:b/>
          <w:bCs/>
        </w:rPr>
        <w:t>3</w:t>
      </w:r>
      <w:r>
        <w:rPr>
          <w:rFonts w:cs="Times New Roman"/>
          <w:b/>
          <w:bCs/>
          <w:color w:val="000000" w:themeColor="text1"/>
          <w14:textFill>
            <w14:solidFill>
              <w14:schemeClr w14:val="tx1"/>
            </w14:solidFill>
          </w14:textFill>
        </w:rPr>
        <w:t>．</w:t>
      </w:r>
      <w:r>
        <w:rPr>
          <w:rFonts w:cs="Times New Roman"/>
          <w:b/>
          <w:bCs/>
        </w:rPr>
        <w:t>住房租赁市场不断规范。</w:t>
      </w:r>
      <w:r>
        <w:rPr>
          <w:rFonts w:cs="Times New Roman"/>
        </w:rPr>
        <w:t>有序开展房屋租赁市场管理工作，房屋登记备案率有所提升，登记备案服务流程不断优化，积极推进房屋租赁网签备案系统建立，2019年，出台《湛江市市区房屋租赁市场指导性租金》，促进住房租赁市场交易信息公开。</w:t>
      </w:r>
    </w:p>
    <w:p>
      <w:pPr>
        <w:ind w:firstLine="56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4．住房保障体系持续优化。</w:t>
      </w:r>
      <w:r>
        <w:rPr>
          <w:rFonts w:cs="Times New Roman"/>
          <w:color w:val="000000" w:themeColor="text1"/>
          <w14:textFill>
            <w14:solidFill>
              <w14:schemeClr w14:val="tx1"/>
            </w14:solidFill>
          </w14:textFill>
        </w:rPr>
        <w:t>“十三五”时期，住房保障覆盖面逐步扩大，住房保障条件不断放宽，保障性住房供给有效增加，已累计供应公共租赁住房2412套，发放租赁补贴2823户，基本实现低保、低收入家庭应保尽保，城镇中低收入家庭住房条件明显改善，新市民住房困难得到有效缓解。</w:t>
      </w:r>
    </w:p>
    <w:p>
      <w:pPr>
        <w:ind w:firstLine="56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5．人才安居稳步推进。</w:t>
      </w:r>
      <w:r>
        <w:rPr>
          <w:rFonts w:cs="Times New Roman"/>
          <w:color w:val="000000" w:themeColor="text1"/>
          <w14:textFill>
            <w14:solidFill>
              <w14:schemeClr w14:val="tx1"/>
            </w14:solidFill>
          </w14:textFill>
        </w:rPr>
        <w:t>“十三五”期间，人才</w:t>
      </w:r>
      <w:r>
        <w:rPr>
          <w:rFonts w:hint="eastAsia" w:cs="Times New Roman"/>
          <w:color w:val="000000" w:themeColor="text1"/>
          <w14:textFill>
            <w14:solidFill>
              <w14:schemeClr w14:val="tx1"/>
            </w14:solidFill>
          </w14:textFill>
        </w:rPr>
        <w:t>安居</w:t>
      </w:r>
      <w:r>
        <w:rPr>
          <w:rFonts w:cs="Times New Roman"/>
          <w:color w:val="000000" w:themeColor="text1"/>
          <w14:textFill>
            <w14:solidFill>
              <w14:schemeClr w14:val="tx1"/>
            </w14:solidFill>
          </w14:textFill>
        </w:rPr>
        <w:t>工作稳步推进，已筹集人才公寓1650套。人才安居体制机制不断健全，2020年出台《湛江市市区人才公寓管理办法》，人才公寓分配和管理机制不断规范。</w:t>
      </w:r>
    </w:p>
    <w:p>
      <w:pPr>
        <w:pStyle w:val="3"/>
        <w:spacing w:before="312" w:after="312"/>
        <w:ind w:firstLine="602"/>
        <w:rPr>
          <w:rFonts w:ascii="Times New Roman" w:cs="Times New Roman"/>
        </w:rPr>
      </w:pPr>
      <w:bookmarkStart w:id="9" w:name="_Toc107777060"/>
      <w:r>
        <w:rPr>
          <w:rFonts w:ascii="Times New Roman" w:cs="Times New Roman"/>
        </w:rPr>
        <w:t>（二）发展形势</w:t>
      </w:r>
      <w:bookmarkEnd w:id="9"/>
    </w:p>
    <w:p>
      <w:pPr>
        <w:ind w:firstLine="562"/>
        <w:outlineLvl w:val="2"/>
        <w:rPr>
          <w:rFonts w:cs="Times New Roman"/>
          <w:b/>
          <w:bCs/>
        </w:rPr>
      </w:pPr>
      <w:r>
        <w:rPr>
          <w:rFonts w:cs="Times New Roman"/>
          <w:b/>
          <w:bCs/>
        </w:rPr>
        <w:t>1</w:t>
      </w:r>
      <w:r>
        <w:rPr>
          <w:rFonts w:hint="eastAsia" w:cs="Times New Roman"/>
          <w:b/>
          <w:bCs/>
          <w:color w:val="000000" w:themeColor="text1"/>
          <w14:textFill>
            <w14:solidFill>
              <w14:schemeClr w14:val="tx1"/>
            </w14:solidFill>
          </w14:textFill>
        </w:rPr>
        <w:t>.</w:t>
      </w:r>
      <w:r>
        <w:rPr>
          <w:rFonts w:cs="Times New Roman"/>
          <w:b/>
          <w:bCs/>
        </w:rPr>
        <w:t>国家住房顶层制度设计日益完善，要求地方深化住房制度改革。</w:t>
      </w:r>
    </w:p>
    <w:p>
      <w:pPr>
        <w:ind w:firstLine="560"/>
        <w:rPr>
          <w:rFonts w:cs="Times New Roman"/>
        </w:rPr>
      </w:pPr>
      <w:r>
        <w:rPr>
          <w:rFonts w:cs="Times New Roman"/>
        </w:rPr>
        <w:t>国家反复强调坚持“房子是用来住的、不是用来炒的”定位，加快建立多主体供给、多渠道保障、租购并举的住房制度，在房地产市场方面，要求坚持不把房地产作为短期刺激经济的手段，全面落实稳地价、稳房价、稳预期的房地产长效机制；在住房保障方面，要求处理好基本保障和非基本保障的关系，稳步增加公租房保障、加快发展保障性租赁住房供给，因地制宜发展共有产权住房。“十四五”时期，湛江市住房发展应充分贯彻落实国家、省的有关要求，深化住房制度改革，不断完善住房市场和住房保障体系，促进住房高质量发展。</w:t>
      </w:r>
    </w:p>
    <w:p>
      <w:pPr>
        <w:ind w:firstLine="562"/>
        <w:outlineLvl w:val="2"/>
        <w:rPr>
          <w:rFonts w:cs="Times New Roman"/>
          <w:b/>
          <w:bCs/>
        </w:rPr>
      </w:pPr>
      <w:r>
        <w:rPr>
          <w:rFonts w:cs="Times New Roman"/>
          <w:b/>
          <w:bCs/>
        </w:rPr>
        <w:t>2</w:t>
      </w:r>
      <w:r>
        <w:rPr>
          <w:rFonts w:hint="eastAsia" w:cs="Times New Roman"/>
          <w:b/>
          <w:bCs/>
          <w:color w:val="000000" w:themeColor="text1"/>
          <w14:textFill>
            <w14:solidFill>
              <w14:schemeClr w14:val="tx1"/>
            </w14:solidFill>
          </w14:textFill>
        </w:rPr>
        <w:t>.</w:t>
      </w:r>
      <w:r>
        <w:rPr>
          <w:rFonts w:cs="Times New Roman"/>
          <w:b/>
          <w:bCs/>
        </w:rPr>
        <w:t>湛江市新发展格局加快构建，要求保持房地产业平稳健康发展。</w:t>
      </w:r>
    </w:p>
    <w:p>
      <w:pPr>
        <w:ind w:firstLine="560"/>
        <w:rPr>
          <w:rFonts w:cs="Times New Roman"/>
        </w:rPr>
      </w:pPr>
      <w:r>
        <w:rPr>
          <w:rFonts w:cs="Times New Roman"/>
        </w:rPr>
        <w:t>在粤港澳大湾区、海南自贸港、西部陆海新通道</w:t>
      </w:r>
      <w:r>
        <w:rPr>
          <w:rFonts w:hint="eastAsia" w:cs="Times New Roman"/>
        </w:rPr>
        <w:t>等</w:t>
      </w:r>
      <w:r>
        <w:rPr>
          <w:rFonts w:cs="Times New Roman"/>
        </w:rPr>
        <w:t>国家战略叠加下，湛江市的区域价值日益凸显。湛江市肩负着习近平总书记赋予湛江“打造现代化沿海经济带重要发展极”和“与海南相向而行”的时代使命，在省委、省政府明确支持湛江全力建设省域副中心城市的形势下，湛江市全面迈入新发展时期，交通格局持续改善，“五龙入湛”高铁新格局加快形成；现代产业体系发展提速，创新能力不断增强，</w:t>
      </w:r>
      <w:r>
        <w:rPr>
          <w:rFonts w:hint="eastAsia" w:cs="Times New Roman"/>
        </w:rPr>
        <w:t>湛江高新区升级为国家高新区、湛江湾实验室、海洋科技产业创新中心启动运营，国家级、省级、市级“专精特新”企业数量居粤西地区首位</w:t>
      </w:r>
      <w:r>
        <w:rPr>
          <w:rFonts w:cs="Times New Roman"/>
        </w:rPr>
        <w:t>。湛江市</w:t>
      </w:r>
      <w:r>
        <w:rPr>
          <w:rFonts w:hint="eastAsia" w:cs="Times New Roman"/>
        </w:rPr>
        <w:t>未来加快大园区建设、推进大文旅开发、深化大数据应用，</w:t>
      </w:r>
      <w:r>
        <w:rPr>
          <w:rFonts w:cs="Times New Roman"/>
        </w:rPr>
        <w:t>发展前景</w:t>
      </w:r>
      <w:r>
        <w:rPr>
          <w:rFonts w:hint="eastAsia" w:cs="Times New Roman"/>
        </w:rPr>
        <w:t>良好，</w:t>
      </w:r>
      <w:r>
        <w:rPr>
          <w:rFonts w:cs="Times New Roman"/>
        </w:rPr>
        <w:t>影响力</w:t>
      </w:r>
      <w:r>
        <w:rPr>
          <w:rFonts w:hint="eastAsia" w:cs="Times New Roman"/>
        </w:rPr>
        <w:t>不断增强。</w:t>
      </w:r>
      <w:r>
        <w:rPr>
          <w:rFonts w:cs="Times New Roman"/>
        </w:rPr>
        <w:t>相比周边城市，湛江市在吸引房地产业投资方面保持较大优势</w:t>
      </w:r>
      <w:r>
        <w:rPr>
          <w:rFonts w:hint="eastAsia" w:cs="Times New Roman"/>
        </w:rPr>
        <w:t>，</w:t>
      </w:r>
      <w:r>
        <w:rPr>
          <w:rFonts w:cs="Times New Roman"/>
        </w:rPr>
        <w:t>“十四五”期间应紧抓政策红利，加强市场引导和调控，在实现房价、地价基本稳定的前提下，发挥好房地产业对城市建设和实体经济发展的促进作用。</w:t>
      </w:r>
    </w:p>
    <w:p>
      <w:pPr>
        <w:ind w:firstLine="562"/>
        <w:outlineLvl w:val="2"/>
        <w:rPr>
          <w:rFonts w:cs="Times New Roman"/>
          <w:b/>
          <w:bCs/>
        </w:rPr>
      </w:pPr>
      <w:r>
        <w:rPr>
          <w:rFonts w:cs="Times New Roman"/>
          <w:b/>
          <w:bCs/>
        </w:rPr>
        <w:t>3</w:t>
      </w:r>
      <w:r>
        <w:rPr>
          <w:rFonts w:hint="eastAsia" w:cs="Times New Roman"/>
          <w:b/>
          <w:bCs/>
          <w:color w:val="000000" w:themeColor="text1"/>
          <w14:textFill>
            <w14:solidFill>
              <w14:schemeClr w14:val="tx1"/>
            </w14:solidFill>
          </w14:textFill>
        </w:rPr>
        <w:t>.</w:t>
      </w:r>
      <w:r>
        <w:rPr>
          <w:rFonts w:cs="Times New Roman"/>
          <w:b/>
          <w:bCs/>
        </w:rPr>
        <w:t>农业转移人口市民化潜力较大，要求积极满足农民进城居住发展需求。</w:t>
      </w:r>
    </w:p>
    <w:p>
      <w:pPr>
        <w:ind w:firstLine="560"/>
        <w:rPr>
          <w:rFonts w:cs="Times New Roman"/>
        </w:rPr>
      </w:pPr>
      <w:r>
        <w:rPr>
          <w:rFonts w:cs="Times New Roman"/>
        </w:rPr>
        <w:t>2020年湛江市常住人口698万人，城镇化率为45.46%，仍有大量农业人口未进入城镇；分区域看，</w:t>
      </w:r>
      <w:r>
        <w:rPr>
          <w:rFonts w:hint="eastAsia" w:cs="Times New Roman"/>
        </w:rPr>
        <w:t>中心城区常住</w:t>
      </w:r>
      <w:r>
        <w:rPr>
          <w:rFonts w:cs="Times New Roman"/>
        </w:rPr>
        <w:t>人口为193万人，占27.67%，</w:t>
      </w:r>
      <w:r>
        <w:rPr>
          <w:rFonts w:hint="eastAsia" w:cs="Times New Roman"/>
        </w:rPr>
        <w:t>雷州、</w:t>
      </w:r>
      <w:r>
        <w:rPr>
          <w:rFonts w:cs="Times New Roman"/>
        </w:rPr>
        <w:t>遂溪等五县（市）为505万人，占72.33%</w:t>
      </w:r>
      <w:r>
        <w:rPr>
          <w:rFonts w:hint="eastAsia" w:cs="Times New Roman"/>
        </w:rPr>
        <w:t>，</w:t>
      </w:r>
      <w:r>
        <w:rPr>
          <w:rFonts w:cs="Times New Roman"/>
        </w:rPr>
        <w:t>县域是湛江市农业转移人口市民化的重要载体。“十四五”时期，应贯彻国家有关要求，</w:t>
      </w:r>
      <w:r>
        <w:rPr>
          <w:rFonts w:hint="eastAsia" w:cs="Times New Roman"/>
        </w:rPr>
        <w:t>更好地满足</w:t>
      </w:r>
      <w:r>
        <w:rPr>
          <w:rFonts w:cs="Times New Roman"/>
        </w:rPr>
        <w:t>大量农民</w:t>
      </w:r>
      <w:r>
        <w:rPr>
          <w:rFonts w:hint="eastAsia" w:cs="Times New Roman"/>
        </w:rPr>
        <w:t>进城</w:t>
      </w:r>
      <w:r>
        <w:rPr>
          <w:rFonts w:cs="Times New Roman"/>
        </w:rPr>
        <w:t>居住发展的需求，加大以县城为载体的城镇化建设，</w:t>
      </w:r>
      <w:r>
        <w:rPr>
          <w:rFonts w:hint="eastAsia" w:cs="Times New Roman"/>
        </w:rPr>
        <w:t>将每个县城打造成为凝聚力、竞争力、辐射力强的卫星城，支持一批中心镇做强，</w:t>
      </w:r>
      <w:r>
        <w:rPr>
          <w:rFonts w:cs="Times New Roman"/>
        </w:rPr>
        <w:t>完善公共服务、交通、垃圾污水处理等配套设施，建设适应进城农民刚性</w:t>
      </w:r>
      <w:r>
        <w:rPr>
          <w:rFonts w:hint="eastAsia" w:cs="Times New Roman"/>
        </w:rPr>
        <w:t>居住</w:t>
      </w:r>
      <w:r>
        <w:rPr>
          <w:rFonts w:cs="Times New Roman"/>
        </w:rPr>
        <w:t>需求的住房。</w:t>
      </w:r>
    </w:p>
    <w:p>
      <w:pPr>
        <w:ind w:firstLine="562"/>
        <w:outlineLvl w:val="2"/>
        <w:rPr>
          <w:rFonts w:cs="Times New Roman"/>
          <w:b/>
          <w:bCs/>
        </w:rPr>
      </w:pPr>
      <w:r>
        <w:rPr>
          <w:rFonts w:cs="Times New Roman"/>
          <w:b/>
          <w:bCs/>
        </w:rPr>
        <w:t>4</w:t>
      </w:r>
      <w:r>
        <w:rPr>
          <w:rFonts w:hint="eastAsia" w:cs="Times New Roman"/>
          <w:b/>
          <w:bCs/>
          <w:color w:val="000000" w:themeColor="text1"/>
          <w14:textFill>
            <w14:solidFill>
              <w14:schemeClr w14:val="tx1"/>
            </w14:solidFill>
          </w14:textFill>
        </w:rPr>
        <w:t>.</w:t>
      </w:r>
      <w:r>
        <w:rPr>
          <w:rFonts w:cs="Times New Roman"/>
          <w:b/>
          <w:bCs/>
        </w:rPr>
        <w:t>现代化宜居海湾城市格局基本形成，要求住房建设促进城市功能提升。</w:t>
      </w:r>
    </w:p>
    <w:p>
      <w:pPr>
        <w:ind w:firstLine="560"/>
        <w:rPr>
          <w:rFonts w:cs="Times New Roman"/>
        </w:rPr>
      </w:pPr>
      <w:r>
        <w:rPr>
          <w:rFonts w:hint="eastAsia" w:cs="Times New Roman"/>
        </w:rPr>
        <w:t>对标一流省会与发达沿海城市，全面提升省域副中心城市承载力和服务辐射力。促进湛茂都市圈建设，带动现代化沿海经济带西翼高质量发展。强化中心城区核心作用，坚持新区开发与旧城更新并举，实施中心城区强芯提质，高水平建设海东新区、高铁新城、空港新城；实施城市更新行动，加快实施旧大天然片区、金沙湾、调顺岛、东堤等区域连片综合更新改造，打造高端服务城市功能区和城市地标群，</w:t>
      </w:r>
      <w:r>
        <w:rPr>
          <w:rFonts w:cs="Times New Roman"/>
        </w:rPr>
        <w:t>随着以开发商为主导的大型综合开发项目陆续落地，</w:t>
      </w:r>
      <w:r>
        <w:rPr>
          <w:rFonts w:hint="eastAsia" w:cs="Times New Roman"/>
        </w:rPr>
        <w:t>城市综合服务功能明显增强，城市建设充分体现现代化都市品味，</w:t>
      </w:r>
      <w:r>
        <w:rPr>
          <w:rFonts w:cs="Times New Roman"/>
        </w:rPr>
        <w:t>住房品质</w:t>
      </w:r>
      <w:r>
        <w:rPr>
          <w:rFonts w:hint="eastAsia" w:cs="Times New Roman"/>
        </w:rPr>
        <w:t>大幅改善。要求建立健全多层次的住房供给体系，</w:t>
      </w:r>
      <w:r>
        <w:rPr>
          <w:rFonts w:cs="Times New Roman"/>
        </w:rPr>
        <w:t>以</w:t>
      </w:r>
      <w:r>
        <w:rPr>
          <w:rFonts w:hint="eastAsia" w:cs="Times New Roman"/>
        </w:rPr>
        <w:t>促进</w:t>
      </w:r>
      <w:r>
        <w:rPr>
          <w:rFonts w:cs="Times New Roman"/>
        </w:rPr>
        <w:t>城市居民居住条件</w:t>
      </w:r>
      <w:r>
        <w:rPr>
          <w:rFonts w:hint="eastAsia" w:cs="Times New Roman"/>
        </w:rPr>
        <w:t>改善，满足多层次的居住</w:t>
      </w:r>
      <w:r>
        <w:rPr>
          <w:rFonts w:cs="Times New Roman"/>
        </w:rPr>
        <w:t>生活消费需求。</w:t>
      </w:r>
    </w:p>
    <w:p>
      <w:pPr>
        <w:ind w:firstLine="562"/>
        <w:outlineLvl w:val="2"/>
        <w:rPr>
          <w:rFonts w:cs="Times New Roman"/>
          <w:b/>
          <w:bCs/>
        </w:rPr>
      </w:pPr>
      <w:r>
        <w:rPr>
          <w:rFonts w:cs="Times New Roman"/>
          <w:b/>
          <w:bCs/>
        </w:rPr>
        <w:t>5</w:t>
      </w:r>
      <w:r>
        <w:rPr>
          <w:rFonts w:hint="eastAsia" w:cs="Times New Roman"/>
          <w:b/>
          <w:bCs/>
        </w:rPr>
        <w:t>.</w:t>
      </w:r>
      <w:r>
        <w:rPr>
          <w:rFonts w:cs="Times New Roman"/>
          <w:b/>
          <w:bCs/>
        </w:rPr>
        <w:t>优质热带滨海资源深度开发，要求配套更加多元化、特色化的居住空间。</w:t>
      </w:r>
    </w:p>
    <w:p>
      <w:pPr>
        <w:ind w:firstLine="560"/>
        <w:rPr>
          <w:rFonts w:cs="Times New Roman"/>
        </w:rPr>
      </w:pPr>
      <w:r>
        <w:rPr>
          <w:rFonts w:cs="Times New Roman"/>
        </w:rPr>
        <w:t>湛江市</w:t>
      </w:r>
      <w:r>
        <w:rPr>
          <w:rFonts w:hint="eastAsia" w:cs="Times New Roman"/>
        </w:rPr>
        <w:t>的</w:t>
      </w:r>
      <w:r>
        <w:rPr>
          <w:rFonts w:cs="Times New Roman"/>
        </w:rPr>
        <w:t>滨海生态资源禀赋优越，湛江旅游产业发展迎来重大机遇</w:t>
      </w:r>
      <w:r>
        <w:rPr>
          <w:rFonts w:hint="eastAsia" w:cs="Times New Roman"/>
        </w:rPr>
        <w:t>，</w:t>
      </w:r>
      <w:r>
        <w:rPr>
          <w:rFonts w:cs="Times New Roman"/>
        </w:rPr>
        <w:t>省层面明确支持湛江与海南在</w:t>
      </w:r>
      <w:r>
        <w:rPr>
          <w:rFonts w:hint="eastAsia" w:cs="Times New Roman"/>
        </w:rPr>
        <w:t>旅游、</w:t>
      </w:r>
      <w:r>
        <w:rPr>
          <w:rFonts w:cs="Times New Roman"/>
        </w:rPr>
        <w:t>健康</w:t>
      </w:r>
      <w:r>
        <w:rPr>
          <w:rFonts w:hint="eastAsia" w:cs="Times New Roman"/>
        </w:rPr>
        <w:t>、</w:t>
      </w:r>
      <w:r>
        <w:rPr>
          <w:rFonts w:cs="Times New Roman"/>
        </w:rPr>
        <w:t>医养等领域开展深度合作，携手共建一批世界级旅游景区</w:t>
      </w:r>
      <w:r>
        <w:rPr>
          <w:rFonts w:hint="eastAsia" w:cs="Times New Roman"/>
        </w:rPr>
        <w:t>，打造世界级滨海休闲旅游目的地</w:t>
      </w:r>
      <w:r>
        <w:rPr>
          <w:rFonts w:cs="Times New Roman"/>
        </w:rPr>
        <w:t>。近年来，房地产参与旅游、度假、养老产业发展程度不断加深，参与湛江市全域旅游开发，有效推动了城市旅游品牌建设和大型文化旅游设施建设，促进湛江市旅游品牌“走出去”，以旅游、度假、康复、养老为概念居住产品的市场反馈良好，客源辐射全国，“十四五”时期，滨海旅游资源持续开发，旅游地产发展前景良好。</w:t>
      </w:r>
      <w:r>
        <w:rPr>
          <w:rFonts w:cs="Times New Roman"/>
        </w:rPr>
        <w:br w:type="page"/>
      </w:r>
    </w:p>
    <w:p>
      <w:pPr>
        <w:pStyle w:val="3"/>
        <w:spacing w:before="312" w:after="312"/>
        <w:ind w:firstLine="602"/>
        <w:rPr>
          <w:rFonts w:ascii="Times New Roman" w:cs="Times New Roman"/>
        </w:rPr>
      </w:pPr>
      <w:bookmarkStart w:id="10" w:name="_Toc107777061"/>
      <w:r>
        <w:rPr>
          <w:rFonts w:ascii="Times New Roman" w:cs="Times New Roman"/>
        </w:rPr>
        <w:t>（三）存在问题</w:t>
      </w:r>
      <w:bookmarkEnd w:id="10"/>
    </w:p>
    <w:p>
      <w:pPr>
        <w:ind w:firstLine="560"/>
        <w:rPr>
          <w:rFonts w:cs="Times New Roman"/>
        </w:rPr>
      </w:pPr>
      <w:r>
        <w:rPr>
          <w:rFonts w:cs="Times New Roman"/>
        </w:rPr>
        <w:t>“十三五”时期，湛江市住房发展取得了长足进步，房地产市场监督管理和住房保障各项管理工作稳步推进</w:t>
      </w:r>
      <w:r>
        <w:rPr>
          <w:rFonts w:hint="eastAsia" w:cs="Times New Roman"/>
        </w:rPr>
        <w:t>，</w:t>
      </w:r>
      <w:r>
        <w:rPr>
          <w:rFonts w:cs="Times New Roman"/>
        </w:rPr>
        <w:t>但在湛江市城市发展的新形势新定位下，</w:t>
      </w:r>
      <w:r>
        <w:rPr>
          <w:rFonts w:hint="eastAsia" w:cs="Times New Roman"/>
        </w:rPr>
        <w:t>住房发展不是简单地增加住房供给，需要系统考虑一系列复杂</w:t>
      </w:r>
      <w:r>
        <w:rPr>
          <w:rFonts w:cs="Times New Roman"/>
        </w:rPr>
        <w:t>问题：</w:t>
      </w:r>
      <w:r>
        <w:rPr>
          <w:rFonts w:hint="eastAsia" w:cs="Times New Roman"/>
        </w:rPr>
        <w:t>一</w:t>
      </w:r>
      <w:r>
        <w:rPr>
          <w:rFonts w:cs="Times New Roman"/>
        </w:rPr>
        <w:t>是</w:t>
      </w:r>
      <w:r>
        <w:rPr>
          <w:rFonts w:hint="eastAsia" w:cs="Times New Roman"/>
        </w:rPr>
        <w:t>住房供应结构</w:t>
      </w:r>
      <w:r>
        <w:rPr>
          <w:rFonts w:cs="Times New Roman"/>
        </w:rPr>
        <w:t>相对单一，</w:t>
      </w:r>
      <w:r>
        <w:rPr>
          <w:rFonts w:hint="eastAsia" w:cs="Times New Roman"/>
        </w:rPr>
        <w:t>居民购房压力大，特别是</w:t>
      </w:r>
      <w:r>
        <w:rPr>
          <w:rFonts w:cs="Times New Roman"/>
        </w:rPr>
        <w:t>本地农民进城</w:t>
      </w:r>
      <w:r>
        <w:rPr>
          <w:rFonts w:hint="eastAsia" w:cs="Times New Roman"/>
        </w:rPr>
        <w:t>购房难</w:t>
      </w:r>
      <w:r>
        <w:rPr>
          <w:rFonts w:cs="Times New Roman"/>
        </w:rPr>
        <w:t>；</w:t>
      </w:r>
      <w:r>
        <w:rPr>
          <w:rFonts w:hint="eastAsia" w:cs="Times New Roman"/>
        </w:rPr>
        <w:t>二</w:t>
      </w:r>
      <w:r>
        <w:rPr>
          <w:rFonts w:cs="Times New Roman"/>
        </w:rPr>
        <w:t>是</w:t>
      </w:r>
      <w:r>
        <w:rPr>
          <w:rFonts w:hint="eastAsia" w:cs="Times New Roman"/>
        </w:rPr>
        <w:t>基础教育、医疗等生活配套设施覆盖居住用地比例低</w:t>
      </w:r>
      <w:r>
        <w:rPr>
          <w:rFonts w:cs="Times New Roman"/>
        </w:rPr>
        <w:t>，难以满足居民日益增长的美好生活需求</w:t>
      </w:r>
      <w:r>
        <w:rPr>
          <w:rFonts w:hint="eastAsia" w:cs="Times New Roman"/>
        </w:rPr>
        <w:t>；三是房地产市场营商环境有待提升，住房相关配套管理制度仍不健全，住宅用地出让质量不高、三旧改造手续流程繁琐、市政设施配套滞后等；四</w:t>
      </w:r>
      <w:r>
        <w:rPr>
          <w:rFonts w:cs="Times New Roman"/>
        </w:rPr>
        <w:t>是住房对产业发展和人才引进的支持力度</w:t>
      </w:r>
      <w:r>
        <w:rPr>
          <w:rFonts w:hint="eastAsia" w:cs="Times New Roman"/>
        </w:rPr>
        <w:t>不足，对新市民、青年人等的过渡性住房需求的保障力度</w:t>
      </w:r>
      <w:r>
        <w:rPr>
          <w:rFonts w:cs="Times New Roman"/>
        </w:rPr>
        <w:t>有待加强</w:t>
      </w:r>
      <w:r>
        <w:rPr>
          <w:rFonts w:hint="eastAsia" w:cs="Times New Roman"/>
        </w:rPr>
        <w:t>。</w:t>
      </w:r>
      <w:r>
        <w:rPr>
          <w:rFonts w:cs="Times New Roman"/>
        </w:rPr>
        <w:t xml:space="preserve"> </w:t>
      </w:r>
    </w:p>
    <w:p>
      <w:pPr>
        <w:pStyle w:val="2"/>
        <w:spacing w:before="312" w:after="312"/>
        <w:ind w:firstLine="640"/>
        <w:rPr>
          <w:rFonts w:ascii="Times New Roman" w:hAnsi="Times New Roman" w:cs="Times New Roman"/>
        </w:rPr>
      </w:pPr>
      <w:bookmarkStart w:id="11" w:name="_Toc107777062"/>
      <w:r>
        <w:rPr>
          <w:rFonts w:ascii="Times New Roman" w:hAnsi="Times New Roman" w:cs="Times New Roman"/>
        </w:rPr>
        <w:t>二、指导思想和发展目标</w:t>
      </w:r>
      <w:bookmarkEnd w:id="11"/>
    </w:p>
    <w:p>
      <w:pPr>
        <w:pStyle w:val="3"/>
        <w:spacing w:before="312" w:after="312"/>
        <w:ind w:firstLine="602"/>
        <w:rPr>
          <w:rFonts w:ascii="Times New Roman" w:cs="Times New Roman"/>
        </w:rPr>
      </w:pPr>
      <w:bookmarkStart w:id="12" w:name="_Toc107777063"/>
      <w:r>
        <w:rPr>
          <w:rFonts w:ascii="Times New Roman" w:cs="Times New Roman"/>
        </w:rPr>
        <w:t>（一）指导思想</w:t>
      </w:r>
      <w:bookmarkEnd w:id="12"/>
    </w:p>
    <w:p>
      <w:pPr>
        <w:ind w:firstLine="560"/>
        <w:rPr>
          <w:rFonts w:cs="Times New Roman"/>
        </w:rPr>
      </w:pPr>
      <w:bookmarkStart w:id="13" w:name="_Hlk83828318"/>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w:t>
      </w:r>
      <w:bookmarkStart w:id="14" w:name="_Hlk73366894"/>
      <w:r>
        <w:rPr>
          <w:rFonts w:hint="eastAsia" w:cs="Times New Roman"/>
        </w:rPr>
        <w:t>加强预期引导，探索新的发展模式，坚持租购并举，加快发展长租房市场，推进保障性住房建设，支持商品房市场更好地满足购房者的合理购房需求，因城施策促进房地产市场良性循环和健康发展，</w:t>
      </w:r>
      <w:bookmarkEnd w:id="14"/>
      <w:r>
        <w:rPr>
          <w:rFonts w:cs="Times New Roman"/>
        </w:rPr>
        <w:t>促进湛江市加快成为现代化沿海经济带重要发展极、广东省域副中心城市、北部湾城市群中心城市、“一带一路”海上合作支点城市、粤港澳大湾区和海南自贸港重要战略腹地和支撑区，促进湛茂一体化发展。</w:t>
      </w:r>
    </w:p>
    <w:bookmarkEnd w:id="13"/>
    <w:p>
      <w:pPr>
        <w:pStyle w:val="3"/>
        <w:spacing w:before="312" w:after="312"/>
        <w:ind w:firstLine="602"/>
        <w:rPr>
          <w:rFonts w:ascii="Times New Roman" w:cs="Times New Roman"/>
          <w:color w:val="FF0000"/>
        </w:rPr>
      </w:pPr>
      <w:bookmarkStart w:id="15" w:name="_Toc107777064"/>
      <w:r>
        <w:rPr>
          <w:rFonts w:ascii="Times New Roman" w:cs="Times New Roman"/>
        </w:rPr>
        <w:t>（二）基本原则</w:t>
      </w:r>
      <w:bookmarkEnd w:id="15"/>
    </w:p>
    <w:p>
      <w:pPr>
        <w:ind w:firstLine="562"/>
        <w:outlineLvl w:val="2"/>
        <w:rPr>
          <w:rFonts w:cs="Times New Roman"/>
          <w:b/>
          <w:bCs/>
        </w:rPr>
      </w:pPr>
      <w:bookmarkStart w:id="16" w:name="_Hlk83828373"/>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w:t>
      </w:r>
      <w:r>
        <w:rPr>
          <w:rFonts w:hint="eastAsia" w:cs="Times New Roman"/>
        </w:rPr>
        <w:t>支持商品房市场更好满足购房者的合理购房需求，</w:t>
      </w:r>
      <w:r>
        <w:rPr>
          <w:rFonts w:cs="Times New Roman"/>
        </w:rPr>
        <w:t>适应城镇居民多层次的住房消费需求，促进住房供给与需求相匹配，不断实现人民群众对美好生活的向往。</w:t>
      </w:r>
    </w:p>
    <w:p>
      <w:pPr>
        <w:ind w:firstLine="562"/>
        <w:outlineLvl w:val="2"/>
        <w:rPr>
          <w:rFonts w:cs="Times New Roman"/>
          <w:b/>
          <w:bCs/>
        </w:rPr>
      </w:pPr>
      <w:bookmarkStart w:id="17" w:name="_Toc6961"/>
      <w:bookmarkStart w:id="18" w:name="_Toc75183750"/>
      <w:bookmarkStart w:id="19" w:name="_Toc8053"/>
      <w:r>
        <w:rPr>
          <w:rFonts w:cs="Times New Roman"/>
          <w:b/>
          <w:bCs/>
        </w:rPr>
        <w:t>2.坚持系统观念、创新发展原则。</w:t>
      </w:r>
      <w:bookmarkEnd w:id="17"/>
      <w:bookmarkEnd w:id="18"/>
      <w:bookmarkEnd w:id="19"/>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outlineLvl w:val="2"/>
        <w:rPr>
          <w:rFonts w:cs="Times New Roman"/>
          <w:b/>
          <w:bCs/>
        </w:rPr>
      </w:pPr>
      <w:bookmarkStart w:id="20" w:name="_Toc73628748"/>
      <w:r>
        <w:rPr>
          <w:rFonts w:cs="Times New Roman"/>
          <w:b/>
          <w:bCs/>
        </w:rPr>
        <w:t>3.</w:t>
      </w:r>
      <w:bookmarkStart w:id="21" w:name="_Hlk79094259"/>
      <w:r>
        <w:rPr>
          <w:rFonts w:cs="Times New Roman"/>
          <w:b/>
          <w:bCs/>
        </w:rPr>
        <w:t>坚持政府引导，市场配置原则</w:t>
      </w:r>
      <w:bookmarkEnd w:id="21"/>
      <w:r>
        <w:rPr>
          <w:rFonts w:cs="Times New Roman"/>
          <w:b/>
          <w:bCs/>
        </w:rPr>
        <w:t>。</w:t>
      </w:r>
      <w:bookmarkEnd w:id="20"/>
    </w:p>
    <w:p>
      <w:pPr>
        <w:ind w:firstLine="560"/>
        <w:rPr>
          <w:rFonts w:cs="Times New Roman"/>
        </w:rPr>
      </w:pPr>
      <w:r>
        <w:rPr>
          <w:rFonts w:cs="Times New Roman"/>
        </w:rPr>
        <w:t>坚持市场在资源配置中</w:t>
      </w:r>
      <w:r>
        <w:rPr>
          <w:rFonts w:hint="eastAsia" w:cs="Times New Roman"/>
        </w:rPr>
        <w:t>发挥</w:t>
      </w:r>
      <w:r>
        <w:rPr>
          <w:rFonts w:cs="Times New Roman"/>
        </w:rPr>
        <w:t>决定性作用，</w:t>
      </w:r>
      <w:r>
        <w:rPr>
          <w:rFonts w:hint="eastAsia" w:cs="Times New Roman"/>
        </w:rPr>
        <w:t>履行</w:t>
      </w:r>
      <w:r>
        <w:rPr>
          <w:rFonts w:cs="Times New Roman"/>
        </w:rPr>
        <w:t>好政府在创造制度环境、编制住房发展规划</w:t>
      </w:r>
      <w:r>
        <w:rPr>
          <w:rFonts w:hint="eastAsia" w:cs="Times New Roman"/>
        </w:rPr>
        <w:t>和年度</w:t>
      </w:r>
      <w:r>
        <w:rPr>
          <w:rFonts w:cs="Times New Roman"/>
        </w:rPr>
        <w:t>计划、完善设施配套和公共服务、加强住房制度建设等方面的职能，推动市场和政府更好地结合</w:t>
      </w:r>
      <w:r>
        <w:rPr>
          <w:rFonts w:hint="eastAsia" w:cs="Times New Roman"/>
        </w:rPr>
        <w:t>，不断</w:t>
      </w:r>
      <w:r>
        <w:rPr>
          <w:rFonts w:cs="Times New Roman"/>
        </w:rPr>
        <w:t>完善住房市场和住房保障供给体系。</w:t>
      </w:r>
    </w:p>
    <w:p>
      <w:pPr>
        <w:ind w:firstLine="562"/>
        <w:outlineLvl w:val="2"/>
        <w:rPr>
          <w:rFonts w:cs="Times New Roman"/>
          <w:b/>
          <w:bCs/>
        </w:rPr>
      </w:pPr>
      <w:r>
        <w:rPr>
          <w:rFonts w:cs="Times New Roman"/>
          <w:b/>
          <w:bCs/>
        </w:rPr>
        <w:t>4.</w:t>
      </w:r>
      <w:bookmarkStart w:id="22" w:name="_Hlk79094270"/>
      <w:r>
        <w:rPr>
          <w:rFonts w:cs="Times New Roman"/>
          <w:b/>
          <w:bCs/>
        </w:rPr>
        <w:t>坚持因城施策、特色发展原则</w:t>
      </w:r>
      <w:bookmarkEnd w:id="22"/>
      <w:r>
        <w:rPr>
          <w:rFonts w:cs="Times New Roman"/>
          <w:b/>
          <w:bCs/>
        </w:rPr>
        <w:t>。</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w:t>
      </w:r>
      <w:r>
        <w:rPr>
          <w:rFonts w:hint="eastAsia" w:cs="Times New Roman"/>
        </w:rPr>
        <w:t>保护和有序利用</w:t>
      </w:r>
      <w:r>
        <w:rPr>
          <w:rFonts w:cs="Times New Roman"/>
        </w:rPr>
        <w:t>。</w:t>
      </w:r>
    </w:p>
    <w:bookmarkEnd w:id="16"/>
    <w:p>
      <w:pPr>
        <w:pStyle w:val="3"/>
        <w:spacing w:before="312" w:after="312"/>
        <w:ind w:firstLine="602"/>
        <w:rPr>
          <w:rFonts w:ascii="Times New Roman" w:cs="Times New Roman"/>
        </w:rPr>
      </w:pPr>
      <w:bookmarkStart w:id="23" w:name="_Toc107777065"/>
      <w:r>
        <w:rPr>
          <w:rFonts w:ascii="Times New Roman" w:cs="Times New Roman"/>
        </w:rPr>
        <w:t>（三）住房目标</w:t>
      </w:r>
      <w:bookmarkEnd w:id="23"/>
    </w:p>
    <w:p>
      <w:pPr>
        <w:ind w:firstLine="560"/>
        <w:rPr>
          <w:rFonts w:cs="Times New Roman"/>
        </w:rPr>
      </w:pPr>
      <w:bookmarkStart w:id="24" w:name="_Hlk79094341"/>
      <w:r>
        <w:rPr>
          <w:rFonts w:cs="Times New Roman"/>
        </w:rPr>
        <w:t>综合考虑湛江市“十四五”经济社会发展大局和住房发展情况，坚持目标导向和问题导向相结合，努力实现以下主要目标：</w:t>
      </w:r>
    </w:p>
    <w:p>
      <w:pPr>
        <w:ind w:firstLine="562"/>
        <w:outlineLvl w:val="2"/>
        <w:rPr>
          <w:rFonts w:cs="Times New Roman"/>
        </w:rPr>
      </w:pPr>
      <w:r>
        <w:rPr>
          <w:rFonts w:cs="Times New Roman"/>
          <w:b/>
          <w:bCs/>
        </w:rPr>
        <w:t>1.稳步增加各类住房供应。</w:t>
      </w:r>
      <w:bookmarkStart w:id="25" w:name="_Hlk87471821"/>
      <w:r>
        <w:rPr>
          <w:rFonts w:hint="eastAsia" w:cs="Times New Roman"/>
        </w:rPr>
        <w:t>“十四五”期间，</w:t>
      </w:r>
      <w:r>
        <w:rPr>
          <w:rFonts w:cs="Times New Roman"/>
        </w:rPr>
        <w:t>累计新增供应</w:t>
      </w:r>
      <w:bookmarkEnd w:id="24"/>
      <w:bookmarkStart w:id="26" w:name="_Hlk79097291"/>
      <w:r>
        <w:rPr>
          <w:rFonts w:cs="Times New Roman"/>
        </w:rPr>
        <w:t>新建商品住房33.6-45.3万套</w:t>
      </w:r>
      <w:bookmarkEnd w:id="26"/>
      <w:r>
        <w:rPr>
          <w:rFonts w:hint="eastAsia" w:cs="Times New Roman"/>
        </w:rPr>
        <w:t>、</w:t>
      </w:r>
      <w:r>
        <w:rPr>
          <w:rFonts w:cs="Times New Roman"/>
        </w:rPr>
        <w:t>保障性安居工程住房不低于1.25万套（户）</w:t>
      </w:r>
      <w:r>
        <w:rPr>
          <w:rFonts w:hint="eastAsia" w:cs="Times New Roman"/>
        </w:rPr>
        <w:t>，促进住房供需总体平衡</w:t>
      </w:r>
      <w:r>
        <w:rPr>
          <w:rFonts w:cs="Times New Roman"/>
        </w:rPr>
        <w:t>。</w:t>
      </w:r>
    </w:p>
    <w:bookmarkEnd w:id="25"/>
    <w:p>
      <w:pPr>
        <w:pStyle w:val="4"/>
        <w:rPr>
          <w:b w:val="0"/>
          <w:bCs w:val="0"/>
        </w:rPr>
      </w:pPr>
      <w:r>
        <w:t>2.</w:t>
      </w:r>
      <w:bookmarkStart w:id="27" w:name="_Hlk79094702"/>
      <w:r>
        <w:t>健全多层次、高品质的现代化住房供给体系。</w:t>
      </w:r>
      <w:bookmarkEnd w:id="27"/>
      <w:r>
        <w:rPr>
          <w:b w:val="0"/>
          <w:bCs w:val="0"/>
        </w:rPr>
        <w:t>实现住房供应结构更加优化，</w:t>
      </w:r>
      <w:r>
        <w:rPr>
          <w:rFonts w:hint="eastAsia"/>
          <w:b w:val="0"/>
          <w:bCs w:val="0"/>
        </w:rPr>
        <w:t>住房困难群众实现应保尽保，城镇中等偏下收入住房困难家庭在合理的轮候期内得到有效保障，新就业无房职工和在城镇稳定就业外来务工人员等新市民的住房困难问题得到明显改善，人才安居水平大幅提升。</w:t>
      </w:r>
      <w:r>
        <w:rPr>
          <w:b w:val="0"/>
          <w:bCs w:val="0"/>
        </w:rPr>
        <w:t>居民住房消费选择更加丰富，配套设施更加完善，促进全体人民“住有所居”、“住有宜居”。</w:t>
      </w:r>
    </w:p>
    <w:p>
      <w:pPr>
        <w:ind w:firstLine="562"/>
        <w:outlineLvl w:val="2"/>
        <w:rPr>
          <w:rFonts w:cs="Times New Roman"/>
        </w:rPr>
      </w:pPr>
      <w:r>
        <w:rPr>
          <w:rFonts w:cs="Times New Roman"/>
          <w:b/>
          <w:bCs/>
        </w:rPr>
        <w:t>3.</w:t>
      </w:r>
      <w:bookmarkStart w:id="28" w:name="_Hlk79094721"/>
      <w:r>
        <w:rPr>
          <w:rFonts w:hint="eastAsia" w:cs="Times New Roman"/>
          <w:b/>
          <w:bCs/>
        </w:rPr>
        <w:t>推进片区综合开发、</w:t>
      </w:r>
      <w:r>
        <w:rPr>
          <w:rFonts w:cs="Times New Roman"/>
          <w:b/>
          <w:bCs/>
        </w:rPr>
        <w:t>产城融合发展取得新突破。</w:t>
      </w:r>
      <w:bookmarkEnd w:id="28"/>
      <w:r>
        <w:rPr>
          <w:rFonts w:cs="Times New Roman"/>
        </w:rPr>
        <w:t>高起点规划、高标准建设，</w:t>
      </w:r>
      <w:r>
        <w:rPr>
          <w:rFonts w:hint="eastAsia" w:cs="Times New Roman"/>
        </w:rPr>
        <w:t>以海东新区、湛江北站枢纽、西城片区、空港经济区等重点片区综合开发为契机，加快形成科学高效的土地连片开发和供应新模式，着力塑造城市新增长极。</w:t>
      </w:r>
      <w:r>
        <w:rPr>
          <w:rFonts w:cs="Times New Roman"/>
        </w:rPr>
        <w:t>围绕</w:t>
      </w:r>
      <w:r>
        <w:rPr>
          <w:rFonts w:hint="eastAsia" w:cs="Times New Roman"/>
        </w:rPr>
        <w:t>临港大型产业集聚区、省级以上产业转移园、经开区、高新区等</w:t>
      </w:r>
      <w:r>
        <w:rPr>
          <w:rFonts w:cs="Times New Roman"/>
        </w:rPr>
        <w:t>重点产业平台</w:t>
      </w:r>
      <w:r>
        <w:rPr>
          <w:rFonts w:hint="eastAsia" w:cs="Times New Roman"/>
        </w:rPr>
        <w:t>，广东海洋大学、岭南师范学院等</w:t>
      </w:r>
      <w:r>
        <w:rPr>
          <w:rFonts w:cs="Times New Roman"/>
        </w:rPr>
        <w:t>高校</w:t>
      </w:r>
      <w:r>
        <w:rPr>
          <w:rFonts w:hint="eastAsia" w:cs="Times New Roman"/>
        </w:rPr>
        <w:t>，湛江湾实验室、</w:t>
      </w:r>
      <w:r>
        <w:rPr>
          <w:rFonts w:cs="Times New Roman"/>
        </w:rPr>
        <w:t>海洋科技产业创新</w:t>
      </w:r>
      <w:r>
        <w:rPr>
          <w:rFonts w:hint="eastAsia" w:cs="Times New Roman"/>
        </w:rPr>
        <w:t>中心</w:t>
      </w:r>
      <w:r>
        <w:rPr>
          <w:rFonts w:cs="Times New Roman"/>
        </w:rPr>
        <w:t>等</w:t>
      </w:r>
      <w:r>
        <w:rPr>
          <w:rFonts w:hint="eastAsia" w:cs="Times New Roman"/>
        </w:rPr>
        <w:t>重大创新平台</w:t>
      </w:r>
      <w:r>
        <w:rPr>
          <w:rFonts w:cs="Times New Roman"/>
        </w:rPr>
        <w:t>，用好用足国家</w:t>
      </w:r>
      <w:r>
        <w:rPr>
          <w:rFonts w:hint="eastAsia" w:cs="Times New Roman"/>
        </w:rPr>
        <w:t>发展保障性租赁住房</w:t>
      </w:r>
      <w:r>
        <w:rPr>
          <w:rFonts w:cs="Times New Roman"/>
        </w:rPr>
        <w:t>有关支持政策</w:t>
      </w:r>
      <w:r>
        <w:rPr>
          <w:rFonts w:hint="eastAsia" w:cs="Times New Roman"/>
        </w:rPr>
        <w:t>，做好居住配套，助力打造</w:t>
      </w:r>
      <w:r>
        <w:rPr>
          <w:rFonts w:cs="Times New Roman"/>
        </w:rPr>
        <w:t>产城融合高质量样板。</w:t>
      </w:r>
    </w:p>
    <w:p>
      <w:pPr>
        <w:ind w:firstLine="562"/>
        <w:outlineLvl w:val="2"/>
        <w:rPr>
          <w:rFonts w:cs="Times New Roman"/>
        </w:rPr>
      </w:pPr>
      <w:r>
        <w:rPr>
          <w:rFonts w:cs="Times New Roman"/>
          <w:b/>
          <w:bCs/>
        </w:rPr>
        <w:t>4.</w:t>
      </w:r>
      <w:bookmarkStart w:id="29" w:name="_Hlk79094733"/>
      <w:r>
        <w:rPr>
          <w:rFonts w:cs="Times New Roman"/>
          <w:b/>
          <w:bCs/>
        </w:rPr>
        <w:t>促进房地产与旅游产业深度融合。</w:t>
      </w:r>
      <w:bookmarkEnd w:id="29"/>
      <w:r>
        <w:rPr>
          <w:rFonts w:cs="Times New Roman"/>
        </w:rPr>
        <w:t>以房地产重点项目为引擎，培育一批房地产与湛江特色文化、滨海旅游、健康养老等深度融合的综合型高端度假区，</w:t>
      </w:r>
      <w:r>
        <w:rPr>
          <w:rFonts w:hint="eastAsia" w:cs="Times New Roman"/>
        </w:rPr>
        <w:t>有效带动</w:t>
      </w:r>
      <w:r>
        <w:rPr>
          <w:rFonts w:cs="Times New Roman"/>
        </w:rPr>
        <w:t>全域旅游配套设施布局和培育旅游服务产业，与海南相向而行，联动北部湾城市群，共创共建世界级滨海热带旅游度假高地。</w:t>
      </w:r>
    </w:p>
    <w:p>
      <w:pPr>
        <w:ind w:firstLine="562"/>
        <w:outlineLvl w:val="2"/>
        <w:rPr>
          <w:rFonts w:cs="Times New Roman"/>
        </w:rPr>
      </w:pPr>
      <w:r>
        <w:rPr>
          <w:rFonts w:hint="eastAsia" w:cs="Times New Roman"/>
          <w:b/>
          <w:bCs/>
        </w:rPr>
        <w:t>5.努力创造新时代住房治理现代化格局。</w:t>
      </w:r>
      <w:r>
        <w:rPr>
          <w:rFonts w:hint="eastAsia" w:cs="Times New Roman"/>
        </w:rPr>
        <w:t>对标粤港澳大湾区核心城市，加快完善住房管理制度，因城施策，健全房地产市场平稳健康发展长效机制，联动有关部门，共同营造一流的城市营商环境。</w:t>
      </w:r>
    </w:p>
    <w:p>
      <w:pPr>
        <w:pStyle w:val="2"/>
        <w:spacing w:before="312" w:after="312"/>
        <w:ind w:firstLine="640"/>
        <w:rPr>
          <w:rFonts w:ascii="Times New Roman" w:hAnsi="Times New Roman" w:cs="Times New Roman"/>
        </w:rPr>
      </w:pPr>
      <w:bookmarkStart w:id="30" w:name="_Toc107777066"/>
      <w:r>
        <w:rPr>
          <w:rFonts w:ascii="Times New Roman" w:hAnsi="Times New Roman" w:cs="Times New Roman"/>
        </w:rPr>
        <w:t>三、</w:t>
      </w:r>
      <w:bookmarkStart w:id="31" w:name="_Hlk79094865"/>
      <w:r>
        <w:rPr>
          <w:rFonts w:ascii="Times New Roman" w:hAnsi="Times New Roman" w:cs="Times New Roman"/>
        </w:rPr>
        <w:t>构建合理住房空间布局</w:t>
      </w:r>
      <w:bookmarkEnd w:id="30"/>
      <w:bookmarkEnd w:id="31"/>
    </w:p>
    <w:p>
      <w:pPr>
        <w:pStyle w:val="3"/>
        <w:spacing w:before="312" w:after="312"/>
        <w:ind w:firstLine="602"/>
        <w:rPr>
          <w:rFonts w:ascii="Times New Roman" w:cs="Times New Roman"/>
        </w:rPr>
      </w:pPr>
      <w:bookmarkStart w:id="32" w:name="_Toc107777067"/>
      <w:r>
        <w:rPr>
          <w:rFonts w:ascii="Times New Roman" w:cs="Times New Roman"/>
        </w:rPr>
        <w:t>（一）</w:t>
      </w:r>
      <w:r>
        <w:rPr>
          <w:rFonts w:hint="eastAsia" w:ascii="Times New Roman" w:cs="Times New Roman"/>
        </w:rPr>
        <w:t>住房空间布局总体策略</w:t>
      </w:r>
      <w:bookmarkEnd w:id="32"/>
    </w:p>
    <w:p>
      <w:pPr>
        <w:pStyle w:val="4"/>
      </w:pPr>
      <w:r>
        <w:t>1.推动中心城区强芯提质</w:t>
      </w:r>
    </w:p>
    <w:p>
      <w:pPr>
        <w:ind w:firstLine="562"/>
        <w:rPr>
          <w:rFonts w:cs="Times New Roman"/>
        </w:rPr>
      </w:pPr>
      <w:bookmarkStart w:id="33" w:name="_Hlk84881605"/>
      <w:r>
        <w:rPr>
          <w:rFonts w:cs="Times New Roman"/>
          <w:b/>
          <w:bCs/>
        </w:rPr>
        <w:t>打造城市高品质服务核。</w:t>
      </w:r>
      <w:r>
        <w:rPr>
          <w:rFonts w:cs="Times New Roman"/>
        </w:rPr>
        <w:t>以湛江湾为核心，形成“两区两核、一轴两带多组团”的市区空间结构。以打造区域性的高端服务城市功能区为建设目标，加强市区城市设计对住房发展的引导</w:t>
      </w:r>
      <w:r>
        <w:rPr>
          <w:rFonts w:hint="eastAsia" w:cs="Times New Roman"/>
        </w:rPr>
        <w:t>；加大城市更新力度，</w:t>
      </w:r>
      <w:r>
        <w:rPr>
          <w:rFonts w:cs="Times New Roman"/>
        </w:rPr>
        <w:t>稳步增加市区城镇住房供给，</w:t>
      </w:r>
      <w:r>
        <w:rPr>
          <w:rFonts w:hint="eastAsia" w:cs="Times New Roman"/>
        </w:rPr>
        <w:t>发展</w:t>
      </w:r>
      <w:r>
        <w:rPr>
          <w:rFonts w:cs="Times New Roman"/>
        </w:rPr>
        <w:t>多样化的商品住房和租赁住房，</w:t>
      </w:r>
      <w:r>
        <w:rPr>
          <w:rFonts w:hint="eastAsia" w:cs="Times New Roman"/>
        </w:rPr>
        <w:t>探索</w:t>
      </w:r>
      <w:r>
        <w:rPr>
          <w:rFonts w:cs="Times New Roman"/>
        </w:rPr>
        <w:t>在</w:t>
      </w:r>
      <w:r>
        <w:rPr>
          <w:rFonts w:hint="eastAsia" w:cs="Times New Roman"/>
        </w:rPr>
        <w:t>中心城区试点建设</w:t>
      </w:r>
      <w:r>
        <w:rPr>
          <w:rFonts w:cs="Times New Roman"/>
        </w:rPr>
        <w:t>国际人才社区，高标准引进优质的公共服务配套设施，打造海湾城市高品质居住样板，吸引国内外和本地的精英人才在湛江市定居。</w:t>
      </w:r>
    </w:p>
    <w:p>
      <w:pPr>
        <w:ind w:firstLine="562"/>
        <w:rPr>
          <w:rFonts w:cs="Times New Roman"/>
        </w:rPr>
      </w:pPr>
      <w:r>
        <w:rPr>
          <w:rFonts w:cs="Times New Roman"/>
          <w:b/>
          <w:bCs/>
        </w:rPr>
        <w:t>继续做大中心城区。</w:t>
      </w:r>
      <w:r>
        <w:rPr>
          <w:rFonts w:cs="Times New Roman"/>
        </w:rPr>
        <w:t>稳步增加赤坎、霞山、麻章、坡头和经开区的住房供给，加大住房保障力度，加快补齐公共服务配套设施短板，提高中心城区居住承载力和包容性；</w:t>
      </w:r>
      <w:r>
        <w:rPr>
          <w:rFonts w:hint="eastAsia" w:cs="Times New Roman"/>
        </w:rPr>
        <w:t>促进</w:t>
      </w:r>
      <w:r>
        <w:rPr>
          <w:rFonts w:cs="Times New Roman"/>
        </w:rPr>
        <w:t>湛遂同城发展，加强</w:t>
      </w:r>
      <w:r>
        <w:rPr>
          <w:rFonts w:hint="eastAsia" w:cs="Times New Roman"/>
        </w:rPr>
        <w:t>市区与雷州、吴川</w:t>
      </w:r>
      <w:r>
        <w:rPr>
          <w:rFonts w:cs="Times New Roman"/>
        </w:rPr>
        <w:t>联动发展，引导周边县（市）农村转移人口向中心城区集聚，推进中心城区新型城镇化高质量发展。</w:t>
      </w:r>
    </w:p>
    <w:p>
      <w:pPr>
        <w:ind w:firstLine="562"/>
        <w:rPr>
          <w:rFonts w:cs="Times New Roman"/>
        </w:rPr>
      </w:pPr>
      <w:r>
        <w:rPr>
          <w:rFonts w:cs="Times New Roman"/>
          <w:b/>
          <w:bCs/>
        </w:rPr>
        <w:t>促进高水平产城融合。</w:t>
      </w:r>
      <w:r>
        <w:rPr>
          <w:rFonts w:cs="Times New Roman"/>
        </w:rPr>
        <w:t>围绕广东临港大型工业园东海岛片区和雷州奋勇片区、湛江高新技术产业开发区、空港经济区等重点平台的产业发展，整体谋划生产功能区和生活配套区建设，结合产业人才需求，促进工业园区项目配套宿舍的集中、整体规划建设，以需定供，适当配置中小户型商品住房、</w:t>
      </w:r>
      <w:r>
        <w:rPr>
          <w:rFonts w:hint="eastAsia" w:cs="Times New Roman"/>
        </w:rPr>
        <w:t>保障性租赁住房</w:t>
      </w:r>
      <w:r>
        <w:rPr>
          <w:rFonts w:cs="Times New Roman"/>
        </w:rPr>
        <w:t>等，改善公共交通出行条件，完善公共服务配套设施，打造优质产业型居住社区。</w:t>
      </w:r>
    </w:p>
    <w:bookmarkEnd w:id="33"/>
    <w:p>
      <w:pPr>
        <w:pStyle w:val="4"/>
      </w:pPr>
      <w:r>
        <w:rPr>
          <w:rFonts w:hint="eastAsia"/>
        </w:rPr>
        <w:t>2</w:t>
      </w:r>
      <w:r>
        <w:t>.促进县域高质量发展</w:t>
      </w:r>
    </w:p>
    <w:p>
      <w:pPr>
        <w:ind w:firstLine="562"/>
        <w:rPr>
          <w:rFonts w:cs="Times New Roman"/>
        </w:rPr>
      </w:pPr>
      <w:r>
        <w:rPr>
          <w:rFonts w:cs="Times New Roman"/>
          <w:b/>
          <w:bCs/>
        </w:rPr>
        <w:t>深入推进各县（市、区）差异化发展。</w:t>
      </w:r>
      <w:r>
        <w:rPr>
          <w:rFonts w:cs="Times New Roman"/>
        </w:rPr>
        <w:t>围绕“一核一区、一带三轴”的城镇总体格局，沿城市主要发展轴带，重点增加吴川、廉江和遂溪的住房供给，稳步增加雷州、徐闻的住房供给；推进县（市、区）层面落实“一城一策”，健全多层次、差异化的住房供给体系，促进住房需求有序释放。</w:t>
      </w:r>
    </w:p>
    <w:p>
      <w:pPr>
        <w:ind w:firstLine="562"/>
        <w:rPr>
          <w:rFonts w:cs="Times New Roman"/>
        </w:rPr>
      </w:pPr>
      <w:r>
        <w:rPr>
          <w:rFonts w:cs="Times New Roman"/>
          <w:b/>
          <w:bCs/>
        </w:rPr>
        <w:t>全面提升县城综合服务能力。</w:t>
      </w:r>
      <w:r>
        <w:rPr>
          <w:rFonts w:cs="Times New Roman"/>
        </w:rPr>
        <w:t>重点完善县城对内对外道路交通系统，推进县城组团式综合开发；发挥好房地产开发对城镇建设的带动作用，加快推进县城、特大镇基础设施和公共服务设施补短板，全面提升城镇建设和社区服务水平，将县城打造成为服务县域农民的重要阵地和扩大内需的重要支撑点，促进农村转移人口有序向县城转移。</w:t>
      </w:r>
    </w:p>
    <w:p>
      <w:pPr>
        <w:ind w:firstLine="562"/>
        <w:rPr>
          <w:rFonts w:cs="Times New Roman"/>
        </w:rPr>
      </w:pPr>
      <w:r>
        <w:rPr>
          <w:rFonts w:cs="Times New Roman"/>
          <w:b/>
          <w:bCs/>
        </w:rPr>
        <w:t>促进县域重点平台产城融合发展。</w:t>
      </w:r>
      <w:r>
        <w:rPr>
          <w:rFonts w:cs="Times New Roman"/>
        </w:rPr>
        <w:t>加强廉江高新区、空港经济区、奋勇-沈塘产业园、粤海特别合作区等县域重点平台的居住生活配套，以需定供，</w:t>
      </w:r>
      <w:r>
        <w:rPr>
          <w:rFonts w:hint="eastAsia" w:cs="Times New Roman"/>
        </w:rPr>
        <w:t>合理配置</w:t>
      </w:r>
      <w:r>
        <w:rPr>
          <w:rFonts w:cs="Times New Roman"/>
        </w:rPr>
        <w:t>产业配套住房，促进产城融合发展；依托各县（市、区）优势资源，加大文旅、康养项目引进和投资力度，开发多样化的康养、休闲居住产品，加快完善旅游公路和文化、餐饮、体验等配套设施建设，“以点串线、以点带面”，共同打造中国南方冬休基地、国家全域旅游示范市和国内外知名的全域旅游目的地。</w:t>
      </w:r>
    </w:p>
    <w:p>
      <w:pPr>
        <w:pStyle w:val="4"/>
      </w:pPr>
      <w:r>
        <w:rPr>
          <w:rFonts w:hint="eastAsia"/>
        </w:rPr>
        <w:t>3</w:t>
      </w:r>
      <w:r>
        <w:t>.合理引导乡镇住房发展</w:t>
      </w:r>
    </w:p>
    <w:p>
      <w:pPr>
        <w:ind w:firstLine="562"/>
        <w:rPr>
          <w:rFonts w:cs="Times New Roman"/>
        </w:rPr>
      </w:pPr>
      <w:r>
        <w:rPr>
          <w:rFonts w:cs="Times New Roman"/>
          <w:b/>
          <w:bCs/>
        </w:rPr>
        <w:t>创新乡镇住房发展模式。</w:t>
      </w:r>
      <w:r>
        <w:rPr>
          <w:rFonts w:cs="Times New Roman"/>
        </w:rPr>
        <w:t>支持重点镇发展壮大镇域经济，以需定供，增加住房供给；</w:t>
      </w:r>
      <w:r>
        <w:rPr>
          <w:rFonts w:hint="eastAsia" w:cs="Times New Roman"/>
        </w:rPr>
        <w:t>适当控制一般乡镇和农村地区新增住房供给，避免特色小镇房地产化，重点培育以现代农业、观光旅游、电商等产业为基础的特色小镇，促进一二三产融合</w:t>
      </w:r>
      <w:r>
        <w:rPr>
          <w:rFonts w:cs="Times New Roman"/>
        </w:rPr>
        <w:t>。</w:t>
      </w:r>
    </w:p>
    <w:p>
      <w:pPr>
        <w:pStyle w:val="3"/>
        <w:spacing w:before="312" w:after="312"/>
        <w:ind w:firstLine="602"/>
        <w:rPr>
          <w:rFonts w:ascii="Times New Roman" w:cs="Times New Roman"/>
        </w:rPr>
      </w:pPr>
      <w:bookmarkStart w:id="34" w:name="_Toc107777068"/>
      <w:r>
        <w:rPr>
          <w:rFonts w:ascii="Times New Roman" w:cs="Times New Roman"/>
        </w:rPr>
        <w:t>（</w:t>
      </w:r>
      <w:r>
        <w:rPr>
          <w:rFonts w:hint="eastAsia" w:ascii="Times New Roman" w:cs="Times New Roman"/>
        </w:rPr>
        <w:t>二</w:t>
      </w:r>
      <w:r>
        <w:rPr>
          <w:rFonts w:ascii="Times New Roman" w:cs="Times New Roman"/>
        </w:rPr>
        <w:t>）</w:t>
      </w:r>
      <w:r>
        <w:rPr>
          <w:rFonts w:hint="eastAsia" w:ascii="Times New Roman" w:cs="Times New Roman"/>
        </w:rPr>
        <w:t>市区住房空间布局</w:t>
      </w:r>
      <w:bookmarkEnd w:id="34"/>
    </w:p>
    <w:p>
      <w:pPr>
        <w:ind w:firstLine="562"/>
        <w:rPr>
          <w:rFonts w:cs="Times New Roman"/>
          <w:bCs/>
        </w:rPr>
      </w:pPr>
      <w:r>
        <w:rPr>
          <w:rFonts w:hint="eastAsia" w:cs="Times New Roman"/>
          <w:b/>
        </w:rPr>
        <w:t>赤坎区</w:t>
      </w:r>
      <w:r>
        <w:rPr>
          <w:b/>
        </w:rPr>
        <w:t>住房空间布局</w:t>
      </w:r>
      <w:r>
        <w:rPr>
          <w:rFonts w:hint="eastAsia" w:cs="Times New Roman"/>
          <w:b/>
        </w:rPr>
        <w:t>。</w:t>
      </w:r>
      <w:r>
        <w:rPr>
          <w:rFonts w:cs="Times New Roman"/>
          <w:bCs/>
        </w:rPr>
        <w:t>以城市更新为统领，实施海田片区和调顺岛片区等更新改造，完善城市功能和品质，稳步增加优质住房，加大住房保障力度，</w:t>
      </w:r>
      <w:r>
        <w:rPr>
          <w:rFonts w:hint="eastAsia" w:cs="Times New Roman"/>
          <w:bCs/>
        </w:rPr>
        <w:t>丰富</w:t>
      </w:r>
      <w:r>
        <w:rPr>
          <w:rFonts w:cs="Times New Roman"/>
          <w:bCs/>
        </w:rPr>
        <w:t>赤坎区商业、办公以及公共文化等资源，打造新时代“湛江城市客厅”；加快推进赤坎老城特别是历史文化街区周边的居住环境综合整治，加快补齐基础设施和公共服务设施短板，促进老城区空置住房的盘活利用和历史文化、商业资源等的导入，促进赤坎区全面焕发新活力，提升赤坎片区人口承载力。</w:t>
      </w:r>
    </w:p>
    <w:p>
      <w:pPr>
        <w:ind w:firstLine="562"/>
      </w:pPr>
      <w:r>
        <w:rPr>
          <w:b/>
        </w:rPr>
        <w:t>霞山区住房空间布局</w:t>
      </w:r>
      <w:r>
        <w:rPr>
          <w:rFonts w:hint="eastAsia"/>
        </w:rPr>
        <w:t>。</w:t>
      </w:r>
      <w:r>
        <w:t>加大霞山区环境综合整治和城市更新改造力度，重点推进湛江机场搬迁，</w:t>
      </w:r>
      <w:bookmarkStart w:id="35" w:name="_Hlk93482280"/>
      <w:r>
        <w:rPr>
          <w:rFonts w:hint="eastAsia"/>
        </w:rPr>
        <w:t>高标准建设湛江北站枢纽地区，</w:t>
      </w:r>
      <w:bookmarkEnd w:id="35"/>
      <w:r>
        <w:t>引导房地产开发项目向西布局，促进霞山区扩容提质；支持霞山宝满港区、临港工业园升级改造和湛江综合保税区建设，做好居住和生活配套，结合产业人才需求，促进工业园区项目配套宿舍的集中、整体规划建设，以需定供，促进职住平衡；引导滨海大道沿线低效用地升级改造，加</w:t>
      </w:r>
      <w:r>
        <w:rPr>
          <w:rFonts w:hint="eastAsia"/>
        </w:rPr>
        <w:t>大</w:t>
      </w:r>
      <w:r>
        <w:t>滨海旅游产业和服务业项目引进力度，开发多样化旅游居住产品，与特呈岛旅游发展形成联动，提升旅游服务能力和影响力。</w:t>
      </w:r>
    </w:p>
    <w:p>
      <w:pPr>
        <w:ind w:firstLine="562"/>
        <w:rPr>
          <w:rFonts w:cs="Times New Roman"/>
          <w:b/>
        </w:rPr>
      </w:pPr>
      <w:r>
        <w:rPr>
          <w:b/>
          <w:bCs/>
        </w:rPr>
        <w:t>坡头区住房空间布局</w:t>
      </w:r>
      <w:r>
        <w:rPr>
          <w:rFonts w:hint="eastAsia"/>
        </w:rPr>
        <w:t>。</w:t>
      </w:r>
      <w:r>
        <w:rPr>
          <w:rFonts w:cs="Times New Roman"/>
          <w:bCs/>
        </w:rPr>
        <w:t>加快海东新区起步区建设，结合城市功能，</w:t>
      </w:r>
      <w:r>
        <w:rPr>
          <w:rFonts w:hint="eastAsia" w:cs="Times New Roman"/>
        </w:rPr>
        <w:t>发展</w:t>
      </w:r>
      <w:r>
        <w:rPr>
          <w:rFonts w:cs="Times New Roman"/>
        </w:rPr>
        <w:t>多样化的商品住房和租赁住房，</w:t>
      </w:r>
      <w:r>
        <w:rPr>
          <w:rFonts w:cs="Times New Roman"/>
          <w:bCs/>
        </w:rPr>
        <w:t>完善基础设施和公共服务设施配套，</w:t>
      </w:r>
      <w:r>
        <w:rPr>
          <w:rFonts w:hint="eastAsia" w:cs="Times New Roman"/>
          <w:bCs/>
        </w:rPr>
        <w:t>将海东新区</w:t>
      </w:r>
      <w:r>
        <w:rPr>
          <w:rFonts w:cs="Times New Roman"/>
        </w:rPr>
        <w:t>打造</w:t>
      </w:r>
      <w:r>
        <w:rPr>
          <w:rFonts w:hint="eastAsia" w:cs="Times New Roman"/>
        </w:rPr>
        <w:t>成为</w:t>
      </w:r>
      <w:r>
        <w:rPr>
          <w:rFonts w:cs="Times New Roman"/>
        </w:rPr>
        <w:t>高品质宜居示范新区；高起点、高标准建设海东高新园，为高新技术产业布局和人才引进创造良好条件。</w:t>
      </w:r>
    </w:p>
    <w:p>
      <w:pPr>
        <w:ind w:firstLine="562"/>
        <w:rPr>
          <w:rFonts w:cs="Times New Roman"/>
          <w:bCs/>
        </w:rPr>
      </w:pPr>
      <w:r>
        <w:rPr>
          <w:b/>
          <w:bCs/>
        </w:rPr>
        <w:t>麻章区住房空间布局</w:t>
      </w:r>
      <w:r>
        <w:rPr>
          <w:rFonts w:hint="eastAsia"/>
        </w:rPr>
        <w:t>。</w:t>
      </w:r>
      <w:r>
        <w:rPr>
          <w:rFonts w:cs="Times New Roman"/>
          <w:bCs/>
        </w:rPr>
        <w:t>加快城市更新和土地收储步伐，实施整体谋划、组团式开发，不断优化城市功能布局，完善交通布局，促进城市居住组团</w:t>
      </w:r>
      <w:r>
        <w:rPr>
          <w:rFonts w:cs="Times New Roman"/>
        </w:rPr>
        <w:t>湛江西站片区教育基地，以及森工产业园、太和工业园、三佰洋工业园</w:t>
      </w:r>
      <w:r>
        <w:rPr>
          <w:rFonts w:hint="eastAsia" w:cs="Times New Roman"/>
        </w:rPr>
        <w:t>等</w:t>
      </w:r>
      <w:r>
        <w:rPr>
          <w:rFonts w:cs="Times New Roman"/>
        </w:rPr>
        <w:t>产业集聚地联动发展，</w:t>
      </w:r>
      <w:r>
        <w:rPr>
          <w:rFonts w:cs="Times New Roman"/>
          <w:bCs/>
        </w:rPr>
        <w:t>稳步增加各类住房供给，促进</w:t>
      </w:r>
      <w:r>
        <w:rPr>
          <w:rFonts w:cs="Times New Roman"/>
        </w:rPr>
        <w:t>职住平衡；</w:t>
      </w:r>
      <w:r>
        <w:rPr>
          <w:rFonts w:cs="Times New Roman"/>
          <w:bCs/>
        </w:rPr>
        <w:t>稳步推进湖光岩片区休闲旅游发展。</w:t>
      </w:r>
    </w:p>
    <w:p>
      <w:pPr>
        <w:ind w:firstLine="562"/>
      </w:pPr>
      <w:r>
        <w:rPr>
          <w:b/>
        </w:rPr>
        <w:t>经开区住房空间布局</w:t>
      </w:r>
      <w:r>
        <w:rPr>
          <w:rFonts w:hint="eastAsia"/>
        </w:rPr>
        <w:t>。</w:t>
      </w:r>
      <w:r>
        <w:t>以经济建设和产业发展为核心，全面推进经开区提质扩容，把建成区打造成高品质的中央商务区和现代商贸中心；促进经开区打造成为产城融合样板城区，布局多样化住房产品，谋划国际人才社区建设项目，加快东海岛产业配套生活区规划建设，支持和吸引各类人才向经开区集聚。</w:t>
      </w:r>
    </w:p>
    <w:p>
      <w:pPr>
        <w:pStyle w:val="3"/>
        <w:spacing w:before="312" w:after="312"/>
        <w:ind w:firstLine="602"/>
      </w:pPr>
      <w:bookmarkStart w:id="36" w:name="_Toc107777069"/>
      <w:r>
        <w:rPr>
          <w:rFonts w:hint="eastAsia"/>
        </w:rPr>
        <w:t>（三）吴川市住房空间布局</w:t>
      </w:r>
      <w:bookmarkEnd w:id="36"/>
    </w:p>
    <w:p>
      <w:pPr>
        <w:ind w:firstLine="560"/>
        <w:rPr>
          <w:rFonts w:cs="Times New Roman"/>
        </w:rPr>
      </w:pPr>
      <w:r>
        <w:rPr>
          <w:rFonts w:cs="Times New Roman"/>
        </w:rPr>
        <w:t>加快推动滨海新区、城东新区、鉴江西岸、高铁站周边区域建设，加大“三旧”改造力度，推动旧城连片开发更新，有序推进城镇老旧小区改造，全面拓展城市发展空间，重点完善对内对外道路交通系统，推进组团式综合开发，发挥好房地产开发对城镇建设的带动作用，加快</w:t>
      </w:r>
      <w:r>
        <w:rPr>
          <w:rFonts w:hint="eastAsia" w:cs="Times New Roman"/>
        </w:rPr>
        <w:t>吴川中心城区</w:t>
      </w:r>
      <w:r>
        <w:rPr>
          <w:rFonts w:cs="Times New Roman"/>
        </w:rPr>
        <w:t>、特大镇公共设施补短板，全面提升城镇建设和社区服务水平，引导农村转移人口有序向</w:t>
      </w:r>
      <w:r>
        <w:rPr>
          <w:rFonts w:hint="eastAsia" w:cs="Times New Roman"/>
        </w:rPr>
        <w:t>县城集聚</w:t>
      </w:r>
      <w:r>
        <w:rPr>
          <w:rFonts w:cs="Times New Roman"/>
        </w:rPr>
        <w:t>。</w:t>
      </w:r>
    </w:p>
    <w:p>
      <w:pPr>
        <w:ind w:firstLine="560"/>
        <w:rPr>
          <w:rFonts w:cs="Times New Roman"/>
        </w:rPr>
      </w:pPr>
      <w:r>
        <w:rPr>
          <w:rFonts w:cs="Times New Roman"/>
        </w:rPr>
        <w:t>加强空港经济区的居住生活配套，以需定供，增加宿舍、人才住房等产业配套住房，促进产城融合发展。依托吴川市吉兆湾、鼎龙湾等优势滨海资源和旅游发展基础，加快推进滨海旅游集聚区建设，加大文旅、康养项目引进和投资力度，开发多样化的康养、休闲居住产品，完善旅游公路和文化、餐饮、体验等配套设施建设，推动全域旅游发展。</w:t>
      </w:r>
    </w:p>
    <w:p>
      <w:pPr>
        <w:ind w:firstLine="560"/>
        <w:rPr>
          <w:rFonts w:cs="Times New Roman"/>
        </w:rPr>
      </w:pPr>
      <w:bookmarkStart w:id="37" w:name="_Hlk84682118"/>
      <w:r>
        <w:rPr>
          <w:rFonts w:cs="Times New Roman"/>
        </w:rPr>
        <w:t>支持塘缀、吴阳、黄坡三大中心镇发展壮大镇域经济，以需定供，增加住房供给，打造成为县域发展的强力支撑</w:t>
      </w:r>
      <w:bookmarkEnd w:id="37"/>
      <w:r>
        <w:rPr>
          <w:rFonts w:hint="eastAsia" w:cs="Times New Roman"/>
        </w:rPr>
        <w:t>，适当</w:t>
      </w:r>
      <w:r>
        <w:rPr>
          <w:rFonts w:cs="Times New Roman"/>
        </w:rPr>
        <w:t>控制一般乡镇和农村地区新增住房供给。</w:t>
      </w:r>
    </w:p>
    <w:p>
      <w:pPr>
        <w:pStyle w:val="3"/>
        <w:spacing w:before="312" w:after="312"/>
        <w:ind w:firstLine="602"/>
      </w:pPr>
      <w:bookmarkStart w:id="38" w:name="_Toc107777070"/>
      <w:r>
        <w:rPr>
          <w:rFonts w:hint="eastAsia"/>
        </w:rPr>
        <w:t>（四）徐闻县</w:t>
      </w:r>
      <w:r>
        <w:t>住房空间布局</w:t>
      </w:r>
      <w:bookmarkEnd w:id="38"/>
    </w:p>
    <w:p>
      <w:pPr>
        <w:ind w:firstLine="560"/>
        <w:rPr>
          <w:rFonts w:cs="Times New Roman"/>
        </w:rPr>
      </w:pPr>
      <w:r>
        <w:rPr>
          <w:rFonts w:cs="Times New Roman"/>
        </w:rPr>
        <w:t>以做大做强“港-城-园”三位一体的徐闻中心城区为空间发展目标，加快老城区城市更新速度，促进城市空间提质升级和向南拓展，与海安镇发展形成联动，以需定供，</w:t>
      </w:r>
      <w:r>
        <w:rPr>
          <w:rFonts w:hint="eastAsia" w:cs="Times New Roman"/>
        </w:rPr>
        <w:t>合理控制房地产市场库存</w:t>
      </w:r>
      <w:r>
        <w:rPr>
          <w:rFonts w:cs="Times New Roman"/>
        </w:rPr>
        <w:t>，加快县城、特大镇公共设施补短板，全面提升城镇建设和社区服务水平，将县城打造成为服务县域农民的重要阵地和扩大内需的重要支撑点。</w:t>
      </w:r>
    </w:p>
    <w:p>
      <w:pPr>
        <w:ind w:firstLine="560"/>
        <w:rPr>
          <w:rFonts w:cs="Times New Roman"/>
        </w:rPr>
      </w:pPr>
      <w:r>
        <w:rPr>
          <w:rFonts w:cs="Times New Roman"/>
        </w:rPr>
        <w:t>完善粤海合作临港产业园、徐闻生态工业集聚区的居住生活配套，以需定供，增加宿舍、人才住房等产业配套住房，促进产城融合发展；依托滨海优质资源，重点发展海安滨海居住和休闲旅游组团、“三湾两角”南方冬休度假养生组团；以角尾乡南极村为重要支点，</w:t>
      </w:r>
      <w:bookmarkStart w:id="39" w:name="_Hlk84691052"/>
      <w:r>
        <w:rPr>
          <w:rFonts w:cs="Times New Roman"/>
        </w:rPr>
        <w:t>加大文旅、康养项目引进和投资力度，</w:t>
      </w:r>
      <w:bookmarkEnd w:id="39"/>
      <w:r>
        <w:rPr>
          <w:rFonts w:cs="Times New Roman"/>
        </w:rPr>
        <w:t xml:space="preserve">开发多样化的康养、休闲居住产品，完善旅游公路和餐饮、体验、服务等配套，打造国际级旅游度假胜地和市域文化旅游副中心。 </w:t>
      </w:r>
    </w:p>
    <w:p>
      <w:pPr>
        <w:ind w:firstLine="560"/>
        <w:rPr>
          <w:rFonts w:cs="Times New Roman"/>
        </w:rPr>
      </w:pPr>
      <w:r>
        <w:rPr>
          <w:rFonts w:cs="Times New Roman"/>
        </w:rPr>
        <w:t>支持下桥、曲界镇发展壮大镇域经济，</w:t>
      </w:r>
      <w:bookmarkStart w:id="40" w:name="_Hlk84878132"/>
      <w:r>
        <w:rPr>
          <w:rFonts w:cs="Times New Roman"/>
        </w:rPr>
        <w:t>以需定供，增加住房供给，</w:t>
      </w:r>
      <w:bookmarkEnd w:id="40"/>
      <w:r>
        <w:rPr>
          <w:rFonts w:cs="Times New Roman"/>
        </w:rPr>
        <w:t>打造成为县域发展的重要支撑和城乡融合示范区</w:t>
      </w:r>
      <w:r>
        <w:rPr>
          <w:rFonts w:hint="eastAsia" w:cs="Times New Roman"/>
        </w:rPr>
        <w:t>，适当</w:t>
      </w:r>
      <w:r>
        <w:rPr>
          <w:rFonts w:cs="Times New Roman"/>
        </w:rPr>
        <w:t>控制一般乡镇和农村地区新增住房供给。</w:t>
      </w:r>
    </w:p>
    <w:p>
      <w:pPr>
        <w:pStyle w:val="3"/>
        <w:spacing w:before="312" w:after="312"/>
        <w:ind w:firstLine="602"/>
      </w:pPr>
      <w:bookmarkStart w:id="41" w:name="_Toc107777071"/>
      <w:r>
        <w:rPr>
          <w:rFonts w:hint="eastAsia"/>
        </w:rPr>
        <w:t>（五）雷州市</w:t>
      </w:r>
      <w:r>
        <w:t>住房空间布局</w:t>
      </w:r>
      <w:bookmarkEnd w:id="41"/>
    </w:p>
    <w:p>
      <w:pPr>
        <w:ind w:firstLine="560"/>
        <w:rPr>
          <w:rFonts w:cs="Times New Roman"/>
        </w:rPr>
      </w:pPr>
      <w:r>
        <w:rPr>
          <w:rFonts w:hint="eastAsia" w:cs="Times New Roman"/>
        </w:rPr>
        <w:t>按照</w:t>
      </w:r>
      <w:r>
        <w:rPr>
          <w:rFonts w:cs="Times New Roman"/>
        </w:rPr>
        <w:t>“两心两轴多组团”的</w:t>
      </w:r>
      <w:r>
        <w:rPr>
          <w:rFonts w:hint="eastAsia" w:cs="Times New Roman"/>
        </w:rPr>
        <w:t>城市发展</w:t>
      </w:r>
      <w:r>
        <w:rPr>
          <w:rFonts w:cs="Times New Roman"/>
        </w:rPr>
        <w:t>空间结构，以古城组团为核心，推进老城区扩容提质，以西湖组团为核心拓展城市发展空间，以新城建设促进老城功能</w:t>
      </w:r>
      <w:r>
        <w:rPr>
          <w:rFonts w:hint="eastAsia" w:cs="Times New Roman"/>
        </w:rPr>
        <w:t>完善和</w:t>
      </w:r>
      <w:r>
        <w:rPr>
          <w:rFonts w:cs="Times New Roman"/>
        </w:rPr>
        <w:t>人口疏解，</w:t>
      </w:r>
      <w:r>
        <w:rPr>
          <w:rFonts w:hint="eastAsia" w:cs="Times New Roman"/>
        </w:rPr>
        <w:t>加快</w:t>
      </w:r>
      <w:r>
        <w:rPr>
          <w:rFonts w:cs="Times New Roman"/>
        </w:rPr>
        <w:t>推进高铁新区、雷阳湖片区、西湖水库片区等城市建设步伐，稳步增加住房供给，发挥好房地产开发对城镇建设的带动作用，加快</w:t>
      </w:r>
      <w:r>
        <w:rPr>
          <w:rFonts w:hint="eastAsia" w:cs="Times New Roman"/>
        </w:rPr>
        <w:t>中心城区</w:t>
      </w:r>
      <w:r>
        <w:rPr>
          <w:rFonts w:cs="Times New Roman"/>
        </w:rPr>
        <w:t>、特大镇公共设施补短板，全面提升城镇建设和社区服务水平，引导农村转移人口有序向</w:t>
      </w:r>
      <w:r>
        <w:rPr>
          <w:rFonts w:hint="eastAsia" w:cs="Times New Roman"/>
        </w:rPr>
        <w:t>县城</w:t>
      </w:r>
      <w:r>
        <w:rPr>
          <w:rFonts w:cs="Times New Roman"/>
        </w:rPr>
        <w:t>集聚。</w:t>
      </w:r>
    </w:p>
    <w:p>
      <w:pPr>
        <w:ind w:firstLine="560"/>
        <w:rPr>
          <w:rFonts w:cs="Times New Roman"/>
        </w:rPr>
      </w:pPr>
      <w:r>
        <w:rPr>
          <w:rFonts w:cs="Times New Roman"/>
        </w:rPr>
        <w:t>加快推进雷州经济开发区“一区三园”建设，完善园区的居住生活配套，以需定供，增加宿舍、人才住房等产业配套住房，促进产城融合发展；依托滨海和历史文化优质资源，重点推进雷州历史文化名城保护和有序利用，开发多样化的康养、休闲居住产品，</w:t>
      </w:r>
      <w:bookmarkStart w:id="42" w:name="_Hlk84689180"/>
      <w:r>
        <w:rPr>
          <w:rFonts w:cs="Times New Roman"/>
        </w:rPr>
        <w:t>完善旅游公路和餐饮、体验、服务等配套，</w:t>
      </w:r>
      <w:bookmarkEnd w:id="42"/>
      <w:r>
        <w:rPr>
          <w:rFonts w:cs="Times New Roman"/>
        </w:rPr>
        <w:t>加快推进雷州市全域旅游发展，打造</w:t>
      </w:r>
      <w:bookmarkStart w:id="43" w:name="_Hlk84689231"/>
      <w:r>
        <w:rPr>
          <w:rFonts w:cs="Times New Roman"/>
        </w:rPr>
        <w:t>市域文化旅游副中心</w:t>
      </w:r>
      <w:bookmarkEnd w:id="43"/>
      <w:r>
        <w:rPr>
          <w:rFonts w:cs="Times New Roman"/>
        </w:rPr>
        <w:t xml:space="preserve">。 </w:t>
      </w:r>
    </w:p>
    <w:p>
      <w:pPr>
        <w:ind w:firstLine="560"/>
        <w:rPr>
          <w:rFonts w:cs="Times New Roman"/>
        </w:rPr>
      </w:pPr>
      <w:r>
        <w:rPr>
          <w:rFonts w:cs="Times New Roman"/>
        </w:rPr>
        <w:t>支持</w:t>
      </w:r>
      <w:bookmarkStart w:id="44" w:name="_Hlk84684902"/>
      <w:r>
        <w:rPr>
          <w:rFonts w:cs="Times New Roman"/>
        </w:rPr>
        <w:t>白沙、龙门镇</w:t>
      </w:r>
      <w:bookmarkEnd w:id="44"/>
      <w:r>
        <w:rPr>
          <w:rFonts w:cs="Times New Roman"/>
        </w:rPr>
        <w:t>发展壮大镇域经济，以需定供增加住房供给，打造成为县域发展的重要支撑和城乡融合示范区</w:t>
      </w:r>
      <w:r>
        <w:rPr>
          <w:rFonts w:hint="eastAsia" w:cs="Times New Roman"/>
        </w:rPr>
        <w:t>，适当</w:t>
      </w:r>
      <w:r>
        <w:rPr>
          <w:rFonts w:cs="Times New Roman"/>
        </w:rPr>
        <w:t>控制一般乡镇和农村地区新增住房供给。</w:t>
      </w:r>
    </w:p>
    <w:p>
      <w:pPr>
        <w:pStyle w:val="3"/>
        <w:spacing w:before="312" w:after="312"/>
        <w:ind w:firstLine="602"/>
      </w:pPr>
      <w:bookmarkStart w:id="45" w:name="_Toc107777072"/>
      <w:r>
        <w:rPr>
          <w:rFonts w:hint="eastAsia"/>
        </w:rPr>
        <w:t>（六）遂溪县</w:t>
      </w:r>
      <w:r>
        <w:t>住房空间布局</w:t>
      </w:r>
      <w:bookmarkEnd w:id="45"/>
    </w:p>
    <w:p>
      <w:pPr>
        <w:ind w:firstLine="560"/>
        <w:rPr>
          <w:rFonts w:cs="Times New Roman"/>
        </w:rPr>
      </w:pPr>
      <w:r>
        <w:rPr>
          <w:rFonts w:cs="Times New Roman"/>
        </w:rPr>
        <w:t>县城形成“一心、一轴、一带、多片区”的空间结构，沿西溪河中心湖北岸打造城市综合服务中心，深入推进老城扩容提质，完善新区功能布局，促进县城向南拓展，实现与湛江同城化发展；稳步增加住房供给，发挥好房地产开发对城镇建设的带动作用，加快县城、特大镇基础设施和公共服务设施补短板，</w:t>
      </w:r>
      <w:r>
        <w:rPr>
          <w:rFonts w:hint="eastAsia" w:cs="Times New Roman"/>
        </w:rPr>
        <w:t>对标湛江市区，</w:t>
      </w:r>
      <w:r>
        <w:rPr>
          <w:rFonts w:cs="Times New Roman"/>
        </w:rPr>
        <w:t>全面提升城镇建设和社区服务水平，引导农村转移人口有序向县城集聚。</w:t>
      </w:r>
    </w:p>
    <w:p>
      <w:pPr>
        <w:ind w:firstLine="560"/>
        <w:rPr>
          <w:rFonts w:cs="Times New Roman"/>
        </w:rPr>
      </w:pPr>
      <w:r>
        <w:rPr>
          <w:rFonts w:cs="Times New Roman"/>
        </w:rPr>
        <w:t>完善岭北、白坭坡、洋青园区和黄略建材产业园的居住生活配套，以需定供，增加宿舍、人才住房等产业配套住房，促进产城融合发展；加快推进孔子文化城创建国家4A级旅游景区、“螺岗小镇”建设，加大文旅、康养项目引进和投资力度，开发多样化的康养、休闲居住产品，完善旅游公路和餐饮、体验、服务等配套，促进</w:t>
      </w:r>
      <w:r>
        <w:rPr>
          <w:rFonts w:hint="eastAsia" w:cs="Times New Roman"/>
        </w:rPr>
        <w:t>遂溪</w:t>
      </w:r>
      <w:r>
        <w:rPr>
          <w:rFonts w:cs="Times New Roman"/>
        </w:rPr>
        <w:t>县全域旅游发展。</w:t>
      </w:r>
    </w:p>
    <w:p>
      <w:pPr>
        <w:ind w:firstLine="560"/>
        <w:rPr>
          <w:rFonts w:cs="Times New Roman"/>
        </w:rPr>
      </w:pPr>
      <w:r>
        <w:rPr>
          <w:rFonts w:cs="Times New Roman"/>
        </w:rPr>
        <w:t>支持城月、黄略镇发展壮大镇域经济，以需定供，增加住房供给，打造成为县域发展的重要支撑和城乡融合示范区</w:t>
      </w:r>
      <w:r>
        <w:rPr>
          <w:rFonts w:hint="eastAsia" w:cs="Times New Roman"/>
        </w:rPr>
        <w:t>，适当</w:t>
      </w:r>
      <w:r>
        <w:rPr>
          <w:rFonts w:cs="Times New Roman"/>
        </w:rPr>
        <w:t>控制一般乡镇和农村地区新增住房供给</w:t>
      </w:r>
      <w:r>
        <w:rPr>
          <w:rFonts w:hint="eastAsia" w:cs="Times New Roman"/>
        </w:rPr>
        <w:t>。</w:t>
      </w:r>
    </w:p>
    <w:p>
      <w:pPr>
        <w:pStyle w:val="3"/>
        <w:spacing w:before="312" w:after="312"/>
        <w:ind w:firstLine="602"/>
      </w:pPr>
      <w:bookmarkStart w:id="46" w:name="_Toc107777073"/>
      <w:r>
        <w:rPr>
          <w:rFonts w:hint="eastAsia"/>
        </w:rPr>
        <w:t>（七）廉江市</w:t>
      </w:r>
      <w:r>
        <w:t>住房空间布局</w:t>
      </w:r>
      <w:bookmarkEnd w:id="46"/>
    </w:p>
    <w:p>
      <w:pPr>
        <w:ind w:firstLine="560"/>
        <w:rPr>
          <w:rFonts w:cs="Times New Roman"/>
        </w:rPr>
      </w:pPr>
      <w:r>
        <w:rPr>
          <w:rFonts w:cs="Times New Roman"/>
        </w:rPr>
        <w:t>县城形成“两核心、两轴带、四片区”的城市空间格局，深入推进老城扩容提质，不断拓展城市框架，完善城东、城南、城西新区的功能布局，促进高新区产业转型升级和城市综合开发；稳步增加住房供给，发挥好房地产开发对城镇建设的带动作用，加快县城、特大镇公共设施补短板，全面提升城镇建设和社区服务水平，将县城打造成为服务县域农民的重要阵地和扩大内需的重要支撑点，引导农村转移人口有序向县城集聚。</w:t>
      </w:r>
    </w:p>
    <w:p>
      <w:pPr>
        <w:ind w:firstLine="560"/>
        <w:rPr>
          <w:rFonts w:cs="Times New Roman"/>
        </w:rPr>
      </w:pPr>
      <w:r>
        <w:rPr>
          <w:rFonts w:cs="Times New Roman"/>
        </w:rPr>
        <w:t>完善高新区、良垌和龙头沙临港产业集聚区的居住生活配套，以需定供，增加宿舍、人才住房等产业配套住房，促进产城融合发展；加大文旅、康养项目引进和投资力度，用好滨江、滨海资源，完善旅游公路和餐饮、体验、服务等配套，促进旅游产业发展。</w:t>
      </w:r>
    </w:p>
    <w:p>
      <w:pPr>
        <w:ind w:firstLine="560"/>
      </w:pPr>
      <w:r>
        <w:rPr>
          <w:rFonts w:cs="Times New Roman"/>
        </w:rPr>
        <w:t>支持横山-安铺、石岭镇发展壮大镇域经济，以需定供增加住房供给，打造成为县域发展的重要支撑</w:t>
      </w:r>
      <w:r>
        <w:rPr>
          <w:rFonts w:hint="eastAsia" w:cs="Times New Roman"/>
        </w:rPr>
        <w:t>，适当</w:t>
      </w:r>
      <w:r>
        <w:rPr>
          <w:rFonts w:cs="Times New Roman"/>
        </w:rPr>
        <w:t>控制一般乡镇和农村地区新增住房供给。</w:t>
      </w:r>
    </w:p>
    <w:p>
      <w:pPr>
        <w:pStyle w:val="2"/>
        <w:spacing w:before="312" w:after="312"/>
        <w:ind w:firstLine="640"/>
        <w:rPr>
          <w:rFonts w:ascii="Times New Roman" w:hAnsi="Times New Roman" w:cs="Times New Roman"/>
        </w:rPr>
      </w:pPr>
      <w:bookmarkStart w:id="47" w:name="_Toc107777074"/>
      <w:bookmarkStart w:id="48" w:name="_Hlk83839180"/>
      <w:r>
        <w:rPr>
          <w:rFonts w:ascii="Times New Roman" w:hAnsi="Times New Roman" w:cs="Times New Roman"/>
        </w:rPr>
        <w:t>四、</w:t>
      </w:r>
      <w:bookmarkStart w:id="49" w:name="_Hlk79094801"/>
      <w:r>
        <w:rPr>
          <w:rFonts w:ascii="Times New Roman" w:hAnsi="Times New Roman" w:cs="Times New Roman"/>
        </w:rPr>
        <w:t>促进房地产市场健康发展</w:t>
      </w:r>
      <w:bookmarkEnd w:id="47"/>
      <w:bookmarkEnd w:id="49"/>
    </w:p>
    <w:p>
      <w:pPr>
        <w:pStyle w:val="3"/>
        <w:spacing w:before="312" w:after="312"/>
        <w:ind w:left="562" w:firstLine="0" w:firstLineChars="0"/>
        <w:rPr>
          <w:rFonts w:ascii="Times New Roman" w:cs="Times New Roman"/>
        </w:rPr>
      </w:pPr>
      <w:bookmarkStart w:id="50" w:name="_Toc107777075"/>
      <w:bookmarkStart w:id="51" w:name="_Hlk83839077"/>
      <w:r>
        <w:rPr>
          <w:rFonts w:ascii="Times New Roman" w:cs="Times New Roman"/>
        </w:rPr>
        <w:t>（</w:t>
      </w:r>
      <w:r>
        <w:rPr>
          <w:rFonts w:hint="eastAsia" w:ascii="Times New Roman" w:cs="Times New Roman"/>
        </w:rPr>
        <w:t>一</w:t>
      </w:r>
      <w:r>
        <w:rPr>
          <w:rFonts w:ascii="Times New Roman" w:cs="Times New Roman"/>
        </w:rPr>
        <w:t>）</w:t>
      </w:r>
      <w:r>
        <w:rPr>
          <w:rFonts w:hint="eastAsia" w:ascii="Times New Roman" w:cs="Times New Roman"/>
        </w:rPr>
        <w:t>稳步实施“一城一策”</w:t>
      </w:r>
      <w:bookmarkEnd w:id="50"/>
    </w:p>
    <w:p>
      <w:pPr>
        <w:ind w:firstLine="560"/>
      </w:pPr>
      <w:r>
        <w:rPr>
          <w:rFonts w:hint="eastAsia"/>
        </w:rPr>
        <w:t>在《湛江市建立房地产市场平稳健康发展工作方案》指导下，每年制定房地产年度工作目标，结合市场实际情况，及时提出土地、金融、财税、住房公积金等具体工作措施，促进新建商品住宅销售价格指数、二手住宅销售价格指数、住宅用地价格指数、住宅租赁价格指数保持在合理区间。</w:t>
      </w:r>
    </w:p>
    <w:p>
      <w:pPr>
        <w:pStyle w:val="3"/>
        <w:spacing w:before="312" w:after="312"/>
        <w:ind w:left="562" w:firstLine="0" w:firstLineChars="0"/>
        <w:rPr>
          <w:rFonts w:ascii="Times New Roman" w:cs="Times New Roman"/>
        </w:rPr>
      </w:pPr>
      <w:bookmarkStart w:id="52" w:name="_Toc107777076"/>
      <w:r>
        <w:rPr>
          <w:rFonts w:ascii="Times New Roman" w:cs="Times New Roman"/>
        </w:rPr>
        <w:t>（</w:t>
      </w:r>
      <w:r>
        <w:rPr>
          <w:rFonts w:hint="eastAsia" w:ascii="Times New Roman" w:cs="Times New Roman"/>
        </w:rPr>
        <w:t>二</w:t>
      </w:r>
      <w:r>
        <w:rPr>
          <w:rFonts w:ascii="Times New Roman" w:cs="Times New Roman"/>
        </w:rPr>
        <w:t>）</w:t>
      </w:r>
      <w:bookmarkStart w:id="53" w:name="_Hlk83828864"/>
      <w:r>
        <w:rPr>
          <w:rFonts w:ascii="Times New Roman" w:cs="Times New Roman"/>
        </w:rPr>
        <w:t>健全住房梯度健康消费</w:t>
      </w:r>
      <w:bookmarkEnd w:id="52"/>
      <w:bookmarkEnd w:id="53"/>
    </w:p>
    <w:bookmarkEnd w:id="51"/>
    <w:p>
      <w:pPr>
        <w:ind w:firstLine="562"/>
        <w:rPr>
          <w:rFonts w:cs="Times New Roman"/>
        </w:rPr>
      </w:pPr>
      <w:r>
        <w:rPr>
          <w:rFonts w:cs="Times New Roman"/>
          <w:b/>
          <w:bCs/>
        </w:rPr>
        <w:t>优化调整商品</w:t>
      </w:r>
      <w:r>
        <w:rPr>
          <w:rFonts w:hint="eastAsia" w:cs="Times New Roman"/>
          <w:b/>
          <w:bCs/>
        </w:rPr>
        <w:t>住宅产品</w:t>
      </w:r>
      <w:r>
        <w:rPr>
          <w:rFonts w:cs="Times New Roman"/>
          <w:b/>
          <w:bCs/>
        </w:rPr>
        <w:t>结构。</w:t>
      </w:r>
      <w:r>
        <w:rPr>
          <w:rFonts w:cs="Times New Roman"/>
        </w:rPr>
        <w:t>鼓励居民住房消费“先小房后大房”。促进商品住房总价与本地居民购买力相匹配，商品住房开发项目应提供多个面积段和户型，满足居民多层次的购房需求。在人口持续流入、房价上涨较快的中心城区或县城，结合实际情况，适当增加90平方米以下中小户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通过租赁住房实现稳定居住。</w:t>
      </w:r>
    </w:p>
    <w:p>
      <w:pPr>
        <w:pStyle w:val="3"/>
        <w:spacing w:before="312" w:after="312"/>
        <w:ind w:left="562" w:firstLine="0" w:firstLineChars="0"/>
        <w:rPr>
          <w:rFonts w:ascii="Times New Roman" w:cs="Times New Roman"/>
        </w:rPr>
      </w:pPr>
      <w:bookmarkStart w:id="54" w:name="_Toc107777077"/>
      <w:r>
        <w:rPr>
          <w:rFonts w:ascii="Times New Roman" w:cs="Times New Roman"/>
        </w:rPr>
        <w:t>（</w:t>
      </w:r>
      <w:r>
        <w:rPr>
          <w:rFonts w:hint="eastAsia" w:ascii="Times New Roman" w:cs="Times New Roman"/>
        </w:rPr>
        <w:t>三</w:t>
      </w:r>
      <w:r>
        <w:rPr>
          <w:rFonts w:ascii="Times New Roman" w:cs="Times New Roman"/>
        </w:rPr>
        <w:t>）加强住房与土地联动</w:t>
      </w:r>
      <w:bookmarkEnd w:id="54"/>
    </w:p>
    <w:p>
      <w:pPr>
        <w:ind w:firstLine="562"/>
        <w:rPr>
          <w:rFonts w:cs="Times New Roman"/>
        </w:rPr>
      </w:pPr>
      <w:r>
        <w:rPr>
          <w:rFonts w:cs="Times New Roman"/>
          <w:b/>
          <w:bCs/>
        </w:rPr>
        <w:t>保障住宅用地供给。</w:t>
      </w:r>
      <w:r>
        <w:rPr>
          <w:rFonts w:hint="eastAsia" w:cs="Times New Roman"/>
        </w:rPr>
        <w:t>根据“十四五”期间新增筹建各类住房目标，</w:t>
      </w:r>
      <w:r>
        <w:rPr>
          <w:rFonts w:cs="Times New Roman"/>
        </w:rPr>
        <w:t>预计需要供应住宅用地</w:t>
      </w:r>
      <w:bookmarkStart w:id="55" w:name="_Hlk84881715"/>
      <w:r>
        <w:rPr>
          <w:rFonts w:cs="Times New Roman"/>
        </w:rPr>
        <w:t>1197.4-1606.8公顷</w:t>
      </w:r>
      <w:bookmarkEnd w:id="55"/>
      <w:r>
        <w:rPr>
          <w:rFonts w:cs="Times New Roman"/>
        </w:rPr>
        <w:t>。</w:t>
      </w:r>
      <w:r>
        <w:rPr>
          <w:rFonts w:hint="eastAsia" w:cs="Times New Roman"/>
        </w:rPr>
        <w:t>加强人-房-地联动，建立与人口增长相挂钩、以需求定供给、以效益定供给的城市建设用地供应机制，合理配置土地资源。根据商品住房库存消化周期，及时调整住宅用地供应规模和节奏，保障市场供需基本平衡。加快建立住宅用地价格指数监测，创新土地供给方式，及时调节土地出让价格，以稳定市场预期，防止房价地价大起大落。</w:t>
      </w:r>
    </w:p>
    <w:p>
      <w:pPr>
        <w:ind w:firstLine="562"/>
        <w:rPr>
          <w:rFonts w:cs="Times New Roman"/>
        </w:rPr>
      </w:pPr>
      <w:r>
        <w:rPr>
          <w:rFonts w:hint="eastAsia" w:cs="Times New Roman"/>
          <w:b/>
          <w:bCs/>
        </w:rPr>
        <w:t>加快盘活存量闲置土地</w:t>
      </w:r>
      <w:r>
        <w:rPr>
          <w:rFonts w:hint="eastAsia" w:cs="Times New Roman"/>
        </w:rPr>
        <w:t>。开展系统评估，分类提出解决办法。重点加大存量闲置土地的促建力度；完善盘活存量闲置土地、化解历史遗留问题处理的实施细则、操作流程；以及加快存量闲置土地周边道路、市政管网等配套基础设施建设，探索建立存量闲置土地盘活交易平台，对陷入困境的房地产项目，推进存量项目收并购和盘活，为闲置存量土地盘活创造各项条件，推动城市建设从大规模增量建设转为存量改造和增量建设并重。</w:t>
      </w:r>
    </w:p>
    <w:p>
      <w:pPr>
        <w:ind w:firstLine="562"/>
        <w:rPr>
          <w:rFonts w:cs="Times New Roman"/>
        </w:rPr>
      </w:pPr>
      <w:r>
        <w:rPr>
          <w:rFonts w:hint="eastAsia" w:cs="Times New Roman"/>
          <w:b/>
          <w:bCs/>
        </w:rPr>
        <w:t>推进3-</w:t>
      </w:r>
      <w:r>
        <w:rPr>
          <w:rFonts w:cs="Times New Roman"/>
          <w:b/>
          <w:bCs/>
        </w:rPr>
        <w:t>5</w:t>
      </w:r>
      <w:r>
        <w:rPr>
          <w:rFonts w:hint="eastAsia" w:cs="Times New Roman"/>
          <w:b/>
          <w:bCs/>
        </w:rPr>
        <w:t>个片区综合开发</w:t>
      </w:r>
      <w:r>
        <w:rPr>
          <w:rFonts w:hint="eastAsia" w:cs="Times New Roman"/>
        </w:rPr>
        <w:t>。加快形成科学高效的土地开发和供应模式，</w:t>
      </w:r>
      <w:r>
        <w:rPr>
          <w:rFonts w:cs="Times New Roman"/>
        </w:rPr>
        <w:t>提升土地供给效率和土地价值</w:t>
      </w:r>
      <w:r>
        <w:rPr>
          <w:rFonts w:hint="eastAsia" w:cs="Times New Roman"/>
        </w:rPr>
        <w:t>；</w:t>
      </w:r>
      <w:r>
        <w:rPr>
          <w:rFonts w:cs="Times New Roman"/>
        </w:rPr>
        <w:t>加强住宅用地供后监管，</w:t>
      </w:r>
      <w:bookmarkStart w:id="56" w:name="_Hlk83839529"/>
      <w:r>
        <w:rPr>
          <w:rFonts w:cs="Times New Roman"/>
        </w:rPr>
        <w:t>及时排查已供应未开工住宅用地和闲置住宅用地情况</w:t>
      </w:r>
      <w:bookmarkEnd w:id="56"/>
      <w:r>
        <w:rPr>
          <w:rFonts w:cs="Times New Roman"/>
        </w:rPr>
        <w:t>。</w:t>
      </w:r>
    </w:p>
    <w:p>
      <w:pPr>
        <w:pStyle w:val="3"/>
        <w:spacing w:before="312" w:after="312"/>
        <w:ind w:firstLine="602"/>
      </w:pPr>
      <w:bookmarkStart w:id="57" w:name="_Toc107777078"/>
      <w:r>
        <w:t>（</w:t>
      </w:r>
      <w:r>
        <w:rPr>
          <w:rFonts w:hint="eastAsia"/>
        </w:rPr>
        <w:t>四</w:t>
      </w:r>
      <w:r>
        <w:t>）完善房地产金融政策</w:t>
      </w:r>
      <w:bookmarkEnd w:id="57"/>
    </w:p>
    <w:p>
      <w:pPr>
        <w:ind w:firstLine="562"/>
        <w:rPr>
          <w:rFonts w:cs="Times New Roman"/>
        </w:rPr>
      </w:pPr>
      <w:bookmarkStart w:id="58" w:name="_Hlk102678854"/>
      <w:r>
        <w:rPr>
          <w:rFonts w:hint="eastAsia" w:cs="Times New Roman"/>
          <w:b/>
          <w:bCs/>
        </w:rPr>
        <w:t>积极支持居民合理住房信贷需求。</w:t>
      </w:r>
      <w:r>
        <w:rPr>
          <w:rFonts w:hint="eastAsia" w:cs="Times New Roman"/>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bookmarkEnd w:id="58"/>
    <w:p>
      <w:pPr>
        <w:ind w:firstLine="562"/>
        <w:rPr>
          <w:rFonts w:cs="Times New Roman"/>
        </w:rPr>
      </w:pPr>
      <w:bookmarkStart w:id="59" w:name="_Hlk113269616"/>
      <w:r>
        <w:rPr>
          <w:rFonts w:cs="Times New Roman"/>
          <w:b/>
          <w:bCs/>
        </w:rPr>
        <w:t>发挥公积金对居民合理自住购房的支持作用。</w:t>
      </w:r>
      <w:r>
        <w:rPr>
          <w:rFonts w:cs="Times New Roman"/>
        </w:rPr>
        <w:t>改进和完善住房公积金缴存、提取、使用与监管机制，进一步扩大住房公积金覆盖面，全力推进民营企业建立住房公积金制度，支持灵活就业人员缴存住房公积金。</w:t>
      </w:r>
      <w:r>
        <w:rPr>
          <w:rFonts w:hint="eastAsia" w:cs="Times New Roman"/>
        </w:rPr>
        <w:t>提高</w:t>
      </w:r>
      <w:r>
        <w:rPr>
          <w:rFonts w:cs="Times New Roman"/>
        </w:rPr>
        <w:t>住房公积金</w:t>
      </w:r>
      <w:r>
        <w:rPr>
          <w:rFonts w:hint="eastAsia" w:cs="Times New Roman"/>
        </w:rPr>
        <w:t>使用效率</w:t>
      </w:r>
      <w:r>
        <w:rPr>
          <w:rFonts w:cs="Times New Roman"/>
        </w:rPr>
        <w:t>，</w:t>
      </w:r>
      <w:r>
        <w:rPr>
          <w:rFonts w:hint="eastAsia" w:cs="Times New Roman"/>
        </w:rPr>
        <w:t>加大</w:t>
      </w:r>
      <w:r>
        <w:rPr>
          <w:rFonts w:cs="Times New Roman"/>
        </w:rPr>
        <w:t>购买首套和改善性住房的住房公积金信贷支持</w:t>
      </w:r>
      <w:r>
        <w:rPr>
          <w:rFonts w:hint="eastAsia" w:cs="Times New Roman"/>
        </w:rPr>
        <w:t>力度；</w:t>
      </w:r>
      <w:bookmarkStart w:id="60" w:name="_Hlk113269560"/>
      <w:r>
        <w:rPr>
          <w:rFonts w:hint="eastAsia" w:cs="Times New Roman"/>
        </w:rPr>
        <w:t>支持异地缴存住房公积金的职工，在湛江市申请住房公积金贷款购买、建造、翻建、大修自住住房；支持</w:t>
      </w:r>
      <w:r>
        <w:rPr>
          <w:rFonts w:cs="Times New Roman"/>
        </w:rPr>
        <w:t>职工按湛江市房屋租赁部门的指导性租金标准按季度提取住房公积金支付房租</w:t>
      </w:r>
      <w:r>
        <w:rPr>
          <w:rFonts w:hint="eastAsia" w:cs="Times New Roman"/>
        </w:rPr>
        <w:t>。</w:t>
      </w:r>
    </w:p>
    <w:bookmarkEnd w:id="59"/>
    <w:bookmarkEnd w:id="60"/>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pStyle w:val="2"/>
        <w:spacing w:before="312" w:after="312"/>
        <w:ind w:firstLine="640"/>
        <w:rPr>
          <w:rFonts w:ascii="Times New Roman" w:hAnsi="Times New Roman" w:cs="Times New Roman"/>
        </w:rPr>
      </w:pPr>
      <w:bookmarkStart w:id="61" w:name="_Toc107777079"/>
      <w:bookmarkStart w:id="62" w:name="_Hlk83825300"/>
      <w:bookmarkStart w:id="63" w:name="_Hlk83839194"/>
      <w:r>
        <w:rPr>
          <w:rFonts w:hint="eastAsia" w:ascii="Times New Roman" w:hAnsi="Times New Roman" w:cs="Times New Roman"/>
        </w:rPr>
        <w:t>五</w:t>
      </w:r>
      <w:r>
        <w:rPr>
          <w:rFonts w:ascii="Times New Roman" w:hAnsi="Times New Roman" w:cs="Times New Roman"/>
        </w:rPr>
        <w:t>、</w:t>
      </w:r>
      <w:r>
        <w:rPr>
          <w:rFonts w:hint="eastAsia" w:ascii="Times New Roman" w:hAnsi="Times New Roman" w:cs="Times New Roman"/>
        </w:rPr>
        <w:t>优化房地产市场营商环境</w:t>
      </w:r>
      <w:bookmarkEnd w:id="61"/>
    </w:p>
    <w:bookmarkEnd w:id="62"/>
    <w:p>
      <w:pPr>
        <w:pStyle w:val="3"/>
        <w:spacing w:before="312" w:after="312"/>
        <w:ind w:firstLine="602"/>
        <w:rPr>
          <w:rFonts w:ascii="Times New Roman" w:cs="Times New Roman"/>
        </w:rPr>
      </w:pPr>
      <w:bookmarkStart w:id="64" w:name="_Toc107777080"/>
      <w:r>
        <w:rPr>
          <w:rFonts w:ascii="Times New Roman" w:cs="Times New Roman"/>
        </w:rPr>
        <w:t>（一）</w:t>
      </w:r>
      <w:r>
        <w:rPr>
          <w:rFonts w:hint="eastAsia" w:ascii="Times New Roman" w:cs="Times New Roman"/>
        </w:rPr>
        <w:t>优化房地产项目审批流程</w:t>
      </w:r>
      <w:bookmarkEnd w:id="64"/>
    </w:p>
    <w:p>
      <w:pPr>
        <w:ind w:firstLine="562"/>
        <w:rPr>
          <w:rFonts w:cs="Times New Roman"/>
        </w:rPr>
      </w:pPr>
      <w:r>
        <w:rPr>
          <w:rFonts w:cs="Times New Roman"/>
          <w:b/>
          <w:bCs/>
        </w:rPr>
        <w:t>稳步推进工程建设领域审批制度改革。</w:t>
      </w:r>
      <w:r>
        <w:rPr>
          <w:rFonts w:cs="Times New Roman"/>
        </w:rPr>
        <w:t>贯彻落实国家工程建设项目制度改革要求，规范和统一审批管理体系，房地产开发项目报建“一窗受理、并联审批”，由市住建局牵头，进一步明确各部门职责，明晰工作规程，规范审批行为，简化缩短项目审批流程，确保审批各阶段、各环节无缝衔接</w:t>
      </w:r>
      <w:r>
        <w:rPr>
          <w:rFonts w:hint="eastAsia" w:cs="Times New Roman"/>
        </w:rPr>
        <w:t>，进一步压缩工程建设项目全流程审批时间</w:t>
      </w:r>
      <w:r>
        <w:rPr>
          <w:rFonts w:cs="Times New Roman"/>
        </w:rPr>
        <w:t>。建立审批协调机制，及时协调解决部门意见分歧。建立跟踪督办制度，实时跟踪审批办理情况，对全过程实施督办。</w:t>
      </w:r>
    </w:p>
    <w:p>
      <w:pPr>
        <w:ind w:firstLine="562"/>
        <w:rPr>
          <w:rFonts w:cs="Times New Roman"/>
        </w:rPr>
      </w:pPr>
      <w:r>
        <w:rPr>
          <w:rFonts w:hint="eastAsia" w:cs="Times New Roman"/>
          <w:b/>
          <w:bCs/>
        </w:rPr>
        <w:t>进一步优化城市更新“三旧”改造审批流程</w:t>
      </w:r>
      <w:r>
        <w:rPr>
          <w:rFonts w:hint="eastAsia" w:cs="Times New Roman"/>
        </w:rPr>
        <w:t>。针对项目推进过程存在的难点堵点，细化实施细则政策和办事指南，提高政策的可实施性，加快项目落地建设。</w:t>
      </w:r>
    </w:p>
    <w:p>
      <w:pPr>
        <w:pStyle w:val="3"/>
        <w:spacing w:before="312" w:after="312"/>
        <w:ind w:firstLine="602"/>
      </w:pPr>
      <w:bookmarkStart w:id="65" w:name="_Toc107777081"/>
      <w:r>
        <w:rPr>
          <w:rFonts w:hint="eastAsia"/>
        </w:rPr>
        <w:t>（二）创造更加公平的市场参与机制</w:t>
      </w:r>
      <w:bookmarkEnd w:id="65"/>
    </w:p>
    <w:p>
      <w:pPr>
        <w:ind w:firstLine="562"/>
        <w:rPr>
          <w:rFonts w:cs="Times New Roman"/>
        </w:rPr>
      </w:pPr>
      <w:r>
        <w:rPr>
          <w:rFonts w:hint="eastAsia" w:cs="Times New Roman"/>
          <w:b/>
          <w:bCs/>
        </w:rPr>
        <w:t>建立健全房地产行业信用体系</w:t>
      </w:r>
      <w:r>
        <w:rPr>
          <w:rFonts w:hint="eastAsia" w:cs="Times New Roman"/>
        </w:rPr>
        <w:t>。建立房地产业诚信典型“红名单”制度和严重失信主体“黑名单”制度，探索失信联合惩戒和守信联合激励机制。</w:t>
      </w:r>
    </w:p>
    <w:p>
      <w:pPr>
        <w:ind w:firstLine="562"/>
        <w:rPr>
          <w:rFonts w:cs="Times New Roman"/>
        </w:rPr>
      </w:pPr>
      <w:r>
        <w:rPr>
          <w:rFonts w:cs="Times New Roman"/>
          <w:b/>
          <w:bCs/>
        </w:rPr>
        <w:t>推进数字住房（粤安居）一体化平台建设</w:t>
      </w:r>
      <w:r>
        <w:rPr>
          <w:rFonts w:hint="eastAsia" w:cs="Times New Roman"/>
        </w:rPr>
        <w:t>。</w:t>
      </w:r>
      <w:r>
        <w:rPr>
          <w:rFonts w:cs="Times New Roman"/>
        </w:rPr>
        <w:t>从土地供应、规划审批、施工许可、批准预售、网签备案等多个环节对房地产项目开展跟踪服务和监督，</w:t>
      </w:r>
      <w:r>
        <w:rPr>
          <w:rFonts w:hint="eastAsia" w:cs="Times New Roman"/>
        </w:rPr>
        <w:t>横向整合商品房开发销售、住房租赁、保障房和物业服务等业务，纵向打通与不动产、政数、公安和税务等部门的数据共享，与住房公积金系统对接融合，实现房屋全生命周期管理</w:t>
      </w:r>
      <w:r>
        <w:rPr>
          <w:rFonts w:cs="Times New Roman"/>
        </w:rPr>
        <w:t>。</w:t>
      </w:r>
    </w:p>
    <w:p>
      <w:pPr>
        <w:ind w:firstLine="562"/>
        <w:rPr>
          <w:rFonts w:cs="Times New Roman"/>
        </w:rPr>
      </w:pPr>
      <w:r>
        <w:rPr>
          <w:rFonts w:cs="Times New Roman"/>
          <w:b/>
          <w:bCs/>
        </w:rPr>
        <w:t>加强房地产市场监测分析。</w:t>
      </w:r>
      <w:r>
        <w:rPr>
          <w:rFonts w:cs="Times New Roman"/>
        </w:rPr>
        <w:t>建立健全</w:t>
      </w:r>
      <w:r>
        <w:rPr>
          <w:rFonts w:hint="eastAsia" w:cs="Times New Roman"/>
        </w:rPr>
        <w:t>“月度分析、季度评价、年度总结”的</w:t>
      </w:r>
      <w:r>
        <w:rPr>
          <w:rFonts w:cs="Times New Roman"/>
        </w:rPr>
        <w:t>房地产市场监测分析机制，构建湛江特色房地产市场监测指标体系，</w:t>
      </w:r>
      <w:r>
        <w:rPr>
          <w:rFonts w:hint="eastAsia" w:cs="Times New Roman"/>
        </w:rPr>
        <w:t>建立房地产市场监测分析平台，</w:t>
      </w:r>
      <w:r>
        <w:rPr>
          <w:rFonts w:cs="Times New Roman"/>
        </w:rPr>
        <w:t>实时动态掌握湛江城市发展和房地产市场运行情况，</w:t>
      </w:r>
      <w:r>
        <w:rPr>
          <w:rFonts w:hint="eastAsia" w:cs="Times New Roman"/>
        </w:rPr>
        <w:t>加强房地产行业和市场需求结构性分析，按季度形成</w:t>
      </w:r>
      <w:r>
        <w:rPr>
          <w:rFonts w:cs="Times New Roman"/>
        </w:rPr>
        <w:t>分析报告</w:t>
      </w:r>
      <w:r>
        <w:rPr>
          <w:rFonts w:hint="eastAsia" w:cs="Times New Roman"/>
        </w:rPr>
        <w:t>，</w:t>
      </w:r>
      <w:r>
        <w:rPr>
          <w:rFonts w:cs="Times New Roman"/>
        </w:rPr>
        <w:t>为市委市政府开展房地产市场调控和其他相关决策提供参考依据。</w:t>
      </w:r>
    </w:p>
    <w:p>
      <w:pPr>
        <w:ind w:firstLine="562"/>
        <w:rPr>
          <w:rFonts w:cs="Times New Roman"/>
        </w:rPr>
      </w:pPr>
      <w:r>
        <w:rPr>
          <w:rFonts w:hint="eastAsia" w:cs="Times New Roman"/>
          <w:b/>
          <w:bCs/>
        </w:rPr>
        <w:t>规范房地产市场秩序。</w:t>
      </w:r>
      <w:r>
        <w:rPr>
          <w:rFonts w:hint="eastAsia" w:cs="Times New Roman"/>
        </w:rPr>
        <w:t>每年房地产专项检查工作采取“双随机、一公开”抽查方式2-3次，加强房地产行业监管，打击房地产领域违法违规行为。</w:t>
      </w:r>
    </w:p>
    <w:p>
      <w:pPr>
        <w:pStyle w:val="3"/>
        <w:spacing w:before="312" w:after="312"/>
        <w:ind w:firstLine="602"/>
      </w:pPr>
      <w:bookmarkStart w:id="66" w:name="_Toc107777082"/>
      <w:r>
        <w:rPr>
          <w:rFonts w:hint="eastAsia"/>
        </w:rPr>
        <w:t>（三）做好房地产重点项目跟踪服务</w:t>
      </w:r>
      <w:bookmarkEnd w:id="66"/>
    </w:p>
    <w:p>
      <w:pPr>
        <w:ind w:firstLine="560"/>
        <w:rPr>
          <w:rFonts w:cs="Times New Roman"/>
        </w:rPr>
      </w:pPr>
      <w:r>
        <w:rPr>
          <w:rFonts w:hint="eastAsia" w:cs="Times New Roman"/>
        </w:rPr>
        <w:t>建立健全房地产开发企业信息报送机制，深入企业开展调研，及时了解企业面临的发展困难，加强对企业上门服务，促进房地产开发企业有序转型升级，开展优秀项目和企业评选，鼓励骨干龙头企业和标杆企业做大做强，促进房地产项目向规模化、集约化方向发展。</w:t>
      </w:r>
    </w:p>
    <w:bookmarkEnd w:id="63"/>
    <w:p>
      <w:pPr>
        <w:pStyle w:val="2"/>
        <w:spacing w:before="312" w:after="312"/>
        <w:ind w:firstLine="640"/>
        <w:rPr>
          <w:rFonts w:ascii="Times New Roman" w:hAnsi="Times New Roman" w:cs="Times New Roman"/>
        </w:rPr>
      </w:pPr>
      <w:bookmarkStart w:id="67" w:name="_Toc107777083"/>
      <w:r>
        <w:rPr>
          <w:rFonts w:hint="eastAsia" w:ascii="Times New Roman" w:hAnsi="Times New Roman" w:cs="Times New Roman"/>
        </w:rPr>
        <w:t>六</w:t>
      </w:r>
      <w:r>
        <w:rPr>
          <w:rFonts w:ascii="Times New Roman" w:hAnsi="Times New Roman" w:cs="Times New Roman"/>
        </w:rPr>
        <w:t>、</w:t>
      </w:r>
      <w:bookmarkStart w:id="68" w:name="_Hlk79094834"/>
      <w:r>
        <w:rPr>
          <w:rFonts w:ascii="Times New Roman" w:hAnsi="Times New Roman" w:cs="Times New Roman"/>
        </w:rPr>
        <w:t>稳步提升住房保障水平</w:t>
      </w:r>
      <w:bookmarkEnd w:id="67"/>
      <w:bookmarkEnd w:id="68"/>
    </w:p>
    <w:p>
      <w:pPr>
        <w:pStyle w:val="3"/>
        <w:spacing w:before="312" w:after="312"/>
        <w:ind w:firstLine="602"/>
        <w:rPr>
          <w:rFonts w:ascii="Times New Roman" w:cs="Times New Roman"/>
        </w:rPr>
      </w:pPr>
      <w:bookmarkStart w:id="69" w:name="_Toc107777084"/>
      <w:r>
        <w:rPr>
          <w:rFonts w:ascii="Times New Roman" w:cs="Times New Roman"/>
        </w:rPr>
        <w:t>（一）</w:t>
      </w:r>
      <w:bookmarkStart w:id="70" w:name="_Hlk79097550"/>
      <w:r>
        <w:rPr>
          <w:rFonts w:ascii="Times New Roman" w:cs="Times New Roman"/>
        </w:rPr>
        <w:t>加强住房基本保障</w:t>
      </w:r>
      <w:bookmarkEnd w:id="69"/>
      <w:bookmarkEnd w:id="70"/>
    </w:p>
    <w:p>
      <w:pPr>
        <w:ind w:firstLine="562"/>
        <w:rPr>
          <w:rFonts w:cs="Times New Roman"/>
        </w:rPr>
      </w:pPr>
      <w:bookmarkStart w:id="71" w:name="_Hlk79097538"/>
      <w:r>
        <w:rPr>
          <w:rFonts w:cs="Times New Roman"/>
          <w:b/>
          <w:bCs/>
        </w:rPr>
        <w:t>筑牢住房领域民生兜底保障。</w:t>
      </w:r>
      <w:bookmarkEnd w:id="71"/>
      <w:r>
        <w:rPr>
          <w:rFonts w:cs="Times New Roman"/>
        </w:rPr>
        <w:t>政府主导，稳步增加公租房实物和租赁补贴供给，符合条件的城镇低保、低收入住房困难家庭凡申请住房保障</w:t>
      </w:r>
      <w:r>
        <w:rPr>
          <w:rFonts w:hint="eastAsia" w:cs="Times New Roman"/>
        </w:rPr>
        <w:t>，</w:t>
      </w:r>
      <w:r>
        <w:rPr>
          <w:rFonts w:cs="Times New Roman"/>
        </w:rPr>
        <w:t>实现</w:t>
      </w:r>
      <w:r>
        <w:rPr>
          <w:rFonts w:hint="eastAsia" w:cs="Times New Roman"/>
        </w:rPr>
        <w:t>应保尽保</w:t>
      </w:r>
      <w:r>
        <w:rPr>
          <w:rFonts w:cs="Times New Roman"/>
        </w:rPr>
        <w:t>。持续做好城镇中等偏下收入住房困难家庭的保障工作，符合条件的城镇中等偏下收入住房困难家庭凡申请住房保</w:t>
      </w:r>
      <w:r>
        <w:rPr>
          <w:rFonts w:hint="eastAsia" w:cs="Times New Roman"/>
        </w:rPr>
        <w:t>障，力争在</w:t>
      </w:r>
      <w:r>
        <w:rPr>
          <w:rFonts w:cs="Times New Roman"/>
        </w:rPr>
        <w:t>3</w:t>
      </w:r>
      <w:r>
        <w:rPr>
          <w:rFonts w:hint="eastAsia" w:cs="Times New Roman"/>
        </w:rPr>
        <w:t>年轮候期内予以保障。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w:t>
      </w:r>
      <w:r>
        <w:rPr>
          <w:rFonts w:hint="eastAsia" w:cs="Times New Roman"/>
        </w:rPr>
        <w:t>有</w:t>
      </w:r>
      <w:r>
        <w:rPr>
          <w:rFonts w:cs="Times New Roman"/>
        </w:rPr>
        <w:t>更好的服务。</w:t>
      </w:r>
    </w:p>
    <w:p>
      <w:pPr>
        <w:pStyle w:val="3"/>
        <w:spacing w:before="312" w:after="312"/>
        <w:ind w:firstLine="602"/>
        <w:rPr>
          <w:rFonts w:ascii="Times New Roman" w:cs="Times New Roman"/>
        </w:rPr>
      </w:pPr>
      <w:bookmarkStart w:id="72" w:name="_Toc107777085"/>
      <w:r>
        <w:rPr>
          <w:rFonts w:ascii="Times New Roman" w:cs="Times New Roman"/>
        </w:rPr>
        <w:t>（二）</w:t>
      </w:r>
      <w:bookmarkStart w:id="73" w:name="_Hlk79097736"/>
      <w:r>
        <w:rPr>
          <w:rFonts w:ascii="Times New Roman" w:cs="Times New Roman"/>
        </w:rPr>
        <w:t>推动住房保障适度普惠</w:t>
      </w:r>
      <w:bookmarkEnd w:id="72"/>
      <w:bookmarkEnd w:id="73"/>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cs="Times New Roman"/>
          <w:b/>
          <w:bCs/>
        </w:rPr>
        <w:t>积极</w:t>
      </w:r>
      <w:bookmarkStart w:id="74" w:name="_Hlk79097593"/>
      <w:r>
        <w:rPr>
          <w:rFonts w:hint="eastAsia" w:cs="Times New Roman"/>
          <w:b/>
          <w:bCs/>
        </w:rPr>
        <w:t>发展</w:t>
      </w:r>
      <w:r>
        <w:rPr>
          <w:rFonts w:cs="Times New Roman"/>
          <w:b/>
          <w:bCs/>
        </w:rPr>
        <w:t>保障性租赁住房</w:t>
      </w:r>
      <w:bookmarkEnd w:id="74"/>
      <w:r>
        <w:rPr>
          <w:rFonts w:cs="Times New Roman"/>
          <w:b/>
          <w:bCs/>
        </w:rPr>
        <w:t>。</w:t>
      </w:r>
      <w:r>
        <w:rPr>
          <w:rFonts w:hint="eastAsia" w:cs="Times New Roman"/>
        </w:rPr>
        <w:t>编制保障性租赁住房专项规划，稳步推进保障性租赁住房房源筹集工作，制定《关于加快发展保障性租赁住房的实施意见》及相关配套政策</w:t>
      </w:r>
      <w:r>
        <w:rPr>
          <w:rFonts w:cs="Times New Roman"/>
        </w:rPr>
        <w:t>，落实保障性租赁住房相关的土地、审批、金融、税收等方面的支持政策。</w:t>
      </w:r>
      <w:bookmarkStart w:id="75" w:name="_Hlk93481469"/>
      <w:r>
        <w:rPr>
          <w:rFonts w:hint="eastAsia" w:cs="Times New Roman"/>
        </w:rPr>
        <w:t>保障性租赁住房主要解决符合条件的新市民、青年人等群体的住房困难问题，以建筑面积不超过70平方米的小户型为主，租金低于同地段同品质市场租赁住房租金</w:t>
      </w:r>
      <w:bookmarkEnd w:id="75"/>
      <w:r>
        <w:rPr>
          <w:rFonts w:hint="eastAsia" w:cs="Times New Roman"/>
        </w:rPr>
        <w:t>。</w:t>
      </w:r>
    </w:p>
    <w:p>
      <w:pPr>
        <w:ind w:firstLine="562"/>
        <w:rPr>
          <w:rFonts w:cs="Times New Roman"/>
        </w:rPr>
      </w:pPr>
      <w:bookmarkStart w:id="76" w:name="_Hlk79097608"/>
      <w:r>
        <w:rPr>
          <w:rFonts w:cs="Times New Roman"/>
          <w:b/>
          <w:bCs/>
        </w:rPr>
        <w:t>因地制宜探索共有产权住房发展</w:t>
      </w:r>
      <w:bookmarkEnd w:id="76"/>
      <w:r>
        <w:rPr>
          <w:rFonts w:cs="Times New Roman"/>
          <w:b/>
          <w:bCs/>
        </w:rPr>
        <w:t>。</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pStyle w:val="3"/>
        <w:spacing w:before="312" w:after="312"/>
        <w:ind w:firstLine="602"/>
        <w:rPr>
          <w:rFonts w:ascii="Times New Roman" w:cs="Times New Roman"/>
        </w:rPr>
      </w:pPr>
      <w:bookmarkStart w:id="77" w:name="_Toc107777086"/>
      <w:r>
        <w:rPr>
          <w:rFonts w:ascii="Times New Roman" w:cs="Times New Roman"/>
        </w:rPr>
        <w:t>（三）加大高层次人才安居</w:t>
      </w:r>
      <w:bookmarkEnd w:id="77"/>
    </w:p>
    <w:p>
      <w:pPr>
        <w:ind w:firstLine="562"/>
        <w:rPr>
          <w:rFonts w:cs="Times New Roman"/>
        </w:rPr>
      </w:pPr>
      <w:bookmarkStart w:id="78" w:name="_Hlk79097664"/>
      <w:r>
        <w:rPr>
          <w:rFonts w:cs="Times New Roman"/>
          <w:b/>
          <w:bCs/>
        </w:rPr>
        <w:t>推进国际化人才社区建设。</w:t>
      </w:r>
      <w:bookmarkEnd w:id="78"/>
      <w:r>
        <w:rPr>
          <w:rFonts w:cs="Times New Roman"/>
        </w:rPr>
        <w:t>在市中心城区选择优质地段，对标国际国内先进水平，打造适应高层次人才生活工作需求的高端社区。以国际人才社区为平台，</w:t>
      </w:r>
      <w:bookmarkStart w:id="79" w:name="_Hlk79097677"/>
      <w:r>
        <w:rPr>
          <w:rFonts w:cs="Times New Roman"/>
        </w:rPr>
        <w:t>为高层次人才提供更优质的人才服务和住房安居支持，支持湛江市打造人才高地，汇聚全球精英人才。</w:t>
      </w:r>
      <w:bookmarkEnd w:id="79"/>
    </w:p>
    <w:p>
      <w:pPr>
        <w:ind w:firstLine="562"/>
        <w:rPr>
          <w:rFonts w:cs="Times New Roman"/>
        </w:rPr>
      </w:pPr>
      <w:r>
        <w:rPr>
          <w:rFonts w:cs="Times New Roman"/>
          <w:b/>
          <w:bCs/>
        </w:rPr>
        <w:t>提供多样化的人才安居选择。</w:t>
      </w:r>
      <w:r>
        <w:rPr>
          <w:rFonts w:cs="Times New Roman"/>
        </w:rPr>
        <w:t>逐步健全“租售补”相结合的人才</w:t>
      </w:r>
      <w:r>
        <w:rPr>
          <w:rFonts w:hint="eastAsia" w:cs="Times New Roman"/>
        </w:rPr>
        <w:t>安居</w:t>
      </w:r>
      <w:r>
        <w:rPr>
          <w:rFonts w:cs="Times New Roman"/>
        </w:rPr>
        <w:t>体系，鼓励有条件的地区探索通过“先租后售”、产权共有等方式向高层次人才提供产权性住房，以及对承租市场租赁住房的高层次人才进行租金补贴等，为高层次人才提供多样化居住选择。</w:t>
      </w:r>
    </w:p>
    <w:p>
      <w:pPr>
        <w:pStyle w:val="3"/>
        <w:spacing w:before="312" w:after="312"/>
        <w:ind w:firstLine="602"/>
        <w:rPr>
          <w:rFonts w:ascii="Times New Roman" w:cs="Times New Roman"/>
        </w:rPr>
      </w:pPr>
      <w:bookmarkStart w:id="80" w:name="_Toc107777087"/>
      <w:r>
        <w:rPr>
          <w:rFonts w:ascii="Times New Roman" w:cs="Times New Roman"/>
        </w:rPr>
        <w:t>（四）创新重点行业人员住房保障机制</w:t>
      </w:r>
      <w:bookmarkEnd w:id="80"/>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湛江市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经市政府批准，在符合规划、权属不变、满足安全要求、尊重群众意愿的前提下，利用自有存量土地自筹资金建设人才公寓。人才公寓的建设和管理须符合市人才公寓政策总体框架，人才公寓的户型面积标准、租金标准和准入条件可由用人单位通过民主决策程序后自行制定。</w:t>
      </w:r>
    </w:p>
    <w:p>
      <w:pPr>
        <w:pStyle w:val="2"/>
        <w:spacing w:before="312" w:after="312"/>
        <w:ind w:firstLine="640"/>
        <w:rPr>
          <w:rFonts w:ascii="Times New Roman" w:hAnsi="Times New Roman" w:cs="Times New Roman"/>
        </w:rPr>
      </w:pPr>
      <w:bookmarkStart w:id="81" w:name="_Toc107777088"/>
      <w:bookmarkStart w:id="82" w:name="_Hlk83825318"/>
      <w:r>
        <w:rPr>
          <w:rFonts w:hint="eastAsia" w:ascii="Times New Roman" w:hAnsi="Times New Roman" w:cs="Times New Roman"/>
        </w:rPr>
        <w:t>七</w:t>
      </w:r>
      <w:r>
        <w:rPr>
          <w:rFonts w:ascii="Times New Roman" w:hAnsi="Times New Roman" w:cs="Times New Roman"/>
        </w:rPr>
        <w:t>、</w:t>
      </w:r>
      <w:bookmarkStart w:id="83" w:name="_Hlk79094854"/>
      <w:r>
        <w:rPr>
          <w:rFonts w:ascii="Times New Roman" w:hAnsi="Times New Roman" w:cs="Times New Roman"/>
        </w:rPr>
        <w:t>全面提升居住品质</w:t>
      </w:r>
      <w:bookmarkEnd w:id="81"/>
      <w:bookmarkEnd w:id="83"/>
    </w:p>
    <w:bookmarkEnd w:id="82"/>
    <w:p>
      <w:pPr>
        <w:pStyle w:val="3"/>
        <w:spacing w:before="312" w:after="312"/>
        <w:ind w:firstLine="602"/>
        <w:rPr>
          <w:rFonts w:ascii="Times New Roman" w:cs="Times New Roman"/>
        </w:rPr>
      </w:pPr>
      <w:bookmarkStart w:id="84" w:name="_Toc107777089"/>
      <w:bookmarkStart w:id="85" w:name="_Hlk83827257"/>
      <w:r>
        <w:rPr>
          <w:rFonts w:ascii="Times New Roman" w:cs="Times New Roman"/>
        </w:rPr>
        <w:t>（一）创建宜居活力社区</w:t>
      </w:r>
      <w:bookmarkEnd w:id="84"/>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积极推动基础教育资源和服务供给侧改革，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民政、教育、卫健等有关部门应及时对接自然资源部门，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hint="eastAsia" w:cs="Times New Roman"/>
          <w:b/>
          <w:bCs/>
        </w:rPr>
        <w:t>。</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pStyle w:val="3"/>
        <w:spacing w:before="312" w:after="312"/>
        <w:ind w:firstLine="602"/>
        <w:rPr>
          <w:rFonts w:ascii="Times New Roman" w:cs="Times New Roman"/>
        </w:rPr>
      </w:pPr>
      <w:bookmarkStart w:id="86" w:name="_Toc107777090"/>
      <w:r>
        <w:rPr>
          <w:rFonts w:ascii="Times New Roman" w:cs="Times New Roman"/>
        </w:rPr>
        <w:t>（二）建设智慧生态小区</w:t>
      </w:r>
      <w:bookmarkEnd w:id="86"/>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w:t>
      </w:r>
      <w:r>
        <w:rPr>
          <w:rFonts w:hint="eastAsia" w:cs="Times New Roman"/>
        </w:rPr>
        <w:t>一批</w:t>
      </w:r>
      <w:r>
        <w:rPr>
          <w:rFonts w:cs="Times New Roman"/>
        </w:rPr>
        <w:t>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pStyle w:val="3"/>
        <w:spacing w:before="312" w:after="312"/>
        <w:ind w:firstLine="602"/>
      </w:pPr>
      <w:bookmarkStart w:id="87" w:name="_Toc107777091"/>
      <w:bookmarkStart w:id="88" w:name="_Hlk107743043"/>
      <w:r>
        <w:rPr>
          <w:rFonts w:hint="eastAsia"/>
        </w:rPr>
        <w:t>（三）</w:t>
      </w:r>
      <w:r>
        <w:t>推进旅游地产转型</w:t>
      </w:r>
      <w:bookmarkEnd w:id="87"/>
    </w:p>
    <w:p>
      <w:pPr>
        <w:ind w:firstLine="562"/>
        <w:rPr>
          <w:rFonts w:cs="Times New Roman"/>
        </w:rPr>
      </w:pPr>
      <w:r>
        <w:rPr>
          <w:rFonts w:cs="Times New Roman"/>
          <w:b/>
          <w:bCs/>
        </w:rPr>
        <w:t>构建全域旅游新格局。</w:t>
      </w:r>
      <w:r>
        <w:rPr>
          <w:rFonts w:cs="Times New Roman"/>
        </w:rPr>
        <w:t>把握“五龙入湛”机遇，围绕“一湾两岸、一核四轴、多组团”城市空间结构，加强政府统筹，推动旅游与房地产业深度融合发展，加大旅游项目引进力度，推进旅游景区改造提升、旅游配套设施开发以及市内交通设施提升等工程，打造差别化的特色旅游度假区和配套服务区。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w:t>
      </w:r>
      <w:r>
        <w:rPr>
          <w:rFonts w:hint="eastAsia" w:cs="Times New Roman"/>
        </w:rPr>
        <w:t>比例</w:t>
      </w:r>
      <w:r>
        <w:rPr>
          <w:rFonts w:cs="Times New Roman"/>
        </w:rPr>
        <w:t>，引导投资企业通过持续提供优质运营服务，分享项目整体价值提升红利。</w:t>
      </w:r>
    </w:p>
    <w:p>
      <w:pPr>
        <w:ind w:firstLine="562"/>
        <w:rPr>
          <w:rFonts w:cs="Times New Roman"/>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bookmarkEnd w:id="48"/>
    <w:bookmarkEnd w:id="85"/>
    <w:bookmarkEnd w:id="88"/>
    <w:p>
      <w:pPr>
        <w:pStyle w:val="2"/>
        <w:spacing w:before="312" w:after="312"/>
        <w:ind w:firstLine="640"/>
        <w:rPr>
          <w:rFonts w:ascii="Times New Roman" w:hAnsi="Times New Roman" w:cs="Times New Roman"/>
        </w:rPr>
      </w:pPr>
      <w:bookmarkStart w:id="89" w:name="_Toc107777092"/>
      <w:r>
        <w:rPr>
          <w:rFonts w:ascii="Times New Roman" w:hAnsi="Times New Roman" w:cs="Times New Roman"/>
        </w:rPr>
        <w:t>八、保障措施</w:t>
      </w:r>
      <w:bookmarkEnd w:id="89"/>
    </w:p>
    <w:p>
      <w:pPr>
        <w:pStyle w:val="3"/>
        <w:spacing w:before="312" w:after="312"/>
        <w:ind w:firstLine="602"/>
        <w:rPr>
          <w:rFonts w:ascii="Times New Roman" w:cs="Times New Roman"/>
        </w:rPr>
      </w:pPr>
      <w:bookmarkStart w:id="90" w:name="_Toc107777093"/>
      <w:r>
        <w:rPr>
          <w:rFonts w:ascii="Times New Roman" w:cs="Times New Roman"/>
        </w:rPr>
        <w:t>（一）加强组织领导</w:t>
      </w:r>
      <w:bookmarkEnd w:id="90"/>
    </w:p>
    <w:p>
      <w:pPr>
        <w:widowControl/>
        <w:ind w:firstLine="560"/>
        <w:rPr>
          <w:rFonts w:cs="Times New Roman"/>
          <w:b/>
        </w:rPr>
      </w:pPr>
      <w:r>
        <w:rPr>
          <w:rFonts w:cs="Times New Roman"/>
        </w:rPr>
        <w:t>充分发挥市住房和房地产工作领导小组的作用，定期召开工作会议，统筹协调规划实施的有关事宜，研究解决住房和房地产发展过程中遇到的重大问题。支持各县（市、区）成立房地产调控工作领导小组。夯实各县（市、区）主体责任，加强对各县（市、区）工作的指导和监督，对落实规划不力以及违法规划行为，启动问责机制。</w:t>
      </w:r>
    </w:p>
    <w:p>
      <w:pPr>
        <w:pStyle w:val="3"/>
        <w:spacing w:before="312" w:after="312"/>
        <w:ind w:firstLine="602"/>
        <w:rPr>
          <w:rFonts w:ascii="Times New Roman" w:cs="Times New Roman"/>
        </w:rPr>
      </w:pPr>
      <w:bookmarkStart w:id="91" w:name="_Toc107777094"/>
      <w:r>
        <w:rPr>
          <w:rFonts w:ascii="Times New Roman" w:cs="Times New Roman"/>
        </w:rPr>
        <w:t>（二）健全住房发展要素保障机制</w:t>
      </w:r>
      <w:bookmarkEnd w:id="91"/>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pStyle w:val="3"/>
        <w:spacing w:before="312" w:after="312"/>
        <w:ind w:firstLine="602"/>
        <w:rPr>
          <w:rFonts w:ascii="Times New Roman" w:cs="Times New Roman"/>
        </w:rPr>
      </w:pPr>
      <w:bookmarkStart w:id="92" w:name="_Toc107777095"/>
      <w:r>
        <w:rPr>
          <w:rFonts w:ascii="Times New Roman" w:cs="Times New Roman"/>
        </w:rPr>
        <w:t>（三）完善规划实施的评估机制</w:t>
      </w:r>
      <w:bookmarkEnd w:id="92"/>
    </w:p>
    <w:p>
      <w:pPr>
        <w:ind w:firstLine="560"/>
        <w:rPr>
          <w:rFonts w:cs="Times New Roman"/>
        </w:rPr>
      </w:pPr>
      <w:r>
        <w:rPr>
          <w:rFonts w:cs="Times New Roman"/>
        </w:rPr>
        <w:t>贯彻落实规划制定的目标任务，根据每年经济社会发展的实际情况，编制住房发展年度实施计划</w:t>
      </w:r>
      <w:r>
        <w:rPr>
          <w:rFonts w:hint="eastAsia" w:cs="Times New Roman"/>
        </w:rPr>
        <w:t>，</w:t>
      </w:r>
      <w:r>
        <w:rPr>
          <w:rFonts w:cs="Times New Roman"/>
        </w:rPr>
        <w:t>及时监测、跟踪规划执行情况，及时发现和解决住房发展过程中存在的问题。在规划的中期，由主管部门会同有关部门共同对本规划的实施进行评估，对相关目标进行修正调整，确保规划的顺利实施。</w:t>
      </w:r>
    </w:p>
    <w:p>
      <w:pPr>
        <w:pStyle w:val="3"/>
        <w:spacing w:before="312" w:after="312"/>
        <w:ind w:firstLine="602"/>
        <w:rPr>
          <w:rFonts w:ascii="Times New Roman" w:cs="Times New Roman"/>
        </w:rPr>
      </w:pPr>
      <w:bookmarkStart w:id="93" w:name="_Toc107777096"/>
      <w:r>
        <w:rPr>
          <w:rFonts w:ascii="Times New Roman" w:cs="Times New Roman"/>
        </w:rPr>
        <w:t>（四）做好规划宣传引导工作</w:t>
      </w:r>
      <w:bookmarkEnd w:id="93"/>
      <w:bookmarkStart w:id="94" w:name="_Hlk83826007"/>
    </w:p>
    <w:p>
      <w:pPr>
        <w:ind w:firstLine="560"/>
        <w:rPr>
          <w:rFonts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bookmarkEnd w:id="94"/>
    <w:p>
      <w:pPr>
        <w:ind w:firstLine="560"/>
        <w:jc w:val="center"/>
        <w:rPr>
          <w:rFonts w:eastAsia="黑体" w:cs="Times New Roma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p>
    <w:p>
      <w:pPr>
        <w:pStyle w:val="2"/>
        <w:spacing w:before="120" w:beforeLines="0" w:after="120" w:afterLines="0"/>
        <w:ind w:firstLine="0" w:firstLineChars="0"/>
        <w:rPr>
          <w:rFonts w:ascii="Times New Roman" w:hAnsi="Times New Roman" w:cs="Times New Roman"/>
        </w:rPr>
      </w:pPr>
      <w:bookmarkStart w:id="95" w:name="_Toc107777097"/>
      <w:r>
        <w:rPr>
          <w:rFonts w:ascii="Times New Roman" w:hAnsi="Times New Roman" w:cs="Times New Roman"/>
        </w:rPr>
        <w:t>附表</w:t>
      </w:r>
      <w:bookmarkEnd w:id="95"/>
    </w:p>
    <w:p>
      <w:pPr>
        <w:ind w:firstLine="0" w:firstLineChars="0"/>
        <w:jc w:val="center"/>
        <w:outlineLvl w:val="1"/>
        <w:rPr>
          <w:rFonts w:eastAsia="黑体" w:cs="Times New Roman"/>
        </w:rPr>
      </w:pPr>
      <w:bookmarkStart w:id="96" w:name="_Toc107777098"/>
      <w:bookmarkStart w:id="97" w:name="_Hlk83841847"/>
      <w:r>
        <w:rPr>
          <w:rFonts w:eastAsia="黑体" w:cs="Times New Roman"/>
        </w:rPr>
        <w:t>表1 “十四五”湛江市住房发展规模目标表</w:t>
      </w:r>
      <w:bookmarkEnd w:id="96"/>
    </w:p>
    <w:p>
      <w:pPr>
        <w:ind w:firstLine="560"/>
        <w:jc w:val="center"/>
        <w:rPr>
          <w:rFonts w:eastAsia="黑体" w:cs="Times New Roman"/>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712"/>
        <w:gridCol w:w="3047"/>
        <w:gridCol w:w="1169"/>
        <w:gridCol w:w="1559"/>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bookmarkStart w:id="98" w:name="_Hlk84881533"/>
            <w:r>
              <w:rPr>
                <w:rFonts w:cs="Times New Roman"/>
                <w:b/>
                <w:sz w:val="24"/>
                <w:szCs w:val="24"/>
              </w:rPr>
              <w:t>序号</w:t>
            </w:r>
          </w:p>
        </w:tc>
        <w:tc>
          <w:tcPr>
            <w:tcW w:w="2208" w:type="pct"/>
            <w:gridSpan w:val="2"/>
            <w:tcBorders>
              <w:top w:val="single" w:color="auto" w:sz="4" w:space="0"/>
              <w:left w:val="single" w:color="auto" w:sz="4" w:space="0"/>
              <w:bottom w:val="single" w:color="auto" w:sz="4" w:space="0"/>
              <w:right w:val="single" w:color="auto" w:sz="4" w:space="0"/>
            </w:tcBorders>
          </w:tcPr>
          <w:p>
            <w:pPr>
              <w:ind w:firstLine="0" w:firstLineChars="0"/>
              <w:jc w:val="center"/>
              <w:rPr>
                <w:rFonts w:cs="Times New Roman"/>
                <w:b/>
                <w:sz w:val="24"/>
                <w:szCs w:val="24"/>
              </w:rPr>
            </w:pPr>
            <w:r>
              <w:rPr>
                <w:rFonts w:cs="Times New Roman"/>
                <w:b/>
                <w:sz w:val="24"/>
                <w:szCs w:val="24"/>
              </w:rPr>
              <w:t>指标</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单位</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目标</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w:t>
            </w:r>
          </w:p>
        </w:tc>
        <w:tc>
          <w:tcPr>
            <w:tcW w:w="2208" w:type="pct"/>
            <w:gridSpan w:val="2"/>
            <w:tcBorders>
              <w:top w:val="single" w:color="auto" w:sz="4" w:space="0"/>
              <w:left w:val="single" w:color="auto" w:sz="4" w:space="0"/>
              <w:bottom w:val="single" w:color="auto" w:sz="4" w:space="0"/>
              <w:right w:val="single" w:color="auto" w:sz="4" w:space="0"/>
            </w:tcBorders>
          </w:tcPr>
          <w:p>
            <w:pPr>
              <w:ind w:firstLine="0" w:firstLineChars="0"/>
              <w:jc w:val="center"/>
              <w:rPr>
                <w:rFonts w:cs="Times New Roman"/>
                <w:sz w:val="24"/>
                <w:szCs w:val="24"/>
              </w:rPr>
            </w:pPr>
            <w:r>
              <w:rPr>
                <w:rFonts w:cs="Times New Roman"/>
                <w:sz w:val="24"/>
                <w:szCs w:val="24"/>
              </w:rPr>
              <w:t>新增供应新建商品住房</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万套</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[33.6-45.3]</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2</w:t>
            </w:r>
          </w:p>
        </w:tc>
        <w:tc>
          <w:tcPr>
            <w:tcW w:w="2208" w:type="pct"/>
            <w:gridSpan w:val="2"/>
            <w:tcBorders>
              <w:top w:val="single" w:color="auto" w:sz="4" w:space="0"/>
              <w:left w:val="single" w:color="auto" w:sz="4" w:space="0"/>
              <w:bottom w:val="single" w:color="auto" w:sz="4" w:space="0"/>
              <w:right w:val="single" w:color="auto" w:sz="4" w:space="0"/>
            </w:tcBorders>
          </w:tcPr>
          <w:p>
            <w:pPr>
              <w:ind w:firstLine="0" w:firstLineChars="0"/>
              <w:jc w:val="center"/>
              <w:rPr>
                <w:rFonts w:cs="Times New Roman"/>
                <w:sz w:val="24"/>
                <w:szCs w:val="24"/>
              </w:rPr>
            </w:pPr>
            <w:r>
              <w:rPr>
                <w:rFonts w:cs="Times New Roman"/>
                <w:sz w:val="24"/>
                <w:szCs w:val="24"/>
              </w:rPr>
              <w:t>新增筹建保障性安居工程住房（含租赁补贴）</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万套（户）</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[1.25]</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pct"/>
            <w:vMerge w:val="continue"/>
            <w:tcBorders>
              <w:left w:val="single" w:color="auto" w:sz="4" w:space="0"/>
              <w:right w:val="single" w:color="auto" w:sz="4" w:space="0"/>
            </w:tcBorders>
            <w:vAlign w:val="center"/>
          </w:tcPr>
          <w:p>
            <w:pPr>
              <w:ind w:firstLine="480"/>
              <w:jc w:val="center"/>
              <w:rPr>
                <w:rFonts w:cs="Times New Roman"/>
                <w:sz w:val="24"/>
                <w:szCs w:val="24"/>
              </w:rPr>
            </w:pPr>
          </w:p>
        </w:tc>
        <w:tc>
          <w:tcPr>
            <w:tcW w:w="419" w:type="pct"/>
            <w:vMerge w:val="restart"/>
            <w:tcBorders>
              <w:top w:val="single" w:color="auto" w:sz="4" w:space="0"/>
              <w:left w:val="single" w:color="auto" w:sz="4" w:space="0"/>
              <w:right w:val="single" w:color="auto" w:sz="4" w:space="0"/>
            </w:tcBorders>
            <w:vAlign w:val="center"/>
          </w:tcPr>
          <w:p>
            <w:pPr>
              <w:ind w:firstLine="0" w:firstLineChars="0"/>
              <w:rPr>
                <w:rFonts w:cs="Times New Roman"/>
                <w:sz w:val="24"/>
                <w:szCs w:val="24"/>
              </w:rPr>
            </w:pPr>
            <w:r>
              <w:rPr>
                <w:rFonts w:cs="Times New Roman"/>
                <w:sz w:val="24"/>
                <w:szCs w:val="24"/>
              </w:rPr>
              <w:t>其中：</w:t>
            </w:r>
          </w:p>
        </w:tc>
        <w:tc>
          <w:tcPr>
            <w:tcW w:w="178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新增筹建公共租赁住房</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万套</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[0.25]</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Merge w:val="continue"/>
            <w:tcBorders>
              <w:left w:val="single" w:color="auto" w:sz="4" w:space="0"/>
              <w:right w:val="single" w:color="auto" w:sz="4" w:space="0"/>
            </w:tcBorders>
            <w:vAlign w:val="center"/>
          </w:tcPr>
          <w:p>
            <w:pPr>
              <w:ind w:firstLine="480"/>
              <w:jc w:val="center"/>
              <w:rPr>
                <w:rFonts w:cs="Times New Roman"/>
                <w:sz w:val="24"/>
                <w:szCs w:val="24"/>
              </w:rPr>
            </w:pPr>
          </w:p>
        </w:tc>
        <w:tc>
          <w:tcPr>
            <w:tcW w:w="419" w:type="pct"/>
            <w:vMerge w:val="continue"/>
            <w:tcBorders>
              <w:left w:val="single" w:color="auto" w:sz="4" w:space="0"/>
              <w:right w:val="single" w:color="auto" w:sz="4" w:space="0"/>
            </w:tcBorders>
          </w:tcPr>
          <w:p>
            <w:pPr>
              <w:ind w:firstLine="0" w:firstLineChars="0"/>
              <w:jc w:val="center"/>
              <w:rPr>
                <w:rFonts w:cs="Times New Roman"/>
                <w:sz w:val="24"/>
                <w:szCs w:val="24"/>
              </w:rPr>
            </w:pPr>
          </w:p>
        </w:tc>
        <w:tc>
          <w:tcPr>
            <w:tcW w:w="178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新增发放租赁补贴家庭</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万户</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[0.3]</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Merge w:val="continue"/>
            <w:tcBorders>
              <w:left w:val="single" w:color="auto" w:sz="4" w:space="0"/>
              <w:right w:val="single" w:color="auto" w:sz="4" w:space="0"/>
            </w:tcBorders>
            <w:vAlign w:val="center"/>
          </w:tcPr>
          <w:p>
            <w:pPr>
              <w:ind w:firstLine="480"/>
              <w:jc w:val="center"/>
              <w:rPr>
                <w:rFonts w:cs="Times New Roman"/>
                <w:sz w:val="24"/>
                <w:szCs w:val="24"/>
              </w:rPr>
            </w:pPr>
          </w:p>
        </w:tc>
        <w:tc>
          <w:tcPr>
            <w:tcW w:w="419" w:type="pct"/>
            <w:vMerge w:val="continue"/>
            <w:tcBorders>
              <w:left w:val="single" w:color="auto" w:sz="4" w:space="0"/>
              <w:right w:val="single" w:color="auto" w:sz="4" w:space="0"/>
            </w:tcBorders>
          </w:tcPr>
          <w:p>
            <w:pPr>
              <w:ind w:firstLine="0" w:firstLineChars="0"/>
              <w:jc w:val="center"/>
              <w:rPr>
                <w:rFonts w:cs="Times New Roman"/>
                <w:sz w:val="24"/>
                <w:szCs w:val="24"/>
              </w:rPr>
            </w:pPr>
          </w:p>
        </w:tc>
        <w:tc>
          <w:tcPr>
            <w:tcW w:w="178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新增筹建保障性租赁住房</w:t>
            </w:r>
          </w:p>
        </w:tc>
        <w:tc>
          <w:tcPr>
            <w:tcW w:w="68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万套</w:t>
            </w:r>
          </w:p>
        </w:tc>
        <w:tc>
          <w:tcPr>
            <w:tcW w:w="90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[0.7]</w:t>
            </w:r>
          </w:p>
        </w:tc>
        <w:tc>
          <w:tcPr>
            <w:tcW w:w="72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预期性</w:t>
            </w:r>
          </w:p>
        </w:tc>
      </w:tr>
    </w:tbl>
    <w:p>
      <w:pPr>
        <w:spacing w:line="320" w:lineRule="exact"/>
        <w:ind w:firstLine="0" w:firstLineChars="0"/>
        <w:rPr>
          <w:rFonts w:cs="Times New Roman"/>
          <w:sz w:val="24"/>
          <w:szCs w:val="24"/>
        </w:rPr>
      </w:pPr>
      <w:r>
        <w:rPr>
          <w:rFonts w:cs="Times New Roman"/>
          <w:sz w:val="24"/>
          <w:szCs w:val="24"/>
        </w:rPr>
        <w:t>注（下同）： [ ]为累计值</w:t>
      </w:r>
    </w:p>
    <w:p>
      <w:pPr>
        <w:spacing w:line="320" w:lineRule="exact"/>
        <w:ind w:firstLine="0" w:firstLineChars="0"/>
        <w:rPr>
          <w:rFonts w:cs="Times New Roman"/>
          <w:sz w:val="24"/>
          <w:szCs w:val="24"/>
        </w:rPr>
      </w:pPr>
      <w:bookmarkStart w:id="99" w:name="_Hlk84857338"/>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w:t>
      </w:r>
      <w:r>
        <w:rPr>
          <w:rFonts w:hint="eastAsia" w:cs="Times New Roman"/>
          <w:sz w:val="24"/>
          <w:szCs w:val="24"/>
        </w:rPr>
        <w:t>房源</w:t>
      </w:r>
      <w:r>
        <w:rPr>
          <w:rFonts w:cs="Times New Roman"/>
          <w:sz w:val="24"/>
          <w:szCs w:val="24"/>
        </w:rPr>
        <w:t>统计口径为新开工或存量房源新纳入管理。</w:t>
      </w:r>
    </w:p>
    <w:bookmarkEnd w:id="97"/>
    <w:bookmarkEnd w:id="98"/>
    <w:bookmarkEnd w:id="99"/>
    <w:p>
      <w:pPr>
        <w:spacing w:line="320" w:lineRule="exact"/>
        <w:ind w:firstLine="0" w:firstLineChars="0"/>
        <w:rPr>
          <w:rFonts w:cs="Times New Roman"/>
          <w:sz w:val="24"/>
          <w:szCs w:val="24"/>
        </w:rPr>
      </w:pPr>
      <w:r>
        <w:rPr>
          <w:rFonts w:eastAsia="黑体" w:cs="Times New Roman"/>
        </w:rPr>
        <w:br w:type="page"/>
      </w:r>
    </w:p>
    <w:p>
      <w:pPr>
        <w:ind w:firstLine="0" w:firstLineChars="0"/>
        <w:jc w:val="center"/>
        <w:outlineLvl w:val="1"/>
        <w:rPr>
          <w:rFonts w:eastAsia="黑体" w:cs="Times New Roman"/>
        </w:rPr>
      </w:pPr>
      <w:bookmarkStart w:id="100" w:name="_Toc107777099"/>
      <w:r>
        <w:rPr>
          <w:rFonts w:eastAsia="黑体" w:cs="Times New Roman"/>
        </w:rPr>
        <w:t>表2 “十四五”湛江市各县（市、区）住房发展规模目标表</w:t>
      </w:r>
      <w:bookmarkEnd w:id="100"/>
    </w:p>
    <w:p>
      <w:pPr>
        <w:ind w:firstLine="480"/>
        <w:jc w:val="right"/>
        <w:rPr>
          <w:rFonts w:cs="Times New Roman"/>
          <w:sz w:val="24"/>
        </w:rPr>
      </w:pPr>
      <w:bookmarkStart w:id="101" w:name="_Hlk84857284"/>
      <w:r>
        <w:rPr>
          <w:rFonts w:cs="Times New Roman"/>
          <w:sz w:val="24"/>
        </w:rPr>
        <w:t>单位：套、户</w:t>
      </w:r>
    </w:p>
    <w:bookmarkEnd w:id="101"/>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48"/>
        <w:gridCol w:w="1387"/>
        <w:gridCol w:w="1551"/>
        <w:gridCol w:w="1614"/>
        <w:gridCol w:w="116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4" w:type="pct"/>
            <w:gridSpan w:val="2"/>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bookmarkStart w:id="102" w:name="_Hlk84881686"/>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4" w:type="pct"/>
            <w:gridSpan w:val="2"/>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市区</w:t>
            </w: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赤坎区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60000</w:t>
            </w:r>
          </w:p>
        </w:tc>
        <w:tc>
          <w:tcPr>
            <w:tcW w:w="947" w:type="pct"/>
            <w:tcBorders>
              <w:top w:val="single" w:color="auto" w:sz="4" w:space="0"/>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600</w:t>
            </w:r>
          </w:p>
        </w:tc>
        <w:tc>
          <w:tcPr>
            <w:tcW w:w="683"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1180</w:t>
            </w:r>
          </w:p>
        </w:tc>
        <w:tc>
          <w:tcPr>
            <w:tcW w:w="731"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霞山区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55000</w:t>
            </w:r>
          </w:p>
        </w:tc>
        <w:tc>
          <w:tcPr>
            <w:tcW w:w="947"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w:t>
            </w:r>
          </w:p>
        </w:tc>
        <w:tc>
          <w:tcPr>
            <w:tcW w:w="683"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坡头区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50000</w:t>
            </w:r>
          </w:p>
        </w:tc>
        <w:tc>
          <w:tcPr>
            <w:tcW w:w="947"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200</w:t>
            </w:r>
          </w:p>
        </w:tc>
        <w:tc>
          <w:tcPr>
            <w:tcW w:w="683"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麻章区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22500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30000</w:t>
            </w:r>
          </w:p>
        </w:tc>
        <w:tc>
          <w:tcPr>
            <w:tcW w:w="947"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经开区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45000</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172500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1200</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1180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吴川市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bookmarkStart w:id="103" w:name="_Hlk112062519"/>
            <w:r>
              <w:rPr>
                <w:rFonts w:cs="Times New Roman"/>
                <w:bCs/>
                <w:sz w:val="24"/>
                <w:szCs w:val="24"/>
              </w:rPr>
              <w:t>45500</w:t>
            </w:r>
            <w:bookmarkEnd w:id="103"/>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徐闻县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雷州市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23000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290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430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遂溪县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廉江市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52000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740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910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全市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336000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453000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2500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3000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7000</w:t>
            </w:r>
          </w:p>
        </w:tc>
      </w:tr>
      <w:bookmarkEnd w:id="102"/>
    </w:tbl>
    <w:p>
      <w:pPr>
        <w:ind w:firstLine="0" w:firstLineChars="0"/>
        <w:jc w:val="left"/>
        <w:rPr>
          <w:rFonts w:cs="Times New Roman"/>
          <w:sz w:val="24"/>
        </w:rPr>
      </w:pPr>
      <w:r>
        <w:rPr>
          <w:rFonts w:hint="eastAsia" w:cs="Times New Roman"/>
          <w:sz w:val="24"/>
        </w:rPr>
        <w:t>注：</w:t>
      </w:r>
    </w:p>
    <w:p>
      <w:pPr>
        <w:ind w:firstLine="0" w:firstLineChars="0"/>
        <w:rPr>
          <w:rFonts w:cs="Times New Roman"/>
          <w:sz w:val="24"/>
        </w:rPr>
      </w:pPr>
      <w:r>
        <w:rPr>
          <w:rFonts w:cs="Times New Roman"/>
          <w:sz w:val="24"/>
        </w:rPr>
        <w:t>由于房地产市场发展存在波动和不确定性，主管部门应根据市场实际情况对新建商品住房目标进行</w:t>
      </w:r>
      <w:r>
        <w:rPr>
          <w:rFonts w:hint="eastAsia" w:cs="Times New Roman"/>
          <w:sz w:val="24"/>
        </w:rPr>
        <w:t>中期调整</w:t>
      </w:r>
      <w:r>
        <w:rPr>
          <w:rFonts w:cs="Times New Roman"/>
          <w:sz w:val="24"/>
        </w:rPr>
        <w:t>，避免出现房地产市场库存过高和过低的情况，促进房地产市场平稳健康发展。</w:t>
      </w:r>
    </w:p>
    <w:p>
      <w:pPr>
        <w:ind w:firstLine="0" w:firstLineChars="0"/>
        <w:jc w:val="center"/>
        <w:outlineLvl w:val="1"/>
        <w:rPr>
          <w:rFonts w:eastAsia="黑体" w:cs="Times New Roman"/>
        </w:rPr>
      </w:pPr>
      <w:r>
        <w:rPr>
          <w:rFonts w:eastAsia="黑体" w:cs="Times New Roman"/>
        </w:rPr>
        <w:br w:type="page"/>
      </w:r>
      <w:bookmarkStart w:id="104" w:name="_Toc107777100"/>
      <w:r>
        <w:rPr>
          <w:rFonts w:eastAsia="黑体" w:cs="Times New Roman"/>
        </w:rPr>
        <w:t>表3 “十四五”湛江市各县（市、区）住房发展所需住宅用地表</w:t>
      </w:r>
      <w:bookmarkEnd w:id="104"/>
    </w:p>
    <w:p>
      <w:pPr>
        <w:ind w:firstLine="480"/>
        <w:jc w:val="right"/>
        <w:rPr>
          <w:rFonts w:cs="Times New Roman"/>
          <w:sz w:val="24"/>
        </w:rPr>
      </w:pPr>
      <w:r>
        <w:rPr>
          <w:rFonts w:cs="Times New Roman"/>
          <w:sz w:val="24"/>
        </w:rPr>
        <w:t>单位：公顷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48"/>
        <w:gridCol w:w="1387"/>
        <w:gridCol w:w="1551"/>
        <w:gridCol w:w="1467"/>
        <w:gridCol w:w="131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4" w:type="pct"/>
            <w:gridSpan w:val="2"/>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CellMar>
            <w:top w:w="0" w:type="dxa"/>
            <w:left w:w="108" w:type="dxa"/>
            <w:bottom w:w="0" w:type="dxa"/>
            <w:right w:w="108" w:type="dxa"/>
          </w:tblCellMar>
        </w:tblPrEx>
        <w:trPr>
          <w:trHeight w:val="523" w:hRule="atLeast"/>
          <w:tblHeader/>
        </w:trPr>
        <w:tc>
          <w:tcPr>
            <w:tcW w:w="914" w:type="pct"/>
            <w:gridSpan w:val="2"/>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861"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769"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市区</w:t>
            </w: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赤坎区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140.0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210.0</w:t>
            </w:r>
          </w:p>
        </w:tc>
        <w:tc>
          <w:tcPr>
            <w:tcW w:w="861" w:type="pct"/>
            <w:tcBorders>
              <w:top w:val="single" w:color="auto" w:sz="4" w:space="0"/>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1.2</w:t>
            </w:r>
          </w:p>
        </w:tc>
        <w:tc>
          <w:tcPr>
            <w:tcW w:w="769"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霞山区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157.5</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192.5</w:t>
            </w:r>
          </w:p>
        </w:tc>
        <w:tc>
          <w:tcPr>
            <w:tcW w:w="861"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0.6</w:t>
            </w:r>
          </w:p>
        </w:tc>
        <w:tc>
          <w:tcPr>
            <w:tcW w:w="769"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坡头区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105.0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175.0</w:t>
            </w:r>
          </w:p>
        </w:tc>
        <w:tc>
          <w:tcPr>
            <w:tcW w:w="861"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0.4</w:t>
            </w:r>
          </w:p>
        </w:tc>
        <w:tc>
          <w:tcPr>
            <w:tcW w:w="769"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麻章区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78.8</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105.0</w:t>
            </w:r>
          </w:p>
        </w:tc>
        <w:tc>
          <w:tcPr>
            <w:tcW w:w="861" w:type="pct"/>
            <w:tcBorders>
              <w:left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0.2</w:t>
            </w:r>
          </w:p>
        </w:tc>
        <w:tc>
          <w:tcPr>
            <w:tcW w:w="769"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经开区</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122.5</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157.5</w:t>
            </w:r>
          </w:p>
        </w:tc>
        <w:tc>
          <w:tcPr>
            <w:tcW w:w="861"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769"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c>
          <w:tcPr>
            <w:tcW w:w="731"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00"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603.8</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840.0</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2.4</w:t>
            </w:r>
          </w:p>
        </w:tc>
        <w:tc>
          <w:tcPr>
            <w:tcW w:w="769" w:type="pct"/>
            <w:tcBorders>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tcPr>
          <w:p>
            <w:pPr>
              <w:ind w:firstLine="0" w:firstLineChars="0"/>
              <w:jc w:val="center"/>
              <w:rPr>
                <w:rFonts w:cs="Times New Roman"/>
                <w:bCs/>
                <w:sz w:val="24"/>
                <w:szCs w:val="24"/>
              </w:rPr>
            </w:pPr>
            <w:r>
              <w:rPr>
                <w:rFonts w:cs="Times New Roman"/>
                <w:bCs/>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吴川市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159.3</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168.0</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0.2</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徐闻县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87.5</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129.5</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0.2</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雷州市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80.5</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126.0</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0.6</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遂溪县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105.0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140.0</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0.1</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廉江市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140.0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182.0</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1.5</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4" w:type="pct"/>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全市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1176.1</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1585.5</w:t>
            </w:r>
          </w:p>
        </w:tc>
        <w:tc>
          <w:tcPr>
            <w:tcW w:w="861" w:type="pct"/>
            <w:tcBorders>
              <w:top w:val="single" w:color="auto" w:sz="4" w:space="0"/>
              <w:left w:val="single" w:color="auto" w:sz="4" w:space="0"/>
              <w:bottom w:val="single" w:color="auto" w:sz="4" w:space="0"/>
              <w:right w:val="single" w:color="auto" w:sz="4" w:space="0"/>
            </w:tcBorders>
            <w:noWrap/>
          </w:tcPr>
          <w:p>
            <w:pPr>
              <w:ind w:firstLine="0" w:firstLineChars="0"/>
              <w:jc w:val="center"/>
              <w:rPr>
                <w:rFonts w:cs="Times New Roman"/>
                <w:bCs/>
                <w:sz w:val="24"/>
                <w:szCs w:val="24"/>
              </w:rPr>
            </w:pPr>
            <w:r>
              <w:rPr>
                <w:rFonts w:cs="Times New Roman"/>
                <w:bCs/>
                <w:sz w:val="24"/>
                <w:szCs w:val="24"/>
              </w:rPr>
              <w:t>5.0</w:t>
            </w:r>
          </w:p>
        </w:tc>
        <w:tc>
          <w:tcPr>
            <w:tcW w:w="76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16.3</w:t>
            </w:r>
          </w:p>
        </w:tc>
      </w:tr>
    </w:tbl>
    <w:p>
      <w:pPr>
        <w:ind w:firstLine="0" w:firstLineChars="0"/>
        <w:jc w:val="left"/>
        <w:rPr>
          <w:rFonts w:cs="Times New Roman"/>
          <w:sz w:val="24"/>
        </w:rPr>
      </w:pPr>
      <w:r>
        <w:rPr>
          <w:rFonts w:hint="eastAsia" w:cs="Times New Roman"/>
          <w:sz w:val="24"/>
        </w:rPr>
        <w:t>注：</w:t>
      </w:r>
    </w:p>
    <w:p>
      <w:pPr>
        <w:ind w:firstLine="0" w:firstLineChars="0"/>
        <w:rPr>
          <w:rFonts w:cs="Times New Roman"/>
          <w:sz w:val="24"/>
        </w:rPr>
      </w:pPr>
      <w:r>
        <w:rPr>
          <w:rFonts w:cs="Times New Roman"/>
          <w:sz w:val="24"/>
        </w:rPr>
        <w:t>由于房地产市场发展存在波动和不确定性，主管部门应根据市场实际情况对</w:t>
      </w:r>
      <w:r>
        <w:rPr>
          <w:rFonts w:hint="eastAsia" w:cs="Times New Roman"/>
          <w:sz w:val="24"/>
        </w:rPr>
        <w:t>住房发展所需住宅用地</w:t>
      </w:r>
      <w:r>
        <w:rPr>
          <w:rFonts w:cs="Times New Roman"/>
          <w:sz w:val="24"/>
        </w:rPr>
        <w:t>进行</w:t>
      </w:r>
      <w:r>
        <w:rPr>
          <w:rFonts w:hint="eastAsia" w:cs="Times New Roman"/>
          <w:sz w:val="24"/>
        </w:rPr>
        <w:t>中期调整</w:t>
      </w:r>
      <w:r>
        <w:rPr>
          <w:rFonts w:cs="Times New Roman"/>
          <w:sz w:val="24"/>
        </w:rPr>
        <w:t>，</w:t>
      </w:r>
      <w:r>
        <w:rPr>
          <w:rFonts w:hint="eastAsia" w:cs="Times New Roman"/>
          <w:sz w:val="24"/>
        </w:rPr>
        <w:t>保障各类住房有序供应</w:t>
      </w:r>
      <w:r>
        <w:rPr>
          <w:rFonts w:cs="Times New Roman"/>
          <w:sz w:val="24"/>
        </w:rPr>
        <w:t>，促进房地产市场平稳健康发展。</w:t>
      </w:r>
    </w:p>
    <w:p>
      <w:pPr>
        <w:ind w:firstLine="480"/>
        <w:jc w:val="right"/>
        <w:rPr>
          <w:rFonts w:cs="Times New Roman"/>
          <w:sz w:val="24"/>
        </w:rPr>
      </w:pPr>
    </w:p>
    <w:p>
      <w:pPr>
        <w:ind w:firstLine="480"/>
        <w:jc w:val="right"/>
        <w:rPr>
          <w:rFonts w:cs="Times New Roman"/>
          <w:sz w:val="24"/>
        </w:rPr>
      </w:pPr>
    </w:p>
    <w:p>
      <w:pPr>
        <w:ind w:firstLine="0" w:firstLineChars="0"/>
        <w:jc w:val="center"/>
        <w:rPr>
          <w:rFonts w:eastAsia="黑体" w:cs="Times New Roman"/>
        </w:rPr>
      </w:pPr>
      <w:r>
        <w:rPr>
          <w:rFonts w:eastAsia="黑体" w:cs="Times New Roman"/>
        </w:rPr>
        <w:br w:type="page"/>
      </w:r>
    </w:p>
    <w:p>
      <w:pPr>
        <w:ind w:firstLine="0" w:firstLineChars="0"/>
        <w:jc w:val="center"/>
        <w:outlineLvl w:val="1"/>
        <w:rPr>
          <w:rFonts w:eastAsia="黑体" w:cs="Times New Roman"/>
        </w:rPr>
      </w:pPr>
      <w:bookmarkStart w:id="105" w:name="_Toc107777101"/>
      <w:r>
        <w:rPr>
          <w:rFonts w:eastAsia="黑体" w:cs="Times New Roman"/>
        </w:rPr>
        <w:t>表4 “十四五”湛江市住房发展年度计划表</w:t>
      </w:r>
      <w:bookmarkEnd w:id="105"/>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55500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63200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230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240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61500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76500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490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67000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89800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73000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104100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610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79000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119400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670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336000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453000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2500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3000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7000</w:t>
            </w:r>
          </w:p>
        </w:tc>
      </w:tr>
    </w:tbl>
    <w:p>
      <w:pPr>
        <w:ind w:firstLine="0" w:firstLineChars="0"/>
        <w:jc w:val="left"/>
        <w:rPr>
          <w:rFonts w:cs="Times New Roman"/>
          <w:sz w:val="24"/>
        </w:rPr>
      </w:pPr>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spacing w:line="320" w:lineRule="exact"/>
        <w:ind w:firstLine="0" w:firstLineChars="0"/>
        <w:rPr>
          <w:rFonts w:cs="Times New Roman"/>
          <w:sz w:val="24"/>
        </w:rPr>
        <w:sectPr>
          <w:pgSz w:w="11906" w:h="16838"/>
          <w:pgMar w:top="1440" w:right="1800" w:bottom="1440" w:left="1800" w:header="851" w:footer="992" w:gutter="0"/>
          <w:cols w:space="425" w:num="1"/>
          <w:docGrid w:type="lines" w:linePitch="381" w:charSpace="0"/>
        </w:sect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p>
    <w:p>
      <w:pPr>
        <w:ind w:firstLine="0" w:firstLineChars="0"/>
        <w:jc w:val="center"/>
        <w:outlineLvl w:val="1"/>
      </w:pPr>
      <w:bookmarkStart w:id="106" w:name="_Toc107777102"/>
      <w:r>
        <w:rPr>
          <w:rFonts w:hint="eastAsia" w:eastAsia="黑体" w:cs="Times New Roman"/>
        </w:rPr>
        <w:t>表5</w:t>
      </w:r>
      <w:r>
        <w:rPr>
          <w:rFonts w:eastAsia="黑体" w:cs="Times New Roman"/>
        </w:rPr>
        <w:t xml:space="preserve"> </w:t>
      </w:r>
      <w:r>
        <w:rPr>
          <w:rFonts w:hint="eastAsia" w:eastAsia="黑体" w:cs="Times New Roman"/>
        </w:rPr>
        <w:t>《湛江市“十四五”住房发展规划》重点工作任务清单</w:t>
      </w:r>
      <w:bookmarkEnd w:id="106"/>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85"/>
        <w:gridCol w:w="5188"/>
        <w:gridCol w:w="1582"/>
        <w:gridCol w:w="2880"/>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4" w:type="pct"/>
            <w:vAlign w:val="center"/>
          </w:tcPr>
          <w:p>
            <w:pPr>
              <w:adjustRightInd w:val="0"/>
              <w:snapToGrid w:val="0"/>
              <w:ind w:firstLine="0" w:firstLineChars="0"/>
              <w:jc w:val="center"/>
              <w:rPr>
                <w:b/>
                <w:bCs/>
              </w:rPr>
            </w:pPr>
            <w:r>
              <w:rPr>
                <w:rFonts w:hint="eastAsia"/>
                <w:b/>
                <w:bCs/>
              </w:rPr>
              <w:t>序号</w:t>
            </w:r>
          </w:p>
        </w:tc>
        <w:tc>
          <w:tcPr>
            <w:tcW w:w="559" w:type="pct"/>
            <w:vAlign w:val="center"/>
          </w:tcPr>
          <w:p>
            <w:pPr>
              <w:adjustRightInd w:val="0"/>
              <w:snapToGrid w:val="0"/>
              <w:ind w:firstLine="0" w:firstLineChars="0"/>
              <w:jc w:val="center"/>
              <w:rPr>
                <w:b/>
                <w:bCs/>
              </w:rPr>
            </w:pPr>
            <w:r>
              <w:rPr>
                <w:rFonts w:hint="eastAsia"/>
                <w:b/>
                <w:bCs/>
              </w:rPr>
              <w:t>主要任务</w:t>
            </w:r>
          </w:p>
        </w:tc>
        <w:tc>
          <w:tcPr>
            <w:tcW w:w="1830" w:type="pct"/>
            <w:vAlign w:val="center"/>
          </w:tcPr>
          <w:p>
            <w:pPr>
              <w:adjustRightInd w:val="0"/>
              <w:snapToGrid w:val="0"/>
              <w:ind w:firstLine="0" w:firstLineChars="0"/>
              <w:jc w:val="center"/>
              <w:rPr>
                <w:b/>
                <w:bCs/>
              </w:rPr>
            </w:pPr>
            <w:r>
              <w:rPr>
                <w:rFonts w:hint="eastAsia"/>
                <w:b/>
                <w:bCs/>
              </w:rPr>
              <w:t>工作重点</w:t>
            </w:r>
          </w:p>
        </w:tc>
        <w:tc>
          <w:tcPr>
            <w:tcW w:w="558" w:type="pct"/>
            <w:vAlign w:val="center"/>
          </w:tcPr>
          <w:p>
            <w:pPr>
              <w:adjustRightInd w:val="0"/>
              <w:snapToGrid w:val="0"/>
              <w:ind w:firstLine="0" w:firstLineChars="0"/>
              <w:jc w:val="center"/>
              <w:rPr>
                <w:b/>
                <w:bCs/>
              </w:rPr>
            </w:pPr>
            <w:r>
              <w:rPr>
                <w:rFonts w:hint="eastAsia"/>
                <w:b/>
                <w:bCs/>
              </w:rPr>
              <w:t>牵头单位</w:t>
            </w:r>
          </w:p>
        </w:tc>
        <w:tc>
          <w:tcPr>
            <w:tcW w:w="1016" w:type="pct"/>
            <w:vAlign w:val="center"/>
          </w:tcPr>
          <w:p>
            <w:pPr>
              <w:adjustRightInd w:val="0"/>
              <w:snapToGrid w:val="0"/>
              <w:ind w:firstLine="0" w:firstLineChars="0"/>
              <w:jc w:val="center"/>
              <w:rPr>
                <w:b/>
                <w:bCs/>
              </w:rPr>
            </w:pPr>
            <w:r>
              <w:rPr>
                <w:rFonts w:hint="eastAsia"/>
                <w:b/>
                <w:bCs/>
              </w:rPr>
              <w:t>配合单位</w:t>
            </w:r>
          </w:p>
        </w:tc>
        <w:tc>
          <w:tcPr>
            <w:tcW w:w="683" w:type="pct"/>
            <w:vAlign w:val="center"/>
          </w:tcPr>
          <w:p>
            <w:pPr>
              <w:adjustRightInd w:val="0"/>
              <w:snapToGrid w:val="0"/>
              <w:ind w:firstLine="0" w:firstLineChars="0"/>
              <w:jc w:val="center"/>
              <w:rPr>
                <w:b/>
                <w:bCs/>
              </w:rPr>
            </w:pPr>
            <w:r>
              <w:rPr>
                <w:rFonts w:hint="eastAsia"/>
                <w:b/>
                <w:bCs/>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p>
        </w:tc>
        <w:tc>
          <w:tcPr>
            <w:tcW w:w="559" w:type="pct"/>
            <w:vMerge w:val="restart"/>
            <w:vAlign w:val="center"/>
          </w:tcPr>
          <w:p>
            <w:pPr>
              <w:adjustRightInd w:val="0"/>
              <w:snapToGrid w:val="0"/>
              <w:ind w:firstLine="0" w:firstLineChars="0"/>
              <w:jc w:val="center"/>
              <w:rPr>
                <w:b/>
                <w:bCs/>
              </w:rPr>
            </w:pPr>
            <w:r>
              <w:rPr>
                <w:rFonts w:hint="eastAsia"/>
                <w:b/>
                <w:bCs/>
              </w:rPr>
              <w:t>（一）落实“十四五”住房发展目标</w:t>
            </w:r>
          </w:p>
        </w:tc>
        <w:tc>
          <w:tcPr>
            <w:tcW w:w="1830" w:type="pct"/>
            <w:vAlign w:val="center"/>
          </w:tcPr>
          <w:p>
            <w:pPr>
              <w:adjustRightInd w:val="0"/>
              <w:snapToGrid w:val="0"/>
              <w:ind w:firstLine="0" w:firstLineChars="0"/>
            </w:pPr>
            <w:r>
              <w:rPr>
                <w:rFonts w:hint="eastAsia"/>
                <w:b/>
                <w:bCs/>
              </w:rPr>
              <w:t>落实保障性安居工程新增筹建目标，</w:t>
            </w:r>
            <w:r>
              <w:rPr>
                <w:rFonts w:hint="eastAsia"/>
              </w:rPr>
              <w:t>各县（市、区）落实“十四五”新增筹建公共租赁住房、新增发放租赁补贴家庭和新增筹建保障性租赁住房目标。</w:t>
            </w:r>
          </w:p>
        </w:tc>
        <w:tc>
          <w:tcPr>
            <w:tcW w:w="558" w:type="pct"/>
            <w:vAlign w:val="center"/>
          </w:tcPr>
          <w:p>
            <w:pPr>
              <w:adjustRightInd w:val="0"/>
              <w:snapToGrid w:val="0"/>
              <w:ind w:firstLine="0" w:firstLineChars="0"/>
              <w:jc w:val="center"/>
            </w:pPr>
            <w:r>
              <w:rPr>
                <w:rFonts w:hint="eastAsia"/>
              </w:rPr>
              <w:t>各县（市、区）人民政府</w:t>
            </w:r>
          </w:p>
        </w:tc>
        <w:tc>
          <w:tcPr>
            <w:tcW w:w="1016" w:type="pct"/>
            <w:vAlign w:val="center"/>
          </w:tcPr>
          <w:p>
            <w:pPr>
              <w:adjustRightInd w:val="0"/>
              <w:snapToGrid w:val="0"/>
              <w:ind w:firstLine="0" w:firstLineChars="0"/>
              <w:jc w:val="center"/>
            </w:pPr>
            <w:r>
              <w:rPr>
                <w:rFonts w:hint="eastAsia"/>
              </w:rPr>
              <w:t>市住房和城乡建设局、市财政局、市自然资源局等有关单位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2</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r>
              <w:rPr>
                <w:rFonts w:hint="eastAsia"/>
                <w:b/>
                <w:bCs/>
              </w:rPr>
              <w:t>组织规划中期调整</w:t>
            </w:r>
            <w:r>
              <w:rPr>
                <w:rFonts w:hint="eastAsia"/>
              </w:rPr>
              <w:t>，结合住房发展新形势、新要求，对各项住房发展目标和主要任务进行中期调整，并将保障性安居工程住房建设目标纳入市国民经济和社会发展</w:t>
            </w:r>
            <w:r>
              <w:rPr>
                <w:rFonts w:hint="eastAsia"/>
                <w:lang w:eastAsia="zh-CN"/>
              </w:rPr>
              <w:t>“</w:t>
            </w:r>
            <w:r>
              <w:rPr>
                <w:rFonts w:hint="eastAsia"/>
              </w:rPr>
              <w:t>十四五</w:t>
            </w:r>
            <w:bookmarkStart w:id="331" w:name="_GoBack"/>
            <w:bookmarkEnd w:id="331"/>
            <w:r>
              <w:rPr>
                <w:rFonts w:hint="eastAsia"/>
                <w:lang w:eastAsia="zh-CN"/>
              </w:rPr>
              <w:t>”</w:t>
            </w:r>
            <w:r>
              <w:rPr>
                <w:rFonts w:hint="eastAsia"/>
              </w:rPr>
              <w:t>规划中期调整。</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各县（市、区）人民政府、市发展和改革局等有关单位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Align w:val="center"/>
          </w:tcPr>
          <w:p>
            <w:pPr>
              <w:adjustRightInd w:val="0"/>
              <w:snapToGrid w:val="0"/>
              <w:ind w:firstLine="0" w:firstLineChars="0"/>
              <w:jc w:val="center"/>
            </w:pPr>
            <w:r>
              <w:rPr>
                <w:rFonts w:hint="eastAsia"/>
              </w:rPr>
              <w:t>3</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r>
              <w:rPr>
                <w:rFonts w:hint="eastAsia"/>
                <w:b/>
                <w:bCs/>
              </w:rPr>
              <w:t>组织规划实施评估</w:t>
            </w:r>
            <w:r>
              <w:rPr>
                <w:rFonts w:hint="eastAsia"/>
              </w:rPr>
              <w:t>，规划期末对各项住房发展目标和主要任务完成情况进行评估，总结“十四五”住房发展存在问题。</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各县（市、区）人民政府等有关单位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t>4</w:t>
            </w:r>
          </w:p>
        </w:tc>
        <w:tc>
          <w:tcPr>
            <w:tcW w:w="559" w:type="pct"/>
            <w:vMerge w:val="restart"/>
            <w:vAlign w:val="center"/>
          </w:tcPr>
          <w:p>
            <w:pPr>
              <w:adjustRightInd w:val="0"/>
              <w:snapToGrid w:val="0"/>
              <w:ind w:firstLine="0" w:firstLineChars="0"/>
              <w:jc w:val="center"/>
              <w:rPr>
                <w:b/>
                <w:bCs/>
              </w:rPr>
            </w:pPr>
            <w:r>
              <w:rPr>
                <w:rFonts w:hint="eastAsia"/>
                <w:b/>
                <w:bCs/>
              </w:rPr>
              <w:t>（二）构建合理住房空间布局</w:t>
            </w:r>
          </w:p>
        </w:tc>
        <w:tc>
          <w:tcPr>
            <w:tcW w:w="1830" w:type="pct"/>
            <w:vAlign w:val="center"/>
          </w:tcPr>
          <w:p>
            <w:pPr>
              <w:adjustRightInd w:val="0"/>
              <w:snapToGrid w:val="0"/>
              <w:ind w:firstLine="0" w:firstLineChars="0"/>
            </w:pPr>
            <w:r>
              <w:rPr>
                <w:rFonts w:hint="eastAsia"/>
                <w:b/>
                <w:bCs/>
              </w:rPr>
              <w:t>保障住宅用地供给，</w:t>
            </w:r>
            <w:r>
              <w:rPr>
                <w:rFonts w:hint="eastAsia"/>
              </w:rPr>
              <w:t>加强人-房-地联动，建立与人口增长相挂钩、以需求定供给、以效益定供给的城市建设用地供应机制。</w:t>
            </w:r>
          </w:p>
        </w:tc>
        <w:tc>
          <w:tcPr>
            <w:tcW w:w="558"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市自然资源局</w:t>
            </w:r>
          </w:p>
        </w:tc>
        <w:tc>
          <w:tcPr>
            <w:tcW w:w="1016" w:type="pct"/>
            <w:vAlign w:val="center"/>
          </w:tcPr>
          <w:p>
            <w:pPr>
              <w:adjustRightInd w:val="0"/>
              <w:snapToGrid w:val="0"/>
              <w:ind w:firstLine="0" w:firstLineChars="0"/>
              <w:jc w:val="center"/>
            </w:pPr>
            <w:r>
              <w:rPr>
                <w:rFonts w:hint="eastAsia"/>
              </w:rPr>
              <w:t>各县（市、区）人民政府、市住房和城乡建设局等有关单位</w:t>
            </w:r>
          </w:p>
        </w:tc>
        <w:tc>
          <w:tcPr>
            <w:tcW w:w="683" w:type="pct"/>
            <w:vAlign w:val="center"/>
          </w:tcPr>
          <w:p>
            <w:pPr>
              <w:adjustRightInd w:val="0"/>
              <w:snapToGrid w:val="0"/>
              <w:ind w:firstLine="0" w:firstLineChars="0"/>
              <w:jc w:val="center"/>
            </w:pPr>
            <w:r>
              <w:rPr>
                <w:rFonts w:hint="eastAsia"/>
              </w:rPr>
              <w:t>2</w:t>
            </w:r>
            <w:r>
              <w:t>024</w:t>
            </w:r>
            <w:r>
              <w:rPr>
                <w:rFonts w:hint="eastAsia"/>
              </w:rPr>
              <w:t>年</w:t>
            </w:r>
            <w:r>
              <w:t>12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t>5</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b/>
                <w:bCs/>
              </w:rPr>
            </w:pPr>
            <w:r>
              <w:rPr>
                <w:rFonts w:hint="eastAsia"/>
                <w:b/>
                <w:bCs/>
              </w:rPr>
              <w:t>发挥好住房对城市发展的基础支撑作用</w:t>
            </w:r>
            <w:r>
              <w:rPr>
                <w:rFonts w:hint="eastAsia"/>
              </w:rPr>
              <w:t>，开展住宅用地专项规划或专题研究，引导住宅用地合理布局，推动中心城区强心提质，促进县域高质量发展，合理引导乡镇住房发展，适当控制一般乡镇和农村地区新增住房供给，避免特色小镇房地产化。</w:t>
            </w:r>
          </w:p>
        </w:tc>
        <w:tc>
          <w:tcPr>
            <w:tcW w:w="558" w:type="pct"/>
            <w:vAlign w:val="center"/>
          </w:tcPr>
          <w:p>
            <w:pPr>
              <w:adjustRightInd w:val="0"/>
              <w:snapToGrid w:val="0"/>
              <w:ind w:firstLine="0" w:firstLineChars="0"/>
              <w:jc w:val="center"/>
              <w:rPr>
                <w:rFonts w:ascii="仿宋_GB2312"/>
                <w:color w:val="000000" w:themeColor="text1"/>
                <w14:textFill>
                  <w14:solidFill>
                    <w14:schemeClr w14:val="tx1"/>
                  </w14:solidFill>
                </w14:textFill>
              </w:rPr>
            </w:pPr>
            <w:r>
              <w:rPr>
                <w:rFonts w:hint="eastAsia"/>
              </w:rPr>
              <w:t>各县（市、区）人民政府</w:t>
            </w:r>
          </w:p>
        </w:tc>
        <w:tc>
          <w:tcPr>
            <w:tcW w:w="1016"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市自然资源局、</w:t>
            </w:r>
            <w:r>
              <w:rPr>
                <w:rFonts w:hint="eastAsia"/>
              </w:rPr>
              <w:t>市住房和城乡建设局等有关单位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6</w:t>
            </w:r>
          </w:p>
        </w:tc>
        <w:tc>
          <w:tcPr>
            <w:tcW w:w="559" w:type="pct"/>
            <w:vMerge w:val="restart"/>
            <w:vAlign w:val="center"/>
          </w:tcPr>
          <w:p>
            <w:pPr>
              <w:adjustRightInd w:val="0"/>
              <w:snapToGrid w:val="0"/>
              <w:ind w:firstLine="0" w:firstLineChars="0"/>
              <w:jc w:val="center"/>
              <w:rPr>
                <w:b/>
                <w:bCs/>
              </w:rPr>
            </w:pPr>
            <w:r>
              <w:rPr>
                <w:rFonts w:hint="eastAsia"/>
                <w:b/>
                <w:bCs/>
              </w:rPr>
              <w:t>（三）促进房地产市场健康发展</w:t>
            </w:r>
          </w:p>
        </w:tc>
        <w:tc>
          <w:tcPr>
            <w:tcW w:w="1830" w:type="pct"/>
            <w:vAlign w:val="center"/>
          </w:tcPr>
          <w:p>
            <w:pPr>
              <w:adjustRightInd w:val="0"/>
              <w:snapToGrid w:val="0"/>
              <w:ind w:firstLine="0" w:firstLineChars="0"/>
              <w:rPr>
                <w:rFonts w:hint="eastAsia"/>
                <w:b/>
                <w:bCs/>
              </w:rPr>
            </w:pPr>
            <w:r>
              <w:rPr>
                <w:rFonts w:hint="eastAsia"/>
                <w:b/>
                <w:bCs/>
              </w:rPr>
              <w:t>稳步实施“一城一策”，</w:t>
            </w:r>
            <w:bookmarkStart w:id="107" w:name="_Hlk107695367"/>
            <w:r>
              <w:rPr>
                <w:rFonts w:hint="eastAsia"/>
              </w:rPr>
              <w:t>每年制定房地产年度工作目标，结合市场实际情况，及时提出土地、金融、财税、住房公积金等具体工作措施，促进新建商品住宅销售价格指数、二手住宅销售价格指数、住宅用地价格指数、住宅租赁价格指数保持在合理区间。</w:t>
            </w:r>
            <w:bookmarkEnd w:id="107"/>
          </w:p>
        </w:tc>
        <w:tc>
          <w:tcPr>
            <w:tcW w:w="558" w:type="pct"/>
            <w:vAlign w:val="center"/>
          </w:tcPr>
          <w:p>
            <w:pPr>
              <w:adjustRightInd w:val="0"/>
              <w:snapToGrid w:val="0"/>
              <w:ind w:firstLine="0" w:firstLineChars="0"/>
              <w:jc w:val="center"/>
              <w:rPr>
                <w:rFonts w:hint="eastAsia"/>
              </w:rPr>
            </w:pPr>
            <w:r>
              <w:rPr>
                <w:rFonts w:hint="eastAsia" w:ascii="仿宋_GB2312"/>
                <w:color w:val="000000" w:themeColor="text1"/>
                <w14:textFill>
                  <w14:solidFill>
                    <w14:schemeClr w14:val="tx1"/>
                  </w14:solidFill>
                </w14:textFill>
              </w:rPr>
              <w:t>市住房和城乡建设局</w:t>
            </w:r>
          </w:p>
        </w:tc>
        <w:tc>
          <w:tcPr>
            <w:tcW w:w="1016" w:type="pct"/>
            <w:vAlign w:val="center"/>
          </w:tcPr>
          <w:p>
            <w:pPr>
              <w:adjustRightInd w:val="0"/>
              <w:snapToGrid w:val="0"/>
              <w:ind w:firstLine="0" w:firstLineChars="0"/>
              <w:jc w:val="center"/>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市自然资源局、市金融工作局、市银保监分局、人民银行湛江中心支行、市财政局、市税务局等有关单位</w:t>
            </w:r>
          </w:p>
        </w:tc>
        <w:tc>
          <w:tcPr>
            <w:tcW w:w="683" w:type="pct"/>
            <w:vAlign w:val="center"/>
          </w:tcPr>
          <w:p>
            <w:pPr>
              <w:adjustRightInd w:val="0"/>
              <w:snapToGrid w:val="0"/>
              <w:ind w:firstLine="0" w:firstLineChars="0"/>
              <w:jc w:val="center"/>
              <w:rPr>
                <w:rFonts w:hint="eastAsia"/>
              </w:rPr>
            </w:pPr>
            <w:r>
              <w:rPr>
                <w:rFonts w:hint="eastAsi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rPr>
                <w:rFonts w:hint="eastAsia"/>
              </w:rPr>
            </w:pPr>
            <w:r>
              <w:rPr>
                <w:rFonts w:hint="eastAsia"/>
              </w:rPr>
              <w:t>7</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rFonts w:hint="eastAsia"/>
                <w:b/>
                <w:bCs/>
              </w:rPr>
            </w:pPr>
            <w:bookmarkStart w:id="108" w:name="_Hlk107695114"/>
            <w:r>
              <w:rPr>
                <w:rFonts w:hint="eastAsia"/>
                <w:b/>
                <w:bCs/>
              </w:rPr>
              <w:t>加快盘活存量闲置土地</w:t>
            </w:r>
            <w:r>
              <w:rPr>
                <w:rFonts w:hint="eastAsia"/>
              </w:rPr>
              <w:t>，开展系统评估，分类提出解决办法。重点加大存量闲置土地的促建力度；完善盘活存量闲置土地、化解历史遗留问题处理的实施细则、操作流程；以及加快存量闲置土地周边道路、市政管网等配套基础设施建设，探索建立存量闲置土地盘活交易平台，对陷入困境的房地产项目，推进存量项目收并购和盘活，为闲置存量土地盘活创造各项条件。</w:t>
            </w:r>
            <w:bookmarkEnd w:id="108"/>
          </w:p>
        </w:tc>
        <w:tc>
          <w:tcPr>
            <w:tcW w:w="558" w:type="pct"/>
            <w:vAlign w:val="center"/>
          </w:tcPr>
          <w:p>
            <w:pPr>
              <w:adjustRightInd w:val="0"/>
              <w:snapToGrid w:val="0"/>
              <w:ind w:firstLine="0" w:firstLineChars="0"/>
              <w:jc w:val="center"/>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市自然资源局</w:t>
            </w:r>
          </w:p>
        </w:tc>
        <w:tc>
          <w:tcPr>
            <w:tcW w:w="1016" w:type="pct"/>
            <w:vAlign w:val="center"/>
          </w:tcPr>
          <w:p>
            <w:pPr>
              <w:adjustRightInd w:val="0"/>
              <w:snapToGrid w:val="0"/>
              <w:ind w:firstLine="0" w:firstLineChars="0"/>
              <w:jc w:val="center"/>
              <w:rPr>
                <w:rFonts w:hint="eastAsia" w:ascii="仿宋_GB2312"/>
                <w:color w:val="000000" w:themeColor="text1"/>
                <w14:textFill>
                  <w14:solidFill>
                    <w14:schemeClr w14:val="tx1"/>
                  </w14:solidFill>
                </w14:textFill>
              </w:rPr>
            </w:pPr>
            <w:r>
              <w:rPr>
                <w:rFonts w:hint="eastAsia"/>
              </w:rPr>
              <w:t>各县（市、区）人民政府</w:t>
            </w:r>
            <w:r>
              <w:rPr>
                <w:rFonts w:hint="eastAsia" w:ascii="仿宋_GB2312"/>
                <w:color w:val="000000" w:themeColor="text1"/>
                <w14:textFill>
                  <w14:solidFill>
                    <w14:schemeClr w14:val="tx1"/>
                  </w14:solidFill>
                </w14:textFill>
              </w:rPr>
              <w:t>，市城市更新局、市住房和城乡建设局等有关单位</w:t>
            </w:r>
          </w:p>
        </w:tc>
        <w:tc>
          <w:tcPr>
            <w:tcW w:w="683" w:type="pct"/>
            <w:vAlign w:val="center"/>
          </w:tcPr>
          <w:p>
            <w:pPr>
              <w:adjustRightInd w:val="0"/>
              <w:snapToGrid w:val="0"/>
              <w:ind w:firstLine="0" w:firstLineChars="0"/>
              <w:jc w:val="center"/>
              <w:rPr>
                <w:rFonts w:hint="eastAsia"/>
              </w:rP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rPr>
                <w:rFonts w:hint="eastAsia"/>
              </w:rPr>
            </w:pPr>
            <w:r>
              <w:rPr>
                <w:rFonts w:hint="eastAsia"/>
              </w:rPr>
              <w:t>8</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rFonts w:hint="eastAsia"/>
                <w:b/>
                <w:bCs/>
              </w:rPr>
            </w:pPr>
            <w:r>
              <w:rPr>
                <w:rFonts w:hint="eastAsia"/>
                <w:b/>
                <w:bCs/>
              </w:rPr>
              <w:t>推进3-</w:t>
            </w:r>
            <w:r>
              <w:rPr>
                <w:b/>
                <w:bCs/>
              </w:rPr>
              <w:t>5</w:t>
            </w:r>
            <w:r>
              <w:rPr>
                <w:rFonts w:hint="eastAsia"/>
                <w:b/>
                <w:bCs/>
              </w:rPr>
              <w:t>个片区综合开发</w:t>
            </w:r>
            <w:r>
              <w:rPr>
                <w:rFonts w:hint="eastAsia"/>
              </w:rPr>
              <w:t>，加快推进湛江北站枢纽地区、西城片区等土地综合开发策划和推，统筹考虑片区产业发展和房地产开发，加快形成科学高效的土地开发和供应模式，土地供给效率和土地价值得到明显提升。</w:t>
            </w:r>
          </w:p>
        </w:tc>
        <w:tc>
          <w:tcPr>
            <w:tcW w:w="558" w:type="pct"/>
            <w:vAlign w:val="center"/>
          </w:tcPr>
          <w:p>
            <w:pPr>
              <w:adjustRightInd w:val="0"/>
              <w:snapToGrid w:val="0"/>
              <w:ind w:firstLine="0" w:firstLineChars="0"/>
              <w:jc w:val="center"/>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市自然资源局</w:t>
            </w:r>
          </w:p>
        </w:tc>
        <w:tc>
          <w:tcPr>
            <w:tcW w:w="1016" w:type="pct"/>
            <w:vAlign w:val="center"/>
          </w:tcPr>
          <w:p>
            <w:pPr>
              <w:adjustRightInd w:val="0"/>
              <w:snapToGrid w:val="0"/>
              <w:ind w:firstLine="0" w:firstLineChars="0"/>
              <w:jc w:val="center"/>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市土地储备管理中心、市发展和改革局、市城市更新局、市住房和城乡建设局、市国资委等有关单位</w:t>
            </w:r>
          </w:p>
        </w:tc>
        <w:tc>
          <w:tcPr>
            <w:tcW w:w="683" w:type="pct"/>
            <w:vAlign w:val="center"/>
          </w:tcPr>
          <w:p>
            <w:pPr>
              <w:adjustRightInd w:val="0"/>
              <w:snapToGrid w:val="0"/>
              <w:ind w:firstLine="0" w:firstLineChars="0"/>
              <w:jc w:val="center"/>
              <w:rPr>
                <w:rFonts w:hint="eastAsia"/>
              </w:rP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Align w:val="center"/>
          </w:tcPr>
          <w:p>
            <w:pPr>
              <w:adjustRightInd w:val="0"/>
              <w:snapToGrid w:val="0"/>
              <w:ind w:firstLine="0" w:firstLineChars="0"/>
              <w:jc w:val="center"/>
            </w:pPr>
            <w:r>
              <w:t>9</w:t>
            </w:r>
          </w:p>
        </w:tc>
        <w:tc>
          <w:tcPr>
            <w:tcW w:w="559" w:type="pct"/>
            <w:vMerge w:val="restart"/>
            <w:vAlign w:val="center"/>
          </w:tcPr>
          <w:p>
            <w:pPr>
              <w:adjustRightInd w:val="0"/>
              <w:snapToGrid w:val="0"/>
              <w:ind w:firstLine="0" w:firstLineChars="0"/>
              <w:jc w:val="center"/>
              <w:rPr>
                <w:b/>
                <w:bCs/>
              </w:rPr>
            </w:pPr>
            <w:r>
              <w:rPr>
                <w:rFonts w:hint="eastAsia"/>
                <w:b/>
                <w:bCs/>
              </w:rPr>
              <w:t>（四）优化房地产市场营商环境</w:t>
            </w:r>
          </w:p>
        </w:tc>
        <w:tc>
          <w:tcPr>
            <w:tcW w:w="1830" w:type="pct"/>
            <w:vAlign w:val="center"/>
          </w:tcPr>
          <w:p>
            <w:pPr>
              <w:adjustRightInd w:val="0"/>
              <w:snapToGrid w:val="0"/>
              <w:ind w:firstLine="0" w:firstLineChars="0"/>
            </w:pPr>
            <w:r>
              <w:rPr>
                <w:rFonts w:hint="eastAsia"/>
                <w:b/>
                <w:bCs/>
              </w:rPr>
              <w:t>稳步推进工程建设领域审批制度改革。</w:t>
            </w:r>
            <w:r>
              <w:rPr>
                <w:rFonts w:hint="eastAsia"/>
              </w:rPr>
              <w:t>贯彻落实国家工程建设项目制度改革要求，规范和统一审批管理体系，房地产开发项目报建“一窗受理、并联审批”，由市住建局牵头，进一步明确各部门职责，明晰工作规程，规范审批行为，简化缩短项目审批流程，确保审批各阶段、各环节无缝衔接，进一步压缩工程建设项目全流程审批时间。建立审批协调机制，及时协调解决部门意见分歧。建立跟踪督办制度，实时跟踪审批办理情况，对全过程实施督办。</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市自然资源局、市发展和改革局等有关单位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t>10</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bookmarkStart w:id="109" w:name="_Hlk107695737"/>
            <w:r>
              <w:rPr>
                <w:rFonts w:hint="eastAsia"/>
                <w:b/>
                <w:bCs/>
              </w:rPr>
              <w:t>进一步优化城市更新“三旧”改造审批流程</w:t>
            </w:r>
            <w:r>
              <w:rPr>
                <w:rFonts w:hint="eastAsia"/>
              </w:rPr>
              <w:t>，针对项目推进过程存在的难点堵点，细化实施细则政策和办事指南，提高政策的可实施性，加快项目落地建设。</w:t>
            </w:r>
            <w:bookmarkEnd w:id="109"/>
          </w:p>
        </w:tc>
        <w:tc>
          <w:tcPr>
            <w:tcW w:w="558" w:type="pct"/>
            <w:vAlign w:val="center"/>
          </w:tcPr>
          <w:p>
            <w:pPr>
              <w:adjustRightInd w:val="0"/>
              <w:snapToGrid w:val="0"/>
              <w:ind w:firstLine="0" w:firstLineChars="0"/>
              <w:jc w:val="center"/>
            </w:pPr>
            <w:r>
              <w:rPr>
                <w:rFonts w:hint="eastAsia"/>
              </w:rPr>
              <w:t>市城市更新局</w:t>
            </w:r>
          </w:p>
        </w:tc>
        <w:tc>
          <w:tcPr>
            <w:tcW w:w="1016" w:type="pct"/>
            <w:vAlign w:val="center"/>
          </w:tcPr>
          <w:p>
            <w:pPr>
              <w:adjustRightInd w:val="0"/>
              <w:snapToGrid w:val="0"/>
              <w:ind w:firstLine="0" w:firstLineChars="0"/>
              <w:jc w:val="center"/>
            </w:pPr>
            <w:r>
              <w:rPr>
                <w:rFonts w:hint="eastAsia"/>
              </w:rPr>
              <w:t>各县（市、区）人民政府、市自然资源局等有关单位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t>11</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bookmarkStart w:id="110" w:name="_Hlk107695892"/>
            <w:r>
              <w:rPr>
                <w:rFonts w:hint="eastAsia"/>
                <w:b/>
                <w:bCs/>
              </w:rPr>
              <w:t>建立健全房地产行业信用体系</w:t>
            </w:r>
            <w:r>
              <w:rPr>
                <w:rFonts w:hint="eastAsia"/>
              </w:rPr>
              <w:t>，建立诚信典型“红名单”制度和严重失信主体“黑名单”制度，实施失信联合惩戒和守信联合激励机制，创造更加公平的市场参与机制。</w:t>
            </w:r>
            <w:bookmarkEnd w:id="110"/>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市人民法院、人民银行湛江中心支行、市交通运输局等有关单位</w:t>
            </w:r>
          </w:p>
        </w:tc>
        <w:tc>
          <w:tcPr>
            <w:tcW w:w="683" w:type="pct"/>
            <w:vAlign w:val="center"/>
          </w:tcPr>
          <w:p>
            <w:pPr>
              <w:adjustRightInd w:val="0"/>
              <w:snapToGrid w:val="0"/>
              <w:ind w:firstLine="0" w:firstLineChars="0"/>
              <w:jc w:val="center"/>
            </w:pPr>
            <w:r>
              <w:rPr>
                <w:rFonts w:hint="eastAsia"/>
              </w:rPr>
              <w:t>2</w:t>
            </w:r>
            <w:r>
              <w:t>024</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r>
              <w:t>2</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b/>
                <w:bCs/>
              </w:rPr>
            </w:pPr>
            <w:r>
              <w:rPr>
                <w:rFonts w:hint="eastAsia"/>
                <w:b/>
                <w:bCs/>
              </w:rPr>
              <w:t>推进数字住房（粤安居）一体化平台建设</w:t>
            </w:r>
            <w:r>
              <w:rPr>
                <w:rFonts w:hint="eastAsia"/>
              </w:rPr>
              <w:t>，从土地供应、规划审批、施工许可、批准预售、网签备案等多个环节对房地产项目开展跟踪服务和监督，</w:t>
            </w:r>
            <w:bookmarkStart w:id="111" w:name="_Hlk107695562"/>
            <w:r>
              <w:rPr>
                <w:rFonts w:hint="eastAsia"/>
              </w:rPr>
              <w:t>横向整合商品房开发销售、住房租赁、保障房和物业服务等业务，纵向打通与不动产、政数、公安和税务等部门的数据共享，与住房公积金系统对接融合，实现房屋全生命周期管理</w:t>
            </w:r>
            <w:bookmarkEnd w:id="111"/>
            <w:r>
              <w:rPr>
                <w:rFonts w:hint="eastAsia"/>
              </w:rPr>
              <w:t>。</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市自然资源局、市政府服务数据管理局、市公安局、市税务局、市住房公积金中心等有关单位</w:t>
            </w:r>
          </w:p>
        </w:tc>
        <w:tc>
          <w:tcPr>
            <w:tcW w:w="683" w:type="pct"/>
            <w:vAlign w:val="center"/>
          </w:tcPr>
          <w:p>
            <w:pPr>
              <w:adjustRightInd w:val="0"/>
              <w:snapToGrid w:val="0"/>
              <w:ind w:firstLine="0" w:firstLineChars="0"/>
              <w:jc w:val="center"/>
            </w:pPr>
            <w:r>
              <w:rPr>
                <w:rFonts w:hint="eastAsia"/>
              </w:rPr>
              <w:t>2</w:t>
            </w:r>
            <w:r>
              <w:t>024</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Align w:val="center"/>
          </w:tcPr>
          <w:p>
            <w:pPr>
              <w:adjustRightInd w:val="0"/>
              <w:snapToGrid w:val="0"/>
              <w:ind w:firstLine="0" w:firstLineChars="0"/>
              <w:jc w:val="center"/>
            </w:pPr>
            <w:r>
              <w:rPr>
                <w:rFonts w:hint="eastAsia"/>
              </w:rPr>
              <w:t>1</w:t>
            </w:r>
            <w:r>
              <w:t>3</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b/>
                <w:bCs/>
              </w:rPr>
            </w:pPr>
            <w:r>
              <w:rPr>
                <w:rFonts w:hint="eastAsia"/>
                <w:b/>
                <w:bCs/>
              </w:rPr>
              <w:t>加强房地产市场监测分析，</w:t>
            </w:r>
            <w:r>
              <w:rPr>
                <w:rFonts w:hint="eastAsia"/>
              </w:rPr>
              <w:t>建立健全“月度分析、季度评价、年度总结”的房地产市场监测分析机制。</w:t>
            </w:r>
          </w:p>
        </w:tc>
        <w:tc>
          <w:tcPr>
            <w:tcW w:w="558"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市住房和城乡建设局</w:t>
            </w:r>
          </w:p>
        </w:tc>
        <w:tc>
          <w:tcPr>
            <w:tcW w:w="1016"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各县（市、区）人民政府、市自然资源局、市统计局、市住房公积金中心、人民银行湛江中心支行、市供电局等有关单位</w:t>
            </w:r>
          </w:p>
        </w:tc>
        <w:tc>
          <w:tcPr>
            <w:tcW w:w="683" w:type="pct"/>
            <w:vAlign w:val="center"/>
          </w:tcPr>
          <w:p>
            <w:pPr>
              <w:adjustRightInd w:val="0"/>
              <w:snapToGrid w:val="0"/>
              <w:ind w:firstLine="0" w:firstLineChars="0"/>
              <w:jc w:val="center"/>
            </w:pPr>
            <w:r>
              <w:rPr>
                <w:rFonts w:hint="eastAsi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t>14</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rPr>
                <w:b/>
                <w:bCs/>
              </w:rPr>
            </w:pPr>
            <w:r>
              <w:rPr>
                <w:rFonts w:hint="eastAsia"/>
                <w:b/>
                <w:bCs/>
              </w:rPr>
              <w:t>规范房地产市场秩序</w:t>
            </w:r>
            <w:r>
              <w:rPr>
                <w:rFonts w:hint="eastAsia"/>
              </w:rPr>
              <w:t>，</w:t>
            </w:r>
            <w:bookmarkStart w:id="112" w:name="_Hlk107695470"/>
            <w:r>
              <w:rPr>
                <w:rFonts w:hint="eastAsia"/>
              </w:rPr>
              <w:t>每年房地产专项检查工作采取“双随机、一公开”抽查方式2-</w:t>
            </w:r>
            <w:r>
              <w:t>3</w:t>
            </w:r>
            <w:r>
              <w:rPr>
                <w:rFonts w:hint="eastAsia"/>
              </w:rPr>
              <w:t>次，加强房地产行业监管，打击房地产领域违法违规行为。</w:t>
            </w:r>
            <w:bookmarkEnd w:id="112"/>
          </w:p>
        </w:tc>
        <w:tc>
          <w:tcPr>
            <w:tcW w:w="558" w:type="pct"/>
            <w:vAlign w:val="center"/>
          </w:tcPr>
          <w:p>
            <w:pPr>
              <w:adjustRightInd w:val="0"/>
              <w:snapToGrid w:val="0"/>
              <w:ind w:firstLine="0" w:firstLineChars="0"/>
              <w:jc w:val="center"/>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市住房和城乡建设局</w:t>
            </w:r>
          </w:p>
        </w:tc>
        <w:tc>
          <w:tcPr>
            <w:tcW w:w="1016" w:type="pct"/>
            <w:vAlign w:val="center"/>
          </w:tcPr>
          <w:p>
            <w:pPr>
              <w:adjustRightInd w:val="0"/>
              <w:snapToGrid w:val="0"/>
              <w:ind w:firstLine="0" w:firstLineChars="0"/>
              <w:jc w:val="center"/>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各县（市、区）人民政府等有关单位</w:t>
            </w:r>
          </w:p>
        </w:tc>
        <w:tc>
          <w:tcPr>
            <w:tcW w:w="683" w:type="pct"/>
            <w:vAlign w:val="center"/>
          </w:tcPr>
          <w:p>
            <w:pPr>
              <w:adjustRightInd w:val="0"/>
              <w:snapToGrid w:val="0"/>
              <w:ind w:firstLine="0" w:firstLineChars="0"/>
              <w:jc w:val="center"/>
            </w:pPr>
            <w:r>
              <w:rPr>
                <w:rFonts w:hint="eastAsi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r>
              <w:t>5</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r>
              <w:rPr>
                <w:rFonts w:hint="eastAsia"/>
                <w:b/>
                <w:bCs/>
              </w:rPr>
              <w:t>做好房地产重点项目跟踪服务，</w:t>
            </w:r>
            <w:r>
              <w:rPr>
                <w:rFonts w:hint="eastAsia"/>
              </w:rPr>
              <w:t>建立健全房地产开发企业信息报送机制，深入企业开展调研，及时了解企业面临的发展困难，加强对企业上门服务，促进房地产开发企业有序转型升级，开展优秀项目和企业评选，鼓励骨干龙头企业和标杆企业做大做强，促进房地产项目向规模化、集约化方向发展。</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市自然资源局、市教育局、市卫生健康局、市交通运输局等有关单位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r>
              <w:t>6</w:t>
            </w:r>
          </w:p>
        </w:tc>
        <w:tc>
          <w:tcPr>
            <w:tcW w:w="559" w:type="pct"/>
            <w:vMerge w:val="restart"/>
            <w:vAlign w:val="center"/>
          </w:tcPr>
          <w:p>
            <w:pPr>
              <w:adjustRightInd w:val="0"/>
              <w:snapToGrid w:val="0"/>
              <w:ind w:firstLine="0" w:firstLineChars="0"/>
              <w:jc w:val="center"/>
              <w:rPr>
                <w:b/>
                <w:bCs/>
              </w:rPr>
            </w:pPr>
            <w:r>
              <w:rPr>
                <w:rFonts w:hint="eastAsia"/>
                <w:b/>
                <w:bCs/>
              </w:rPr>
              <w:t>（五）稳步提升住房保障水平</w:t>
            </w:r>
          </w:p>
        </w:tc>
        <w:tc>
          <w:tcPr>
            <w:tcW w:w="1830" w:type="pct"/>
            <w:vAlign w:val="center"/>
          </w:tcPr>
          <w:p>
            <w:pPr>
              <w:adjustRightInd w:val="0"/>
              <w:snapToGrid w:val="0"/>
              <w:ind w:firstLine="0" w:firstLineChars="0"/>
            </w:pPr>
            <w:r>
              <w:rPr>
                <w:rFonts w:hint="eastAsia"/>
                <w:b/>
                <w:bCs/>
              </w:rPr>
              <w:t>筑牢住房领域民生兜底保障</w:t>
            </w:r>
            <w:r>
              <w:rPr>
                <w:rFonts w:hint="eastAsia"/>
              </w:rPr>
              <w:t>，确保符合条件的城镇低保、低收入住房困难家庭凡申请住房保障，实现应保尽保。持续做好城镇中等偏下收入住房困难家庭的保障工作，符合条件的城镇中等偏下收入住房困难家庭凡申请住房保障，力争在3年轮候期内予以保障。</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市民政局、市财政局等有关单位</w:t>
            </w:r>
          </w:p>
        </w:tc>
        <w:tc>
          <w:tcPr>
            <w:tcW w:w="683" w:type="pct"/>
            <w:vAlign w:val="center"/>
          </w:tcPr>
          <w:p>
            <w:pPr>
              <w:adjustRightInd w:val="0"/>
              <w:snapToGrid w:val="0"/>
              <w:ind w:firstLine="0" w:firstLineChars="0"/>
              <w:jc w:val="center"/>
            </w:pPr>
            <w:r>
              <w:rPr>
                <w:rFonts w:hint="eastAsia"/>
              </w:rPr>
              <w:t>2</w:t>
            </w:r>
            <w:r>
              <w:t>022</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Align w:val="center"/>
          </w:tcPr>
          <w:p>
            <w:pPr>
              <w:adjustRightInd w:val="0"/>
              <w:snapToGrid w:val="0"/>
              <w:ind w:firstLine="0" w:firstLineChars="0"/>
              <w:jc w:val="center"/>
            </w:pPr>
            <w:r>
              <w:rPr>
                <w:rFonts w:hint="eastAsia"/>
              </w:rPr>
              <w:t>1</w:t>
            </w:r>
            <w:r>
              <w:t>7</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r>
              <w:rPr>
                <w:rFonts w:hint="eastAsia"/>
                <w:b/>
                <w:bCs/>
              </w:rPr>
              <w:t>编制保障性租赁住房专项规划</w:t>
            </w:r>
            <w:r>
              <w:rPr>
                <w:rFonts w:hint="eastAsia"/>
              </w:rPr>
              <w:t>，开展保障性租赁住房需求和存量土地房屋摸底，确定保障性租赁住房总目标和各县（市、区）筹建任务，形成保障性租赁住房项目储备库。</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各县（市、区）人民政府、市教育局、市卫健局、市国资委等有关单位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w:t>
            </w:r>
            <w:r>
              <w:t>6</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r>
              <w:t>8</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bookmarkStart w:id="113" w:name="_Hlk107696186"/>
            <w:r>
              <w:rPr>
                <w:rFonts w:hint="eastAsia"/>
                <w:b/>
                <w:bCs/>
              </w:rPr>
              <w:t>制定《关于加快发展保障性租赁住房的实施意见》及相关配套政策</w:t>
            </w:r>
            <w:bookmarkEnd w:id="113"/>
            <w:r>
              <w:rPr>
                <w:rFonts w:hint="eastAsia"/>
              </w:rPr>
              <w:t>，指导保障性租赁住房项目实施和监管，落实保障性租赁住房相关的土地、审批、金融、税收等方面的支持政策。</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各县（市、区）人民政府、市自然资源局、市税务局、市发展和改革局、市金融工作局等有关单位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1</w:t>
            </w:r>
            <w:r>
              <w:t>9</w:t>
            </w:r>
          </w:p>
        </w:tc>
        <w:tc>
          <w:tcPr>
            <w:tcW w:w="559" w:type="pct"/>
            <w:vMerge w:val="continue"/>
            <w:vAlign w:val="center"/>
          </w:tcPr>
          <w:p>
            <w:pPr>
              <w:adjustRightInd w:val="0"/>
              <w:snapToGrid w:val="0"/>
              <w:ind w:firstLine="0" w:firstLineChars="0"/>
              <w:jc w:val="center"/>
              <w:rPr>
                <w:b/>
                <w:bCs/>
              </w:rPr>
            </w:pPr>
          </w:p>
        </w:tc>
        <w:tc>
          <w:tcPr>
            <w:tcW w:w="1830" w:type="pct"/>
            <w:vAlign w:val="center"/>
          </w:tcPr>
          <w:p>
            <w:pPr>
              <w:adjustRightInd w:val="0"/>
              <w:snapToGrid w:val="0"/>
              <w:ind w:firstLine="0" w:firstLineChars="0"/>
            </w:pPr>
            <w:r>
              <w:rPr>
                <w:rFonts w:hint="eastAsia"/>
                <w:b/>
                <w:bCs/>
              </w:rPr>
              <w:t>探索健全“租售补”相结合的人才安居体系</w:t>
            </w:r>
            <w:r>
              <w:rPr>
                <w:rFonts w:hint="eastAsia"/>
              </w:rPr>
              <w:t>，加大高层次人才安居力度，鼓励有条件的地区探索通过“先租后售”、产权共有等方式向高层次人才提供产权性住房。</w:t>
            </w:r>
          </w:p>
        </w:tc>
        <w:tc>
          <w:tcPr>
            <w:tcW w:w="558" w:type="pct"/>
            <w:vAlign w:val="center"/>
          </w:tcPr>
          <w:p>
            <w:pPr>
              <w:adjustRightInd w:val="0"/>
              <w:snapToGrid w:val="0"/>
              <w:ind w:firstLine="0" w:firstLineChars="0"/>
              <w:jc w:val="center"/>
            </w:pPr>
            <w:r>
              <w:rPr>
                <w:rFonts w:hint="eastAsia"/>
              </w:rPr>
              <w:t>市住房和城乡建设局</w:t>
            </w:r>
          </w:p>
        </w:tc>
        <w:tc>
          <w:tcPr>
            <w:tcW w:w="1016" w:type="pct"/>
            <w:vAlign w:val="center"/>
          </w:tcPr>
          <w:p>
            <w:pPr>
              <w:adjustRightInd w:val="0"/>
              <w:snapToGrid w:val="0"/>
              <w:ind w:firstLine="0" w:firstLineChars="0"/>
              <w:jc w:val="center"/>
            </w:pPr>
            <w:r>
              <w:rPr>
                <w:rFonts w:hint="eastAsia"/>
              </w:rPr>
              <w:t>各县（市、区）人民政府、市人力资源和社会保障局等有关单位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2</w:t>
            </w:r>
            <w:r>
              <w:t>0</w:t>
            </w:r>
          </w:p>
        </w:tc>
        <w:tc>
          <w:tcPr>
            <w:tcW w:w="559" w:type="pct"/>
            <w:vMerge w:val="restart"/>
            <w:vAlign w:val="center"/>
          </w:tcPr>
          <w:p>
            <w:pPr>
              <w:adjustRightInd w:val="0"/>
              <w:snapToGrid w:val="0"/>
              <w:ind w:firstLine="0" w:firstLineChars="0"/>
              <w:jc w:val="center"/>
              <w:rPr>
                <w:b/>
                <w:bCs/>
              </w:rPr>
            </w:pPr>
            <w:r>
              <w:rPr>
                <w:rFonts w:hint="eastAsia"/>
                <w:b/>
                <w:bCs/>
              </w:rPr>
              <w:t>（六）全面提升居住品质</w:t>
            </w:r>
          </w:p>
        </w:tc>
        <w:tc>
          <w:tcPr>
            <w:tcW w:w="1830" w:type="pct"/>
            <w:vAlign w:val="center"/>
          </w:tcPr>
          <w:p>
            <w:pPr>
              <w:adjustRightInd w:val="0"/>
              <w:snapToGrid w:val="0"/>
              <w:ind w:firstLine="0" w:firstLineChars="0"/>
            </w:pPr>
            <w:r>
              <w:rPr>
                <w:rFonts w:hint="eastAsia"/>
                <w:b/>
                <w:bCs/>
              </w:rPr>
              <w:t>推动教育产业高质量发展，</w:t>
            </w:r>
            <w:r>
              <w:rPr>
                <w:rFonts w:hint="eastAsia"/>
              </w:rPr>
              <w:t>高度重视基础教育对人口的牵引作用，促进高品质住房与优质基础教育协调发展。引导</w:t>
            </w:r>
            <w:r>
              <w:t>和鼓励房地产开发主体高标准配建教育设施，积极推动基础教育资源和服务供给侧改革，多措并举带动基础教育管理水平和教学质量</w:t>
            </w:r>
            <w:r>
              <w:rPr>
                <w:rFonts w:hint="eastAsia"/>
              </w:rPr>
              <w:t>整体</w:t>
            </w:r>
            <w:r>
              <w:t>提升。</w:t>
            </w:r>
          </w:p>
        </w:tc>
        <w:tc>
          <w:tcPr>
            <w:tcW w:w="558" w:type="pct"/>
            <w:vAlign w:val="center"/>
          </w:tcPr>
          <w:p>
            <w:pPr>
              <w:adjustRightInd w:val="0"/>
              <w:snapToGrid w:val="0"/>
              <w:ind w:firstLine="0" w:firstLineChars="0"/>
              <w:jc w:val="center"/>
            </w:pPr>
            <w:r>
              <w:rPr>
                <w:rFonts w:hint="eastAsia"/>
              </w:rPr>
              <w:t>市教育局</w:t>
            </w:r>
          </w:p>
        </w:tc>
        <w:tc>
          <w:tcPr>
            <w:tcW w:w="1016" w:type="pct"/>
            <w:vAlign w:val="center"/>
          </w:tcPr>
          <w:p>
            <w:pPr>
              <w:adjustRightInd w:val="0"/>
              <w:snapToGrid w:val="0"/>
              <w:ind w:firstLine="0" w:firstLineChars="0"/>
              <w:jc w:val="center"/>
            </w:pPr>
            <w:r>
              <w:rPr>
                <w:rFonts w:hint="eastAsia"/>
              </w:rPr>
              <w:t>市自然资源局、市住房和城乡建设局等有关单位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 w:type="pct"/>
            <w:vAlign w:val="center"/>
          </w:tcPr>
          <w:p>
            <w:pPr>
              <w:adjustRightInd w:val="0"/>
              <w:snapToGrid w:val="0"/>
              <w:ind w:firstLine="0" w:firstLineChars="0"/>
              <w:jc w:val="center"/>
            </w:pPr>
            <w:r>
              <w:rPr>
                <w:rFonts w:hint="eastAsia"/>
              </w:rPr>
              <w:t>2</w:t>
            </w:r>
            <w:r>
              <w:t>1</w:t>
            </w:r>
          </w:p>
        </w:tc>
        <w:tc>
          <w:tcPr>
            <w:tcW w:w="559" w:type="pct"/>
            <w:vMerge w:val="continue"/>
            <w:vAlign w:val="center"/>
          </w:tcPr>
          <w:p>
            <w:pPr>
              <w:adjustRightInd w:val="0"/>
              <w:snapToGrid w:val="0"/>
              <w:ind w:firstLine="0" w:firstLineChars="0"/>
              <w:jc w:val="center"/>
            </w:pPr>
          </w:p>
        </w:tc>
        <w:tc>
          <w:tcPr>
            <w:tcW w:w="1830" w:type="pct"/>
            <w:vAlign w:val="center"/>
          </w:tcPr>
          <w:p>
            <w:pPr>
              <w:adjustRightInd w:val="0"/>
              <w:snapToGrid w:val="0"/>
              <w:ind w:firstLine="0" w:firstLineChars="0"/>
              <w:rPr>
                <w:b/>
                <w:bCs/>
              </w:rPr>
            </w:pPr>
            <w:r>
              <w:rPr>
                <w:rFonts w:hint="eastAsia"/>
                <w:b/>
                <w:bCs/>
              </w:rPr>
              <w:t>促进居住就业适度平衡。</w:t>
            </w:r>
            <w:r>
              <w:rPr>
                <w:rFonts w:hint="eastAsia"/>
              </w:rPr>
              <w:t>以步行十五分钟为空间尺度，坚持“小街区、密路网”布局原则，倡导社区功能混合布局和土地混合利用。应按照规划人口规模和合理服务半径，重点完善交通设施，补齐周边教育、医疗、养老等公共服务和社区服务设施短板。</w:t>
            </w:r>
          </w:p>
        </w:tc>
        <w:tc>
          <w:tcPr>
            <w:tcW w:w="558" w:type="pct"/>
            <w:vAlign w:val="center"/>
          </w:tcPr>
          <w:p>
            <w:pPr>
              <w:adjustRightInd w:val="0"/>
              <w:snapToGrid w:val="0"/>
              <w:ind w:firstLine="0" w:firstLineChars="0"/>
              <w:jc w:val="center"/>
            </w:pPr>
            <w:r>
              <w:rPr>
                <w:rFonts w:hint="eastAsia"/>
              </w:rPr>
              <w:t>市自然资源局</w:t>
            </w:r>
          </w:p>
        </w:tc>
        <w:tc>
          <w:tcPr>
            <w:tcW w:w="1016" w:type="pct"/>
            <w:vAlign w:val="center"/>
          </w:tcPr>
          <w:p>
            <w:pPr>
              <w:adjustRightInd w:val="0"/>
              <w:snapToGrid w:val="0"/>
              <w:ind w:firstLine="0" w:firstLineChars="0"/>
              <w:jc w:val="center"/>
            </w:pPr>
            <w:r>
              <w:rPr>
                <w:rFonts w:hint="eastAsia"/>
              </w:rPr>
              <w:t>市民政局、市教育局、市卫生健康局、市文化广电旅游体育局等有关单位</w:t>
            </w:r>
          </w:p>
        </w:tc>
        <w:tc>
          <w:tcPr>
            <w:tcW w:w="683" w:type="pct"/>
            <w:vAlign w:val="center"/>
          </w:tcPr>
          <w:p>
            <w:pPr>
              <w:adjustRightInd w:val="0"/>
              <w:snapToGrid w:val="0"/>
              <w:ind w:firstLine="0" w:firstLineChars="0"/>
              <w:jc w:val="center"/>
            </w:pPr>
            <w:r>
              <w:rPr>
                <w:rFonts w:hint="eastAsia"/>
              </w:rPr>
              <w:t>2</w:t>
            </w:r>
            <w:r>
              <w:t>025</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2</w:t>
            </w:r>
            <w:r>
              <w:t>2</w:t>
            </w:r>
          </w:p>
        </w:tc>
        <w:tc>
          <w:tcPr>
            <w:tcW w:w="559" w:type="pct"/>
            <w:vMerge w:val="continue"/>
            <w:vAlign w:val="center"/>
          </w:tcPr>
          <w:p>
            <w:pPr>
              <w:adjustRightInd w:val="0"/>
              <w:snapToGrid w:val="0"/>
              <w:ind w:firstLine="0" w:firstLineChars="0"/>
              <w:jc w:val="center"/>
            </w:pPr>
          </w:p>
        </w:tc>
        <w:tc>
          <w:tcPr>
            <w:tcW w:w="1830" w:type="pct"/>
            <w:vAlign w:val="center"/>
          </w:tcPr>
          <w:p>
            <w:pPr>
              <w:adjustRightInd w:val="0"/>
              <w:snapToGrid w:val="0"/>
              <w:ind w:firstLine="0" w:firstLineChars="0"/>
            </w:pPr>
            <w:r>
              <w:rPr>
                <w:rFonts w:hint="eastAsia"/>
                <w:b/>
                <w:bCs/>
              </w:rPr>
              <w:t>健全设施配套建设和移交机制。</w:t>
            </w:r>
            <w:r>
              <w:rPr>
                <w:rFonts w:hint="eastAsia"/>
              </w:rPr>
              <w:t>民政、教育、卫健等有关部门应及时对接自然资源部门，建立配套设施台账，将需要配套建设和无偿移交的设施纳入新增住宅用地的出让条件，明确设施建设义务主体和设施接收单位，实行同步设计、同步施工、同步验收，保障配套设施有效供给。</w:t>
            </w:r>
          </w:p>
        </w:tc>
        <w:tc>
          <w:tcPr>
            <w:tcW w:w="558" w:type="pct"/>
            <w:vAlign w:val="center"/>
          </w:tcPr>
          <w:p>
            <w:pPr>
              <w:adjustRightInd w:val="0"/>
              <w:snapToGrid w:val="0"/>
              <w:ind w:firstLine="0" w:firstLineChars="0"/>
              <w:jc w:val="center"/>
            </w:pPr>
            <w:r>
              <w:rPr>
                <w:rFonts w:hint="eastAsia"/>
              </w:rPr>
              <w:t>市自然资源局</w:t>
            </w:r>
          </w:p>
        </w:tc>
        <w:tc>
          <w:tcPr>
            <w:tcW w:w="1016" w:type="pct"/>
            <w:vAlign w:val="center"/>
          </w:tcPr>
          <w:p>
            <w:pPr>
              <w:adjustRightInd w:val="0"/>
              <w:snapToGrid w:val="0"/>
              <w:ind w:firstLine="0" w:firstLineChars="0"/>
              <w:jc w:val="center"/>
            </w:pPr>
            <w:r>
              <w:rPr>
                <w:rFonts w:hint="eastAsia"/>
              </w:rPr>
              <w:t>市民政局、市教育局、市卫生健康局、市文化广电旅游体育局、市住房和城乡建设局等有关单位</w:t>
            </w:r>
          </w:p>
        </w:tc>
        <w:tc>
          <w:tcPr>
            <w:tcW w:w="683" w:type="pct"/>
            <w:vAlign w:val="center"/>
          </w:tcPr>
          <w:p>
            <w:pPr>
              <w:adjustRightInd w:val="0"/>
              <w:snapToGrid w:val="0"/>
              <w:ind w:firstLine="0" w:firstLineChars="0"/>
              <w:jc w:val="center"/>
            </w:pPr>
            <w:r>
              <w:rPr>
                <w:rFonts w:hint="eastAsia"/>
              </w:rPr>
              <w:t>2</w:t>
            </w:r>
            <w:r>
              <w:t>023</w:t>
            </w:r>
            <w:r>
              <w:rPr>
                <w:rFonts w:hint="eastAsia"/>
              </w:rPr>
              <w:t>年1</w:t>
            </w:r>
            <w:r>
              <w:t>2</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pPr>
              <w:adjustRightInd w:val="0"/>
              <w:snapToGrid w:val="0"/>
              <w:ind w:firstLine="0" w:firstLineChars="0"/>
              <w:jc w:val="center"/>
            </w:pPr>
            <w:r>
              <w:rPr>
                <w:rFonts w:hint="eastAsia"/>
              </w:rPr>
              <w:t>2</w:t>
            </w:r>
            <w:r>
              <w:t>3</w:t>
            </w:r>
          </w:p>
        </w:tc>
        <w:tc>
          <w:tcPr>
            <w:tcW w:w="559" w:type="pct"/>
            <w:vMerge w:val="continue"/>
            <w:vAlign w:val="center"/>
          </w:tcPr>
          <w:p>
            <w:pPr>
              <w:adjustRightInd w:val="0"/>
              <w:snapToGrid w:val="0"/>
              <w:ind w:firstLine="0" w:firstLineChars="0"/>
              <w:jc w:val="center"/>
            </w:pPr>
          </w:p>
        </w:tc>
        <w:tc>
          <w:tcPr>
            <w:tcW w:w="1830" w:type="pct"/>
            <w:vAlign w:val="center"/>
          </w:tcPr>
          <w:p>
            <w:pPr>
              <w:adjustRightInd w:val="0"/>
              <w:snapToGrid w:val="0"/>
              <w:ind w:firstLine="0" w:firstLineChars="0"/>
              <w:rPr>
                <w:b/>
                <w:bCs/>
              </w:rPr>
            </w:pPr>
            <w:r>
              <w:rPr>
                <w:rFonts w:hint="eastAsia"/>
                <w:b/>
                <w:bCs/>
              </w:rPr>
              <w:t>推进旅游地产转型，</w:t>
            </w:r>
            <w:r>
              <w:rPr>
                <w:rFonts w:hint="eastAsia"/>
              </w:rPr>
              <w:t>开展旅游地产助推全域旅游示范区专题研究，用好房地产的融资作用，加强政府统筹，推动旅游与房地产业深度融合发展，打造一批具有热带滨海特色的高品质旅游标杆项目，促进湛江建设成为全域旅游示范区。</w:t>
            </w:r>
          </w:p>
        </w:tc>
        <w:tc>
          <w:tcPr>
            <w:tcW w:w="558"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市文化广电旅游体育局</w:t>
            </w:r>
          </w:p>
        </w:tc>
        <w:tc>
          <w:tcPr>
            <w:tcW w:w="1016" w:type="pct"/>
            <w:vAlign w:val="center"/>
          </w:tcPr>
          <w:p>
            <w:pPr>
              <w:adjustRightInd w:val="0"/>
              <w:snapToGrid w:val="0"/>
              <w:ind w:firstLine="0" w:firstLineChars="0"/>
              <w:jc w:val="center"/>
            </w:pPr>
            <w:r>
              <w:rPr>
                <w:rFonts w:hint="eastAsia" w:ascii="仿宋_GB2312"/>
                <w:color w:val="000000" w:themeColor="text1"/>
                <w14:textFill>
                  <w14:solidFill>
                    <w14:schemeClr w14:val="tx1"/>
                  </w14:solidFill>
                </w14:textFill>
              </w:rPr>
              <w:t>市住房和城乡建设局、市自然资源局等有关单位</w:t>
            </w:r>
          </w:p>
        </w:tc>
        <w:tc>
          <w:tcPr>
            <w:tcW w:w="683" w:type="pct"/>
            <w:vAlign w:val="center"/>
          </w:tcPr>
          <w:p>
            <w:pPr>
              <w:adjustRightInd w:val="0"/>
              <w:snapToGrid w:val="0"/>
              <w:ind w:firstLine="0" w:firstLineChars="0"/>
              <w:jc w:val="center"/>
            </w:pPr>
            <w:r>
              <w:rPr>
                <w:rFonts w:hint="eastAsia"/>
              </w:rPr>
              <w:t>2</w:t>
            </w:r>
            <w:r>
              <w:t>024</w:t>
            </w:r>
            <w:r>
              <w:rPr>
                <w:rFonts w:hint="eastAsia"/>
              </w:rPr>
              <w:t>年1</w:t>
            </w:r>
            <w:r>
              <w:t>2</w:t>
            </w:r>
            <w:r>
              <w:rPr>
                <w:rFonts w:hint="eastAsia"/>
              </w:rPr>
              <w:t>月</w:t>
            </w:r>
          </w:p>
        </w:tc>
      </w:tr>
    </w:tbl>
    <w:p>
      <w:pPr>
        <w:spacing w:line="320" w:lineRule="exact"/>
        <w:ind w:firstLine="0" w:firstLineChars="0"/>
        <w:rPr>
          <w:rFonts w:eastAsia="黑体" w:cs="Times New Roman"/>
        </w:rPr>
        <w:sectPr>
          <w:pgSz w:w="16838" w:h="11906" w:orient="landscape"/>
          <w:pgMar w:top="1800" w:right="1440" w:bottom="1800" w:left="1440" w:header="851" w:footer="992" w:gutter="0"/>
          <w:cols w:space="425" w:num="1"/>
          <w:docGrid w:type="lines" w:linePitch="435" w:charSpace="0"/>
        </w:sect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r>
        <w:rPr>
          <w:rFonts w:cs="Times New Roman"/>
        </w:rPr>
        <w:t>分册一：</w:t>
      </w:r>
    </w:p>
    <w:p>
      <w:pPr>
        <w:adjustRightInd w:val="0"/>
        <w:snapToGrid w:val="0"/>
        <w:spacing w:line="360" w:lineRule="auto"/>
        <w:ind w:firstLine="723"/>
        <w:jc w:val="center"/>
        <w:rPr>
          <w:rFonts w:cs="Times New Roman"/>
          <w:b/>
          <w:sz w:val="36"/>
          <w:szCs w:val="36"/>
        </w:rPr>
      </w:pPr>
    </w:p>
    <w:p>
      <w:pPr>
        <w:adjustRightInd w:val="0"/>
        <w:snapToGrid w:val="0"/>
        <w:spacing w:line="360" w:lineRule="auto"/>
        <w:ind w:firstLine="723"/>
        <w:jc w:val="center"/>
        <w:rPr>
          <w:rFonts w:cs="Times New Roman"/>
          <w:b/>
          <w:sz w:val="36"/>
          <w:szCs w:val="36"/>
        </w:rPr>
      </w:pPr>
    </w:p>
    <w:p>
      <w:pPr>
        <w:adjustRightInd w:val="0"/>
        <w:snapToGrid w:val="0"/>
        <w:spacing w:line="360" w:lineRule="auto"/>
        <w:ind w:firstLine="723"/>
        <w:jc w:val="center"/>
        <w:rPr>
          <w:rFonts w:cs="Times New Roman"/>
          <w:b/>
          <w:sz w:val="36"/>
          <w:szCs w:val="36"/>
        </w:rPr>
      </w:pPr>
    </w:p>
    <w:p>
      <w:pPr>
        <w:adjustRightInd w:val="0"/>
        <w:snapToGrid w:val="0"/>
        <w:spacing w:line="360" w:lineRule="auto"/>
        <w:ind w:firstLine="0" w:firstLineChars="0"/>
        <w:rPr>
          <w:rFonts w:cs="Times New Roman"/>
          <w:b/>
          <w:sz w:val="36"/>
          <w:szCs w:val="36"/>
        </w:rPr>
      </w:pPr>
    </w:p>
    <w:p>
      <w:pPr>
        <w:adjustRightInd w:val="0"/>
        <w:snapToGrid w:val="0"/>
        <w:spacing w:line="360" w:lineRule="auto"/>
        <w:ind w:firstLine="0" w:firstLineChars="0"/>
        <w:jc w:val="center"/>
        <w:rPr>
          <w:rFonts w:eastAsia="方正小标宋简体" w:cs="Times New Roman"/>
          <w:sz w:val="48"/>
          <w:szCs w:val="44"/>
        </w:rPr>
      </w:pPr>
      <w:r>
        <w:rPr>
          <w:rFonts w:eastAsia="方正小标宋简体" w:cs="Times New Roman"/>
          <w:sz w:val="48"/>
          <w:szCs w:val="44"/>
        </w:rPr>
        <w:t>湛江市市区“十四五”住房发展规划</w:t>
      </w:r>
    </w:p>
    <w:p>
      <w:pPr>
        <w:adjustRightInd w:val="0"/>
        <w:snapToGrid w:val="0"/>
        <w:spacing w:line="360" w:lineRule="auto"/>
        <w:ind w:firstLine="0" w:firstLineChars="0"/>
        <w:jc w:val="center"/>
        <w:rPr>
          <w:rFonts w:eastAsia="方正小标宋简体" w:cs="Times New Roman"/>
          <w:sz w:val="48"/>
          <w:szCs w:val="44"/>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rPr>
          <w:rFonts w:cs="Times New Roman"/>
        </w:rPr>
      </w:pPr>
    </w:p>
    <w:p>
      <w:pPr>
        <w:adjustRightInd w:val="0"/>
        <w:snapToGrid w:val="0"/>
        <w:spacing w:line="360" w:lineRule="auto"/>
        <w:ind w:firstLine="0" w:firstLineChars="0"/>
        <w:jc w:val="center"/>
        <w:rPr>
          <w:rFonts w:cs="Times New Roman"/>
        </w:rPr>
      </w:pPr>
      <w:bookmarkStart w:id="114" w:name="_Hlk25771551"/>
      <w:r>
        <w:rPr>
          <w:rFonts w:cs="Times New Roman"/>
        </w:rPr>
        <w:t>湛江市住房和城乡建设局</w:t>
      </w:r>
      <w:bookmarkEnd w:id="114"/>
    </w:p>
    <w:p>
      <w:pPr>
        <w:adjustRightInd w:val="0"/>
        <w:snapToGrid w:val="0"/>
        <w:spacing w:line="360" w:lineRule="auto"/>
        <w:ind w:firstLine="0" w:firstLineChars="0"/>
        <w:jc w:val="center"/>
        <w:rPr>
          <w:rFonts w:cs="Times New Roman"/>
        </w:rPr>
      </w:pPr>
      <w:r>
        <w:rPr>
          <w:rFonts w:cs="Times New Roman"/>
        </w:rPr>
        <w:t>2022年9月</w:t>
      </w:r>
    </w:p>
    <w:p>
      <w:pPr>
        <w:widowControl/>
        <w:adjustRightInd w:val="0"/>
        <w:snapToGrid w:val="0"/>
        <w:spacing w:line="360" w:lineRule="auto"/>
        <w:ind w:firstLine="560"/>
        <w:jc w:val="left"/>
        <w:rPr>
          <w:rFonts w:cs="Times New Roman"/>
        </w:rPr>
      </w:pPr>
      <w:r>
        <w:rPr>
          <w:rFonts w:cs="Times New Roman"/>
        </w:rPr>
        <w:br w:type="page"/>
      </w:r>
    </w:p>
    <w:p>
      <w:pPr>
        <w:adjustRightInd w:val="0"/>
        <w:snapToGrid w:val="0"/>
        <w:spacing w:line="360" w:lineRule="auto"/>
        <w:ind w:firstLine="640"/>
        <w:jc w:val="center"/>
        <w:rPr>
          <w:rFonts w:eastAsia="华文中宋" w:cs="Times New Roman"/>
          <w:sz w:val="32"/>
        </w:rPr>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425" w:num="1"/>
          <w:docGrid w:type="lines" w:linePitch="312" w:charSpace="0"/>
        </w:sectPr>
      </w:pPr>
    </w:p>
    <w:p>
      <w:pPr>
        <w:adjustRightInd w:val="0"/>
        <w:snapToGrid w:val="0"/>
        <w:spacing w:line="360" w:lineRule="auto"/>
        <w:ind w:firstLine="0" w:firstLineChars="0"/>
        <w:jc w:val="center"/>
        <w:rPr>
          <w:rFonts w:eastAsia="黑体" w:cs="Times New Roman"/>
          <w:sz w:val="32"/>
        </w:rPr>
      </w:pPr>
      <w:r>
        <w:rPr>
          <w:rFonts w:eastAsia="黑体" w:cs="Times New Roman"/>
          <w:sz w:val="32"/>
        </w:rPr>
        <w:t>目 录</w:t>
      </w:r>
    </w:p>
    <w:p>
      <w:pPr>
        <w:tabs>
          <w:tab w:val="right" w:leader="dot" w:pos="8296"/>
        </w:tabs>
        <w:adjustRightInd w:val="0"/>
        <w:snapToGrid w:val="0"/>
        <w:spacing w:line="360" w:lineRule="auto"/>
        <w:ind w:firstLine="0" w:firstLineChars="0"/>
        <w:rPr>
          <w:rFonts w:asciiTheme="minorHAnsi" w:hAnsiTheme="minorHAnsi" w:eastAsiaTheme="minorEastAsia"/>
          <w:sz w:val="21"/>
        </w:rPr>
      </w:pPr>
      <w:r>
        <w:rPr>
          <w:rFonts w:eastAsia="黑体" w:cs="Times New Roman"/>
          <w:b/>
        </w:rPr>
        <w:fldChar w:fldCharType="begin"/>
      </w:r>
      <w:r>
        <w:rPr>
          <w:rFonts w:eastAsia="黑体" w:cs="Times New Roman"/>
          <w:b/>
        </w:rPr>
        <w:instrText xml:space="preserve"> TOC \o "1-3" \h \z \u </w:instrText>
      </w:r>
      <w:r>
        <w:rPr>
          <w:rFonts w:eastAsia="黑体" w:cs="Times New Roman"/>
          <w:b/>
        </w:rPr>
        <w:fldChar w:fldCharType="separate"/>
      </w:r>
      <w:r>
        <w:fldChar w:fldCharType="begin"/>
      </w:r>
      <w:r>
        <w:instrText xml:space="preserve"> HYPERLINK \l "_Toc107764522" </w:instrText>
      </w:r>
      <w:r>
        <w:fldChar w:fldCharType="separate"/>
      </w:r>
      <w:r>
        <w:rPr>
          <w:rFonts w:eastAsia="黑体" w:asciiTheme="minorHAnsi" w:hAnsiTheme="minorHAnsi"/>
          <w:b/>
        </w:rPr>
        <w:t>前 言</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_Toc107764522 \h </w:instrText>
      </w:r>
      <w:r>
        <w:rPr>
          <w:rFonts w:eastAsia="黑体" w:asciiTheme="minorHAnsi" w:hAnsiTheme="minorHAnsi"/>
          <w:b/>
        </w:rPr>
        <w:fldChar w:fldCharType="separate"/>
      </w:r>
      <w:r>
        <w:rPr>
          <w:rFonts w:eastAsia="黑体" w:asciiTheme="minorHAnsi" w:hAnsiTheme="minorHAnsi"/>
          <w:b/>
        </w:rPr>
        <w:t>42</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"_Toc107764523" </w:instrText>
      </w:r>
      <w:r>
        <w:fldChar w:fldCharType="separate"/>
      </w:r>
      <w:r>
        <w:rPr>
          <w:rFonts w:eastAsia="黑体" w:asciiTheme="minorHAnsi" w:hAnsiTheme="minorHAnsi"/>
          <w:b/>
        </w:rPr>
        <w:t>一、指导思想和发展目标</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_Toc107764523 \h </w:instrText>
      </w:r>
      <w:r>
        <w:rPr>
          <w:rFonts w:eastAsia="黑体" w:asciiTheme="minorHAnsi" w:hAnsiTheme="minorHAnsi"/>
          <w:b/>
        </w:rPr>
        <w:fldChar w:fldCharType="separate"/>
      </w:r>
      <w:r>
        <w:rPr>
          <w:rFonts w:eastAsia="黑体" w:asciiTheme="minorHAnsi" w:hAnsiTheme="minorHAnsi"/>
          <w:b/>
        </w:rPr>
        <w:t>43</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"_Toc107764524" </w:instrText>
      </w:r>
      <w:r>
        <w:fldChar w:fldCharType="separate"/>
      </w:r>
      <w:r>
        <w:rPr>
          <w:rFonts w:asciiTheme="minorHAnsi" w:hAnsiTheme="minorHAnsi"/>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_Toc107764524 \h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"_Toc107764525" </w:instrText>
      </w:r>
      <w:r>
        <w:fldChar w:fldCharType="separate"/>
      </w:r>
      <w:r>
        <w:rPr>
          <w:rFonts w:asciiTheme="minorHAnsi" w:hAnsiTheme="minorHAnsi"/>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_Toc107764525 \h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"_Toc107764526" </w:instrText>
      </w:r>
      <w:r>
        <w:fldChar w:fldCharType="separate"/>
      </w:r>
      <w:r>
        <w:rPr>
          <w:rFonts w:asciiTheme="minorHAnsi" w:hAnsiTheme="minorHAnsi"/>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_Toc107764526 \h </w:instrText>
      </w:r>
      <w:r>
        <w:rPr>
          <w:rFonts w:asciiTheme="minorHAnsi" w:hAnsiTheme="minorHAnsi"/>
        </w:rPr>
        <w:fldChar w:fldCharType="separate"/>
      </w:r>
      <w:r>
        <w:rPr>
          <w:rFonts w:asciiTheme="minorHAnsi" w:hAnsiTheme="minorHAnsi"/>
        </w:rPr>
        <w:t>44</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"_Toc107764527" </w:instrText>
      </w:r>
      <w:r>
        <w:fldChar w:fldCharType="separate"/>
      </w:r>
      <w:r>
        <w:rPr>
          <w:rFonts w:eastAsia="黑体" w:asciiTheme="minorHAnsi" w:hAnsiTheme="minorHAnsi"/>
          <w:b/>
        </w:rPr>
        <w:t>二、构建合理住房空间布局</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_Toc107764527 \h </w:instrText>
      </w:r>
      <w:r>
        <w:rPr>
          <w:rFonts w:eastAsia="黑体" w:asciiTheme="minorHAnsi" w:hAnsiTheme="minorHAnsi"/>
          <w:b/>
        </w:rPr>
        <w:fldChar w:fldCharType="separate"/>
      </w:r>
      <w:r>
        <w:rPr>
          <w:rFonts w:eastAsia="黑体" w:asciiTheme="minorHAnsi" w:hAnsiTheme="minorHAnsi"/>
          <w:b/>
        </w:rPr>
        <w:t>45</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"_Toc107764528" </w:instrText>
      </w:r>
      <w:r>
        <w:fldChar w:fldCharType="separate"/>
      </w:r>
      <w:r>
        <w:rPr>
          <w:rFonts w:asciiTheme="minorHAnsi" w:hAnsiTheme="minorHAnsi"/>
        </w:rPr>
        <w:t>（一）市区住房空间布局总体策略</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_Toc107764528 \h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"_Toc107764529" </w:instrText>
      </w:r>
      <w:r>
        <w:fldChar w:fldCharType="separate"/>
      </w:r>
      <w:r>
        <w:rPr>
          <w:rFonts w:asciiTheme="minorHAnsi" w:hAnsiTheme="minorHAnsi"/>
        </w:rPr>
        <w:t>（二）各区住房空间布局</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_Toc107764529 \h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"_Toc107764530" </w:instrText>
      </w:r>
      <w:r>
        <w:fldChar w:fldCharType="separate"/>
      </w:r>
      <w:r>
        <w:rPr>
          <w:rFonts w:eastAsia="黑体" w:asciiTheme="minorHAnsi" w:hAnsiTheme="minorHAnsi"/>
          <w:b/>
        </w:rPr>
        <w:t>三、促进房地产市场健康发展</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_Toc107764530 \h </w:instrText>
      </w:r>
      <w:r>
        <w:rPr>
          <w:rFonts w:eastAsia="黑体" w:asciiTheme="minorHAnsi" w:hAnsiTheme="minorHAnsi"/>
          <w:b/>
        </w:rPr>
        <w:fldChar w:fldCharType="separate"/>
      </w:r>
      <w:r>
        <w:rPr>
          <w:rFonts w:eastAsia="黑体" w:asciiTheme="minorHAnsi" w:hAnsiTheme="minorHAnsi"/>
          <w:b/>
        </w:rPr>
        <w:t>47</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"_Toc107764531" </w:instrText>
      </w:r>
      <w:r>
        <w:fldChar w:fldCharType="separate"/>
      </w:r>
      <w:r>
        <w:rPr>
          <w:rFonts w:asciiTheme="minorHAnsi" w:hAnsiTheme="minorHAnsi"/>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_Toc107764531 \h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"_Toc107764532" </w:instrText>
      </w:r>
      <w:r>
        <w:fldChar w:fldCharType="separate"/>
      </w:r>
      <w:r>
        <w:rPr>
          <w:rFonts w:asciiTheme="minorHAnsi" w:hAnsiTheme="minorHAnsi"/>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_Toc107764532 \h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"_Toc107764533" </w:instrText>
      </w:r>
      <w:r>
        <w:fldChar w:fldCharType="separate"/>
      </w:r>
      <w:r>
        <w:rPr>
          <w:rFonts w:asciiTheme="minorHAnsi" w:hAnsiTheme="minorHAnsi"/>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_Toc107764533 \h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"_Toc107764534" </w:instrText>
      </w:r>
      <w:r>
        <w:fldChar w:fldCharType="separate"/>
      </w:r>
      <w:r>
        <w:rPr>
          <w:rFonts w:eastAsia="黑体" w:asciiTheme="minorHAnsi" w:hAnsiTheme="minorHAnsi"/>
          <w:b/>
        </w:rPr>
        <w:t>四、稳步提升住房保障水平</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_Toc107764534 \h </w:instrText>
      </w:r>
      <w:r>
        <w:rPr>
          <w:rFonts w:eastAsia="黑体" w:asciiTheme="minorHAnsi" w:hAnsiTheme="minorHAnsi"/>
          <w:b/>
        </w:rPr>
        <w:fldChar w:fldCharType="separate"/>
      </w:r>
      <w:r>
        <w:rPr>
          <w:rFonts w:eastAsia="黑体" w:asciiTheme="minorHAnsi" w:hAnsiTheme="minorHAnsi"/>
          <w:b/>
        </w:rPr>
        <w:t>49</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"_Toc107764535" </w:instrText>
      </w:r>
      <w:r>
        <w:fldChar w:fldCharType="separate"/>
      </w:r>
      <w:r>
        <w:rPr>
          <w:rFonts w:asciiTheme="minorHAnsi" w:hAnsiTheme="minorHAnsi"/>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_Toc107764535 \h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"_Toc107764536" </w:instrText>
      </w:r>
      <w:r>
        <w:fldChar w:fldCharType="separate"/>
      </w:r>
      <w:r>
        <w:rPr>
          <w:rFonts w:asciiTheme="minorHAnsi" w:hAnsiTheme="minorHAnsi"/>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_Toc107764536 \h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"_Toc107764537" </w:instrText>
      </w:r>
      <w:r>
        <w:fldChar w:fldCharType="separate"/>
      </w:r>
      <w:r>
        <w:rPr>
          <w:rFonts w:asciiTheme="minorHAnsi" w:hAnsiTheme="minorHAnsi"/>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_Toc107764537 \h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"_Toc107764538" </w:instrText>
      </w:r>
      <w:r>
        <w:fldChar w:fldCharType="separate"/>
      </w:r>
      <w:r>
        <w:rPr>
          <w:rFonts w:asciiTheme="minorHAnsi" w:hAnsiTheme="minorHAnsi"/>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_Toc107764538 \h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"_Toc107764539" </w:instrText>
      </w:r>
      <w:r>
        <w:fldChar w:fldCharType="separate"/>
      </w:r>
      <w:r>
        <w:rPr>
          <w:rFonts w:eastAsia="黑体" w:asciiTheme="minorHAnsi" w:hAnsiTheme="minorHAnsi"/>
          <w:b/>
        </w:rPr>
        <w:t>五、全面提升居住品质</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_Toc107764539 \h </w:instrText>
      </w:r>
      <w:r>
        <w:rPr>
          <w:rFonts w:eastAsia="黑体" w:asciiTheme="minorHAnsi" w:hAnsiTheme="minorHAnsi"/>
          <w:b/>
        </w:rPr>
        <w:fldChar w:fldCharType="separate"/>
      </w:r>
      <w:r>
        <w:rPr>
          <w:rFonts w:eastAsia="黑体" w:asciiTheme="minorHAnsi" w:hAnsiTheme="minorHAnsi"/>
          <w:b/>
        </w:rPr>
        <w:t>51</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"_Toc107764540" </w:instrText>
      </w:r>
      <w:r>
        <w:fldChar w:fldCharType="separate"/>
      </w:r>
      <w:r>
        <w:rPr>
          <w:rFonts w:asciiTheme="minorHAnsi" w:hAnsiTheme="minorHAnsi"/>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_Toc107764540 \h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"_Toc107764541" </w:instrText>
      </w:r>
      <w:r>
        <w:fldChar w:fldCharType="separate"/>
      </w:r>
      <w:r>
        <w:rPr>
          <w:rFonts w:asciiTheme="minorHAnsi" w:hAnsiTheme="minorHAnsi"/>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_Toc107764541 \h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"_Toc107764542" </w:instrText>
      </w:r>
      <w:r>
        <w:fldChar w:fldCharType="separate"/>
      </w:r>
      <w:r>
        <w:rPr>
          <w:rFonts w:asciiTheme="minorHAnsi" w:hAnsiTheme="minorHAnsi"/>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_Toc107764542 \h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0" w:firstLineChars="0"/>
        <w:rPr>
          <w:rFonts w:asciiTheme="minorHAnsi" w:hAnsiTheme="minorHAnsi" w:eastAsiaTheme="minorEastAsia"/>
          <w:sz w:val="21"/>
        </w:rPr>
      </w:pPr>
      <w:r>
        <w:fldChar w:fldCharType="begin"/>
      </w:r>
      <w:r>
        <w:instrText xml:space="preserve"> HYPERLINK \l "_Toc107764543" </w:instrText>
      </w:r>
      <w:r>
        <w:fldChar w:fldCharType="separate"/>
      </w:r>
      <w:r>
        <w:rPr>
          <w:rFonts w:eastAsia="黑体" w:asciiTheme="minorHAnsi" w:hAnsiTheme="minorHAnsi"/>
          <w:b/>
        </w:rPr>
        <w:t>六、保障措施</w:t>
      </w:r>
      <w:r>
        <w:rPr>
          <w:rFonts w:eastAsia="黑体" w:asciiTheme="minorHAnsi" w:hAnsiTheme="minorHAnsi"/>
          <w:b/>
        </w:rPr>
        <w:tab/>
      </w:r>
      <w:r>
        <w:rPr>
          <w:rFonts w:eastAsia="黑体" w:asciiTheme="minorHAnsi" w:hAnsiTheme="minorHAnsi"/>
          <w:b/>
        </w:rPr>
        <w:fldChar w:fldCharType="begin"/>
      </w:r>
      <w:r>
        <w:rPr>
          <w:rFonts w:eastAsia="黑体" w:asciiTheme="minorHAnsi" w:hAnsiTheme="minorHAnsi"/>
          <w:b/>
        </w:rPr>
        <w:instrText xml:space="preserve"> PAGEREF _Toc107764543 \h </w:instrText>
      </w:r>
      <w:r>
        <w:rPr>
          <w:rFonts w:eastAsia="黑体" w:asciiTheme="minorHAnsi" w:hAnsiTheme="minorHAnsi"/>
          <w:b/>
        </w:rPr>
        <w:fldChar w:fldCharType="separate"/>
      </w:r>
      <w:r>
        <w:rPr>
          <w:rFonts w:eastAsia="黑体" w:asciiTheme="minorHAnsi" w:hAnsiTheme="minorHAnsi"/>
          <w:b/>
        </w:rPr>
        <w:t>54</w:t>
      </w:r>
      <w:r>
        <w:rPr>
          <w:rFonts w:eastAsia="黑体" w:asciiTheme="minorHAnsi" w:hAnsiTheme="minorHAnsi"/>
          <w:b/>
        </w:rPr>
        <w:fldChar w:fldCharType="end"/>
      </w:r>
      <w:r>
        <w:rPr>
          <w:rFonts w:eastAsia="黑体" w:asciiTheme="minorHAnsi" w:hAnsiTheme="minorHAnsi"/>
          <w:b/>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"_Toc107764544" </w:instrText>
      </w:r>
      <w:r>
        <w:fldChar w:fldCharType="separate"/>
      </w:r>
      <w:r>
        <w:rPr>
          <w:rFonts w:asciiTheme="minorHAnsi" w:hAnsiTheme="minorHAnsi"/>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_Toc107764544 \h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"_Toc107764545" </w:instrText>
      </w:r>
      <w:r>
        <w:fldChar w:fldCharType="separate"/>
      </w:r>
      <w:r>
        <w:rPr>
          <w:rFonts w:asciiTheme="minorHAnsi" w:hAnsiTheme="minorHAnsi"/>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_Toc107764545 \h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"_Toc107764546" </w:instrText>
      </w:r>
      <w:r>
        <w:fldChar w:fldCharType="separate"/>
      </w:r>
      <w:r>
        <w:rPr>
          <w:rFonts w:asciiTheme="minorHAnsi" w:hAnsiTheme="minorHAnsi"/>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_Toc107764546 \h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"_Toc107764547" </w:instrText>
      </w:r>
      <w:r>
        <w:fldChar w:fldCharType="separate"/>
      </w:r>
      <w:r>
        <w:rPr>
          <w:rFonts w:asciiTheme="minorHAnsi" w:hAnsiTheme="minorHAnsi"/>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_Toc107764547 \h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fldChar w:fldCharType="end"/>
      </w:r>
    </w:p>
    <w:p>
      <w:pPr>
        <w:tabs>
          <w:tab w:val="right" w:leader="dot" w:pos="8296"/>
        </w:tabs>
        <w:adjustRightInd w:val="0"/>
        <w:snapToGrid w:val="0"/>
        <w:spacing w:line="360" w:lineRule="auto"/>
        <w:ind w:firstLine="560" w:firstLineChars="0"/>
        <w:rPr>
          <w:rFonts w:eastAsia="黑体" w:cs="Times New Roman"/>
          <w:b/>
        </w:rPr>
        <w:sectPr>
          <w:headerReference r:id="rId21" w:type="default"/>
          <w:footerReference r:id="rId22" w:type="default"/>
          <w:pgSz w:w="11906" w:h="16838"/>
          <w:pgMar w:top="1440" w:right="1800" w:bottom="1440" w:left="1800" w:header="851" w:footer="992" w:gutter="0"/>
          <w:cols w:space="425" w:num="1"/>
          <w:docGrid w:type="lines" w:linePitch="312" w:charSpace="0"/>
        </w:sectPr>
      </w:pPr>
      <w:r>
        <w:rPr>
          <w:rFonts w:eastAsia="黑体" w:cs="Times New Roman"/>
          <w:b/>
        </w:rPr>
        <w:fldChar w:fldCharType="end"/>
      </w:r>
    </w:p>
    <w:p>
      <w:pPr>
        <w:adjustRightInd w:val="0"/>
        <w:snapToGrid w:val="0"/>
        <w:spacing w:before="240" w:beforeLines="100" w:after="240" w:afterLines="100" w:line="360" w:lineRule="auto"/>
        <w:ind w:firstLine="809" w:firstLineChars="253"/>
        <w:outlineLvl w:val="0"/>
        <w:rPr>
          <w:rFonts w:eastAsia="黑体" w:cs="Times New Roman"/>
          <w:sz w:val="32"/>
          <w:szCs w:val="24"/>
        </w:rPr>
      </w:pPr>
    </w:p>
    <w:p>
      <w:pPr>
        <w:adjustRightInd w:val="0"/>
        <w:snapToGrid w:val="0"/>
        <w:spacing w:before="240" w:beforeLines="100" w:after="240" w:afterLines="100" w:line="360" w:lineRule="auto"/>
        <w:ind w:firstLine="0" w:firstLineChars="0"/>
        <w:jc w:val="center"/>
        <w:outlineLvl w:val="0"/>
        <w:rPr>
          <w:rFonts w:eastAsia="黑体" w:cs="Times New Roman"/>
          <w:sz w:val="32"/>
          <w:szCs w:val="24"/>
        </w:rPr>
      </w:pPr>
      <w:bookmarkStart w:id="115" w:name="_Toc107764522"/>
      <w:r>
        <w:rPr>
          <w:rFonts w:eastAsia="黑体" w:cs="Times New Roman"/>
          <w:sz w:val="32"/>
          <w:szCs w:val="24"/>
        </w:rPr>
        <w:t>前 言</w:t>
      </w:r>
      <w:bookmarkEnd w:id="115"/>
    </w:p>
    <w:p>
      <w:pPr>
        <w:adjustRightInd w:val="0"/>
        <w:snapToGrid w:val="0"/>
        <w:spacing w:line="360" w:lineRule="auto"/>
        <w:ind w:firstLine="560"/>
        <w:rPr>
          <w:rFonts w:cs="Times New Roman"/>
        </w:rPr>
      </w:pPr>
      <w:bookmarkStart w:id="116" w:name="_Hlk84874294"/>
      <w:r>
        <w:rPr>
          <w:rFonts w:cs="Times New Roman"/>
        </w:rPr>
        <w:t>《湛江市“十四五”住房发展规划》阐明了“十四五”期间全市住房发展的指导思想和发展目标、空间布局、主要任务和保障措施。为了深入推进“一城一策”，结合湛江市区实际，制定了《分册一：湛江市市区“十四五”住房发展规划》。该分册在《湛江市“十四五”住房发展规划》的基础上，进一步明确</w:t>
      </w:r>
      <w:r>
        <w:rPr>
          <w:rFonts w:hint="eastAsia" w:cs="Times New Roman"/>
        </w:rPr>
        <w:t>“十四五”时期</w:t>
      </w:r>
      <w:r>
        <w:rPr>
          <w:rFonts w:cs="Times New Roman"/>
        </w:rPr>
        <w:t>湛江市市区住房发展总体目标、年度目标和空间布局等内容，旨在促进湛江市住房发展规划在县（市、区）层面落实。</w:t>
      </w:r>
    </w:p>
    <w:bookmarkEnd w:id="116"/>
    <w:p>
      <w:pPr>
        <w:adjustRightInd w:val="0"/>
        <w:snapToGrid w:val="0"/>
        <w:spacing w:before="240" w:beforeLines="100" w:after="240" w:afterLines="100" w:line="360" w:lineRule="auto"/>
        <w:ind w:firstLine="809" w:firstLineChars="253"/>
        <w:outlineLvl w:val="0"/>
        <w:rPr>
          <w:rFonts w:eastAsia="黑体" w:cs="Times New Roman"/>
          <w:sz w:val="32"/>
          <w:szCs w:val="24"/>
        </w:rPr>
      </w:pPr>
      <w:r>
        <w:rPr>
          <w:rFonts w:eastAsia="黑体" w:cs="Times New Roman"/>
          <w:sz w:val="32"/>
          <w:szCs w:val="24"/>
        </w:rPr>
        <w:br w:type="page"/>
      </w:r>
    </w:p>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17" w:name="_Toc107764523"/>
      <w:r>
        <w:rPr>
          <w:rFonts w:eastAsia="黑体" w:cs="Times New Roman"/>
          <w:sz w:val="32"/>
          <w:szCs w:val="24"/>
        </w:rPr>
        <w:t>一、指导思想和发展目标</w:t>
      </w:r>
      <w:bookmarkEnd w:id="117"/>
    </w:p>
    <w:p>
      <w:pPr>
        <w:spacing w:before="240" w:beforeLines="100" w:after="240" w:afterLines="100" w:line="360" w:lineRule="auto"/>
        <w:ind w:firstLine="562"/>
        <w:outlineLvl w:val="1"/>
        <w:rPr>
          <w:rFonts w:cs="Times New Roman"/>
          <w:b/>
        </w:rPr>
      </w:pPr>
      <w:bookmarkStart w:id="118" w:name="_Toc107764524"/>
      <w:bookmarkStart w:id="119" w:name="_Toc23677739"/>
      <w:r>
        <w:rPr>
          <w:rFonts w:cs="Times New Roman"/>
          <w:b/>
        </w:rPr>
        <w:t>（一）指导思想</w:t>
      </w:r>
      <w:bookmarkEnd w:id="118"/>
      <w:bookmarkEnd w:id="119"/>
    </w:p>
    <w:p>
      <w:pPr>
        <w:spacing w:line="360" w:lineRule="auto"/>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促进住房与经济社会协同发展。</w:t>
      </w:r>
    </w:p>
    <w:p>
      <w:pPr>
        <w:spacing w:before="240" w:beforeLines="100" w:after="240" w:afterLines="100" w:line="360" w:lineRule="auto"/>
        <w:ind w:firstLine="562"/>
        <w:outlineLvl w:val="1"/>
        <w:rPr>
          <w:rFonts w:cs="Times New Roman"/>
          <w:b/>
        </w:rPr>
      </w:pPr>
      <w:bookmarkStart w:id="120" w:name="_Toc107764525"/>
      <w:r>
        <w:rPr>
          <w:rFonts w:cs="Times New Roman"/>
          <w:b/>
        </w:rPr>
        <w:t>（二）基本原则</w:t>
      </w:r>
      <w:bookmarkEnd w:id="120"/>
    </w:p>
    <w:p>
      <w:pPr>
        <w:adjustRightInd w:val="0"/>
        <w:spacing w:line="360" w:lineRule="auto"/>
        <w:ind w:firstLine="562"/>
        <w:rPr>
          <w:rFonts w:cs="Times New Roman"/>
          <w:b/>
          <w:bCs/>
        </w:rPr>
      </w:pPr>
      <w:r>
        <w:rPr>
          <w:rFonts w:cs="Times New Roman"/>
          <w:b/>
          <w:bCs/>
        </w:rPr>
        <w:t>1.坚持以人为本、供需平衡原则。</w:t>
      </w:r>
    </w:p>
    <w:p>
      <w:pPr>
        <w:spacing w:line="360" w:lineRule="auto"/>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adjustRightInd w:val="0"/>
        <w:spacing w:line="360" w:lineRule="auto"/>
        <w:ind w:firstLine="562"/>
        <w:rPr>
          <w:rFonts w:cs="Times New Roman"/>
          <w:b/>
          <w:bCs/>
        </w:rPr>
      </w:pPr>
      <w:r>
        <w:rPr>
          <w:rFonts w:cs="Times New Roman"/>
          <w:b/>
          <w:bCs/>
        </w:rPr>
        <w:t>2.坚持系统观念、创新发展原则。</w:t>
      </w:r>
    </w:p>
    <w:p>
      <w:pPr>
        <w:spacing w:line="360" w:lineRule="auto"/>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adjustRightInd w:val="0"/>
        <w:spacing w:line="360" w:lineRule="auto"/>
        <w:ind w:firstLine="562"/>
        <w:rPr>
          <w:rFonts w:cs="Times New Roman"/>
          <w:b/>
          <w:bCs/>
        </w:rPr>
      </w:pPr>
      <w:r>
        <w:rPr>
          <w:rFonts w:cs="Times New Roman"/>
          <w:b/>
          <w:bCs/>
        </w:rPr>
        <w:t>3.坚持政府引导，市场配置原则。</w:t>
      </w:r>
    </w:p>
    <w:p>
      <w:pPr>
        <w:spacing w:line="360" w:lineRule="auto"/>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adjustRightInd w:val="0"/>
        <w:snapToGrid w:val="0"/>
        <w:spacing w:line="360" w:lineRule="auto"/>
        <w:ind w:firstLine="562"/>
        <w:rPr>
          <w:rFonts w:cs="Times New Roman"/>
          <w:b/>
          <w:bCs/>
        </w:rPr>
      </w:pPr>
      <w:r>
        <w:rPr>
          <w:rFonts w:cs="Times New Roman"/>
          <w:b/>
          <w:bCs/>
        </w:rPr>
        <w:t>4.坚持因城施策、特色发展原则。</w:t>
      </w:r>
    </w:p>
    <w:p>
      <w:pPr>
        <w:adjustRightInd w:val="0"/>
        <w:snapToGrid w:val="0"/>
        <w:spacing w:line="360" w:lineRule="auto"/>
        <w:ind w:firstLine="560"/>
        <w:rPr>
          <w:rFonts w:cs="Times New Roman"/>
        </w:rPr>
      </w:pPr>
      <w:r>
        <w:rPr>
          <w:rFonts w:cs="Times New Roman"/>
        </w:rPr>
        <w:t>充分考虑地区发展的差异性，因地制宜促进房地产市场平稳健康发展，发挥好住房发展对于实体经济的支撑作用，促进地方经济、产业发展和特色旅游资源开发。</w:t>
      </w:r>
    </w:p>
    <w:p>
      <w:pPr>
        <w:spacing w:before="240" w:beforeLines="100" w:after="240" w:afterLines="100" w:line="360" w:lineRule="auto"/>
        <w:ind w:firstLine="562"/>
        <w:outlineLvl w:val="1"/>
        <w:rPr>
          <w:rFonts w:cs="Times New Roman"/>
          <w:b/>
        </w:rPr>
      </w:pPr>
      <w:bookmarkStart w:id="121" w:name="_Toc107764526"/>
      <w:r>
        <w:rPr>
          <w:rFonts w:cs="Times New Roman"/>
          <w:b/>
        </w:rPr>
        <w:t>（三）住房目标</w:t>
      </w:r>
      <w:bookmarkEnd w:id="121"/>
    </w:p>
    <w:p>
      <w:pPr>
        <w:adjustRightInd w:val="0"/>
        <w:snapToGrid w:val="0"/>
        <w:spacing w:line="360" w:lineRule="auto"/>
        <w:ind w:firstLine="562"/>
        <w:rPr>
          <w:rFonts w:cs="Times New Roman"/>
          <w:b/>
          <w:bCs/>
        </w:rPr>
      </w:pPr>
      <w:r>
        <w:rPr>
          <w:rFonts w:cs="Times New Roman"/>
          <w:b/>
          <w:bCs/>
        </w:rPr>
        <w:t>1.总体目标</w:t>
      </w:r>
    </w:p>
    <w:p>
      <w:pPr>
        <w:adjustRightInd w:val="0"/>
        <w:snapToGrid w:val="0"/>
        <w:spacing w:line="360" w:lineRule="auto"/>
        <w:ind w:firstLine="560"/>
        <w:rPr>
          <w:rFonts w:eastAsia="黑体" w:cs="Times New Roman"/>
        </w:rPr>
      </w:pPr>
      <w:r>
        <w:rPr>
          <w:rFonts w:cs="Times New Roman"/>
        </w:rPr>
        <w:t>“十四五”期间，稳步增加住房供给，规划新增供应新建商品住房172500-240000套；不断提升住房保障水平，规划新增筹建公共租赁住房不低于1200套，新增发放租赁补贴家庭不低于1180户，新增筹建保障性租赁住房不低于6000套</w:t>
      </w:r>
      <w:r>
        <w:rPr>
          <w:rFonts w:hint="eastAsia" w:cs="Times New Roman"/>
        </w:rPr>
        <w:t>，加大</w:t>
      </w:r>
      <w:r>
        <w:rPr>
          <w:rFonts w:cs="Times New Roman"/>
        </w:rPr>
        <w:t>人才公寓供应</w:t>
      </w:r>
      <w:r>
        <w:rPr>
          <w:rFonts w:hint="eastAsia" w:cs="Times New Roman"/>
        </w:rPr>
        <w:t>，探索发展共有产权住房，</w:t>
      </w:r>
      <w:r>
        <w:rPr>
          <w:rFonts w:cs="Times New Roman"/>
        </w:rPr>
        <w:t>不断建立健全多层次、高品质的现代化住房供给体系，为湛江市市区全力建设省域副中心城市、加快打造现代化沿海经济带重要发展极，以及建设宜居宜业宜游的生态型海湾城区做好住房支持和促进作用。</w:t>
      </w:r>
    </w:p>
    <w:p>
      <w:pPr>
        <w:adjustRightInd w:val="0"/>
        <w:snapToGrid w:val="0"/>
        <w:spacing w:line="360" w:lineRule="auto"/>
        <w:ind w:firstLine="0" w:firstLineChars="0"/>
        <w:jc w:val="center"/>
        <w:rPr>
          <w:rFonts w:eastAsia="黑体" w:cs="Times New Roman"/>
        </w:rPr>
      </w:pPr>
      <w:r>
        <w:rPr>
          <w:rFonts w:eastAsia="黑体" w:cs="Times New Roman"/>
        </w:rPr>
        <w:t>表1 “十四五”湛江市市区住房发展规模目标表</w:t>
      </w:r>
    </w:p>
    <w:p>
      <w:pPr>
        <w:adjustRightInd w:val="0"/>
        <w:snapToGrid w:val="0"/>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049"/>
        <w:gridCol w:w="1388"/>
        <w:gridCol w:w="1552"/>
        <w:gridCol w:w="1615"/>
        <w:gridCol w:w="1165"/>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gridSpan w:val="2"/>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center"/>
              <w:rPr>
                <w:rFonts w:cs="Times New Roman"/>
                <w:b/>
                <w:bCs/>
                <w:sz w:val="24"/>
                <w:szCs w:val="24"/>
              </w:rPr>
            </w:pPr>
            <w:r>
              <w:rPr>
                <w:rFonts w:cs="Times New Roman"/>
                <w:b/>
                <w:bCs/>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adjustRightInd w:val="0"/>
              <w:snapToGrid w:val="0"/>
              <w:ind w:firstLine="0" w:firstLineChars="0"/>
              <w:jc w:val="center"/>
              <w:rPr>
                <w:rFonts w:cs="Times New Roman"/>
                <w:b/>
                <w:bCs/>
                <w:sz w:val="24"/>
                <w:szCs w:val="24"/>
              </w:rPr>
            </w:pPr>
            <w:r>
              <w:rPr>
                <w:rFonts w:cs="Times New Roman"/>
                <w:b/>
                <w:bCs/>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adjustRightInd w:val="0"/>
              <w:snapToGrid w:val="0"/>
              <w:ind w:firstLine="0" w:firstLineChars="0"/>
              <w:jc w:val="center"/>
              <w:rPr>
                <w:rFonts w:cs="Times New Roman"/>
                <w:b/>
                <w:bCs/>
                <w:sz w:val="24"/>
                <w:szCs w:val="24"/>
              </w:rPr>
            </w:pPr>
            <w:r>
              <w:rPr>
                <w:rFonts w:cs="Times New Roman"/>
                <w:b/>
                <w:bCs/>
                <w:sz w:val="24"/>
                <w:szCs w:val="24"/>
              </w:rPr>
              <w:t>新增筹建保障性安居工程住房</w:t>
            </w:r>
          </w:p>
          <w:p>
            <w:pPr>
              <w:adjustRightInd w:val="0"/>
              <w:snapToGrid w:val="0"/>
              <w:ind w:firstLine="0" w:firstLineChars="0"/>
              <w:jc w:val="center"/>
              <w:rPr>
                <w:rFonts w:cs="Times New Roman"/>
                <w:b/>
                <w:bCs/>
                <w:sz w:val="24"/>
                <w:szCs w:val="24"/>
              </w:rPr>
            </w:pPr>
            <w:r>
              <w:rPr>
                <w:rFonts w:cs="Times New Roman"/>
                <w:b/>
                <w:bCs/>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gridSpan w:val="2"/>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
                <w:bCs/>
                <w:sz w:val="24"/>
                <w:szCs w:val="24"/>
              </w:rPr>
            </w:pPr>
          </w:p>
        </w:tc>
        <w:tc>
          <w:tcPr>
            <w:tcW w:w="814" w:type="pct"/>
            <w:tcBorders>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
                <w:bCs/>
                <w:sz w:val="24"/>
                <w:szCs w:val="24"/>
              </w:rPr>
            </w:pPr>
            <w:r>
              <w:rPr>
                <w:rFonts w:cs="Times New Roman"/>
                <w:b/>
                <w:bCs/>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
                <w:bCs/>
                <w:sz w:val="24"/>
                <w:szCs w:val="24"/>
              </w:rPr>
            </w:pPr>
            <w:r>
              <w:rPr>
                <w:rFonts w:cs="Times New Roman"/>
                <w:b/>
                <w:bCs/>
                <w:sz w:val="24"/>
                <w:szCs w:val="24"/>
              </w:rPr>
              <w:t>高目标</w:t>
            </w:r>
          </w:p>
        </w:tc>
        <w:tc>
          <w:tcPr>
            <w:tcW w:w="947" w:type="pct"/>
            <w:tcBorders>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
                <w:bCs/>
                <w:sz w:val="24"/>
                <w:szCs w:val="24"/>
              </w:rPr>
            </w:pPr>
            <w:r>
              <w:rPr>
                <w:rFonts w:cs="Times New Roman"/>
                <w:b/>
                <w:bCs/>
                <w:sz w:val="24"/>
                <w:szCs w:val="24"/>
              </w:rPr>
              <w:t>新增筹建</w:t>
            </w:r>
          </w:p>
          <w:p>
            <w:pPr>
              <w:adjustRightInd w:val="0"/>
              <w:snapToGrid w:val="0"/>
              <w:ind w:firstLine="0" w:firstLineChars="0"/>
              <w:jc w:val="center"/>
              <w:rPr>
                <w:rFonts w:cs="Times New Roman"/>
                <w:b/>
                <w:bCs/>
                <w:sz w:val="24"/>
                <w:szCs w:val="24"/>
              </w:rPr>
            </w:pPr>
            <w:r>
              <w:rPr>
                <w:rFonts w:cs="Times New Roman"/>
                <w:b/>
                <w:bCs/>
                <w:sz w:val="24"/>
                <w:szCs w:val="24"/>
              </w:rPr>
              <w:t>公共租赁</w:t>
            </w:r>
          </w:p>
          <w:p>
            <w:pPr>
              <w:adjustRightInd w:val="0"/>
              <w:snapToGrid w:val="0"/>
              <w:ind w:firstLine="0" w:firstLineChars="0"/>
              <w:jc w:val="center"/>
              <w:rPr>
                <w:rFonts w:cs="Times New Roman"/>
                <w:b/>
                <w:bCs/>
                <w:sz w:val="24"/>
                <w:szCs w:val="24"/>
              </w:rPr>
            </w:pPr>
            <w:r>
              <w:rPr>
                <w:rFonts w:cs="Times New Roman"/>
                <w:b/>
                <w:bCs/>
                <w:sz w:val="24"/>
                <w:szCs w:val="24"/>
              </w:rPr>
              <w:t>住房</w:t>
            </w:r>
          </w:p>
        </w:tc>
        <w:tc>
          <w:tcPr>
            <w:tcW w:w="683" w:type="pct"/>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
                <w:bCs/>
                <w:sz w:val="24"/>
                <w:szCs w:val="24"/>
              </w:rPr>
            </w:pPr>
            <w:r>
              <w:rPr>
                <w:rFonts w:cs="Times New Roman"/>
                <w:b/>
                <w:bCs/>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
                <w:bCs/>
                <w:sz w:val="24"/>
                <w:szCs w:val="24"/>
              </w:rPr>
            </w:pPr>
            <w:r>
              <w:rPr>
                <w:rFonts w:cs="Times New Roman"/>
                <w:b/>
                <w:bCs/>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市区</w:t>
            </w: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赤坎区</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60000</w:t>
            </w:r>
          </w:p>
        </w:tc>
        <w:tc>
          <w:tcPr>
            <w:tcW w:w="947" w:type="pct"/>
            <w:tcBorders>
              <w:top w:val="single" w:color="auto" w:sz="4" w:space="0"/>
              <w:left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600</w:t>
            </w:r>
          </w:p>
        </w:tc>
        <w:tc>
          <w:tcPr>
            <w:tcW w:w="683" w:type="pct"/>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1180</w:t>
            </w:r>
          </w:p>
        </w:tc>
        <w:tc>
          <w:tcPr>
            <w:tcW w:w="731" w:type="pct"/>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霞山区</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45000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55000</w:t>
            </w:r>
          </w:p>
        </w:tc>
        <w:tc>
          <w:tcPr>
            <w:tcW w:w="947" w:type="pct"/>
            <w:tcBorders>
              <w:left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300</w:t>
            </w:r>
          </w:p>
        </w:tc>
        <w:tc>
          <w:tcPr>
            <w:tcW w:w="683"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adjustRightInd w:val="0"/>
              <w:snapToGrid w:val="0"/>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坡头区</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30000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50000</w:t>
            </w:r>
          </w:p>
        </w:tc>
        <w:tc>
          <w:tcPr>
            <w:tcW w:w="947" w:type="pct"/>
            <w:tcBorders>
              <w:left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200</w:t>
            </w:r>
          </w:p>
        </w:tc>
        <w:tc>
          <w:tcPr>
            <w:tcW w:w="683"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adjustRightInd w:val="0"/>
              <w:snapToGrid w:val="0"/>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麻章区</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22500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30000</w:t>
            </w:r>
          </w:p>
        </w:tc>
        <w:tc>
          <w:tcPr>
            <w:tcW w:w="947" w:type="pct"/>
            <w:tcBorders>
              <w:left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100</w:t>
            </w:r>
          </w:p>
        </w:tc>
        <w:tc>
          <w:tcPr>
            <w:tcW w:w="683"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731" w:type="pct"/>
            <w:vMerge w:val="continue"/>
            <w:tcBorders>
              <w:left w:val="single" w:color="auto" w:sz="4" w:space="0"/>
              <w:right w:val="single" w:color="auto" w:sz="4" w:space="0"/>
            </w:tcBorders>
            <w:vAlign w:val="center"/>
          </w:tcPr>
          <w:p>
            <w:pPr>
              <w:adjustRightInd w:val="0"/>
              <w:snapToGrid w:val="0"/>
              <w:ind w:firstLine="48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经开区</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35000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45000</w:t>
            </w:r>
          </w:p>
        </w:tc>
        <w:tc>
          <w:tcPr>
            <w:tcW w:w="947" w:type="pct"/>
            <w:tcBorders>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0</w:t>
            </w:r>
          </w:p>
        </w:tc>
        <w:tc>
          <w:tcPr>
            <w:tcW w:w="683" w:type="pct"/>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731" w:type="pct"/>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p>
        </w:tc>
        <w:tc>
          <w:tcPr>
            <w:tcW w:w="61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172500</w:t>
            </w:r>
          </w:p>
        </w:tc>
        <w:tc>
          <w:tcPr>
            <w:tcW w:w="910" w:type="pct"/>
            <w:tcBorders>
              <w:top w:val="single" w:color="auto" w:sz="4" w:space="0"/>
              <w:left w:val="nil"/>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240000</w:t>
            </w:r>
          </w:p>
        </w:tc>
        <w:tc>
          <w:tcPr>
            <w:tcW w:w="94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cs="Times New Roman"/>
                <w:bCs/>
                <w:sz w:val="24"/>
                <w:szCs w:val="24"/>
              </w:rPr>
            </w:pPr>
            <w:r>
              <w:rPr>
                <w:rFonts w:cs="Times New Roman"/>
                <w:bCs/>
                <w:sz w:val="24"/>
                <w:szCs w:val="24"/>
              </w:rPr>
              <w:t>1200</w:t>
            </w:r>
          </w:p>
        </w:tc>
        <w:tc>
          <w:tcPr>
            <w:tcW w:w="683" w:type="pct"/>
            <w:tcBorders>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1180</w:t>
            </w:r>
          </w:p>
        </w:tc>
        <w:tc>
          <w:tcPr>
            <w:tcW w:w="731"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cs="Times New Roman"/>
                <w:bCs/>
                <w:sz w:val="24"/>
                <w:szCs w:val="24"/>
              </w:rPr>
            </w:pPr>
            <w:r>
              <w:rPr>
                <w:rFonts w:cs="Times New Roman"/>
                <w:bCs/>
                <w:sz w:val="24"/>
                <w:szCs w:val="24"/>
              </w:rPr>
              <w:t>6000</w:t>
            </w:r>
          </w:p>
        </w:tc>
      </w:tr>
    </w:tbl>
    <w:p>
      <w:pPr>
        <w:adjustRightInd w:val="0"/>
        <w:snapToGrid w:val="0"/>
        <w:ind w:firstLine="0" w:firstLineChars="0"/>
        <w:jc w:val="left"/>
        <w:rPr>
          <w:rFonts w:cs="Times New Roman"/>
          <w:sz w:val="24"/>
        </w:rPr>
      </w:pPr>
      <w:r>
        <w:rPr>
          <w:rFonts w:cs="Times New Roman"/>
          <w:sz w:val="24"/>
        </w:rPr>
        <w:t xml:space="preserve">注： </w:t>
      </w:r>
    </w:p>
    <w:p>
      <w:pPr>
        <w:adjustRightInd w:val="0"/>
        <w:snapToGrid w:val="0"/>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adjustRightInd w:val="0"/>
        <w:snapToGrid w:val="0"/>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adjustRightInd w:val="0"/>
        <w:snapToGrid w:val="0"/>
        <w:spacing w:line="360" w:lineRule="auto"/>
        <w:ind w:firstLine="0" w:firstLineChars="0"/>
        <w:rPr>
          <w:rFonts w:eastAsia="黑体" w:cs="Times New Roman"/>
        </w:rPr>
      </w:pPr>
      <w:r>
        <w:rPr>
          <w:rFonts w:cs="Times New Roman"/>
          <w:sz w:val="24"/>
          <w:szCs w:val="24"/>
        </w:rPr>
        <w:t>3.保障性租赁住房包括符合条件的人才公寓。</w:t>
      </w:r>
    </w:p>
    <w:p>
      <w:pPr>
        <w:adjustRightInd w:val="0"/>
        <w:snapToGrid w:val="0"/>
        <w:spacing w:before="120" w:beforeLines="50" w:line="360" w:lineRule="auto"/>
        <w:ind w:firstLine="562"/>
        <w:rPr>
          <w:rFonts w:cs="Times New Roman"/>
          <w:b/>
          <w:bCs/>
        </w:rPr>
      </w:pPr>
      <w:r>
        <w:rPr>
          <w:rFonts w:cs="Times New Roman"/>
          <w:b/>
          <w:bCs/>
        </w:rPr>
        <w:t>2、年度目标：</w:t>
      </w:r>
    </w:p>
    <w:p>
      <w:pPr>
        <w:adjustRightInd w:val="0"/>
        <w:snapToGrid w:val="0"/>
        <w:spacing w:line="360" w:lineRule="auto"/>
        <w:ind w:firstLine="560"/>
        <w:rPr>
          <w:rFonts w:cs="Times New Roman"/>
        </w:rPr>
      </w:pPr>
      <w:r>
        <w:rPr>
          <w:rFonts w:cs="Times New Roman"/>
        </w:rPr>
        <w:t>为了落实“十四五”市区住房发展目标，规划将目标分解至各年度：</w:t>
      </w:r>
    </w:p>
    <w:p>
      <w:pPr>
        <w:adjustRightInd w:val="0"/>
        <w:snapToGrid w:val="0"/>
        <w:spacing w:line="360" w:lineRule="auto"/>
        <w:ind w:firstLine="0" w:firstLineChars="0"/>
        <w:jc w:val="center"/>
        <w:rPr>
          <w:rFonts w:eastAsia="黑体" w:cs="Times New Roman"/>
        </w:rPr>
      </w:pPr>
      <w:r>
        <w:rPr>
          <w:rFonts w:eastAsia="黑体" w:cs="Times New Roman"/>
        </w:rPr>
        <w:t xml:space="preserve"> “十四五”湛江市市区住房发展年度计划表</w:t>
      </w:r>
    </w:p>
    <w:p>
      <w:pPr>
        <w:adjustRightInd w:val="0"/>
        <w:snapToGrid w:val="0"/>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388"/>
        <w:gridCol w:w="1552"/>
        <w:gridCol w:w="1615"/>
        <w:gridCol w:w="1165"/>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29000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32000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31500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230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34500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37500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64000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290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172500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1200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1180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r>
    </w:tbl>
    <w:p>
      <w:pPr>
        <w:adjustRightInd w:val="0"/>
        <w:snapToGrid w:val="0"/>
        <w:ind w:firstLine="0" w:firstLineChars="0"/>
        <w:jc w:val="left"/>
        <w:rPr>
          <w:rFonts w:cs="Times New Roman"/>
          <w:sz w:val="24"/>
        </w:rPr>
      </w:pPr>
      <w:r>
        <w:rPr>
          <w:rFonts w:cs="Times New Roman"/>
          <w:sz w:val="24"/>
        </w:rPr>
        <w:t>注：</w:t>
      </w:r>
    </w:p>
    <w:p>
      <w:pPr>
        <w:adjustRightInd w:val="0"/>
        <w:snapToGrid w:val="0"/>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adjustRightInd w:val="0"/>
        <w:snapToGrid w:val="0"/>
        <w:ind w:firstLine="0" w:firstLineChars="0"/>
        <w:rPr>
          <w:rFonts w:cs="Times New Roman"/>
          <w:sz w:val="24"/>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p>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22" w:name="_Toc107764527"/>
      <w:r>
        <w:rPr>
          <w:rFonts w:eastAsia="黑体" w:cs="Times New Roman"/>
          <w:sz w:val="32"/>
          <w:szCs w:val="24"/>
        </w:rPr>
        <w:t>二、构建合理住房空间布局</w:t>
      </w:r>
      <w:bookmarkEnd w:id="122"/>
    </w:p>
    <w:p>
      <w:pPr>
        <w:spacing w:before="240" w:beforeLines="100" w:after="240" w:afterLines="100" w:line="360" w:lineRule="auto"/>
        <w:ind w:firstLine="562"/>
        <w:outlineLvl w:val="1"/>
        <w:rPr>
          <w:rFonts w:cs="Times New Roman"/>
          <w:b/>
        </w:rPr>
      </w:pPr>
      <w:bookmarkStart w:id="123" w:name="_Toc107764528"/>
      <w:r>
        <w:rPr>
          <w:rFonts w:cs="Times New Roman"/>
          <w:b/>
        </w:rPr>
        <w:t>（一）市区住房空间布局总体策略</w:t>
      </w:r>
      <w:bookmarkEnd w:id="123"/>
    </w:p>
    <w:p>
      <w:pPr>
        <w:adjustRightInd w:val="0"/>
        <w:snapToGrid w:val="0"/>
        <w:spacing w:line="360" w:lineRule="auto"/>
        <w:ind w:firstLine="562"/>
        <w:rPr>
          <w:rFonts w:cs="Times New Roman" w:asciiTheme="minorHAnsi" w:hAnsiTheme="minorHAnsi"/>
        </w:rPr>
      </w:pPr>
      <w:r>
        <w:rPr>
          <w:rFonts w:cs="Times New Roman"/>
          <w:b/>
          <w:bCs/>
        </w:rPr>
        <w:t>打造城市高品质服务核。</w:t>
      </w:r>
      <w:r>
        <w:rPr>
          <w:rFonts w:cs="Times New Roman" w:asciiTheme="minorHAnsi" w:hAnsiTheme="minorHAnsi"/>
        </w:rPr>
        <w:t>以湛江湾为核心，形成“两区两核、一轴两带多组团”的市区空间结构。以打造区域性的高端服务城市功能区为建设目标，加强市区城市设计对住房发展的引导，推进</w:t>
      </w:r>
      <w:r>
        <w:rPr>
          <w:rFonts w:hint="eastAsia" w:cs="Times New Roman" w:asciiTheme="minorHAnsi" w:hAnsiTheme="minorHAnsi"/>
        </w:rPr>
        <w:t>湛江北站枢纽地区</w:t>
      </w:r>
      <w:r>
        <w:rPr>
          <w:rFonts w:cs="Times New Roman" w:asciiTheme="minorHAnsi" w:hAnsiTheme="minorHAnsi"/>
        </w:rPr>
        <w:t>、海东新区起步区连片开发</w:t>
      </w:r>
      <w:r>
        <w:rPr>
          <w:rFonts w:hint="eastAsia" w:cs="Times New Roman" w:asciiTheme="minorHAnsi" w:hAnsiTheme="minorHAnsi"/>
        </w:rPr>
        <w:t>；加大城市更新力度，</w:t>
      </w:r>
      <w:r>
        <w:rPr>
          <w:rFonts w:cs="Times New Roman" w:asciiTheme="minorHAnsi" w:hAnsiTheme="minorHAnsi"/>
        </w:rPr>
        <w:t>稳步增加市区城镇住房供给，</w:t>
      </w:r>
      <w:r>
        <w:rPr>
          <w:rFonts w:hint="eastAsia" w:cs="Times New Roman" w:asciiTheme="minorHAnsi" w:hAnsiTheme="minorHAnsi"/>
        </w:rPr>
        <w:t>发展</w:t>
      </w:r>
      <w:r>
        <w:rPr>
          <w:rFonts w:cs="Times New Roman" w:asciiTheme="minorHAnsi" w:hAnsiTheme="minorHAnsi"/>
        </w:rPr>
        <w:t>多样化的商品住房和租赁住房，</w:t>
      </w:r>
      <w:r>
        <w:rPr>
          <w:rFonts w:hint="eastAsia" w:cs="Times New Roman" w:asciiTheme="minorHAnsi" w:hAnsiTheme="minorHAnsi"/>
        </w:rPr>
        <w:t>探索</w:t>
      </w:r>
      <w:r>
        <w:rPr>
          <w:rFonts w:cs="Times New Roman" w:asciiTheme="minorHAnsi" w:hAnsiTheme="minorHAnsi"/>
        </w:rPr>
        <w:t>在</w:t>
      </w:r>
      <w:r>
        <w:rPr>
          <w:rFonts w:hint="eastAsia" w:cs="Times New Roman" w:asciiTheme="minorHAnsi" w:hAnsiTheme="minorHAnsi"/>
        </w:rPr>
        <w:t>中心城区试点建设</w:t>
      </w:r>
      <w:r>
        <w:rPr>
          <w:rFonts w:cs="Times New Roman" w:asciiTheme="minorHAnsi" w:hAnsiTheme="minorHAnsi"/>
        </w:rPr>
        <w:t>国际人才社区，高标准引进优质的公共服务配套设施，打造海湾城市高品质居住样板，吸引国内外和本地的精英人才在湛江市定居。</w:t>
      </w:r>
    </w:p>
    <w:p>
      <w:pPr>
        <w:adjustRightInd w:val="0"/>
        <w:snapToGrid w:val="0"/>
        <w:spacing w:line="360" w:lineRule="auto"/>
        <w:ind w:firstLine="562"/>
        <w:rPr>
          <w:rFonts w:cs="Times New Roman"/>
        </w:rPr>
      </w:pPr>
      <w:r>
        <w:rPr>
          <w:rFonts w:cs="Times New Roman" w:asciiTheme="minorHAnsi" w:hAnsiTheme="minorHAnsi"/>
          <w:b/>
          <w:bCs/>
        </w:rPr>
        <w:t>继续做大中心城区。</w:t>
      </w:r>
      <w:r>
        <w:rPr>
          <w:rFonts w:cs="Times New Roman" w:asciiTheme="minorHAnsi" w:hAnsiTheme="minorHAnsi"/>
        </w:rPr>
        <w:t>稳步增加赤坎、霞山、麻章、坡头和经开区的住房供给，加大住房保障力度，加快补齐公共服务配套设施短板，提高中心城区居住承载力和包容性；</w:t>
      </w:r>
      <w:r>
        <w:rPr>
          <w:rFonts w:hint="eastAsia" w:cs="Times New Roman" w:asciiTheme="minorHAnsi" w:hAnsiTheme="minorHAnsi"/>
        </w:rPr>
        <w:t>促进</w:t>
      </w:r>
      <w:r>
        <w:rPr>
          <w:rFonts w:cs="Times New Roman" w:asciiTheme="minorHAnsi" w:hAnsiTheme="minorHAnsi"/>
        </w:rPr>
        <w:t>湛遂同城发展，加强</w:t>
      </w:r>
      <w:r>
        <w:rPr>
          <w:rFonts w:hint="eastAsia" w:cs="Times New Roman" w:asciiTheme="minorHAnsi" w:hAnsiTheme="minorHAnsi"/>
        </w:rPr>
        <w:t>市区与雷州、吴川</w:t>
      </w:r>
      <w:r>
        <w:rPr>
          <w:rFonts w:cs="Times New Roman" w:asciiTheme="minorHAnsi" w:hAnsiTheme="minorHAnsi"/>
        </w:rPr>
        <w:t>联动发展，引导周边县（市）农村转移人口向中心城区集聚，推进中心城区新型城镇化高质量发展</w:t>
      </w:r>
      <w:r>
        <w:rPr>
          <w:rFonts w:cs="Times New Roman"/>
        </w:rPr>
        <w:t>。</w:t>
      </w:r>
    </w:p>
    <w:p>
      <w:pPr>
        <w:adjustRightInd w:val="0"/>
        <w:snapToGrid w:val="0"/>
        <w:spacing w:line="360" w:lineRule="auto"/>
        <w:ind w:firstLine="562"/>
        <w:rPr>
          <w:rFonts w:cs="Times New Roman"/>
        </w:rPr>
      </w:pPr>
      <w:r>
        <w:rPr>
          <w:rFonts w:cs="Times New Roman"/>
          <w:b/>
          <w:bCs/>
        </w:rPr>
        <w:t>促进高水平产城融合。</w:t>
      </w:r>
      <w:r>
        <w:rPr>
          <w:rFonts w:cs="Times New Roman"/>
        </w:rPr>
        <w:t>围绕广东临港大型工业园东海岛片区和雷州奋勇片区、湛江高新技术产业开发区、空港经济区等重点平台的产业发展，整体谋划生产功能区和生活配套区建设，结合产业人才需求，促进工业园区项目配套宿舍的集中、整体规划建设，以需定供，适当配置中小套型商品住房、人才住房等，改善公共交通出行条件，完善公共服务配套设施，打造优质产业型居住社区。</w:t>
      </w:r>
    </w:p>
    <w:p>
      <w:pPr>
        <w:spacing w:before="240" w:beforeLines="100" w:after="240" w:afterLines="100" w:line="360" w:lineRule="auto"/>
        <w:ind w:firstLine="562"/>
        <w:outlineLvl w:val="1"/>
        <w:rPr>
          <w:rFonts w:cs="Times New Roman"/>
          <w:b/>
        </w:rPr>
      </w:pPr>
      <w:bookmarkStart w:id="124" w:name="_Toc107764529"/>
      <w:r>
        <w:rPr>
          <w:rFonts w:cs="Times New Roman"/>
          <w:b/>
        </w:rPr>
        <w:t>（二）各区住房空间布局</w:t>
      </w:r>
      <w:bookmarkEnd w:id="124"/>
    </w:p>
    <w:p>
      <w:pPr>
        <w:adjustRightInd w:val="0"/>
        <w:snapToGrid w:val="0"/>
        <w:spacing w:line="360" w:lineRule="auto"/>
        <w:ind w:firstLine="562"/>
        <w:rPr>
          <w:rFonts w:cs="Times New Roman"/>
          <w:bCs/>
        </w:rPr>
      </w:pPr>
      <w:bookmarkStart w:id="125" w:name="_Hlk93049407"/>
      <w:r>
        <w:rPr>
          <w:rFonts w:cs="Times New Roman"/>
          <w:b/>
        </w:rPr>
        <w:t>赤坎区住房空间布局。</w:t>
      </w:r>
      <w:r>
        <w:rPr>
          <w:rFonts w:cs="Times New Roman"/>
          <w:bCs/>
        </w:rPr>
        <w:t>以城市更新为统领，实施海田片区和调顺岛片区等更新改造，完善城市功能和品质，稳步增加优质住房，加大住房保障力度，完善赤坎区商业、办公以及公共文化等资源的导入，打造新时代“湛江城市客厅”；加快推进赤坎老城特别是历史文化街区周边的居住环境综合整治，加快补齐基础设施和公共服务设施短板，促进老城区空置住房的盘活利用和历史文化、商业资源等的导入，促进赤坎区全面焕发新活力，提升赤坎片区人口承载力。</w:t>
      </w:r>
    </w:p>
    <w:p>
      <w:pPr>
        <w:adjustRightInd w:val="0"/>
        <w:snapToGrid w:val="0"/>
        <w:spacing w:line="360" w:lineRule="auto"/>
        <w:ind w:firstLine="562"/>
        <w:rPr>
          <w:rFonts w:cs="Times New Roman"/>
          <w:bCs/>
        </w:rPr>
      </w:pPr>
      <w:r>
        <w:rPr>
          <w:rFonts w:cs="Times New Roman"/>
          <w:b/>
        </w:rPr>
        <w:t>霞山区住房空间布局。</w:t>
      </w:r>
      <w:r>
        <w:rPr>
          <w:rFonts w:cs="Times New Roman"/>
          <w:bCs/>
        </w:rPr>
        <w:t>加大霞山区环境综合整治和城市更新改造力度，重点推进湛江机场搬迁，</w:t>
      </w:r>
      <w:r>
        <w:rPr>
          <w:rFonts w:hint="eastAsia" w:asciiTheme="minorHAnsi" w:hAnsiTheme="minorHAnsi"/>
        </w:rPr>
        <w:t>高标准建设湛江北站枢纽地区，</w:t>
      </w:r>
      <w:r>
        <w:rPr>
          <w:rFonts w:cs="Times New Roman"/>
          <w:bCs/>
        </w:rPr>
        <w:t>引导房地产开发项目向西布局，促进霞山区扩容提质；支持霞山宝满港区、临港工业园升级改造和湛江综合保税区建设，做好居住和生活配套，</w:t>
      </w:r>
      <w:r>
        <w:rPr>
          <w:rFonts w:cs="Times New Roman"/>
        </w:rPr>
        <w:t>结合产业人才需求，促进工业园区项目配套宿舍的集中、整体规划建设，以需定供，促进职住平衡</w:t>
      </w:r>
      <w:r>
        <w:rPr>
          <w:rFonts w:cs="Times New Roman"/>
          <w:bCs/>
        </w:rPr>
        <w:t>；引导滨海大道沿线低效用地升级改造，加</w:t>
      </w:r>
      <w:r>
        <w:rPr>
          <w:rFonts w:hint="eastAsia" w:cs="Times New Roman"/>
          <w:bCs/>
        </w:rPr>
        <w:t>大</w:t>
      </w:r>
      <w:r>
        <w:rPr>
          <w:rFonts w:cs="Times New Roman"/>
          <w:bCs/>
        </w:rPr>
        <w:t>滨海旅游产业和服务业项目引进力度，开发多样化旅游居住产品，与特呈岛旅游发展形成联动，提升旅游服务能力和影响力。</w:t>
      </w:r>
    </w:p>
    <w:p>
      <w:pPr>
        <w:adjustRightInd w:val="0"/>
        <w:snapToGrid w:val="0"/>
        <w:spacing w:line="360" w:lineRule="auto"/>
        <w:ind w:firstLine="562"/>
        <w:rPr>
          <w:rFonts w:cs="Times New Roman"/>
          <w:b/>
        </w:rPr>
      </w:pPr>
      <w:r>
        <w:rPr>
          <w:rFonts w:cs="Times New Roman"/>
          <w:b/>
        </w:rPr>
        <w:t>坡头区住房空间布局。</w:t>
      </w:r>
      <w:r>
        <w:rPr>
          <w:rFonts w:cs="Times New Roman"/>
          <w:bCs/>
        </w:rPr>
        <w:t>加快海东新区起步区建设，结合城市功能，</w:t>
      </w:r>
      <w:r>
        <w:rPr>
          <w:rFonts w:hint="eastAsia" w:cs="Times New Roman"/>
        </w:rPr>
        <w:t>发展</w:t>
      </w:r>
      <w:r>
        <w:rPr>
          <w:rFonts w:cs="Times New Roman"/>
        </w:rPr>
        <w:t>多样化的商品住房和租赁住房，</w:t>
      </w:r>
      <w:r>
        <w:rPr>
          <w:rFonts w:cs="Times New Roman"/>
          <w:bCs/>
        </w:rPr>
        <w:t>完善基础设施和公共服务设施配套，</w:t>
      </w:r>
      <w:r>
        <w:rPr>
          <w:rFonts w:cs="Times New Roman"/>
        </w:rPr>
        <w:t>打造高品质宜居示范新区；高起点、高标准建设海东高新园，为高新技术产业布局和人才引进创造良好条件。</w:t>
      </w:r>
    </w:p>
    <w:p>
      <w:pPr>
        <w:adjustRightInd w:val="0"/>
        <w:snapToGrid w:val="0"/>
        <w:spacing w:line="360" w:lineRule="auto"/>
        <w:ind w:firstLine="562"/>
        <w:rPr>
          <w:rFonts w:cs="Times New Roman"/>
          <w:bCs/>
        </w:rPr>
      </w:pPr>
      <w:r>
        <w:rPr>
          <w:rFonts w:cs="Times New Roman"/>
          <w:b/>
        </w:rPr>
        <w:t>麻章区住房空间布局。</w:t>
      </w:r>
      <w:r>
        <w:rPr>
          <w:rFonts w:cs="Times New Roman"/>
          <w:bCs/>
        </w:rPr>
        <w:t>加快城市更新和土地收储步伐，实施整体谋划、组团式开发，不断优化城市功能布局，完善交通布局，促进城市居住组团</w:t>
      </w:r>
      <w:r>
        <w:rPr>
          <w:rFonts w:cs="Times New Roman"/>
        </w:rPr>
        <w:t>湛江西站片区教育基地，以及森工产业园、太和工业园、三佰洋工业园产业集聚地等联动发展，</w:t>
      </w:r>
      <w:r>
        <w:rPr>
          <w:rFonts w:cs="Times New Roman"/>
          <w:bCs/>
        </w:rPr>
        <w:t>稳步增加各类住房供给，促进</w:t>
      </w:r>
      <w:r>
        <w:rPr>
          <w:rFonts w:cs="Times New Roman"/>
        </w:rPr>
        <w:t>职住平衡；</w:t>
      </w:r>
      <w:r>
        <w:rPr>
          <w:rFonts w:cs="Times New Roman"/>
          <w:bCs/>
        </w:rPr>
        <w:t>稳步推进湖光岩片区休闲旅游发展。</w:t>
      </w:r>
    </w:p>
    <w:p>
      <w:pPr>
        <w:adjustRightInd w:val="0"/>
        <w:snapToGrid w:val="0"/>
        <w:spacing w:line="360" w:lineRule="auto"/>
        <w:ind w:firstLine="562"/>
        <w:rPr>
          <w:rFonts w:cs="Times New Roman"/>
          <w:bCs/>
        </w:rPr>
      </w:pPr>
      <w:r>
        <w:rPr>
          <w:rFonts w:cs="Times New Roman"/>
          <w:b/>
        </w:rPr>
        <w:t>经开区住房空间布局。</w:t>
      </w:r>
      <w:r>
        <w:rPr>
          <w:rFonts w:cs="Times New Roman"/>
          <w:bCs/>
        </w:rPr>
        <w:t>以经济建设和产业发展为核心，全面推进经开区提质扩容，把建成区打造成高品质的中央商务区和现代商贸中心；促进经开区打造成为产城融合样板城区，布局多样化住房产品，谋划国际人才社区建设项目，加快东海岛产业配套生活区规划建设，支持和吸引各类人才向经开区集聚。</w:t>
      </w:r>
    </w:p>
    <w:bookmarkEnd w:id="125"/>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26" w:name="_Toc107764530"/>
      <w:r>
        <w:rPr>
          <w:rFonts w:eastAsia="黑体" w:cs="Times New Roman"/>
          <w:sz w:val="32"/>
          <w:szCs w:val="24"/>
        </w:rPr>
        <w:t>三、促进房地产市场健康发展</w:t>
      </w:r>
      <w:bookmarkEnd w:id="126"/>
    </w:p>
    <w:p>
      <w:pPr>
        <w:spacing w:before="240" w:beforeLines="100" w:after="240" w:afterLines="100" w:line="360" w:lineRule="auto"/>
        <w:ind w:firstLine="562"/>
        <w:outlineLvl w:val="1"/>
        <w:rPr>
          <w:rFonts w:cs="Times New Roman"/>
          <w:b/>
        </w:rPr>
      </w:pPr>
      <w:bookmarkStart w:id="127" w:name="_Toc107764531"/>
      <w:r>
        <w:rPr>
          <w:rFonts w:cs="Times New Roman"/>
          <w:b/>
        </w:rPr>
        <w:t>（一）健全住房梯度健康消费</w:t>
      </w:r>
      <w:bookmarkEnd w:id="127"/>
    </w:p>
    <w:p>
      <w:pPr>
        <w:adjustRightInd w:val="0"/>
        <w:snapToGrid w:val="0"/>
        <w:spacing w:line="360" w:lineRule="auto"/>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adjustRightInd w:val="0"/>
        <w:snapToGrid w:val="0"/>
        <w:spacing w:line="360" w:lineRule="auto"/>
        <w:ind w:firstLine="562"/>
        <w:rPr>
          <w:rFonts w:cs="Times New Roman"/>
        </w:rPr>
      </w:pPr>
      <w:bookmarkStart w:id="128" w:name="_Hlk83839385"/>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bookmarkEnd w:id="128"/>
    <w:p>
      <w:pPr>
        <w:adjustRightInd w:val="0"/>
        <w:snapToGrid w:val="0"/>
        <w:spacing w:line="360" w:lineRule="auto"/>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240" w:beforeLines="100" w:after="240" w:afterLines="100" w:line="360" w:lineRule="auto"/>
        <w:ind w:firstLine="562"/>
        <w:outlineLvl w:val="1"/>
        <w:rPr>
          <w:rFonts w:cs="Times New Roman"/>
          <w:b/>
        </w:rPr>
      </w:pPr>
      <w:bookmarkStart w:id="129" w:name="_Toc107764532"/>
      <w:bookmarkStart w:id="130" w:name="_Toc83825440"/>
      <w:r>
        <w:rPr>
          <w:rFonts w:cs="Times New Roman"/>
          <w:b/>
        </w:rPr>
        <w:t>（二）加强住房与土地联动</w:t>
      </w:r>
      <w:bookmarkEnd w:id="129"/>
      <w:bookmarkEnd w:id="130"/>
    </w:p>
    <w:p>
      <w:pPr>
        <w:adjustRightInd w:val="0"/>
        <w:snapToGrid w:val="0"/>
        <w:spacing w:line="360" w:lineRule="auto"/>
        <w:ind w:firstLine="562"/>
        <w:rPr>
          <w:rFonts w:cs="Times New Roman"/>
        </w:rPr>
      </w:pPr>
      <w:r>
        <w:rPr>
          <w:rFonts w:cs="Times New Roman"/>
          <w:b/>
          <w:bCs/>
        </w:rPr>
        <w:t>保障住宅用地供给。</w:t>
      </w:r>
      <w:bookmarkStart w:id="131" w:name="_Hlk113269138"/>
      <w:r>
        <w:rPr>
          <w:rFonts w:hint="eastAsia" w:cs="Times New Roman"/>
        </w:rPr>
        <w:t>根据“十四五”期间新增筹建各类住房目标</w:t>
      </w:r>
      <w:r>
        <w:rPr>
          <w:rFonts w:cs="Times New Roman"/>
        </w:rPr>
        <w:t>，预计需要供应住宅用地620.2-856.4公顷。</w:t>
      </w:r>
      <w:bookmarkEnd w:id="131"/>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adjustRightInd w:val="0"/>
        <w:snapToGrid w:val="0"/>
        <w:spacing w:line="360" w:lineRule="auto"/>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商品住房库存消化周期，及时调整住宅用地供应规模和节奏，保障市场供需基本平衡。加快建立住宅用地价格指数监测，创新土地供给方式，及时调节土地出让价格，以稳定市场预期，防止房价地价大起大落。</w:t>
      </w:r>
    </w:p>
    <w:p>
      <w:pPr>
        <w:spacing w:before="240" w:beforeLines="100" w:after="240" w:afterLines="100" w:line="360" w:lineRule="auto"/>
        <w:ind w:firstLine="562"/>
        <w:outlineLvl w:val="1"/>
        <w:rPr>
          <w:rFonts w:cs="Times New Roman"/>
          <w:b/>
        </w:rPr>
      </w:pPr>
      <w:bookmarkStart w:id="132" w:name="_Toc107764533"/>
      <w:bookmarkStart w:id="133" w:name="_Toc83825441"/>
      <w:r>
        <w:rPr>
          <w:rFonts w:cs="Times New Roman"/>
          <w:b/>
        </w:rPr>
        <w:t>（三）完善房地产金融政策</w:t>
      </w:r>
      <w:bookmarkEnd w:id="132"/>
      <w:bookmarkEnd w:id="133"/>
    </w:p>
    <w:p>
      <w:pPr>
        <w:adjustRightInd w:val="0"/>
        <w:snapToGrid w:val="0"/>
        <w:spacing w:line="360" w:lineRule="auto"/>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adjustRightInd w:val="0"/>
        <w:snapToGrid w:val="0"/>
        <w:spacing w:line="360" w:lineRule="auto"/>
        <w:ind w:firstLine="562"/>
        <w:rPr>
          <w:rFonts w:cs="Times New Roman" w:asciiTheme="minorHAnsi" w:hAnsiTheme="minorHAnsi"/>
        </w:rPr>
      </w:pPr>
      <w:bookmarkStart w:id="134" w:name="_Hlk113268974"/>
      <w:r>
        <w:rPr>
          <w:rFonts w:cs="Times New Roman" w:asciiTheme="minorHAnsi" w:hAnsiTheme="minorHAnsi"/>
          <w:b/>
          <w:bCs/>
        </w:rPr>
        <w:t>发挥公积金对居民合理自住购房的支持作用。</w:t>
      </w:r>
      <w:r>
        <w:rPr>
          <w:rFonts w:cs="Times New Roman" w:asciiTheme="minorHAnsi" w:hAnsiTheme="minorHAnsi"/>
        </w:rPr>
        <w:t>改进和完善住房公积金缴存、提取、使用与监管机制，进一步扩大住房公积金覆盖面，全力推进民营企业建立住房公积金制度，支持灵活就业人员缴存住房公积金。</w:t>
      </w:r>
      <w:r>
        <w:rPr>
          <w:rFonts w:hint="eastAsia" w:cs="Times New Roman" w:asciiTheme="minorHAnsi" w:hAnsiTheme="minorHAnsi"/>
        </w:rPr>
        <w:t>提高</w:t>
      </w:r>
      <w:r>
        <w:rPr>
          <w:rFonts w:cs="Times New Roman" w:asciiTheme="minorHAnsi" w:hAnsiTheme="minorHAnsi"/>
        </w:rPr>
        <w:t>住房公积金</w:t>
      </w:r>
      <w:r>
        <w:rPr>
          <w:rFonts w:hint="eastAsia" w:cs="Times New Roman" w:asciiTheme="minorHAnsi" w:hAnsiTheme="minorHAnsi"/>
        </w:rPr>
        <w:t>使用效率</w:t>
      </w:r>
      <w:r>
        <w:rPr>
          <w:rFonts w:cs="Times New Roman" w:asciiTheme="minorHAnsi" w:hAnsiTheme="minorHAnsi"/>
        </w:rPr>
        <w:t>，</w:t>
      </w:r>
      <w:r>
        <w:rPr>
          <w:rFonts w:hint="eastAsia" w:cs="Times New Roman" w:asciiTheme="minorHAnsi" w:hAnsiTheme="minorHAnsi"/>
        </w:rPr>
        <w:t>加大</w:t>
      </w:r>
      <w:r>
        <w:rPr>
          <w:rFonts w:cs="Times New Roman" w:asciiTheme="minorHAnsi" w:hAnsiTheme="minorHAnsi"/>
        </w:rPr>
        <w:t>购买首套和改善性住房的住房公积金信贷支持</w:t>
      </w:r>
      <w:r>
        <w:rPr>
          <w:rFonts w:hint="eastAsia" w:cs="Times New Roman" w:asciiTheme="minorHAnsi" w:hAnsiTheme="minorHAnsi"/>
        </w:rPr>
        <w:t>力度；支持异地缴存住房公积金的职工，在湛江市申请住房公积金贷款购买、建造、翻建、大修自住住房；支持</w:t>
      </w:r>
      <w:r>
        <w:rPr>
          <w:rFonts w:cs="Times New Roman" w:asciiTheme="minorHAnsi" w:hAnsiTheme="minorHAnsi"/>
        </w:rPr>
        <w:t>职工按湛江市房屋租赁部门的指导性租金标准按季度提取住房公积金支付房租</w:t>
      </w:r>
      <w:r>
        <w:rPr>
          <w:rFonts w:hint="eastAsia" w:cs="Times New Roman" w:asciiTheme="minorHAnsi" w:hAnsiTheme="minorHAnsi"/>
        </w:rPr>
        <w:t>。</w:t>
      </w:r>
      <w:bookmarkEnd w:id="134"/>
    </w:p>
    <w:p>
      <w:pPr>
        <w:adjustRightInd w:val="0"/>
        <w:snapToGrid w:val="0"/>
        <w:spacing w:line="360" w:lineRule="auto"/>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35" w:name="_Toc83825442"/>
      <w:bookmarkStart w:id="136" w:name="_Toc107764534"/>
      <w:r>
        <w:rPr>
          <w:rFonts w:eastAsia="黑体" w:cs="Times New Roman"/>
          <w:sz w:val="32"/>
          <w:szCs w:val="24"/>
        </w:rPr>
        <w:t>四、稳步提升住房保障水平</w:t>
      </w:r>
      <w:bookmarkEnd w:id="135"/>
      <w:bookmarkEnd w:id="136"/>
    </w:p>
    <w:p>
      <w:pPr>
        <w:spacing w:before="240" w:beforeLines="100" w:after="240" w:afterLines="100" w:line="360" w:lineRule="auto"/>
        <w:ind w:firstLine="562"/>
        <w:outlineLvl w:val="1"/>
        <w:rPr>
          <w:rFonts w:cs="Times New Roman"/>
          <w:b/>
        </w:rPr>
      </w:pPr>
      <w:bookmarkStart w:id="137" w:name="_Toc107764535"/>
      <w:bookmarkStart w:id="138" w:name="_Toc83825443"/>
      <w:r>
        <w:rPr>
          <w:rFonts w:cs="Times New Roman"/>
          <w:b/>
        </w:rPr>
        <w:t>（一）加强住房基本保障</w:t>
      </w:r>
      <w:bookmarkEnd w:id="137"/>
      <w:bookmarkEnd w:id="138"/>
    </w:p>
    <w:p>
      <w:pPr>
        <w:adjustRightInd w:val="0"/>
        <w:snapToGrid w:val="0"/>
        <w:spacing w:line="360" w:lineRule="auto"/>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w:t>
      </w:r>
    </w:p>
    <w:p>
      <w:pPr>
        <w:adjustRightInd w:val="0"/>
        <w:snapToGrid w:val="0"/>
        <w:spacing w:line="360" w:lineRule="auto"/>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w:t>
      </w:r>
      <w:r>
        <w:rPr>
          <w:rFonts w:hint="eastAsia" w:cs="Times New Roman"/>
        </w:rPr>
        <w:t>住房</w:t>
      </w:r>
      <w:r>
        <w:rPr>
          <w:rFonts w:cs="Times New Roman"/>
        </w:rPr>
        <w:t>保障对象享受到更好的服务。</w:t>
      </w:r>
    </w:p>
    <w:p>
      <w:pPr>
        <w:spacing w:before="240" w:beforeLines="100" w:after="240" w:afterLines="100" w:line="360" w:lineRule="auto"/>
        <w:ind w:firstLine="562"/>
        <w:outlineLvl w:val="1"/>
        <w:rPr>
          <w:rFonts w:cs="Times New Roman"/>
          <w:b/>
        </w:rPr>
      </w:pPr>
      <w:bookmarkStart w:id="139" w:name="_Toc107764536"/>
      <w:bookmarkStart w:id="140" w:name="_Toc83825444"/>
      <w:r>
        <w:rPr>
          <w:rFonts w:cs="Times New Roman"/>
          <w:b/>
        </w:rPr>
        <w:t>（二）推动住房保障适度普惠</w:t>
      </w:r>
      <w:bookmarkEnd w:id="139"/>
      <w:bookmarkEnd w:id="140"/>
    </w:p>
    <w:p>
      <w:pPr>
        <w:adjustRightInd w:val="0"/>
        <w:snapToGrid w:val="0"/>
        <w:spacing w:line="360" w:lineRule="auto"/>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adjustRightInd w:val="0"/>
        <w:snapToGrid w:val="0"/>
        <w:spacing w:line="360" w:lineRule="auto"/>
        <w:ind w:firstLine="562"/>
        <w:rPr>
          <w:rFonts w:cs="Times New Roman"/>
        </w:rPr>
      </w:pPr>
      <w:r>
        <w:rPr>
          <w:rFonts w:cs="Times New Roman"/>
          <w:b/>
          <w:bCs/>
        </w:rPr>
        <w:t>积极</w:t>
      </w:r>
      <w:r>
        <w:rPr>
          <w:rFonts w:hint="eastAsia" w:cs="Times New Roman"/>
          <w:b/>
          <w:bCs/>
        </w:rPr>
        <w:t>发展</w:t>
      </w:r>
      <w:r>
        <w:rPr>
          <w:rFonts w:cs="Times New Roman"/>
          <w:b/>
          <w:bCs/>
        </w:rPr>
        <w:t>保障性租赁住房。</w:t>
      </w:r>
      <w:r>
        <w:rPr>
          <w:rFonts w:cs="Times New Roman"/>
        </w:rPr>
        <w:t>开展保障性租赁住房需求人群摸底，评估保障性租赁住房供给潜力，支持和引导市场主体投资保障性租赁住房，鼓励产业园区项目配套建设保障性租赁住房。</w:t>
      </w:r>
      <w:r>
        <w:rPr>
          <w:rFonts w:hint="eastAsia" w:cs="Times New Roman" w:asciiTheme="minorHAnsi" w:hAnsiTheme="minorHAnsi"/>
        </w:rPr>
        <w:t>保障性租赁住房主要解决符合条件的新市民、青年人等群体的住房困难问题, 以建筑面积不超过70平方米的小户型为主, 租金低于同地段同品质市场租赁住房租金</w:t>
      </w:r>
      <w:r>
        <w:rPr>
          <w:rFonts w:cs="Times New Roman"/>
        </w:rPr>
        <w:t>。</w:t>
      </w:r>
    </w:p>
    <w:p>
      <w:pPr>
        <w:adjustRightInd w:val="0"/>
        <w:snapToGrid w:val="0"/>
        <w:spacing w:line="360" w:lineRule="auto"/>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240" w:beforeLines="100" w:after="240" w:afterLines="100" w:line="360" w:lineRule="auto"/>
        <w:ind w:firstLine="562"/>
        <w:outlineLvl w:val="1"/>
        <w:rPr>
          <w:rFonts w:cs="Times New Roman"/>
          <w:b/>
        </w:rPr>
      </w:pPr>
      <w:bookmarkStart w:id="141" w:name="_Toc83825445"/>
      <w:bookmarkStart w:id="142" w:name="_Toc107764537"/>
      <w:r>
        <w:rPr>
          <w:rFonts w:cs="Times New Roman"/>
          <w:b/>
        </w:rPr>
        <w:t>（三）加大高层次人才安居</w:t>
      </w:r>
      <w:bookmarkEnd w:id="141"/>
      <w:bookmarkEnd w:id="142"/>
    </w:p>
    <w:p>
      <w:pPr>
        <w:adjustRightInd w:val="0"/>
        <w:snapToGrid w:val="0"/>
        <w:spacing w:line="360" w:lineRule="auto"/>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240" w:beforeLines="100" w:after="240" w:afterLines="100" w:line="360" w:lineRule="auto"/>
        <w:ind w:firstLine="562"/>
        <w:outlineLvl w:val="1"/>
        <w:rPr>
          <w:rFonts w:cs="Times New Roman"/>
          <w:b/>
        </w:rPr>
      </w:pPr>
      <w:bookmarkStart w:id="143" w:name="_Toc83825446"/>
      <w:bookmarkStart w:id="144" w:name="_Toc107764538"/>
      <w:r>
        <w:rPr>
          <w:rFonts w:cs="Times New Roman"/>
          <w:b/>
        </w:rPr>
        <w:t>（四）创新重点行业人员住房保障机制</w:t>
      </w:r>
      <w:bookmarkEnd w:id="143"/>
      <w:bookmarkEnd w:id="144"/>
    </w:p>
    <w:p>
      <w:pPr>
        <w:adjustRightInd w:val="0"/>
        <w:snapToGrid w:val="0"/>
        <w:spacing w:line="360" w:lineRule="auto"/>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w:t>
      </w:r>
      <w:r>
        <w:rPr>
          <w:rFonts w:hint="eastAsia" w:cs="Times New Roman"/>
        </w:rPr>
        <w:t>市区</w:t>
      </w:r>
      <w:r>
        <w:rPr>
          <w:rFonts w:cs="Times New Roman"/>
        </w:rPr>
        <w:t>人才安居重点企事业单位名录。在做好公租房基本保障，满足高层次人才安居的基础上，政府可统筹一部分房源面向重点企事业单位符合条件的无房职工配租，支持重点行业企业吸引人才、留住人才。</w:t>
      </w:r>
    </w:p>
    <w:p>
      <w:pPr>
        <w:adjustRightInd w:val="0"/>
        <w:snapToGrid w:val="0"/>
        <w:spacing w:line="360" w:lineRule="auto"/>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45" w:name="_Toc83825455"/>
      <w:bookmarkStart w:id="146" w:name="_Toc107764539"/>
      <w:r>
        <w:rPr>
          <w:rFonts w:eastAsia="黑体" w:cs="Times New Roman"/>
          <w:sz w:val="32"/>
          <w:szCs w:val="24"/>
        </w:rPr>
        <w:t>五、全面提升居住品质</w:t>
      </w:r>
      <w:bookmarkEnd w:id="145"/>
      <w:bookmarkEnd w:id="146"/>
    </w:p>
    <w:p>
      <w:pPr>
        <w:spacing w:before="240" w:beforeLines="100" w:after="240" w:afterLines="100" w:line="360" w:lineRule="auto"/>
        <w:ind w:firstLine="562"/>
        <w:outlineLvl w:val="1"/>
        <w:rPr>
          <w:rFonts w:cs="Times New Roman"/>
          <w:b/>
        </w:rPr>
      </w:pPr>
      <w:bookmarkStart w:id="147" w:name="_Toc107764540"/>
      <w:bookmarkStart w:id="148" w:name="_Toc83825456"/>
      <w:r>
        <w:rPr>
          <w:rFonts w:cs="Times New Roman"/>
          <w:b/>
        </w:rPr>
        <w:t>（一）创建宜居活力社区</w:t>
      </w:r>
      <w:bookmarkEnd w:id="147"/>
      <w:bookmarkEnd w:id="148"/>
    </w:p>
    <w:p>
      <w:pPr>
        <w:adjustRightInd w:val="0"/>
        <w:snapToGrid w:val="0"/>
        <w:spacing w:line="360" w:lineRule="auto"/>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稳步提升。</w:t>
      </w:r>
    </w:p>
    <w:p>
      <w:pPr>
        <w:adjustRightInd w:val="0"/>
        <w:snapToGrid w:val="0"/>
        <w:spacing w:line="360" w:lineRule="auto"/>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适当增加街区商业、综合商场和办公空间，为居民就近消费和就业生活提供优质空间载体。</w:t>
      </w:r>
    </w:p>
    <w:p>
      <w:pPr>
        <w:adjustRightInd w:val="0"/>
        <w:snapToGrid w:val="0"/>
        <w:spacing w:line="360" w:lineRule="auto"/>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adjustRightInd w:val="0"/>
        <w:snapToGrid w:val="0"/>
        <w:spacing w:line="360" w:lineRule="auto"/>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240" w:beforeLines="100" w:after="240" w:afterLines="100" w:line="360" w:lineRule="auto"/>
        <w:ind w:firstLine="562"/>
        <w:outlineLvl w:val="1"/>
        <w:rPr>
          <w:rFonts w:cs="Times New Roman"/>
          <w:b/>
        </w:rPr>
      </w:pPr>
      <w:bookmarkStart w:id="149" w:name="_Toc107764541"/>
      <w:bookmarkStart w:id="150" w:name="_Toc83825457"/>
      <w:r>
        <w:rPr>
          <w:rFonts w:cs="Times New Roman"/>
          <w:b/>
        </w:rPr>
        <w:t>（二）建设智慧生态小区</w:t>
      </w:r>
      <w:bookmarkEnd w:id="149"/>
      <w:bookmarkEnd w:id="150"/>
    </w:p>
    <w:p>
      <w:pPr>
        <w:adjustRightInd w:val="0"/>
        <w:snapToGrid w:val="0"/>
        <w:spacing w:line="360" w:lineRule="auto"/>
        <w:ind w:firstLine="562"/>
        <w:rPr>
          <w:rFonts w:cs="Times New Roman"/>
        </w:rPr>
      </w:pPr>
      <w:r>
        <w:rPr>
          <w:rFonts w:cs="Times New Roman"/>
          <w:b/>
          <w:bCs/>
        </w:rPr>
        <w:t>建设智慧小区。</w:t>
      </w:r>
      <w:bookmarkStart w:id="151" w:name="_Hlk83840834"/>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bookmarkEnd w:id="151"/>
    </w:p>
    <w:p>
      <w:pPr>
        <w:adjustRightInd w:val="0"/>
        <w:snapToGrid w:val="0"/>
        <w:spacing w:line="360" w:lineRule="auto"/>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240" w:beforeLines="100" w:after="240" w:afterLines="100" w:line="360" w:lineRule="auto"/>
        <w:ind w:firstLine="562"/>
        <w:outlineLvl w:val="1"/>
        <w:rPr>
          <w:rFonts w:cs="Times New Roman"/>
          <w:b/>
        </w:rPr>
      </w:pPr>
      <w:bookmarkStart w:id="152" w:name="_Toc83825458"/>
      <w:bookmarkStart w:id="153" w:name="_Toc107764542"/>
      <w:r>
        <w:rPr>
          <w:rFonts w:cs="Times New Roman"/>
          <w:b/>
        </w:rPr>
        <w:t>（三）推进旅游地产转型</w:t>
      </w:r>
      <w:bookmarkEnd w:id="152"/>
      <w:bookmarkEnd w:id="153"/>
    </w:p>
    <w:p>
      <w:pPr>
        <w:adjustRightInd w:val="0"/>
        <w:snapToGrid w:val="0"/>
        <w:spacing w:line="360" w:lineRule="auto"/>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与周边联动发展，打造一批具有热带滨海特色的高品质旅游标杆项目。</w:t>
      </w:r>
    </w:p>
    <w:p>
      <w:pPr>
        <w:adjustRightInd w:val="0"/>
        <w:snapToGrid w:val="0"/>
        <w:spacing w:line="360" w:lineRule="auto"/>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adjustRightInd w:val="0"/>
        <w:snapToGrid w:val="0"/>
        <w:spacing w:line="360" w:lineRule="auto"/>
        <w:ind w:firstLine="562"/>
        <w:rPr>
          <w:rFonts w:asciiTheme="minorHAnsi" w:hAnsiTheme="minorHAnsi"/>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adjustRightInd w:val="0"/>
        <w:snapToGrid w:val="0"/>
        <w:spacing w:before="240" w:beforeLines="100" w:after="240" w:afterLines="100" w:line="360" w:lineRule="auto"/>
        <w:ind w:firstLine="809" w:firstLineChars="253"/>
        <w:outlineLvl w:val="0"/>
        <w:rPr>
          <w:rFonts w:eastAsia="黑体" w:cs="Times New Roman"/>
          <w:sz w:val="32"/>
          <w:szCs w:val="24"/>
        </w:rPr>
      </w:pPr>
      <w:bookmarkStart w:id="154" w:name="_Toc107764543"/>
      <w:r>
        <w:rPr>
          <w:rFonts w:eastAsia="黑体" w:cs="Times New Roman"/>
          <w:sz w:val="32"/>
          <w:szCs w:val="24"/>
        </w:rPr>
        <w:t>六、保障措施</w:t>
      </w:r>
      <w:bookmarkEnd w:id="154"/>
    </w:p>
    <w:p>
      <w:pPr>
        <w:spacing w:before="240" w:beforeLines="100" w:after="240" w:afterLines="100" w:line="360" w:lineRule="auto"/>
        <w:ind w:firstLine="562"/>
        <w:outlineLvl w:val="1"/>
        <w:rPr>
          <w:rFonts w:cs="Times New Roman"/>
          <w:b/>
        </w:rPr>
      </w:pPr>
      <w:bookmarkStart w:id="155" w:name="_Toc83825460"/>
      <w:bookmarkStart w:id="156" w:name="_Toc107764544"/>
      <w:r>
        <w:rPr>
          <w:rFonts w:cs="Times New Roman"/>
          <w:b/>
        </w:rPr>
        <w:t>（一）加强组织领导</w:t>
      </w:r>
      <w:bookmarkEnd w:id="155"/>
      <w:bookmarkEnd w:id="156"/>
    </w:p>
    <w:p>
      <w:pPr>
        <w:adjustRightInd w:val="0"/>
        <w:snapToGrid w:val="0"/>
        <w:spacing w:line="360" w:lineRule="auto"/>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240" w:beforeLines="100" w:after="240" w:afterLines="100" w:line="360" w:lineRule="auto"/>
        <w:ind w:firstLine="562"/>
        <w:outlineLvl w:val="1"/>
        <w:rPr>
          <w:rFonts w:cs="Times New Roman"/>
          <w:b/>
        </w:rPr>
      </w:pPr>
      <w:bookmarkStart w:id="157" w:name="_Toc107764545"/>
      <w:bookmarkStart w:id="158" w:name="_Toc83825461"/>
      <w:r>
        <w:rPr>
          <w:rFonts w:cs="Times New Roman"/>
          <w:b/>
        </w:rPr>
        <w:t>（二）健全住房发展要素保障机制</w:t>
      </w:r>
      <w:bookmarkEnd w:id="157"/>
      <w:bookmarkEnd w:id="158"/>
    </w:p>
    <w:p>
      <w:pPr>
        <w:adjustRightInd w:val="0"/>
        <w:snapToGrid w:val="0"/>
        <w:spacing w:line="360" w:lineRule="auto"/>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240" w:beforeLines="100" w:after="240" w:afterLines="100" w:line="360" w:lineRule="auto"/>
        <w:ind w:firstLine="562"/>
        <w:outlineLvl w:val="1"/>
        <w:rPr>
          <w:rFonts w:cs="Times New Roman"/>
          <w:b/>
        </w:rPr>
      </w:pPr>
      <w:bookmarkStart w:id="159" w:name="_Toc107764546"/>
      <w:bookmarkStart w:id="160" w:name="_Toc83825462"/>
      <w:r>
        <w:rPr>
          <w:rFonts w:cs="Times New Roman"/>
          <w:b/>
        </w:rPr>
        <w:t>（三）完善规划实施的评估机制</w:t>
      </w:r>
      <w:bookmarkEnd w:id="159"/>
      <w:bookmarkEnd w:id="160"/>
    </w:p>
    <w:p>
      <w:pPr>
        <w:adjustRightInd w:val="0"/>
        <w:snapToGrid w:val="0"/>
        <w:spacing w:line="360" w:lineRule="auto"/>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240" w:beforeLines="100" w:after="240" w:afterLines="100" w:line="360" w:lineRule="auto"/>
        <w:ind w:firstLine="562"/>
        <w:outlineLvl w:val="1"/>
        <w:rPr>
          <w:rFonts w:cs="Times New Roman"/>
          <w:b/>
        </w:rPr>
      </w:pPr>
      <w:bookmarkStart w:id="161" w:name="_Toc107764547"/>
      <w:bookmarkStart w:id="162" w:name="_Toc83825463"/>
      <w:r>
        <w:rPr>
          <w:rFonts w:cs="Times New Roman"/>
          <w:b/>
        </w:rPr>
        <w:t>（四）做好规划宣传引导工作</w:t>
      </w:r>
      <w:bookmarkEnd w:id="161"/>
      <w:bookmarkEnd w:id="162"/>
    </w:p>
    <w:p>
      <w:pPr>
        <w:adjustRightInd w:val="0"/>
        <w:snapToGrid w:val="0"/>
        <w:spacing w:line="360" w:lineRule="auto"/>
        <w:ind w:firstLine="560"/>
        <w:rPr>
          <w:rFonts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p>
      <w:pPr>
        <w:spacing w:line="320" w:lineRule="exact"/>
        <w:ind w:firstLine="0" w:firstLineChars="0"/>
        <w:rPr>
          <w:rFonts w:eastAsia="黑体" w:cs="Times New Roman"/>
        </w:rPr>
        <w:sectPr>
          <w:footerReference r:id="rId23" w:type="default"/>
          <w:pgSz w:w="11906" w:h="16838"/>
          <w:pgMar w:top="1440" w:right="1797" w:bottom="1440" w:left="1797" w:header="851" w:footer="992" w:gutter="0"/>
          <w:cols w:space="425" w:num="1"/>
          <w:docGrid w:linePitch="381" w:charSpace="0"/>
        </w:sectPr>
      </w:pPr>
    </w:p>
    <w:p>
      <w:pPr>
        <w:ind w:firstLine="0" w:firstLineChars="0"/>
        <w:rPr>
          <w:rFonts w:cs="Times New Roman"/>
        </w:rPr>
      </w:pPr>
    </w:p>
    <w:p>
      <w:pPr>
        <w:ind w:firstLine="0" w:firstLineChars="0"/>
        <w:rPr>
          <w:rFonts w:cs="Times New Roman"/>
        </w:rPr>
      </w:pPr>
      <w:r>
        <w:rPr>
          <w:rFonts w:cs="Times New Roman"/>
        </w:rPr>
        <w:t>分册二：</w:t>
      </w:r>
    </w:p>
    <w:p>
      <w:pPr>
        <w:ind w:firstLine="560"/>
        <w:rPr>
          <w:rFonts w:cs="Times New Roman"/>
        </w:rPr>
      </w:pPr>
    </w:p>
    <w:p>
      <w:pPr>
        <w:ind w:firstLine="560"/>
        <w:rPr>
          <w:rFonts w:cs="Times New Roman"/>
        </w:rPr>
      </w:pPr>
    </w:p>
    <w:p>
      <w:pPr>
        <w:ind w:firstLine="560"/>
        <w:rPr>
          <w:rFonts w:cs="Times New Roman"/>
        </w:rPr>
      </w:pPr>
    </w:p>
    <w:p>
      <w:pPr>
        <w:ind w:firstLine="0" w:firstLineChars="0"/>
        <w:jc w:val="center"/>
        <w:rPr>
          <w:rFonts w:eastAsia="方正小标宋简体" w:cs="Times New Roman"/>
          <w:sz w:val="48"/>
        </w:rPr>
      </w:pPr>
      <w:r>
        <w:rPr>
          <w:rFonts w:eastAsia="方正小标宋简体" w:cs="Times New Roman"/>
          <w:sz w:val="48"/>
        </w:rPr>
        <w:t>吴川市“十四五”住房发展规划</w:t>
      </w: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26" w:type="first"/>
          <w:footerReference r:id="rId29" w:type="first"/>
          <w:headerReference r:id="rId24" w:type="default"/>
          <w:footerReference r:id="rId27" w:type="default"/>
          <w:headerReference r:id="rId25" w:type="even"/>
          <w:footerReference r:id="rId28" w:type="even"/>
          <w:pgSz w:w="11906" w:h="16838"/>
          <w:pgMar w:top="1440" w:right="1800" w:bottom="1440" w:left="1800" w:header="851" w:footer="992" w:gutter="0"/>
          <w:cols w:space="425" w:num="1"/>
          <w:docGrid w:type="lines" w:linePitch="312" w:charSpace="0"/>
        </w:sectPr>
      </w:pPr>
    </w:p>
    <w:p>
      <w:pPr>
        <w:tabs>
          <w:tab w:val="left" w:pos="3315"/>
        </w:tabs>
        <w:ind w:firstLine="560"/>
        <w:rPr>
          <w:rFonts w:eastAsia="黑体" w:cs="Times New Roman"/>
        </w:rPr>
      </w:pPr>
      <w:r>
        <w:rPr>
          <w:rFonts w:cs="Times New Roman"/>
        </w:rPr>
        <w:tab/>
      </w:r>
      <w:r>
        <w:rPr>
          <w:rFonts w:eastAsia="黑体" w:cs="Times New Roman"/>
          <w:sz w:val="32"/>
        </w:rPr>
        <w:t>目 录</w:t>
      </w:r>
    </w:p>
    <w:p>
      <w:pPr>
        <w:tabs>
          <w:tab w:val="right" w:leader="dot" w:pos="8296"/>
        </w:tabs>
        <w:spacing w:line="360" w:lineRule="auto"/>
        <w:ind w:firstLine="0" w:firstLineChars="0"/>
        <w:rPr>
          <w:rFonts w:asciiTheme="minorHAnsi" w:hAnsiTheme="minorHAnsi" w:eastAsiaTheme="minorEastAsia"/>
          <w:sz w:val="21"/>
        </w:rPr>
      </w:pPr>
      <w:r>
        <w:rPr>
          <w:rFonts w:eastAsia="黑体" w:cs="Times New Roman"/>
          <w:sz w:val="32"/>
        </w:rPr>
        <w:fldChar w:fldCharType="begin"/>
      </w:r>
      <w:r>
        <w:rPr>
          <w:rFonts w:eastAsia="黑体" w:cs="Times New Roman"/>
          <w:sz w:val="32"/>
        </w:rPr>
        <w:instrText xml:space="preserve"> TOC \o "1-3" \h \z \u </w:instrText>
      </w:r>
      <w:r>
        <w:rPr>
          <w:rFonts w:eastAsia="黑体" w:cs="Times New Roman"/>
          <w:sz w:val="32"/>
        </w:rPr>
        <w:fldChar w:fldCharType="separate"/>
      </w:r>
      <w:r>
        <w:fldChar w:fldCharType="begin"/>
      </w:r>
      <w:r>
        <w:instrText xml:space="preserve"> HYPERLINK \l "_Toc107764575" </w:instrText>
      </w:r>
      <w:r>
        <w:fldChar w:fldCharType="separate"/>
      </w:r>
      <w:r>
        <w:rPr>
          <w:rFonts w:eastAsia="黑体" w:cs="Times New Roman"/>
          <w:b/>
          <w:sz w:val="32"/>
        </w:rPr>
        <w:t>前 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_Toc107764575 \h </w:instrText>
      </w:r>
      <w:r>
        <w:rPr>
          <w:rFonts w:eastAsia="黑体" w:asciiTheme="minorHAnsi" w:hAnsiTheme="minorHAnsi"/>
          <w:b/>
          <w:sz w:val="32"/>
        </w:rPr>
        <w:fldChar w:fldCharType="separate"/>
      </w:r>
      <w:r>
        <w:rPr>
          <w:rFonts w:eastAsia="黑体" w:asciiTheme="minorHAnsi" w:hAnsiTheme="minorHAnsi"/>
          <w:b/>
          <w:sz w:val="32"/>
        </w:rPr>
        <w:t>58</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"_Toc107764576" </w:instrText>
      </w:r>
      <w:r>
        <w:fldChar w:fldCharType="separate"/>
      </w:r>
      <w:r>
        <w:rPr>
          <w:rFonts w:eastAsia="黑体" w:cs="Times New Roman"/>
          <w:b/>
          <w:sz w:val="32"/>
        </w:rPr>
        <w:t>一、指导思想和发展目标</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_Toc107764576 \h </w:instrText>
      </w:r>
      <w:r>
        <w:rPr>
          <w:rFonts w:eastAsia="黑体" w:asciiTheme="minorHAnsi" w:hAnsiTheme="minorHAnsi"/>
          <w:b/>
          <w:sz w:val="32"/>
        </w:rPr>
        <w:fldChar w:fldCharType="separate"/>
      </w:r>
      <w:r>
        <w:rPr>
          <w:rFonts w:eastAsia="黑体" w:asciiTheme="minorHAnsi" w:hAnsiTheme="minorHAnsi"/>
          <w:b/>
          <w:sz w:val="32"/>
        </w:rPr>
        <w:t>59</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"_Toc107764577" </w:instrText>
      </w:r>
      <w:r>
        <w:fldChar w:fldCharType="separate"/>
      </w:r>
      <w:r>
        <w:rPr>
          <w:rFonts w:cs="Times New Roman"/>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_Toc107764577 \h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"_Toc107764578" </w:instrText>
      </w:r>
      <w:r>
        <w:fldChar w:fldCharType="separate"/>
      </w:r>
      <w:r>
        <w:rPr>
          <w:rFonts w:cs="Times New Roman"/>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_Toc107764578 \h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"_Toc107764579" </w:instrText>
      </w:r>
      <w:r>
        <w:fldChar w:fldCharType="separate"/>
      </w:r>
      <w:r>
        <w:rPr>
          <w:rFonts w:cs="Times New Roman"/>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_Toc107764579 \h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"_Toc107764580" </w:instrText>
      </w:r>
      <w:r>
        <w:fldChar w:fldCharType="separate"/>
      </w:r>
      <w:r>
        <w:rPr>
          <w:rFonts w:eastAsia="黑体" w:cs="Times New Roman"/>
          <w:b/>
          <w:sz w:val="32"/>
        </w:rPr>
        <w:t>二、构建合理住房空间布局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_Toc107764580 \h </w:instrText>
      </w:r>
      <w:r>
        <w:rPr>
          <w:rFonts w:eastAsia="黑体" w:asciiTheme="minorHAnsi" w:hAnsiTheme="minorHAnsi"/>
          <w:b/>
          <w:sz w:val="32"/>
        </w:rPr>
        <w:fldChar w:fldCharType="separate"/>
      </w:r>
      <w:r>
        <w:rPr>
          <w:rFonts w:eastAsia="黑体" w:asciiTheme="minorHAnsi" w:hAnsiTheme="minorHAnsi"/>
          <w:b/>
          <w:sz w:val="32"/>
        </w:rPr>
        <w:t>62</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"_Toc107764581" </w:instrText>
      </w:r>
      <w:r>
        <w:fldChar w:fldCharType="separate"/>
      </w:r>
      <w:r>
        <w:rPr>
          <w:rFonts w:cs="Times New Roman"/>
        </w:rPr>
        <w:t>（一）全面提升县城综合服务能力</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_Toc107764581 \h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"_Toc107764582" </w:instrText>
      </w:r>
      <w:r>
        <w:fldChar w:fldCharType="separate"/>
      </w:r>
      <w:r>
        <w:rPr>
          <w:rFonts w:cs="Times New Roman"/>
        </w:rPr>
        <w:t>（二）促进县域重点平台产城融合发展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_Toc107764582 \h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"_Toc107764583" </w:instrText>
      </w:r>
      <w:r>
        <w:fldChar w:fldCharType="separate"/>
      </w:r>
      <w:r>
        <w:rPr>
          <w:rFonts w:cs="Times New Roman"/>
        </w:rPr>
        <w:t>（三）合理引导乡镇住房发展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_Toc107764583 \h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"_Toc107764584" </w:instrText>
      </w:r>
      <w:r>
        <w:fldChar w:fldCharType="separate"/>
      </w:r>
      <w:r>
        <w:rPr>
          <w:rFonts w:eastAsia="黑体" w:cs="Times New Roman"/>
          <w:b/>
          <w:sz w:val="32"/>
        </w:rPr>
        <w:t>三、促进房地产市场健康发展</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_Toc107764584 \h </w:instrText>
      </w:r>
      <w:r>
        <w:rPr>
          <w:rFonts w:eastAsia="黑体" w:asciiTheme="minorHAnsi" w:hAnsiTheme="minorHAnsi"/>
          <w:b/>
          <w:sz w:val="32"/>
        </w:rPr>
        <w:fldChar w:fldCharType="separate"/>
      </w:r>
      <w:r>
        <w:rPr>
          <w:rFonts w:eastAsia="黑体" w:asciiTheme="minorHAnsi" w:hAnsiTheme="minorHAnsi"/>
          <w:b/>
          <w:sz w:val="32"/>
        </w:rPr>
        <w:t>63</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"_Toc107764585" </w:instrText>
      </w:r>
      <w:r>
        <w:fldChar w:fldCharType="separate"/>
      </w:r>
      <w:r>
        <w:rPr>
          <w:rFonts w:cs="Times New Roman"/>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_Toc107764585 \h </w:instrText>
      </w:r>
      <w:r>
        <w:rPr>
          <w:rFonts w:asciiTheme="minorHAnsi" w:hAnsiTheme="minorHAnsi"/>
        </w:rPr>
        <w:fldChar w:fldCharType="separate"/>
      </w:r>
      <w:r>
        <w:rPr>
          <w:rFonts w:asciiTheme="minorHAnsi" w:hAnsiTheme="minorHAnsi"/>
        </w:rPr>
        <w:t>63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"_Toc107764586" </w:instrText>
      </w:r>
      <w:r>
        <w:fldChar w:fldCharType="separate"/>
      </w:r>
      <w:r>
        <w:rPr>
          <w:rFonts w:cs="Times New Roman"/>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_Toc107764586 \h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"_Toc107764587" </w:instrText>
      </w:r>
      <w:r>
        <w:fldChar w:fldCharType="separate"/>
      </w:r>
      <w:r>
        <w:rPr>
          <w:rFonts w:cs="Times New Roman"/>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_Toc107764587 \h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"_Toc107764588" </w:instrText>
      </w:r>
      <w:r>
        <w:fldChar w:fldCharType="separate"/>
      </w:r>
      <w:r>
        <w:rPr>
          <w:rFonts w:eastAsia="黑体" w:cs="Times New Roman"/>
          <w:b/>
          <w:sz w:val="32"/>
        </w:rPr>
        <w:t>四、稳步提升住房保障水平</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_Toc107764588 \h </w:instrText>
      </w:r>
      <w:r>
        <w:rPr>
          <w:rFonts w:eastAsia="黑体" w:asciiTheme="minorHAnsi" w:hAnsiTheme="minorHAnsi"/>
          <w:b/>
          <w:sz w:val="32"/>
        </w:rPr>
        <w:fldChar w:fldCharType="separate"/>
      </w:r>
      <w:r>
        <w:rPr>
          <w:rFonts w:eastAsia="黑体" w:asciiTheme="minorHAnsi" w:hAnsiTheme="minorHAnsi"/>
          <w:b/>
          <w:sz w:val="32"/>
        </w:rPr>
        <w:t>65</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"_Toc107764589" </w:instrText>
      </w:r>
      <w:r>
        <w:fldChar w:fldCharType="separate"/>
      </w:r>
      <w:r>
        <w:rPr>
          <w:rFonts w:cs="Times New Roman"/>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_Toc107764589 \h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"_Toc107764590" </w:instrText>
      </w:r>
      <w:r>
        <w:fldChar w:fldCharType="separate"/>
      </w:r>
      <w:r>
        <w:rPr>
          <w:rFonts w:cs="Times New Roman"/>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_Toc107764590 \h </w:instrText>
      </w:r>
      <w:r>
        <w:rPr>
          <w:rFonts w:asciiTheme="minorHAnsi" w:hAnsiTheme="minorHAnsi"/>
        </w:rPr>
        <w:fldChar w:fldCharType="separate"/>
      </w:r>
      <w:r>
        <w:rPr>
          <w:rFonts w:asciiTheme="minorHAnsi" w:hAnsiTheme="minorHAnsi"/>
        </w:rPr>
        <w:t>66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"_Toc107764591" </w:instrText>
      </w:r>
      <w:r>
        <w:fldChar w:fldCharType="separate"/>
      </w:r>
      <w:r>
        <w:rPr>
          <w:rFonts w:cs="Times New Roman"/>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_Toc107764591 \h </w:instrText>
      </w:r>
      <w:r>
        <w:rPr>
          <w:rFonts w:asciiTheme="minorHAnsi" w:hAnsiTheme="minorHAnsi"/>
        </w:rPr>
        <w:fldChar w:fldCharType="separate"/>
      </w:r>
      <w:r>
        <w:rPr>
          <w:rFonts w:asciiTheme="minorHAnsi" w:hAnsiTheme="minorHAnsi"/>
        </w:rPr>
        <w:t>66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"_Toc107764592" </w:instrText>
      </w:r>
      <w:r>
        <w:fldChar w:fldCharType="separate"/>
      </w:r>
      <w:r>
        <w:rPr>
          <w:rFonts w:cs="Times New Roman"/>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_Toc107764592 \h </w:instrText>
      </w:r>
      <w:r>
        <w:rPr>
          <w:rFonts w:asciiTheme="minorHAnsi" w:hAnsiTheme="minorHAnsi"/>
        </w:rPr>
        <w:fldChar w:fldCharType="separate"/>
      </w:r>
      <w:r>
        <w:rPr>
          <w:rFonts w:asciiTheme="minorHAnsi" w:hAnsiTheme="minorHAnsi"/>
        </w:rPr>
        <w:t>67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"_Toc107764593" </w:instrText>
      </w:r>
      <w:r>
        <w:fldChar w:fldCharType="separate"/>
      </w:r>
      <w:r>
        <w:rPr>
          <w:rFonts w:eastAsia="黑体" w:cs="Times New Roman"/>
          <w:b/>
          <w:sz w:val="32"/>
        </w:rPr>
        <w:t>五、全面提升居住品质</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_Toc107764593 \h </w:instrText>
      </w:r>
      <w:r>
        <w:rPr>
          <w:rFonts w:eastAsia="黑体" w:asciiTheme="minorHAnsi" w:hAnsiTheme="minorHAnsi"/>
          <w:b/>
          <w:sz w:val="32"/>
        </w:rPr>
        <w:fldChar w:fldCharType="separate"/>
      </w:r>
      <w:r>
        <w:rPr>
          <w:rFonts w:eastAsia="黑体" w:asciiTheme="minorHAnsi" w:hAnsiTheme="minorHAnsi"/>
          <w:b/>
          <w:sz w:val="32"/>
        </w:rPr>
        <w:t>67</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"_Toc107764594" </w:instrText>
      </w:r>
      <w:r>
        <w:fldChar w:fldCharType="separate"/>
      </w:r>
      <w:r>
        <w:rPr>
          <w:rFonts w:cs="Times New Roman"/>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_Toc107764594 \h </w:instrText>
      </w:r>
      <w:r>
        <w:rPr>
          <w:rFonts w:asciiTheme="minorHAnsi" w:hAnsiTheme="minorHAnsi"/>
        </w:rPr>
        <w:fldChar w:fldCharType="separate"/>
      </w:r>
      <w:r>
        <w:rPr>
          <w:rFonts w:asciiTheme="minorHAnsi" w:hAnsiTheme="minorHAnsi"/>
        </w:rPr>
        <w:t>67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"_Toc107764595" </w:instrText>
      </w:r>
      <w:r>
        <w:fldChar w:fldCharType="separate"/>
      </w:r>
      <w:r>
        <w:rPr>
          <w:rFonts w:cs="Times New Roman"/>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_Toc107764595 \h </w:instrText>
      </w:r>
      <w:r>
        <w:rPr>
          <w:rFonts w:asciiTheme="minorHAnsi" w:hAnsiTheme="minorHAnsi"/>
        </w:rPr>
        <w:fldChar w:fldCharType="separate"/>
      </w:r>
      <w:r>
        <w:rPr>
          <w:rFonts w:asciiTheme="minorHAnsi" w:hAnsiTheme="minorHAnsi"/>
        </w:rPr>
        <w:t>69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"_Toc107764596" </w:instrText>
      </w:r>
      <w:r>
        <w:fldChar w:fldCharType="separate"/>
      </w:r>
      <w:r>
        <w:rPr>
          <w:rFonts w:cs="Times New Roman"/>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_Toc107764596 \h </w:instrText>
      </w:r>
      <w:r>
        <w:rPr>
          <w:rFonts w:asciiTheme="minorHAnsi" w:hAnsiTheme="minorHAnsi"/>
        </w:rPr>
        <w:fldChar w:fldCharType="separate"/>
      </w:r>
      <w:r>
        <w:rPr>
          <w:rFonts w:asciiTheme="minorHAnsi" w:hAnsiTheme="minorHAnsi"/>
        </w:rPr>
        <w:t>69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"_Toc107764597" </w:instrText>
      </w:r>
      <w:r>
        <w:fldChar w:fldCharType="separate"/>
      </w:r>
      <w:r>
        <w:rPr>
          <w:rFonts w:eastAsia="黑体" w:cs="Times New Roman"/>
          <w:b/>
          <w:sz w:val="32"/>
        </w:rPr>
        <w:t>六、保障措施</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_Toc107764597 \h </w:instrText>
      </w:r>
      <w:r>
        <w:rPr>
          <w:rFonts w:eastAsia="黑体" w:asciiTheme="minorHAnsi" w:hAnsiTheme="minorHAnsi"/>
          <w:b/>
          <w:sz w:val="32"/>
        </w:rPr>
        <w:fldChar w:fldCharType="separate"/>
      </w:r>
      <w:r>
        <w:rPr>
          <w:rFonts w:eastAsia="黑体" w:asciiTheme="minorHAnsi" w:hAnsiTheme="minorHAnsi"/>
          <w:b/>
          <w:sz w:val="32"/>
        </w:rPr>
        <w:t>70</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"_Toc107764598" </w:instrText>
      </w:r>
      <w:r>
        <w:fldChar w:fldCharType="separate"/>
      </w:r>
      <w:r>
        <w:rPr>
          <w:rFonts w:cs="Times New Roman"/>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_Toc107764598 \h </w:instrText>
      </w:r>
      <w:r>
        <w:rPr>
          <w:rFonts w:asciiTheme="minorHAnsi" w:hAnsiTheme="minorHAnsi"/>
        </w:rPr>
        <w:fldChar w:fldCharType="separate"/>
      </w:r>
      <w:r>
        <w:rPr>
          <w:rFonts w:asciiTheme="minorHAnsi" w:hAnsiTheme="minorHAnsi"/>
        </w:rPr>
        <w:t>70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"_Toc107764599" </w:instrText>
      </w:r>
      <w:r>
        <w:fldChar w:fldCharType="separate"/>
      </w:r>
      <w:r>
        <w:rPr>
          <w:rFonts w:cs="Times New Roman"/>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_Toc107764599 \h </w:instrText>
      </w:r>
      <w:r>
        <w:rPr>
          <w:rFonts w:asciiTheme="minorHAnsi" w:hAnsiTheme="minorHAnsi"/>
        </w:rPr>
        <w:fldChar w:fldCharType="separate"/>
      </w:r>
      <w:r>
        <w:rPr>
          <w:rFonts w:asciiTheme="minorHAnsi" w:hAnsiTheme="minorHAnsi"/>
        </w:rPr>
        <w:t>70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"_Toc107764600" </w:instrText>
      </w:r>
      <w:r>
        <w:fldChar w:fldCharType="separate"/>
      </w:r>
      <w:r>
        <w:rPr>
          <w:rFonts w:cs="Times New Roman"/>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_Toc107764600 \h </w:instrText>
      </w:r>
      <w:r>
        <w:rPr>
          <w:rFonts w:asciiTheme="minorHAnsi" w:hAnsiTheme="minorHAnsi"/>
        </w:rPr>
        <w:fldChar w:fldCharType="separate"/>
      </w:r>
      <w:r>
        <w:rPr>
          <w:rFonts w:asciiTheme="minorHAnsi" w:hAnsiTheme="minorHAnsi"/>
        </w:rPr>
        <w:t>71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"_Toc107764601" </w:instrText>
      </w:r>
      <w:r>
        <w:fldChar w:fldCharType="separate"/>
      </w:r>
      <w:r>
        <w:rPr>
          <w:rFonts w:cs="Times New Roman"/>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_Toc107764601 \h </w:instrText>
      </w:r>
      <w:r>
        <w:rPr>
          <w:rFonts w:asciiTheme="minorHAnsi" w:hAnsiTheme="minorHAnsi"/>
        </w:rPr>
        <w:fldChar w:fldCharType="separate"/>
      </w:r>
      <w:r>
        <w:rPr>
          <w:rFonts w:asciiTheme="minorHAnsi" w:hAnsiTheme="minorHAnsi"/>
        </w:rPr>
        <w:t>71</w:t>
      </w:r>
      <w:r>
        <w:rPr>
          <w:rFonts w:asciiTheme="minorHAnsi" w:hAnsiTheme="minorHAnsi"/>
        </w:rPr>
        <w:fldChar w:fldCharType="end"/>
      </w:r>
      <w:r>
        <w:rPr>
          <w:rFonts w:asciiTheme="minorHAnsi" w:hAnsiTheme="minorHAnsi"/>
        </w:rPr>
        <w:fldChar w:fldCharType="end"/>
      </w:r>
    </w:p>
    <w:p>
      <w:pPr>
        <w:spacing w:before="312" w:beforeLines="100" w:after="312" w:afterLines="100"/>
        <w:ind w:firstLine="0" w:firstLineChars="0"/>
        <w:outlineLvl w:val="0"/>
        <w:rPr>
          <w:rFonts w:eastAsia="黑体" w:cs="Times New Roman"/>
          <w:b/>
          <w:sz w:val="32"/>
        </w:rPr>
        <w:sectPr>
          <w:headerReference r:id="rId30" w:type="default"/>
          <w:footerReference r:id="rId31" w:type="default"/>
          <w:pgSz w:w="11906" w:h="16838"/>
          <w:pgMar w:top="1440" w:right="1800" w:bottom="1440" w:left="1800" w:header="851" w:footer="992" w:gutter="0"/>
          <w:cols w:space="425" w:num="1"/>
          <w:docGrid w:type="lines" w:linePitch="312" w:charSpace="0"/>
        </w:sectPr>
      </w:pPr>
      <w:r>
        <w:rPr>
          <w:rFonts w:eastAsia="黑体" w:cs="Times New Roman"/>
          <w:b/>
          <w:sz w:val="32"/>
        </w:rPr>
        <w:fldChar w:fldCharType="end"/>
      </w:r>
      <w:bookmarkStart w:id="163" w:name="_Toc84665144"/>
    </w:p>
    <w:p>
      <w:pPr>
        <w:spacing w:before="312" w:beforeLines="100" w:after="312" w:afterLines="100"/>
        <w:ind w:firstLine="0" w:firstLineChars="0"/>
        <w:jc w:val="center"/>
        <w:outlineLvl w:val="0"/>
        <w:rPr>
          <w:rFonts w:eastAsia="黑体" w:cs="Times New Roman"/>
          <w:sz w:val="32"/>
        </w:rPr>
      </w:pPr>
    </w:p>
    <w:p>
      <w:pPr>
        <w:spacing w:before="312" w:beforeLines="100" w:after="312" w:afterLines="100"/>
        <w:ind w:firstLine="0" w:firstLineChars="0"/>
        <w:jc w:val="center"/>
        <w:outlineLvl w:val="0"/>
        <w:rPr>
          <w:rFonts w:eastAsia="黑体" w:cs="Times New Roman"/>
          <w:sz w:val="32"/>
        </w:rPr>
      </w:pPr>
      <w:bookmarkStart w:id="164" w:name="_Toc107764575"/>
      <w:r>
        <w:rPr>
          <w:rFonts w:eastAsia="黑体" w:cs="Times New Roman"/>
          <w:sz w:val="32"/>
        </w:rPr>
        <w:t>前 言</w:t>
      </w:r>
      <w:bookmarkEnd w:id="163"/>
      <w:bookmarkEnd w:id="164"/>
    </w:p>
    <w:p>
      <w:pPr>
        <w:ind w:firstLine="560"/>
        <w:rPr>
          <w:rFonts w:cs="Times New Roman"/>
        </w:rPr>
      </w:pPr>
      <w:r>
        <w:rPr>
          <w:rFonts w:cs="Times New Roman"/>
        </w:rPr>
        <w:t>《湛江市“十四五”住房发展规划》阐明了“十四五”期间全市住房发展的指导思想和发展目标、空间布局、主要任务和保障措施。为了深入推进“一城一策”，结合吴川市实际，制定了《分册二：吴川市“十四五”住房发展规划》。该分册在《湛江市“十四五”住房发展规划》的基础上，进一步明确“十四五”时期吴川市住房发展总体目标、年度目标和空间布局等内容，旨在促进湛江市住房发展规划在县（市、区）层面落实。</w:t>
      </w:r>
      <w:bookmarkStart w:id="165" w:name="_Toc84665145"/>
      <w:bookmarkStart w:id="166" w:name="_Hlk84577972"/>
      <w:r>
        <w:rPr>
          <w:rFonts w:cs="Times New Roman"/>
        </w:rPr>
        <w:br w:type="page"/>
      </w:r>
    </w:p>
    <w:p>
      <w:pPr>
        <w:spacing w:before="312" w:beforeLines="100" w:after="312" w:afterLines="100"/>
        <w:ind w:firstLine="640"/>
        <w:outlineLvl w:val="0"/>
        <w:rPr>
          <w:rFonts w:eastAsia="黑体" w:cs="Times New Roman"/>
          <w:sz w:val="32"/>
        </w:rPr>
      </w:pPr>
      <w:bookmarkStart w:id="167" w:name="_Toc107764576"/>
      <w:r>
        <w:rPr>
          <w:rFonts w:eastAsia="黑体" w:cs="Times New Roman"/>
          <w:sz w:val="32"/>
        </w:rPr>
        <w:t>一、指导思想和发展目标</w:t>
      </w:r>
      <w:bookmarkEnd w:id="165"/>
      <w:bookmarkEnd w:id="167"/>
    </w:p>
    <w:p>
      <w:pPr>
        <w:spacing w:before="312" w:beforeLines="100" w:after="312" w:afterLines="100"/>
        <w:ind w:firstLine="562"/>
        <w:outlineLvl w:val="1"/>
        <w:rPr>
          <w:rFonts w:cs="Times New Roman"/>
          <w:b/>
        </w:rPr>
      </w:pPr>
      <w:bookmarkStart w:id="168" w:name="_Toc84665146"/>
      <w:bookmarkStart w:id="169" w:name="_Toc107764577"/>
      <w:r>
        <w:rPr>
          <w:rFonts w:cs="Times New Roman"/>
          <w:b/>
        </w:rPr>
        <w:t>（一）指导思想</w:t>
      </w:r>
      <w:bookmarkEnd w:id="168"/>
      <w:bookmarkEnd w:id="169"/>
    </w:p>
    <w:p>
      <w:pPr>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w:t>
      </w:r>
      <w:bookmarkStart w:id="170" w:name="_Hlk84871963"/>
      <w:r>
        <w:rPr>
          <w:rFonts w:cs="Times New Roman"/>
        </w:rPr>
        <w:t>，促进住房与经济社会协同发展</w:t>
      </w:r>
      <w:bookmarkEnd w:id="170"/>
      <w:r>
        <w:rPr>
          <w:rFonts w:cs="Times New Roman"/>
        </w:rPr>
        <w:t>。</w:t>
      </w:r>
    </w:p>
    <w:p>
      <w:pPr>
        <w:spacing w:before="312" w:beforeLines="100" w:after="312" w:afterLines="100"/>
        <w:ind w:firstLine="562"/>
        <w:outlineLvl w:val="1"/>
        <w:rPr>
          <w:rFonts w:cs="Times New Roman"/>
          <w:b/>
        </w:rPr>
      </w:pPr>
      <w:bookmarkStart w:id="171" w:name="_Toc107764578"/>
      <w:bookmarkStart w:id="172" w:name="_Toc84665147"/>
      <w:r>
        <w:rPr>
          <w:rFonts w:cs="Times New Roman"/>
          <w:b/>
        </w:rPr>
        <w:t>（二）基本原则</w:t>
      </w:r>
      <w:bookmarkEnd w:id="171"/>
      <w:bookmarkEnd w:id="172"/>
    </w:p>
    <w:p>
      <w:pPr>
        <w:ind w:firstLine="562"/>
        <w:rPr>
          <w:rFonts w:cs="Times New Roman"/>
          <w:b/>
          <w:bCs/>
        </w:rPr>
      </w:pPr>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ind w:firstLine="562"/>
        <w:rPr>
          <w:rFonts w:cs="Times New Roman"/>
          <w:b/>
          <w:bCs/>
        </w:rPr>
      </w:pPr>
      <w:r>
        <w:rPr>
          <w:rFonts w:cs="Times New Roman"/>
          <w:b/>
          <w:bCs/>
        </w:rPr>
        <w:t>2.坚持系统观念、创新发展原则。</w:t>
      </w:r>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rPr>
          <w:rFonts w:cs="Times New Roman"/>
          <w:b/>
          <w:bCs/>
        </w:rPr>
      </w:pPr>
      <w:r>
        <w:rPr>
          <w:rFonts w:cs="Times New Roman"/>
          <w:b/>
          <w:bCs/>
        </w:rPr>
        <w:t>3.坚持政府引导，市场配置原则。</w:t>
      </w:r>
    </w:p>
    <w:p>
      <w:pPr>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ind w:firstLine="562"/>
        <w:rPr>
          <w:rFonts w:cs="Times New Roman"/>
          <w:b/>
          <w:bCs/>
        </w:rPr>
      </w:pPr>
      <w:r>
        <w:rPr>
          <w:rFonts w:cs="Times New Roman"/>
          <w:b/>
          <w:bCs/>
        </w:rPr>
        <w:t>4.坚持因城施策、特色发展原则。</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充分考虑地区发展的差异性，因地制宜促进房地产市场平稳健康发展，充分发挥住房发展对于实体经济的支撑作用，促进地方经济、产业发展和特色旅游资源开发。</w:t>
      </w:r>
    </w:p>
    <w:p>
      <w:pPr>
        <w:spacing w:before="312" w:beforeLines="100" w:after="312" w:afterLines="100"/>
        <w:ind w:firstLine="562"/>
        <w:outlineLvl w:val="1"/>
        <w:rPr>
          <w:rFonts w:cs="Times New Roman"/>
          <w:b/>
        </w:rPr>
      </w:pPr>
      <w:bookmarkStart w:id="173" w:name="_Toc84665148"/>
      <w:bookmarkStart w:id="174" w:name="_Toc107764579"/>
      <w:r>
        <w:rPr>
          <w:rFonts w:cs="Times New Roman"/>
          <w:b/>
        </w:rPr>
        <w:t>（三）住房目标</w:t>
      </w:r>
      <w:bookmarkEnd w:id="173"/>
      <w:bookmarkEnd w:id="174"/>
    </w:p>
    <w:bookmarkEnd w:id="166"/>
    <w:p>
      <w:pPr>
        <w:spacing w:line="360" w:lineRule="auto"/>
        <w:ind w:firstLine="562"/>
        <w:rPr>
          <w:rFonts w:cs="Times New Roman"/>
          <w:b/>
          <w:bCs/>
        </w:rPr>
      </w:pPr>
      <w:bookmarkStart w:id="175" w:name="_Toc84665149"/>
      <w:bookmarkStart w:id="176" w:name="_Hlk84578271"/>
      <w:r>
        <w:rPr>
          <w:rFonts w:cs="Times New Roman"/>
          <w:b/>
          <w:bCs/>
        </w:rPr>
        <w:t>1.总体目标</w:t>
      </w:r>
    </w:p>
    <w:p>
      <w:pPr>
        <w:spacing w:line="360" w:lineRule="auto"/>
        <w:ind w:firstLine="560"/>
        <w:rPr>
          <w:rFonts w:cs="Times New Roman"/>
        </w:rPr>
      </w:pPr>
      <w:r>
        <w:rPr>
          <w:rFonts w:cs="Times New Roman"/>
        </w:rPr>
        <w:t>“十四五”期间，稳步增加住房供给，规划新增供应新建商品住房45500-48000套；不断提升住房保障水平，规划新增筹建公共租赁住房不低于100套，新增发放租赁补贴家庭不低于160户，新增筹建保障性租赁住房不低于350套，稳步推进人才公寓建设，探索发展共有产权住房，不断建立健全多层次、高品质的现代化住房供给体系，支持吴川市全力打造湛茂阳沿海经济带重要滨海城市、加快建设“五个魅力”新吴川。</w:t>
      </w:r>
    </w:p>
    <w:p>
      <w:pPr>
        <w:spacing w:line="360" w:lineRule="auto"/>
        <w:ind w:firstLine="560"/>
        <w:jc w:val="center"/>
        <w:rPr>
          <w:rFonts w:eastAsia="黑体" w:cs="Times New Roman"/>
        </w:rPr>
      </w:pPr>
      <w:r>
        <w:rPr>
          <w:rFonts w:eastAsia="黑体" w:cs="Times New Roman"/>
        </w:rPr>
        <w:br w:type="page"/>
      </w:r>
    </w:p>
    <w:p>
      <w:pPr>
        <w:spacing w:line="360" w:lineRule="auto"/>
        <w:ind w:firstLine="0" w:firstLineChars="0"/>
        <w:jc w:val="center"/>
        <w:rPr>
          <w:rFonts w:eastAsia="黑体" w:cs="Times New Roman"/>
        </w:rPr>
      </w:pPr>
      <w:r>
        <w:rPr>
          <w:rFonts w:eastAsia="黑体" w:cs="Times New Roman"/>
        </w:rPr>
        <w:t>表1 “十四五”吴川市住房发展规模目标表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吴川市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45500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350</w:t>
            </w:r>
          </w:p>
        </w:tc>
      </w:tr>
    </w:tbl>
    <w:p>
      <w:pPr>
        <w:ind w:firstLine="0" w:firstLineChars="0"/>
        <w:jc w:val="left"/>
        <w:rPr>
          <w:rFonts w:cs="Times New Roman"/>
          <w:sz w:val="24"/>
        </w:rPr>
      </w:pPr>
      <w:r>
        <w:rPr>
          <w:rFonts w:cs="Times New Roman"/>
          <w:sz w:val="24"/>
        </w:rPr>
        <w:t xml:space="preserve">注： </w:t>
      </w:r>
    </w:p>
    <w:p>
      <w:pPr>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ind w:firstLine="0" w:firstLineChars="0"/>
        <w:rPr>
          <w:rFonts w:eastAsia="黑体" w:cs="Times New Roman"/>
        </w:rPr>
      </w:pPr>
      <w:r>
        <w:rPr>
          <w:rFonts w:cs="Times New Roman"/>
          <w:sz w:val="24"/>
          <w:szCs w:val="24"/>
        </w:rPr>
        <w:t>3.保障性租赁住房包括符合条件的人才公寓。</w:t>
      </w:r>
    </w:p>
    <w:p>
      <w:pPr>
        <w:spacing w:before="156" w:beforeLines="50" w:line="360" w:lineRule="auto"/>
        <w:ind w:firstLine="562"/>
        <w:rPr>
          <w:rFonts w:cs="Times New Roman"/>
          <w:b/>
          <w:bCs/>
        </w:rPr>
      </w:pPr>
      <w:r>
        <w:rPr>
          <w:rFonts w:cs="Times New Roman"/>
          <w:b/>
          <w:bCs/>
        </w:rPr>
        <w:t>2、年度目标</w:t>
      </w:r>
    </w:p>
    <w:p>
      <w:pPr>
        <w:spacing w:line="360" w:lineRule="auto"/>
        <w:ind w:firstLine="560"/>
        <w:rPr>
          <w:rFonts w:cs="Times New Roman"/>
        </w:rPr>
      </w:pPr>
      <w:r>
        <w:rPr>
          <w:rFonts w:cs="Times New Roman"/>
        </w:rPr>
        <w:t>为了落实“十四五”吴川市住房发展目标，规划将目标分解至各年度：</w:t>
      </w:r>
    </w:p>
    <w:p>
      <w:pPr>
        <w:spacing w:line="360" w:lineRule="auto"/>
        <w:ind w:firstLine="0" w:firstLineChars="0"/>
        <w:jc w:val="center"/>
        <w:rPr>
          <w:rFonts w:eastAsia="黑体" w:cs="Times New Roman"/>
        </w:rPr>
      </w:pPr>
      <w:r>
        <w:rPr>
          <w:rFonts w:eastAsia="黑体" w:cs="Times New Roman"/>
        </w:rPr>
        <w:t>“十四五”吴川市住房发展年度计划表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8000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8200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9000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9500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9000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9800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9500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10100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10400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45500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350</w:t>
            </w:r>
          </w:p>
        </w:tc>
      </w:tr>
    </w:tbl>
    <w:p>
      <w:pPr>
        <w:ind w:firstLine="0" w:firstLineChars="0"/>
        <w:jc w:val="left"/>
        <w:rPr>
          <w:rFonts w:cs="Times New Roman"/>
          <w:sz w:val="24"/>
        </w:rPr>
      </w:pPr>
      <w:bookmarkStart w:id="177" w:name="_Hlk84878298"/>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ind w:firstLine="0" w:firstLineChars="0"/>
        <w:rPr>
          <w:rFonts w:cs="Times New Roman"/>
          <w:sz w:val="24"/>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bookmarkEnd w:id="177"/>
    </w:p>
    <w:p>
      <w:pPr>
        <w:spacing w:before="312" w:beforeLines="100" w:after="312" w:afterLines="100"/>
        <w:ind w:firstLine="640"/>
        <w:outlineLvl w:val="0"/>
        <w:rPr>
          <w:rFonts w:eastAsia="黑体" w:cs="Times New Roman"/>
          <w:sz w:val="32"/>
        </w:rPr>
      </w:pPr>
      <w:bookmarkStart w:id="178" w:name="_Toc107764580"/>
      <w:r>
        <w:rPr>
          <w:rFonts w:eastAsia="黑体" w:cs="Times New Roman"/>
          <w:sz w:val="32"/>
        </w:rPr>
        <w:t>二、构建合理住房空间布局</w:t>
      </w:r>
      <w:bookmarkEnd w:id="175"/>
      <w:bookmarkEnd w:id="178"/>
    </w:p>
    <w:p>
      <w:pPr>
        <w:spacing w:before="312" w:beforeLines="100" w:after="312" w:afterLines="100"/>
        <w:ind w:left="562" w:firstLine="0" w:firstLineChars="0"/>
        <w:outlineLvl w:val="1"/>
        <w:rPr>
          <w:rFonts w:cs="Times New Roman"/>
          <w:b/>
        </w:rPr>
      </w:pPr>
      <w:bookmarkStart w:id="179" w:name="_Toc107764581"/>
      <w:r>
        <w:rPr>
          <w:rFonts w:cs="Times New Roman"/>
          <w:b/>
        </w:rPr>
        <w:t>（一）全面提升县城综合服务能力</w:t>
      </w:r>
      <w:bookmarkEnd w:id="179"/>
    </w:p>
    <w:p>
      <w:pPr>
        <w:ind w:firstLine="560"/>
        <w:rPr>
          <w:rFonts w:cs="Times New Roman"/>
        </w:rPr>
      </w:pPr>
      <w:r>
        <w:rPr>
          <w:rFonts w:cs="Times New Roman"/>
        </w:rPr>
        <w:t>加快推动滨海新区、城东新区、鉴江西岸、高铁站周边区域建设，加大“三旧”改造力度，推动旧城连片开发更新，有序推进城镇老旧小区改造，全面拓展城市发展空间，将县城打造成为服务县域农民的重要阵地和扩大内需的重要支撑点；重点完善县城对内对外道路交通系统，推进县城组团式综合开发，发挥好房地产开发对城镇建设的带动作用，加快县城、特大镇公共设施补短板，全面提升城镇建设和社区服务水平，引导农村转移人口有序向县城转移。</w:t>
      </w:r>
    </w:p>
    <w:p>
      <w:pPr>
        <w:spacing w:before="312" w:beforeLines="100" w:after="312" w:afterLines="100"/>
        <w:ind w:left="562" w:firstLine="0" w:firstLineChars="0"/>
        <w:outlineLvl w:val="1"/>
        <w:rPr>
          <w:rFonts w:cs="Times New Roman"/>
          <w:b/>
        </w:rPr>
      </w:pPr>
      <w:bookmarkStart w:id="180" w:name="_Toc107764582"/>
      <w:r>
        <w:rPr>
          <w:rFonts w:cs="Times New Roman"/>
          <w:b/>
        </w:rPr>
        <w:t>（二）促进县域重点平台产城融合发展</w:t>
      </w:r>
      <w:bookmarkEnd w:id="180"/>
    </w:p>
    <w:p>
      <w:pPr>
        <w:ind w:firstLine="560"/>
        <w:rPr>
          <w:rFonts w:cs="Times New Roman"/>
        </w:rPr>
      </w:pPr>
      <w:r>
        <w:rPr>
          <w:rFonts w:cs="Times New Roman"/>
        </w:rPr>
        <w:t>加强空港经济区的居住生活配套，以需定供，增加宿舍、人才住房等产业配套住房，促进产城融合发展。依托吴川市吉兆湾、鼎龙湾等优势滨海资源和旅游发展基础，加快推进滨海旅游集聚区建设，加大文旅、康养项目引进和投资力度，开发多样化的康养、休闲居住产品，完善旅游公路和文化、餐饮、体验等配套设施建设，推动吴川市全域旅游发展。</w:t>
      </w:r>
    </w:p>
    <w:p>
      <w:pPr>
        <w:spacing w:before="312" w:beforeLines="100" w:after="312" w:afterLines="100"/>
        <w:ind w:left="562" w:firstLine="0" w:firstLineChars="0"/>
        <w:outlineLvl w:val="1"/>
        <w:rPr>
          <w:rFonts w:cs="Times New Roman"/>
          <w:b/>
        </w:rPr>
      </w:pPr>
      <w:bookmarkStart w:id="181" w:name="_Toc107764583"/>
      <w:r>
        <w:rPr>
          <w:rFonts w:cs="Times New Roman"/>
          <w:b/>
        </w:rPr>
        <w:t>（三）合理引导乡镇住房发展</w:t>
      </w:r>
      <w:bookmarkEnd w:id="181"/>
    </w:p>
    <w:p>
      <w:pPr>
        <w:ind w:firstLine="560"/>
        <w:rPr>
          <w:rFonts w:cs="Times New Roman"/>
        </w:rPr>
      </w:pPr>
      <w:r>
        <w:rPr>
          <w:rFonts w:cs="Times New Roman"/>
        </w:rPr>
        <w:t>支持塘缀、吴阳、黄坡三大中心镇发展壮大镇域经济，以需定供，增加住房供给，打造成为县域发展的强力支撑；控制一般乡镇和农村地区新增住房供给，引导居民向县城聚集。培育发展以现代农业、观光旅游、电商等产业为基础的特色小镇，促进“一二三产”融合，避免特色小镇房地产化。</w:t>
      </w:r>
    </w:p>
    <w:p>
      <w:pPr>
        <w:spacing w:before="312" w:beforeLines="100" w:after="312" w:afterLines="100"/>
        <w:ind w:firstLine="640"/>
        <w:outlineLvl w:val="0"/>
        <w:rPr>
          <w:rFonts w:eastAsia="黑体" w:cs="Times New Roman"/>
          <w:sz w:val="32"/>
        </w:rPr>
      </w:pPr>
      <w:bookmarkStart w:id="182" w:name="_Toc107764584"/>
      <w:bookmarkStart w:id="183" w:name="_Toc84665152"/>
      <w:r>
        <w:rPr>
          <w:rFonts w:eastAsia="黑体" w:cs="Times New Roman"/>
          <w:sz w:val="32"/>
        </w:rPr>
        <w:t>三、促进房地产市场健康发展</w:t>
      </w:r>
      <w:bookmarkEnd w:id="182"/>
      <w:bookmarkEnd w:id="183"/>
    </w:p>
    <w:p>
      <w:pPr>
        <w:spacing w:before="312" w:beforeLines="100" w:after="312" w:afterLines="100"/>
        <w:ind w:left="562" w:firstLine="0" w:firstLineChars="0"/>
        <w:outlineLvl w:val="1"/>
        <w:rPr>
          <w:rFonts w:cs="Times New Roman"/>
          <w:b/>
        </w:rPr>
      </w:pPr>
      <w:bookmarkStart w:id="184" w:name="_Toc84665153"/>
      <w:bookmarkStart w:id="185" w:name="_Toc107764585"/>
      <w:r>
        <w:rPr>
          <w:rFonts w:cs="Times New Roman"/>
          <w:b/>
        </w:rPr>
        <w:t>（一）健全住房梯度健康消费</w:t>
      </w:r>
      <w:bookmarkEnd w:id="184"/>
      <w:bookmarkEnd w:id="185"/>
    </w:p>
    <w:p>
      <w:pPr>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312" w:beforeLines="100" w:after="312" w:afterLines="100"/>
        <w:ind w:left="562" w:firstLine="0" w:firstLineChars="0"/>
        <w:outlineLvl w:val="1"/>
        <w:rPr>
          <w:rFonts w:cs="Times New Roman"/>
          <w:b/>
        </w:rPr>
      </w:pPr>
      <w:bookmarkStart w:id="186" w:name="_Toc107764586"/>
      <w:bookmarkStart w:id="187" w:name="_Toc84665154"/>
      <w:r>
        <w:rPr>
          <w:rFonts w:cs="Times New Roman"/>
          <w:b/>
        </w:rPr>
        <w:t>（二）加强住房与土地联动</w:t>
      </w:r>
      <w:bookmarkEnd w:id="186"/>
      <w:bookmarkEnd w:id="187"/>
    </w:p>
    <w:p>
      <w:pPr>
        <w:ind w:firstLine="562"/>
        <w:rPr>
          <w:rFonts w:cs="Times New Roman"/>
        </w:rPr>
      </w:pPr>
      <w:r>
        <w:rPr>
          <w:rFonts w:cs="Times New Roman"/>
          <w:b/>
          <w:bCs/>
        </w:rPr>
        <w:t>保障住宅用地供给。</w:t>
      </w:r>
      <w:r>
        <w:rPr>
          <w:rFonts w:hint="eastAsia" w:cs="Times New Roman"/>
        </w:rPr>
        <w:t>根据“十四五”期间新增筹建各类住房目标，预计需要供应住宅用地</w:t>
      </w:r>
      <w:r>
        <w:rPr>
          <w:rFonts w:cs="Times New Roman"/>
        </w:rPr>
        <w:t>160.3-169</w:t>
      </w:r>
      <w:r>
        <w:rPr>
          <w:rFonts w:hint="eastAsia" w:cs="Times New Roman"/>
        </w:rPr>
        <w:t>公顷</w:t>
      </w:r>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w:t>
      </w:r>
      <w:r>
        <w:rPr>
          <w:rFonts w:hint="eastAsia" w:cs="Times New Roman"/>
        </w:rPr>
        <w:t>商品住房库存消化周期</w:t>
      </w:r>
      <w:r>
        <w:rPr>
          <w:rFonts w:cs="Times New Roman"/>
        </w:rPr>
        <w:t>，及时调整住宅用地供应规模和节奏，保障市场供需基本平衡。加快建立住宅用地价格指数监测，创新土地供给方式，及时调节土地出让价格，以稳定市场预期，防止房价地价大起大落。</w:t>
      </w:r>
    </w:p>
    <w:p>
      <w:pPr>
        <w:spacing w:before="312" w:beforeLines="100" w:after="312" w:afterLines="100"/>
        <w:ind w:firstLine="562"/>
        <w:outlineLvl w:val="1"/>
        <w:rPr>
          <w:rFonts w:cs="Times New Roman"/>
          <w:b/>
        </w:rPr>
      </w:pPr>
      <w:bookmarkStart w:id="188" w:name="_Toc107764587"/>
      <w:bookmarkStart w:id="189" w:name="_Toc84665155"/>
      <w:r>
        <w:rPr>
          <w:rFonts w:cs="Times New Roman"/>
          <w:b/>
        </w:rPr>
        <w:t>（三）完善房地产金融政策</w:t>
      </w:r>
      <w:bookmarkEnd w:id="188"/>
      <w:bookmarkEnd w:id="189"/>
    </w:p>
    <w:p>
      <w:pPr>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ind w:firstLine="562"/>
        <w:rPr>
          <w:rFonts w:cs="Times New Roman"/>
        </w:rPr>
      </w:pPr>
      <w:r>
        <w:rPr>
          <w:rFonts w:hint="eastAsia" w:cs="Times New Roman"/>
          <w:b/>
          <w:bCs/>
        </w:rPr>
        <w:t>发挥公积金对居民合理自住购房的支持作用。</w:t>
      </w:r>
      <w:r>
        <w:rPr>
          <w:rFonts w:hint="eastAsia" w:cs="Times New Roman"/>
        </w:rPr>
        <w:t>改进和完善住房公积金缴存、提取、使用与监管机制，进一步扩大住房公积金覆盖面，全力推进民营企业建立住房公积金制度，支持灵活就业人员缴存住房公积金。提高住房公积金使用效率，加大购买首套和改善性住房的住房公积金信贷支持力度；支持异地缴存住房公积金的职工，在湛江市申请住房公积金贷款购买、建造、翻建、大修自住住房；支持职工按湛江市房屋租赁部门的指导性租金标准按季度提取住房公积金支付房租。</w:t>
      </w:r>
    </w:p>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spacing w:before="312" w:beforeLines="100" w:after="312" w:afterLines="100"/>
        <w:ind w:firstLine="640"/>
        <w:outlineLvl w:val="0"/>
        <w:rPr>
          <w:rFonts w:eastAsia="黑体" w:cs="Times New Roman"/>
          <w:sz w:val="32"/>
        </w:rPr>
      </w:pPr>
      <w:bookmarkStart w:id="190" w:name="_Toc84665156"/>
      <w:bookmarkStart w:id="191" w:name="_Toc107764588"/>
      <w:r>
        <w:rPr>
          <w:rFonts w:eastAsia="黑体" w:cs="Times New Roman"/>
          <w:sz w:val="32"/>
        </w:rPr>
        <w:t>四、稳步提升住房保障水平</w:t>
      </w:r>
      <w:bookmarkEnd w:id="190"/>
      <w:bookmarkEnd w:id="191"/>
    </w:p>
    <w:p>
      <w:pPr>
        <w:spacing w:before="312" w:beforeLines="100" w:after="312" w:afterLines="100"/>
        <w:ind w:firstLine="562"/>
        <w:outlineLvl w:val="1"/>
        <w:rPr>
          <w:rFonts w:cs="Times New Roman"/>
          <w:b/>
        </w:rPr>
      </w:pPr>
      <w:bookmarkStart w:id="192" w:name="_Toc84665157"/>
      <w:bookmarkStart w:id="193" w:name="_Toc107764589"/>
      <w:r>
        <w:rPr>
          <w:rFonts w:cs="Times New Roman"/>
          <w:b/>
        </w:rPr>
        <w:t>（一）加强住房基本保障</w:t>
      </w:r>
      <w:bookmarkEnd w:id="192"/>
      <w:bookmarkEnd w:id="193"/>
    </w:p>
    <w:p>
      <w:pPr>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对于符合条件的生育三孩家庭、计划生育特殊家庭，同等条件下可按规定优先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w:t>
      </w:r>
      <w:r>
        <w:rPr>
          <w:rFonts w:hint="eastAsia" w:cs="Times New Roman"/>
        </w:rPr>
        <w:t>有</w:t>
      </w:r>
      <w:r>
        <w:rPr>
          <w:rFonts w:cs="Times New Roman"/>
        </w:rPr>
        <w:t>更好的服务。</w:t>
      </w:r>
    </w:p>
    <w:p>
      <w:pPr>
        <w:spacing w:before="312" w:beforeLines="100" w:after="312" w:afterLines="100"/>
        <w:ind w:firstLine="562"/>
        <w:outlineLvl w:val="1"/>
        <w:rPr>
          <w:rFonts w:cs="Times New Roman"/>
          <w:b/>
        </w:rPr>
      </w:pPr>
      <w:bookmarkStart w:id="194" w:name="_Toc84665158"/>
      <w:bookmarkStart w:id="195" w:name="_Toc107764590"/>
      <w:r>
        <w:rPr>
          <w:rFonts w:cs="Times New Roman"/>
          <w:b/>
        </w:rPr>
        <w:t>（二）推动住房保障适度普惠</w:t>
      </w:r>
      <w:bookmarkEnd w:id="194"/>
      <w:bookmarkEnd w:id="195"/>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cs="Times New Roman"/>
          <w:b/>
          <w:bCs/>
        </w:rPr>
        <w:t>积极开展保障性租赁住房试点。</w:t>
      </w:r>
      <w:r>
        <w:rPr>
          <w:rFonts w:cs="Times New Roman"/>
        </w:rPr>
        <w:t>开展保障性租赁住房需求人群摸底，评估保障性租赁住房供给潜力，支持和引导市场主体投资保障性租赁住房，鼓励产业园区项目配套建设保障性租赁住房。保障性租赁住房以小户型住房为主，建筑面积不超过70平方米，主要面向符合条件的新市民、青年人供应，租金水平一般低于同地段、同品质的市场租赁住房租金。</w:t>
      </w:r>
    </w:p>
    <w:p>
      <w:pPr>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312" w:beforeLines="100" w:after="312" w:afterLines="100"/>
        <w:ind w:firstLine="562"/>
        <w:outlineLvl w:val="1"/>
        <w:rPr>
          <w:rFonts w:cs="Times New Roman"/>
          <w:b/>
        </w:rPr>
      </w:pPr>
      <w:bookmarkStart w:id="196" w:name="_Toc107764591"/>
      <w:bookmarkStart w:id="197" w:name="_Toc84665159"/>
      <w:r>
        <w:rPr>
          <w:rFonts w:cs="Times New Roman"/>
          <w:b/>
        </w:rPr>
        <w:t>（三）加大高层次人才安居</w:t>
      </w:r>
      <w:bookmarkEnd w:id="196"/>
      <w:bookmarkEnd w:id="197"/>
    </w:p>
    <w:p>
      <w:pPr>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312" w:beforeLines="100" w:after="312" w:afterLines="100"/>
        <w:ind w:firstLine="562"/>
        <w:outlineLvl w:val="1"/>
        <w:rPr>
          <w:rFonts w:cs="Times New Roman"/>
          <w:b/>
        </w:rPr>
      </w:pPr>
      <w:bookmarkStart w:id="198" w:name="_Toc84665160"/>
      <w:bookmarkStart w:id="199" w:name="_Toc107764592"/>
      <w:r>
        <w:rPr>
          <w:rFonts w:cs="Times New Roman"/>
          <w:b/>
        </w:rPr>
        <w:t>（四）创新重点行业人员住房保障机制</w:t>
      </w:r>
      <w:bookmarkEnd w:id="198"/>
      <w:bookmarkEnd w:id="199"/>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吴川市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spacing w:before="312" w:beforeLines="100" w:after="312" w:afterLines="100"/>
        <w:ind w:firstLine="640"/>
        <w:outlineLvl w:val="0"/>
        <w:rPr>
          <w:rFonts w:eastAsia="黑体" w:cs="Times New Roman"/>
          <w:sz w:val="32"/>
        </w:rPr>
      </w:pPr>
      <w:bookmarkStart w:id="200" w:name="_Toc84665161"/>
      <w:bookmarkStart w:id="201" w:name="_Toc107764593"/>
      <w:r>
        <w:rPr>
          <w:rFonts w:eastAsia="黑体" w:cs="Times New Roman"/>
          <w:sz w:val="32"/>
        </w:rPr>
        <w:t>五、全面提升居住品质</w:t>
      </w:r>
      <w:bookmarkEnd w:id="200"/>
      <w:bookmarkEnd w:id="201"/>
    </w:p>
    <w:p>
      <w:pPr>
        <w:spacing w:before="312" w:beforeLines="100" w:after="312" w:afterLines="100"/>
        <w:ind w:firstLine="562"/>
        <w:outlineLvl w:val="1"/>
        <w:rPr>
          <w:rFonts w:cs="Times New Roman"/>
          <w:b/>
        </w:rPr>
      </w:pPr>
      <w:bookmarkStart w:id="202" w:name="_Toc107764594"/>
      <w:bookmarkStart w:id="203" w:name="_Toc84665162"/>
      <w:r>
        <w:rPr>
          <w:rFonts w:cs="Times New Roman"/>
          <w:b/>
        </w:rPr>
        <w:t>（一）创建宜居活力社区</w:t>
      </w:r>
      <w:bookmarkEnd w:id="202"/>
      <w:bookmarkEnd w:id="203"/>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312" w:beforeLines="100" w:after="312" w:afterLines="100"/>
        <w:ind w:firstLine="562"/>
        <w:outlineLvl w:val="1"/>
        <w:rPr>
          <w:rFonts w:cs="Times New Roman"/>
          <w:b/>
        </w:rPr>
      </w:pPr>
      <w:bookmarkStart w:id="204" w:name="_Toc84665163"/>
      <w:bookmarkStart w:id="205" w:name="_Toc107764595"/>
      <w:r>
        <w:rPr>
          <w:rFonts w:cs="Times New Roman"/>
          <w:b/>
        </w:rPr>
        <w:t>（二）建设智慧生态小区</w:t>
      </w:r>
      <w:bookmarkEnd w:id="204"/>
      <w:bookmarkEnd w:id="205"/>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312" w:beforeLines="100" w:after="312" w:afterLines="100"/>
        <w:ind w:firstLine="562"/>
        <w:outlineLvl w:val="1"/>
        <w:rPr>
          <w:rFonts w:cs="Times New Roman"/>
          <w:b/>
        </w:rPr>
      </w:pPr>
      <w:bookmarkStart w:id="206" w:name="_Toc107764596"/>
      <w:bookmarkStart w:id="207" w:name="_Toc84665164"/>
      <w:r>
        <w:rPr>
          <w:rFonts w:cs="Times New Roman"/>
          <w:b/>
        </w:rPr>
        <w:t>（三）推进旅游地产转型</w:t>
      </w:r>
      <w:bookmarkEnd w:id="206"/>
      <w:bookmarkEnd w:id="207"/>
    </w:p>
    <w:p>
      <w:pPr>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ind w:firstLine="562"/>
        <w:rPr>
          <w:rFonts w:cs="Times New Roman"/>
          <w:color w:val="FF0000"/>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spacing w:before="312" w:beforeLines="100" w:after="312" w:afterLines="100"/>
        <w:ind w:firstLine="640"/>
        <w:outlineLvl w:val="0"/>
        <w:rPr>
          <w:rFonts w:eastAsia="黑体" w:cs="Times New Roman"/>
          <w:sz w:val="32"/>
        </w:rPr>
      </w:pPr>
      <w:bookmarkStart w:id="208" w:name="_Toc84665169"/>
      <w:bookmarkStart w:id="209" w:name="_Toc107764597"/>
      <w:r>
        <w:rPr>
          <w:rFonts w:eastAsia="黑体" w:cs="Times New Roman"/>
          <w:sz w:val="32"/>
        </w:rPr>
        <w:t>六、保障措施</w:t>
      </w:r>
      <w:bookmarkEnd w:id="208"/>
      <w:bookmarkEnd w:id="209"/>
    </w:p>
    <w:p>
      <w:pPr>
        <w:spacing w:before="312" w:beforeLines="100" w:after="312" w:afterLines="100"/>
        <w:ind w:firstLine="562"/>
        <w:outlineLvl w:val="1"/>
        <w:rPr>
          <w:rFonts w:cs="Times New Roman"/>
          <w:b/>
        </w:rPr>
      </w:pPr>
      <w:bookmarkStart w:id="210" w:name="_Toc107764598"/>
      <w:bookmarkStart w:id="211" w:name="_Toc84665170"/>
      <w:r>
        <w:rPr>
          <w:rFonts w:cs="Times New Roman"/>
          <w:b/>
        </w:rPr>
        <w:t>（一）加强组织领导</w:t>
      </w:r>
      <w:bookmarkEnd w:id="210"/>
      <w:bookmarkEnd w:id="211"/>
    </w:p>
    <w:p>
      <w:pPr>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312" w:beforeLines="100" w:after="312" w:afterLines="100"/>
        <w:ind w:firstLine="562"/>
        <w:outlineLvl w:val="1"/>
        <w:rPr>
          <w:rFonts w:cs="Times New Roman"/>
          <w:b/>
        </w:rPr>
      </w:pPr>
      <w:bookmarkStart w:id="212" w:name="_Toc107764599"/>
      <w:bookmarkStart w:id="213" w:name="_Toc84665171"/>
      <w:r>
        <w:rPr>
          <w:rFonts w:cs="Times New Roman"/>
          <w:b/>
        </w:rPr>
        <w:t>（二）健全住房发展要素保障机制</w:t>
      </w:r>
      <w:bookmarkEnd w:id="212"/>
      <w:bookmarkEnd w:id="213"/>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312" w:beforeLines="100" w:after="312" w:afterLines="100"/>
        <w:ind w:firstLine="562"/>
        <w:outlineLvl w:val="1"/>
        <w:rPr>
          <w:rFonts w:cs="Times New Roman"/>
          <w:b/>
        </w:rPr>
      </w:pPr>
      <w:bookmarkStart w:id="214" w:name="_Toc107764600"/>
      <w:bookmarkStart w:id="215" w:name="_Toc84665172"/>
      <w:r>
        <w:rPr>
          <w:rFonts w:cs="Times New Roman"/>
          <w:b/>
        </w:rPr>
        <w:t>（三）完善规划实施的评估机制</w:t>
      </w:r>
      <w:bookmarkEnd w:id="214"/>
      <w:bookmarkEnd w:id="215"/>
    </w:p>
    <w:p>
      <w:pPr>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312" w:beforeLines="100" w:after="312" w:afterLines="100"/>
        <w:ind w:firstLine="562"/>
        <w:outlineLvl w:val="1"/>
        <w:rPr>
          <w:rFonts w:cs="Times New Roman"/>
          <w:b/>
        </w:rPr>
      </w:pPr>
      <w:bookmarkStart w:id="216" w:name="_Toc107764601"/>
      <w:bookmarkStart w:id="217" w:name="_Toc84665173"/>
      <w:r>
        <w:rPr>
          <w:rFonts w:cs="Times New Roman"/>
          <w:b/>
        </w:rPr>
        <w:t>（四）做好规划宣传引导工作</w:t>
      </w:r>
      <w:bookmarkEnd w:id="216"/>
      <w:bookmarkEnd w:id="217"/>
    </w:p>
    <w:p>
      <w:pPr>
        <w:ind w:firstLine="560"/>
        <w:rPr>
          <w:rFonts w:eastAsia="黑体"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bookmarkEnd w:id="176"/>
    </w:p>
    <w:p>
      <w:pPr>
        <w:spacing w:line="320" w:lineRule="exact"/>
        <w:ind w:firstLine="0" w:firstLineChars="0"/>
        <w:rPr>
          <w:rFonts w:eastAsia="黑体" w:cs="Times New Roman"/>
        </w:rPr>
        <w:sectPr>
          <w:pgSz w:w="11906" w:h="16838"/>
          <w:pgMar w:top="1440" w:right="1800" w:bottom="1440" w:left="1800" w:header="851" w:footer="992" w:gutter="0"/>
          <w:cols w:space="425" w:num="1"/>
          <w:docGrid w:type="lines" w:linePitch="312" w:charSpace="0"/>
        </w:sectPr>
      </w:pPr>
    </w:p>
    <w:p>
      <w:pPr>
        <w:ind w:firstLine="0" w:firstLineChars="0"/>
        <w:rPr>
          <w:rFonts w:cs="Times New Roman"/>
        </w:rPr>
      </w:pPr>
    </w:p>
    <w:p>
      <w:pPr>
        <w:ind w:firstLine="0" w:firstLineChars="0"/>
        <w:rPr>
          <w:rFonts w:cs="Times New Roman"/>
        </w:rPr>
      </w:pPr>
      <w:r>
        <w:rPr>
          <w:rFonts w:cs="Times New Roman"/>
        </w:rPr>
        <w:t>分册三：</w:t>
      </w:r>
    </w:p>
    <w:p>
      <w:pPr>
        <w:ind w:firstLine="0" w:firstLineChars="0"/>
        <w:rPr>
          <w:rFonts w:cs="Times New Roman"/>
        </w:rPr>
      </w:pPr>
    </w:p>
    <w:p>
      <w:pPr>
        <w:ind w:firstLine="0" w:firstLineChars="0"/>
        <w:rPr>
          <w:rFonts w:cs="Times New Roman"/>
        </w:rPr>
      </w:pPr>
    </w:p>
    <w:p>
      <w:pPr>
        <w:ind w:firstLine="0" w:firstLineChars="0"/>
        <w:rPr>
          <w:rFonts w:cs="Times New Roman"/>
        </w:rPr>
      </w:pPr>
    </w:p>
    <w:p>
      <w:pPr>
        <w:ind w:firstLine="0" w:firstLineChars="0"/>
        <w:jc w:val="center"/>
        <w:rPr>
          <w:rFonts w:eastAsia="方正小标宋简体" w:cs="Times New Roman"/>
          <w:sz w:val="48"/>
        </w:rPr>
      </w:pPr>
      <w:r>
        <w:rPr>
          <w:rFonts w:eastAsia="方正小标宋简体" w:cs="Times New Roman"/>
          <w:sz w:val="48"/>
        </w:rPr>
        <w:t>徐闻县“十四五”住房发展规划</w:t>
      </w: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34" w:type="first"/>
          <w:footerReference r:id="rId37" w:type="first"/>
          <w:headerReference r:id="rId32" w:type="default"/>
          <w:footerReference r:id="rId35" w:type="default"/>
          <w:headerReference r:id="rId33" w:type="even"/>
          <w:footerReference r:id="rId36" w:type="even"/>
          <w:pgSz w:w="11906" w:h="16838"/>
          <w:pgMar w:top="1440" w:right="1800" w:bottom="1440" w:left="1800" w:header="851" w:footer="992" w:gutter="0"/>
          <w:cols w:space="425" w:num="1"/>
          <w:docGrid w:type="lines" w:linePitch="312" w:charSpace="0"/>
        </w:sectPr>
      </w:pPr>
    </w:p>
    <w:p>
      <w:pPr>
        <w:tabs>
          <w:tab w:val="left" w:pos="3315"/>
        </w:tabs>
        <w:ind w:firstLine="560"/>
        <w:rPr>
          <w:rFonts w:eastAsia="黑体" w:cs="Times New Roman"/>
        </w:rPr>
      </w:pPr>
      <w:r>
        <w:rPr>
          <w:rFonts w:cs="Times New Roman"/>
        </w:rPr>
        <w:tab/>
      </w:r>
      <w:r>
        <w:rPr>
          <w:rFonts w:eastAsia="黑体" w:cs="Times New Roman"/>
          <w:sz w:val="32"/>
        </w:rPr>
        <w:t>目 录</w:t>
      </w:r>
    </w:p>
    <w:p>
      <w:pPr>
        <w:tabs>
          <w:tab w:val="right" w:leader="dot" w:pos="8296"/>
        </w:tabs>
        <w:spacing w:line="360" w:lineRule="auto"/>
        <w:ind w:firstLine="0" w:firstLineChars="0"/>
        <w:rPr>
          <w:rFonts w:asciiTheme="minorHAnsi" w:hAnsiTheme="minorHAnsi" w:eastAsiaTheme="minorEastAsia"/>
          <w:sz w:val="21"/>
        </w:rPr>
      </w:pPr>
      <w:r>
        <w:rPr>
          <w:rFonts w:eastAsia="黑体" w:cs="Times New Roman"/>
          <w:sz w:val="32"/>
        </w:rPr>
        <w:fldChar w:fldCharType="begin"/>
      </w:r>
      <w:r>
        <w:rPr>
          <w:rFonts w:eastAsia="黑体" w:cs="Times New Roman"/>
          <w:sz w:val="32"/>
        </w:rPr>
        <w:instrText xml:space="preserve"> TOC \o "1-3" \h \z \u </w:instrText>
      </w:r>
      <w:r>
        <w:rPr>
          <w:rFonts w:eastAsia="黑体" w:cs="Times New Roman"/>
          <w:sz w:val="32"/>
        </w:rPr>
        <w:fldChar w:fldCharType="separate"/>
      </w:r>
      <w:r>
        <w:fldChar w:fldCharType="begin"/>
      </w:r>
      <w:r>
        <w:instrText xml:space="preserve"> HYPERLINK \l "_Toc107764548" </w:instrText>
      </w:r>
      <w:r>
        <w:fldChar w:fldCharType="separate"/>
      </w:r>
      <w:r>
        <w:rPr>
          <w:rFonts w:eastAsia="黑体" w:cs="Times New Roman"/>
          <w:b/>
          <w:sz w:val="32"/>
        </w:rPr>
        <w:t>前 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_Toc107764548 \h </w:instrText>
      </w:r>
      <w:r>
        <w:rPr>
          <w:rFonts w:eastAsia="黑体" w:asciiTheme="minorHAnsi" w:hAnsiTheme="minorHAnsi"/>
          <w:b/>
          <w:sz w:val="32"/>
        </w:rPr>
        <w:fldChar w:fldCharType="separate"/>
      </w:r>
      <w:r>
        <w:rPr>
          <w:rFonts w:eastAsia="黑体" w:asciiTheme="minorHAnsi" w:hAnsiTheme="minorHAnsi"/>
          <w:b/>
          <w:sz w:val="32"/>
        </w:rPr>
        <w:t>75</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"_Toc107764549" </w:instrText>
      </w:r>
      <w:r>
        <w:fldChar w:fldCharType="separate"/>
      </w:r>
      <w:r>
        <w:rPr>
          <w:rFonts w:eastAsia="黑体" w:cs="Times New Roman"/>
          <w:b/>
          <w:sz w:val="32"/>
        </w:rPr>
        <w:t>一、指导思想和发展目标</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_Toc107764549 \h </w:instrText>
      </w:r>
      <w:r>
        <w:rPr>
          <w:rFonts w:eastAsia="黑体" w:asciiTheme="minorHAnsi" w:hAnsiTheme="minorHAnsi"/>
          <w:b/>
          <w:sz w:val="32"/>
        </w:rPr>
        <w:fldChar w:fldCharType="separate"/>
      </w:r>
      <w:r>
        <w:rPr>
          <w:rFonts w:eastAsia="黑体" w:asciiTheme="minorHAnsi" w:hAnsiTheme="minorHAnsi"/>
          <w:b/>
          <w:sz w:val="32"/>
        </w:rPr>
        <w:t>76</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"_Toc107764550" </w:instrText>
      </w:r>
      <w:r>
        <w:fldChar w:fldCharType="separate"/>
      </w:r>
      <w:r>
        <w:rPr>
          <w:rFonts w:cs="Times New Roman"/>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_Toc107764550 \h </w:instrText>
      </w:r>
      <w:r>
        <w:rPr>
          <w:rFonts w:asciiTheme="minorHAnsi" w:hAnsiTheme="minorHAnsi"/>
        </w:rPr>
        <w:fldChar w:fldCharType="separate"/>
      </w:r>
      <w:r>
        <w:rPr>
          <w:rFonts w:asciiTheme="minorHAnsi" w:hAnsiTheme="minorHAnsi"/>
        </w:rPr>
        <w:t>76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"_Toc107764551" </w:instrText>
      </w:r>
      <w:r>
        <w:fldChar w:fldCharType="separate"/>
      </w:r>
      <w:r>
        <w:rPr>
          <w:rFonts w:cs="Times New Roman"/>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_Toc107764551 \h </w:instrText>
      </w:r>
      <w:r>
        <w:rPr>
          <w:rFonts w:asciiTheme="minorHAnsi" w:hAnsiTheme="minorHAnsi"/>
        </w:rPr>
        <w:fldChar w:fldCharType="separate"/>
      </w:r>
      <w:r>
        <w:rPr>
          <w:rFonts w:asciiTheme="minorHAnsi" w:hAnsiTheme="minorHAnsi"/>
        </w:rPr>
        <w:t>76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"_Toc107764552" </w:instrText>
      </w:r>
      <w:r>
        <w:fldChar w:fldCharType="separate"/>
      </w:r>
      <w:r>
        <w:rPr>
          <w:rFonts w:cs="Times New Roman"/>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_Toc107764552 \h </w:instrText>
      </w:r>
      <w:r>
        <w:rPr>
          <w:rFonts w:asciiTheme="minorHAnsi" w:hAnsiTheme="minorHAnsi"/>
        </w:rPr>
        <w:fldChar w:fldCharType="separate"/>
      </w:r>
      <w:r>
        <w:rPr>
          <w:rFonts w:asciiTheme="minorHAnsi" w:hAnsiTheme="minorHAnsi"/>
        </w:rPr>
        <w:t>77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"_Toc107764553" </w:instrText>
      </w:r>
      <w:r>
        <w:fldChar w:fldCharType="separate"/>
      </w:r>
      <w:r>
        <w:rPr>
          <w:rFonts w:eastAsia="黑体" w:cs="Times New Roman"/>
          <w:b/>
          <w:sz w:val="32"/>
        </w:rPr>
        <w:t>二、构建合理住房空间布局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_Toc107764553 \h </w:instrText>
      </w:r>
      <w:r>
        <w:rPr>
          <w:rFonts w:eastAsia="黑体" w:asciiTheme="minorHAnsi" w:hAnsiTheme="minorHAnsi"/>
          <w:b/>
          <w:sz w:val="32"/>
        </w:rPr>
        <w:fldChar w:fldCharType="separate"/>
      </w:r>
      <w:r>
        <w:rPr>
          <w:rFonts w:eastAsia="黑体" w:asciiTheme="minorHAnsi" w:hAnsiTheme="minorHAnsi"/>
          <w:b/>
          <w:sz w:val="32"/>
        </w:rPr>
        <w:t>79</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"_Toc107764554" </w:instrText>
      </w:r>
      <w:r>
        <w:fldChar w:fldCharType="separate"/>
      </w:r>
      <w:r>
        <w:rPr>
          <w:rFonts w:cs="Times New Roman"/>
        </w:rPr>
        <w:t>（一）全面提升县城综合服务能力</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_Toc107764554 \h </w:instrText>
      </w:r>
      <w:r>
        <w:rPr>
          <w:rFonts w:asciiTheme="minorHAnsi" w:hAnsiTheme="minorHAnsi"/>
        </w:rPr>
        <w:fldChar w:fldCharType="separate"/>
      </w:r>
      <w:r>
        <w:rPr>
          <w:rFonts w:asciiTheme="minorHAnsi" w:hAnsiTheme="minorHAnsi"/>
        </w:rPr>
        <w:t>79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"_Toc107764555" </w:instrText>
      </w:r>
      <w:r>
        <w:fldChar w:fldCharType="separate"/>
      </w:r>
      <w:r>
        <w:rPr>
          <w:rFonts w:cs="Times New Roman"/>
        </w:rPr>
        <w:t>（二）促进县域重点平台产城融合发展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_Toc107764555 \h </w:instrText>
      </w:r>
      <w:r>
        <w:rPr>
          <w:rFonts w:asciiTheme="minorHAnsi" w:hAnsiTheme="minorHAnsi"/>
        </w:rPr>
        <w:fldChar w:fldCharType="separate"/>
      </w:r>
      <w:r>
        <w:rPr>
          <w:rFonts w:asciiTheme="minorHAnsi" w:hAnsiTheme="minorHAnsi"/>
        </w:rPr>
        <w:t>79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"_Toc107764556" </w:instrText>
      </w:r>
      <w:r>
        <w:fldChar w:fldCharType="separate"/>
      </w:r>
      <w:r>
        <w:rPr>
          <w:rFonts w:cs="Times New Roman"/>
        </w:rPr>
        <w:t>（三）合理引导乡镇住房发展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_Toc107764556 \h </w:instrText>
      </w:r>
      <w:r>
        <w:rPr>
          <w:rFonts w:asciiTheme="minorHAnsi" w:hAnsiTheme="minorHAnsi"/>
        </w:rPr>
        <w:fldChar w:fldCharType="separate"/>
      </w:r>
      <w:r>
        <w:rPr>
          <w:rFonts w:asciiTheme="minorHAnsi" w:hAnsiTheme="minorHAnsi"/>
        </w:rPr>
        <w:t>79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"_Toc107764557" </w:instrText>
      </w:r>
      <w:r>
        <w:fldChar w:fldCharType="separate"/>
      </w:r>
      <w:r>
        <w:rPr>
          <w:rFonts w:eastAsia="黑体" w:cs="Times New Roman"/>
          <w:b/>
          <w:sz w:val="32"/>
        </w:rPr>
        <w:t>三、促进房地产市场健康发展</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_Toc107764557 \h </w:instrText>
      </w:r>
      <w:r>
        <w:rPr>
          <w:rFonts w:eastAsia="黑体" w:asciiTheme="minorHAnsi" w:hAnsiTheme="minorHAnsi"/>
          <w:b/>
          <w:sz w:val="32"/>
        </w:rPr>
        <w:fldChar w:fldCharType="separate"/>
      </w:r>
      <w:r>
        <w:rPr>
          <w:rFonts w:eastAsia="黑体" w:asciiTheme="minorHAnsi" w:hAnsiTheme="minorHAnsi"/>
          <w:b/>
          <w:sz w:val="32"/>
        </w:rPr>
        <w:t>80</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"_Toc107764558" </w:instrText>
      </w:r>
      <w:r>
        <w:fldChar w:fldCharType="separate"/>
      </w:r>
      <w:r>
        <w:rPr>
          <w:rFonts w:cs="Times New Roman"/>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_Toc107764558 \h </w:instrText>
      </w:r>
      <w:r>
        <w:rPr>
          <w:rFonts w:asciiTheme="minorHAnsi" w:hAnsiTheme="minorHAnsi"/>
        </w:rPr>
        <w:fldChar w:fldCharType="separate"/>
      </w:r>
      <w:r>
        <w:rPr>
          <w:rFonts w:asciiTheme="minorHAnsi" w:hAnsiTheme="minorHAnsi"/>
        </w:rPr>
        <w:t>80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"_Toc107764559" </w:instrText>
      </w:r>
      <w:r>
        <w:fldChar w:fldCharType="separate"/>
      </w:r>
      <w:r>
        <w:rPr>
          <w:rFonts w:cs="Times New Roman"/>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_Toc107764559 \h </w:instrText>
      </w:r>
      <w:r>
        <w:rPr>
          <w:rFonts w:asciiTheme="minorHAnsi" w:hAnsiTheme="minorHAnsi"/>
        </w:rPr>
        <w:fldChar w:fldCharType="separate"/>
      </w:r>
      <w:r>
        <w:rPr>
          <w:rFonts w:asciiTheme="minorHAnsi" w:hAnsiTheme="minorHAnsi"/>
        </w:rPr>
        <w:t>81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"_Toc107764560" </w:instrText>
      </w:r>
      <w:r>
        <w:fldChar w:fldCharType="separate"/>
      </w:r>
      <w:r>
        <w:rPr>
          <w:rFonts w:cs="Times New Roman"/>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_Toc107764560 \h </w:instrText>
      </w:r>
      <w:r>
        <w:rPr>
          <w:rFonts w:asciiTheme="minorHAnsi" w:hAnsiTheme="minorHAnsi"/>
        </w:rPr>
        <w:fldChar w:fldCharType="separate"/>
      </w:r>
      <w:r>
        <w:rPr>
          <w:rFonts w:asciiTheme="minorHAnsi" w:hAnsiTheme="minorHAnsi"/>
        </w:rPr>
        <w:t>81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"_Toc107764561" </w:instrText>
      </w:r>
      <w:r>
        <w:fldChar w:fldCharType="separate"/>
      </w:r>
      <w:r>
        <w:rPr>
          <w:rFonts w:eastAsia="黑体" w:cs="Times New Roman"/>
          <w:b/>
          <w:sz w:val="32"/>
        </w:rPr>
        <w:t>四、稳步提升住房保障水平</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_Toc107764561 \h </w:instrText>
      </w:r>
      <w:r>
        <w:rPr>
          <w:rFonts w:eastAsia="黑体" w:asciiTheme="minorHAnsi" w:hAnsiTheme="minorHAnsi"/>
          <w:b/>
          <w:sz w:val="32"/>
        </w:rPr>
        <w:fldChar w:fldCharType="separate"/>
      </w:r>
      <w:r>
        <w:rPr>
          <w:rFonts w:eastAsia="黑体" w:asciiTheme="minorHAnsi" w:hAnsiTheme="minorHAnsi"/>
          <w:b/>
          <w:sz w:val="32"/>
        </w:rPr>
        <w:t>82</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"_Toc107764562" </w:instrText>
      </w:r>
      <w:r>
        <w:fldChar w:fldCharType="separate"/>
      </w:r>
      <w:r>
        <w:rPr>
          <w:rFonts w:cs="Times New Roman"/>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_Toc107764562 \h </w:instrText>
      </w:r>
      <w:r>
        <w:rPr>
          <w:rFonts w:asciiTheme="minorHAnsi" w:hAnsiTheme="minorHAnsi"/>
        </w:rPr>
        <w:fldChar w:fldCharType="separate"/>
      </w:r>
      <w:r>
        <w:rPr>
          <w:rFonts w:asciiTheme="minorHAnsi" w:hAnsiTheme="minorHAnsi"/>
        </w:rPr>
        <w:t>82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"_Toc107764563" </w:instrText>
      </w:r>
      <w:r>
        <w:fldChar w:fldCharType="separate"/>
      </w:r>
      <w:r>
        <w:rPr>
          <w:rFonts w:cs="Times New Roman"/>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_Toc107764563 \h </w:instrText>
      </w:r>
      <w:r>
        <w:rPr>
          <w:rFonts w:asciiTheme="minorHAnsi" w:hAnsiTheme="minorHAnsi"/>
        </w:rPr>
        <w:fldChar w:fldCharType="separate"/>
      </w:r>
      <w:r>
        <w:rPr>
          <w:rFonts w:asciiTheme="minorHAnsi" w:hAnsiTheme="minorHAnsi"/>
        </w:rPr>
        <w:t>83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"_Toc107764564" </w:instrText>
      </w:r>
      <w:r>
        <w:fldChar w:fldCharType="separate"/>
      </w:r>
      <w:r>
        <w:rPr>
          <w:rFonts w:cs="Times New Roman"/>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_Toc107764564 \h </w:instrText>
      </w:r>
      <w:r>
        <w:rPr>
          <w:rFonts w:asciiTheme="minorHAnsi" w:hAnsiTheme="minorHAnsi"/>
        </w:rPr>
        <w:fldChar w:fldCharType="separate"/>
      </w:r>
      <w:r>
        <w:rPr>
          <w:rFonts w:asciiTheme="minorHAnsi" w:hAnsiTheme="minorHAnsi"/>
        </w:rPr>
        <w:t>83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"_Toc107764565" </w:instrText>
      </w:r>
      <w:r>
        <w:fldChar w:fldCharType="separate"/>
      </w:r>
      <w:r>
        <w:rPr>
          <w:rFonts w:cs="Times New Roman"/>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_Toc107764565 \h </w:instrText>
      </w:r>
      <w:r>
        <w:rPr>
          <w:rFonts w:asciiTheme="minorHAnsi" w:hAnsiTheme="minorHAnsi"/>
        </w:rPr>
        <w:fldChar w:fldCharType="separate"/>
      </w:r>
      <w:r>
        <w:rPr>
          <w:rFonts w:asciiTheme="minorHAnsi" w:hAnsiTheme="minorHAnsi"/>
        </w:rPr>
        <w:t>84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"_Toc107764566" </w:instrText>
      </w:r>
      <w:r>
        <w:fldChar w:fldCharType="separate"/>
      </w:r>
      <w:r>
        <w:rPr>
          <w:rFonts w:eastAsia="黑体" w:cs="Times New Roman"/>
          <w:b/>
          <w:sz w:val="32"/>
        </w:rPr>
        <w:t>五、全面提升居住品质</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_Toc107764566 \h </w:instrText>
      </w:r>
      <w:r>
        <w:rPr>
          <w:rFonts w:eastAsia="黑体" w:asciiTheme="minorHAnsi" w:hAnsiTheme="minorHAnsi"/>
          <w:b/>
          <w:sz w:val="32"/>
        </w:rPr>
        <w:fldChar w:fldCharType="separate"/>
      </w:r>
      <w:r>
        <w:rPr>
          <w:rFonts w:eastAsia="黑体" w:asciiTheme="minorHAnsi" w:hAnsiTheme="minorHAnsi"/>
          <w:b/>
          <w:sz w:val="32"/>
        </w:rPr>
        <w:t>84</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"_Toc107764567" </w:instrText>
      </w:r>
      <w:r>
        <w:fldChar w:fldCharType="separate"/>
      </w:r>
      <w:r>
        <w:rPr>
          <w:rFonts w:cs="Times New Roman"/>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_Toc107764567 \h </w:instrText>
      </w:r>
      <w:r>
        <w:rPr>
          <w:rFonts w:asciiTheme="minorHAnsi" w:hAnsiTheme="minorHAnsi"/>
        </w:rPr>
        <w:fldChar w:fldCharType="separate"/>
      </w:r>
      <w:r>
        <w:rPr>
          <w:rFonts w:asciiTheme="minorHAnsi" w:hAnsiTheme="minorHAnsi"/>
        </w:rPr>
        <w:t>84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"_Toc107764568" </w:instrText>
      </w:r>
      <w:r>
        <w:fldChar w:fldCharType="separate"/>
      </w:r>
      <w:r>
        <w:rPr>
          <w:rFonts w:cs="Times New Roman"/>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_Toc107764568 \h </w:instrText>
      </w:r>
      <w:r>
        <w:rPr>
          <w:rFonts w:asciiTheme="minorHAnsi" w:hAnsiTheme="minorHAnsi"/>
        </w:rPr>
        <w:fldChar w:fldCharType="separate"/>
      </w:r>
      <w:r>
        <w:rPr>
          <w:rFonts w:asciiTheme="minorHAnsi" w:hAnsiTheme="minorHAnsi"/>
        </w:rPr>
        <w:t>86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"_Toc107764569" </w:instrText>
      </w:r>
      <w:r>
        <w:fldChar w:fldCharType="separate"/>
      </w:r>
      <w:r>
        <w:rPr>
          <w:rFonts w:cs="Times New Roman"/>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_Toc107764569 \h </w:instrText>
      </w:r>
      <w:r>
        <w:rPr>
          <w:rFonts w:asciiTheme="minorHAnsi" w:hAnsiTheme="minorHAnsi"/>
        </w:rPr>
        <w:fldChar w:fldCharType="separate"/>
      </w:r>
      <w:r>
        <w:rPr>
          <w:rFonts w:asciiTheme="minorHAnsi" w:hAnsiTheme="minorHAnsi"/>
        </w:rPr>
        <w:t>86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"_Toc107764570" </w:instrText>
      </w:r>
      <w:r>
        <w:fldChar w:fldCharType="separate"/>
      </w:r>
      <w:r>
        <w:rPr>
          <w:rFonts w:eastAsia="黑体" w:cs="Times New Roman"/>
          <w:b/>
          <w:sz w:val="32"/>
        </w:rPr>
        <w:t>六、保障措施</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_Toc107764570 \h </w:instrText>
      </w:r>
      <w:r>
        <w:rPr>
          <w:rFonts w:eastAsia="黑体" w:asciiTheme="minorHAnsi" w:hAnsiTheme="minorHAnsi"/>
          <w:b/>
          <w:sz w:val="32"/>
        </w:rPr>
        <w:fldChar w:fldCharType="separate"/>
      </w:r>
      <w:r>
        <w:rPr>
          <w:rFonts w:eastAsia="黑体" w:asciiTheme="minorHAnsi" w:hAnsiTheme="minorHAnsi"/>
          <w:b/>
          <w:sz w:val="32"/>
        </w:rPr>
        <w:t>87</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"_Toc107764571" </w:instrText>
      </w:r>
      <w:r>
        <w:fldChar w:fldCharType="separate"/>
      </w:r>
      <w:r>
        <w:rPr>
          <w:rFonts w:cs="Times New Roman"/>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_Toc107764571 \h </w:instrText>
      </w:r>
      <w:r>
        <w:rPr>
          <w:rFonts w:asciiTheme="minorHAnsi" w:hAnsiTheme="minorHAnsi"/>
        </w:rPr>
        <w:fldChar w:fldCharType="separate"/>
      </w:r>
      <w:r>
        <w:rPr>
          <w:rFonts w:asciiTheme="minorHAnsi" w:hAnsiTheme="minorHAnsi"/>
        </w:rPr>
        <w:t>87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"_Toc107764572" </w:instrText>
      </w:r>
      <w:r>
        <w:fldChar w:fldCharType="separate"/>
      </w:r>
      <w:r>
        <w:rPr>
          <w:rFonts w:cs="Times New Roman"/>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_Toc107764572 \h </w:instrText>
      </w:r>
      <w:r>
        <w:rPr>
          <w:rFonts w:asciiTheme="minorHAnsi" w:hAnsiTheme="minorHAnsi"/>
        </w:rPr>
        <w:fldChar w:fldCharType="separate"/>
      </w:r>
      <w:r>
        <w:rPr>
          <w:rFonts w:asciiTheme="minorHAnsi" w:hAnsiTheme="minorHAnsi"/>
        </w:rPr>
        <w:t>87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"_Toc107764573" </w:instrText>
      </w:r>
      <w:r>
        <w:fldChar w:fldCharType="separate"/>
      </w:r>
      <w:r>
        <w:rPr>
          <w:rFonts w:cs="Times New Roman"/>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_Toc107764573 \h </w:instrText>
      </w:r>
      <w:r>
        <w:rPr>
          <w:rFonts w:asciiTheme="minorHAnsi" w:hAnsiTheme="minorHAnsi"/>
        </w:rPr>
        <w:fldChar w:fldCharType="separate"/>
      </w:r>
      <w:r>
        <w:rPr>
          <w:rFonts w:asciiTheme="minorHAnsi" w:hAnsiTheme="minorHAnsi"/>
        </w:rPr>
        <w:t>88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"_Toc107764574" </w:instrText>
      </w:r>
      <w:r>
        <w:fldChar w:fldCharType="separate"/>
      </w:r>
      <w:r>
        <w:rPr>
          <w:rFonts w:cs="Times New Roman"/>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_Toc107764574 \h </w:instrText>
      </w:r>
      <w:r>
        <w:rPr>
          <w:rFonts w:asciiTheme="minorHAnsi" w:hAnsiTheme="minorHAnsi"/>
        </w:rPr>
        <w:fldChar w:fldCharType="separate"/>
      </w:r>
      <w:r>
        <w:rPr>
          <w:rFonts w:asciiTheme="minorHAnsi" w:hAnsiTheme="minorHAnsi"/>
        </w:rPr>
        <w:t>88</w:t>
      </w:r>
      <w:r>
        <w:rPr>
          <w:rFonts w:asciiTheme="minorHAnsi" w:hAnsiTheme="minorHAnsi"/>
        </w:rPr>
        <w:fldChar w:fldCharType="end"/>
      </w:r>
      <w:r>
        <w:rPr>
          <w:rFonts w:asciiTheme="minorHAnsi" w:hAnsiTheme="minorHAnsi"/>
        </w:rPr>
        <w:fldChar w:fldCharType="end"/>
      </w:r>
    </w:p>
    <w:p>
      <w:pPr>
        <w:spacing w:before="312" w:beforeLines="100" w:after="312" w:afterLines="100"/>
        <w:ind w:firstLine="0" w:firstLineChars="0"/>
        <w:outlineLvl w:val="0"/>
        <w:rPr>
          <w:rFonts w:eastAsia="黑体" w:cs="Times New Roman"/>
          <w:b/>
          <w:sz w:val="32"/>
        </w:rPr>
        <w:sectPr>
          <w:headerReference r:id="rId38" w:type="default"/>
          <w:footerReference r:id="rId39" w:type="default"/>
          <w:pgSz w:w="11906" w:h="16838"/>
          <w:pgMar w:top="1440" w:right="1800" w:bottom="1440" w:left="1800" w:header="851" w:footer="992" w:gutter="0"/>
          <w:cols w:space="425" w:num="1"/>
          <w:docGrid w:type="lines" w:linePitch="312" w:charSpace="0"/>
        </w:sectPr>
      </w:pPr>
      <w:r>
        <w:rPr>
          <w:rFonts w:eastAsia="黑体" w:cs="Times New Roman"/>
          <w:b/>
          <w:sz w:val="32"/>
        </w:rPr>
        <w:fldChar w:fldCharType="end"/>
      </w:r>
    </w:p>
    <w:p>
      <w:pPr>
        <w:spacing w:before="312" w:beforeLines="100" w:after="312" w:afterLines="100"/>
        <w:ind w:firstLine="0" w:firstLineChars="0"/>
        <w:outlineLvl w:val="0"/>
        <w:rPr>
          <w:rFonts w:eastAsia="黑体" w:cs="Times New Roman"/>
          <w:sz w:val="32"/>
        </w:rPr>
      </w:pPr>
    </w:p>
    <w:p>
      <w:pPr>
        <w:spacing w:before="312" w:beforeLines="100" w:after="312" w:afterLines="100"/>
        <w:ind w:firstLine="0" w:firstLineChars="0"/>
        <w:jc w:val="center"/>
        <w:outlineLvl w:val="0"/>
        <w:rPr>
          <w:rFonts w:eastAsia="黑体" w:cs="Times New Roman"/>
          <w:sz w:val="32"/>
        </w:rPr>
      </w:pPr>
      <w:bookmarkStart w:id="218" w:name="_Toc107764548"/>
      <w:r>
        <w:rPr>
          <w:rFonts w:eastAsia="黑体" w:cs="Times New Roman"/>
          <w:sz w:val="32"/>
        </w:rPr>
        <w:t>前 言</w:t>
      </w:r>
      <w:bookmarkEnd w:id="218"/>
    </w:p>
    <w:p>
      <w:pPr>
        <w:ind w:firstLine="560"/>
        <w:rPr>
          <w:rFonts w:cs="Times New Roman"/>
        </w:rPr>
      </w:pPr>
      <w:r>
        <w:rPr>
          <w:rFonts w:cs="Times New Roman"/>
        </w:rPr>
        <w:t>《湛江市“十四五”住房发展规划》阐明了“十四五”期间全市住房发展的指导思想和发展目标、空间布局、主要任务和保障措施。为了深入推进“一城一策”，结合徐闻县实际，制定了《分册三：徐闻县“十四五”住房发展规划》。该分册在《湛江市“十四五”住房发展规划》的基础上，进一步明确“十四五”时期徐闻县住房发展总体目标、年度目标和空间布局等内容，旨在促进湛江市住房发展规划在县（市、区）层面落实。</w:t>
      </w:r>
      <w:r>
        <w:rPr>
          <w:rFonts w:cs="Times New Roman"/>
        </w:rPr>
        <w:br w:type="page"/>
      </w:r>
    </w:p>
    <w:p>
      <w:pPr>
        <w:spacing w:before="312" w:beforeLines="100" w:after="312" w:afterLines="100"/>
        <w:ind w:firstLine="640"/>
        <w:outlineLvl w:val="0"/>
        <w:rPr>
          <w:rFonts w:eastAsia="黑体" w:cs="Times New Roman"/>
          <w:sz w:val="32"/>
        </w:rPr>
      </w:pPr>
      <w:bookmarkStart w:id="219" w:name="_Toc107764549"/>
      <w:r>
        <w:rPr>
          <w:rFonts w:eastAsia="黑体" w:cs="Times New Roman"/>
          <w:sz w:val="32"/>
        </w:rPr>
        <w:t>一、指导思想和发展目标</w:t>
      </w:r>
      <w:bookmarkEnd w:id="219"/>
    </w:p>
    <w:p>
      <w:pPr>
        <w:spacing w:before="312" w:beforeLines="100" w:after="312" w:afterLines="100"/>
        <w:ind w:firstLine="562"/>
        <w:outlineLvl w:val="1"/>
        <w:rPr>
          <w:rFonts w:cs="Times New Roman"/>
          <w:b/>
        </w:rPr>
      </w:pPr>
      <w:bookmarkStart w:id="220" w:name="_Toc107764550"/>
      <w:r>
        <w:rPr>
          <w:rFonts w:cs="Times New Roman"/>
          <w:b/>
        </w:rPr>
        <w:t>（一）指导思想</w:t>
      </w:r>
      <w:bookmarkEnd w:id="220"/>
    </w:p>
    <w:p>
      <w:pPr>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促进住房与经济社会协同发展。</w:t>
      </w:r>
    </w:p>
    <w:p>
      <w:pPr>
        <w:spacing w:before="312" w:beforeLines="100" w:after="312" w:afterLines="100"/>
        <w:ind w:firstLine="562"/>
        <w:outlineLvl w:val="1"/>
        <w:rPr>
          <w:rFonts w:cs="Times New Roman"/>
          <w:b/>
        </w:rPr>
      </w:pPr>
      <w:bookmarkStart w:id="221" w:name="_Toc107764551"/>
      <w:r>
        <w:rPr>
          <w:rFonts w:cs="Times New Roman"/>
          <w:b/>
        </w:rPr>
        <w:t>（二）基本原则</w:t>
      </w:r>
      <w:bookmarkEnd w:id="221"/>
    </w:p>
    <w:p>
      <w:pPr>
        <w:ind w:firstLine="562"/>
        <w:rPr>
          <w:rFonts w:cs="Times New Roman"/>
          <w:b/>
          <w:bCs/>
        </w:rPr>
      </w:pPr>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ind w:firstLine="562"/>
        <w:rPr>
          <w:rFonts w:cs="Times New Roman"/>
          <w:b/>
          <w:bCs/>
        </w:rPr>
      </w:pPr>
      <w:r>
        <w:rPr>
          <w:rFonts w:cs="Times New Roman"/>
          <w:b/>
          <w:bCs/>
        </w:rPr>
        <w:t>2.坚持系统观念、创新发展原则。</w:t>
      </w:r>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rPr>
          <w:rFonts w:cs="Times New Roman"/>
          <w:b/>
          <w:bCs/>
        </w:rPr>
      </w:pPr>
      <w:r>
        <w:rPr>
          <w:rFonts w:cs="Times New Roman"/>
          <w:b/>
          <w:bCs/>
        </w:rPr>
        <w:t>3.坚持政府引导，市场配置原则。</w:t>
      </w:r>
    </w:p>
    <w:p>
      <w:pPr>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ind w:firstLine="562"/>
        <w:rPr>
          <w:rFonts w:cs="Times New Roman"/>
          <w:b/>
          <w:bCs/>
        </w:rPr>
      </w:pPr>
      <w:r>
        <w:rPr>
          <w:rFonts w:cs="Times New Roman"/>
          <w:b/>
          <w:bCs/>
        </w:rPr>
        <w:t>4.坚持因城施策、特色发展原则。</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充分考虑地区发展的差异性，因地制宜促进房地产市场平稳健康发展，充分发挥住房发展对于实体经济的支撑作用，促进地方经济、产业发展和特色旅游资源开发。</w:t>
      </w:r>
    </w:p>
    <w:p>
      <w:pPr>
        <w:spacing w:before="312" w:beforeLines="100" w:after="312" w:afterLines="100"/>
        <w:ind w:firstLine="562"/>
        <w:outlineLvl w:val="1"/>
        <w:rPr>
          <w:rFonts w:cs="Times New Roman"/>
          <w:b/>
        </w:rPr>
      </w:pPr>
      <w:bookmarkStart w:id="222" w:name="_Toc107764552"/>
      <w:r>
        <w:rPr>
          <w:rFonts w:cs="Times New Roman"/>
          <w:b/>
        </w:rPr>
        <w:t>（三）住房目标</w:t>
      </w:r>
      <w:bookmarkEnd w:id="222"/>
    </w:p>
    <w:p>
      <w:pPr>
        <w:spacing w:before="156" w:beforeLines="50" w:line="360" w:lineRule="auto"/>
        <w:ind w:firstLine="562"/>
        <w:rPr>
          <w:rFonts w:cs="Times New Roman"/>
        </w:rPr>
      </w:pPr>
      <w:r>
        <w:rPr>
          <w:rFonts w:cs="Times New Roman"/>
          <w:b/>
          <w:bCs/>
        </w:rPr>
        <w:t>1、总体目标</w:t>
      </w:r>
    </w:p>
    <w:p>
      <w:pPr>
        <w:spacing w:line="360" w:lineRule="auto"/>
        <w:ind w:firstLine="560"/>
        <w:rPr>
          <w:rFonts w:cs="Times New Roman"/>
        </w:rPr>
      </w:pPr>
      <w:r>
        <w:rPr>
          <w:rFonts w:cs="Times New Roman"/>
        </w:rPr>
        <w:t>“十四五”期间，稳步增加住房供给，规划新增供应新建商品住房25000-37000套；不断提升住房保障水平，规划新增筹建公共租赁住房不低于100套，新增发放租赁补贴家庭不低于160户，探索发展人才公寓、保障性租赁住房和共有产权住房，不断建立健全多层次、高品质的现代化住房供给体系，支持徐闻县高标准建设广东对接服务海南自贸港的门户城市，奋力当好湛江与海南相向而行的排头兵，促进广东·海南（徐闻）特别合作区建设。</w:t>
      </w:r>
    </w:p>
    <w:p>
      <w:pPr>
        <w:spacing w:line="360" w:lineRule="auto"/>
        <w:ind w:firstLine="560"/>
        <w:jc w:val="center"/>
        <w:rPr>
          <w:rFonts w:eastAsia="黑体" w:cs="Times New Roman"/>
        </w:rPr>
      </w:pPr>
      <w:r>
        <w:rPr>
          <w:rFonts w:eastAsia="黑体" w:cs="Times New Roman"/>
        </w:rPr>
        <w:br w:type="page"/>
      </w:r>
    </w:p>
    <w:p>
      <w:pPr>
        <w:spacing w:line="360" w:lineRule="auto"/>
        <w:ind w:firstLine="0" w:firstLineChars="0"/>
        <w:jc w:val="center"/>
        <w:rPr>
          <w:rFonts w:eastAsia="黑体" w:cs="Times New Roman"/>
        </w:rPr>
      </w:pPr>
      <w:r>
        <w:rPr>
          <w:rFonts w:eastAsia="黑体" w:cs="Times New Roman"/>
        </w:rPr>
        <w:t>表1 “十四五”徐闻县住房发展规模目标表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徐闻县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bl>
    <w:p>
      <w:pPr>
        <w:ind w:firstLine="0" w:firstLineChars="0"/>
        <w:jc w:val="left"/>
        <w:rPr>
          <w:rFonts w:cs="Times New Roman"/>
          <w:sz w:val="24"/>
        </w:rPr>
      </w:pPr>
      <w:r>
        <w:rPr>
          <w:rFonts w:cs="Times New Roman"/>
          <w:sz w:val="24"/>
        </w:rPr>
        <w:t xml:space="preserve">注： </w:t>
      </w:r>
    </w:p>
    <w:p>
      <w:pPr>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ind w:firstLine="0" w:firstLineChars="0"/>
        <w:rPr>
          <w:rFonts w:eastAsia="黑体" w:cs="Times New Roman"/>
        </w:rPr>
      </w:pPr>
      <w:r>
        <w:rPr>
          <w:rFonts w:cs="Times New Roman"/>
          <w:sz w:val="24"/>
          <w:szCs w:val="24"/>
        </w:rPr>
        <w:t>3.保障性租赁住房包括符合条件的人才公寓。</w:t>
      </w:r>
    </w:p>
    <w:p>
      <w:pPr>
        <w:spacing w:before="156" w:beforeLines="50" w:line="360" w:lineRule="auto"/>
        <w:ind w:firstLine="562"/>
        <w:rPr>
          <w:rFonts w:cs="Times New Roman"/>
          <w:b/>
          <w:bCs/>
        </w:rPr>
      </w:pPr>
      <w:r>
        <w:rPr>
          <w:rFonts w:cs="Times New Roman"/>
          <w:b/>
          <w:bCs/>
        </w:rPr>
        <w:t>2、年度目标：</w:t>
      </w:r>
    </w:p>
    <w:p>
      <w:pPr>
        <w:spacing w:line="360" w:lineRule="auto"/>
        <w:ind w:firstLine="560"/>
        <w:rPr>
          <w:rFonts w:cs="Times New Roman"/>
        </w:rPr>
      </w:pPr>
      <w:r>
        <w:rPr>
          <w:rFonts w:cs="Times New Roman"/>
        </w:rPr>
        <w:t>为了落实“十四五”徐闻县住房发展目标，规划将目标分解至各年度：</w:t>
      </w:r>
    </w:p>
    <w:p>
      <w:pPr>
        <w:spacing w:line="360" w:lineRule="auto"/>
        <w:ind w:firstLine="0" w:firstLineChars="0"/>
        <w:jc w:val="center"/>
        <w:rPr>
          <w:rFonts w:eastAsia="黑体" w:cs="Times New Roman"/>
        </w:rPr>
      </w:pPr>
      <w:r>
        <w:rPr>
          <w:rFonts w:eastAsia="黑体" w:cs="Times New Roman"/>
        </w:rPr>
        <w:t>“十四五”徐闻县住房发展年度计划表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bl>
    <w:p>
      <w:pPr>
        <w:ind w:firstLine="0" w:firstLineChars="0"/>
        <w:jc w:val="left"/>
        <w:rPr>
          <w:rFonts w:cs="Times New Roman"/>
          <w:sz w:val="24"/>
        </w:rPr>
      </w:pPr>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ind w:firstLine="0" w:firstLineChars="0"/>
        <w:rPr>
          <w:rFonts w:cs="Times New Roman"/>
          <w:highlight w:val="yellow"/>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p>
    <w:p>
      <w:pPr>
        <w:spacing w:before="312" w:beforeLines="100" w:after="312" w:afterLines="100"/>
        <w:ind w:firstLine="640"/>
        <w:outlineLvl w:val="0"/>
        <w:rPr>
          <w:rFonts w:eastAsia="黑体" w:cs="Times New Roman"/>
          <w:sz w:val="32"/>
        </w:rPr>
      </w:pPr>
      <w:bookmarkStart w:id="223" w:name="_Toc107764553"/>
      <w:r>
        <w:rPr>
          <w:rFonts w:eastAsia="黑体" w:cs="Times New Roman"/>
          <w:sz w:val="32"/>
        </w:rPr>
        <w:t>二、构建合理住房空间布局</w:t>
      </w:r>
      <w:bookmarkEnd w:id="223"/>
    </w:p>
    <w:p>
      <w:pPr>
        <w:spacing w:before="312" w:beforeLines="100" w:after="312" w:afterLines="100"/>
        <w:ind w:left="562" w:firstLine="0" w:firstLineChars="0"/>
        <w:outlineLvl w:val="1"/>
        <w:rPr>
          <w:rFonts w:cs="Times New Roman"/>
          <w:b/>
        </w:rPr>
      </w:pPr>
      <w:bookmarkStart w:id="224" w:name="_Toc107764554"/>
      <w:r>
        <w:rPr>
          <w:rFonts w:cs="Times New Roman"/>
          <w:b/>
        </w:rPr>
        <w:t>（一）全面提升县城综合服务能力</w:t>
      </w:r>
      <w:bookmarkEnd w:id="224"/>
    </w:p>
    <w:p>
      <w:pPr>
        <w:ind w:firstLine="560"/>
        <w:rPr>
          <w:rFonts w:cs="Times New Roman"/>
        </w:rPr>
      </w:pPr>
      <w:r>
        <w:rPr>
          <w:rFonts w:cs="Times New Roman"/>
        </w:rPr>
        <w:t>以做大做强“港-城-园”三位一体的徐闻中心城区为空间发展目标，加快老城区城市更新速度，促进城市空间提质升级和向南拓展，与海安镇发展形成联动，以需定供，发挥好房地产开发对城镇建设的带动作用，加快县城、特大镇公共设施补短板，全面提升城镇建设和社区服务水平，将县城打造成为服务县域农民的重要阵地和扩大内需的重要支撑点，引导农村转移人口有序向县城集聚。</w:t>
      </w:r>
    </w:p>
    <w:p>
      <w:pPr>
        <w:spacing w:before="312" w:beforeLines="100" w:after="312" w:afterLines="100"/>
        <w:ind w:left="562" w:firstLine="0" w:firstLineChars="0"/>
        <w:outlineLvl w:val="1"/>
        <w:rPr>
          <w:rFonts w:cs="Times New Roman"/>
          <w:b/>
        </w:rPr>
      </w:pPr>
      <w:bookmarkStart w:id="225" w:name="_Toc107764555"/>
      <w:r>
        <w:rPr>
          <w:rFonts w:cs="Times New Roman"/>
          <w:b/>
        </w:rPr>
        <w:t>（二）促进县域重点平台产城融合发展</w:t>
      </w:r>
      <w:bookmarkEnd w:id="225"/>
    </w:p>
    <w:p>
      <w:pPr>
        <w:ind w:firstLine="560"/>
        <w:rPr>
          <w:rFonts w:cs="Times New Roman"/>
        </w:rPr>
      </w:pPr>
      <w:r>
        <w:rPr>
          <w:rFonts w:cs="Times New Roman"/>
        </w:rPr>
        <w:t xml:space="preserve">完善粤海合作临港产业园、徐闻生态工业集聚区的居住生活配套，以需定供，增加宿舍、人才住房等产业配套住房，促进产城融合发展；依托滨海优质资源，重点发展海安滨海居住和休闲旅游组团、“三湾两角”南方冬休度假养生组团；以角尾乡南极村为重要支点，加大文旅、康养项目引进和投资力度，开发多样化的康养、休闲居住产品，完善旅游公路和餐饮、体验、服务等配套，打造国际级旅游度假胜地和市域文化旅游副中心。 </w:t>
      </w:r>
    </w:p>
    <w:p>
      <w:pPr>
        <w:spacing w:before="312" w:beforeLines="100" w:after="312" w:afterLines="100"/>
        <w:ind w:left="562" w:firstLine="0" w:firstLineChars="0"/>
        <w:outlineLvl w:val="1"/>
        <w:rPr>
          <w:rFonts w:cs="Times New Roman"/>
          <w:b/>
        </w:rPr>
      </w:pPr>
      <w:bookmarkStart w:id="226" w:name="_Toc107764556"/>
      <w:r>
        <w:rPr>
          <w:rFonts w:cs="Times New Roman"/>
          <w:b/>
        </w:rPr>
        <w:t>（三）合理引导乡镇住房发展</w:t>
      </w:r>
      <w:bookmarkEnd w:id="226"/>
    </w:p>
    <w:p>
      <w:pPr>
        <w:ind w:firstLine="560"/>
        <w:rPr>
          <w:rFonts w:cs="Times New Roman"/>
        </w:rPr>
      </w:pPr>
      <w:r>
        <w:rPr>
          <w:rFonts w:cs="Times New Roman"/>
        </w:rPr>
        <w:t>支持下桥、曲界镇发展壮大镇域经济，以需定供，增加住房供给，打造成为县域发展的重要支撑和城乡融合示范区；控制一般乡镇和农村地区新增住房供给，引导居民向县城聚集。培育发展以现代农业、观光旅游、电商等产业为基础的特色小镇，促进“一二三产”融合，避免特色小镇房地产化。</w:t>
      </w:r>
    </w:p>
    <w:p>
      <w:pPr>
        <w:spacing w:before="312" w:beforeLines="100" w:after="312" w:afterLines="100"/>
        <w:ind w:firstLine="640"/>
        <w:outlineLvl w:val="0"/>
        <w:rPr>
          <w:rFonts w:eastAsia="黑体" w:cs="Times New Roman"/>
          <w:sz w:val="32"/>
        </w:rPr>
      </w:pPr>
      <w:bookmarkStart w:id="227" w:name="_Toc107764557"/>
      <w:r>
        <w:rPr>
          <w:rFonts w:eastAsia="黑体" w:cs="Times New Roman"/>
          <w:sz w:val="32"/>
        </w:rPr>
        <w:t>三、促进房地产市场健康发展</w:t>
      </w:r>
      <w:bookmarkEnd w:id="227"/>
    </w:p>
    <w:p>
      <w:pPr>
        <w:spacing w:before="312" w:beforeLines="100" w:after="312" w:afterLines="100"/>
        <w:ind w:left="562" w:firstLine="0" w:firstLineChars="0"/>
        <w:outlineLvl w:val="1"/>
        <w:rPr>
          <w:rFonts w:cs="Times New Roman"/>
          <w:b/>
        </w:rPr>
      </w:pPr>
      <w:bookmarkStart w:id="228" w:name="_Toc107764558"/>
      <w:r>
        <w:rPr>
          <w:rFonts w:cs="Times New Roman"/>
          <w:b/>
        </w:rPr>
        <w:t>（一）健全住房梯度健康消费</w:t>
      </w:r>
      <w:bookmarkEnd w:id="228"/>
    </w:p>
    <w:p>
      <w:pPr>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312" w:beforeLines="100" w:after="312" w:afterLines="100"/>
        <w:ind w:left="562" w:firstLine="0" w:firstLineChars="0"/>
        <w:outlineLvl w:val="1"/>
        <w:rPr>
          <w:rFonts w:cs="Times New Roman"/>
          <w:b/>
        </w:rPr>
      </w:pPr>
      <w:bookmarkStart w:id="229" w:name="_Toc107764559"/>
      <w:r>
        <w:rPr>
          <w:rFonts w:cs="Times New Roman"/>
          <w:b/>
        </w:rPr>
        <w:t>（二）加强住房与土地联动</w:t>
      </w:r>
      <w:bookmarkEnd w:id="229"/>
    </w:p>
    <w:p>
      <w:pPr>
        <w:ind w:firstLine="562"/>
        <w:rPr>
          <w:rFonts w:cs="Times New Roman"/>
        </w:rPr>
      </w:pPr>
      <w:r>
        <w:rPr>
          <w:rFonts w:cs="Times New Roman"/>
          <w:b/>
          <w:bCs/>
        </w:rPr>
        <w:t>保障住宅用地供给。</w:t>
      </w:r>
      <w:r>
        <w:rPr>
          <w:rFonts w:hint="eastAsia" w:cs="Times New Roman"/>
        </w:rPr>
        <w:t>根据“十四五”期间新增筹建各类住房目标，预计需要供应住宅用地</w:t>
      </w:r>
      <w:r>
        <w:rPr>
          <w:rFonts w:cs="Times New Roman"/>
        </w:rPr>
        <w:t>87.7-129.7</w:t>
      </w:r>
      <w:r>
        <w:rPr>
          <w:rFonts w:hint="eastAsia" w:cs="Times New Roman"/>
        </w:rPr>
        <w:t>公顷</w:t>
      </w:r>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建立与人口增长相挂钩、以需求定供给、以效益定供给的城市建设用地供应机制，合理配置土地资源。根据商品住房</w:t>
      </w:r>
      <w:r>
        <w:rPr>
          <w:rFonts w:hint="eastAsia" w:cs="Times New Roman"/>
        </w:rPr>
        <w:t>库存</w:t>
      </w:r>
      <w:r>
        <w:rPr>
          <w:rFonts w:cs="Times New Roman"/>
        </w:rPr>
        <w:t>消化周期，及时调整住宅用地供应规模和节奏，保障市场供需基本平衡。加快建立住宅用地价格指数监测，创新土地供给方式，及时调节土地出让价格，以稳定市场预期，防止房价地价大起大落。</w:t>
      </w:r>
    </w:p>
    <w:p>
      <w:pPr>
        <w:spacing w:before="312" w:beforeLines="100" w:after="312" w:afterLines="100"/>
        <w:ind w:firstLine="562"/>
        <w:outlineLvl w:val="1"/>
        <w:rPr>
          <w:rFonts w:cs="Times New Roman"/>
          <w:b/>
        </w:rPr>
      </w:pPr>
      <w:bookmarkStart w:id="230" w:name="_Toc107764560"/>
      <w:r>
        <w:rPr>
          <w:rFonts w:cs="Times New Roman"/>
          <w:b/>
        </w:rPr>
        <w:t>（三）完善房地产金融政策</w:t>
      </w:r>
      <w:bookmarkEnd w:id="230"/>
    </w:p>
    <w:p>
      <w:pPr>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ind w:firstLine="562"/>
        <w:rPr>
          <w:rFonts w:cs="Times New Roman"/>
        </w:rPr>
      </w:pPr>
      <w:r>
        <w:rPr>
          <w:rFonts w:hint="eastAsia" w:cs="Times New Roman"/>
          <w:b/>
          <w:bCs/>
        </w:rPr>
        <w:t>发挥公积金对居民合理自住购房的支持作用。</w:t>
      </w:r>
      <w:r>
        <w:rPr>
          <w:rFonts w:hint="eastAsia" w:cs="Times New Roman"/>
        </w:rPr>
        <w:t>改进和完善住房公积金缴存、提取、使用与监管机制，进一步扩大住房公积金覆盖面，全力推进民营企业建立住房公积金制度，支持灵活就业人员缴存住房公积金。提高住房公积金使用效率，加大购买首套和改善性住房的住房公积金信贷支持力度；支持异地缴存住房公积金的职工，在湛江市申请住房公积金贷款购买、建造、翻建、大修自住住房；支持职工按湛江市房屋租赁部门的指导性租金标准按季度提取住房公积金支付房租。</w:t>
      </w:r>
    </w:p>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spacing w:before="312" w:beforeLines="100" w:after="312" w:afterLines="100"/>
        <w:ind w:firstLine="640"/>
        <w:outlineLvl w:val="0"/>
        <w:rPr>
          <w:rFonts w:eastAsia="黑体" w:cs="Times New Roman"/>
          <w:sz w:val="32"/>
        </w:rPr>
      </w:pPr>
      <w:bookmarkStart w:id="231" w:name="_Toc107764561"/>
      <w:r>
        <w:rPr>
          <w:rFonts w:eastAsia="黑体" w:cs="Times New Roman"/>
          <w:sz w:val="32"/>
        </w:rPr>
        <w:t>四、稳步提升住房保障水平</w:t>
      </w:r>
      <w:bookmarkEnd w:id="231"/>
    </w:p>
    <w:p>
      <w:pPr>
        <w:spacing w:before="312" w:beforeLines="100" w:after="312" w:afterLines="100"/>
        <w:ind w:firstLine="562"/>
        <w:outlineLvl w:val="1"/>
        <w:rPr>
          <w:rFonts w:cs="Times New Roman"/>
          <w:b/>
        </w:rPr>
      </w:pPr>
      <w:bookmarkStart w:id="232" w:name="_Toc107764562"/>
      <w:r>
        <w:rPr>
          <w:rFonts w:cs="Times New Roman"/>
          <w:b/>
        </w:rPr>
        <w:t>（一）加强住房基本保障</w:t>
      </w:r>
      <w:bookmarkEnd w:id="232"/>
    </w:p>
    <w:p>
      <w:pPr>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对于符合条件的生育三孩家庭、计划生育特殊家庭，同等条件下可按规定优先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w:t>
      </w:r>
      <w:r>
        <w:rPr>
          <w:rFonts w:hint="eastAsia" w:cs="Times New Roman"/>
        </w:rPr>
        <w:t>有</w:t>
      </w:r>
      <w:r>
        <w:rPr>
          <w:rFonts w:cs="Times New Roman"/>
        </w:rPr>
        <w:t>更好的服务。</w:t>
      </w:r>
    </w:p>
    <w:p>
      <w:pPr>
        <w:spacing w:before="312" w:beforeLines="100" w:after="312" w:afterLines="100"/>
        <w:ind w:firstLine="562"/>
        <w:outlineLvl w:val="1"/>
        <w:rPr>
          <w:rFonts w:cs="Times New Roman"/>
          <w:b/>
        </w:rPr>
      </w:pPr>
      <w:bookmarkStart w:id="233" w:name="_Toc107764563"/>
      <w:r>
        <w:rPr>
          <w:rFonts w:cs="Times New Roman"/>
          <w:b/>
        </w:rPr>
        <w:t>（二）推动住房保障适度普惠</w:t>
      </w:r>
      <w:bookmarkEnd w:id="233"/>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hint="eastAsia" w:cs="Times New Roman"/>
          <w:b/>
          <w:bCs/>
        </w:rPr>
        <w:t>探索发展</w:t>
      </w:r>
      <w:r>
        <w:rPr>
          <w:rFonts w:cs="Times New Roman"/>
          <w:b/>
          <w:bCs/>
        </w:rPr>
        <w:t>保障性租赁住房。</w:t>
      </w:r>
      <w:r>
        <w:rPr>
          <w:rFonts w:cs="Times New Roman"/>
        </w:rPr>
        <w:t>开展保障性租赁住房需求人群摸底，评估保障性租赁住房供给潜力，支持和引导市场主体投资保障性租赁住房，鼓励产业园区项目配套建设保障性租赁住房。保障性租赁住房以小户型住房为主，建筑面积不超过70平方米，主要面向符合条件的新市民、青年人供应，租金水平一般低于同地段、同品质的市场租赁住房租金。</w:t>
      </w:r>
    </w:p>
    <w:p>
      <w:pPr>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312" w:beforeLines="100" w:after="312" w:afterLines="100"/>
        <w:ind w:firstLine="562"/>
        <w:outlineLvl w:val="1"/>
        <w:rPr>
          <w:rFonts w:cs="Times New Roman"/>
          <w:b/>
        </w:rPr>
      </w:pPr>
      <w:bookmarkStart w:id="234" w:name="_Toc107764564"/>
      <w:r>
        <w:rPr>
          <w:rFonts w:cs="Times New Roman"/>
          <w:b/>
        </w:rPr>
        <w:t>（三）加大高层次人才安居</w:t>
      </w:r>
      <w:bookmarkEnd w:id="234"/>
    </w:p>
    <w:p>
      <w:pPr>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312" w:beforeLines="100" w:after="312" w:afterLines="100"/>
        <w:ind w:firstLine="562"/>
        <w:outlineLvl w:val="1"/>
        <w:rPr>
          <w:rFonts w:cs="Times New Roman"/>
          <w:b/>
        </w:rPr>
      </w:pPr>
      <w:bookmarkStart w:id="235" w:name="_Toc107764565"/>
      <w:r>
        <w:rPr>
          <w:rFonts w:cs="Times New Roman"/>
          <w:b/>
        </w:rPr>
        <w:t>（四）创新重点行业人员住房保障机制</w:t>
      </w:r>
      <w:bookmarkEnd w:id="235"/>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w:t>
      </w:r>
      <w:r>
        <w:rPr>
          <w:rFonts w:hint="eastAsia" w:cs="Times New Roman"/>
        </w:rPr>
        <w:t>徐闻县</w:t>
      </w:r>
      <w:r>
        <w:rPr>
          <w:rFonts w:cs="Times New Roman"/>
        </w:rPr>
        <w:t>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spacing w:before="312" w:beforeLines="100" w:after="312" w:afterLines="100"/>
        <w:ind w:firstLine="640"/>
        <w:outlineLvl w:val="0"/>
        <w:rPr>
          <w:rFonts w:eastAsia="黑体" w:cs="Times New Roman"/>
          <w:sz w:val="32"/>
        </w:rPr>
      </w:pPr>
      <w:bookmarkStart w:id="236" w:name="_Toc107764566"/>
      <w:r>
        <w:rPr>
          <w:rFonts w:eastAsia="黑体" w:cs="Times New Roman"/>
          <w:sz w:val="32"/>
        </w:rPr>
        <w:t>五、全面提升居住品质</w:t>
      </w:r>
      <w:bookmarkEnd w:id="236"/>
    </w:p>
    <w:p>
      <w:pPr>
        <w:spacing w:before="312" w:beforeLines="100" w:after="312" w:afterLines="100"/>
        <w:ind w:firstLine="562"/>
        <w:outlineLvl w:val="1"/>
        <w:rPr>
          <w:rFonts w:cs="Times New Roman"/>
          <w:b/>
        </w:rPr>
      </w:pPr>
      <w:bookmarkStart w:id="237" w:name="_Toc107764567"/>
      <w:r>
        <w:rPr>
          <w:rFonts w:cs="Times New Roman"/>
          <w:b/>
        </w:rPr>
        <w:t>（一）创建宜居活力社区</w:t>
      </w:r>
      <w:bookmarkEnd w:id="237"/>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312" w:beforeLines="100" w:after="312" w:afterLines="100"/>
        <w:ind w:firstLine="562"/>
        <w:outlineLvl w:val="1"/>
        <w:rPr>
          <w:rFonts w:cs="Times New Roman"/>
          <w:b/>
        </w:rPr>
      </w:pPr>
      <w:bookmarkStart w:id="238" w:name="_Toc107764568"/>
      <w:r>
        <w:rPr>
          <w:rFonts w:cs="Times New Roman"/>
          <w:b/>
        </w:rPr>
        <w:t>（二）建设智慧生态小区</w:t>
      </w:r>
      <w:bookmarkEnd w:id="238"/>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312" w:beforeLines="100" w:after="312" w:afterLines="100"/>
        <w:ind w:firstLine="562"/>
        <w:outlineLvl w:val="1"/>
        <w:rPr>
          <w:rFonts w:cs="Times New Roman"/>
          <w:b/>
        </w:rPr>
      </w:pPr>
      <w:bookmarkStart w:id="239" w:name="_Toc107764569"/>
      <w:r>
        <w:rPr>
          <w:rFonts w:cs="Times New Roman"/>
          <w:b/>
        </w:rPr>
        <w:t>（三）推进旅游地产转型</w:t>
      </w:r>
      <w:bookmarkEnd w:id="239"/>
    </w:p>
    <w:p>
      <w:pPr>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ind w:firstLine="562"/>
        <w:rPr>
          <w:rFonts w:cs="Times New Roman"/>
          <w:color w:val="FF0000"/>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spacing w:before="312" w:beforeLines="100" w:after="312" w:afterLines="100"/>
        <w:ind w:firstLine="640"/>
        <w:outlineLvl w:val="0"/>
        <w:rPr>
          <w:rFonts w:eastAsia="黑体" w:cs="Times New Roman"/>
          <w:sz w:val="32"/>
        </w:rPr>
      </w:pPr>
      <w:bookmarkStart w:id="240" w:name="_Toc107764570"/>
      <w:r>
        <w:rPr>
          <w:rFonts w:eastAsia="黑体" w:cs="Times New Roman"/>
          <w:sz w:val="32"/>
        </w:rPr>
        <w:t>六、保障措施</w:t>
      </w:r>
      <w:bookmarkEnd w:id="240"/>
    </w:p>
    <w:p>
      <w:pPr>
        <w:spacing w:before="312" w:beforeLines="100" w:after="312" w:afterLines="100"/>
        <w:ind w:firstLine="562"/>
        <w:outlineLvl w:val="1"/>
        <w:rPr>
          <w:rFonts w:cs="Times New Roman"/>
          <w:b/>
        </w:rPr>
      </w:pPr>
      <w:bookmarkStart w:id="241" w:name="_Toc107764571"/>
      <w:r>
        <w:rPr>
          <w:rFonts w:cs="Times New Roman"/>
          <w:b/>
        </w:rPr>
        <w:t>（一）加强组织领导</w:t>
      </w:r>
      <w:bookmarkEnd w:id="241"/>
    </w:p>
    <w:p>
      <w:pPr>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312" w:beforeLines="100" w:after="312" w:afterLines="100"/>
        <w:ind w:firstLine="562"/>
        <w:outlineLvl w:val="1"/>
        <w:rPr>
          <w:rFonts w:cs="Times New Roman"/>
          <w:b/>
        </w:rPr>
      </w:pPr>
      <w:bookmarkStart w:id="242" w:name="_Toc107764572"/>
      <w:r>
        <w:rPr>
          <w:rFonts w:cs="Times New Roman"/>
          <w:b/>
        </w:rPr>
        <w:t>（二）健全住房发展要素保障机制</w:t>
      </w:r>
      <w:bookmarkEnd w:id="242"/>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312" w:beforeLines="100" w:after="312" w:afterLines="100"/>
        <w:ind w:firstLine="562"/>
        <w:outlineLvl w:val="1"/>
        <w:rPr>
          <w:rFonts w:cs="Times New Roman"/>
          <w:b/>
        </w:rPr>
      </w:pPr>
      <w:bookmarkStart w:id="243" w:name="_Toc107764573"/>
      <w:r>
        <w:rPr>
          <w:rFonts w:cs="Times New Roman"/>
          <w:b/>
        </w:rPr>
        <w:t>（三）完善规划实施的评估机制</w:t>
      </w:r>
      <w:bookmarkEnd w:id="243"/>
    </w:p>
    <w:p>
      <w:pPr>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312" w:beforeLines="100" w:after="312" w:afterLines="100"/>
        <w:ind w:firstLine="562"/>
        <w:outlineLvl w:val="1"/>
        <w:rPr>
          <w:rFonts w:cs="Times New Roman"/>
          <w:b/>
        </w:rPr>
      </w:pPr>
      <w:bookmarkStart w:id="244" w:name="_Toc107764574"/>
      <w:r>
        <w:rPr>
          <w:rFonts w:cs="Times New Roman"/>
          <w:b/>
        </w:rPr>
        <w:t>（四）做好规划宣传引导工作</w:t>
      </w:r>
      <w:bookmarkEnd w:id="244"/>
    </w:p>
    <w:p>
      <w:pPr>
        <w:ind w:firstLine="560"/>
        <w:rPr>
          <w:rFonts w:eastAsia="黑体"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p>
      <w:pPr>
        <w:spacing w:line="320" w:lineRule="exact"/>
        <w:ind w:firstLine="0" w:firstLineChars="0"/>
        <w:rPr>
          <w:rFonts w:eastAsia="黑体" w:cs="Times New Roman"/>
        </w:rPr>
        <w:sectPr>
          <w:pgSz w:w="11906" w:h="16838"/>
          <w:pgMar w:top="1440" w:right="1800" w:bottom="1440" w:left="1800" w:header="851" w:footer="992" w:gutter="0"/>
          <w:cols w:space="425" w:num="1"/>
          <w:docGrid w:type="lines" w:linePitch="312" w:charSpace="0"/>
        </w:sectPr>
      </w:pPr>
    </w:p>
    <w:p>
      <w:pPr>
        <w:ind w:firstLine="0" w:firstLineChars="0"/>
        <w:rPr>
          <w:rFonts w:cs="Times New Roman"/>
        </w:rPr>
      </w:pPr>
    </w:p>
    <w:p>
      <w:pPr>
        <w:ind w:firstLine="0" w:firstLineChars="0"/>
        <w:rPr>
          <w:rFonts w:cs="Times New Roman"/>
        </w:rPr>
      </w:pPr>
      <w:r>
        <w:rPr>
          <w:rFonts w:cs="Times New Roman"/>
        </w:rPr>
        <w:t>分册四：</w:t>
      </w:r>
    </w:p>
    <w:p>
      <w:pPr>
        <w:ind w:firstLine="560"/>
        <w:rPr>
          <w:rFonts w:cs="Times New Roman"/>
        </w:rPr>
      </w:pPr>
    </w:p>
    <w:p>
      <w:pPr>
        <w:ind w:firstLine="560"/>
        <w:rPr>
          <w:rFonts w:cs="Times New Roman"/>
        </w:rPr>
      </w:pPr>
    </w:p>
    <w:p>
      <w:pPr>
        <w:ind w:firstLine="560"/>
        <w:rPr>
          <w:rFonts w:cs="Times New Roman"/>
        </w:rPr>
      </w:pPr>
    </w:p>
    <w:p>
      <w:pPr>
        <w:ind w:firstLine="0" w:firstLineChars="0"/>
        <w:jc w:val="center"/>
        <w:rPr>
          <w:rFonts w:eastAsia="方正小标宋简体" w:cs="Times New Roman"/>
          <w:sz w:val="48"/>
        </w:rPr>
      </w:pPr>
      <w:r>
        <w:rPr>
          <w:rFonts w:eastAsia="方正小标宋简体" w:cs="Times New Roman"/>
          <w:sz w:val="48"/>
        </w:rPr>
        <w:t>雷州市“十四五”住房发展规划</w:t>
      </w: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42" w:type="first"/>
          <w:footerReference r:id="rId45" w:type="first"/>
          <w:headerReference r:id="rId40" w:type="default"/>
          <w:footerReference r:id="rId43" w:type="default"/>
          <w:headerReference r:id="rId41" w:type="even"/>
          <w:footerReference r:id="rId44" w:type="even"/>
          <w:pgSz w:w="11906" w:h="16838"/>
          <w:pgMar w:top="1440" w:right="1800" w:bottom="1440" w:left="1800" w:header="851" w:footer="992" w:gutter="0"/>
          <w:cols w:space="425" w:num="1"/>
          <w:docGrid w:type="lines" w:linePitch="312" w:charSpace="0"/>
        </w:sectPr>
      </w:pPr>
    </w:p>
    <w:p>
      <w:pPr>
        <w:tabs>
          <w:tab w:val="left" w:pos="3315"/>
        </w:tabs>
        <w:ind w:firstLine="0" w:firstLineChars="0"/>
        <w:jc w:val="center"/>
        <w:rPr>
          <w:rFonts w:eastAsia="黑体" w:cs="Times New Roman"/>
        </w:rPr>
      </w:pPr>
      <w:r>
        <w:rPr>
          <w:rFonts w:eastAsia="黑体" w:cs="Times New Roman"/>
          <w:sz w:val="32"/>
        </w:rPr>
        <w:t>目 录</w:t>
      </w:r>
    </w:p>
    <w:p>
      <w:pPr>
        <w:tabs>
          <w:tab w:val="right" w:leader="dot" w:pos="8296"/>
        </w:tabs>
        <w:spacing w:line="360" w:lineRule="auto"/>
        <w:ind w:firstLine="0" w:firstLineChars="0"/>
        <w:rPr>
          <w:rFonts w:asciiTheme="minorHAnsi" w:hAnsiTheme="minorHAnsi" w:eastAsiaTheme="minorEastAsia"/>
          <w:sz w:val="21"/>
        </w:rPr>
      </w:pPr>
      <w:r>
        <w:rPr>
          <w:rFonts w:eastAsia="黑体" w:cs="Times New Roman"/>
          <w:sz w:val="32"/>
        </w:rPr>
        <w:fldChar w:fldCharType="begin"/>
      </w:r>
      <w:r>
        <w:rPr>
          <w:rFonts w:eastAsia="黑体" w:cs="Times New Roman"/>
          <w:sz w:val="32"/>
        </w:rPr>
        <w:instrText xml:space="preserve"> TOC \o "1-3" \h \z \u </w:instrText>
      </w:r>
      <w:r>
        <w:rPr>
          <w:rFonts w:eastAsia="黑体" w:cs="Times New Roman"/>
          <w:sz w:val="32"/>
        </w:rPr>
        <w:fldChar w:fldCharType="separate"/>
      </w:r>
      <w:r>
        <w:fldChar w:fldCharType="begin"/>
      </w:r>
      <w:r>
        <w:instrText xml:space="preserve"> HYPERLINK \l "_Toc107764604" </w:instrText>
      </w:r>
      <w:r>
        <w:fldChar w:fldCharType="separate"/>
      </w:r>
      <w:r>
        <w:rPr>
          <w:rFonts w:eastAsia="黑体" w:cs="Times New Roman"/>
          <w:b/>
          <w:sz w:val="32"/>
        </w:rPr>
        <w:t>前 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_Toc107764604 \h </w:instrText>
      </w:r>
      <w:r>
        <w:rPr>
          <w:rFonts w:eastAsia="黑体" w:asciiTheme="minorHAnsi" w:hAnsiTheme="minorHAnsi"/>
          <w:b/>
          <w:sz w:val="32"/>
        </w:rPr>
        <w:fldChar w:fldCharType="separate"/>
      </w:r>
      <w:r>
        <w:rPr>
          <w:rFonts w:eastAsia="黑体" w:asciiTheme="minorHAnsi" w:hAnsiTheme="minorHAnsi"/>
          <w:b/>
          <w:sz w:val="32"/>
        </w:rPr>
        <w:t>92</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"_Toc107764605" </w:instrText>
      </w:r>
      <w:r>
        <w:fldChar w:fldCharType="separate"/>
      </w:r>
      <w:r>
        <w:rPr>
          <w:rFonts w:eastAsia="黑体" w:cs="Times New Roman"/>
          <w:b/>
          <w:sz w:val="32"/>
        </w:rPr>
        <w:t>一、指导思想和发展目标</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_Toc107764605 \h </w:instrText>
      </w:r>
      <w:r>
        <w:rPr>
          <w:rFonts w:eastAsia="黑体" w:asciiTheme="minorHAnsi" w:hAnsiTheme="minorHAnsi"/>
          <w:b/>
          <w:sz w:val="32"/>
        </w:rPr>
        <w:fldChar w:fldCharType="separate"/>
      </w:r>
      <w:r>
        <w:rPr>
          <w:rFonts w:eastAsia="黑体" w:asciiTheme="minorHAnsi" w:hAnsiTheme="minorHAnsi"/>
          <w:b/>
          <w:sz w:val="32"/>
        </w:rPr>
        <w:t>93</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"_Toc107764606" </w:instrText>
      </w:r>
      <w:r>
        <w:fldChar w:fldCharType="separate"/>
      </w:r>
      <w:r>
        <w:rPr>
          <w:rFonts w:cs="Times New Roman"/>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_Toc107764606 \h </w:instrText>
      </w:r>
      <w:r>
        <w:rPr>
          <w:rFonts w:asciiTheme="minorHAnsi" w:hAnsiTheme="minorHAnsi"/>
        </w:rPr>
        <w:fldChar w:fldCharType="separate"/>
      </w:r>
      <w:r>
        <w:rPr>
          <w:rFonts w:asciiTheme="minorHAnsi" w:hAnsiTheme="minorHAnsi"/>
        </w:rPr>
        <w:t>93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"_Toc107764607" </w:instrText>
      </w:r>
      <w:r>
        <w:fldChar w:fldCharType="separate"/>
      </w:r>
      <w:r>
        <w:rPr>
          <w:rFonts w:cs="Times New Roman"/>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_Toc107764607 \h </w:instrText>
      </w:r>
      <w:r>
        <w:rPr>
          <w:rFonts w:asciiTheme="minorHAnsi" w:hAnsiTheme="minorHAnsi"/>
        </w:rPr>
        <w:fldChar w:fldCharType="separate"/>
      </w:r>
      <w:r>
        <w:rPr>
          <w:rFonts w:asciiTheme="minorHAnsi" w:hAnsiTheme="minorHAnsi"/>
        </w:rPr>
        <w:t>93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"_Toc107764608" </w:instrText>
      </w:r>
      <w:r>
        <w:fldChar w:fldCharType="separate"/>
      </w:r>
      <w:r>
        <w:rPr>
          <w:rFonts w:cs="Times New Roman"/>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_Toc107764608 \h </w:instrText>
      </w:r>
      <w:r>
        <w:rPr>
          <w:rFonts w:asciiTheme="minorHAnsi" w:hAnsiTheme="minorHAnsi"/>
        </w:rPr>
        <w:fldChar w:fldCharType="separate"/>
      </w:r>
      <w:r>
        <w:rPr>
          <w:rFonts w:asciiTheme="minorHAnsi" w:hAnsiTheme="minorHAnsi"/>
        </w:rPr>
        <w:t>94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"_Toc107764609" </w:instrText>
      </w:r>
      <w:r>
        <w:fldChar w:fldCharType="separate"/>
      </w:r>
      <w:r>
        <w:rPr>
          <w:rFonts w:eastAsia="黑体" w:cs="Times New Roman"/>
          <w:b/>
          <w:sz w:val="32"/>
        </w:rPr>
        <w:t>二、构建合理住房空间布局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_Toc107764609 \h </w:instrText>
      </w:r>
      <w:r>
        <w:rPr>
          <w:rFonts w:eastAsia="黑体" w:asciiTheme="minorHAnsi" w:hAnsiTheme="minorHAnsi"/>
          <w:b/>
          <w:sz w:val="32"/>
        </w:rPr>
        <w:fldChar w:fldCharType="separate"/>
      </w:r>
      <w:r>
        <w:rPr>
          <w:rFonts w:eastAsia="黑体" w:asciiTheme="minorHAnsi" w:hAnsiTheme="minorHAnsi"/>
          <w:b/>
          <w:sz w:val="32"/>
        </w:rPr>
        <w:t>96</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"_Toc107764610" </w:instrText>
      </w:r>
      <w:r>
        <w:fldChar w:fldCharType="separate"/>
      </w:r>
      <w:r>
        <w:rPr>
          <w:rFonts w:cs="Times New Roman"/>
        </w:rPr>
        <w:t>（一）全面提升县城综合服务能力</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_Toc107764610 \h </w:instrText>
      </w:r>
      <w:r>
        <w:rPr>
          <w:rFonts w:asciiTheme="minorHAnsi" w:hAnsiTheme="minorHAnsi"/>
        </w:rPr>
        <w:fldChar w:fldCharType="separate"/>
      </w:r>
      <w:r>
        <w:rPr>
          <w:rFonts w:asciiTheme="minorHAnsi" w:hAnsiTheme="minorHAnsi"/>
        </w:rPr>
        <w:t>96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"_Toc107764611" </w:instrText>
      </w:r>
      <w:r>
        <w:fldChar w:fldCharType="separate"/>
      </w:r>
      <w:r>
        <w:rPr>
          <w:rFonts w:cs="Times New Roman"/>
        </w:rPr>
        <w:t>（二）促进县域重点平台产城融合发展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_Toc107764611 \h </w:instrText>
      </w:r>
      <w:r>
        <w:rPr>
          <w:rFonts w:asciiTheme="minorHAnsi" w:hAnsiTheme="minorHAnsi"/>
        </w:rPr>
        <w:fldChar w:fldCharType="separate"/>
      </w:r>
      <w:r>
        <w:rPr>
          <w:rFonts w:asciiTheme="minorHAnsi" w:hAnsiTheme="minorHAnsi"/>
        </w:rPr>
        <w:t>96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"_Toc107764612" </w:instrText>
      </w:r>
      <w:r>
        <w:fldChar w:fldCharType="separate"/>
      </w:r>
      <w:r>
        <w:rPr>
          <w:rFonts w:cs="Times New Roman"/>
        </w:rPr>
        <w:t>（三）合理引导乡镇住房发展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_Toc107764612 \h </w:instrText>
      </w:r>
      <w:r>
        <w:rPr>
          <w:rFonts w:asciiTheme="minorHAnsi" w:hAnsiTheme="minorHAnsi"/>
        </w:rPr>
        <w:fldChar w:fldCharType="separate"/>
      </w:r>
      <w:r>
        <w:rPr>
          <w:rFonts w:asciiTheme="minorHAnsi" w:hAnsiTheme="minorHAnsi"/>
        </w:rPr>
        <w:t>96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"_Toc107764613" </w:instrText>
      </w:r>
      <w:r>
        <w:fldChar w:fldCharType="separate"/>
      </w:r>
      <w:r>
        <w:rPr>
          <w:rFonts w:eastAsia="黑体" w:cs="Times New Roman"/>
          <w:b/>
          <w:sz w:val="32"/>
        </w:rPr>
        <w:t>三、促进房地产市场健康发展</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_Toc107764613 \h </w:instrText>
      </w:r>
      <w:r>
        <w:rPr>
          <w:rFonts w:eastAsia="黑体" w:asciiTheme="minorHAnsi" w:hAnsiTheme="minorHAnsi"/>
          <w:b/>
          <w:sz w:val="32"/>
        </w:rPr>
        <w:fldChar w:fldCharType="separate"/>
      </w:r>
      <w:r>
        <w:rPr>
          <w:rFonts w:eastAsia="黑体" w:asciiTheme="minorHAnsi" w:hAnsiTheme="minorHAnsi"/>
          <w:b/>
          <w:sz w:val="32"/>
        </w:rPr>
        <w:t>97</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"_Toc107764614" </w:instrText>
      </w:r>
      <w:r>
        <w:fldChar w:fldCharType="separate"/>
      </w:r>
      <w:r>
        <w:rPr>
          <w:rFonts w:cs="Times New Roman"/>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_Toc107764614 \h </w:instrText>
      </w:r>
      <w:r>
        <w:rPr>
          <w:rFonts w:asciiTheme="minorHAnsi" w:hAnsiTheme="minorHAnsi"/>
        </w:rPr>
        <w:fldChar w:fldCharType="separate"/>
      </w:r>
      <w:r>
        <w:rPr>
          <w:rFonts w:asciiTheme="minorHAnsi" w:hAnsiTheme="minorHAnsi"/>
        </w:rPr>
        <w:t>97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"_Toc107764615" </w:instrText>
      </w:r>
      <w:r>
        <w:fldChar w:fldCharType="separate"/>
      </w:r>
      <w:r>
        <w:rPr>
          <w:rFonts w:cs="Times New Roman"/>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_Toc107764615 \h </w:instrText>
      </w:r>
      <w:r>
        <w:rPr>
          <w:rFonts w:asciiTheme="minorHAnsi" w:hAnsiTheme="minorHAnsi"/>
        </w:rPr>
        <w:fldChar w:fldCharType="separate"/>
      </w:r>
      <w:r>
        <w:rPr>
          <w:rFonts w:asciiTheme="minorHAnsi" w:hAnsiTheme="minorHAnsi"/>
        </w:rPr>
        <w:t>98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"_Toc107764616" </w:instrText>
      </w:r>
      <w:r>
        <w:fldChar w:fldCharType="separate"/>
      </w:r>
      <w:r>
        <w:rPr>
          <w:rFonts w:cs="Times New Roman"/>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_Toc107764616 \h </w:instrText>
      </w:r>
      <w:r>
        <w:rPr>
          <w:rFonts w:asciiTheme="minorHAnsi" w:hAnsiTheme="minorHAnsi"/>
        </w:rPr>
        <w:fldChar w:fldCharType="separate"/>
      </w:r>
      <w:r>
        <w:rPr>
          <w:rFonts w:asciiTheme="minorHAnsi" w:hAnsiTheme="minorHAnsi"/>
        </w:rPr>
        <w:t>98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"_Toc107764617" </w:instrText>
      </w:r>
      <w:r>
        <w:fldChar w:fldCharType="separate"/>
      </w:r>
      <w:r>
        <w:rPr>
          <w:rFonts w:eastAsia="黑体" w:cs="Times New Roman"/>
          <w:b/>
          <w:sz w:val="32"/>
        </w:rPr>
        <w:t>四、稳步提升住房保障水平</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_Toc107764617 \h </w:instrText>
      </w:r>
      <w:r>
        <w:rPr>
          <w:rFonts w:eastAsia="黑体" w:asciiTheme="minorHAnsi" w:hAnsiTheme="minorHAnsi"/>
          <w:b/>
          <w:sz w:val="32"/>
        </w:rPr>
        <w:fldChar w:fldCharType="separate"/>
      </w:r>
      <w:r>
        <w:rPr>
          <w:rFonts w:eastAsia="黑体" w:asciiTheme="minorHAnsi" w:hAnsiTheme="minorHAnsi"/>
          <w:b/>
          <w:sz w:val="32"/>
        </w:rPr>
        <w:t>99</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"_Toc107764618" </w:instrText>
      </w:r>
      <w:r>
        <w:fldChar w:fldCharType="separate"/>
      </w:r>
      <w:r>
        <w:rPr>
          <w:rFonts w:cs="Times New Roman"/>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_Toc107764618 \h </w:instrText>
      </w:r>
      <w:r>
        <w:rPr>
          <w:rFonts w:asciiTheme="minorHAnsi" w:hAnsiTheme="minorHAnsi"/>
        </w:rPr>
        <w:fldChar w:fldCharType="separate"/>
      </w:r>
      <w:r>
        <w:rPr>
          <w:rFonts w:asciiTheme="minorHAnsi" w:hAnsiTheme="minorHAnsi"/>
        </w:rPr>
        <w:t>99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"_Toc107764619" </w:instrText>
      </w:r>
      <w:r>
        <w:fldChar w:fldCharType="separate"/>
      </w:r>
      <w:r>
        <w:rPr>
          <w:rFonts w:cs="Times New Roman"/>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_Toc107764619 \h </w:instrText>
      </w:r>
      <w:r>
        <w:rPr>
          <w:rFonts w:asciiTheme="minorHAnsi" w:hAnsiTheme="minorHAnsi"/>
        </w:rPr>
        <w:fldChar w:fldCharType="separate"/>
      </w:r>
      <w:r>
        <w:rPr>
          <w:rFonts w:asciiTheme="minorHAnsi" w:hAnsiTheme="minorHAnsi"/>
        </w:rPr>
        <w:t>100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"_Toc107764620" </w:instrText>
      </w:r>
      <w:r>
        <w:fldChar w:fldCharType="separate"/>
      </w:r>
      <w:r>
        <w:rPr>
          <w:rFonts w:cs="Times New Roman"/>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_Toc107764620 \h </w:instrText>
      </w:r>
      <w:r>
        <w:rPr>
          <w:rFonts w:asciiTheme="minorHAnsi" w:hAnsiTheme="minorHAnsi"/>
        </w:rPr>
        <w:fldChar w:fldCharType="separate"/>
      </w:r>
      <w:r>
        <w:rPr>
          <w:rFonts w:asciiTheme="minorHAnsi" w:hAnsiTheme="minorHAnsi"/>
        </w:rPr>
        <w:t>100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"_Toc107764621" </w:instrText>
      </w:r>
      <w:r>
        <w:fldChar w:fldCharType="separate"/>
      </w:r>
      <w:r>
        <w:rPr>
          <w:rFonts w:cs="Times New Roman"/>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_Toc107764621 \h </w:instrText>
      </w:r>
      <w:r>
        <w:rPr>
          <w:rFonts w:asciiTheme="minorHAnsi" w:hAnsiTheme="minorHAnsi"/>
        </w:rPr>
        <w:fldChar w:fldCharType="separate"/>
      </w:r>
      <w:r>
        <w:rPr>
          <w:rFonts w:asciiTheme="minorHAnsi" w:hAnsiTheme="minorHAnsi"/>
        </w:rPr>
        <w:t>101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"_Toc107764622" </w:instrText>
      </w:r>
      <w:r>
        <w:fldChar w:fldCharType="separate"/>
      </w:r>
      <w:r>
        <w:rPr>
          <w:rFonts w:eastAsia="黑体" w:cs="Times New Roman"/>
          <w:b/>
          <w:sz w:val="32"/>
        </w:rPr>
        <w:t>五、全面提升居住品质</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_Toc107764622 \h </w:instrText>
      </w:r>
      <w:r>
        <w:rPr>
          <w:rFonts w:eastAsia="黑体" w:asciiTheme="minorHAnsi" w:hAnsiTheme="minorHAnsi"/>
          <w:b/>
          <w:sz w:val="32"/>
        </w:rPr>
        <w:fldChar w:fldCharType="separate"/>
      </w:r>
      <w:r>
        <w:rPr>
          <w:rFonts w:eastAsia="黑体" w:asciiTheme="minorHAnsi" w:hAnsiTheme="minorHAnsi"/>
          <w:b/>
          <w:sz w:val="32"/>
        </w:rPr>
        <w:t>101</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"_Toc107764623" </w:instrText>
      </w:r>
      <w:r>
        <w:fldChar w:fldCharType="separate"/>
      </w:r>
      <w:r>
        <w:rPr>
          <w:rFonts w:cs="Times New Roman"/>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_Toc107764623 \h </w:instrText>
      </w:r>
      <w:r>
        <w:rPr>
          <w:rFonts w:asciiTheme="minorHAnsi" w:hAnsiTheme="minorHAnsi"/>
        </w:rPr>
        <w:fldChar w:fldCharType="separate"/>
      </w:r>
      <w:r>
        <w:rPr>
          <w:rFonts w:asciiTheme="minorHAnsi" w:hAnsiTheme="minorHAnsi"/>
        </w:rPr>
        <w:t>101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"_Toc107764624" </w:instrText>
      </w:r>
      <w:r>
        <w:fldChar w:fldCharType="separate"/>
      </w:r>
      <w:r>
        <w:rPr>
          <w:rFonts w:cs="Times New Roman"/>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_Toc107764624 \h </w:instrText>
      </w:r>
      <w:r>
        <w:rPr>
          <w:rFonts w:asciiTheme="minorHAnsi" w:hAnsiTheme="minorHAnsi"/>
        </w:rPr>
        <w:fldChar w:fldCharType="separate"/>
      </w:r>
      <w:r>
        <w:rPr>
          <w:rFonts w:asciiTheme="minorHAnsi" w:hAnsiTheme="minorHAnsi"/>
        </w:rPr>
        <w:t>103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"_Toc107764625" </w:instrText>
      </w:r>
      <w:r>
        <w:fldChar w:fldCharType="separate"/>
      </w:r>
      <w:r>
        <w:rPr>
          <w:rFonts w:cs="Times New Roman"/>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_Toc107764625 \h </w:instrText>
      </w:r>
      <w:r>
        <w:rPr>
          <w:rFonts w:asciiTheme="minorHAnsi" w:hAnsiTheme="minorHAnsi"/>
        </w:rPr>
        <w:fldChar w:fldCharType="separate"/>
      </w:r>
      <w:r>
        <w:rPr>
          <w:rFonts w:asciiTheme="minorHAnsi" w:hAnsiTheme="minorHAnsi"/>
        </w:rPr>
        <w:t>103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"_Toc107764626" </w:instrText>
      </w:r>
      <w:r>
        <w:fldChar w:fldCharType="separate"/>
      </w:r>
      <w:r>
        <w:rPr>
          <w:rFonts w:eastAsia="黑体" w:cs="Times New Roman"/>
          <w:b/>
          <w:sz w:val="32"/>
        </w:rPr>
        <w:t>六、保障措施</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_Toc107764626 \h </w:instrText>
      </w:r>
      <w:r>
        <w:rPr>
          <w:rFonts w:eastAsia="黑体" w:asciiTheme="minorHAnsi" w:hAnsiTheme="minorHAnsi"/>
          <w:b/>
          <w:sz w:val="32"/>
        </w:rPr>
        <w:fldChar w:fldCharType="separate"/>
      </w:r>
      <w:r>
        <w:rPr>
          <w:rFonts w:eastAsia="黑体" w:asciiTheme="minorHAnsi" w:hAnsiTheme="minorHAnsi"/>
          <w:b/>
          <w:sz w:val="32"/>
        </w:rPr>
        <w:t>104</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"_Toc107764627" </w:instrText>
      </w:r>
      <w:r>
        <w:fldChar w:fldCharType="separate"/>
      </w:r>
      <w:r>
        <w:rPr>
          <w:rFonts w:cs="Times New Roman"/>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_Toc107764627 \h </w:instrText>
      </w:r>
      <w:r>
        <w:rPr>
          <w:rFonts w:asciiTheme="minorHAnsi" w:hAnsiTheme="minorHAnsi"/>
        </w:rPr>
        <w:fldChar w:fldCharType="separate"/>
      </w:r>
      <w:r>
        <w:rPr>
          <w:rFonts w:asciiTheme="minorHAnsi" w:hAnsiTheme="minorHAnsi"/>
        </w:rPr>
        <w:t>104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"_Toc107764628" </w:instrText>
      </w:r>
      <w:r>
        <w:fldChar w:fldCharType="separate"/>
      </w:r>
      <w:r>
        <w:rPr>
          <w:rFonts w:cs="Times New Roman"/>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_Toc107764628 \h </w:instrText>
      </w:r>
      <w:r>
        <w:rPr>
          <w:rFonts w:asciiTheme="minorHAnsi" w:hAnsiTheme="minorHAnsi"/>
        </w:rPr>
        <w:fldChar w:fldCharType="separate"/>
      </w:r>
      <w:r>
        <w:rPr>
          <w:rFonts w:asciiTheme="minorHAnsi" w:hAnsiTheme="minorHAnsi"/>
        </w:rPr>
        <w:t>104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"_Toc107764629" </w:instrText>
      </w:r>
      <w:r>
        <w:fldChar w:fldCharType="separate"/>
      </w:r>
      <w:r>
        <w:rPr>
          <w:rFonts w:cs="Times New Roman"/>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_Toc107764629 \h </w:instrText>
      </w:r>
      <w:r>
        <w:rPr>
          <w:rFonts w:asciiTheme="minorHAnsi" w:hAnsiTheme="minorHAnsi"/>
        </w:rPr>
        <w:fldChar w:fldCharType="separate"/>
      </w:r>
      <w:r>
        <w:rPr>
          <w:rFonts w:asciiTheme="minorHAnsi" w:hAnsiTheme="minorHAnsi"/>
        </w:rPr>
        <w:t>105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"_Toc107764630" </w:instrText>
      </w:r>
      <w:r>
        <w:fldChar w:fldCharType="separate"/>
      </w:r>
      <w:r>
        <w:rPr>
          <w:rFonts w:cs="Times New Roman"/>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_Toc107764630 \h </w:instrText>
      </w:r>
      <w:r>
        <w:rPr>
          <w:rFonts w:asciiTheme="minorHAnsi" w:hAnsiTheme="minorHAnsi"/>
        </w:rPr>
        <w:fldChar w:fldCharType="separate"/>
      </w:r>
      <w:r>
        <w:rPr>
          <w:rFonts w:asciiTheme="minorHAnsi" w:hAnsiTheme="minorHAnsi"/>
        </w:rPr>
        <w:t>105</w:t>
      </w:r>
      <w:r>
        <w:rPr>
          <w:rFonts w:asciiTheme="minorHAnsi" w:hAnsiTheme="minorHAnsi"/>
        </w:rPr>
        <w:fldChar w:fldCharType="end"/>
      </w:r>
      <w:r>
        <w:rPr>
          <w:rFonts w:asciiTheme="minorHAnsi" w:hAnsiTheme="minorHAnsi"/>
        </w:rPr>
        <w:fldChar w:fldCharType="end"/>
      </w:r>
    </w:p>
    <w:p>
      <w:pPr>
        <w:spacing w:before="312" w:beforeLines="100" w:after="312" w:afterLines="100"/>
        <w:ind w:firstLine="0" w:firstLineChars="0"/>
        <w:outlineLvl w:val="0"/>
        <w:rPr>
          <w:rFonts w:eastAsia="黑体" w:cs="Times New Roman"/>
          <w:b/>
          <w:sz w:val="32"/>
        </w:rPr>
        <w:sectPr>
          <w:headerReference r:id="rId46" w:type="default"/>
          <w:footerReference r:id="rId47" w:type="default"/>
          <w:pgSz w:w="11906" w:h="16838"/>
          <w:pgMar w:top="1440" w:right="1800" w:bottom="1440" w:left="1800" w:header="851" w:footer="992" w:gutter="0"/>
          <w:cols w:space="425" w:num="1"/>
          <w:docGrid w:type="lines" w:linePitch="312" w:charSpace="0"/>
        </w:sectPr>
      </w:pPr>
      <w:r>
        <w:rPr>
          <w:rFonts w:eastAsia="黑体" w:cs="Times New Roman"/>
          <w:b/>
          <w:sz w:val="32"/>
        </w:rPr>
        <w:fldChar w:fldCharType="end"/>
      </w:r>
    </w:p>
    <w:p>
      <w:pPr>
        <w:spacing w:before="312" w:beforeLines="100" w:after="312" w:afterLines="100"/>
        <w:ind w:firstLine="0" w:firstLineChars="0"/>
        <w:outlineLvl w:val="0"/>
        <w:rPr>
          <w:rFonts w:eastAsia="黑体" w:cs="Times New Roman"/>
          <w:sz w:val="32"/>
        </w:rPr>
      </w:pPr>
    </w:p>
    <w:p>
      <w:pPr>
        <w:spacing w:before="312" w:beforeLines="100" w:after="312" w:afterLines="100"/>
        <w:ind w:firstLine="0" w:firstLineChars="0"/>
        <w:jc w:val="center"/>
        <w:outlineLvl w:val="0"/>
        <w:rPr>
          <w:rFonts w:eastAsia="黑体" w:cs="Times New Roman"/>
          <w:sz w:val="32"/>
        </w:rPr>
      </w:pPr>
      <w:bookmarkStart w:id="245" w:name="_Toc107764604"/>
      <w:r>
        <w:rPr>
          <w:rFonts w:eastAsia="黑体" w:cs="Times New Roman"/>
          <w:sz w:val="32"/>
        </w:rPr>
        <w:t>前 言</w:t>
      </w:r>
      <w:bookmarkEnd w:id="245"/>
    </w:p>
    <w:p>
      <w:pPr>
        <w:ind w:firstLine="560"/>
        <w:rPr>
          <w:rFonts w:cs="Times New Roman"/>
        </w:rPr>
      </w:pPr>
      <w:r>
        <w:rPr>
          <w:rFonts w:cs="Times New Roman"/>
        </w:rPr>
        <w:t>《湛江市“十四五”住房发展规划》阐明了“十四五”期间全市住房发展的指导思想和发展目标、空间布局、主要任务和保障措施。为了深入推进“一城一策”，结合雷州市实际，制定了《分册四：雷州市“十四五”住房发展规划》。该分册在《湛江市“十四五”住房发展规划》的基础上，进一步明确“十四五”时期雷州市住房发展总体目标、年度目标和空间布局等内容，旨在促进湛江市住房发展规划在县（市、区）层面落实。</w:t>
      </w:r>
      <w:r>
        <w:rPr>
          <w:rFonts w:cs="Times New Roman"/>
        </w:rPr>
        <w:br w:type="page"/>
      </w:r>
    </w:p>
    <w:p>
      <w:pPr>
        <w:spacing w:before="312" w:beforeLines="100" w:after="312" w:afterLines="100"/>
        <w:ind w:firstLine="640"/>
        <w:outlineLvl w:val="0"/>
        <w:rPr>
          <w:rFonts w:eastAsia="黑体" w:cs="Times New Roman"/>
          <w:sz w:val="32"/>
        </w:rPr>
      </w:pPr>
      <w:bookmarkStart w:id="246" w:name="_Toc107764605"/>
      <w:r>
        <w:rPr>
          <w:rFonts w:eastAsia="黑体" w:cs="Times New Roman"/>
          <w:sz w:val="32"/>
        </w:rPr>
        <w:t>一、指导思想和发展目标</w:t>
      </w:r>
      <w:bookmarkEnd w:id="246"/>
    </w:p>
    <w:p>
      <w:pPr>
        <w:spacing w:before="312" w:beforeLines="100" w:after="312" w:afterLines="100"/>
        <w:ind w:firstLine="562"/>
        <w:outlineLvl w:val="1"/>
        <w:rPr>
          <w:rFonts w:cs="Times New Roman"/>
          <w:b/>
        </w:rPr>
      </w:pPr>
      <w:bookmarkStart w:id="247" w:name="_Toc107764606"/>
      <w:r>
        <w:rPr>
          <w:rFonts w:cs="Times New Roman"/>
          <w:b/>
        </w:rPr>
        <w:t>（一）指导思想</w:t>
      </w:r>
      <w:bookmarkEnd w:id="247"/>
    </w:p>
    <w:p>
      <w:pPr>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促进住房与经济社会协同发展。</w:t>
      </w:r>
    </w:p>
    <w:p>
      <w:pPr>
        <w:spacing w:before="312" w:beforeLines="100" w:after="312" w:afterLines="100"/>
        <w:ind w:firstLine="562"/>
        <w:outlineLvl w:val="1"/>
        <w:rPr>
          <w:rFonts w:cs="Times New Roman"/>
          <w:b/>
        </w:rPr>
      </w:pPr>
      <w:bookmarkStart w:id="248" w:name="_Toc107764607"/>
      <w:r>
        <w:rPr>
          <w:rFonts w:cs="Times New Roman"/>
          <w:b/>
        </w:rPr>
        <w:t>（二）基本原则</w:t>
      </w:r>
      <w:bookmarkEnd w:id="248"/>
    </w:p>
    <w:p>
      <w:pPr>
        <w:ind w:firstLine="562"/>
        <w:rPr>
          <w:rFonts w:cs="Times New Roman"/>
          <w:b/>
          <w:bCs/>
        </w:rPr>
      </w:pPr>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ind w:firstLine="562"/>
        <w:rPr>
          <w:rFonts w:cs="Times New Roman"/>
          <w:b/>
          <w:bCs/>
        </w:rPr>
      </w:pPr>
      <w:r>
        <w:rPr>
          <w:rFonts w:cs="Times New Roman"/>
          <w:b/>
          <w:bCs/>
        </w:rPr>
        <w:t>2.坚持系统观念、创新发展原则。</w:t>
      </w:r>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rPr>
          <w:rFonts w:cs="Times New Roman"/>
          <w:b/>
          <w:bCs/>
        </w:rPr>
      </w:pPr>
      <w:r>
        <w:rPr>
          <w:rFonts w:cs="Times New Roman"/>
          <w:b/>
          <w:bCs/>
        </w:rPr>
        <w:t>3.坚持政府引导，市场配置原则。</w:t>
      </w:r>
    </w:p>
    <w:p>
      <w:pPr>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ind w:firstLine="562"/>
        <w:rPr>
          <w:rFonts w:cs="Times New Roman"/>
          <w:b/>
          <w:bCs/>
        </w:rPr>
      </w:pPr>
      <w:r>
        <w:rPr>
          <w:rFonts w:cs="Times New Roman"/>
          <w:b/>
          <w:bCs/>
        </w:rPr>
        <w:t>4.坚持因城施策、特色发展原则。</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充分考虑地区发展的差异性，因地制宜促进房地产市场平稳健康发展，充分发挥住房发展对于实体经济的支撑作用，促进地方经济、产业发展和特色旅游资源开发。</w:t>
      </w:r>
    </w:p>
    <w:p>
      <w:pPr>
        <w:spacing w:before="312" w:beforeLines="100" w:after="312" w:afterLines="100"/>
        <w:ind w:firstLine="562"/>
        <w:outlineLvl w:val="1"/>
        <w:rPr>
          <w:rFonts w:cs="Times New Roman"/>
          <w:b/>
        </w:rPr>
      </w:pPr>
      <w:bookmarkStart w:id="249" w:name="_Toc107764608"/>
      <w:r>
        <w:rPr>
          <w:rFonts w:cs="Times New Roman"/>
          <w:b/>
        </w:rPr>
        <w:t>（三）住房目标</w:t>
      </w:r>
      <w:bookmarkEnd w:id="249"/>
    </w:p>
    <w:p>
      <w:pPr>
        <w:spacing w:before="156" w:beforeLines="50" w:line="360" w:lineRule="auto"/>
        <w:ind w:firstLine="562"/>
        <w:rPr>
          <w:rFonts w:cs="Times New Roman"/>
          <w:b/>
          <w:bCs/>
        </w:rPr>
      </w:pPr>
      <w:r>
        <w:rPr>
          <w:rFonts w:cs="Times New Roman"/>
          <w:b/>
          <w:bCs/>
        </w:rPr>
        <w:t>1、总体目标</w:t>
      </w:r>
    </w:p>
    <w:p>
      <w:pPr>
        <w:spacing w:line="360" w:lineRule="auto"/>
        <w:ind w:firstLine="560"/>
        <w:rPr>
          <w:rFonts w:cs="Times New Roman"/>
        </w:rPr>
      </w:pPr>
      <w:r>
        <w:rPr>
          <w:rFonts w:cs="Times New Roman"/>
        </w:rPr>
        <w:t>“十四五”期间，稳步增加住房供给，规划新增供应新建商品住房23000-36000套；不断提升住房保障水平，规划新增筹建公共租赁住房不低于290套，新增发放租赁补贴家庭不低于430户，</w:t>
      </w:r>
      <w:bookmarkStart w:id="250" w:name="_Hlk84868967"/>
      <w:r>
        <w:rPr>
          <w:rFonts w:cs="Times New Roman"/>
        </w:rPr>
        <w:t>新增筹建保障性租赁住房不低于400套，稳步推进人才公寓建设，探索发展共有产权住房</w:t>
      </w:r>
      <w:bookmarkEnd w:id="250"/>
      <w:r>
        <w:rPr>
          <w:rFonts w:cs="Times New Roman"/>
        </w:rPr>
        <w:t>，不断建立健全多层次、高品质的现代化住房供给体系，支持雷州市发展成为沿海经济带西翼重要增长极、对接海南自贸港重要腹地、湛江市域副中心城市和宜居宜业宜游的历史文化名城。</w:t>
      </w:r>
    </w:p>
    <w:p>
      <w:pPr>
        <w:spacing w:line="360" w:lineRule="auto"/>
        <w:ind w:firstLine="560"/>
        <w:jc w:val="center"/>
        <w:rPr>
          <w:rFonts w:eastAsia="黑体" w:cs="Times New Roman"/>
        </w:rPr>
      </w:pPr>
      <w:r>
        <w:rPr>
          <w:rFonts w:eastAsia="黑体" w:cs="Times New Roman"/>
        </w:rPr>
        <w:br w:type="page"/>
      </w:r>
    </w:p>
    <w:p>
      <w:pPr>
        <w:spacing w:line="360" w:lineRule="auto"/>
        <w:ind w:firstLine="0" w:firstLineChars="0"/>
        <w:jc w:val="center"/>
        <w:rPr>
          <w:rFonts w:eastAsia="黑体" w:cs="Times New Roman"/>
        </w:rPr>
      </w:pPr>
      <w:r>
        <w:rPr>
          <w:rFonts w:eastAsia="黑体" w:cs="Times New Roman"/>
        </w:rPr>
        <w:t>表1 “十四五”雷州市住房发展规模目标表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雷州市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23000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290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430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w:t>
            </w:r>
          </w:p>
        </w:tc>
      </w:tr>
    </w:tbl>
    <w:p>
      <w:pPr>
        <w:ind w:firstLine="0" w:firstLineChars="0"/>
        <w:jc w:val="left"/>
        <w:rPr>
          <w:rFonts w:cs="Times New Roman"/>
          <w:sz w:val="24"/>
        </w:rPr>
      </w:pPr>
      <w:r>
        <w:rPr>
          <w:rFonts w:cs="Times New Roman"/>
          <w:sz w:val="24"/>
        </w:rPr>
        <w:t xml:space="preserve">注： </w:t>
      </w:r>
    </w:p>
    <w:p>
      <w:pPr>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ind w:firstLine="0" w:firstLineChars="0"/>
        <w:rPr>
          <w:rFonts w:eastAsia="黑体" w:cs="Times New Roman"/>
        </w:rPr>
      </w:pPr>
      <w:r>
        <w:rPr>
          <w:rFonts w:cs="Times New Roman"/>
          <w:sz w:val="24"/>
          <w:szCs w:val="24"/>
        </w:rPr>
        <w:t>3.保障性租赁住房包括符合条件的人才公寓。</w:t>
      </w:r>
    </w:p>
    <w:p>
      <w:pPr>
        <w:spacing w:before="156" w:beforeLines="50" w:line="360" w:lineRule="auto"/>
        <w:ind w:firstLine="562"/>
        <w:rPr>
          <w:rFonts w:cs="Times New Roman"/>
          <w:b/>
          <w:bCs/>
        </w:rPr>
      </w:pPr>
      <w:bookmarkStart w:id="251" w:name="_Hlk84871863"/>
      <w:r>
        <w:rPr>
          <w:rFonts w:cs="Times New Roman"/>
          <w:b/>
          <w:bCs/>
        </w:rPr>
        <w:t>2、年度目标</w:t>
      </w:r>
    </w:p>
    <w:bookmarkEnd w:id="251"/>
    <w:p>
      <w:pPr>
        <w:spacing w:line="360" w:lineRule="auto"/>
        <w:ind w:firstLine="560"/>
        <w:rPr>
          <w:rFonts w:cs="Times New Roman"/>
        </w:rPr>
      </w:pPr>
      <w:r>
        <w:rPr>
          <w:rFonts w:cs="Times New Roman"/>
        </w:rPr>
        <w:t>为了落实“十四五”雷州市住房发展目标，规划将目标分解至各年度：</w:t>
      </w:r>
    </w:p>
    <w:p>
      <w:pPr>
        <w:spacing w:line="360" w:lineRule="auto"/>
        <w:ind w:firstLine="0" w:firstLineChars="0"/>
        <w:jc w:val="center"/>
        <w:rPr>
          <w:rFonts w:eastAsia="黑体" w:cs="Times New Roman"/>
        </w:rPr>
      </w:pPr>
      <w:r>
        <w:rPr>
          <w:rFonts w:eastAsia="黑体" w:cs="Times New Roman"/>
        </w:rPr>
        <w:t>“十四五”雷州市住房发展年度计划表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190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23000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36000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290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430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w:t>
            </w:r>
          </w:p>
        </w:tc>
      </w:tr>
    </w:tbl>
    <w:p>
      <w:pPr>
        <w:ind w:firstLine="0" w:firstLineChars="0"/>
        <w:jc w:val="left"/>
        <w:rPr>
          <w:rFonts w:cs="Times New Roman"/>
          <w:sz w:val="24"/>
        </w:rPr>
      </w:pPr>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ind w:firstLine="0" w:firstLineChars="0"/>
        <w:rPr>
          <w:rFonts w:cs="Times New Roman"/>
          <w:highlight w:val="yellow"/>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p>
    <w:p>
      <w:pPr>
        <w:spacing w:before="312" w:beforeLines="100" w:after="312" w:afterLines="100"/>
        <w:ind w:firstLine="640"/>
        <w:outlineLvl w:val="0"/>
        <w:rPr>
          <w:rFonts w:eastAsia="黑体" w:cs="Times New Roman"/>
          <w:sz w:val="32"/>
        </w:rPr>
      </w:pPr>
      <w:bookmarkStart w:id="252" w:name="_Toc107764609"/>
      <w:r>
        <w:rPr>
          <w:rFonts w:eastAsia="黑体" w:cs="Times New Roman"/>
          <w:sz w:val="32"/>
        </w:rPr>
        <w:t>二、构建合理住房空间布局</w:t>
      </w:r>
      <w:bookmarkEnd w:id="252"/>
    </w:p>
    <w:p>
      <w:pPr>
        <w:spacing w:before="312" w:beforeLines="100" w:after="312" w:afterLines="100"/>
        <w:ind w:left="562" w:firstLine="0" w:firstLineChars="0"/>
        <w:outlineLvl w:val="1"/>
        <w:rPr>
          <w:rFonts w:cs="Times New Roman"/>
          <w:b/>
        </w:rPr>
      </w:pPr>
      <w:bookmarkStart w:id="253" w:name="_Toc107764610"/>
      <w:r>
        <w:rPr>
          <w:rFonts w:cs="Times New Roman"/>
          <w:b/>
        </w:rPr>
        <w:t>（一）全面提升县城综合服务能力</w:t>
      </w:r>
      <w:bookmarkEnd w:id="253"/>
    </w:p>
    <w:p>
      <w:pPr>
        <w:ind w:firstLine="560"/>
        <w:rPr>
          <w:rFonts w:cs="Times New Roman"/>
        </w:rPr>
      </w:pPr>
      <w:r>
        <w:rPr>
          <w:rFonts w:cs="Times New Roman"/>
        </w:rPr>
        <w:t>县城以“两心两轴多组团”的空间结构，以古城组团为核心，推进老城区扩容提质，以西湖组团为核心拓展城市发展空间，以新城建设促进老城功能</w:t>
      </w:r>
      <w:r>
        <w:rPr>
          <w:rFonts w:hint="eastAsia" w:cs="Times New Roman"/>
        </w:rPr>
        <w:t>完善和</w:t>
      </w:r>
      <w:r>
        <w:rPr>
          <w:rFonts w:cs="Times New Roman"/>
        </w:rPr>
        <w:t>人口疏解，重点推进高铁新区、雷阳湖片区、西湖水库片区等城市建设步伐，稳步增加住房供给，发挥好房地产开发对城镇建设的带动作用，加快县城、特大镇公共设施补短板，全面提升城镇建设和社区服务水平，将县城打造成为服务县域农民的重要阵地和扩大内需的重要支撑点，引导农村转移人口有序向县城集聚。</w:t>
      </w:r>
    </w:p>
    <w:p>
      <w:pPr>
        <w:spacing w:before="312" w:beforeLines="100" w:after="312" w:afterLines="100"/>
        <w:ind w:left="562" w:firstLine="0" w:firstLineChars="0"/>
        <w:outlineLvl w:val="1"/>
        <w:rPr>
          <w:rFonts w:cs="Times New Roman"/>
          <w:b/>
        </w:rPr>
      </w:pPr>
      <w:bookmarkStart w:id="254" w:name="_Toc107764611"/>
      <w:r>
        <w:rPr>
          <w:rFonts w:cs="Times New Roman"/>
          <w:b/>
        </w:rPr>
        <w:t>（二）促进县域重点平台产城融合发展</w:t>
      </w:r>
      <w:bookmarkEnd w:id="254"/>
    </w:p>
    <w:p>
      <w:pPr>
        <w:ind w:firstLine="560"/>
        <w:rPr>
          <w:rFonts w:cs="Times New Roman"/>
        </w:rPr>
      </w:pPr>
      <w:r>
        <w:rPr>
          <w:rFonts w:cs="Times New Roman"/>
        </w:rPr>
        <w:t xml:space="preserve">加快推进雷州经济开发区“一区三园”建设，完善园区的居住生活配套，以需定供，增加宿舍、人才住房等产业配套住房，促进产城融合发展；依托滨海和历史文化优质资源，重点推进雷州历史文化名城保护和有序利用，开发多样化的康养、休闲居住产品，完善旅游公路和餐饮、体验、服务等配套，加快推进雷州市全域旅游发展，打造市域文化旅游副中心。 </w:t>
      </w:r>
    </w:p>
    <w:p>
      <w:pPr>
        <w:spacing w:before="312" w:beforeLines="100" w:after="312" w:afterLines="100"/>
        <w:ind w:left="562" w:firstLine="0" w:firstLineChars="0"/>
        <w:outlineLvl w:val="1"/>
        <w:rPr>
          <w:rFonts w:cs="Times New Roman"/>
          <w:b/>
        </w:rPr>
      </w:pPr>
      <w:bookmarkStart w:id="255" w:name="_Toc107764612"/>
      <w:r>
        <w:rPr>
          <w:rFonts w:cs="Times New Roman"/>
          <w:b/>
        </w:rPr>
        <w:t>（三）</w:t>
      </w:r>
      <w:bookmarkStart w:id="256" w:name="_Hlk84689390"/>
      <w:r>
        <w:rPr>
          <w:rFonts w:cs="Times New Roman"/>
          <w:b/>
        </w:rPr>
        <w:t>合理引导乡镇住房发展</w:t>
      </w:r>
      <w:bookmarkEnd w:id="255"/>
      <w:bookmarkEnd w:id="256"/>
    </w:p>
    <w:p>
      <w:pPr>
        <w:ind w:firstLine="560"/>
        <w:rPr>
          <w:rFonts w:cs="Times New Roman"/>
        </w:rPr>
      </w:pPr>
      <w:r>
        <w:rPr>
          <w:rFonts w:cs="Times New Roman"/>
        </w:rPr>
        <w:t>支持白沙、龙门镇发展壮大镇域经济，以需定供增加住房供给，打造成为县域发展的重要支撑和城乡融合示范区；控制一般乡镇和农村地区新增住房供给，引导居民向县城聚集。培育发展以现代农业、观光旅游、电商等产业为基础的特色小镇，促进“一二三产”融合，避免特色小镇房地产化。</w:t>
      </w:r>
    </w:p>
    <w:p>
      <w:pPr>
        <w:spacing w:before="312" w:beforeLines="100" w:after="312" w:afterLines="100"/>
        <w:ind w:firstLine="640"/>
        <w:outlineLvl w:val="0"/>
        <w:rPr>
          <w:rFonts w:eastAsia="黑体" w:cs="Times New Roman"/>
          <w:sz w:val="32"/>
        </w:rPr>
      </w:pPr>
      <w:bookmarkStart w:id="257" w:name="_Toc107764613"/>
      <w:r>
        <w:rPr>
          <w:rFonts w:eastAsia="黑体" w:cs="Times New Roman"/>
          <w:sz w:val="32"/>
        </w:rPr>
        <w:t>三、促进房地产市场健康发展</w:t>
      </w:r>
      <w:bookmarkEnd w:id="257"/>
    </w:p>
    <w:p>
      <w:pPr>
        <w:spacing w:before="312" w:beforeLines="100" w:after="312" w:afterLines="100"/>
        <w:ind w:left="562" w:firstLine="0" w:firstLineChars="0"/>
        <w:outlineLvl w:val="1"/>
        <w:rPr>
          <w:rFonts w:cs="Times New Roman"/>
          <w:b/>
        </w:rPr>
      </w:pPr>
      <w:bookmarkStart w:id="258" w:name="_Toc107764614"/>
      <w:r>
        <w:rPr>
          <w:rFonts w:cs="Times New Roman"/>
          <w:b/>
        </w:rPr>
        <w:t>（一）健全住房梯度健康消费</w:t>
      </w:r>
      <w:bookmarkEnd w:id="258"/>
    </w:p>
    <w:p>
      <w:pPr>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312" w:beforeLines="100" w:after="312" w:afterLines="100"/>
        <w:ind w:left="562" w:firstLine="0" w:firstLineChars="0"/>
        <w:outlineLvl w:val="1"/>
        <w:rPr>
          <w:rFonts w:cs="Times New Roman"/>
          <w:b/>
        </w:rPr>
      </w:pPr>
      <w:bookmarkStart w:id="259" w:name="_Toc107764615"/>
      <w:r>
        <w:rPr>
          <w:rFonts w:cs="Times New Roman"/>
          <w:b/>
        </w:rPr>
        <w:t>（二）加强住房与土地联动</w:t>
      </w:r>
      <w:bookmarkEnd w:id="259"/>
    </w:p>
    <w:p>
      <w:pPr>
        <w:ind w:firstLine="562"/>
        <w:rPr>
          <w:rFonts w:cs="Times New Roman"/>
        </w:rPr>
      </w:pPr>
      <w:r>
        <w:rPr>
          <w:rFonts w:cs="Times New Roman"/>
          <w:b/>
          <w:bCs/>
        </w:rPr>
        <w:t>保障住宅用地供给。</w:t>
      </w:r>
      <w:r>
        <w:rPr>
          <w:rFonts w:hint="eastAsia" w:cs="Times New Roman"/>
        </w:rPr>
        <w:t>根据“十四五”期间新增筹建各类住房目标，预计需要供应住宅用地</w:t>
      </w:r>
      <w:r>
        <w:rPr>
          <w:rFonts w:cs="Times New Roman"/>
        </w:rPr>
        <w:t>82-127.5</w:t>
      </w:r>
      <w:r>
        <w:rPr>
          <w:rFonts w:hint="eastAsia" w:cs="Times New Roman"/>
        </w:rPr>
        <w:t>公顷</w:t>
      </w:r>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建立与人口增长相挂钩、以需求定供给、以效益定供给的城市建设用地供应机制，合理配置土地资源。根据商品住房</w:t>
      </w:r>
      <w:r>
        <w:rPr>
          <w:rFonts w:hint="eastAsia" w:cs="Times New Roman"/>
        </w:rPr>
        <w:t>库存</w:t>
      </w:r>
      <w:r>
        <w:rPr>
          <w:rFonts w:cs="Times New Roman"/>
        </w:rPr>
        <w:t>消化周期，及时调整住宅用地供应规模和节奏，保障市场供需基本平衡。加快建立住宅用地价格指数监测，创新土地供给方式，及时调节土地出让价格，以稳定市场预期，防止房价地价大起大落。</w:t>
      </w:r>
    </w:p>
    <w:p>
      <w:pPr>
        <w:spacing w:before="312" w:beforeLines="100" w:after="312" w:afterLines="100"/>
        <w:ind w:firstLine="562"/>
        <w:outlineLvl w:val="1"/>
        <w:rPr>
          <w:rFonts w:cs="Times New Roman"/>
          <w:b/>
        </w:rPr>
      </w:pPr>
      <w:bookmarkStart w:id="260" w:name="_Toc107764616"/>
      <w:r>
        <w:rPr>
          <w:rFonts w:cs="Times New Roman"/>
          <w:b/>
        </w:rPr>
        <w:t>（三）完善房地产金融政策</w:t>
      </w:r>
      <w:bookmarkEnd w:id="260"/>
    </w:p>
    <w:p>
      <w:pPr>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ind w:firstLine="562"/>
        <w:rPr>
          <w:rFonts w:cs="Times New Roman"/>
        </w:rPr>
      </w:pPr>
      <w:r>
        <w:rPr>
          <w:rFonts w:hint="eastAsia" w:cs="Times New Roman"/>
          <w:b/>
          <w:bCs/>
        </w:rPr>
        <w:t>发挥公积金对居民合理自住购房的支持作用。</w:t>
      </w:r>
      <w:r>
        <w:rPr>
          <w:rFonts w:hint="eastAsia" w:cs="Times New Roman"/>
        </w:rPr>
        <w:t>改进和完善住房公积金缴存、提取、使用与监管机制，进一步扩大住房公积金覆盖面，全力推进民营企业建立住房公积金制度，支持灵活就业人员缴存住房公积金。提高住房公积金使用效率，加大购买首套和改善性住房的住房公积金信贷支持力度；支持异地缴存住房公积金的职工，在湛江市申请住房公积金贷款购买、建造、翻建、大修自住住房；支持职工按湛江市房屋租赁部门的指导性租金标准按季度提取住房公积金支付房租</w:t>
      </w:r>
      <w:r>
        <w:rPr>
          <w:rFonts w:cs="Times New Roman"/>
        </w:rPr>
        <w:t>。</w:t>
      </w:r>
    </w:p>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spacing w:before="312" w:beforeLines="100" w:after="312" w:afterLines="100"/>
        <w:ind w:firstLine="640"/>
        <w:outlineLvl w:val="0"/>
        <w:rPr>
          <w:rFonts w:eastAsia="黑体" w:cs="Times New Roman"/>
          <w:sz w:val="32"/>
        </w:rPr>
      </w:pPr>
      <w:bookmarkStart w:id="261" w:name="_Toc107764617"/>
      <w:r>
        <w:rPr>
          <w:rFonts w:eastAsia="黑体" w:cs="Times New Roman"/>
          <w:sz w:val="32"/>
        </w:rPr>
        <w:t>四、稳步提升住房保障水平</w:t>
      </w:r>
      <w:bookmarkEnd w:id="261"/>
    </w:p>
    <w:p>
      <w:pPr>
        <w:spacing w:before="312" w:beforeLines="100" w:after="312" w:afterLines="100"/>
        <w:ind w:firstLine="562"/>
        <w:outlineLvl w:val="1"/>
        <w:rPr>
          <w:rFonts w:cs="Times New Roman"/>
          <w:b/>
        </w:rPr>
      </w:pPr>
      <w:bookmarkStart w:id="262" w:name="_Toc107764618"/>
      <w:r>
        <w:rPr>
          <w:rFonts w:cs="Times New Roman"/>
          <w:b/>
        </w:rPr>
        <w:t>（一）加强住房基本保障</w:t>
      </w:r>
      <w:bookmarkEnd w:id="262"/>
    </w:p>
    <w:p>
      <w:pPr>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对于符合条件的生育三孩家庭、计划生育特殊家庭，同等条件下可按规定优先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受到更好的服务。</w:t>
      </w:r>
    </w:p>
    <w:p>
      <w:pPr>
        <w:spacing w:before="312" w:beforeLines="100" w:after="312" w:afterLines="100"/>
        <w:ind w:firstLine="562"/>
        <w:outlineLvl w:val="1"/>
        <w:rPr>
          <w:rFonts w:cs="Times New Roman"/>
          <w:b/>
        </w:rPr>
      </w:pPr>
      <w:bookmarkStart w:id="263" w:name="_Toc107764619"/>
      <w:r>
        <w:rPr>
          <w:rFonts w:cs="Times New Roman"/>
          <w:b/>
        </w:rPr>
        <w:t>（二）推动住房保障适度普惠</w:t>
      </w:r>
      <w:bookmarkEnd w:id="263"/>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cs="Times New Roman"/>
          <w:b/>
          <w:bCs/>
        </w:rPr>
        <w:t>积极开展保障性租赁住房试点。</w:t>
      </w:r>
      <w:r>
        <w:rPr>
          <w:rFonts w:cs="Times New Roman"/>
        </w:rPr>
        <w:t>开展保障性租赁住房需求人群摸底，评估保障性租赁住房供给潜力，支持和引导市场主体投资保障性租赁住房，鼓励产业园区项目配套建设保障性租赁住房。保障性租赁住房以小户型住房为主，建筑面积不超过70平方米，主要面向符合条件的新市民、青年人供应，租金水平一般低于同地段、同品质的市场租赁住房租金。</w:t>
      </w:r>
    </w:p>
    <w:p>
      <w:pPr>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312" w:beforeLines="100" w:after="312" w:afterLines="100"/>
        <w:ind w:firstLine="562"/>
        <w:outlineLvl w:val="1"/>
        <w:rPr>
          <w:rFonts w:cs="Times New Roman"/>
          <w:b/>
        </w:rPr>
      </w:pPr>
      <w:bookmarkStart w:id="264" w:name="_Toc107764620"/>
      <w:r>
        <w:rPr>
          <w:rFonts w:cs="Times New Roman"/>
          <w:b/>
        </w:rPr>
        <w:t>（三）加大高层次人才安居</w:t>
      </w:r>
      <w:bookmarkEnd w:id="264"/>
    </w:p>
    <w:p>
      <w:pPr>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312" w:beforeLines="100" w:after="312" w:afterLines="100"/>
        <w:ind w:firstLine="562"/>
        <w:outlineLvl w:val="1"/>
        <w:rPr>
          <w:rFonts w:cs="Times New Roman"/>
          <w:b/>
        </w:rPr>
      </w:pPr>
      <w:bookmarkStart w:id="265" w:name="_Toc107764621"/>
      <w:r>
        <w:rPr>
          <w:rFonts w:cs="Times New Roman"/>
          <w:b/>
        </w:rPr>
        <w:t>（四）创新重点行业人员住房保障机制</w:t>
      </w:r>
      <w:bookmarkEnd w:id="265"/>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w:t>
      </w:r>
      <w:r>
        <w:rPr>
          <w:rFonts w:hint="eastAsia" w:cs="Times New Roman"/>
        </w:rPr>
        <w:t>雷州</w:t>
      </w:r>
      <w:r>
        <w:rPr>
          <w:rFonts w:cs="Times New Roman"/>
        </w:rPr>
        <w:t>市人才安居重点企事业单位名录。在做好公租房基本保障，满足高层次人才安居的基础上，政府可统筹一部分房源面向重点企事业单位符合条件的无房职工配租，支持重点行业企业吸引人才、留住人才。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spacing w:before="312" w:beforeLines="100" w:after="312" w:afterLines="100"/>
        <w:ind w:firstLine="640"/>
        <w:outlineLvl w:val="0"/>
        <w:rPr>
          <w:rFonts w:eastAsia="黑体" w:cs="Times New Roman"/>
          <w:sz w:val="32"/>
        </w:rPr>
      </w:pPr>
      <w:bookmarkStart w:id="266" w:name="_Toc107764622"/>
      <w:r>
        <w:rPr>
          <w:rFonts w:eastAsia="黑体" w:cs="Times New Roman"/>
          <w:sz w:val="32"/>
        </w:rPr>
        <w:t>五、全面提升居住品质</w:t>
      </w:r>
      <w:bookmarkEnd w:id="266"/>
    </w:p>
    <w:p>
      <w:pPr>
        <w:spacing w:before="312" w:beforeLines="100" w:after="312" w:afterLines="100"/>
        <w:ind w:firstLine="562"/>
        <w:outlineLvl w:val="1"/>
        <w:rPr>
          <w:rFonts w:cs="Times New Roman"/>
          <w:b/>
        </w:rPr>
      </w:pPr>
      <w:bookmarkStart w:id="267" w:name="_Toc107764623"/>
      <w:r>
        <w:rPr>
          <w:rFonts w:cs="Times New Roman"/>
          <w:b/>
        </w:rPr>
        <w:t>（一）创建宜居活力社区</w:t>
      </w:r>
      <w:bookmarkEnd w:id="267"/>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312" w:beforeLines="100" w:after="312" w:afterLines="100"/>
        <w:ind w:firstLine="562"/>
        <w:outlineLvl w:val="1"/>
        <w:rPr>
          <w:rFonts w:cs="Times New Roman"/>
          <w:b/>
        </w:rPr>
      </w:pPr>
      <w:bookmarkStart w:id="268" w:name="_Toc107764624"/>
      <w:r>
        <w:rPr>
          <w:rFonts w:cs="Times New Roman"/>
          <w:b/>
        </w:rPr>
        <w:t>（二）建设智慧生态小区</w:t>
      </w:r>
      <w:bookmarkEnd w:id="268"/>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312" w:beforeLines="100" w:after="312" w:afterLines="100"/>
        <w:ind w:firstLine="562"/>
        <w:outlineLvl w:val="1"/>
        <w:rPr>
          <w:rFonts w:cs="Times New Roman"/>
          <w:b/>
        </w:rPr>
      </w:pPr>
      <w:bookmarkStart w:id="269" w:name="_Toc107764625"/>
      <w:r>
        <w:rPr>
          <w:rFonts w:cs="Times New Roman"/>
          <w:b/>
        </w:rPr>
        <w:t>（三）推进旅游地产转型</w:t>
      </w:r>
      <w:bookmarkEnd w:id="269"/>
    </w:p>
    <w:p>
      <w:pPr>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ind w:firstLine="562"/>
        <w:rPr>
          <w:rFonts w:cs="Times New Roman"/>
          <w:color w:val="FF0000"/>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spacing w:before="312" w:beforeLines="100" w:after="312" w:afterLines="100"/>
        <w:ind w:firstLine="640"/>
        <w:outlineLvl w:val="0"/>
        <w:rPr>
          <w:rFonts w:eastAsia="黑体" w:cs="Times New Roman"/>
          <w:sz w:val="32"/>
        </w:rPr>
      </w:pPr>
      <w:bookmarkStart w:id="270" w:name="_Toc107764626"/>
      <w:r>
        <w:rPr>
          <w:rFonts w:eastAsia="黑体" w:cs="Times New Roman"/>
          <w:sz w:val="32"/>
        </w:rPr>
        <w:t>六、保障措施</w:t>
      </w:r>
      <w:bookmarkEnd w:id="270"/>
    </w:p>
    <w:p>
      <w:pPr>
        <w:spacing w:before="312" w:beforeLines="100" w:after="312" w:afterLines="100"/>
        <w:ind w:firstLine="562"/>
        <w:outlineLvl w:val="1"/>
        <w:rPr>
          <w:rFonts w:cs="Times New Roman"/>
          <w:b/>
        </w:rPr>
      </w:pPr>
      <w:bookmarkStart w:id="271" w:name="_Toc107764627"/>
      <w:r>
        <w:rPr>
          <w:rFonts w:cs="Times New Roman"/>
          <w:b/>
        </w:rPr>
        <w:t>（一）加强组织领导</w:t>
      </w:r>
      <w:bookmarkEnd w:id="271"/>
    </w:p>
    <w:p>
      <w:pPr>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312" w:beforeLines="100" w:after="312" w:afterLines="100"/>
        <w:ind w:firstLine="562"/>
        <w:outlineLvl w:val="1"/>
        <w:rPr>
          <w:rFonts w:cs="Times New Roman"/>
          <w:b/>
        </w:rPr>
      </w:pPr>
      <w:bookmarkStart w:id="272" w:name="_Toc107764628"/>
      <w:r>
        <w:rPr>
          <w:rFonts w:cs="Times New Roman"/>
          <w:b/>
        </w:rPr>
        <w:t>（二）健全住房发展要素保障机制</w:t>
      </w:r>
      <w:bookmarkEnd w:id="272"/>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312" w:beforeLines="100" w:after="312" w:afterLines="100"/>
        <w:ind w:firstLine="562"/>
        <w:outlineLvl w:val="1"/>
        <w:rPr>
          <w:rFonts w:cs="Times New Roman"/>
          <w:b/>
        </w:rPr>
      </w:pPr>
      <w:bookmarkStart w:id="273" w:name="_Toc107764629"/>
      <w:r>
        <w:rPr>
          <w:rFonts w:cs="Times New Roman"/>
          <w:b/>
        </w:rPr>
        <w:t>（三）完善规划实施的评估机制</w:t>
      </w:r>
      <w:bookmarkEnd w:id="273"/>
    </w:p>
    <w:p>
      <w:pPr>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312" w:beforeLines="100" w:after="312" w:afterLines="100"/>
        <w:ind w:firstLine="562"/>
        <w:outlineLvl w:val="1"/>
        <w:rPr>
          <w:rFonts w:cs="Times New Roman"/>
          <w:b/>
        </w:rPr>
      </w:pPr>
      <w:bookmarkStart w:id="274" w:name="_Toc107764630"/>
      <w:r>
        <w:rPr>
          <w:rFonts w:cs="Times New Roman"/>
          <w:b/>
        </w:rPr>
        <w:t>（四）做好规划宣传引导工作</w:t>
      </w:r>
      <w:bookmarkEnd w:id="274"/>
    </w:p>
    <w:p>
      <w:pPr>
        <w:ind w:firstLine="560"/>
        <w:rPr>
          <w:rFonts w:eastAsia="黑体"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p>
      <w:pPr>
        <w:spacing w:line="320" w:lineRule="exact"/>
        <w:ind w:firstLine="0" w:firstLineChars="0"/>
        <w:rPr>
          <w:rFonts w:eastAsia="黑体" w:cs="Times New Roman"/>
        </w:rPr>
        <w:sectPr>
          <w:pgSz w:w="11906" w:h="16838"/>
          <w:pgMar w:top="1440" w:right="1800" w:bottom="1440" w:left="1800" w:header="851" w:footer="992" w:gutter="0"/>
          <w:cols w:space="425" w:num="1"/>
          <w:docGrid w:type="lines" w:linePitch="312" w:charSpace="0"/>
        </w:sectPr>
      </w:pPr>
    </w:p>
    <w:p>
      <w:pPr>
        <w:ind w:firstLine="0" w:firstLineChars="0"/>
        <w:rPr>
          <w:rFonts w:cs="Times New Roman"/>
        </w:rPr>
      </w:pPr>
    </w:p>
    <w:p>
      <w:pPr>
        <w:ind w:firstLine="0" w:firstLineChars="0"/>
        <w:rPr>
          <w:rFonts w:cs="Times New Roman"/>
        </w:rPr>
      </w:pPr>
      <w:r>
        <w:rPr>
          <w:rFonts w:cs="Times New Roman"/>
        </w:rPr>
        <w:t>分册五：</w:t>
      </w:r>
    </w:p>
    <w:p>
      <w:pPr>
        <w:ind w:firstLine="560"/>
        <w:rPr>
          <w:rFonts w:cs="Times New Roman"/>
        </w:rPr>
      </w:pPr>
    </w:p>
    <w:p>
      <w:pPr>
        <w:ind w:firstLine="560"/>
        <w:rPr>
          <w:rFonts w:cs="Times New Roman"/>
        </w:rPr>
      </w:pPr>
    </w:p>
    <w:p>
      <w:pPr>
        <w:ind w:firstLine="560"/>
        <w:rPr>
          <w:rFonts w:cs="Times New Roman"/>
        </w:rPr>
      </w:pPr>
    </w:p>
    <w:p>
      <w:pPr>
        <w:ind w:firstLine="0" w:firstLineChars="0"/>
        <w:jc w:val="center"/>
        <w:rPr>
          <w:rFonts w:eastAsia="方正小标宋简体" w:cs="Times New Roman"/>
          <w:sz w:val="48"/>
        </w:rPr>
      </w:pPr>
      <w:r>
        <w:rPr>
          <w:rFonts w:eastAsia="方正小标宋简体" w:cs="Times New Roman"/>
          <w:sz w:val="48"/>
        </w:rPr>
        <w:t>遂溪县“十四五”住房发展规划</w:t>
      </w: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50" w:type="first"/>
          <w:footerReference r:id="rId53" w:type="first"/>
          <w:headerReference r:id="rId48" w:type="default"/>
          <w:footerReference r:id="rId51" w:type="default"/>
          <w:headerReference r:id="rId49" w:type="even"/>
          <w:footerReference r:id="rId52" w:type="even"/>
          <w:pgSz w:w="11906" w:h="16838"/>
          <w:pgMar w:top="1440" w:right="1800" w:bottom="1440" w:left="1800" w:header="851" w:footer="992" w:gutter="0"/>
          <w:cols w:space="425" w:num="1"/>
          <w:docGrid w:type="lines" w:linePitch="312" w:charSpace="0"/>
        </w:sectPr>
      </w:pPr>
    </w:p>
    <w:p>
      <w:pPr>
        <w:tabs>
          <w:tab w:val="left" w:pos="3315"/>
        </w:tabs>
        <w:ind w:firstLine="560"/>
        <w:rPr>
          <w:rFonts w:eastAsia="黑体" w:cs="Times New Roman"/>
        </w:rPr>
      </w:pPr>
      <w:r>
        <w:rPr>
          <w:rFonts w:cs="Times New Roman"/>
        </w:rPr>
        <w:tab/>
      </w:r>
      <w:r>
        <w:rPr>
          <w:rFonts w:eastAsia="黑体" w:cs="Times New Roman"/>
          <w:sz w:val="32"/>
        </w:rPr>
        <w:t>目 录</w:t>
      </w:r>
    </w:p>
    <w:p>
      <w:pPr>
        <w:tabs>
          <w:tab w:val="right" w:leader="dot" w:pos="8296"/>
        </w:tabs>
        <w:spacing w:line="360" w:lineRule="auto"/>
        <w:ind w:firstLine="0" w:firstLineChars="0"/>
        <w:rPr>
          <w:rFonts w:asciiTheme="minorHAnsi" w:hAnsiTheme="minorHAnsi" w:eastAsiaTheme="minorEastAsia"/>
          <w:sz w:val="21"/>
        </w:rPr>
      </w:pPr>
      <w:r>
        <w:rPr>
          <w:rFonts w:eastAsia="黑体" w:cs="Times New Roman"/>
          <w:sz w:val="32"/>
        </w:rPr>
        <w:fldChar w:fldCharType="begin"/>
      </w:r>
      <w:r>
        <w:rPr>
          <w:rFonts w:eastAsia="黑体" w:cs="Times New Roman"/>
          <w:sz w:val="32"/>
        </w:rPr>
        <w:instrText xml:space="preserve"> TOC \o "1-3" \h \z \u </w:instrText>
      </w:r>
      <w:r>
        <w:rPr>
          <w:rFonts w:eastAsia="黑体" w:cs="Times New Roman"/>
          <w:sz w:val="32"/>
        </w:rPr>
        <w:fldChar w:fldCharType="separate"/>
      </w:r>
      <w:r>
        <w:fldChar w:fldCharType="begin"/>
      </w:r>
      <w:r>
        <w:instrText xml:space="preserve"> HYPERLINK \l "_Toc107764633" </w:instrText>
      </w:r>
      <w:r>
        <w:fldChar w:fldCharType="separate"/>
      </w:r>
      <w:r>
        <w:rPr>
          <w:rFonts w:eastAsia="黑体" w:cs="Times New Roman"/>
          <w:b/>
          <w:sz w:val="32"/>
        </w:rPr>
        <w:t>前 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_Toc107764633 \h </w:instrText>
      </w:r>
      <w:r>
        <w:rPr>
          <w:rFonts w:eastAsia="黑体" w:asciiTheme="minorHAnsi" w:hAnsiTheme="minorHAnsi"/>
          <w:b/>
          <w:sz w:val="32"/>
        </w:rPr>
        <w:fldChar w:fldCharType="separate"/>
      </w:r>
      <w:r>
        <w:rPr>
          <w:rFonts w:eastAsia="黑体" w:asciiTheme="minorHAnsi" w:hAnsiTheme="minorHAnsi"/>
          <w:b/>
          <w:sz w:val="32"/>
        </w:rPr>
        <w:t>109</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"_Toc107764634" </w:instrText>
      </w:r>
      <w:r>
        <w:fldChar w:fldCharType="separate"/>
      </w:r>
      <w:r>
        <w:rPr>
          <w:rFonts w:eastAsia="黑体" w:cs="Times New Roman"/>
          <w:b/>
          <w:sz w:val="32"/>
        </w:rPr>
        <w:t>一、指导思想和发展目标</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_Toc107764634 \h </w:instrText>
      </w:r>
      <w:r>
        <w:rPr>
          <w:rFonts w:eastAsia="黑体" w:asciiTheme="minorHAnsi" w:hAnsiTheme="minorHAnsi"/>
          <w:b/>
          <w:sz w:val="32"/>
        </w:rPr>
        <w:fldChar w:fldCharType="separate"/>
      </w:r>
      <w:r>
        <w:rPr>
          <w:rFonts w:eastAsia="黑体" w:asciiTheme="minorHAnsi" w:hAnsiTheme="minorHAnsi"/>
          <w:b/>
          <w:sz w:val="32"/>
        </w:rPr>
        <w:t>110</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"_Toc107764635" </w:instrText>
      </w:r>
      <w:r>
        <w:fldChar w:fldCharType="separate"/>
      </w:r>
      <w:r>
        <w:rPr>
          <w:rFonts w:cs="Times New Roman"/>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_Toc107764635 \h </w:instrText>
      </w:r>
      <w:r>
        <w:rPr>
          <w:rFonts w:asciiTheme="minorHAnsi" w:hAnsiTheme="minorHAnsi"/>
        </w:rPr>
        <w:fldChar w:fldCharType="separate"/>
      </w:r>
      <w:r>
        <w:rPr>
          <w:rFonts w:asciiTheme="minorHAnsi" w:hAnsiTheme="minorHAnsi"/>
        </w:rPr>
        <w:t>110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"_Toc107764636" </w:instrText>
      </w:r>
      <w:r>
        <w:fldChar w:fldCharType="separate"/>
      </w:r>
      <w:r>
        <w:rPr>
          <w:rFonts w:cs="Times New Roman"/>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_Toc107764636 \h </w:instrText>
      </w:r>
      <w:r>
        <w:rPr>
          <w:rFonts w:asciiTheme="minorHAnsi" w:hAnsiTheme="minorHAnsi"/>
        </w:rPr>
        <w:fldChar w:fldCharType="separate"/>
      </w:r>
      <w:r>
        <w:rPr>
          <w:rFonts w:asciiTheme="minorHAnsi" w:hAnsiTheme="minorHAnsi"/>
        </w:rPr>
        <w:t>110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"_Toc107764637" </w:instrText>
      </w:r>
      <w:r>
        <w:fldChar w:fldCharType="separate"/>
      </w:r>
      <w:r>
        <w:rPr>
          <w:rFonts w:cs="Times New Roman"/>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_Toc107764637 \h </w:instrText>
      </w:r>
      <w:r>
        <w:rPr>
          <w:rFonts w:asciiTheme="minorHAnsi" w:hAnsiTheme="minorHAnsi"/>
        </w:rPr>
        <w:fldChar w:fldCharType="separate"/>
      </w:r>
      <w:r>
        <w:rPr>
          <w:rFonts w:asciiTheme="minorHAnsi" w:hAnsiTheme="minorHAnsi"/>
        </w:rPr>
        <w:t>111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"_Toc107764638" </w:instrText>
      </w:r>
      <w:r>
        <w:fldChar w:fldCharType="separate"/>
      </w:r>
      <w:r>
        <w:rPr>
          <w:rFonts w:eastAsia="黑体" w:cs="Times New Roman"/>
          <w:b/>
          <w:sz w:val="32"/>
        </w:rPr>
        <w:t>二、构建合理住房空间布局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_Toc107764638 \h </w:instrText>
      </w:r>
      <w:r>
        <w:rPr>
          <w:rFonts w:eastAsia="黑体" w:asciiTheme="minorHAnsi" w:hAnsiTheme="minorHAnsi"/>
          <w:b/>
          <w:sz w:val="32"/>
        </w:rPr>
        <w:fldChar w:fldCharType="separate"/>
      </w:r>
      <w:r>
        <w:rPr>
          <w:rFonts w:eastAsia="黑体" w:asciiTheme="minorHAnsi" w:hAnsiTheme="minorHAnsi"/>
          <w:b/>
          <w:sz w:val="32"/>
        </w:rPr>
        <w:t>113</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"_Toc107764639" </w:instrText>
      </w:r>
      <w:r>
        <w:fldChar w:fldCharType="separate"/>
      </w:r>
      <w:r>
        <w:rPr>
          <w:rFonts w:cs="Times New Roman"/>
        </w:rPr>
        <w:t>（一）全面提升县城综合服务能力</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_Toc107764639 \h </w:instrText>
      </w:r>
      <w:r>
        <w:rPr>
          <w:rFonts w:asciiTheme="minorHAnsi" w:hAnsiTheme="minorHAnsi"/>
        </w:rPr>
        <w:fldChar w:fldCharType="separate"/>
      </w:r>
      <w:r>
        <w:rPr>
          <w:rFonts w:asciiTheme="minorHAnsi" w:hAnsiTheme="minorHAnsi"/>
        </w:rPr>
        <w:t>113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"_Toc107764640" </w:instrText>
      </w:r>
      <w:r>
        <w:fldChar w:fldCharType="separate"/>
      </w:r>
      <w:r>
        <w:rPr>
          <w:rFonts w:cs="Times New Roman"/>
        </w:rPr>
        <w:t>（二）促进县域重点平台产城融合发展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_Toc107764640 \h </w:instrText>
      </w:r>
      <w:r>
        <w:rPr>
          <w:rFonts w:asciiTheme="minorHAnsi" w:hAnsiTheme="minorHAnsi"/>
        </w:rPr>
        <w:fldChar w:fldCharType="separate"/>
      </w:r>
      <w:r>
        <w:rPr>
          <w:rFonts w:asciiTheme="minorHAnsi" w:hAnsiTheme="minorHAnsi"/>
        </w:rPr>
        <w:t>113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"_Toc107764641" </w:instrText>
      </w:r>
      <w:r>
        <w:fldChar w:fldCharType="separate"/>
      </w:r>
      <w:r>
        <w:rPr>
          <w:rFonts w:cs="Times New Roman"/>
        </w:rPr>
        <w:t>（三）合理引导乡镇住房发展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_Toc107764641 \h </w:instrText>
      </w:r>
      <w:r>
        <w:rPr>
          <w:rFonts w:asciiTheme="minorHAnsi" w:hAnsiTheme="minorHAnsi"/>
        </w:rPr>
        <w:fldChar w:fldCharType="separate"/>
      </w:r>
      <w:r>
        <w:rPr>
          <w:rFonts w:asciiTheme="minorHAnsi" w:hAnsiTheme="minorHAnsi"/>
        </w:rPr>
        <w:t>113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"_Toc107764642" </w:instrText>
      </w:r>
      <w:r>
        <w:fldChar w:fldCharType="separate"/>
      </w:r>
      <w:r>
        <w:rPr>
          <w:rFonts w:eastAsia="黑体" w:cs="Times New Roman"/>
          <w:b/>
          <w:sz w:val="32"/>
        </w:rPr>
        <w:t>三、促进房地产市场健康发展</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_Toc107764642 \h </w:instrText>
      </w:r>
      <w:r>
        <w:rPr>
          <w:rFonts w:eastAsia="黑体" w:asciiTheme="minorHAnsi" w:hAnsiTheme="minorHAnsi"/>
          <w:b/>
          <w:sz w:val="32"/>
        </w:rPr>
        <w:fldChar w:fldCharType="separate"/>
      </w:r>
      <w:r>
        <w:rPr>
          <w:rFonts w:eastAsia="黑体" w:asciiTheme="minorHAnsi" w:hAnsiTheme="minorHAnsi"/>
          <w:b/>
          <w:sz w:val="32"/>
        </w:rPr>
        <w:t>114</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"_Toc107764643" </w:instrText>
      </w:r>
      <w:r>
        <w:fldChar w:fldCharType="separate"/>
      </w:r>
      <w:r>
        <w:rPr>
          <w:rFonts w:cs="Times New Roman"/>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_Toc107764643 \h </w:instrText>
      </w:r>
      <w:r>
        <w:rPr>
          <w:rFonts w:asciiTheme="minorHAnsi" w:hAnsiTheme="minorHAnsi"/>
        </w:rPr>
        <w:fldChar w:fldCharType="separate"/>
      </w:r>
      <w:r>
        <w:rPr>
          <w:rFonts w:asciiTheme="minorHAnsi" w:hAnsiTheme="minorHAnsi"/>
        </w:rPr>
        <w:t>114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"_Toc107764644" </w:instrText>
      </w:r>
      <w:r>
        <w:fldChar w:fldCharType="separate"/>
      </w:r>
      <w:r>
        <w:rPr>
          <w:rFonts w:cs="Times New Roman"/>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_Toc107764644 \h </w:instrText>
      </w:r>
      <w:r>
        <w:rPr>
          <w:rFonts w:asciiTheme="minorHAnsi" w:hAnsiTheme="minorHAnsi"/>
        </w:rPr>
        <w:fldChar w:fldCharType="separate"/>
      </w:r>
      <w:r>
        <w:rPr>
          <w:rFonts w:asciiTheme="minorHAnsi" w:hAnsiTheme="minorHAnsi"/>
        </w:rPr>
        <w:t>115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"_Toc107764645" </w:instrText>
      </w:r>
      <w:r>
        <w:fldChar w:fldCharType="separate"/>
      </w:r>
      <w:r>
        <w:rPr>
          <w:rFonts w:cs="Times New Roman"/>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_Toc107764645 \h </w:instrText>
      </w:r>
      <w:r>
        <w:rPr>
          <w:rFonts w:asciiTheme="minorHAnsi" w:hAnsiTheme="minorHAnsi"/>
        </w:rPr>
        <w:fldChar w:fldCharType="separate"/>
      </w:r>
      <w:r>
        <w:rPr>
          <w:rFonts w:asciiTheme="minorHAnsi" w:hAnsiTheme="minorHAnsi"/>
        </w:rPr>
        <w:t>115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"_Toc107764646" </w:instrText>
      </w:r>
      <w:r>
        <w:fldChar w:fldCharType="separate"/>
      </w:r>
      <w:r>
        <w:rPr>
          <w:rFonts w:eastAsia="黑体" w:cs="Times New Roman"/>
          <w:b/>
          <w:sz w:val="32"/>
        </w:rPr>
        <w:t>四、稳步提升住房保障水平</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_Toc107764646 \h </w:instrText>
      </w:r>
      <w:r>
        <w:rPr>
          <w:rFonts w:eastAsia="黑体" w:asciiTheme="minorHAnsi" w:hAnsiTheme="minorHAnsi"/>
          <w:b/>
          <w:sz w:val="32"/>
        </w:rPr>
        <w:fldChar w:fldCharType="separate"/>
      </w:r>
      <w:r>
        <w:rPr>
          <w:rFonts w:eastAsia="黑体" w:asciiTheme="minorHAnsi" w:hAnsiTheme="minorHAnsi"/>
          <w:b/>
          <w:sz w:val="32"/>
        </w:rPr>
        <w:t>116</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"_Toc107764647" </w:instrText>
      </w:r>
      <w:r>
        <w:fldChar w:fldCharType="separate"/>
      </w:r>
      <w:r>
        <w:rPr>
          <w:rFonts w:cs="Times New Roman"/>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_Toc107764647 \h </w:instrText>
      </w:r>
      <w:r>
        <w:rPr>
          <w:rFonts w:asciiTheme="minorHAnsi" w:hAnsiTheme="minorHAnsi"/>
        </w:rPr>
        <w:fldChar w:fldCharType="separate"/>
      </w:r>
      <w:r>
        <w:rPr>
          <w:rFonts w:asciiTheme="minorHAnsi" w:hAnsiTheme="minorHAnsi"/>
        </w:rPr>
        <w:t>116</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"_Toc107764648" </w:instrText>
      </w:r>
      <w:r>
        <w:fldChar w:fldCharType="separate"/>
      </w:r>
      <w:r>
        <w:rPr>
          <w:rFonts w:cs="Times New Roman"/>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_Toc107764648 \h </w:instrText>
      </w:r>
      <w:r>
        <w:rPr>
          <w:rFonts w:asciiTheme="minorHAnsi" w:hAnsiTheme="minorHAnsi"/>
        </w:rPr>
        <w:fldChar w:fldCharType="separate"/>
      </w:r>
      <w:r>
        <w:rPr>
          <w:rFonts w:asciiTheme="minorHAnsi" w:hAnsiTheme="minorHAnsi"/>
        </w:rPr>
        <w:t>117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"_Toc107764649" </w:instrText>
      </w:r>
      <w:r>
        <w:fldChar w:fldCharType="separate"/>
      </w:r>
      <w:r>
        <w:rPr>
          <w:rFonts w:cs="Times New Roman"/>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_Toc107764649 \h </w:instrText>
      </w:r>
      <w:r>
        <w:rPr>
          <w:rFonts w:asciiTheme="minorHAnsi" w:hAnsiTheme="minorHAnsi"/>
        </w:rPr>
        <w:fldChar w:fldCharType="separate"/>
      </w:r>
      <w:r>
        <w:rPr>
          <w:rFonts w:asciiTheme="minorHAnsi" w:hAnsiTheme="minorHAnsi"/>
        </w:rPr>
        <w:t>117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"_Toc107764650" </w:instrText>
      </w:r>
      <w:r>
        <w:fldChar w:fldCharType="separate"/>
      </w:r>
      <w:r>
        <w:rPr>
          <w:rFonts w:cs="Times New Roman"/>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_Toc107764650 \h </w:instrText>
      </w:r>
      <w:r>
        <w:rPr>
          <w:rFonts w:asciiTheme="minorHAnsi" w:hAnsiTheme="minorHAnsi"/>
        </w:rPr>
        <w:fldChar w:fldCharType="separate"/>
      </w:r>
      <w:r>
        <w:rPr>
          <w:rFonts w:asciiTheme="minorHAnsi" w:hAnsiTheme="minorHAnsi"/>
        </w:rPr>
        <w:t>118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"_Toc107764651" </w:instrText>
      </w:r>
      <w:r>
        <w:fldChar w:fldCharType="separate"/>
      </w:r>
      <w:r>
        <w:rPr>
          <w:rFonts w:eastAsia="黑体" w:cs="Times New Roman"/>
          <w:b/>
          <w:sz w:val="32"/>
        </w:rPr>
        <w:t>五、全面提升居住品质</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_Toc107764651 \h </w:instrText>
      </w:r>
      <w:r>
        <w:rPr>
          <w:rFonts w:eastAsia="黑体" w:asciiTheme="minorHAnsi" w:hAnsiTheme="minorHAnsi"/>
          <w:b/>
          <w:sz w:val="32"/>
        </w:rPr>
        <w:fldChar w:fldCharType="separate"/>
      </w:r>
      <w:r>
        <w:rPr>
          <w:rFonts w:eastAsia="黑体" w:asciiTheme="minorHAnsi" w:hAnsiTheme="minorHAnsi"/>
          <w:b/>
          <w:sz w:val="32"/>
        </w:rPr>
        <w:t>118</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"_Toc107764652" </w:instrText>
      </w:r>
      <w:r>
        <w:fldChar w:fldCharType="separate"/>
      </w:r>
      <w:r>
        <w:rPr>
          <w:rFonts w:cs="Times New Roman"/>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_Toc107764652 \h </w:instrText>
      </w:r>
      <w:r>
        <w:rPr>
          <w:rFonts w:asciiTheme="minorHAnsi" w:hAnsiTheme="minorHAnsi"/>
        </w:rPr>
        <w:fldChar w:fldCharType="separate"/>
      </w:r>
      <w:r>
        <w:rPr>
          <w:rFonts w:asciiTheme="minorHAnsi" w:hAnsiTheme="minorHAnsi"/>
        </w:rPr>
        <w:t>118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"_Toc107764653" </w:instrText>
      </w:r>
      <w:r>
        <w:fldChar w:fldCharType="separate"/>
      </w:r>
      <w:r>
        <w:rPr>
          <w:rFonts w:cs="Times New Roman"/>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_Toc107764653 \h </w:instrText>
      </w:r>
      <w:r>
        <w:rPr>
          <w:rFonts w:asciiTheme="minorHAnsi" w:hAnsiTheme="minorHAnsi"/>
        </w:rPr>
        <w:fldChar w:fldCharType="separate"/>
      </w:r>
      <w:r>
        <w:rPr>
          <w:rFonts w:asciiTheme="minorHAnsi" w:hAnsiTheme="minorHAnsi"/>
        </w:rPr>
        <w:t>120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"_Toc107764654" </w:instrText>
      </w:r>
      <w:r>
        <w:fldChar w:fldCharType="separate"/>
      </w:r>
      <w:r>
        <w:rPr>
          <w:rFonts w:cs="Times New Roman"/>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_Toc107764654 \h </w:instrText>
      </w:r>
      <w:r>
        <w:rPr>
          <w:rFonts w:asciiTheme="minorHAnsi" w:hAnsiTheme="minorHAnsi"/>
        </w:rPr>
        <w:fldChar w:fldCharType="separate"/>
      </w:r>
      <w:r>
        <w:rPr>
          <w:rFonts w:asciiTheme="minorHAnsi" w:hAnsiTheme="minorHAnsi"/>
        </w:rPr>
        <w:t>120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"_Toc107764655" </w:instrText>
      </w:r>
      <w:r>
        <w:fldChar w:fldCharType="separate"/>
      </w:r>
      <w:r>
        <w:rPr>
          <w:rFonts w:eastAsia="黑体" w:cs="Times New Roman"/>
          <w:b/>
          <w:sz w:val="32"/>
        </w:rPr>
        <w:t>六、保障措施</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_Toc107764655 \h </w:instrText>
      </w:r>
      <w:r>
        <w:rPr>
          <w:rFonts w:eastAsia="黑体" w:asciiTheme="minorHAnsi" w:hAnsiTheme="minorHAnsi"/>
          <w:b/>
          <w:sz w:val="32"/>
        </w:rPr>
        <w:fldChar w:fldCharType="separate"/>
      </w:r>
      <w:r>
        <w:rPr>
          <w:rFonts w:eastAsia="黑体" w:asciiTheme="minorHAnsi" w:hAnsiTheme="minorHAnsi"/>
          <w:b/>
          <w:sz w:val="32"/>
        </w:rPr>
        <w:t>121</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"_Toc107764656" </w:instrText>
      </w:r>
      <w:r>
        <w:fldChar w:fldCharType="separate"/>
      </w:r>
      <w:r>
        <w:rPr>
          <w:rFonts w:cs="Times New Roman"/>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_Toc107764656 \h </w:instrText>
      </w:r>
      <w:r>
        <w:rPr>
          <w:rFonts w:asciiTheme="minorHAnsi" w:hAnsiTheme="minorHAnsi"/>
        </w:rPr>
        <w:fldChar w:fldCharType="separate"/>
      </w:r>
      <w:r>
        <w:rPr>
          <w:rFonts w:asciiTheme="minorHAnsi" w:hAnsiTheme="minorHAnsi"/>
        </w:rPr>
        <w:t>121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"_Toc107764657" </w:instrText>
      </w:r>
      <w:r>
        <w:fldChar w:fldCharType="separate"/>
      </w:r>
      <w:r>
        <w:rPr>
          <w:rFonts w:cs="Times New Roman"/>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_Toc107764657 \h </w:instrText>
      </w:r>
      <w:r>
        <w:rPr>
          <w:rFonts w:asciiTheme="minorHAnsi" w:hAnsiTheme="minorHAnsi"/>
        </w:rPr>
        <w:fldChar w:fldCharType="separate"/>
      </w:r>
      <w:r>
        <w:rPr>
          <w:rFonts w:asciiTheme="minorHAnsi" w:hAnsiTheme="minorHAnsi"/>
        </w:rPr>
        <w:t>121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"_Toc107764658" </w:instrText>
      </w:r>
      <w:r>
        <w:fldChar w:fldCharType="separate"/>
      </w:r>
      <w:r>
        <w:rPr>
          <w:rFonts w:cs="Times New Roman"/>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_Toc107764658 \h </w:instrText>
      </w:r>
      <w:r>
        <w:rPr>
          <w:rFonts w:asciiTheme="minorHAnsi" w:hAnsiTheme="minorHAnsi"/>
        </w:rPr>
        <w:fldChar w:fldCharType="separate"/>
      </w:r>
      <w:r>
        <w:rPr>
          <w:rFonts w:asciiTheme="minorHAnsi" w:hAnsiTheme="minorHAnsi"/>
        </w:rPr>
        <w:t>122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"_Toc107764659" </w:instrText>
      </w:r>
      <w:r>
        <w:fldChar w:fldCharType="separate"/>
      </w:r>
      <w:r>
        <w:rPr>
          <w:rFonts w:cs="Times New Roman"/>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_Toc107764659 \h </w:instrText>
      </w:r>
      <w:r>
        <w:rPr>
          <w:rFonts w:asciiTheme="minorHAnsi" w:hAnsiTheme="minorHAnsi"/>
        </w:rPr>
        <w:fldChar w:fldCharType="separate"/>
      </w:r>
      <w:r>
        <w:rPr>
          <w:rFonts w:asciiTheme="minorHAnsi" w:hAnsiTheme="minorHAnsi"/>
        </w:rPr>
        <w:t>122</w:t>
      </w:r>
      <w:r>
        <w:rPr>
          <w:rFonts w:asciiTheme="minorHAnsi" w:hAnsiTheme="minorHAnsi"/>
        </w:rPr>
        <w:fldChar w:fldCharType="end"/>
      </w:r>
      <w:r>
        <w:rPr>
          <w:rFonts w:asciiTheme="minorHAnsi" w:hAnsiTheme="minorHAnsi"/>
        </w:rPr>
        <w:fldChar w:fldCharType="end"/>
      </w:r>
    </w:p>
    <w:p>
      <w:pPr>
        <w:spacing w:before="312" w:beforeLines="100" w:after="312" w:afterLines="100"/>
        <w:ind w:firstLine="0" w:firstLineChars="0"/>
        <w:outlineLvl w:val="0"/>
        <w:rPr>
          <w:rFonts w:eastAsia="黑体" w:cs="Times New Roman"/>
          <w:b/>
          <w:sz w:val="32"/>
        </w:rPr>
        <w:sectPr>
          <w:headerReference r:id="rId54" w:type="default"/>
          <w:footerReference r:id="rId55" w:type="default"/>
          <w:pgSz w:w="11906" w:h="16838"/>
          <w:pgMar w:top="1440" w:right="1800" w:bottom="1440" w:left="1800" w:header="851" w:footer="992" w:gutter="0"/>
          <w:cols w:space="425" w:num="1"/>
          <w:docGrid w:type="lines" w:linePitch="312" w:charSpace="0"/>
        </w:sectPr>
      </w:pPr>
      <w:r>
        <w:rPr>
          <w:rFonts w:eastAsia="黑体" w:cs="Times New Roman"/>
          <w:b/>
          <w:sz w:val="32"/>
        </w:rPr>
        <w:fldChar w:fldCharType="end"/>
      </w:r>
    </w:p>
    <w:p>
      <w:pPr>
        <w:spacing w:before="312" w:beforeLines="100" w:after="312" w:afterLines="100"/>
        <w:ind w:firstLine="0" w:firstLineChars="0"/>
        <w:outlineLvl w:val="0"/>
        <w:rPr>
          <w:rFonts w:eastAsia="黑体" w:cs="Times New Roman"/>
          <w:sz w:val="32"/>
        </w:rPr>
      </w:pPr>
    </w:p>
    <w:p>
      <w:pPr>
        <w:spacing w:before="312" w:beforeLines="100" w:after="312" w:afterLines="100"/>
        <w:ind w:firstLine="0" w:firstLineChars="0"/>
        <w:jc w:val="center"/>
        <w:outlineLvl w:val="0"/>
        <w:rPr>
          <w:rFonts w:eastAsia="黑体" w:cs="Times New Roman"/>
          <w:sz w:val="32"/>
        </w:rPr>
      </w:pPr>
      <w:bookmarkStart w:id="275" w:name="_Toc107764633"/>
      <w:r>
        <w:rPr>
          <w:rFonts w:eastAsia="黑体" w:cs="Times New Roman"/>
          <w:sz w:val="32"/>
        </w:rPr>
        <w:t>前 言</w:t>
      </w:r>
      <w:bookmarkEnd w:id="275"/>
    </w:p>
    <w:p>
      <w:pPr>
        <w:ind w:firstLine="560"/>
        <w:rPr>
          <w:rFonts w:cs="Times New Roman"/>
        </w:rPr>
      </w:pPr>
      <w:r>
        <w:rPr>
          <w:rFonts w:cs="Times New Roman"/>
        </w:rPr>
        <w:t>《湛江市“十四五”住房发展规划》阐明了“十四五”期间全市住房发展的指导思想和发展目标、空间布局、主要任务和保障措施。为了深入推进“一城一策”，结合遂溪县实际，制定了《分册五：遂溪县“十四五”住房发展规划》。该分册在《湛江市“十四五”住房发展规划》的基础上，进一步明确“十四五”时期遂溪县住房发展总体目标、年度目标和空间布局等内容，旨在促进湛江市住房发展规划在县（市、区）层面落实。</w:t>
      </w:r>
      <w:r>
        <w:rPr>
          <w:rFonts w:cs="Times New Roman"/>
        </w:rPr>
        <w:br w:type="page"/>
      </w:r>
    </w:p>
    <w:p>
      <w:pPr>
        <w:spacing w:before="312" w:beforeLines="100" w:after="312" w:afterLines="100"/>
        <w:ind w:firstLine="640"/>
        <w:outlineLvl w:val="0"/>
        <w:rPr>
          <w:rFonts w:eastAsia="黑体" w:cs="Times New Roman"/>
          <w:sz w:val="32"/>
        </w:rPr>
      </w:pPr>
      <w:bookmarkStart w:id="276" w:name="_Toc107764634"/>
      <w:r>
        <w:rPr>
          <w:rFonts w:eastAsia="黑体" w:cs="Times New Roman"/>
          <w:sz w:val="32"/>
        </w:rPr>
        <w:t>一、指导思想和发展目标</w:t>
      </w:r>
      <w:bookmarkEnd w:id="276"/>
    </w:p>
    <w:p>
      <w:pPr>
        <w:spacing w:before="312" w:beforeLines="100" w:after="312" w:afterLines="100"/>
        <w:ind w:firstLine="562"/>
        <w:outlineLvl w:val="1"/>
        <w:rPr>
          <w:rFonts w:cs="Times New Roman"/>
          <w:b/>
        </w:rPr>
      </w:pPr>
      <w:bookmarkStart w:id="277" w:name="_Toc107764635"/>
      <w:r>
        <w:rPr>
          <w:rFonts w:cs="Times New Roman"/>
          <w:b/>
        </w:rPr>
        <w:t>（一）指导思想</w:t>
      </w:r>
      <w:bookmarkEnd w:id="277"/>
    </w:p>
    <w:p>
      <w:pPr>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促进住房与经济社会协同发展。</w:t>
      </w:r>
    </w:p>
    <w:p>
      <w:pPr>
        <w:spacing w:before="312" w:beforeLines="100" w:after="312" w:afterLines="100"/>
        <w:ind w:firstLine="562"/>
        <w:outlineLvl w:val="1"/>
        <w:rPr>
          <w:rFonts w:cs="Times New Roman"/>
          <w:b/>
        </w:rPr>
      </w:pPr>
      <w:bookmarkStart w:id="278" w:name="_Toc107764636"/>
      <w:r>
        <w:rPr>
          <w:rFonts w:cs="Times New Roman"/>
          <w:b/>
        </w:rPr>
        <w:t>（二）基本原则</w:t>
      </w:r>
      <w:bookmarkEnd w:id="278"/>
    </w:p>
    <w:p>
      <w:pPr>
        <w:ind w:firstLine="562"/>
        <w:rPr>
          <w:rFonts w:cs="Times New Roman"/>
          <w:b/>
          <w:bCs/>
        </w:rPr>
      </w:pPr>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ind w:firstLine="562"/>
        <w:rPr>
          <w:rFonts w:cs="Times New Roman"/>
          <w:b/>
          <w:bCs/>
        </w:rPr>
      </w:pPr>
      <w:r>
        <w:rPr>
          <w:rFonts w:cs="Times New Roman"/>
          <w:b/>
          <w:bCs/>
        </w:rPr>
        <w:t>2.坚持系统观念、创新发展原则。</w:t>
      </w:r>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rPr>
          <w:rFonts w:cs="Times New Roman"/>
          <w:b/>
          <w:bCs/>
        </w:rPr>
      </w:pPr>
      <w:r>
        <w:rPr>
          <w:rFonts w:cs="Times New Roman"/>
          <w:b/>
          <w:bCs/>
        </w:rPr>
        <w:t>3.坚持政府引导，市场配置原则。</w:t>
      </w:r>
    </w:p>
    <w:p>
      <w:pPr>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ind w:firstLine="562"/>
        <w:rPr>
          <w:rFonts w:cs="Times New Roman"/>
          <w:b/>
          <w:bCs/>
        </w:rPr>
      </w:pPr>
      <w:r>
        <w:rPr>
          <w:rFonts w:cs="Times New Roman"/>
          <w:b/>
          <w:bCs/>
        </w:rPr>
        <w:t>4.坚持因城施策、特色发展原则。</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充分考虑地区发展的差异性，因地制宜促进房地产市场平稳健康发展，充分发挥住房发展对于实体经济的支撑作用，促进地方经济、产业发展和特色旅游资源开发。</w:t>
      </w:r>
    </w:p>
    <w:p>
      <w:pPr>
        <w:spacing w:before="312" w:beforeLines="100" w:after="312" w:afterLines="100"/>
        <w:ind w:firstLine="562"/>
        <w:outlineLvl w:val="1"/>
        <w:rPr>
          <w:rFonts w:cs="Times New Roman"/>
          <w:b/>
        </w:rPr>
      </w:pPr>
      <w:bookmarkStart w:id="279" w:name="_Toc107764637"/>
      <w:r>
        <w:rPr>
          <w:rFonts w:cs="Times New Roman"/>
          <w:b/>
        </w:rPr>
        <w:t>（三）住房目标</w:t>
      </w:r>
      <w:bookmarkEnd w:id="279"/>
    </w:p>
    <w:p>
      <w:pPr>
        <w:spacing w:before="156" w:beforeLines="50" w:line="360" w:lineRule="auto"/>
        <w:ind w:firstLine="562"/>
        <w:rPr>
          <w:rFonts w:cs="Times New Roman"/>
          <w:b/>
          <w:bCs/>
        </w:rPr>
      </w:pPr>
      <w:bookmarkStart w:id="280" w:name="_Hlk84871875"/>
      <w:r>
        <w:rPr>
          <w:rFonts w:cs="Times New Roman"/>
          <w:b/>
          <w:bCs/>
        </w:rPr>
        <w:t>1、总体目标</w:t>
      </w:r>
    </w:p>
    <w:bookmarkEnd w:id="280"/>
    <w:p>
      <w:pPr>
        <w:spacing w:line="360" w:lineRule="auto"/>
        <w:ind w:firstLine="560"/>
        <w:rPr>
          <w:rFonts w:cs="Times New Roman"/>
        </w:rPr>
      </w:pPr>
      <w:r>
        <w:rPr>
          <w:rFonts w:cs="Times New Roman"/>
        </w:rPr>
        <w:t>“十四五”期间，稳步增加住房供给，规划新增供应新建商品住房30000-40000套；不断提升住房保障水平，规划新增筹建公共租赁住房不低于70套，新增发放租赁补贴家庭不低于160户，探索发展人才公寓</w:t>
      </w:r>
      <w:r>
        <w:rPr>
          <w:rFonts w:hint="eastAsia" w:cs="Times New Roman"/>
        </w:rPr>
        <w:t>、</w:t>
      </w:r>
      <w:r>
        <w:rPr>
          <w:rFonts w:cs="Times New Roman"/>
        </w:rPr>
        <w:t>保障性租赁住房和共有产权住房，不断建立健全多层次、高品质的现代化住房供给体系，支持遂溪县与湛江同城化发展，基本建成环北部湾城市群重要的交通与特色农产品商贸物流枢纽、粤西绿色发展示范县、产业兴旺和生态宜居城市。</w:t>
      </w:r>
    </w:p>
    <w:p>
      <w:pPr>
        <w:spacing w:line="360" w:lineRule="auto"/>
        <w:ind w:firstLine="560"/>
        <w:jc w:val="center"/>
        <w:rPr>
          <w:rFonts w:eastAsia="黑体" w:cs="Times New Roman"/>
        </w:rPr>
      </w:pPr>
      <w:r>
        <w:rPr>
          <w:rFonts w:eastAsia="黑体" w:cs="Times New Roman"/>
        </w:rPr>
        <w:br w:type="page"/>
      </w:r>
    </w:p>
    <w:p>
      <w:pPr>
        <w:spacing w:line="360" w:lineRule="auto"/>
        <w:ind w:firstLine="0" w:firstLineChars="0"/>
        <w:jc w:val="center"/>
        <w:rPr>
          <w:rFonts w:eastAsia="黑体" w:cs="Times New Roman"/>
        </w:rPr>
      </w:pPr>
      <w:r>
        <w:rPr>
          <w:rFonts w:eastAsia="黑体" w:cs="Times New Roman"/>
        </w:rPr>
        <w:t>表1 “十四五”遂溪县住房发展规模目标表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遂溪县</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bl>
    <w:p>
      <w:pPr>
        <w:ind w:firstLine="0" w:firstLineChars="0"/>
        <w:jc w:val="left"/>
        <w:rPr>
          <w:rFonts w:cs="Times New Roman"/>
          <w:sz w:val="24"/>
        </w:rPr>
      </w:pPr>
      <w:r>
        <w:rPr>
          <w:rFonts w:cs="Times New Roman"/>
          <w:sz w:val="24"/>
        </w:rPr>
        <w:t xml:space="preserve">注： </w:t>
      </w:r>
    </w:p>
    <w:p>
      <w:pPr>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ind w:firstLine="0" w:firstLineChars="0"/>
        <w:rPr>
          <w:rFonts w:eastAsia="黑体" w:cs="Times New Roman"/>
        </w:rPr>
      </w:pPr>
      <w:r>
        <w:rPr>
          <w:rFonts w:cs="Times New Roman"/>
          <w:sz w:val="24"/>
          <w:szCs w:val="24"/>
        </w:rPr>
        <w:t>3.保障性租赁住房包括符合条件的人才公寓。</w:t>
      </w:r>
    </w:p>
    <w:p>
      <w:pPr>
        <w:spacing w:before="156" w:beforeLines="50" w:line="360" w:lineRule="auto"/>
        <w:ind w:firstLine="562"/>
        <w:rPr>
          <w:rFonts w:cs="Times New Roman"/>
          <w:b/>
          <w:bCs/>
        </w:rPr>
      </w:pPr>
      <w:r>
        <w:rPr>
          <w:rFonts w:cs="Times New Roman"/>
          <w:b/>
          <w:bCs/>
        </w:rPr>
        <w:t>2、年度目标：</w:t>
      </w:r>
    </w:p>
    <w:p>
      <w:pPr>
        <w:spacing w:line="360" w:lineRule="auto"/>
        <w:ind w:firstLine="560"/>
        <w:rPr>
          <w:rFonts w:cs="Times New Roman"/>
        </w:rPr>
      </w:pPr>
      <w:r>
        <w:rPr>
          <w:rFonts w:cs="Times New Roman"/>
        </w:rPr>
        <w:t>为了落实“十四五”遂溪县住房发展目标，规划将目标分解至各年度：</w:t>
      </w:r>
    </w:p>
    <w:p>
      <w:pPr>
        <w:spacing w:line="360" w:lineRule="auto"/>
        <w:ind w:firstLine="0" w:firstLineChars="0"/>
        <w:jc w:val="center"/>
        <w:rPr>
          <w:rFonts w:eastAsia="黑体" w:cs="Times New Roman"/>
        </w:rPr>
      </w:pPr>
      <w:r>
        <w:rPr>
          <w:rFonts w:eastAsia="黑体" w:cs="Times New Roman"/>
        </w:rPr>
        <w:t>“十四五”遂溪县住房发展年度计划表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5500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7000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6500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30000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40000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160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bl>
    <w:p>
      <w:pPr>
        <w:ind w:firstLine="0" w:firstLineChars="0"/>
        <w:jc w:val="left"/>
        <w:rPr>
          <w:rFonts w:cs="Times New Roman"/>
          <w:sz w:val="24"/>
        </w:rPr>
      </w:pPr>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ind w:firstLine="0" w:firstLineChars="0"/>
        <w:rPr>
          <w:rFonts w:cs="Times New Roman"/>
          <w:highlight w:val="yellow"/>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p>
    <w:p>
      <w:pPr>
        <w:spacing w:before="312" w:beforeLines="100" w:after="312" w:afterLines="100"/>
        <w:ind w:firstLine="640"/>
        <w:outlineLvl w:val="0"/>
        <w:rPr>
          <w:rFonts w:eastAsia="黑体" w:cs="Times New Roman"/>
          <w:sz w:val="32"/>
        </w:rPr>
      </w:pPr>
      <w:bookmarkStart w:id="281" w:name="_Toc107764638"/>
      <w:r>
        <w:rPr>
          <w:rFonts w:eastAsia="黑体" w:cs="Times New Roman"/>
          <w:sz w:val="32"/>
        </w:rPr>
        <w:t>二、构建合理住房空间布局</w:t>
      </w:r>
      <w:bookmarkEnd w:id="281"/>
    </w:p>
    <w:p>
      <w:pPr>
        <w:spacing w:before="312" w:beforeLines="100" w:after="312" w:afterLines="100"/>
        <w:ind w:left="562" w:firstLine="0" w:firstLineChars="0"/>
        <w:outlineLvl w:val="1"/>
        <w:rPr>
          <w:rFonts w:cs="Times New Roman"/>
          <w:b/>
        </w:rPr>
      </w:pPr>
      <w:bookmarkStart w:id="282" w:name="_Toc107764639"/>
      <w:r>
        <w:rPr>
          <w:rFonts w:cs="Times New Roman"/>
          <w:b/>
        </w:rPr>
        <w:t>（一）全面提升县城综合服务能力</w:t>
      </w:r>
      <w:bookmarkEnd w:id="282"/>
    </w:p>
    <w:p>
      <w:pPr>
        <w:ind w:firstLine="560"/>
        <w:rPr>
          <w:rFonts w:cs="Times New Roman"/>
        </w:rPr>
      </w:pPr>
      <w:r>
        <w:rPr>
          <w:rFonts w:cs="Times New Roman"/>
        </w:rPr>
        <w:t>县城形成“一心、一轴、一带、多片区”的空间结构，沿西溪河中心湖北岸打造城市综合服务中心，深入推进老城扩容提质，完善新区功能布局，促进县城向南拓展，实现与湛江同城化发展；稳步增加住房供给，发挥好房地产开发对城镇建设的带动作用，加快县城、特大镇基础设施和公共服务设施补短板，全面提升城镇建设和社区服务水平，将县城打造成为服务县域农民的重要阵地和扩大内需的重要支撑点，引导农村转移人口有序向县城集聚。</w:t>
      </w:r>
    </w:p>
    <w:p>
      <w:pPr>
        <w:spacing w:before="312" w:beforeLines="100" w:after="312" w:afterLines="100"/>
        <w:ind w:left="562" w:firstLine="0" w:firstLineChars="0"/>
        <w:outlineLvl w:val="1"/>
        <w:rPr>
          <w:rFonts w:cs="Times New Roman"/>
          <w:b/>
        </w:rPr>
      </w:pPr>
      <w:bookmarkStart w:id="283" w:name="_Toc107764640"/>
      <w:r>
        <w:rPr>
          <w:rFonts w:cs="Times New Roman"/>
          <w:b/>
        </w:rPr>
        <w:t>（二）促进县域重点平台产城融合发展</w:t>
      </w:r>
      <w:bookmarkEnd w:id="283"/>
    </w:p>
    <w:p>
      <w:pPr>
        <w:ind w:firstLine="560"/>
        <w:rPr>
          <w:rFonts w:cs="Times New Roman"/>
        </w:rPr>
      </w:pPr>
      <w:r>
        <w:rPr>
          <w:rFonts w:cs="Times New Roman"/>
        </w:rPr>
        <w:t>完善岭北、白坭坡、洋青园区和黄略建材产业园的居住生活配套，以需定供，增加宿舍、人才住房等产业配套住房，促进产城融合发展；加快推进孔子文化城创建国家4A级旅游景区、“螺岗小镇”建设，加大文旅、康养项目引进和投资力度，开发多样化的康养、休闲居住产品，完善旅游公路和餐饮、体验、服务等配套，促进</w:t>
      </w:r>
      <w:r>
        <w:rPr>
          <w:rFonts w:hint="eastAsia" w:cs="Times New Roman"/>
        </w:rPr>
        <w:t>遂溪</w:t>
      </w:r>
      <w:r>
        <w:rPr>
          <w:rFonts w:cs="Times New Roman"/>
        </w:rPr>
        <w:t xml:space="preserve">县全域旅游发展。 </w:t>
      </w:r>
    </w:p>
    <w:p>
      <w:pPr>
        <w:spacing w:before="312" w:beforeLines="100" w:after="312" w:afterLines="100"/>
        <w:ind w:left="562" w:firstLine="0" w:firstLineChars="0"/>
        <w:outlineLvl w:val="1"/>
        <w:rPr>
          <w:rFonts w:cs="Times New Roman"/>
          <w:b/>
        </w:rPr>
      </w:pPr>
      <w:bookmarkStart w:id="284" w:name="_Toc107764641"/>
      <w:r>
        <w:rPr>
          <w:rFonts w:cs="Times New Roman"/>
          <w:b/>
        </w:rPr>
        <w:t>（三）合理引导乡镇住房发展</w:t>
      </w:r>
      <w:bookmarkEnd w:id="284"/>
    </w:p>
    <w:p>
      <w:pPr>
        <w:ind w:firstLine="560"/>
        <w:rPr>
          <w:rFonts w:cs="Times New Roman"/>
        </w:rPr>
      </w:pPr>
      <w:r>
        <w:rPr>
          <w:rFonts w:cs="Times New Roman"/>
        </w:rPr>
        <w:t>支持城月、黄略镇发展壮大镇域经济，以需定供，增加住房供给，打造成为县域发展的重要支撑和城乡融合示范区；控制一般乡镇和农村地区新增住房供给，引导居民向县城聚集。培育发展以现代农业、观光旅游、电商等产业为基础的特色小镇，促进“一二三产”融合，避免特色小镇房地产化。</w:t>
      </w:r>
    </w:p>
    <w:p>
      <w:pPr>
        <w:spacing w:before="312" w:beforeLines="100" w:after="312" w:afterLines="100"/>
        <w:ind w:firstLine="640"/>
        <w:outlineLvl w:val="0"/>
        <w:rPr>
          <w:rFonts w:eastAsia="黑体" w:cs="Times New Roman"/>
          <w:sz w:val="32"/>
        </w:rPr>
      </w:pPr>
      <w:bookmarkStart w:id="285" w:name="_Toc107764642"/>
      <w:r>
        <w:rPr>
          <w:rFonts w:eastAsia="黑体" w:cs="Times New Roman"/>
          <w:sz w:val="32"/>
        </w:rPr>
        <w:t>三、促进房地产市场健康发展</w:t>
      </w:r>
      <w:bookmarkEnd w:id="285"/>
    </w:p>
    <w:p>
      <w:pPr>
        <w:spacing w:before="312" w:beforeLines="100" w:after="312" w:afterLines="100"/>
        <w:ind w:left="562" w:firstLine="0" w:firstLineChars="0"/>
        <w:outlineLvl w:val="1"/>
        <w:rPr>
          <w:rFonts w:cs="Times New Roman"/>
          <w:b/>
        </w:rPr>
      </w:pPr>
      <w:bookmarkStart w:id="286" w:name="_Toc107764643"/>
      <w:r>
        <w:rPr>
          <w:rFonts w:cs="Times New Roman"/>
          <w:b/>
        </w:rPr>
        <w:t>（一）健全住房梯度健康消费</w:t>
      </w:r>
      <w:bookmarkEnd w:id="286"/>
    </w:p>
    <w:p>
      <w:pPr>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312" w:beforeLines="100" w:after="312" w:afterLines="100"/>
        <w:ind w:left="562" w:firstLine="0" w:firstLineChars="0"/>
        <w:outlineLvl w:val="1"/>
        <w:rPr>
          <w:rFonts w:cs="Times New Roman"/>
          <w:b/>
        </w:rPr>
      </w:pPr>
      <w:bookmarkStart w:id="287" w:name="_Toc107764644"/>
      <w:r>
        <w:rPr>
          <w:rFonts w:cs="Times New Roman"/>
          <w:b/>
        </w:rPr>
        <w:t>（二）加强住房与土地联动</w:t>
      </w:r>
      <w:bookmarkEnd w:id="287"/>
    </w:p>
    <w:p>
      <w:pPr>
        <w:ind w:firstLine="562"/>
        <w:rPr>
          <w:rFonts w:cs="Times New Roman"/>
        </w:rPr>
      </w:pPr>
      <w:r>
        <w:rPr>
          <w:rFonts w:cs="Times New Roman"/>
          <w:b/>
          <w:bCs/>
        </w:rPr>
        <w:t>保障住宅用地供给。</w:t>
      </w:r>
      <w:r>
        <w:rPr>
          <w:rFonts w:hint="eastAsia" w:cs="Times New Roman"/>
        </w:rPr>
        <w:t>根据“十四五”期间新增筹建各类住房目标，预计需要供应住宅用地</w:t>
      </w:r>
      <w:r>
        <w:rPr>
          <w:rFonts w:cs="Times New Roman"/>
        </w:rPr>
        <w:t>105.1-140.1</w:t>
      </w:r>
      <w:r>
        <w:rPr>
          <w:rFonts w:hint="eastAsia" w:cs="Times New Roman"/>
        </w:rPr>
        <w:t>公顷。</w:t>
      </w:r>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建立与人口增长相挂钩、以需求定供给、以效益定供给的城市建设用地供应机制，合理配置土地资源。根据商品住房</w:t>
      </w:r>
      <w:r>
        <w:rPr>
          <w:rFonts w:hint="eastAsia" w:cs="Times New Roman"/>
        </w:rPr>
        <w:t>库存</w:t>
      </w:r>
      <w:r>
        <w:rPr>
          <w:rFonts w:cs="Times New Roman"/>
        </w:rPr>
        <w:t>消化周期，及时调整住宅用地供应规模和节奏，保障市场供需基本平衡。加快建立住宅用地价格指数监测，创新土地供给方式，及时调节土地出让价格，以稳定市场预期，防止房价地价大起大落。</w:t>
      </w:r>
    </w:p>
    <w:p>
      <w:pPr>
        <w:spacing w:before="312" w:beforeLines="100" w:after="312" w:afterLines="100"/>
        <w:ind w:firstLine="562"/>
        <w:outlineLvl w:val="1"/>
        <w:rPr>
          <w:rFonts w:cs="Times New Roman"/>
          <w:b/>
        </w:rPr>
      </w:pPr>
      <w:bookmarkStart w:id="288" w:name="_Toc107764645"/>
      <w:r>
        <w:rPr>
          <w:rFonts w:cs="Times New Roman"/>
          <w:b/>
        </w:rPr>
        <w:t>（三）完善房地产金融政策</w:t>
      </w:r>
      <w:bookmarkEnd w:id="288"/>
    </w:p>
    <w:p>
      <w:pPr>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ind w:firstLine="562"/>
        <w:rPr>
          <w:rFonts w:cs="Times New Roman"/>
        </w:rPr>
      </w:pPr>
      <w:r>
        <w:rPr>
          <w:rFonts w:hint="eastAsia" w:cs="Times New Roman"/>
          <w:b/>
          <w:bCs/>
        </w:rPr>
        <w:t>发挥公积金对居民合理自住购房的支持作用。</w:t>
      </w:r>
      <w:r>
        <w:rPr>
          <w:rFonts w:hint="eastAsia" w:cs="Times New Roman"/>
        </w:rPr>
        <w:t>改进和完善住房公积金缴存、提取、使用与监管机制，进一步扩大住房公积金覆盖面，全力推进民营企业建立住房公积金制度，支持灵活就业人员缴存住房公积金。提高住房公积金使用效率，加大购买首套和改善性住房的住房公积金信贷支持力度；支持异地缴存住房公积金的职工，在湛江市申请住房公积金贷款购买、建造、翻建、大修自住住房；支持职工按湛江市房屋租赁部门的指导性租金标准按季度提取住房公积金支付房租</w:t>
      </w:r>
      <w:r>
        <w:rPr>
          <w:rFonts w:cs="Times New Roman"/>
        </w:rPr>
        <w:t>。</w:t>
      </w:r>
    </w:p>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spacing w:before="312" w:beforeLines="100" w:after="312" w:afterLines="100"/>
        <w:ind w:firstLine="640"/>
        <w:outlineLvl w:val="0"/>
        <w:rPr>
          <w:rFonts w:eastAsia="黑体" w:cs="Times New Roman"/>
          <w:sz w:val="32"/>
        </w:rPr>
      </w:pPr>
      <w:bookmarkStart w:id="289" w:name="_Toc107764646"/>
      <w:r>
        <w:rPr>
          <w:rFonts w:eastAsia="黑体" w:cs="Times New Roman"/>
          <w:sz w:val="32"/>
        </w:rPr>
        <w:t>四、稳步提升住房保障水平</w:t>
      </w:r>
      <w:bookmarkEnd w:id="289"/>
    </w:p>
    <w:p>
      <w:pPr>
        <w:spacing w:before="312" w:beforeLines="100" w:after="312" w:afterLines="100"/>
        <w:ind w:firstLine="562"/>
        <w:outlineLvl w:val="1"/>
        <w:rPr>
          <w:rFonts w:cs="Times New Roman"/>
          <w:b/>
        </w:rPr>
      </w:pPr>
      <w:bookmarkStart w:id="290" w:name="_Toc107764647"/>
      <w:r>
        <w:rPr>
          <w:rFonts w:cs="Times New Roman"/>
          <w:b/>
        </w:rPr>
        <w:t>（一）加强住房基本保障</w:t>
      </w:r>
      <w:bookmarkEnd w:id="290"/>
    </w:p>
    <w:p>
      <w:pPr>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对于符合条件的生育三孩家庭、计划生育特殊家庭，同等条件下可按规定优先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受到更好的服务。</w:t>
      </w:r>
    </w:p>
    <w:p>
      <w:pPr>
        <w:spacing w:before="312" w:beforeLines="100" w:after="312" w:afterLines="100"/>
        <w:ind w:firstLine="562"/>
        <w:outlineLvl w:val="1"/>
        <w:rPr>
          <w:rFonts w:cs="Times New Roman"/>
          <w:b/>
        </w:rPr>
      </w:pPr>
      <w:bookmarkStart w:id="291" w:name="_Toc107764648"/>
      <w:r>
        <w:rPr>
          <w:rFonts w:cs="Times New Roman"/>
          <w:b/>
        </w:rPr>
        <w:t>（二）推动住房保障适度普惠</w:t>
      </w:r>
      <w:bookmarkEnd w:id="291"/>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hint="eastAsia" w:cs="Times New Roman"/>
          <w:b/>
          <w:bCs/>
        </w:rPr>
        <w:t>探索发展</w:t>
      </w:r>
      <w:r>
        <w:rPr>
          <w:rFonts w:cs="Times New Roman"/>
          <w:b/>
          <w:bCs/>
        </w:rPr>
        <w:t>保障性租赁住房。</w:t>
      </w:r>
      <w:r>
        <w:rPr>
          <w:rFonts w:cs="Times New Roman"/>
        </w:rPr>
        <w:t>开展保障性租赁住房需求人群摸底，评估保障性租赁住房供给潜力，支持和引导市场主体投资保障性租赁住房，鼓励产业园区项目配套建设保障性租赁住房。保障性租赁住房以小户型住房为主，建筑面积不超过70平方米，主要面向符合条件的新市民、青年人供应，租金水平一般低于同地段、同品质的市场租赁住房租金。</w:t>
      </w:r>
    </w:p>
    <w:p>
      <w:pPr>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312" w:beforeLines="100" w:after="312" w:afterLines="100"/>
        <w:ind w:firstLine="562"/>
        <w:outlineLvl w:val="1"/>
        <w:rPr>
          <w:rFonts w:cs="Times New Roman"/>
          <w:b/>
        </w:rPr>
      </w:pPr>
      <w:bookmarkStart w:id="292" w:name="_Toc107764649"/>
      <w:r>
        <w:rPr>
          <w:rFonts w:cs="Times New Roman"/>
          <w:b/>
        </w:rPr>
        <w:t>（三）加大高层次人才安居</w:t>
      </w:r>
      <w:bookmarkEnd w:id="292"/>
    </w:p>
    <w:p>
      <w:pPr>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312" w:beforeLines="100" w:after="312" w:afterLines="100"/>
        <w:ind w:firstLine="562"/>
        <w:outlineLvl w:val="1"/>
        <w:rPr>
          <w:rFonts w:cs="Times New Roman"/>
          <w:b/>
        </w:rPr>
      </w:pPr>
      <w:bookmarkStart w:id="293" w:name="_Toc107764650"/>
      <w:r>
        <w:rPr>
          <w:rFonts w:cs="Times New Roman"/>
          <w:b/>
        </w:rPr>
        <w:t>（四）创新重点行业人员住房保障机制</w:t>
      </w:r>
      <w:bookmarkEnd w:id="293"/>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w:t>
      </w:r>
      <w:r>
        <w:rPr>
          <w:rFonts w:hint="eastAsia" w:cs="Times New Roman"/>
        </w:rPr>
        <w:t>遂溪县</w:t>
      </w:r>
      <w:r>
        <w:rPr>
          <w:rFonts w:cs="Times New Roman"/>
        </w:rPr>
        <w:t>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spacing w:before="312" w:beforeLines="100" w:after="312" w:afterLines="100"/>
        <w:ind w:firstLine="640"/>
        <w:outlineLvl w:val="0"/>
        <w:rPr>
          <w:rFonts w:eastAsia="黑体" w:cs="Times New Roman"/>
          <w:sz w:val="32"/>
        </w:rPr>
      </w:pPr>
      <w:bookmarkStart w:id="294" w:name="_Toc107764651"/>
      <w:r>
        <w:rPr>
          <w:rFonts w:eastAsia="黑体" w:cs="Times New Roman"/>
          <w:sz w:val="32"/>
        </w:rPr>
        <w:t>五、全面提升居住品质</w:t>
      </w:r>
      <w:bookmarkEnd w:id="294"/>
    </w:p>
    <w:p>
      <w:pPr>
        <w:spacing w:before="312" w:beforeLines="100" w:after="312" w:afterLines="100"/>
        <w:ind w:firstLine="562"/>
        <w:outlineLvl w:val="1"/>
        <w:rPr>
          <w:rFonts w:cs="Times New Roman"/>
          <w:b/>
        </w:rPr>
      </w:pPr>
      <w:bookmarkStart w:id="295" w:name="_Toc107764652"/>
      <w:r>
        <w:rPr>
          <w:rFonts w:cs="Times New Roman"/>
          <w:b/>
        </w:rPr>
        <w:t>（一）创建宜居活力社区</w:t>
      </w:r>
      <w:bookmarkEnd w:id="295"/>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312" w:beforeLines="100" w:after="312" w:afterLines="100"/>
        <w:ind w:firstLine="562"/>
        <w:outlineLvl w:val="1"/>
        <w:rPr>
          <w:rFonts w:cs="Times New Roman"/>
          <w:b/>
        </w:rPr>
      </w:pPr>
      <w:bookmarkStart w:id="296" w:name="_Toc107764653"/>
      <w:r>
        <w:rPr>
          <w:rFonts w:cs="Times New Roman"/>
          <w:b/>
        </w:rPr>
        <w:t>（二）建设智慧生态小区</w:t>
      </w:r>
      <w:bookmarkEnd w:id="296"/>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312" w:beforeLines="100" w:after="312" w:afterLines="100"/>
        <w:ind w:firstLine="562"/>
        <w:outlineLvl w:val="1"/>
        <w:rPr>
          <w:rFonts w:cs="Times New Roman"/>
          <w:b/>
        </w:rPr>
      </w:pPr>
      <w:bookmarkStart w:id="297" w:name="_Toc107764654"/>
      <w:r>
        <w:rPr>
          <w:rFonts w:cs="Times New Roman"/>
          <w:b/>
        </w:rPr>
        <w:t>（三）推进旅游地产转型</w:t>
      </w:r>
      <w:bookmarkEnd w:id="297"/>
    </w:p>
    <w:p>
      <w:pPr>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ind w:firstLine="562"/>
        <w:rPr>
          <w:rFonts w:cs="Times New Roman"/>
          <w:color w:val="FF0000"/>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spacing w:before="312" w:beforeLines="100" w:after="312" w:afterLines="100"/>
        <w:ind w:firstLine="640"/>
        <w:outlineLvl w:val="0"/>
        <w:rPr>
          <w:rFonts w:eastAsia="黑体" w:cs="Times New Roman"/>
          <w:sz w:val="32"/>
        </w:rPr>
      </w:pPr>
      <w:bookmarkStart w:id="298" w:name="_Toc107764655"/>
      <w:r>
        <w:rPr>
          <w:rFonts w:eastAsia="黑体" w:cs="Times New Roman"/>
          <w:sz w:val="32"/>
        </w:rPr>
        <w:t>六、保障措施</w:t>
      </w:r>
      <w:bookmarkEnd w:id="298"/>
    </w:p>
    <w:p>
      <w:pPr>
        <w:spacing w:before="312" w:beforeLines="100" w:after="312" w:afterLines="100"/>
        <w:ind w:firstLine="562"/>
        <w:outlineLvl w:val="1"/>
        <w:rPr>
          <w:rFonts w:cs="Times New Roman"/>
          <w:b/>
        </w:rPr>
      </w:pPr>
      <w:bookmarkStart w:id="299" w:name="_Toc107764656"/>
      <w:r>
        <w:rPr>
          <w:rFonts w:cs="Times New Roman"/>
          <w:b/>
        </w:rPr>
        <w:t>（一）加强组织领导</w:t>
      </w:r>
      <w:bookmarkEnd w:id="299"/>
    </w:p>
    <w:p>
      <w:pPr>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312" w:beforeLines="100" w:after="312" w:afterLines="100"/>
        <w:ind w:firstLine="562"/>
        <w:outlineLvl w:val="1"/>
        <w:rPr>
          <w:rFonts w:cs="Times New Roman"/>
          <w:b/>
        </w:rPr>
      </w:pPr>
      <w:bookmarkStart w:id="300" w:name="_Toc107764657"/>
      <w:r>
        <w:rPr>
          <w:rFonts w:cs="Times New Roman"/>
          <w:b/>
        </w:rPr>
        <w:t>（二）健全住房发展要素保障机制</w:t>
      </w:r>
      <w:bookmarkEnd w:id="300"/>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312" w:beforeLines="100" w:after="312" w:afterLines="100"/>
        <w:ind w:firstLine="562"/>
        <w:outlineLvl w:val="1"/>
        <w:rPr>
          <w:rFonts w:cs="Times New Roman"/>
          <w:b/>
        </w:rPr>
      </w:pPr>
      <w:bookmarkStart w:id="301" w:name="_Toc107764658"/>
      <w:r>
        <w:rPr>
          <w:rFonts w:cs="Times New Roman"/>
          <w:b/>
        </w:rPr>
        <w:t>（三）完善规划实施的评估机制</w:t>
      </w:r>
      <w:bookmarkEnd w:id="301"/>
    </w:p>
    <w:p>
      <w:pPr>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312" w:beforeLines="100" w:after="312" w:afterLines="100"/>
        <w:ind w:firstLine="562"/>
        <w:outlineLvl w:val="1"/>
        <w:rPr>
          <w:rFonts w:cs="Times New Roman"/>
          <w:b/>
        </w:rPr>
      </w:pPr>
      <w:bookmarkStart w:id="302" w:name="_Toc107764659"/>
      <w:r>
        <w:rPr>
          <w:rFonts w:cs="Times New Roman"/>
          <w:b/>
        </w:rPr>
        <w:t>（四）做好规划宣传引导工作</w:t>
      </w:r>
      <w:bookmarkEnd w:id="302"/>
    </w:p>
    <w:p>
      <w:pPr>
        <w:ind w:firstLine="560"/>
        <w:rPr>
          <w:rFonts w:eastAsia="黑体"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p>
      <w:pPr>
        <w:spacing w:line="320" w:lineRule="exact"/>
        <w:ind w:firstLine="0" w:firstLineChars="0"/>
        <w:rPr>
          <w:rFonts w:eastAsia="黑体" w:cs="Times New Roman"/>
        </w:rPr>
        <w:sectPr>
          <w:pgSz w:w="11906" w:h="16838"/>
          <w:pgMar w:top="1440" w:right="1800" w:bottom="1440" w:left="1800" w:header="851" w:footer="992" w:gutter="0"/>
          <w:cols w:space="425" w:num="1"/>
          <w:docGrid w:type="lines" w:linePitch="312" w:charSpace="0"/>
        </w:sectPr>
      </w:pPr>
    </w:p>
    <w:p>
      <w:pPr>
        <w:ind w:firstLine="0" w:firstLineChars="0"/>
        <w:rPr>
          <w:rFonts w:cs="Times New Roman"/>
        </w:rPr>
      </w:pPr>
    </w:p>
    <w:p>
      <w:pPr>
        <w:ind w:firstLine="0" w:firstLineChars="0"/>
        <w:rPr>
          <w:rFonts w:cs="Times New Roman"/>
        </w:rPr>
      </w:pPr>
      <w:r>
        <w:rPr>
          <w:rFonts w:cs="Times New Roman"/>
        </w:rPr>
        <w:t>分册六：</w:t>
      </w:r>
    </w:p>
    <w:p>
      <w:pPr>
        <w:ind w:firstLine="560"/>
        <w:rPr>
          <w:rFonts w:cs="Times New Roman"/>
        </w:rPr>
      </w:pPr>
    </w:p>
    <w:p>
      <w:pPr>
        <w:ind w:firstLine="0" w:firstLineChars="0"/>
        <w:rPr>
          <w:rFonts w:cs="Times New Roman"/>
        </w:rPr>
      </w:pPr>
    </w:p>
    <w:p>
      <w:pPr>
        <w:ind w:firstLine="0" w:firstLineChars="0"/>
        <w:rPr>
          <w:rFonts w:cs="Times New Roman"/>
        </w:rPr>
      </w:pPr>
    </w:p>
    <w:p>
      <w:pPr>
        <w:ind w:firstLine="0" w:firstLineChars="0"/>
        <w:jc w:val="center"/>
        <w:rPr>
          <w:rFonts w:eastAsia="方正小标宋简体" w:cs="Times New Roman"/>
          <w:sz w:val="48"/>
        </w:rPr>
      </w:pPr>
      <w:r>
        <w:rPr>
          <w:rFonts w:eastAsia="方正小标宋简体" w:cs="Times New Roman"/>
          <w:sz w:val="48"/>
        </w:rPr>
        <w:t>廉江市“十四五”住房发展规划</w:t>
      </w:r>
    </w:p>
    <w:p>
      <w:pPr>
        <w:ind w:firstLine="0" w:firstLineChars="0"/>
        <w:jc w:val="center"/>
        <w:rPr>
          <w:rFonts w:eastAsia="方正小标宋简体" w:cs="Times New Roman"/>
          <w:sz w:val="48"/>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湛江市住房和城乡建设局</w:t>
      </w:r>
    </w:p>
    <w:p>
      <w:pPr>
        <w:ind w:firstLine="0" w:firstLineChars="0"/>
        <w:jc w:val="center"/>
        <w:rPr>
          <w:rFonts w:cs="Times New Roman"/>
        </w:rPr>
      </w:pPr>
      <w:r>
        <w:rPr>
          <w:rFonts w:cs="Times New Roman"/>
        </w:rPr>
        <w:t>2022年9月</w:t>
      </w:r>
    </w:p>
    <w:p>
      <w:pPr>
        <w:ind w:firstLine="560"/>
        <w:rPr>
          <w:rFonts w:cs="Times New Roman"/>
        </w:rPr>
        <w:sectPr>
          <w:headerReference r:id="rId58" w:type="first"/>
          <w:footerReference r:id="rId61" w:type="first"/>
          <w:headerReference r:id="rId56" w:type="default"/>
          <w:footerReference r:id="rId59" w:type="default"/>
          <w:headerReference r:id="rId57" w:type="even"/>
          <w:footerReference r:id="rId60" w:type="even"/>
          <w:pgSz w:w="11906" w:h="16838"/>
          <w:pgMar w:top="1440" w:right="1800" w:bottom="1440" w:left="1800" w:header="851" w:footer="992" w:gutter="0"/>
          <w:cols w:space="425" w:num="1"/>
          <w:docGrid w:type="lines" w:linePitch="312" w:charSpace="0"/>
        </w:sectPr>
      </w:pPr>
    </w:p>
    <w:p>
      <w:pPr>
        <w:tabs>
          <w:tab w:val="left" w:pos="3315"/>
        </w:tabs>
        <w:ind w:firstLine="560"/>
        <w:rPr>
          <w:rFonts w:eastAsia="黑体" w:cs="Times New Roman"/>
        </w:rPr>
      </w:pPr>
      <w:r>
        <w:rPr>
          <w:rFonts w:cs="Times New Roman"/>
        </w:rPr>
        <w:tab/>
      </w:r>
      <w:r>
        <w:rPr>
          <w:rFonts w:eastAsia="黑体" w:cs="Times New Roman"/>
          <w:sz w:val="32"/>
        </w:rPr>
        <w:t>目 录</w:t>
      </w:r>
    </w:p>
    <w:p>
      <w:pPr>
        <w:tabs>
          <w:tab w:val="right" w:leader="dot" w:pos="8296"/>
        </w:tabs>
        <w:spacing w:line="360" w:lineRule="auto"/>
        <w:ind w:firstLine="0" w:firstLineChars="0"/>
        <w:rPr>
          <w:rFonts w:asciiTheme="minorHAnsi" w:hAnsiTheme="minorHAnsi" w:eastAsiaTheme="minorEastAsia"/>
          <w:sz w:val="21"/>
        </w:rPr>
      </w:pPr>
      <w:r>
        <w:rPr>
          <w:rFonts w:eastAsia="黑体" w:cs="Times New Roman"/>
          <w:sz w:val="32"/>
        </w:rPr>
        <w:fldChar w:fldCharType="begin"/>
      </w:r>
      <w:r>
        <w:rPr>
          <w:rFonts w:eastAsia="黑体" w:cs="Times New Roman"/>
          <w:sz w:val="32"/>
        </w:rPr>
        <w:instrText xml:space="preserve"> TOC \o "1-3" \h \z \u </w:instrText>
      </w:r>
      <w:r>
        <w:rPr>
          <w:rFonts w:eastAsia="黑体" w:cs="Times New Roman"/>
          <w:sz w:val="32"/>
        </w:rPr>
        <w:fldChar w:fldCharType="separate"/>
      </w:r>
      <w:r>
        <w:fldChar w:fldCharType="begin"/>
      </w:r>
      <w:r>
        <w:instrText xml:space="preserve"> HYPERLINK \l "_Toc107764683" </w:instrText>
      </w:r>
      <w:r>
        <w:fldChar w:fldCharType="separate"/>
      </w:r>
      <w:r>
        <w:rPr>
          <w:rFonts w:eastAsia="黑体" w:cs="Times New Roman"/>
          <w:b/>
          <w:sz w:val="32"/>
        </w:rPr>
        <w:t>前 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_Toc107764683 \h </w:instrText>
      </w:r>
      <w:r>
        <w:rPr>
          <w:rFonts w:eastAsia="黑体" w:asciiTheme="minorHAnsi" w:hAnsiTheme="minorHAnsi"/>
          <w:b/>
          <w:sz w:val="32"/>
        </w:rPr>
        <w:fldChar w:fldCharType="separate"/>
      </w:r>
      <w:r>
        <w:rPr>
          <w:rFonts w:eastAsia="黑体" w:asciiTheme="minorHAnsi" w:hAnsiTheme="minorHAnsi"/>
          <w:b/>
          <w:sz w:val="32"/>
        </w:rPr>
        <w:t>126</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"_Toc107764684" </w:instrText>
      </w:r>
      <w:r>
        <w:fldChar w:fldCharType="separate"/>
      </w:r>
      <w:r>
        <w:rPr>
          <w:rFonts w:eastAsia="黑体" w:cs="Times New Roman"/>
          <w:b/>
          <w:sz w:val="32"/>
        </w:rPr>
        <w:t>一、指导思想和发展目标</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_Toc107764684 \h </w:instrText>
      </w:r>
      <w:r>
        <w:rPr>
          <w:rFonts w:eastAsia="黑体" w:asciiTheme="minorHAnsi" w:hAnsiTheme="minorHAnsi"/>
          <w:b/>
          <w:sz w:val="32"/>
        </w:rPr>
        <w:fldChar w:fldCharType="separate"/>
      </w:r>
      <w:r>
        <w:rPr>
          <w:rFonts w:eastAsia="黑体" w:asciiTheme="minorHAnsi" w:hAnsiTheme="minorHAnsi"/>
          <w:b/>
          <w:sz w:val="32"/>
        </w:rPr>
        <w:t>127</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"_Toc107764685" </w:instrText>
      </w:r>
      <w:r>
        <w:fldChar w:fldCharType="separate"/>
      </w:r>
      <w:r>
        <w:rPr>
          <w:rFonts w:cs="Times New Roman"/>
        </w:rPr>
        <w:t>（一）指导思想</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_Toc107764685 \h </w:instrText>
      </w:r>
      <w:r>
        <w:rPr>
          <w:rFonts w:asciiTheme="minorHAnsi" w:hAnsiTheme="minorHAnsi"/>
        </w:rPr>
        <w:fldChar w:fldCharType="separate"/>
      </w:r>
      <w:r>
        <w:rPr>
          <w:rFonts w:asciiTheme="minorHAnsi" w:hAnsiTheme="minorHAnsi"/>
        </w:rPr>
        <w:t>127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"_Toc107764686" </w:instrText>
      </w:r>
      <w:r>
        <w:fldChar w:fldCharType="separate"/>
      </w:r>
      <w:r>
        <w:rPr>
          <w:rFonts w:cs="Times New Roman"/>
        </w:rPr>
        <w:t>（二）基本原则</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_Toc107764686 \h </w:instrText>
      </w:r>
      <w:r>
        <w:rPr>
          <w:rFonts w:asciiTheme="minorHAnsi" w:hAnsiTheme="minorHAnsi"/>
        </w:rPr>
        <w:fldChar w:fldCharType="separate"/>
      </w:r>
      <w:r>
        <w:rPr>
          <w:rFonts w:asciiTheme="minorHAnsi" w:hAnsiTheme="minorHAnsi"/>
        </w:rPr>
        <w:t>127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"_Toc107764687" </w:instrText>
      </w:r>
      <w:r>
        <w:fldChar w:fldCharType="separate"/>
      </w:r>
      <w:r>
        <w:rPr>
          <w:rFonts w:cs="Times New Roman"/>
        </w:rPr>
        <w:t>（三）住房目标</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_Toc107764687 \h </w:instrText>
      </w:r>
      <w:r>
        <w:rPr>
          <w:rFonts w:asciiTheme="minorHAnsi" w:hAnsiTheme="minorHAnsi"/>
        </w:rPr>
        <w:fldChar w:fldCharType="separate"/>
      </w:r>
      <w:r>
        <w:rPr>
          <w:rFonts w:asciiTheme="minorHAnsi" w:hAnsiTheme="minorHAnsi"/>
        </w:rPr>
        <w:t>128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"_Toc107764688" </w:instrText>
      </w:r>
      <w:r>
        <w:fldChar w:fldCharType="separate"/>
      </w:r>
      <w:r>
        <w:rPr>
          <w:rFonts w:eastAsia="黑体" w:cs="Times New Roman"/>
          <w:b/>
          <w:sz w:val="32"/>
        </w:rPr>
        <w:t>二、构建合理住房空间布局</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_Toc107764688 \h </w:instrText>
      </w:r>
      <w:r>
        <w:rPr>
          <w:rFonts w:eastAsia="黑体" w:asciiTheme="minorHAnsi" w:hAnsiTheme="minorHAnsi"/>
          <w:b/>
          <w:sz w:val="32"/>
        </w:rPr>
        <w:fldChar w:fldCharType="separate"/>
      </w:r>
      <w:r>
        <w:rPr>
          <w:rFonts w:eastAsia="黑体" w:asciiTheme="minorHAnsi" w:hAnsiTheme="minorHAnsi"/>
          <w:b/>
          <w:sz w:val="32"/>
        </w:rPr>
        <w:t>130</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"_Toc107764689" </w:instrText>
      </w:r>
      <w:r>
        <w:fldChar w:fldCharType="separate"/>
      </w:r>
      <w:r>
        <w:rPr>
          <w:rFonts w:cs="Times New Roman"/>
        </w:rPr>
        <w:t>（一）全面提升县城综合服务能力</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_Toc107764689 \h </w:instrText>
      </w:r>
      <w:r>
        <w:rPr>
          <w:rFonts w:asciiTheme="minorHAnsi" w:hAnsiTheme="minorHAnsi"/>
        </w:rPr>
        <w:fldChar w:fldCharType="separate"/>
      </w:r>
      <w:r>
        <w:rPr>
          <w:rFonts w:asciiTheme="minorHAnsi" w:hAnsiTheme="minorHAnsi"/>
        </w:rPr>
        <w:t>130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"_Toc107764690" </w:instrText>
      </w:r>
      <w:r>
        <w:fldChar w:fldCharType="separate"/>
      </w:r>
      <w:r>
        <w:rPr>
          <w:rFonts w:cs="Times New Roman"/>
        </w:rPr>
        <w:t>（二）促进县域重点平台产城融合发展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_Toc107764690 \h </w:instrText>
      </w:r>
      <w:r>
        <w:rPr>
          <w:rFonts w:asciiTheme="minorHAnsi" w:hAnsiTheme="minorHAnsi"/>
        </w:rPr>
        <w:fldChar w:fldCharType="separate"/>
      </w:r>
      <w:r>
        <w:rPr>
          <w:rFonts w:asciiTheme="minorHAnsi" w:hAnsiTheme="minorHAnsi"/>
        </w:rPr>
        <w:t>130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"_Toc107764691" </w:instrText>
      </w:r>
      <w:r>
        <w:fldChar w:fldCharType="separate"/>
      </w:r>
      <w:r>
        <w:rPr>
          <w:rFonts w:cs="Times New Roman"/>
        </w:rPr>
        <w:t>（三）合理引导乡镇住房发展</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_Toc107764691 \h </w:instrText>
      </w:r>
      <w:r>
        <w:rPr>
          <w:rFonts w:asciiTheme="minorHAnsi" w:hAnsiTheme="minorHAnsi"/>
        </w:rPr>
        <w:fldChar w:fldCharType="separate"/>
      </w:r>
      <w:r>
        <w:rPr>
          <w:rFonts w:asciiTheme="minorHAnsi" w:hAnsiTheme="minorHAnsi"/>
        </w:rPr>
        <w:t>130</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"_Toc107764692" </w:instrText>
      </w:r>
      <w:r>
        <w:fldChar w:fldCharType="separate"/>
      </w:r>
      <w:r>
        <w:rPr>
          <w:rFonts w:eastAsia="黑体" w:cs="Times New Roman"/>
          <w:b/>
          <w:sz w:val="32"/>
        </w:rPr>
        <w:t>三、促进房地产市场健康发展</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_Toc107764692 \h </w:instrText>
      </w:r>
      <w:r>
        <w:rPr>
          <w:rFonts w:eastAsia="黑体" w:asciiTheme="minorHAnsi" w:hAnsiTheme="minorHAnsi"/>
          <w:b/>
          <w:sz w:val="32"/>
        </w:rPr>
        <w:fldChar w:fldCharType="separate"/>
      </w:r>
      <w:r>
        <w:rPr>
          <w:rFonts w:eastAsia="黑体" w:asciiTheme="minorHAnsi" w:hAnsiTheme="minorHAnsi"/>
          <w:b/>
          <w:sz w:val="32"/>
        </w:rPr>
        <w:t>131</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"_Toc107764693" </w:instrText>
      </w:r>
      <w:r>
        <w:fldChar w:fldCharType="separate"/>
      </w:r>
      <w:r>
        <w:rPr>
          <w:rFonts w:cs="Times New Roman"/>
        </w:rPr>
        <w:t>（一）健全住房梯度健康消费</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_Toc107764693 \h </w:instrText>
      </w:r>
      <w:r>
        <w:rPr>
          <w:rFonts w:asciiTheme="minorHAnsi" w:hAnsiTheme="minorHAnsi"/>
        </w:rPr>
        <w:fldChar w:fldCharType="separate"/>
      </w:r>
      <w:r>
        <w:rPr>
          <w:rFonts w:asciiTheme="minorHAnsi" w:hAnsiTheme="minorHAnsi"/>
        </w:rPr>
        <w:t>131</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"_Toc107764694" </w:instrText>
      </w:r>
      <w:r>
        <w:fldChar w:fldCharType="separate"/>
      </w:r>
      <w:r>
        <w:rPr>
          <w:rFonts w:cs="Times New Roman"/>
        </w:rPr>
        <w:t>（二）加强住房与土地联动</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_Toc107764694 \h </w:instrText>
      </w:r>
      <w:r>
        <w:rPr>
          <w:rFonts w:asciiTheme="minorHAnsi" w:hAnsiTheme="minorHAnsi"/>
        </w:rPr>
        <w:fldChar w:fldCharType="separate"/>
      </w:r>
      <w:r>
        <w:rPr>
          <w:rFonts w:asciiTheme="minorHAnsi" w:hAnsiTheme="minorHAnsi"/>
        </w:rPr>
        <w:t>132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"_Toc107764695" </w:instrText>
      </w:r>
      <w:r>
        <w:fldChar w:fldCharType="separate"/>
      </w:r>
      <w:r>
        <w:rPr>
          <w:rFonts w:cs="Times New Roman"/>
        </w:rPr>
        <w:t>（三）完善房地产金融政策</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_Toc107764695 \h </w:instrText>
      </w:r>
      <w:r>
        <w:rPr>
          <w:rFonts w:asciiTheme="minorHAnsi" w:hAnsiTheme="minorHAnsi"/>
        </w:rPr>
        <w:fldChar w:fldCharType="separate"/>
      </w:r>
      <w:r>
        <w:rPr>
          <w:rFonts w:asciiTheme="minorHAnsi" w:hAnsiTheme="minorHAnsi"/>
        </w:rPr>
        <w:t>132</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"_Toc107764696" </w:instrText>
      </w:r>
      <w:r>
        <w:fldChar w:fldCharType="separate"/>
      </w:r>
      <w:r>
        <w:rPr>
          <w:rFonts w:eastAsia="黑体" w:cs="Times New Roman"/>
          <w:b/>
          <w:sz w:val="32"/>
        </w:rPr>
        <w:t>四、稳步提升住房保障水平</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_Toc107764696 \h </w:instrText>
      </w:r>
      <w:r>
        <w:rPr>
          <w:rFonts w:eastAsia="黑体" w:asciiTheme="minorHAnsi" w:hAnsiTheme="minorHAnsi"/>
          <w:b/>
          <w:sz w:val="32"/>
        </w:rPr>
        <w:fldChar w:fldCharType="separate"/>
      </w:r>
      <w:r>
        <w:rPr>
          <w:rFonts w:eastAsia="黑体" w:asciiTheme="minorHAnsi" w:hAnsiTheme="minorHAnsi"/>
          <w:b/>
          <w:sz w:val="32"/>
        </w:rPr>
        <w:t>133</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"_Toc107764697" </w:instrText>
      </w:r>
      <w:r>
        <w:fldChar w:fldCharType="separate"/>
      </w:r>
      <w:r>
        <w:rPr>
          <w:rFonts w:cs="Times New Roman"/>
        </w:rPr>
        <w:t>（一）加强住房基本保障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_Toc107764697 \h </w:instrText>
      </w:r>
      <w:r>
        <w:rPr>
          <w:rFonts w:asciiTheme="minorHAnsi" w:hAnsiTheme="minorHAnsi"/>
        </w:rPr>
        <w:fldChar w:fldCharType="separate"/>
      </w:r>
      <w:r>
        <w:rPr>
          <w:rFonts w:asciiTheme="minorHAnsi" w:hAnsiTheme="minorHAnsi"/>
        </w:rPr>
        <w:t>133</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"_Toc107764698" </w:instrText>
      </w:r>
      <w:r>
        <w:fldChar w:fldCharType="separate"/>
      </w:r>
      <w:r>
        <w:rPr>
          <w:rFonts w:cs="Times New Roman"/>
        </w:rPr>
        <w:t>（二）推动住房保障适度普惠</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_Toc107764698 \h </w:instrText>
      </w:r>
      <w:r>
        <w:rPr>
          <w:rFonts w:asciiTheme="minorHAnsi" w:hAnsiTheme="minorHAnsi"/>
        </w:rPr>
        <w:fldChar w:fldCharType="separate"/>
      </w:r>
      <w:r>
        <w:rPr>
          <w:rFonts w:asciiTheme="minorHAnsi" w:hAnsiTheme="minorHAnsi"/>
        </w:rPr>
        <w:t>134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"_Toc107764699" </w:instrText>
      </w:r>
      <w:r>
        <w:fldChar w:fldCharType="separate"/>
      </w:r>
      <w:r>
        <w:rPr>
          <w:rFonts w:cs="Times New Roman"/>
        </w:rPr>
        <w:t>（三）加大高层次人才安居</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_Toc107764699 \h </w:instrText>
      </w:r>
      <w:r>
        <w:rPr>
          <w:rFonts w:asciiTheme="minorHAnsi" w:hAnsiTheme="minorHAnsi"/>
        </w:rPr>
        <w:fldChar w:fldCharType="separate"/>
      </w:r>
      <w:r>
        <w:rPr>
          <w:rFonts w:asciiTheme="minorHAnsi" w:hAnsiTheme="minorHAnsi"/>
        </w:rPr>
        <w:t>134</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"_Toc107764700" </w:instrText>
      </w:r>
      <w:r>
        <w:fldChar w:fldCharType="separate"/>
      </w:r>
      <w:r>
        <w:rPr>
          <w:rFonts w:cs="Times New Roman"/>
        </w:rPr>
        <w:t>（四）创新重点行业人员住房保障机制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_Toc107764700 \h </w:instrText>
      </w:r>
      <w:r>
        <w:rPr>
          <w:rFonts w:asciiTheme="minorHAnsi" w:hAnsiTheme="minorHAnsi"/>
        </w:rPr>
        <w:fldChar w:fldCharType="separate"/>
      </w:r>
      <w:r>
        <w:rPr>
          <w:rFonts w:asciiTheme="minorHAnsi" w:hAnsiTheme="minorHAnsi"/>
        </w:rPr>
        <w:t>135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"_Toc107764701" </w:instrText>
      </w:r>
      <w:r>
        <w:fldChar w:fldCharType="separate"/>
      </w:r>
      <w:r>
        <w:rPr>
          <w:rFonts w:eastAsia="黑体" w:cs="Times New Roman"/>
          <w:b/>
          <w:sz w:val="32"/>
        </w:rPr>
        <w:t>五、全面提升居住品质</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_Toc107764701 \h </w:instrText>
      </w:r>
      <w:r>
        <w:rPr>
          <w:rFonts w:eastAsia="黑体" w:asciiTheme="minorHAnsi" w:hAnsiTheme="minorHAnsi"/>
          <w:b/>
          <w:sz w:val="32"/>
        </w:rPr>
        <w:fldChar w:fldCharType="separate"/>
      </w:r>
      <w:r>
        <w:rPr>
          <w:rFonts w:eastAsia="黑体" w:asciiTheme="minorHAnsi" w:hAnsiTheme="minorHAnsi"/>
          <w:b/>
          <w:sz w:val="32"/>
        </w:rPr>
        <w:t>135</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"_Toc107764702" </w:instrText>
      </w:r>
      <w:r>
        <w:fldChar w:fldCharType="separate"/>
      </w:r>
      <w:r>
        <w:rPr>
          <w:rFonts w:cs="Times New Roman"/>
        </w:rPr>
        <w:t>（一）创建宜居活力社区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_Toc107764702 \h </w:instrText>
      </w:r>
      <w:r>
        <w:rPr>
          <w:rFonts w:asciiTheme="minorHAnsi" w:hAnsiTheme="minorHAnsi"/>
        </w:rPr>
        <w:fldChar w:fldCharType="separate"/>
      </w:r>
      <w:r>
        <w:rPr>
          <w:rFonts w:asciiTheme="minorHAnsi" w:hAnsiTheme="minorHAnsi"/>
        </w:rPr>
        <w:t>135</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"_Toc107764703" </w:instrText>
      </w:r>
      <w:r>
        <w:fldChar w:fldCharType="separate"/>
      </w:r>
      <w:r>
        <w:rPr>
          <w:rFonts w:cs="Times New Roman"/>
        </w:rPr>
        <w:t>（二）建设智慧生态小区</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_Toc107764703 \h </w:instrText>
      </w:r>
      <w:r>
        <w:rPr>
          <w:rFonts w:asciiTheme="minorHAnsi" w:hAnsiTheme="minorHAnsi"/>
        </w:rPr>
        <w:fldChar w:fldCharType="separate"/>
      </w:r>
      <w:r>
        <w:rPr>
          <w:rFonts w:asciiTheme="minorHAnsi" w:hAnsiTheme="minorHAnsi"/>
        </w:rPr>
        <w:t>137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"_Toc107764704" </w:instrText>
      </w:r>
      <w:r>
        <w:fldChar w:fldCharType="separate"/>
      </w:r>
      <w:r>
        <w:rPr>
          <w:rFonts w:cs="Times New Roman"/>
        </w:rPr>
        <w:t>（三）推进旅游地产转型</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_Toc107764704 \h </w:instrText>
      </w:r>
      <w:r>
        <w:rPr>
          <w:rFonts w:asciiTheme="minorHAnsi" w:hAnsiTheme="minorHAnsi"/>
        </w:rPr>
        <w:fldChar w:fldCharType="separate"/>
      </w:r>
      <w:r>
        <w:rPr>
          <w:rFonts w:asciiTheme="minorHAnsi" w:hAnsiTheme="minorHAnsi"/>
        </w:rPr>
        <w:t>137</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firstLine="0" w:firstLineChars="0"/>
        <w:rPr>
          <w:rFonts w:asciiTheme="minorHAnsi" w:hAnsiTheme="minorHAnsi" w:eastAsiaTheme="minorEastAsia"/>
          <w:sz w:val="21"/>
        </w:rPr>
      </w:pPr>
      <w:r>
        <w:fldChar w:fldCharType="begin"/>
      </w:r>
      <w:r>
        <w:instrText xml:space="preserve"> HYPERLINK \l "_Toc107764705" </w:instrText>
      </w:r>
      <w:r>
        <w:fldChar w:fldCharType="separate"/>
      </w:r>
      <w:r>
        <w:rPr>
          <w:rFonts w:eastAsia="黑体" w:cs="Times New Roman"/>
          <w:b/>
          <w:sz w:val="32"/>
        </w:rPr>
        <w:t>六、保障措施</w:t>
      </w:r>
      <w:r>
        <w:rPr>
          <w:rFonts w:eastAsia="黑体" w:asciiTheme="minorHAnsi" w:hAnsiTheme="minorHAnsi"/>
          <w:b/>
          <w:sz w:val="32"/>
        </w:rPr>
        <w:tab/>
      </w:r>
      <w:r>
        <w:rPr>
          <w:rFonts w:eastAsia="黑体" w:asciiTheme="minorHAnsi" w:hAnsiTheme="minorHAnsi"/>
          <w:b/>
          <w:sz w:val="32"/>
        </w:rPr>
        <w:fldChar w:fldCharType="begin"/>
      </w:r>
      <w:r>
        <w:rPr>
          <w:rFonts w:eastAsia="黑体" w:asciiTheme="minorHAnsi" w:hAnsiTheme="minorHAnsi"/>
          <w:b/>
          <w:sz w:val="32"/>
        </w:rPr>
        <w:instrText xml:space="preserve"> PAGEREF _Toc107764705 \h </w:instrText>
      </w:r>
      <w:r>
        <w:rPr>
          <w:rFonts w:eastAsia="黑体" w:asciiTheme="minorHAnsi" w:hAnsiTheme="minorHAnsi"/>
          <w:b/>
          <w:sz w:val="32"/>
        </w:rPr>
        <w:fldChar w:fldCharType="separate"/>
      </w:r>
      <w:r>
        <w:rPr>
          <w:rFonts w:eastAsia="黑体" w:asciiTheme="minorHAnsi" w:hAnsiTheme="minorHAnsi"/>
          <w:b/>
          <w:sz w:val="32"/>
        </w:rPr>
        <w:t>138</w:t>
      </w:r>
      <w:r>
        <w:rPr>
          <w:rFonts w:eastAsia="黑体" w:asciiTheme="minorHAnsi" w:hAnsiTheme="minorHAnsi"/>
          <w:b/>
          <w:sz w:val="32"/>
        </w:rPr>
        <w:fldChar w:fldCharType="end"/>
      </w:r>
      <w:r>
        <w:rPr>
          <w:rFonts w:eastAsia="黑体" w:asciiTheme="minorHAnsi" w:hAnsiTheme="minorHAnsi"/>
          <w:b/>
          <w:sz w:val="32"/>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"_Toc107764706" </w:instrText>
      </w:r>
      <w:r>
        <w:fldChar w:fldCharType="separate"/>
      </w:r>
      <w:r>
        <w:rPr>
          <w:rFonts w:cs="Times New Roman"/>
        </w:rPr>
        <w:t>（一）加强组织领导</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_Toc107764706 \h </w:instrText>
      </w:r>
      <w:r>
        <w:rPr>
          <w:rFonts w:asciiTheme="minorHAnsi" w:hAnsiTheme="minorHAnsi"/>
        </w:rPr>
        <w:fldChar w:fldCharType="separate"/>
      </w:r>
      <w:r>
        <w:rPr>
          <w:rFonts w:asciiTheme="minorHAnsi" w:hAnsiTheme="minorHAnsi"/>
        </w:rPr>
        <w:t>138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"_Toc107764707" </w:instrText>
      </w:r>
      <w:r>
        <w:fldChar w:fldCharType="separate"/>
      </w:r>
      <w:r>
        <w:rPr>
          <w:rFonts w:cs="Times New Roman"/>
        </w:rPr>
        <w:t>（二）健全住房发展要素保障机制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_Toc107764707 \h </w:instrText>
      </w:r>
      <w:r>
        <w:rPr>
          <w:rFonts w:asciiTheme="minorHAnsi" w:hAnsiTheme="minorHAnsi"/>
        </w:rPr>
        <w:fldChar w:fldCharType="separate"/>
      </w:r>
      <w:r>
        <w:rPr>
          <w:rFonts w:asciiTheme="minorHAnsi" w:hAnsiTheme="minorHAnsi"/>
        </w:rPr>
        <w:t>138</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"_Toc107764708" </w:instrText>
      </w:r>
      <w:r>
        <w:fldChar w:fldCharType="separate"/>
      </w:r>
      <w:r>
        <w:rPr>
          <w:rFonts w:cs="Times New Roman"/>
        </w:rPr>
        <w:t>（三）完善规划实施的评估机制</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_Toc107764708 \h </w:instrText>
      </w:r>
      <w:r>
        <w:rPr>
          <w:rFonts w:asciiTheme="minorHAnsi" w:hAnsiTheme="minorHAnsi"/>
        </w:rPr>
        <w:fldChar w:fldCharType="separate"/>
      </w:r>
      <w:r>
        <w:rPr>
          <w:rFonts w:asciiTheme="minorHAnsi" w:hAnsiTheme="minorHAnsi"/>
        </w:rPr>
        <w:t>139</w:t>
      </w:r>
      <w:r>
        <w:rPr>
          <w:rFonts w:asciiTheme="minorHAnsi" w:hAnsiTheme="minorHAnsi"/>
        </w:rPr>
        <w:fldChar w:fldCharType="end"/>
      </w:r>
      <w:r>
        <w:rPr>
          <w:rFonts w:asciiTheme="minorHAnsi" w:hAnsiTheme="minorHAnsi"/>
        </w:rPr>
        <w:fldChar w:fldCharType="end"/>
      </w:r>
    </w:p>
    <w:p>
      <w:pPr>
        <w:tabs>
          <w:tab w:val="right" w:leader="dot" w:pos="8296"/>
        </w:tabs>
        <w:spacing w:line="360" w:lineRule="auto"/>
        <w:ind w:left="560" w:leftChars="200" w:firstLine="0" w:firstLineChars="0"/>
        <w:rPr>
          <w:rFonts w:asciiTheme="minorHAnsi" w:hAnsiTheme="minorHAnsi" w:eastAsiaTheme="minorEastAsia"/>
          <w:sz w:val="21"/>
        </w:rPr>
      </w:pPr>
      <w:r>
        <w:fldChar w:fldCharType="begin"/>
      </w:r>
      <w:r>
        <w:instrText xml:space="preserve"> HYPERLINK \l "_Toc107764709" </w:instrText>
      </w:r>
      <w:r>
        <w:fldChar w:fldCharType="separate"/>
      </w:r>
      <w:r>
        <w:rPr>
          <w:rFonts w:cs="Times New Roman"/>
        </w:rPr>
        <w:t>（四）做好规划宣传引导工作</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_Toc107764709 \h </w:instrText>
      </w:r>
      <w:r>
        <w:rPr>
          <w:rFonts w:asciiTheme="minorHAnsi" w:hAnsiTheme="minorHAnsi"/>
        </w:rPr>
        <w:fldChar w:fldCharType="separate"/>
      </w:r>
      <w:r>
        <w:rPr>
          <w:rFonts w:asciiTheme="minorHAnsi" w:hAnsiTheme="minorHAnsi"/>
        </w:rPr>
        <w:t>139</w:t>
      </w:r>
      <w:r>
        <w:rPr>
          <w:rFonts w:asciiTheme="minorHAnsi" w:hAnsiTheme="minorHAnsi"/>
        </w:rPr>
        <w:fldChar w:fldCharType="end"/>
      </w:r>
      <w:r>
        <w:rPr>
          <w:rFonts w:asciiTheme="minorHAnsi" w:hAnsiTheme="minorHAnsi"/>
        </w:rPr>
        <w:fldChar w:fldCharType="end"/>
      </w:r>
    </w:p>
    <w:p>
      <w:pPr>
        <w:spacing w:before="312" w:beforeLines="100" w:after="312" w:afterLines="100"/>
        <w:ind w:firstLine="0" w:firstLineChars="0"/>
        <w:outlineLvl w:val="0"/>
        <w:rPr>
          <w:rFonts w:eastAsia="黑体" w:cs="Times New Roman"/>
          <w:b/>
          <w:sz w:val="32"/>
        </w:rPr>
        <w:sectPr>
          <w:headerReference r:id="rId62" w:type="default"/>
          <w:footerReference r:id="rId63" w:type="default"/>
          <w:pgSz w:w="11906" w:h="16838"/>
          <w:pgMar w:top="1440" w:right="1800" w:bottom="1440" w:left="1800" w:header="851" w:footer="992" w:gutter="0"/>
          <w:cols w:space="425" w:num="1"/>
          <w:docGrid w:type="lines" w:linePitch="312" w:charSpace="0"/>
        </w:sectPr>
      </w:pPr>
      <w:r>
        <w:rPr>
          <w:rFonts w:eastAsia="黑体" w:cs="Times New Roman"/>
          <w:b/>
          <w:sz w:val="32"/>
        </w:rPr>
        <w:fldChar w:fldCharType="end"/>
      </w:r>
    </w:p>
    <w:p>
      <w:pPr>
        <w:spacing w:before="312" w:beforeLines="100" w:after="312" w:afterLines="100"/>
        <w:ind w:firstLine="0" w:firstLineChars="0"/>
        <w:outlineLvl w:val="0"/>
        <w:rPr>
          <w:rFonts w:eastAsia="黑体" w:cs="Times New Roman"/>
          <w:sz w:val="32"/>
        </w:rPr>
      </w:pPr>
    </w:p>
    <w:p>
      <w:pPr>
        <w:spacing w:before="312" w:beforeLines="100" w:after="312" w:afterLines="100"/>
        <w:ind w:firstLine="0" w:firstLineChars="0"/>
        <w:jc w:val="center"/>
        <w:outlineLvl w:val="0"/>
        <w:rPr>
          <w:rFonts w:eastAsia="黑体" w:cs="Times New Roman"/>
          <w:sz w:val="32"/>
        </w:rPr>
      </w:pPr>
      <w:bookmarkStart w:id="303" w:name="_Toc107764683"/>
      <w:r>
        <w:rPr>
          <w:rFonts w:eastAsia="黑体" w:cs="Times New Roman"/>
          <w:sz w:val="32"/>
        </w:rPr>
        <w:t>前 言</w:t>
      </w:r>
      <w:bookmarkEnd w:id="303"/>
    </w:p>
    <w:p>
      <w:pPr>
        <w:ind w:firstLine="560"/>
        <w:rPr>
          <w:rFonts w:cs="Times New Roman"/>
        </w:rPr>
      </w:pPr>
      <w:r>
        <w:rPr>
          <w:rFonts w:cs="Times New Roman"/>
        </w:rPr>
        <w:t>《湛江市“十四五”住房发展规划》阐明了“十四五”期间全市住房发展的指导思想和发展目标、空间布局、主要任务和保障措施。为了深入推进“一城一策”，结合湛江市区实际，制定了《分册六：廉江市“十四五”住房发展规划》。该分册在《湛江市“十四五”住房发展规划》的基础上，进一步明确“十四五”时期廉江市住房发展总体目标、年度目标和空间布局等内容，旨在促进</w:t>
      </w:r>
      <w:bookmarkStart w:id="304" w:name="_Hlk84874316"/>
      <w:r>
        <w:rPr>
          <w:rFonts w:cs="Times New Roman"/>
        </w:rPr>
        <w:t>湛江市</w:t>
      </w:r>
      <w:bookmarkEnd w:id="304"/>
      <w:r>
        <w:rPr>
          <w:rFonts w:cs="Times New Roman"/>
        </w:rPr>
        <w:t>住房发展规划在县（市、区）层面落实。</w:t>
      </w:r>
    </w:p>
    <w:p>
      <w:pPr>
        <w:spacing w:before="312" w:beforeLines="100" w:after="312" w:afterLines="100"/>
        <w:ind w:firstLine="640"/>
        <w:outlineLvl w:val="0"/>
        <w:rPr>
          <w:rFonts w:eastAsia="黑体" w:cs="Times New Roman"/>
          <w:sz w:val="32"/>
        </w:rPr>
      </w:pPr>
      <w:r>
        <w:rPr>
          <w:rFonts w:eastAsia="黑体" w:cs="Times New Roman"/>
          <w:sz w:val="32"/>
        </w:rPr>
        <w:br w:type="page"/>
      </w:r>
    </w:p>
    <w:p>
      <w:pPr>
        <w:spacing w:before="312" w:beforeLines="100" w:after="312" w:afterLines="100"/>
        <w:ind w:firstLine="640"/>
        <w:outlineLvl w:val="0"/>
        <w:rPr>
          <w:rFonts w:eastAsia="黑体" w:cs="Times New Roman"/>
          <w:sz w:val="32"/>
        </w:rPr>
      </w:pPr>
      <w:bookmarkStart w:id="305" w:name="_Toc107764684"/>
      <w:r>
        <w:rPr>
          <w:rFonts w:eastAsia="黑体" w:cs="Times New Roman"/>
          <w:sz w:val="32"/>
        </w:rPr>
        <w:t>一、指导思想和发展目标</w:t>
      </w:r>
      <w:bookmarkEnd w:id="305"/>
    </w:p>
    <w:p>
      <w:pPr>
        <w:spacing w:before="312" w:beforeLines="100" w:after="312" w:afterLines="100"/>
        <w:ind w:firstLine="562"/>
        <w:outlineLvl w:val="1"/>
        <w:rPr>
          <w:rFonts w:cs="Times New Roman"/>
          <w:b/>
        </w:rPr>
      </w:pPr>
      <w:bookmarkStart w:id="306" w:name="_Toc107764685"/>
      <w:r>
        <w:rPr>
          <w:rFonts w:cs="Times New Roman"/>
          <w:b/>
        </w:rPr>
        <w:t>（一）指导思想</w:t>
      </w:r>
      <w:bookmarkEnd w:id="306"/>
    </w:p>
    <w:p>
      <w:pPr>
        <w:ind w:firstLine="560"/>
        <w:rPr>
          <w:rFonts w:cs="Times New Roman"/>
        </w:rPr>
      </w:pPr>
      <w:r>
        <w:rPr>
          <w:rFonts w:cs="Times New Roman"/>
        </w:rPr>
        <w:t>以习近平新时代中国特色社会主义思想为指导，全面贯彻党的十九大和十九届</w:t>
      </w:r>
      <w:r>
        <w:rPr>
          <w:rFonts w:hint="eastAsia" w:cs="Times New Roman"/>
        </w:rPr>
        <w:t>历次</w:t>
      </w:r>
      <w:r>
        <w:rPr>
          <w:rFonts w:cs="Times New Roman"/>
        </w:rPr>
        <w:t>全会精神，深入贯彻习近平总书记关于广东重要讲话和重要指示批示精神，坚定不移贯彻新发展理念，始终把解决人民群众住房问题作为出发点和落脚点，坚持房子是用来住的、不是用来炒的定位，加快建立多主体供给、多渠道保障、租购并举的住房制度，不断完善住房市场和保障体系，促进住房与经济社会协同发展。</w:t>
      </w:r>
    </w:p>
    <w:p>
      <w:pPr>
        <w:spacing w:before="312" w:beforeLines="100" w:after="312" w:afterLines="100"/>
        <w:ind w:firstLine="562"/>
        <w:outlineLvl w:val="1"/>
        <w:rPr>
          <w:rFonts w:cs="Times New Roman"/>
          <w:b/>
        </w:rPr>
      </w:pPr>
      <w:bookmarkStart w:id="307" w:name="_Toc107764686"/>
      <w:r>
        <w:rPr>
          <w:rFonts w:cs="Times New Roman"/>
          <w:b/>
        </w:rPr>
        <w:t>（二）基本原则</w:t>
      </w:r>
      <w:bookmarkEnd w:id="307"/>
    </w:p>
    <w:p>
      <w:pPr>
        <w:ind w:firstLine="562"/>
        <w:rPr>
          <w:rFonts w:cs="Times New Roman"/>
          <w:b/>
          <w:bCs/>
        </w:rPr>
      </w:pPr>
      <w:r>
        <w:rPr>
          <w:rFonts w:cs="Times New Roman"/>
          <w:b/>
          <w:bCs/>
        </w:rPr>
        <w:t>1.坚持以人为本、供需平衡原则。</w:t>
      </w:r>
    </w:p>
    <w:p>
      <w:pPr>
        <w:ind w:firstLine="560"/>
        <w:rPr>
          <w:rFonts w:cs="Times New Roman"/>
        </w:rPr>
      </w:pPr>
      <w:r>
        <w:rPr>
          <w:rFonts w:cs="Times New Roman"/>
        </w:rPr>
        <w:t>坚持人民主体地位，坚持共同富裕方向，推进住房供给侧改革，适应城镇居民多层次的住房消费需求，促进住房供给与需求相匹配，不断实现人民群众对美好生活的向往。</w:t>
      </w:r>
    </w:p>
    <w:p>
      <w:pPr>
        <w:ind w:firstLine="562"/>
        <w:rPr>
          <w:rFonts w:cs="Times New Roman"/>
          <w:b/>
          <w:bCs/>
        </w:rPr>
      </w:pPr>
      <w:r>
        <w:rPr>
          <w:rFonts w:cs="Times New Roman"/>
          <w:b/>
          <w:bCs/>
        </w:rPr>
        <w:t>2.坚持系统观念、创新发展原则。</w:t>
      </w:r>
    </w:p>
    <w:p>
      <w:pPr>
        <w:ind w:firstLine="560"/>
        <w:rPr>
          <w:rFonts w:cs="Times New Roman"/>
        </w:rPr>
      </w:pPr>
      <w:r>
        <w:rPr>
          <w:rFonts w:cs="Times New Roman"/>
        </w:rPr>
        <w:t>坚持用系统观念看待和解决住房发展问题，协调好经济、社会、民生三者之间的关系，把新发展理念贯彻到住房发展领域，积极融入新发展格局。坚持创新，积极采用新技术、新模式解决发展中遇到的问题，推动住房建设和管理高质量发展。</w:t>
      </w:r>
    </w:p>
    <w:p>
      <w:pPr>
        <w:ind w:firstLine="562"/>
        <w:rPr>
          <w:rFonts w:cs="Times New Roman"/>
          <w:b/>
          <w:bCs/>
        </w:rPr>
      </w:pPr>
      <w:r>
        <w:rPr>
          <w:rFonts w:cs="Times New Roman"/>
          <w:b/>
          <w:bCs/>
        </w:rPr>
        <w:t>3.坚持政府引导，市场配置原则。</w:t>
      </w:r>
    </w:p>
    <w:p>
      <w:pPr>
        <w:ind w:firstLine="560"/>
        <w:rPr>
          <w:rFonts w:cs="Times New Roman"/>
        </w:rPr>
      </w:pPr>
      <w:r>
        <w:rPr>
          <w:rFonts w:hint="eastAsia" w:cs="Times New Roman"/>
        </w:rPr>
        <w:t>坚持市场在资源配置中发挥决定性作用，履行好政府在创造制度环境、编制住房发展规划和年度计划、完善设施配套和公共服务、加强住房制度建设等方面的职能，推动市场和政府更好地结合，不断完善住房市场和住房保障供给体系</w:t>
      </w:r>
      <w:r>
        <w:rPr>
          <w:rFonts w:cs="Times New Roman"/>
        </w:rPr>
        <w:t>。</w:t>
      </w:r>
    </w:p>
    <w:p>
      <w:pPr>
        <w:ind w:firstLine="562"/>
        <w:rPr>
          <w:rFonts w:cs="Times New Roman"/>
          <w:b/>
          <w:bCs/>
        </w:rPr>
      </w:pPr>
      <w:r>
        <w:rPr>
          <w:rFonts w:cs="Times New Roman"/>
          <w:b/>
          <w:bCs/>
        </w:rPr>
        <w:t>4.坚持因城施策、特色发展原则。</w:t>
      </w:r>
    </w:p>
    <w:p>
      <w:pPr>
        <w:ind w:firstLine="560"/>
        <w:rPr>
          <w:rFonts w:cs="Times New Roman"/>
        </w:rPr>
      </w:pPr>
      <w:r>
        <w:rPr>
          <w:rFonts w:cs="Times New Roman"/>
        </w:rPr>
        <w:t>充分考虑地区发展的差异性，因地制宜促进房地产市场平稳健康发展，充分发挥住房发展对于实体经济的支撑作用，促进地方经济、产业发展和特色旅游资源开发。</w:t>
      </w:r>
    </w:p>
    <w:p>
      <w:pPr>
        <w:spacing w:before="312" w:beforeLines="100" w:after="312" w:afterLines="100"/>
        <w:ind w:firstLine="562"/>
        <w:outlineLvl w:val="1"/>
        <w:rPr>
          <w:rFonts w:cs="Times New Roman"/>
          <w:b/>
        </w:rPr>
      </w:pPr>
      <w:bookmarkStart w:id="308" w:name="_Toc107764687"/>
      <w:r>
        <w:rPr>
          <w:rFonts w:cs="Times New Roman"/>
          <w:b/>
        </w:rPr>
        <w:t>（三）住房目标</w:t>
      </w:r>
      <w:bookmarkEnd w:id="308"/>
    </w:p>
    <w:p>
      <w:pPr>
        <w:spacing w:line="360" w:lineRule="auto"/>
        <w:ind w:firstLine="562"/>
        <w:rPr>
          <w:rFonts w:cs="Times New Roman"/>
          <w:b/>
          <w:bCs/>
        </w:rPr>
      </w:pPr>
      <w:r>
        <w:rPr>
          <w:rFonts w:cs="Times New Roman"/>
          <w:b/>
          <w:bCs/>
        </w:rPr>
        <w:t>1.总体目标</w:t>
      </w:r>
    </w:p>
    <w:p>
      <w:pPr>
        <w:spacing w:line="360" w:lineRule="auto"/>
        <w:ind w:firstLine="560"/>
        <w:rPr>
          <w:rFonts w:cs="Times New Roman"/>
        </w:rPr>
      </w:pPr>
      <w:r>
        <w:rPr>
          <w:rFonts w:cs="Times New Roman"/>
        </w:rPr>
        <w:t>“十四五”时期，稳步增加住房供给，规划新增供应新建商品住房40000-52000套；不断提升住房保障水平，规划新增筹建公共租赁住房不低于740套，新增发放租赁补贴家庭不低于910户；新增筹建保障性租赁住房不低于</w:t>
      </w:r>
      <w:r>
        <w:rPr>
          <w:rFonts w:hint="eastAsia" w:cs="Times New Roman"/>
        </w:rPr>
        <w:t>2</w:t>
      </w:r>
      <w:r>
        <w:rPr>
          <w:rFonts w:cs="Times New Roman"/>
        </w:rPr>
        <w:t>50套</w:t>
      </w:r>
      <w:r>
        <w:rPr>
          <w:rFonts w:hint="eastAsia" w:cs="Times New Roman"/>
        </w:rPr>
        <w:t>，稳步推进人才公寓建设，</w:t>
      </w:r>
      <w:r>
        <w:rPr>
          <w:rFonts w:cs="Times New Roman"/>
        </w:rPr>
        <w:t>探索发展共有产权住房，不断建立健全多层次、高品质的现代化住房供给体系，支持廉江市传统产业转型升级，建设更高水平现代化经济体系，当好湛江市县域经济发展排头兵，建设宜居宜业宜游的现代化生态园林城市。</w:t>
      </w:r>
    </w:p>
    <w:p>
      <w:pPr>
        <w:spacing w:line="360" w:lineRule="auto"/>
        <w:ind w:firstLine="560"/>
        <w:jc w:val="center"/>
        <w:rPr>
          <w:rFonts w:eastAsia="黑体" w:cs="Times New Roman"/>
        </w:rPr>
      </w:pPr>
      <w:r>
        <w:rPr>
          <w:rFonts w:eastAsia="黑体" w:cs="Times New Roman"/>
        </w:rPr>
        <w:br w:type="page"/>
      </w:r>
    </w:p>
    <w:p>
      <w:pPr>
        <w:spacing w:line="360" w:lineRule="auto"/>
        <w:ind w:firstLine="0" w:firstLineChars="0"/>
        <w:jc w:val="center"/>
        <w:rPr>
          <w:rFonts w:eastAsia="黑体" w:cs="Times New Roman"/>
        </w:rPr>
      </w:pPr>
      <w:r>
        <w:rPr>
          <w:rFonts w:eastAsia="黑体" w:cs="Times New Roman"/>
        </w:rPr>
        <w:t>表1 “十四五”廉江市住房发展规模目标表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分区</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廉江市</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52000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740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910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250</w:t>
            </w:r>
          </w:p>
        </w:tc>
      </w:tr>
    </w:tbl>
    <w:p>
      <w:pPr>
        <w:ind w:firstLine="0" w:firstLineChars="0"/>
        <w:jc w:val="left"/>
        <w:rPr>
          <w:rFonts w:cs="Times New Roman"/>
          <w:sz w:val="24"/>
        </w:rPr>
      </w:pPr>
      <w:r>
        <w:rPr>
          <w:rFonts w:cs="Times New Roman"/>
          <w:sz w:val="24"/>
        </w:rPr>
        <w:t xml:space="preserve">注： </w:t>
      </w:r>
    </w:p>
    <w:p>
      <w:pPr>
        <w:ind w:firstLine="0" w:firstLineChars="0"/>
        <w:rPr>
          <w:rFonts w:cs="Times New Roman"/>
          <w:sz w:val="24"/>
          <w:szCs w:val="24"/>
        </w:rPr>
      </w:pPr>
      <w:r>
        <w:rPr>
          <w:rFonts w:cs="Times New Roman"/>
          <w:sz w:val="24"/>
          <w:szCs w:val="24"/>
        </w:rPr>
        <w:t>1.新增供应新建商品住房的统计口径为市住房城乡建设局批准预售新建商品住房套数；</w:t>
      </w:r>
    </w:p>
    <w:p>
      <w:pPr>
        <w:ind w:firstLine="0" w:firstLineChars="0"/>
        <w:rPr>
          <w:rFonts w:cs="Times New Roman"/>
          <w:sz w:val="24"/>
          <w:szCs w:val="24"/>
        </w:rPr>
      </w:pPr>
      <w:r>
        <w:rPr>
          <w:rFonts w:cs="Times New Roman"/>
          <w:sz w:val="24"/>
          <w:szCs w:val="24"/>
        </w:rPr>
        <w:t>2.新增筹建保障性安居工程住房（含租赁补贴）包含新增筹建公共租赁住房、新增发放租赁补贴家庭、新增筹建保障性租赁住房，统计口径为新开工或存量房源新纳入管理。</w:t>
      </w:r>
    </w:p>
    <w:p>
      <w:pPr>
        <w:ind w:firstLine="0" w:firstLineChars="0"/>
        <w:rPr>
          <w:rFonts w:eastAsia="黑体" w:cs="Times New Roman"/>
        </w:rPr>
      </w:pPr>
      <w:r>
        <w:rPr>
          <w:rFonts w:cs="Times New Roman"/>
          <w:sz w:val="24"/>
          <w:szCs w:val="24"/>
        </w:rPr>
        <w:t>3.保障性租赁住房包括符合条件的人才公寓。</w:t>
      </w:r>
    </w:p>
    <w:p>
      <w:pPr>
        <w:spacing w:before="156" w:beforeLines="50" w:line="360" w:lineRule="auto"/>
        <w:ind w:firstLine="562"/>
        <w:rPr>
          <w:rFonts w:cs="Times New Roman"/>
          <w:b/>
          <w:bCs/>
        </w:rPr>
      </w:pPr>
      <w:r>
        <w:rPr>
          <w:rFonts w:cs="Times New Roman"/>
          <w:b/>
          <w:bCs/>
        </w:rPr>
        <w:t>2、年度目标：</w:t>
      </w:r>
    </w:p>
    <w:p>
      <w:pPr>
        <w:spacing w:line="360" w:lineRule="auto"/>
        <w:ind w:firstLine="560"/>
        <w:rPr>
          <w:rFonts w:cs="Times New Roman"/>
        </w:rPr>
      </w:pPr>
      <w:r>
        <w:rPr>
          <w:rFonts w:cs="Times New Roman"/>
        </w:rPr>
        <w:t>为了落实“十四五”廉江市住房发展目标，规划将目标分解至各年度：</w:t>
      </w:r>
    </w:p>
    <w:p>
      <w:pPr>
        <w:spacing w:line="360" w:lineRule="auto"/>
        <w:ind w:firstLine="0" w:firstLineChars="0"/>
        <w:jc w:val="center"/>
        <w:rPr>
          <w:rFonts w:eastAsia="黑体" w:cs="Times New Roman"/>
        </w:rPr>
      </w:pPr>
      <w:r>
        <w:rPr>
          <w:rFonts w:eastAsia="黑体" w:cs="Times New Roman"/>
        </w:rPr>
        <w:t>“十四五”廉江市住房发展年度计划表</w:t>
      </w:r>
    </w:p>
    <w:p>
      <w:pPr>
        <w:ind w:firstLine="480"/>
        <w:jc w:val="right"/>
        <w:rPr>
          <w:rFonts w:cs="Times New Roman"/>
          <w:sz w:val="24"/>
        </w:rPr>
      </w:pPr>
      <w:r>
        <w:rPr>
          <w:rFonts w:cs="Times New Roman"/>
          <w:sz w:val="24"/>
        </w:rPr>
        <w:t>单位：套、户</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387"/>
        <w:gridCol w:w="1551"/>
        <w:gridCol w:w="1614"/>
        <w:gridCol w:w="116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915" w:type="pct"/>
            <w:vMerge w:val="restart"/>
            <w:tcBorders>
              <w:top w:val="single" w:color="auto" w:sz="4" w:space="0"/>
              <w:left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年度</w:t>
            </w:r>
          </w:p>
        </w:tc>
        <w:tc>
          <w:tcPr>
            <w:tcW w:w="1724" w:type="pct"/>
            <w:gridSpan w:val="2"/>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新增供应新建商品住房</w:t>
            </w:r>
          </w:p>
        </w:tc>
        <w:tc>
          <w:tcPr>
            <w:tcW w:w="2361" w:type="pct"/>
            <w:gridSpan w:val="3"/>
            <w:tcBorders>
              <w:top w:val="single" w:color="auto" w:sz="4" w:space="0"/>
              <w:left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新增筹建保障性安居工程住房</w:t>
            </w:r>
          </w:p>
          <w:p>
            <w:pPr>
              <w:ind w:firstLine="0" w:firstLineChars="0"/>
              <w:jc w:val="center"/>
              <w:rPr>
                <w:rFonts w:cs="Times New Roman"/>
                <w:b/>
                <w:sz w:val="24"/>
                <w:szCs w:val="24"/>
              </w:rPr>
            </w:pPr>
            <w:r>
              <w:rPr>
                <w:rFonts w:cs="Times New Roman"/>
                <w:b/>
                <w:sz w:val="24"/>
                <w:szCs w:val="24"/>
              </w:rPr>
              <w:t>（含租赁补贴）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915" w:type="pct"/>
            <w:vMerge w:val="continue"/>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p>
        </w:tc>
        <w:tc>
          <w:tcPr>
            <w:tcW w:w="814"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低目标</w:t>
            </w:r>
          </w:p>
        </w:tc>
        <w:tc>
          <w:tcPr>
            <w:tcW w:w="91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高目标</w:t>
            </w:r>
          </w:p>
        </w:tc>
        <w:tc>
          <w:tcPr>
            <w:tcW w:w="947" w:type="pct"/>
            <w:tcBorders>
              <w:left w:val="single" w:color="auto" w:sz="4" w:space="0"/>
              <w:bottom w:val="single" w:color="auto" w:sz="4" w:space="0"/>
              <w:right w:val="single" w:color="auto" w:sz="4" w:space="0"/>
            </w:tcBorders>
            <w:noWrap/>
            <w:vAlign w:val="center"/>
          </w:tcPr>
          <w:p>
            <w:pPr>
              <w:ind w:firstLine="0" w:firstLineChars="0"/>
              <w:jc w:val="center"/>
              <w:rPr>
                <w:rFonts w:cs="Times New Roman"/>
                <w:b/>
                <w:sz w:val="24"/>
                <w:szCs w:val="24"/>
              </w:rPr>
            </w:pPr>
            <w:r>
              <w:rPr>
                <w:rFonts w:cs="Times New Roman"/>
                <w:b/>
                <w:sz w:val="24"/>
                <w:szCs w:val="24"/>
              </w:rPr>
              <w:t>新增筹建</w:t>
            </w:r>
          </w:p>
          <w:p>
            <w:pPr>
              <w:ind w:firstLine="0" w:firstLineChars="0"/>
              <w:jc w:val="center"/>
              <w:rPr>
                <w:rFonts w:cs="Times New Roman"/>
                <w:b/>
                <w:sz w:val="24"/>
                <w:szCs w:val="24"/>
              </w:rPr>
            </w:pPr>
            <w:r>
              <w:rPr>
                <w:rFonts w:cs="Times New Roman"/>
                <w:b/>
                <w:sz w:val="24"/>
                <w:szCs w:val="24"/>
              </w:rPr>
              <w:t>公共租赁</w:t>
            </w:r>
          </w:p>
          <w:p>
            <w:pPr>
              <w:ind w:firstLine="0" w:firstLineChars="0"/>
              <w:jc w:val="center"/>
              <w:rPr>
                <w:rFonts w:cs="Times New Roman"/>
                <w:b/>
                <w:sz w:val="24"/>
                <w:szCs w:val="24"/>
              </w:rPr>
            </w:pPr>
            <w:r>
              <w:rPr>
                <w:rFonts w:cs="Times New Roman"/>
                <w:b/>
                <w:sz w:val="24"/>
                <w:szCs w:val="24"/>
              </w:rPr>
              <w:t>住房</w:t>
            </w:r>
          </w:p>
        </w:tc>
        <w:tc>
          <w:tcPr>
            <w:tcW w:w="683"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新增发放租赁补贴家庭</w:t>
            </w:r>
          </w:p>
        </w:tc>
        <w:tc>
          <w:tcPr>
            <w:tcW w:w="731" w:type="pct"/>
            <w:tcBorders>
              <w:left w:val="single" w:color="auto" w:sz="4" w:space="0"/>
              <w:bottom w:val="single" w:color="auto" w:sz="4" w:space="0"/>
              <w:right w:val="single" w:color="auto" w:sz="4" w:space="0"/>
            </w:tcBorders>
            <w:vAlign w:val="center"/>
          </w:tcPr>
          <w:p>
            <w:pPr>
              <w:ind w:firstLine="0" w:firstLineChars="0"/>
              <w:jc w:val="center"/>
              <w:rPr>
                <w:rFonts w:cs="Times New Roman"/>
                <w:b/>
                <w:sz w:val="24"/>
                <w:szCs w:val="24"/>
              </w:rPr>
            </w:pPr>
            <w:r>
              <w:rPr>
                <w:rFonts w:cs="Times New Roman"/>
                <w:b/>
                <w:sz w:val="24"/>
                <w:szCs w:val="24"/>
              </w:rPr>
              <w:t>新增筹建保障性租赁住房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2021</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6000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6000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230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150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2022</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8000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2023</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8000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200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2024</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9000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13000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110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2025</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10000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15000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180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合计</w:t>
            </w:r>
          </w:p>
        </w:tc>
        <w:tc>
          <w:tcPr>
            <w:tcW w:w="814" w:type="pct"/>
            <w:tcBorders>
              <w:top w:val="single" w:color="auto" w:sz="4" w:space="0"/>
              <w:left w:val="nil"/>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40000</w:t>
            </w:r>
          </w:p>
        </w:tc>
        <w:tc>
          <w:tcPr>
            <w:tcW w:w="910" w:type="pct"/>
            <w:tcBorders>
              <w:top w:val="single" w:color="auto" w:sz="4" w:space="0"/>
              <w:left w:val="nil"/>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52000</w:t>
            </w:r>
          </w:p>
        </w:tc>
        <w:tc>
          <w:tcPr>
            <w:tcW w:w="947" w:type="pct"/>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cs="Times New Roman"/>
                <w:bCs/>
                <w:sz w:val="24"/>
                <w:szCs w:val="24"/>
              </w:rPr>
            </w:pPr>
            <w:r>
              <w:rPr>
                <w:rFonts w:cs="Times New Roman"/>
                <w:bCs/>
                <w:sz w:val="24"/>
                <w:szCs w:val="24"/>
              </w:rPr>
              <w:t>740</w:t>
            </w:r>
          </w:p>
        </w:tc>
        <w:tc>
          <w:tcPr>
            <w:tcW w:w="6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910</w:t>
            </w:r>
          </w:p>
        </w:tc>
        <w:tc>
          <w:tcPr>
            <w:tcW w:w="73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Cs/>
                <w:sz w:val="24"/>
                <w:szCs w:val="24"/>
              </w:rPr>
            </w:pPr>
            <w:r>
              <w:rPr>
                <w:rFonts w:cs="Times New Roman"/>
                <w:bCs/>
                <w:sz w:val="24"/>
                <w:szCs w:val="24"/>
              </w:rPr>
              <w:t>250</w:t>
            </w:r>
          </w:p>
        </w:tc>
      </w:tr>
    </w:tbl>
    <w:p>
      <w:pPr>
        <w:ind w:firstLine="0" w:firstLineChars="0"/>
        <w:jc w:val="left"/>
        <w:rPr>
          <w:rFonts w:cs="Times New Roman"/>
          <w:sz w:val="24"/>
        </w:rPr>
      </w:pPr>
      <w:r>
        <w:rPr>
          <w:rFonts w:cs="Times New Roman"/>
          <w:sz w:val="24"/>
        </w:rPr>
        <w:t>注：</w:t>
      </w:r>
    </w:p>
    <w:p>
      <w:pPr>
        <w:ind w:firstLine="0" w:firstLineChars="0"/>
        <w:rPr>
          <w:rFonts w:cs="Times New Roman"/>
          <w:sz w:val="24"/>
        </w:rPr>
      </w:pPr>
      <w:r>
        <w:rPr>
          <w:rFonts w:cs="Times New Roman"/>
          <w:sz w:val="24"/>
        </w:rPr>
        <w:t>1.新建商品住房年度目标：“十四五”期间，预计新建商品住房发展保持稳步增长态势。由于房地产市场发展存在波动和不确定性，主管部门应根据市场实际情况对新建商品住房年度目标进行动态调整，避免出现房地产市场库存过高和过低的情况，促进房地产市场平稳健康发展。</w:t>
      </w:r>
    </w:p>
    <w:p>
      <w:pPr>
        <w:ind w:firstLine="0" w:firstLineChars="0"/>
        <w:rPr>
          <w:rFonts w:cs="Times New Roman"/>
          <w:highlight w:val="yellow"/>
        </w:rPr>
      </w:pPr>
      <w:r>
        <w:rPr>
          <w:rFonts w:cs="Times New Roman"/>
          <w:sz w:val="24"/>
        </w:rPr>
        <w:t>2.保障性安居工程住房（含租赁补贴）年度目标：预计保障性安居工程住房工作稳步推进，以需定供。由于保障性安居工程住房受单个项目的规模影响较大，各年度完成目标情况将会形成较大差异，建议在2023年开展规划中期评估和目标调整，2025年开展期末完成情况考核</w:t>
      </w:r>
      <w:r>
        <w:rPr>
          <w:rFonts w:cs="Times New Roman"/>
          <w:sz w:val="24"/>
          <w:szCs w:val="24"/>
        </w:rPr>
        <w:t>。</w:t>
      </w:r>
    </w:p>
    <w:p>
      <w:pPr>
        <w:spacing w:before="312" w:beforeLines="100" w:after="312" w:afterLines="100"/>
        <w:ind w:firstLine="640"/>
        <w:outlineLvl w:val="0"/>
        <w:rPr>
          <w:rFonts w:eastAsia="黑体" w:cs="Times New Roman"/>
          <w:sz w:val="32"/>
        </w:rPr>
      </w:pPr>
      <w:bookmarkStart w:id="309" w:name="_Toc107764688"/>
      <w:r>
        <w:rPr>
          <w:rFonts w:eastAsia="黑体" w:cs="Times New Roman"/>
          <w:sz w:val="32"/>
        </w:rPr>
        <w:t>二、构建合理住房空间布局</w:t>
      </w:r>
      <w:bookmarkEnd w:id="309"/>
    </w:p>
    <w:p>
      <w:pPr>
        <w:spacing w:before="312" w:beforeLines="100" w:after="312" w:afterLines="100"/>
        <w:ind w:left="562" w:firstLine="0" w:firstLineChars="0"/>
        <w:outlineLvl w:val="1"/>
        <w:rPr>
          <w:rFonts w:cs="Times New Roman"/>
          <w:b/>
        </w:rPr>
      </w:pPr>
      <w:bookmarkStart w:id="310" w:name="_Toc107764689"/>
      <w:r>
        <w:rPr>
          <w:rFonts w:cs="Times New Roman"/>
          <w:b/>
        </w:rPr>
        <w:t>（一）全面提升县城综合服务能力</w:t>
      </w:r>
      <w:bookmarkEnd w:id="310"/>
    </w:p>
    <w:p>
      <w:pPr>
        <w:ind w:firstLine="560"/>
        <w:rPr>
          <w:rFonts w:cs="Times New Roman"/>
        </w:rPr>
      </w:pPr>
      <w:r>
        <w:rPr>
          <w:rFonts w:cs="Times New Roman"/>
        </w:rPr>
        <w:t>县城形成“两核心、两轴带、四片区”的城市空间格局，深入推进老城扩容提质，不断拓展城市框架，完善城东、城南、城西新区的功能布局，促进高新区产业转型升级和城市综合开发；稳步增加住房供给，发挥好房地产开发对城镇建设的带动作用，加快县城、特大镇公共设施补短板，全面提升城镇建设和社区服务水平，将县城打造成为服务县域农民的重要阵地和扩大内需的重要支撑点，引导农村转移人口有序向县城集聚。</w:t>
      </w:r>
    </w:p>
    <w:p>
      <w:pPr>
        <w:spacing w:before="312" w:beforeLines="100" w:after="312" w:afterLines="100"/>
        <w:ind w:left="562" w:firstLine="0" w:firstLineChars="0"/>
        <w:outlineLvl w:val="1"/>
        <w:rPr>
          <w:rFonts w:cs="Times New Roman"/>
          <w:b/>
        </w:rPr>
      </w:pPr>
      <w:bookmarkStart w:id="311" w:name="_Toc107764690"/>
      <w:r>
        <w:rPr>
          <w:rFonts w:cs="Times New Roman"/>
          <w:b/>
        </w:rPr>
        <w:t>（二）促进县域重点平台产城融合发展</w:t>
      </w:r>
      <w:bookmarkEnd w:id="311"/>
    </w:p>
    <w:p>
      <w:pPr>
        <w:ind w:firstLine="560"/>
        <w:rPr>
          <w:rFonts w:cs="Times New Roman"/>
        </w:rPr>
      </w:pPr>
      <w:r>
        <w:rPr>
          <w:rFonts w:cs="Times New Roman"/>
        </w:rPr>
        <w:t>完善高新区、良垌和龙头沙临港产业集聚区的居住生活配套，以需定供，增加宿舍、人才住房等产业配套住房，促进产城融合发展；加大文旅、康养项目引进和投资力度，用好滨江、滨海资源，完善旅游公路和餐饮、体验、服务等配套，促进旅游产业发展。</w:t>
      </w:r>
    </w:p>
    <w:p>
      <w:pPr>
        <w:spacing w:before="312" w:beforeLines="100" w:after="312" w:afterLines="100"/>
        <w:ind w:left="562" w:firstLine="0" w:firstLineChars="0"/>
        <w:outlineLvl w:val="1"/>
        <w:rPr>
          <w:rFonts w:cs="Times New Roman"/>
          <w:b/>
        </w:rPr>
      </w:pPr>
      <w:bookmarkStart w:id="312" w:name="_Toc107764691"/>
      <w:r>
        <w:rPr>
          <w:rFonts w:cs="Times New Roman"/>
          <w:b/>
        </w:rPr>
        <w:t>（三）合理引导乡镇住房发展</w:t>
      </w:r>
      <w:bookmarkEnd w:id="312"/>
    </w:p>
    <w:p>
      <w:pPr>
        <w:ind w:firstLine="560"/>
        <w:rPr>
          <w:rFonts w:cs="Times New Roman"/>
        </w:rPr>
      </w:pPr>
      <w:r>
        <w:rPr>
          <w:rFonts w:cs="Times New Roman"/>
        </w:rPr>
        <w:t>支持横山-安铺、石岭镇发展壮大镇域经济，以需定供增加住房供给，打造成为县域发展的重要支撑；控制一般乡镇和农村地区新增住房供给，引导居民向县城聚集。培育发展以现代农业、观光旅游、电商等产业为基础的特色小镇，促进“一二三产”融合，避免特色小镇房地产化。</w:t>
      </w:r>
    </w:p>
    <w:p>
      <w:pPr>
        <w:spacing w:before="312" w:beforeLines="100" w:after="312" w:afterLines="100"/>
        <w:ind w:firstLine="640"/>
        <w:outlineLvl w:val="0"/>
        <w:rPr>
          <w:rFonts w:eastAsia="黑体" w:cs="Times New Roman"/>
          <w:sz w:val="32"/>
        </w:rPr>
      </w:pPr>
      <w:bookmarkStart w:id="313" w:name="_Toc107764692"/>
      <w:r>
        <w:rPr>
          <w:rFonts w:eastAsia="黑体" w:cs="Times New Roman"/>
          <w:sz w:val="32"/>
        </w:rPr>
        <w:t>三、促进房地产市场健康发展</w:t>
      </w:r>
      <w:bookmarkEnd w:id="313"/>
    </w:p>
    <w:p>
      <w:pPr>
        <w:spacing w:before="312" w:beforeLines="100" w:after="312" w:afterLines="100"/>
        <w:ind w:left="562" w:firstLine="0" w:firstLineChars="0"/>
        <w:outlineLvl w:val="1"/>
        <w:rPr>
          <w:rFonts w:cs="Times New Roman"/>
          <w:b/>
        </w:rPr>
      </w:pPr>
      <w:bookmarkStart w:id="314" w:name="_Toc107764693"/>
      <w:r>
        <w:rPr>
          <w:rFonts w:cs="Times New Roman"/>
          <w:b/>
        </w:rPr>
        <w:t>（一）健全住房梯度健康消费</w:t>
      </w:r>
      <w:bookmarkEnd w:id="314"/>
    </w:p>
    <w:p>
      <w:pPr>
        <w:ind w:firstLine="562"/>
        <w:rPr>
          <w:rFonts w:cs="Times New Roman"/>
        </w:rPr>
      </w:pPr>
      <w:r>
        <w:rPr>
          <w:rFonts w:cs="Times New Roman"/>
          <w:b/>
          <w:bCs/>
        </w:rPr>
        <w:t>优化调整商品住房套型结构。</w:t>
      </w:r>
      <w:r>
        <w:rPr>
          <w:rFonts w:cs="Times New Roman"/>
        </w:rPr>
        <w:t>鼓励居民住房消费“先小房后大房”。促进商品住房总价与本地居民购买力相匹配，商品住房开发项目应提供多个面积段和户型，满足居民多层次的购房需求。在人口持续流入、产业较为集聚的区域，适当增加90平方米以下中小套型商品住房的占比，降低外来人口定居、本地农业转移人口市民化成本。</w:t>
      </w:r>
    </w:p>
    <w:p>
      <w:pPr>
        <w:ind w:firstLine="562"/>
        <w:rPr>
          <w:rFonts w:cs="Times New Roman"/>
        </w:rPr>
      </w:pPr>
      <w:r>
        <w:rPr>
          <w:rFonts w:cs="Times New Roman"/>
          <w:b/>
          <w:bCs/>
        </w:rPr>
        <w:t>规范存量住房交易市场。</w:t>
      </w:r>
      <w:r>
        <w:rPr>
          <w:rFonts w:cs="Times New Roman"/>
        </w:rPr>
        <w:t>鼓励居民住房消费“先旧房后新房”。推进存量房交易合同网签备案工作，推广《存量房买卖合同》示范文本，探索建立存量住房成交参考价格发布机制，加大存量住房市场的信息公开透明度，规范存量住房市场交易秩序和房地产经纪机构的经营行为，为居民买卖住房提供公开、公正、安全的交易环境。</w:t>
      </w:r>
    </w:p>
    <w:p>
      <w:pPr>
        <w:ind w:firstLine="562"/>
        <w:rPr>
          <w:rFonts w:cs="Times New Roman"/>
        </w:rPr>
      </w:pPr>
      <w:r>
        <w:rPr>
          <w:rFonts w:cs="Times New Roman"/>
          <w:b/>
          <w:bCs/>
        </w:rPr>
        <w:t>培育发展住房租赁市场。</w:t>
      </w:r>
      <w:r>
        <w:rPr>
          <w:rFonts w:cs="Times New Roman"/>
        </w:rPr>
        <w:t>鼓励居民住房消费“先租房后买房”。鼓励住房租赁企业对闲置、低效的存量房屋改造后作为租赁住房向市场出租。政府对合法合规、规模化运营的住房租赁企业提供税收优惠、民用水电气、政策性贷款等方面的支持，切实加强规范住房租赁市场秩序，保护各方权益，保障城市新市民能够通过租赁住房实现稳定居住。</w:t>
      </w:r>
    </w:p>
    <w:p>
      <w:pPr>
        <w:spacing w:before="312" w:beforeLines="100" w:after="312" w:afterLines="100"/>
        <w:ind w:left="562" w:firstLine="0" w:firstLineChars="0"/>
        <w:outlineLvl w:val="1"/>
        <w:rPr>
          <w:rFonts w:cs="Times New Roman"/>
          <w:b/>
        </w:rPr>
      </w:pPr>
      <w:bookmarkStart w:id="315" w:name="_Toc107764694"/>
      <w:r>
        <w:rPr>
          <w:rFonts w:cs="Times New Roman"/>
          <w:b/>
        </w:rPr>
        <w:t>（二）加强住房与土地联动</w:t>
      </w:r>
      <w:bookmarkEnd w:id="315"/>
    </w:p>
    <w:p>
      <w:pPr>
        <w:ind w:firstLine="562"/>
        <w:rPr>
          <w:rFonts w:cs="Times New Roman"/>
        </w:rPr>
      </w:pPr>
      <w:r>
        <w:rPr>
          <w:rFonts w:cs="Times New Roman"/>
          <w:b/>
          <w:bCs/>
        </w:rPr>
        <w:t>保障住宅用地供给。</w:t>
      </w:r>
      <w:r>
        <w:rPr>
          <w:rFonts w:hint="eastAsia" w:cs="Times New Roman"/>
        </w:rPr>
        <w:t>根据“十四五”期间新增筹建各类住房目标，预计需要供应住宅用地</w:t>
      </w:r>
      <w:r>
        <w:rPr>
          <w:rFonts w:cs="Times New Roman"/>
        </w:rPr>
        <w:t>142.1-184.1</w:t>
      </w:r>
      <w:r>
        <w:rPr>
          <w:rFonts w:hint="eastAsia" w:cs="Times New Roman"/>
        </w:rPr>
        <w:t>公顷。</w:t>
      </w:r>
      <w:r>
        <w:rPr>
          <w:rFonts w:cs="Times New Roman"/>
        </w:rPr>
        <w:t>推动城市建设从大规模增量建设转为存量改造和增量建设并重，加大城市更新、有偿收回闲置土地、棚户区改造等多种渠道盘活存量建设用地，多渠道收储土地，加强土地开发策划和推广，提升土地供给效率和土地价值，加强住宅用地供后监管，及时排查已供应未开工住宅用地和闲置住宅用地情况。</w:t>
      </w:r>
    </w:p>
    <w:p>
      <w:pPr>
        <w:ind w:firstLine="562"/>
        <w:rPr>
          <w:rFonts w:cs="Times New Roman"/>
        </w:rPr>
      </w:pPr>
      <w:r>
        <w:rPr>
          <w:rFonts w:cs="Times New Roman"/>
          <w:b/>
          <w:bCs/>
        </w:rPr>
        <w:t>加强人-房-地联动。</w:t>
      </w:r>
      <w:r>
        <w:rPr>
          <w:rFonts w:cs="Times New Roman"/>
        </w:rPr>
        <w:t>建立与人口增长相挂钩、以需求定供给、以效益定供给的城市建设用地供应机制，合理配置土地资源。根据商品住房</w:t>
      </w:r>
      <w:r>
        <w:rPr>
          <w:rFonts w:hint="eastAsia" w:cs="Times New Roman"/>
        </w:rPr>
        <w:t>库存</w:t>
      </w:r>
      <w:r>
        <w:rPr>
          <w:rFonts w:cs="Times New Roman"/>
        </w:rPr>
        <w:t>消化周期，及时调整住宅用地供应规模和节奏，保障市场供需基本平衡。加快建立住宅用地价格指数监测，创新土地供给方式，及时调节土地出让价格，以稳定市场预期，防止房价地价大起大落。</w:t>
      </w:r>
    </w:p>
    <w:p>
      <w:pPr>
        <w:spacing w:before="312" w:beforeLines="100" w:after="312" w:afterLines="100"/>
        <w:ind w:firstLine="562"/>
        <w:outlineLvl w:val="1"/>
        <w:rPr>
          <w:rFonts w:cs="Times New Roman"/>
          <w:b/>
        </w:rPr>
      </w:pPr>
      <w:bookmarkStart w:id="316" w:name="_Toc107764695"/>
      <w:r>
        <w:rPr>
          <w:rFonts w:cs="Times New Roman"/>
          <w:b/>
        </w:rPr>
        <w:t>（三）完善房地产金融政策</w:t>
      </w:r>
      <w:bookmarkEnd w:id="316"/>
    </w:p>
    <w:p>
      <w:pPr>
        <w:ind w:firstLine="562"/>
        <w:rPr>
          <w:rFonts w:cs="Times New Roman" w:asciiTheme="minorHAnsi" w:hAnsiTheme="minorHAnsi"/>
          <w:b/>
          <w:bCs/>
        </w:rPr>
      </w:pPr>
      <w:r>
        <w:rPr>
          <w:rFonts w:hint="eastAsia" w:cs="Times New Roman" w:asciiTheme="minorHAnsi" w:hAnsiTheme="minorHAnsi"/>
          <w:b/>
          <w:bCs/>
        </w:rPr>
        <w:t>积极支持居民合理住房信贷需求。</w:t>
      </w:r>
      <w:r>
        <w:rPr>
          <w:rFonts w:hint="eastAsia" w:cs="Times New Roman" w:asciiTheme="minorHAnsi" w:hAnsiTheme="minorHAnsi"/>
        </w:rPr>
        <w:t>坚持“房子是用来住的、不是用来炒的”定位，探索因城施策实施好差别化住房信贷政策，合理确定辖区内商业性个人住房贷款的最低首付款比例、最低贷款利率要求。鼓励银行对符合购房政策要求且具备购房能力、收入相对稳定的新市民，合理确定按揭标准，提升借款和还款便利度。</w:t>
      </w:r>
    </w:p>
    <w:p>
      <w:pPr>
        <w:ind w:firstLine="562"/>
        <w:rPr>
          <w:rFonts w:cs="Times New Roman"/>
        </w:rPr>
      </w:pPr>
      <w:r>
        <w:rPr>
          <w:rFonts w:hint="eastAsia" w:cs="Times New Roman"/>
          <w:b/>
          <w:bCs/>
        </w:rPr>
        <w:t>发挥公积金对居民合理自住购房的支持作用。</w:t>
      </w:r>
      <w:r>
        <w:rPr>
          <w:rFonts w:hint="eastAsia" w:cs="Times New Roman"/>
        </w:rPr>
        <w:t>改进和完善住房公积金缴存、提取、使用与监管机制，进一步扩大住房公积金覆盖面，全力推进民营企业建立住房公积金制度，支持灵活就业人员缴存住房公积金。提高住房公积金使用效率，加大购买首套和改善性住房的住房公积金信贷支持力度；支持异地缴存住房公积金的职工，在湛江市申请住房公积金贷款购买、建造、翻建、大修自住住房；支持职工按湛江市房屋租赁部门的指导性租金标准按季度提取住房公积金支付房租</w:t>
      </w:r>
      <w:r>
        <w:rPr>
          <w:rFonts w:cs="Times New Roman"/>
        </w:rPr>
        <w:t>。</w:t>
      </w:r>
    </w:p>
    <w:p>
      <w:pPr>
        <w:ind w:firstLine="562"/>
        <w:rPr>
          <w:rFonts w:cs="Times New Roman"/>
        </w:rPr>
      </w:pPr>
      <w:r>
        <w:rPr>
          <w:rFonts w:cs="Times New Roman"/>
          <w:b/>
          <w:bCs/>
        </w:rPr>
        <w:t>及时防范房地产金融风险。</w:t>
      </w:r>
      <w:r>
        <w:rPr>
          <w:rFonts w:cs="Times New Roman"/>
        </w:rPr>
        <w:t>贯彻执行国家、省有关房地产贷款的调控政策，支持居民首套和改善性购房，坚决遏制投机炒房行为，严禁各种类型的首付贷、尾款贷等违法违规“加杠杆”金融产品和服务。</w:t>
      </w:r>
    </w:p>
    <w:p>
      <w:pPr>
        <w:spacing w:before="312" w:beforeLines="100" w:after="312" w:afterLines="100"/>
        <w:ind w:firstLine="640"/>
        <w:outlineLvl w:val="0"/>
        <w:rPr>
          <w:rFonts w:eastAsia="黑体" w:cs="Times New Roman"/>
          <w:sz w:val="32"/>
        </w:rPr>
      </w:pPr>
      <w:bookmarkStart w:id="317" w:name="_Toc107764696"/>
      <w:r>
        <w:rPr>
          <w:rFonts w:eastAsia="黑体" w:cs="Times New Roman"/>
          <w:sz w:val="32"/>
        </w:rPr>
        <w:t>四、稳步提升住房保障水平</w:t>
      </w:r>
      <w:bookmarkEnd w:id="317"/>
    </w:p>
    <w:p>
      <w:pPr>
        <w:spacing w:before="312" w:beforeLines="100" w:after="312" w:afterLines="100"/>
        <w:ind w:firstLine="562"/>
        <w:outlineLvl w:val="1"/>
        <w:rPr>
          <w:rFonts w:cs="Times New Roman"/>
          <w:b/>
        </w:rPr>
      </w:pPr>
      <w:bookmarkStart w:id="318" w:name="_Toc107764697"/>
      <w:r>
        <w:rPr>
          <w:rFonts w:cs="Times New Roman"/>
          <w:b/>
        </w:rPr>
        <w:t>（一）加强住房基本保障</w:t>
      </w:r>
      <w:bookmarkEnd w:id="318"/>
    </w:p>
    <w:p>
      <w:pPr>
        <w:ind w:firstLine="562"/>
        <w:rPr>
          <w:rFonts w:cs="Times New Roman"/>
        </w:rPr>
      </w:pPr>
      <w:r>
        <w:rPr>
          <w:rFonts w:cs="Times New Roman"/>
          <w:b/>
          <w:bCs/>
        </w:rPr>
        <w:t>筑牢住房领域民生兜底保障。</w:t>
      </w:r>
      <w:r>
        <w:rPr>
          <w:rFonts w:cs="Times New Roman"/>
        </w:rPr>
        <w:t>政府主导，稳步增加公租房实物和租赁补贴供给，符合条件的城镇低保、低收入住房困难家庭凡申请住房保障，实现</w:t>
      </w:r>
      <w:r>
        <w:rPr>
          <w:rFonts w:hint="eastAsia" w:cs="Times New Roman"/>
        </w:rPr>
        <w:t>应保尽保</w:t>
      </w:r>
      <w:r>
        <w:rPr>
          <w:rFonts w:cs="Times New Roman"/>
        </w:rPr>
        <w:t>。持续做好城镇中等偏下收入住房困难家庭的保障工作，符合条件的城镇中等偏下收入住房困难家庭凡申请住房保障，力争在3年轮候期内予以保障。对于符合条件的生育三孩家庭、计划生育特殊家庭，同等条件下可按规定优先予以保障。</w:t>
      </w:r>
    </w:p>
    <w:p>
      <w:pPr>
        <w:ind w:firstLine="562"/>
        <w:rPr>
          <w:rFonts w:cs="Times New Roman"/>
        </w:rPr>
      </w:pPr>
      <w:r>
        <w:rPr>
          <w:rFonts w:cs="Times New Roman"/>
          <w:b/>
          <w:bCs/>
        </w:rPr>
        <w:t>提升公租房建设管理水平。</w:t>
      </w:r>
      <w:r>
        <w:rPr>
          <w:rFonts w:cs="Times New Roman"/>
        </w:rPr>
        <w:t>切实提升公租房社区居住品质，加强新建公租房小区的规划设计和建设管理，有序推进存量公租房小区公共设施和基础设施升级改造，以及智能化、适老化改造工作，使群众享有更好的居住环境。通过政府购买公租房运营管理服务引进市场规范化、专业化团队运营管理公租房小区，切实提高财政资金使用效率，提升公租房运营管理效能，让保障对象享受到更好的服务。</w:t>
      </w:r>
    </w:p>
    <w:p>
      <w:pPr>
        <w:spacing w:before="312" w:beforeLines="100" w:after="312" w:afterLines="100"/>
        <w:ind w:firstLine="562"/>
        <w:outlineLvl w:val="1"/>
        <w:rPr>
          <w:rFonts w:cs="Times New Roman"/>
          <w:b/>
        </w:rPr>
      </w:pPr>
      <w:bookmarkStart w:id="319" w:name="_Toc107764698"/>
      <w:r>
        <w:rPr>
          <w:rFonts w:cs="Times New Roman"/>
          <w:b/>
        </w:rPr>
        <w:t>（二）推动住房保障适度普惠</w:t>
      </w:r>
      <w:bookmarkEnd w:id="319"/>
    </w:p>
    <w:p>
      <w:pPr>
        <w:ind w:firstLine="562"/>
        <w:rPr>
          <w:rFonts w:cs="Times New Roman"/>
        </w:rPr>
      </w:pPr>
      <w:r>
        <w:rPr>
          <w:rFonts w:cs="Times New Roman"/>
          <w:b/>
          <w:bCs/>
        </w:rPr>
        <w:t>逐步扩大住房保障覆盖范围。</w:t>
      </w:r>
      <w:r>
        <w:rPr>
          <w:rFonts w:cs="Times New Roman"/>
        </w:rPr>
        <w:t>贯彻国家要求，探索通过保障性租赁住房、共有产权住房，缓解城市青年人、新市民特别是青年医生、青年教师、环卫工人、公交司机等从事基本公共服务人员的住房困难问题。</w:t>
      </w:r>
    </w:p>
    <w:p>
      <w:pPr>
        <w:ind w:firstLine="562"/>
        <w:rPr>
          <w:rFonts w:cs="Times New Roman"/>
        </w:rPr>
      </w:pPr>
      <w:r>
        <w:rPr>
          <w:rFonts w:cs="Times New Roman"/>
          <w:b/>
          <w:bCs/>
        </w:rPr>
        <w:t>积极开展保障性租赁住房试点。</w:t>
      </w:r>
      <w:r>
        <w:rPr>
          <w:rFonts w:cs="Times New Roman"/>
        </w:rPr>
        <w:t>开展保障性租赁住房需求人群摸底，评估保障性租赁住房供给潜力，支持和引导市场主体投资保障性租赁住房，鼓励产业园区项目配套建设保障性租赁住房。保障性租赁住房以小户型住房为主，建筑面积不超过70平方米，主要面向符合条件的新市民、青年人供应，租金水平一般低于同地段、同品质的市场租赁住房租金。</w:t>
      </w:r>
    </w:p>
    <w:p>
      <w:pPr>
        <w:ind w:firstLine="562"/>
        <w:rPr>
          <w:rFonts w:cs="Times New Roman"/>
        </w:rPr>
      </w:pPr>
      <w:r>
        <w:rPr>
          <w:rFonts w:cs="Times New Roman"/>
          <w:b/>
          <w:bCs/>
        </w:rPr>
        <w:t>因地制宜探索共有产权住房发展。</w:t>
      </w:r>
      <w:r>
        <w:rPr>
          <w:rFonts w:cs="Times New Roman"/>
        </w:rPr>
        <w:t>在人口流入集中、住房供需矛盾突出的区域探索发展共有产权住房，解决有一定经济承担能力但买不起商品住房的新市民、青年人的住房问题，共有产权住房建筑面积不超过120平方米，承购人的产权份额为共有产权住房销售价格占评估价格的比例，原则上不低于50%，其余部分为政府产权份额。</w:t>
      </w:r>
    </w:p>
    <w:p>
      <w:pPr>
        <w:spacing w:before="312" w:beforeLines="100" w:after="312" w:afterLines="100"/>
        <w:ind w:firstLine="562"/>
        <w:outlineLvl w:val="1"/>
        <w:rPr>
          <w:rFonts w:cs="Times New Roman"/>
          <w:b/>
        </w:rPr>
      </w:pPr>
      <w:bookmarkStart w:id="320" w:name="_Toc107764699"/>
      <w:r>
        <w:rPr>
          <w:rFonts w:cs="Times New Roman"/>
          <w:b/>
        </w:rPr>
        <w:t>（三）加大高层次人才安居</w:t>
      </w:r>
      <w:bookmarkEnd w:id="320"/>
    </w:p>
    <w:p>
      <w:pPr>
        <w:ind w:firstLine="562"/>
        <w:rPr>
          <w:rFonts w:cs="Times New Roman"/>
        </w:rPr>
      </w:pPr>
      <w:r>
        <w:rPr>
          <w:rFonts w:cs="Times New Roman"/>
          <w:b/>
          <w:bCs/>
        </w:rPr>
        <w:t>提供多样化的人才安居选择。</w:t>
      </w:r>
      <w:r>
        <w:rPr>
          <w:rFonts w:cs="Times New Roman"/>
        </w:rPr>
        <w:t>逐步健全“租售补”相结合的人才住房体系，不断优化完善住房补贴和人才公寓保障机制，鼓励有条件的地区探索通过“先租后售”、产权共有等方式向高层次人才提供产权性住房，以及对承租市场租赁住房的高层次人才进行租金补贴等，为高层次人才提供多样化居住选择。</w:t>
      </w:r>
    </w:p>
    <w:p>
      <w:pPr>
        <w:spacing w:before="312" w:beforeLines="100" w:after="312" w:afterLines="100"/>
        <w:ind w:firstLine="562"/>
        <w:outlineLvl w:val="1"/>
        <w:rPr>
          <w:rFonts w:cs="Times New Roman"/>
          <w:b/>
        </w:rPr>
      </w:pPr>
      <w:bookmarkStart w:id="321" w:name="_Toc107764700"/>
      <w:r>
        <w:rPr>
          <w:rFonts w:cs="Times New Roman"/>
          <w:b/>
        </w:rPr>
        <w:t>（四）创新重点行业人员住房保障机制</w:t>
      </w:r>
      <w:bookmarkEnd w:id="321"/>
    </w:p>
    <w:p>
      <w:pPr>
        <w:ind w:firstLine="562"/>
        <w:rPr>
          <w:rFonts w:cs="Times New Roman"/>
        </w:rPr>
      </w:pPr>
      <w:r>
        <w:rPr>
          <w:rFonts w:cs="Times New Roman"/>
          <w:b/>
          <w:bCs/>
        </w:rPr>
        <w:t>统筹部分房源向重点企事业单位配租。</w:t>
      </w:r>
      <w:r>
        <w:rPr>
          <w:rFonts w:cs="Times New Roman"/>
        </w:rPr>
        <w:t>探索设定人才安居重点企事业单位遴选条件和单位评级，建立</w:t>
      </w:r>
      <w:r>
        <w:rPr>
          <w:rFonts w:hint="eastAsia" w:cs="Times New Roman"/>
        </w:rPr>
        <w:t>廉江</w:t>
      </w:r>
      <w:r>
        <w:rPr>
          <w:rFonts w:cs="Times New Roman"/>
        </w:rPr>
        <w:t>市人才安居重点企事业单位名录。在做好公租房基本保障，满足高层次人才安居的基础上，政府可统筹一部分房源面向重点企事业单位符合条件的无房职工配租，支持重点行业企业吸引人才、留住人才。</w:t>
      </w:r>
    </w:p>
    <w:p>
      <w:pPr>
        <w:ind w:firstLine="562"/>
        <w:rPr>
          <w:rFonts w:cs="Times New Roman"/>
        </w:rPr>
      </w:pPr>
      <w:r>
        <w:rPr>
          <w:rFonts w:cs="Times New Roman"/>
          <w:b/>
          <w:bCs/>
        </w:rPr>
        <w:t>鼓励用人单位自建自筹房源保障职工。</w:t>
      </w:r>
      <w:r>
        <w:rPr>
          <w:rFonts w:cs="Times New Roman"/>
        </w:rPr>
        <w:t>企业、高校、科研机构等用人单位在符合规划、权属不变、满足安全要求、尊重群众意愿的前提下，可以申请利用自有存量土地自筹资金建设人才公寓。人才公寓的建设和管理须符合市人才公寓政策总体框架，人才公寓的套型面积标准、租金标准和准入条件可由用人单位通过民主决策程序后自行制定。</w:t>
      </w:r>
    </w:p>
    <w:p>
      <w:pPr>
        <w:spacing w:before="312" w:beforeLines="100" w:after="312" w:afterLines="100"/>
        <w:ind w:firstLine="640"/>
        <w:outlineLvl w:val="0"/>
        <w:rPr>
          <w:rFonts w:eastAsia="黑体" w:cs="Times New Roman"/>
          <w:sz w:val="32"/>
        </w:rPr>
      </w:pPr>
      <w:bookmarkStart w:id="322" w:name="_Toc107764701"/>
      <w:r>
        <w:rPr>
          <w:rFonts w:eastAsia="黑体" w:cs="Times New Roman"/>
          <w:sz w:val="32"/>
        </w:rPr>
        <w:t>五、全面提升居住品质</w:t>
      </w:r>
      <w:bookmarkEnd w:id="322"/>
    </w:p>
    <w:p>
      <w:pPr>
        <w:spacing w:before="312" w:beforeLines="100" w:after="312" w:afterLines="100"/>
        <w:ind w:firstLine="562"/>
        <w:outlineLvl w:val="1"/>
        <w:rPr>
          <w:rFonts w:cs="Times New Roman"/>
          <w:b/>
        </w:rPr>
      </w:pPr>
      <w:bookmarkStart w:id="323" w:name="_Toc107764702"/>
      <w:r>
        <w:rPr>
          <w:rFonts w:cs="Times New Roman"/>
          <w:b/>
        </w:rPr>
        <w:t>（一）创建宜居活力社区</w:t>
      </w:r>
      <w:bookmarkEnd w:id="323"/>
    </w:p>
    <w:p>
      <w:pPr>
        <w:ind w:firstLine="562"/>
        <w:rPr>
          <w:rFonts w:cs="Times New Roman"/>
        </w:rPr>
      </w:pPr>
      <w:r>
        <w:rPr>
          <w:rFonts w:cs="Times New Roman"/>
          <w:b/>
          <w:bCs/>
        </w:rPr>
        <w:t>推动教育产业高质量发展。</w:t>
      </w:r>
      <w:r>
        <w:rPr>
          <w:rFonts w:cs="Times New Roman"/>
        </w:rPr>
        <w:t>高度重视基础教育对人口的牵引作用，促进高品质住房与优质基础教育协调发展。对标湾区先进城市，支持和鼓励房地产开发主体高标准配建教育设施，引导社会力量举办非营利性民办学校，推进本地优质的公办学校，通过单独办学、与地方政府及相关机构合作举办公办学校、与社会组织举办民办义务教育学校等形式扩大办学规模，以及积极采取对口支援、帮助薄弱学校、开展师资培训等方式支持地方基础教育，多措并举带动基础教育管理水平和教学质量</w:t>
      </w:r>
      <w:r>
        <w:rPr>
          <w:rFonts w:hint="eastAsia" w:cs="Times New Roman"/>
        </w:rPr>
        <w:t>整体</w:t>
      </w:r>
      <w:r>
        <w:rPr>
          <w:rFonts w:cs="Times New Roman"/>
        </w:rPr>
        <w:t>提升。</w:t>
      </w:r>
    </w:p>
    <w:p>
      <w:pPr>
        <w:ind w:firstLine="562"/>
        <w:rPr>
          <w:rFonts w:cs="Times New Roman"/>
        </w:rPr>
      </w:pPr>
      <w:r>
        <w:rPr>
          <w:rFonts w:cs="Times New Roman"/>
          <w:b/>
          <w:bCs/>
        </w:rPr>
        <w:t>促进居住就业适度平衡。</w:t>
      </w:r>
      <w:r>
        <w:rPr>
          <w:rFonts w:cs="Times New Roman"/>
        </w:rPr>
        <w:t>以步行十五分钟为空间尺度，坚持“小街区、密路网”布局原则，倡导社区功能混合布局和土地混合利用。同时，应按照规划人口规模和合理服务半径，重点完善交通设施，补齐周边教育、医疗、养老等公共服务和社区服务设施短板，</w:t>
      </w:r>
      <w:r>
        <w:rPr>
          <w:rFonts w:hint="eastAsia" w:cs="Times New Roman"/>
        </w:rPr>
        <w:t>合理布局</w:t>
      </w:r>
      <w:r>
        <w:rPr>
          <w:rFonts w:cs="Times New Roman"/>
        </w:rPr>
        <w:t>街区商业、综合商场和办公空间，为居民就近消费和就业生活提供优质空间载体。</w:t>
      </w:r>
    </w:p>
    <w:p>
      <w:pPr>
        <w:ind w:firstLine="562"/>
        <w:rPr>
          <w:rFonts w:cs="Times New Roman"/>
        </w:rPr>
      </w:pPr>
      <w:r>
        <w:rPr>
          <w:rFonts w:cs="Times New Roman"/>
          <w:b/>
          <w:bCs/>
        </w:rPr>
        <w:t>健全设施配套协同机制。</w:t>
      </w:r>
      <w:r>
        <w:rPr>
          <w:rFonts w:cs="Times New Roman"/>
        </w:rPr>
        <w:t>加强民政、教育、卫健等有关部门与自然资源部门对接，建立配套设施台账，将需要配套建设和无偿移交的设施纳入新增住宅用地的出让条件，明确设施建设义务主体和设施接收单位，实行同步设计、同步施工、同步验收，保障配套设施有效供给。完善配套建设的教育设施和社区公共服务设施管理制度。加快推进公共服务供给制度改革，通过公建民营、政府购买服务等多种方式引入社会资本和专业队伍，多渠道提升公共服务供给能力和服务水平。</w:t>
      </w:r>
    </w:p>
    <w:p>
      <w:pPr>
        <w:ind w:firstLine="562"/>
        <w:rPr>
          <w:rFonts w:cs="Times New Roman"/>
        </w:rPr>
      </w:pPr>
      <w:r>
        <w:rPr>
          <w:rFonts w:cs="Times New Roman"/>
          <w:b/>
          <w:bCs/>
        </w:rPr>
        <w:t>完善社区基层治理。</w:t>
      </w:r>
      <w:r>
        <w:rPr>
          <w:rFonts w:cs="Times New Roman"/>
        </w:rPr>
        <w:t>大力推进业主委员会组建工作，以社区为重点，按照“因地制宜，统一部署，分步推进”的原则，有序提高业主委员会的覆盖面。探索开展“菜单式”物业服务管理模式，由物业服务企业向业主提供服务“菜单”，业主自选“服务套餐”。建立和健全人民调解、行业调解、司法调解相互衔接的联动机制和物业管理应急处置机制。</w:t>
      </w:r>
    </w:p>
    <w:p>
      <w:pPr>
        <w:spacing w:before="312" w:beforeLines="100" w:after="312" w:afterLines="100"/>
        <w:ind w:firstLine="562"/>
        <w:outlineLvl w:val="1"/>
        <w:rPr>
          <w:rFonts w:cs="Times New Roman"/>
          <w:b/>
        </w:rPr>
      </w:pPr>
      <w:bookmarkStart w:id="324" w:name="_Toc107764703"/>
      <w:r>
        <w:rPr>
          <w:rFonts w:cs="Times New Roman"/>
          <w:b/>
        </w:rPr>
        <w:t>（二）建设智慧生态小区</w:t>
      </w:r>
      <w:bookmarkEnd w:id="324"/>
    </w:p>
    <w:p>
      <w:pPr>
        <w:ind w:firstLine="562"/>
        <w:rPr>
          <w:rFonts w:cs="Times New Roman"/>
        </w:rPr>
      </w:pPr>
      <w:r>
        <w:rPr>
          <w:rFonts w:cs="Times New Roman"/>
          <w:b/>
          <w:bCs/>
        </w:rPr>
        <w:t>建设智慧小区。</w:t>
      </w:r>
      <w:r>
        <w:rPr>
          <w:rFonts w:cs="Times New Roman"/>
        </w:rPr>
        <w:t>加大对基础设施硬件的投入，在老旧小区改造、新小区规划建设中推进5G、物联网传感终端等基础设施建设，逐步推进社区智慧化升级。创建智慧社区试点小区，创新建设运营模式，积极引入社会资源，打造居民可负担、多方有收益的智慧小区，促进住宅小区智慧化管理与城市“一网通办、一网统管”等智慧管理深度融合，打造示范样板工程。</w:t>
      </w:r>
    </w:p>
    <w:p>
      <w:pPr>
        <w:ind w:firstLine="562"/>
        <w:rPr>
          <w:rFonts w:cs="Times New Roman"/>
        </w:rPr>
      </w:pPr>
      <w:r>
        <w:rPr>
          <w:rFonts w:cs="Times New Roman"/>
          <w:b/>
          <w:bCs/>
        </w:rPr>
        <w:t>建设绿色生态小区。</w:t>
      </w:r>
      <w:r>
        <w:rPr>
          <w:rFonts w:cs="Times New Roman"/>
        </w:rPr>
        <w:t>推动住房建设领域实现绿色转型发展，落实海绵城市理念，支持和引导房地产开发企业加大绿色新型建材、新型节能科技、环境卫生设施等方面的投入，完善住宅小区绿色基础设施配套，打造新一代绿色健康住宅，促进绿色健康新消费。</w:t>
      </w:r>
    </w:p>
    <w:p>
      <w:pPr>
        <w:spacing w:before="312" w:beforeLines="100" w:after="312" w:afterLines="100"/>
        <w:ind w:firstLine="562"/>
        <w:outlineLvl w:val="1"/>
        <w:rPr>
          <w:rFonts w:cs="Times New Roman"/>
          <w:b/>
        </w:rPr>
      </w:pPr>
      <w:bookmarkStart w:id="325" w:name="_Toc107764704"/>
      <w:r>
        <w:rPr>
          <w:rFonts w:cs="Times New Roman"/>
          <w:b/>
        </w:rPr>
        <w:t>（三）推进旅游地产转型</w:t>
      </w:r>
      <w:bookmarkEnd w:id="325"/>
    </w:p>
    <w:p>
      <w:pPr>
        <w:ind w:firstLine="562"/>
        <w:rPr>
          <w:rFonts w:cs="Times New Roman"/>
        </w:rPr>
      </w:pPr>
      <w:r>
        <w:rPr>
          <w:rFonts w:cs="Times New Roman"/>
          <w:b/>
          <w:bCs/>
        </w:rPr>
        <w:t>构建全域旅游新格局。</w:t>
      </w:r>
      <w:r>
        <w:rPr>
          <w:rFonts w:cs="Times New Roman"/>
        </w:rPr>
        <w:t>加强政府统筹，加大旅游项目引进力度，推动旅游与房地产业深度融合发展，推进旅游景区改造提升、旅游配套设施开发以及市内交通设施提升等工程，通过新建、改建或维护修缮等多种方式，打造一批具有热带滨海特色的高品质旅游标杆项目。</w:t>
      </w:r>
    </w:p>
    <w:p>
      <w:pPr>
        <w:ind w:firstLine="562"/>
        <w:rPr>
          <w:rFonts w:cs="Times New Roman"/>
        </w:rPr>
      </w:pPr>
      <w:r>
        <w:rPr>
          <w:rFonts w:cs="Times New Roman"/>
          <w:b/>
          <w:bCs/>
        </w:rPr>
        <w:t>转变旅游地产发展模式。</w:t>
      </w:r>
      <w:r>
        <w:rPr>
          <w:rFonts w:cs="Times New Roman"/>
        </w:rPr>
        <w:t>强化可持续的“运营”理念，转变房地产开发与旅游产业设施供给和营利模式，以“慢周转”模式打造文旅、康养项目，坚持配套设施先行，适当增加项目自持物业占比，引导投资企业通过持续提供优质运营服务，分享项目整体价值提升红利。</w:t>
      </w:r>
    </w:p>
    <w:p>
      <w:pPr>
        <w:ind w:firstLine="562"/>
        <w:rPr>
          <w:rFonts w:cs="Times New Roman"/>
          <w:color w:val="FF0000"/>
        </w:rPr>
      </w:pPr>
      <w:r>
        <w:rPr>
          <w:rFonts w:cs="Times New Roman"/>
          <w:b/>
          <w:bCs/>
        </w:rPr>
        <w:t>推进旅游服务为旅游地产赋能。</w:t>
      </w:r>
      <w:r>
        <w:rPr>
          <w:rFonts w:cs="Times New Roman"/>
        </w:rPr>
        <w:t>发挥湛江本地高校优势，推进旅游地产项目与岭南师范学院、广东医科大学、广东海洋大学等院校开展“产学研”一体化合作，扩大旅游相关服务专业招生，为旅游产业发展输送专业人才，加强旅游从业人员教育培训，全面提升旅游从业人员素质。鼓励本地居民参与，保护和发扬本地传统民俗文化、特色美食等，形成湛江市独特的旅游文化氛围。</w:t>
      </w:r>
    </w:p>
    <w:p>
      <w:pPr>
        <w:spacing w:before="312" w:beforeLines="100" w:after="312" w:afterLines="100"/>
        <w:ind w:firstLine="640"/>
        <w:outlineLvl w:val="0"/>
        <w:rPr>
          <w:rFonts w:eastAsia="黑体" w:cs="Times New Roman"/>
          <w:sz w:val="32"/>
        </w:rPr>
      </w:pPr>
      <w:bookmarkStart w:id="326" w:name="_Toc107764705"/>
      <w:r>
        <w:rPr>
          <w:rFonts w:eastAsia="黑体" w:cs="Times New Roman"/>
          <w:sz w:val="32"/>
        </w:rPr>
        <w:t>六、保障措施</w:t>
      </w:r>
      <w:bookmarkEnd w:id="326"/>
    </w:p>
    <w:p>
      <w:pPr>
        <w:spacing w:before="312" w:beforeLines="100" w:after="312" w:afterLines="100"/>
        <w:ind w:firstLine="562"/>
        <w:outlineLvl w:val="1"/>
        <w:rPr>
          <w:rFonts w:cs="Times New Roman"/>
          <w:b/>
        </w:rPr>
      </w:pPr>
      <w:bookmarkStart w:id="327" w:name="_Toc107764706"/>
      <w:r>
        <w:rPr>
          <w:rFonts w:cs="Times New Roman"/>
          <w:b/>
        </w:rPr>
        <w:t>（一）加强组织领导</w:t>
      </w:r>
      <w:bookmarkEnd w:id="327"/>
    </w:p>
    <w:p>
      <w:pPr>
        <w:ind w:firstLine="560"/>
        <w:rPr>
          <w:rFonts w:cs="Times New Roman"/>
        </w:rPr>
      </w:pPr>
      <w:r>
        <w:rPr>
          <w:rFonts w:cs="Times New Roman"/>
        </w:rPr>
        <w:t>探索成立房地产调控工作领导小组，定期召开工作会议，统筹协调规划实施的有关事宜，研究解决住房和房地产发展过程中遇到的重大问题。强化主体责任意识，接受市的工作指导和监督。</w:t>
      </w:r>
    </w:p>
    <w:p>
      <w:pPr>
        <w:spacing w:before="312" w:beforeLines="100" w:after="312" w:afterLines="100"/>
        <w:ind w:firstLine="562"/>
        <w:outlineLvl w:val="1"/>
        <w:rPr>
          <w:rFonts w:cs="Times New Roman"/>
          <w:b/>
        </w:rPr>
      </w:pPr>
      <w:bookmarkStart w:id="328" w:name="_Toc107764707"/>
      <w:r>
        <w:rPr>
          <w:rFonts w:cs="Times New Roman"/>
          <w:b/>
        </w:rPr>
        <w:t>（二）健全住房发展要素保障机制</w:t>
      </w:r>
      <w:bookmarkEnd w:id="328"/>
    </w:p>
    <w:p>
      <w:pPr>
        <w:ind w:firstLine="560"/>
        <w:rPr>
          <w:rFonts w:cs="Times New Roman"/>
        </w:rPr>
      </w:pPr>
      <w:r>
        <w:rPr>
          <w:rFonts w:cs="Times New Roman"/>
        </w:rPr>
        <w:t>围绕住房发展规划确立的总体目标和要求，健全多渠道的住宅用地供应机制，稳步增加住宅用地供给，不断提升城市住宅用地供给能力和供给效率；统筹用好各项政府资金，引导社会资金参与保障性住房的建设、运营和管理，支持成立住房保障专营机构，确保住房保障目标任务有效落实。</w:t>
      </w:r>
    </w:p>
    <w:p>
      <w:pPr>
        <w:spacing w:before="312" w:beforeLines="100" w:after="312" w:afterLines="100"/>
        <w:ind w:firstLine="562"/>
        <w:outlineLvl w:val="1"/>
        <w:rPr>
          <w:rFonts w:cs="Times New Roman"/>
          <w:b/>
        </w:rPr>
      </w:pPr>
      <w:bookmarkStart w:id="329" w:name="_Toc107764708"/>
      <w:r>
        <w:rPr>
          <w:rFonts w:cs="Times New Roman"/>
          <w:b/>
        </w:rPr>
        <w:t>（三）完善规划实施的评估机制</w:t>
      </w:r>
      <w:bookmarkEnd w:id="329"/>
    </w:p>
    <w:p>
      <w:pPr>
        <w:ind w:firstLine="560"/>
        <w:rPr>
          <w:rFonts w:cs="Times New Roman"/>
        </w:rPr>
      </w:pPr>
      <w:r>
        <w:rPr>
          <w:rFonts w:cs="Times New Roman"/>
        </w:rPr>
        <w:t>贯彻落实规划制定的目标任务，根据每年经济社会发展的实际情况，在年初指导住房发展年度实施计划。并及时监测、跟踪规划执行情况，及时发现和解决住房发展过程中存在的问题，上报规划年度实施评估报告。</w:t>
      </w:r>
    </w:p>
    <w:p>
      <w:pPr>
        <w:spacing w:before="312" w:beforeLines="100" w:after="312" w:afterLines="100"/>
        <w:ind w:firstLine="562"/>
        <w:outlineLvl w:val="1"/>
        <w:rPr>
          <w:rFonts w:cs="Times New Roman"/>
          <w:b/>
        </w:rPr>
      </w:pPr>
      <w:bookmarkStart w:id="330" w:name="_Toc107764709"/>
      <w:r>
        <w:rPr>
          <w:rFonts w:cs="Times New Roman"/>
          <w:b/>
        </w:rPr>
        <w:t>（四）做好规划宣传引导工作</w:t>
      </w:r>
      <w:bookmarkEnd w:id="330"/>
    </w:p>
    <w:p>
      <w:pPr>
        <w:ind w:firstLine="560"/>
        <w:rPr>
          <w:rFonts w:eastAsia="黑体" w:cs="Times New Roman"/>
        </w:rPr>
      </w:pPr>
      <w:r>
        <w:rPr>
          <w:rFonts w:cs="Times New Roman"/>
        </w:rPr>
        <w:t>坚持正确舆论导向，深入开展住房发展规划和住房相关政策的宣传解读，及时解答社会各界关注的热点问题，主动回应社会关切，合理引导社会预期。充分发挥各类媒体的作用，加强正面引导，对规划实施过程中的典型经验和成效及时进行总结宣传，在全社会营造有利于房地产市场平稳健康发展的舆论氛围。</w:t>
      </w:r>
    </w:p>
    <w:p>
      <w:pPr>
        <w:spacing w:line="320" w:lineRule="exact"/>
        <w:ind w:firstLine="0" w:firstLineChars="0"/>
        <w:rPr>
          <w:rFonts w:eastAsia="黑体"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7024"/>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13</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307833"/>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786749"/>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4</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323160"/>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457489"/>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8</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8937141"/>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527439"/>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8</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173863"/>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193908"/>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143020"/>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602882"/>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14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754256"/>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817979"/>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275801"/>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144549"/>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II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560" w:firstLine="360"/>
    </w:pPr>
  </w:p>
  <w:p>
    <w:pPr>
      <w:ind w:firstLine="5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《分册二：吴川市“十四五”住房发展规划》</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《分册三：徐闻县“十四五”住房发展规划》</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《分册四：雷州市“十四五”住房发展规划》</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《分册五：遂溪县“十四五”住房发展规划》</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《分册六：廉江市“十四五”住房发展规划》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《湛江市“十四五”住房发展规划》</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《湛江市“十四五”住房发展规划》</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rFonts w:hint="eastAsia"/>
      </w:rPr>
      <w:t>《分册一：湛江市市区“十四五”住房发展规划》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4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19"/>
    <w:rsid w:val="00000304"/>
    <w:rsid w:val="00000DDB"/>
    <w:rsid w:val="0000160F"/>
    <w:rsid w:val="0000183B"/>
    <w:rsid w:val="00001B7B"/>
    <w:rsid w:val="00001CDA"/>
    <w:rsid w:val="00002A23"/>
    <w:rsid w:val="00002D78"/>
    <w:rsid w:val="00003740"/>
    <w:rsid w:val="00003B6E"/>
    <w:rsid w:val="00004B84"/>
    <w:rsid w:val="00005DB6"/>
    <w:rsid w:val="0000607A"/>
    <w:rsid w:val="00006435"/>
    <w:rsid w:val="00006480"/>
    <w:rsid w:val="000064B1"/>
    <w:rsid w:val="00007A15"/>
    <w:rsid w:val="00007D93"/>
    <w:rsid w:val="000114BA"/>
    <w:rsid w:val="00011FF7"/>
    <w:rsid w:val="00014B20"/>
    <w:rsid w:val="0001698E"/>
    <w:rsid w:val="00017939"/>
    <w:rsid w:val="000179D4"/>
    <w:rsid w:val="00017A50"/>
    <w:rsid w:val="00025576"/>
    <w:rsid w:val="00026BAA"/>
    <w:rsid w:val="00026D91"/>
    <w:rsid w:val="00030262"/>
    <w:rsid w:val="00032ED4"/>
    <w:rsid w:val="00034080"/>
    <w:rsid w:val="00034AC0"/>
    <w:rsid w:val="000374E8"/>
    <w:rsid w:val="00042701"/>
    <w:rsid w:val="00045814"/>
    <w:rsid w:val="00045CF0"/>
    <w:rsid w:val="000460B7"/>
    <w:rsid w:val="00046D9A"/>
    <w:rsid w:val="00050431"/>
    <w:rsid w:val="000506DF"/>
    <w:rsid w:val="00050C00"/>
    <w:rsid w:val="0005276F"/>
    <w:rsid w:val="00052D02"/>
    <w:rsid w:val="00052E3D"/>
    <w:rsid w:val="000556B7"/>
    <w:rsid w:val="00055D8C"/>
    <w:rsid w:val="00056809"/>
    <w:rsid w:val="00056AC6"/>
    <w:rsid w:val="00056E07"/>
    <w:rsid w:val="0005780F"/>
    <w:rsid w:val="00057849"/>
    <w:rsid w:val="00060742"/>
    <w:rsid w:val="0006150A"/>
    <w:rsid w:val="000633BA"/>
    <w:rsid w:val="00063C4B"/>
    <w:rsid w:val="00063E7C"/>
    <w:rsid w:val="00063EC5"/>
    <w:rsid w:val="000642A8"/>
    <w:rsid w:val="00066BF4"/>
    <w:rsid w:val="0007092A"/>
    <w:rsid w:val="00070A84"/>
    <w:rsid w:val="000743ED"/>
    <w:rsid w:val="00074422"/>
    <w:rsid w:val="00074872"/>
    <w:rsid w:val="00074C5B"/>
    <w:rsid w:val="00075253"/>
    <w:rsid w:val="00075CE9"/>
    <w:rsid w:val="00075EE1"/>
    <w:rsid w:val="00076AE1"/>
    <w:rsid w:val="000771D6"/>
    <w:rsid w:val="00077771"/>
    <w:rsid w:val="000810DA"/>
    <w:rsid w:val="0008249E"/>
    <w:rsid w:val="000849DD"/>
    <w:rsid w:val="00085353"/>
    <w:rsid w:val="00085A8E"/>
    <w:rsid w:val="000866A9"/>
    <w:rsid w:val="00086F10"/>
    <w:rsid w:val="000911E8"/>
    <w:rsid w:val="000913EE"/>
    <w:rsid w:val="00091952"/>
    <w:rsid w:val="00095A3E"/>
    <w:rsid w:val="00097709"/>
    <w:rsid w:val="000A0300"/>
    <w:rsid w:val="000A1BB1"/>
    <w:rsid w:val="000A43D6"/>
    <w:rsid w:val="000A495B"/>
    <w:rsid w:val="000A6C01"/>
    <w:rsid w:val="000A74C4"/>
    <w:rsid w:val="000A7AC7"/>
    <w:rsid w:val="000B003F"/>
    <w:rsid w:val="000B05CF"/>
    <w:rsid w:val="000B20A9"/>
    <w:rsid w:val="000B2F54"/>
    <w:rsid w:val="000B342E"/>
    <w:rsid w:val="000B440C"/>
    <w:rsid w:val="000B4A4D"/>
    <w:rsid w:val="000B58F4"/>
    <w:rsid w:val="000B592A"/>
    <w:rsid w:val="000B5F27"/>
    <w:rsid w:val="000B70DD"/>
    <w:rsid w:val="000B7549"/>
    <w:rsid w:val="000B7603"/>
    <w:rsid w:val="000B761B"/>
    <w:rsid w:val="000B7F8D"/>
    <w:rsid w:val="000C18BE"/>
    <w:rsid w:val="000C255E"/>
    <w:rsid w:val="000C2846"/>
    <w:rsid w:val="000C31E1"/>
    <w:rsid w:val="000C3DCB"/>
    <w:rsid w:val="000C4225"/>
    <w:rsid w:val="000C5D8D"/>
    <w:rsid w:val="000C783B"/>
    <w:rsid w:val="000C7E1D"/>
    <w:rsid w:val="000D02D5"/>
    <w:rsid w:val="000D05E3"/>
    <w:rsid w:val="000D09E6"/>
    <w:rsid w:val="000D0D92"/>
    <w:rsid w:val="000D106A"/>
    <w:rsid w:val="000D20EF"/>
    <w:rsid w:val="000D2638"/>
    <w:rsid w:val="000D2D51"/>
    <w:rsid w:val="000D4140"/>
    <w:rsid w:val="000D45FB"/>
    <w:rsid w:val="000D5589"/>
    <w:rsid w:val="000D672A"/>
    <w:rsid w:val="000D6B78"/>
    <w:rsid w:val="000D7C1C"/>
    <w:rsid w:val="000D7D71"/>
    <w:rsid w:val="000E01AE"/>
    <w:rsid w:val="000E058B"/>
    <w:rsid w:val="000E1069"/>
    <w:rsid w:val="000E140E"/>
    <w:rsid w:val="000E2463"/>
    <w:rsid w:val="000E33ED"/>
    <w:rsid w:val="000E3BF1"/>
    <w:rsid w:val="000E3C15"/>
    <w:rsid w:val="000E3CB8"/>
    <w:rsid w:val="000E40BB"/>
    <w:rsid w:val="000E510C"/>
    <w:rsid w:val="000E68DE"/>
    <w:rsid w:val="000E75C0"/>
    <w:rsid w:val="000F1701"/>
    <w:rsid w:val="000F36D6"/>
    <w:rsid w:val="000F39B6"/>
    <w:rsid w:val="000F3A17"/>
    <w:rsid w:val="000F4BDA"/>
    <w:rsid w:val="000F4E79"/>
    <w:rsid w:val="000F50E9"/>
    <w:rsid w:val="000F5149"/>
    <w:rsid w:val="000F6770"/>
    <w:rsid w:val="0010050D"/>
    <w:rsid w:val="00100D3B"/>
    <w:rsid w:val="00101EDA"/>
    <w:rsid w:val="00103EA9"/>
    <w:rsid w:val="0010706B"/>
    <w:rsid w:val="001101F3"/>
    <w:rsid w:val="00113A6A"/>
    <w:rsid w:val="00113E77"/>
    <w:rsid w:val="001149CC"/>
    <w:rsid w:val="00115C65"/>
    <w:rsid w:val="001167A5"/>
    <w:rsid w:val="00117477"/>
    <w:rsid w:val="00117A55"/>
    <w:rsid w:val="00120745"/>
    <w:rsid w:val="00122AF6"/>
    <w:rsid w:val="00122E4B"/>
    <w:rsid w:val="00123139"/>
    <w:rsid w:val="001236DD"/>
    <w:rsid w:val="001249BE"/>
    <w:rsid w:val="001258E7"/>
    <w:rsid w:val="0012618C"/>
    <w:rsid w:val="001270D3"/>
    <w:rsid w:val="001271F8"/>
    <w:rsid w:val="00130658"/>
    <w:rsid w:val="001319A2"/>
    <w:rsid w:val="00132373"/>
    <w:rsid w:val="001323ED"/>
    <w:rsid w:val="001348BA"/>
    <w:rsid w:val="00134F5C"/>
    <w:rsid w:val="001356EF"/>
    <w:rsid w:val="00136482"/>
    <w:rsid w:val="00140DA9"/>
    <w:rsid w:val="00140EB4"/>
    <w:rsid w:val="00141542"/>
    <w:rsid w:val="00141765"/>
    <w:rsid w:val="001423EB"/>
    <w:rsid w:val="00142DCC"/>
    <w:rsid w:val="001435FA"/>
    <w:rsid w:val="00143696"/>
    <w:rsid w:val="00143AF5"/>
    <w:rsid w:val="00144917"/>
    <w:rsid w:val="001477CC"/>
    <w:rsid w:val="00153987"/>
    <w:rsid w:val="0015669D"/>
    <w:rsid w:val="001613CA"/>
    <w:rsid w:val="00161A0E"/>
    <w:rsid w:val="00161A75"/>
    <w:rsid w:val="00161A83"/>
    <w:rsid w:val="001654ED"/>
    <w:rsid w:val="00166B87"/>
    <w:rsid w:val="001717DD"/>
    <w:rsid w:val="00172642"/>
    <w:rsid w:val="001728D0"/>
    <w:rsid w:val="0017372D"/>
    <w:rsid w:val="001759EE"/>
    <w:rsid w:val="001770E7"/>
    <w:rsid w:val="00177688"/>
    <w:rsid w:val="00177700"/>
    <w:rsid w:val="00177C5F"/>
    <w:rsid w:val="00177ED0"/>
    <w:rsid w:val="001809FE"/>
    <w:rsid w:val="00183E2B"/>
    <w:rsid w:val="00184E39"/>
    <w:rsid w:val="00184FAD"/>
    <w:rsid w:val="00185240"/>
    <w:rsid w:val="0018563C"/>
    <w:rsid w:val="00185FBD"/>
    <w:rsid w:val="00186C5C"/>
    <w:rsid w:val="00190634"/>
    <w:rsid w:val="001915DC"/>
    <w:rsid w:val="001938CF"/>
    <w:rsid w:val="0019419E"/>
    <w:rsid w:val="00196618"/>
    <w:rsid w:val="00196802"/>
    <w:rsid w:val="001974B5"/>
    <w:rsid w:val="001A024C"/>
    <w:rsid w:val="001A1C54"/>
    <w:rsid w:val="001A2053"/>
    <w:rsid w:val="001A2E41"/>
    <w:rsid w:val="001A4DE2"/>
    <w:rsid w:val="001A637C"/>
    <w:rsid w:val="001A6C9F"/>
    <w:rsid w:val="001B0755"/>
    <w:rsid w:val="001B0997"/>
    <w:rsid w:val="001B1DDA"/>
    <w:rsid w:val="001B2D85"/>
    <w:rsid w:val="001B46AD"/>
    <w:rsid w:val="001B4947"/>
    <w:rsid w:val="001B4E62"/>
    <w:rsid w:val="001B6485"/>
    <w:rsid w:val="001B6EE9"/>
    <w:rsid w:val="001B78B1"/>
    <w:rsid w:val="001B7B36"/>
    <w:rsid w:val="001C05D8"/>
    <w:rsid w:val="001C0A91"/>
    <w:rsid w:val="001C1A62"/>
    <w:rsid w:val="001C21CD"/>
    <w:rsid w:val="001C25EA"/>
    <w:rsid w:val="001C275E"/>
    <w:rsid w:val="001C2EFE"/>
    <w:rsid w:val="001C38CF"/>
    <w:rsid w:val="001C5A2E"/>
    <w:rsid w:val="001C7FE9"/>
    <w:rsid w:val="001D31D8"/>
    <w:rsid w:val="001D3D15"/>
    <w:rsid w:val="001D4210"/>
    <w:rsid w:val="001D563E"/>
    <w:rsid w:val="001D5A5D"/>
    <w:rsid w:val="001E0179"/>
    <w:rsid w:val="001E1CFE"/>
    <w:rsid w:val="001E201E"/>
    <w:rsid w:val="001E2F27"/>
    <w:rsid w:val="001E3A7E"/>
    <w:rsid w:val="001E56C5"/>
    <w:rsid w:val="001F04E8"/>
    <w:rsid w:val="001F0591"/>
    <w:rsid w:val="001F0643"/>
    <w:rsid w:val="001F0DDF"/>
    <w:rsid w:val="001F152D"/>
    <w:rsid w:val="001F3920"/>
    <w:rsid w:val="001F4A09"/>
    <w:rsid w:val="001F4BC6"/>
    <w:rsid w:val="001F4E97"/>
    <w:rsid w:val="001F6A2B"/>
    <w:rsid w:val="001F6DC9"/>
    <w:rsid w:val="001F745B"/>
    <w:rsid w:val="001F77B8"/>
    <w:rsid w:val="001F7FB5"/>
    <w:rsid w:val="001F7FC3"/>
    <w:rsid w:val="002006BB"/>
    <w:rsid w:val="00201642"/>
    <w:rsid w:val="00201BA6"/>
    <w:rsid w:val="002037A2"/>
    <w:rsid w:val="002054C0"/>
    <w:rsid w:val="0020703C"/>
    <w:rsid w:val="00210081"/>
    <w:rsid w:val="00211332"/>
    <w:rsid w:val="00213818"/>
    <w:rsid w:val="002142B6"/>
    <w:rsid w:val="00216B0F"/>
    <w:rsid w:val="00217A71"/>
    <w:rsid w:val="00217CBD"/>
    <w:rsid w:val="002204C5"/>
    <w:rsid w:val="00224C91"/>
    <w:rsid w:val="00224DD4"/>
    <w:rsid w:val="00224EE4"/>
    <w:rsid w:val="00224F8C"/>
    <w:rsid w:val="0022542E"/>
    <w:rsid w:val="00225CE7"/>
    <w:rsid w:val="00227AED"/>
    <w:rsid w:val="00230497"/>
    <w:rsid w:val="00230642"/>
    <w:rsid w:val="0023071A"/>
    <w:rsid w:val="0023271A"/>
    <w:rsid w:val="00234ADD"/>
    <w:rsid w:val="00235371"/>
    <w:rsid w:val="00235514"/>
    <w:rsid w:val="002357E1"/>
    <w:rsid w:val="00240896"/>
    <w:rsid w:val="00244BD9"/>
    <w:rsid w:val="00245344"/>
    <w:rsid w:val="002476A3"/>
    <w:rsid w:val="00251624"/>
    <w:rsid w:val="00251CBA"/>
    <w:rsid w:val="00251CD3"/>
    <w:rsid w:val="00252180"/>
    <w:rsid w:val="002534D2"/>
    <w:rsid w:val="00254E65"/>
    <w:rsid w:val="00257AD5"/>
    <w:rsid w:val="00257B7F"/>
    <w:rsid w:val="002604AF"/>
    <w:rsid w:val="002618AF"/>
    <w:rsid w:val="00263C6E"/>
    <w:rsid w:val="002663F8"/>
    <w:rsid w:val="0026705A"/>
    <w:rsid w:val="00267AAC"/>
    <w:rsid w:val="0027044E"/>
    <w:rsid w:val="002705AA"/>
    <w:rsid w:val="00272765"/>
    <w:rsid w:val="00272768"/>
    <w:rsid w:val="00273F29"/>
    <w:rsid w:val="00274ED5"/>
    <w:rsid w:val="00275C65"/>
    <w:rsid w:val="00277037"/>
    <w:rsid w:val="00280615"/>
    <w:rsid w:val="00281909"/>
    <w:rsid w:val="00282462"/>
    <w:rsid w:val="00283E21"/>
    <w:rsid w:val="002840DC"/>
    <w:rsid w:val="00284E3A"/>
    <w:rsid w:val="002871B9"/>
    <w:rsid w:val="002903A0"/>
    <w:rsid w:val="002904B8"/>
    <w:rsid w:val="00290F1C"/>
    <w:rsid w:val="00293634"/>
    <w:rsid w:val="00293A26"/>
    <w:rsid w:val="002A00AA"/>
    <w:rsid w:val="002A09CD"/>
    <w:rsid w:val="002A14B3"/>
    <w:rsid w:val="002A242A"/>
    <w:rsid w:val="002A38C3"/>
    <w:rsid w:val="002A5A77"/>
    <w:rsid w:val="002A5F05"/>
    <w:rsid w:val="002A6BA8"/>
    <w:rsid w:val="002A6CFC"/>
    <w:rsid w:val="002A729E"/>
    <w:rsid w:val="002A7A47"/>
    <w:rsid w:val="002A7D45"/>
    <w:rsid w:val="002B0104"/>
    <w:rsid w:val="002B0E9A"/>
    <w:rsid w:val="002B0F92"/>
    <w:rsid w:val="002B2237"/>
    <w:rsid w:val="002B26D4"/>
    <w:rsid w:val="002B3788"/>
    <w:rsid w:val="002B4AFE"/>
    <w:rsid w:val="002B4B18"/>
    <w:rsid w:val="002B510E"/>
    <w:rsid w:val="002B5D3D"/>
    <w:rsid w:val="002B67A4"/>
    <w:rsid w:val="002C304B"/>
    <w:rsid w:val="002C4B13"/>
    <w:rsid w:val="002C4E63"/>
    <w:rsid w:val="002C5F9C"/>
    <w:rsid w:val="002C7109"/>
    <w:rsid w:val="002C7626"/>
    <w:rsid w:val="002C772A"/>
    <w:rsid w:val="002C7D58"/>
    <w:rsid w:val="002D0DBB"/>
    <w:rsid w:val="002D21F5"/>
    <w:rsid w:val="002D5599"/>
    <w:rsid w:val="002D5CED"/>
    <w:rsid w:val="002D7509"/>
    <w:rsid w:val="002E04D1"/>
    <w:rsid w:val="002E0FC2"/>
    <w:rsid w:val="002E4190"/>
    <w:rsid w:val="002E46F4"/>
    <w:rsid w:val="002E53AC"/>
    <w:rsid w:val="002E569B"/>
    <w:rsid w:val="002F1662"/>
    <w:rsid w:val="002F16D9"/>
    <w:rsid w:val="002F20C7"/>
    <w:rsid w:val="002F2FA9"/>
    <w:rsid w:val="002F4C46"/>
    <w:rsid w:val="002F5093"/>
    <w:rsid w:val="002F54C1"/>
    <w:rsid w:val="002F5F3B"/>
    <w:rsid w:val="002F6284"/>
    <w:rsid w:val="002F6CC0"/>
    <w:rsid w:val="002F790C"/>
    <w:rsid w:val="003002A5"/>
    <w:rsid w:val="0030212C"/>
    <w:rsid w:val="003025B5"/>
    <w:rsid w:val="003029B3"/>
    <w:rsid w:val="00303DBF"/>
    <w:rsid w:val="003040A2"/>
    <w:rsid w:val="00305F10"/>
    <w:rsid w:val="003071D9"/>
    <w:rsid w:val="00311D27"/>
    <w:rsid w:val="003124C1"/>
    <w:rsid w:val="0031306E"/>
    <w:rsid w:val="00314699"/>
    <w:rsid w:val="003148D2"/>
    <w:rsid w:val="00314C24"/>
    <w:rsid w:val="00314F8E"/>
    <w:rsid w:val="00315AB3"/>
    <w:rsid w:val="00315C3C"/>
    <w:rsid w:val="00316678"/>
    <w:rsid w:val="003172AF"/>
    <w:rsid w:val="00317639"/>
    <w:rsid w:val="00317696"/>
    <w:rsid w:val="00320974"/>
    <w:rsid w:val="00322319"/>
    <w:rsid w:val="00323297"/>
    <w:rsid w:val="00323409"/>
    <w:rsid w:val="00323DE9"/>
    <w:rsid w:val="00324C2E"/>
    <w:rsid w:val="003267C3"/>
    <w:rsid w:val="0032742E"/>
    <w:rsid w:val="00327E85"/>
    <w:rsid w:val="003303E5"/>
    <w:rsid w:val="00330547"/>
    <w:rsid w:val="003314F0"/>
    <w:rsid w:val="0033203C"/>
    <w:rsid w:val="003321E4"/>
    <w:rsid w:val="00333931"/>
    <w:rsid w:val="00333DD7"/>
    <w:rsid w:val="00334888"/>
    <w:rsid w:val="00335FDE"/>
    <w:rsid w:val="003370FE"/>
    <w:rsid w:val="00342351"/>
    <w:rsid w:val="00343257"/>
    <w:rsid w:val="003439D3"/>
    <w:rsid w:val="00343F87"/>
    <w:rsid w:val="00344B89"/>
    <w:rsid w:val="003452A8"/>
    <w:rsid w:val="0034542A"/>
    <w:rsid w:val="0034600A"/>
    <w:rsid w:val="00346872"/>
    <w:rsid w:val="00346FDD"/>
    <w:rsid w:val="0034741F"/>
    <w:rsid w:val="003500AF"/>
    <w:rsid w:val="00350B32"/>
    <w:rsid w:val="00350C9B"/>
    <w:rsid w:val="003544E1"/>
    <w:rsid w:val="00354CFD"/>
    <w:rsid w:val="003552EA"/>
    <w:rsid w:val="00355567"/>
    <w:rsid w:val="00356066"/>
    <w:rsid w:val="00360150"/>
    <w:rsid w:val="00360639"/>
    <w:rsid w:val="00362253"/>
    <w:rsid w:val="003630E6"/>
    <w:rsid w:val="003641B2"/>
    <w:rsid w:val="003644F1"/>
    <w:rsid w:val="00364B44"/>
    <w:rsid w:val="00364B72"/>
    <w:rsid w:val="003672CF"/>
    <w:rsid w:val="003707E8"/>
    <w:rsid w:val="00370857"/>
    <w:rsid w:val="00370A28"/>
    <w:rsid w:val="00372278"/>
    <w:rsid w:val="0037264A"/>
    <w:rsid w:val="0037267D"/>
    <w:rsid w:val="00374823"/>
    <w:rsid w:val="0037490B"/>
    <w:rsid w:val="00374C56"/>
    <w:rsid w:val="003750B2"/>
    <w:rsid w:val="00375B88"/>
    <w:rsid w:val="00376436"/>
    <w:rsid w:val="00376C62"/>
    <w:rsid w:val="00376C75"/>
    <w:rsid w:val="00380EEF"/>
    <w:rsid w:val="00382E3E"/>
    <w:rsid w:val="003834DF"/>
    <w:rsid w:val="003835FA"/>
    <w:rsid w:val="00384253"/>
    <w:rsid w:val="0038499A"/>
    <w:rsid w:val="00384A70"/>
    <w:rsid w:val="0038504B"/>
    <w:rsid w:val="003864B6"/>
    <w:rsid w:val="00386743"/>
    <w:rsid w:val="003878CA"/>
    <w:rsid w:val="0039194B"/>
    <w:rsid w:val="0039295A"/>
    <w:rsid w:val="00393A73"/>
    <w:rsid w:val="00394402"/>
    <w:rsid w:val="003948E0"/>
    <w:rsid w:val="00394B20"/>
    <w:rsid w:val="003960E6"/>
    <w:rsid w:val="0039650E"/>
    <w:rsid w:val="003965A8"/>
    <w:rsid w:val="00397A5E"/>
    <w:rsid w:val="00397DFF"/>
    <w:rsid w:val="003A0D54"/>
    <w:rsid w:val="003A3B3E"/>
    <w:rsid w:val="003A4E50"/>
    <w:rsid w:val="003A4E5E"/>
    <w:rsid w:val="003A6D72"/>
    <w:rsid w:val="003A7757"/>
    <w:rsid w:val="003B15C7"/>
    <w:rsid w:val="003B1B69"/>
    <w:rsid w:val="003B2621"/>
    <w:rsid w:val="003B33D6"/>
    <w:rsid w:val="003B35ED"/>
    <w:rsid w:val="003B4C87"/>
    <w:rsid w:val="003B588A"/>
    <w:rsid w:val="003B5EBF"/>
    <w:rsid w:val="003B6A8C"/>
    <w:rsid w:val="003B73CD"/>
    <w:rsid w:val="003B7425"/>
    <w:rsid w:val="003C05EF"/>
    <w:rsid w:val="003C1C7F"/>
    <w:rsid w:val="003C2C32"/>
    <w:rsid w:val="003C30A4"/>
    <w:rsid w:val="003C3AF2"/>
    <w:rsid w:val="003C50F5"/>
    <w:rsid w:val="003C5205"/>
    <w:rsid w:val="003D03DF"/>
    <w:rsid w:val="003D16FE"/>
    <w:rsid w:val="003D17C1"/>
    <w:rsid w:val="003D2680"/>
    <w:rsid w:val="003D31D3"/>
    <w:rsid w:val="003D5429"/>
    <w:rsid w:val="003D657E"/>
    <w:rsid w:val="003E0D2C"/>
    <w:rsid w:val="003E1056"/>
    <w:rsid w:val="003E1D03"/>
    <w:rsid w:val="003E1D97"/>
    <w:rsid w:val="003E24BB"/>
    <w:rsid w:val="003E2B69"/>
    <w:rsid w:val="003E5209"/>
    <w:rsid w:val="003E61C0"/>
    <w:rsid w:val="003E62FC"/>
    <w:rsid w:val="003E7101"/>
    <w:rsid w:val="003E780A"/>
    <w:rsid w:val="003F3697"/>
    <w:rsid w:val="003F3ED2"/>
    <w:rsid w:val="003F41BD"/>
    <w:rsid w:val="003F4384"/>
    <w:rsid w:val="003F4E36"/>
    <w:rsid w:val="003F5398"/>
    <w:rsid w:val="003F6108"/>
    <w:rsid w:val="003F6706"/>
    <w:rsid w:val="00401B30"/>
    <w:rsid w:val="00402275"/>
    <w:rsid w:val="00402B1D"/>
    <w:rsid w:val="00403784"/>
    <w:rsid w:val="00407E29"/>
    <w:rsid w:val="0041033F"/>
    <w:rsid w:val="0041108C"/>
    <w:rsid w:val="00411992"/>
    <w:rsid w:val="00411D1C"/>
    <w:rsid w:val="00412434"/>
    <w:rsid w:val="0041265E"/>
    <w:rsid w:val="00412C11"/>
    <w:rsid w:val="00413AAC"/>
    <w:rsid w:val="00413B3E"/>
    <w:rsid w:val="00414049"/>
    <w:rsid w:val="00414117"/>
    <w:rsid w:val="00414606"/>
    <w:rsid w:val="00414A4B"/>
    <w:rsid w:val="004153EA"/>
    <w:rsid w:val="004166A2"/>
    <w:rsid w:val="00416AFE"/>
    <w:rsid w:val="00416E8C"/>
    <w:rsid w:val="00422276"/>
    <w:rsid w:val="004226FD"/>
    <w:rsid w:val="00423236"/>
    <w:rsid w:val="00424F71"/>
    <w:rsid w:val="00426272"/>
    <w:rsid w:val="004269EA"/>
    <w:rsid w:val="00426F17"/>
    <w:rsid w:val="00427D28"/>
    <w:rsid w:val="00433813"/>
    <w:rsid w:val="00434334"/>
    <w:rsid w:val="00435874"/>
    <w:rsid w:val="0043661C"/>
    <w:rsid w:val="00436888"/>
    <w:rsid w:val="00436A2A"/>
    <w:rsid w:val="00441454"/>
    <w:rsid w:val="004414AC"/>
    <w:rsid w:val="004419F4"/>
    <w:rsid w:val="004434C1"/>
    <w:rsid w:val="00445EA6"/>
    <w:rsid w:val="00447105"/>
    <w:rsid w:val="00447B7E"/>
    <w:rsid w:val="00450382"/>
    <w:rsid w:val="004526BA"/>
    <w:rsid w:val="0045331E"/>
    <w:rsid w:val="004533CA"/>
    <w:rsid w:val="004534B1"/>
    <w:rsid w:val="00454F28"/>
    <w:rsid w:val="0045534E"/>
    <w:rsid w:val="0045557A"/>
    <w:rsid w:val="0045751A"/>
    <w:rsid w:val="00457F8A"/>
    <w:rsid w:val="00460ABB"/>
    <w:rsid w:val="00460B3A"/>
    <w:rsid w:val="00462244"/>
    <w:rsid w:val="004627E4"/>
    <w:rsid w:val="00464059"/>
    <w:rsid w:val="004644E8"/>
    <w:rsid w:val="00465820"/>
    <w:rsid w:val="004729D9"/>
    <w:rsid w:val="00473B83"/>
    <w:rsid w:val="00474DC1"/>
    <w:rsid w:val="0047513F"/>
    <w:rsid w:val="004759FD"/>
    <w:rsid w:val="00475C83"/>
    <w:rsid w:val="004761F2"/>
    <w:rsid w:val="00477837"/>
    <w:rsid w:val="004811AA"/>
    <w:rsid w:val="00481654"/>
    <w:rsid w:val="00485730"/>
    <w:rsid w:val="00486080"/>
    <w:rsid w:val="00486128"/>
    <w:rsid w:val="0048630E"/>
    <w:rsid w:val="00486707"/>
    <w:rsid w:val="00486DFA"/>
    <w:rsid w:val="00490379"/>
    <w:rsid w:val="004909F7"/>
    <w:rsid w:val="00490CBA"/>
    <w:rsid w:val="00491135"/>
    <w:rsid w:val="00492252"/>
    <w:rsid w:val="00492598"/>
    <w:rsid w:val="004939A4"/>
    <w:rsid w:val="00493D0B"/>
    <w:rsid w:val="00494489"/>
    <w:rsid w:val="004947B8"/>
    <w:rsid w:val="004949C2"/>
    <w:rsid w:val="0049600E"/>
    <w:rsid w:val="004963B9"/>
    <w:rsid w:val="004A36A6"/>
    <w:rsid w:val="004A4734"/>
    <w:rsid w:val="004A47A6"/>
    <w:rsid w:val="004A55CD"/>
    <w:rsid w:val="004A57CF"/>
    <w:rsid w:val="004A5B4B"/>
    <w:rsid w:val="004A701E"/>
    <w:rsid w:val="004A7099"/>
    <w:rsid w:val="004A7A66"/>
    <w:rsid w:val="004B0819"/>
    <w:rsid w:val="004B0DE8"/>
    <w:rsid w:val="004B17CC"/>
    <w:rsid w:val="004B3294"/>
    <w:rsid w:val="004B3E6B"/>
    <w:rsid w:val="004B4AFC"/>
    <w:rsid w:val="004B631B"/>
    <w:rsid w:val="004B6A58"/>
    <w:rsid w:val="004B7440"/>
    <w:rsid w:val="004C08CC"/>
    <w:rsid w:val="004C2C14"/>
    <w:rsid w:val="004C2C2C"/>
    <w:rsid w:val="004C2FC0"/>
    <w:rsid w:val="004C343F"/>
    <w:rsid w:val="004C376D"/>
    <w:rsid w:val="004C499C"/>
    <w:rsid w:val="004C4A31"/>
    <w:rsid w:val="004C6951"/>
    <w:rsid w:val="004D0615"/>
    <w:rsid w:val="004D16C5"/>
    <w:rsid w:val="004D2ACD"/>
    <w:rsid w:val="004D38EB"/>
    <w:rsid w:val="004D427B"/>
    <w:rsid w:val="004D5E2E"/>
    <w:rsid w:val="004D6134"/>
    <w:rsid w:val="004D6DC5"/>
    <w:rsid w:val="004D7F88"/>
    <w:rsid w:val="004E14BE"/>
    <w:rsid w:val="004E38FB"/>
    <w:rsid w:val="004E3C57"/>
    <w:rsid w:val="004E4910"/>
    <w:rsid w:val="004E67B8"/>
    <w:rsid w:val="004E6AF9"/>
    <w:rsid w:val="004F1450"/>
    <w:rsid w:val="004F2DE7"/>
    <w:rsid w:val="004F31BC"/>
    <w:rsid w:val="004F3FB0"/>
    <w:rsid w:val="004F499F"/>
    <w:rsid w:val="004F51FC"/>
    <w:rsid w:val="004F60BA"/>
    <w:rsid w:val="004F6B42"/>
    <w:rsid w:val="004F7979"/>
    <w:rsid w:val="004F7E44"/>
    <w:rsid w:val="005003EC"/>
    <w:rsid w:val="005024FC"/>
    <w:rsid w:val="005028A6"/>
    <w:rsid w:val="00504A6E"/>
    <w:rsid w:val="00505186"/>
    <w:rsid w:val="00505435"/>
    <w:rsid w:val="00505E3F"/>
    <w:rsid w:val="0050623E"/>
    <w:rsid w:val="00506663"/>
    <w:rsid w:val="00506911"/>
    <w:rsid w:val="00506D89"/>
    <w:rsid w:val="00507ACF"/>
    <w:rsid w:val="00507F96"/>
    <w:rsid w:val="0051005C"/>
    <w:rsid w:val="00510158"/>
    <w:rsid w:val="005109A0"/>
    <w:rsid w:val="005126A2"/>
    <w:rsid w:val="00513168"/>
    <w:rsid w:val="00517326"/>
    <w:rsid w:val="00517599"/>
    <w:rsid w:val="00517B54"/>
    <w:rsid w:val="00521252"/>
    <w:rsid w:val="00521493"/>
    <w:rsid w:val="00523341"/>
    <w:rsid w:val="00523AF4"/>
    <w:rsid w:val="00523EB1"/>
    <w:rsid w:val="0052400C"/>
    <w:rsid w:val="005256B2"/>
    <w:rsid w:val="0052642D"/>
    <w:rsid w:val="00527241"/>
    <w:rsid w:val="00527DB3"/>
    <w:rsid w:val="00530391"/>
    <w:rsid w:val="00531C5D"/>
    <w:rsid w:val="00532B9E"/>
    <w:rsid w:val="00533362"/>
    <w:rsid w:val="00537EA9"/>
    <w:rsid w:val="0054078B"/>
    <w:rsid w:val="005408B3"/>
    <w:rsid w:val="00540BD2"/>
    <w:rsid w:val="00540F41"/>
    <w:rsid w:val="00545022"/>
    <w:rsid w:val="005461E3"/>
    <w:rsid w:val="00546415"/>
    <w:rsid w:val="00546A78"/>
    <w:rsid w:val="00546C61"/>
    <w:rsid w:val="005559FA"/>
    <w:rsid w:val="00557D10"/>
    <w:rsid w:val="00560710"/>
    <w:rsid w:val="00560A7C"/>
    <w:rsid w:val="005616D4"/>
    <w:rsid w:val="00561D01"/>
    <w:rsid w:val="00561D25"/>
    <w:rsid w:val="005627A3"/>
    <w:rsid w:val="00562C3B"/>
    <w:rsid w:val="005633D3"/>
    <w:rsid w:val="005637CF"/>
    <w:rsid w:val="0056443C"/>
    <w:rsid w:val="00564A5F"/>
    <w:rsid w:val="00564B5A"/>
    <w:rsid w:val="00564E50"/>
    <w:rsid w:val="00567B05"/>
    <w:rsid w:val="00570D06"/>
    <w:rsid w:val="00570EEB"/>
    <w:rsid w:val="00571212"/>
    <w:rsid w:val="00571AB3"/>
    <w:rsid w:val="005730CF"/>
    <w:rsid w:val="00573DAD"/>
    <w:rsid w:val="005746A4"/>
    <w:rsid w:val="00576EDB"/>
    <w:rsid w:val="00580A33"/>
    <w:rsid w:val="00580F0D"/>
    <w:rsid w:val="00583631"/>
    <w:rsid w:val="005838B1"/>
    <w:rsid w:val="00583D61"/>
    <w:rsid w:val="00584AD6"/>
    <w:rsid w:val="00584AE1"/>
    <w:rsid w:val="00585493"/>
    <w:rsid w:val="00585BD9"/>
    <w:rsid w:val="00585D74"/>
    <w:rsid w:val="00586625"/>
    <w:rsid w:val="005879B2"/>
    <w:rsid w:val="0059000E"/>
    <w:rsid w:val="00590882"/>
    <w:rsid w:val="00590C6F"/>
    <w:rsid w:val="00591CDD"/>
    <w:rsid w:val="00591D39"/>
    <w:rsid w:val="005932FB"/>
    <w:rsid w:val="005936C7"/>
    <w:rsid w:val="00594248"/>
    <w:rsid w:val="00594AEE"/>
    <w:rsid w:val="00594D04"/>
    <w:rsid w:val="005A3E54"/>
    <w:rsid w:val="005A4942"/>
    <w:rsid w:val="005A4D9F"/>
    <w:rsid w:val="005A57D6"/>
    <w:rsid w:val="005A5C8A"/>
    <w:rsid w:val="005A7095"/>
    <w:rsid w:val="005B36C2"/>
    <w:rsid w:val="005B445D"/>
    <w:rsid w:val="005B6415"/>
    <w:rsid w:val="005B6C62"/>
    <w:rsid w:val="005B7819"/>
    <w:rsid w:val="005C03D8"/>
    <w:rsid w:val="005C2647"/>
    <w:rsid w:val="005C35EE"/>
    <w:rsid w:val="005C4C65"/>
    <w:rsid w:val="005C5B67"/>
    <w:rsid w:val="005C616B"/>
    <w:rsid w:val="005C6C6C"/>
    <w:rsid w:val="005C7D97"/>
    <w:rsid w:val="005D00ED"/>
    <w:rsid w:val="005D23AB"/>
    <w:rsid w:val="005D3F32"/>
    <w:rsid w:val="005D42AB"/>
    <w:rsid w:val="005D51B7"/>
    <w:rsid w:val="005D5B59"/>
    <w:rsid w:val="005D7221"/>
    <w:rsid w:val="005D7499"/>
    <w:rsid w:val="005D7BB4"/>
    <w:rsid w:val="005E07AD"/>
    <w:rsid w:val="005E0B7E"/>
    <w:rsid w:val="005E0F8D"/>
    <w:rsid w:val="005E278A"/>
    <w:rsid w:val="005E29BD"/>
    <w:rsid w:val="005E3A05"/>
    <w:rsid w:val="005E3B83"/>
    <w:rsid w:val="005E4929"/>
    <w:rsid w:val="005E61F4"/>
    <w:rsid w:val="005E69C4"/>
    <w:rsid w:val="005E72F8"/>
    <w:rsid w:val="005F17DF"/>
    <w:rsid w:val="005F25BC"/>
    <w:rsid w:val="005F35C0"/>
    <w:rsid w:val="005F4004"/>
    <w:rsid w:val="005F5606"/>
    <w:rsid w:val="005F73AC"/>
    <w:rsid w:val="005F7F69"/>
    <w:rsid w:val="00600183"/>
    <w:rsid w:val="006010CC"/>
    <w:rsid w:val="00601A67"/>
    <w:rsid w:val="00601D99"/>
    <w:rsid w:val="00602139"/>
    <w:rsid w:val="0060464C"/>
    <w:rsid w:val="00604C5D"/>
    <w:rsid w:val="006058B9"/>
    <w:rsid w:val="00606A0E"/>
    <w:rsid w:val="00607ADD"/>
    <w:rsid w:val="00607F96"/>
    <w:rsid w:val="00610994"/>
    <w:rsid w:val="0061139F"/>
    <w:rsid w:val="006135AE"/>
    <w:rsid w:val="00613782"/>
    <w:rsid w:val="006150AC"/>
    <w:rsid w:val="0062064D"/>
    <w:rsid w:val="00620BFC"/>
    <w:rsid w:val="0062153C"/>
    <w:rsid w:val="0062175E"/>
    <w:rsid w:val="0062485B"/>
    <w:rsid w:val="00627F30"/>
    <w:rsid w:val="00630761"/>
    <w:rsid w:val="00632277"/>
    <w:rsid w:val="00632972"/>
    <w:rsid w:val="0063644B"/>
    <w:rsid w:val="00637780"/>
    <w:rsid w:val="00637B0C"/>
    <w:rsid w:val="00637E63"/>
    <w:rsid w:val="0064041C"/>
    <w:rsid w:val="00640F22"/>
    <w:rsid w:val="00645B70"/>
    <w:rsid w:val="006461EB"/>
    <w:rsid w:val="00650CF4"/>
    <w:rsid w:val="0065118B"/>
    <w:rsid w:val="006512AF"/>
    <w:rsid w:val="006528CE"/>
    <w:rsid w:val="00653F31"/>
    <w:rsid w:val="006545ED"/>
    <w:rsid w:val="00654700"/>
    <w:rsid w:val="00662616"/>
    <w:rsid w:val="0066347A"/>
    <w:rsid w:val="00663873"/>
    <w:rsid w:val="00663BF6"/>
    <w:rsid w:val="00663D5B"/>
    <w:rsid w:val="00663F1A"/>
    <w:rsid w:val="006641A2"/>
    <w:rsid w:val="00664E6A"/>
    <w:rsid w:val="006651C5"/>
    <w:rsid w:val="0066595B"/>
    <w:rsid w:val="00667845"/>
    <w:rsid w:val="00667887"/>
    <w:rsid w:val="00667899"/>
    <w:rsid w:val="00667E72"/>
    <w:rsid w:val="00670922"/>
    <w:rsid w:val="006709AE"/>
    <w:rsid w:val="006713C8"/>
    <w:rsid w:val="00671D75"/>
    <w:rsid w:val="0067209F"/>
    <w:rsid w:val="00672A3F"/>
    <w:rsid w:val="00673BAA"/>
    <w:rsid w:val="00673F37"/>
    <w:rsid w:val="00674551"/>
    <w:rsid w:val="006754F5"/>
    <w:rsid w:val="0067789A"/>
    <w:rsid w:val="006778BD"/>
    <w:rsid w:val="00682DA0"/>
    <w:rsid w:val="00683218"/>
    <w:rsid w:val="006839E7"/>
    <w:rsid w:val="006847DC"/>
    <w:rsid w:val="006849DF"/>
    <w:rsid w:val="00690C2C"/>
    <w:rsid w:val="0069166E"/>
    <w:rsid w:val="006918D9"/>
    <w:rsid w:val="00692502"/>
    <w:rsid w:val="00693BE1"/>
    <w:rsid w:val="006950AB"/>
    <w:rsid w:val="00696847"/>
    <w:rsid w:val="00697DFF"/>
    <w:rsid w:val="00697E42"/>
    <w:rsid w:val="006A05FC"/>
    <w:rsid w:val="006A0861"/>
    <w:rsid w:val="006A18E3"/>
    <w:rsid w:val="006A2ACE"/>
    <w:rsid w:val="006A2D13"/>
    <w:rsid w:val="006A3714"/>
    <w:rsid w:val="006A5F4A"/>
    <w:rsid w:val="006A60BF"/>
    <w:rsid w:val="006A6731"/>
    <w:rsid w:val="006B1224"/>
    <w:rsid w:val="006B26AE"/>
    <w:rsid w:val="006B39EE"/>
    <w:rsid w:val="006B6991"/>
    <w:rsid w:val="006B6AFB"/>
    <w:rsid w:val="006B70DE"/>
    <w:rsid w:val="006B724E"/>
    <w:rsid w:val="006C00D3"/>
    <w:rsid w:val="006C06CE"/>
    <w:rsid w:val="006C18D5"/>
    <w:rsid w:val="006C2909"/>
    <w:rsid w:val="006C447C"/>
    <w:rsid w:val="006C45F5"/>
    <w:rsid w:val="006C5848"/>
    <w:rsid w:val="006C6C1D"/>
    <w:rsid w:val="006D0128"/>
    <w:rsid w:val="006D0BF0"/>
    <w:rsid w:val="006D14B0"/>
    <w:rsid w:val="006D6AC7"/>
    <w:rsid w:val="006E0307"/>
    <w:rsid w:val="006E159C"/>
    <w:rsid w:val="006E1CB5"/>
    <w:rsid w:val="006E4E90"/>
    <w:rsid w:val="006E53F4"/>
    <w:rsid w:val="006E61C2"/>
    <w:rsid w:val="006E7F34"/>
    <w:rsid w:val="006F1ACD"/>
    <w:rsid w:val="006F1BB4"/>
    <w:rsid w:val="006F1C24"/>
    <w:rsid w:val="006F31CC"/>
    <w:rsid w:val="006F3C18"/>
    <w:rsid w:val="006F6461"/>
    <w:rsid w:val="006F6F17"/>
    <w:rsid w:val="00700152"/>
    <w:rsid w:val="007008F7"/>
    <w:rsid w:val="00702621"/>
    <w:rsid w:val="00703BC2"/>
    <w:rsid w:val="00704074"/>
    <w:rsid w:val="0070495E"/>
    <w:rsid w:val="0070662F"/>
    <w:rsid w:val="007067BB"/>
    <w:rsid w:val="00706BDB"/>
    <w:rsid w:val="00706BEA"/>
    <w:rsid w:val="00706DD8"/>
    <w:rsid w:val="00707AFE"/>
    <w:rsid w:val="00707BA1"/>
    <w:rsid w:val="00710681"/>
    <w:rsid w:val="00710DA2"/>
    <w:rsid w:val="00715A2D"/>
    <w:rsid w:val="00715CD1"/>
    <w:rsid w:val="007164E7"/>
    <w:rsid w:val="00716950"/>
    <w:rsid w:val="00717267"/>
    <w:rsid w:val="00717ABB"/>
    <w:rsid w:val="00717D07"/>
    <w:rsid w:val="007207BE"/>
    <w:rsid w:val="00721E35"/>
    <w:rsid w:val="00723308"/>
    <w:rsid w:val="00723B39"/>
    <w:rsid w:val="00725543"/>
    <w:rsid w:val="007255F3"/>
    <w:rsid w:val="00725B86"/>
    <w:rsid w:val="00725BAF"/>
    <w:rsid w:val="007261A2"/>
    <w:rsid w:val="00726EFC"/>
    <w:rsid w:val="0073046D"/>
    <w:rsid w:val="007306FB"/>
    <w:rsid w:val="007308B2"/>
    <w:rsid w:val="00732FAC"/>
    <w:rsid w:val="007330D4"/>
    <w:rsid w:val="00733F82"/>
    <w:rsid w:val="007406BB"/>
    <w:rsid w:val="00740D4F"/>
    <w:rsid w:val="00743AF0"/>
    <w:rsid w:val="007442CD"/>
    <w:rsid w:val="00744332"/>
    <w:rsid w:val="00744ADE"/>
    <w:rsid w:val="00745C4B"/>
    <w:rsid w:val="007462AF"/>
    <w:rsid w:val="007464A4"/>
    <w:rsid w:val="00747B9C"/>
    <w:rsid w:val="0075195A"/>
    <w:rsid w:val="00751AB3"/>
    <w:rsid w:val="00751BA5"/>
    <w:rsid w:val="00751C7D"/>
    <w:rsid w:val="00753170"/>
    <w:rsid w:val="007532A7"/>
    <w:rsid w:val="00756659"/>
    <w:rsid w:val="00756F51"/>
    <w:rsid w:val="007609BE"/>
    <w:rsid w:val="00760AD4"/>
    <w:rsid w:val="007611FD"/>
    <w:rsid w:val="00764A50"/>
    <w:rsid w:val="00764D4A"/>
    <w:rsid w:val="0076510B"/>
    <w:rsid w:val="0076757B"/>
    <w:rsid w:val="00767EF9"/>
    <w:rsid w:val="0077115C"/>
    <w:rsid w:val="0077226C"/>
    <w:rsid w:val="0077237B"/>
    <w:rsid w:val="007748F7"/>
    <w:rsid w:val="00777775"/>
    <w:rsid w:val="0078185A"/>
    <w:rsid w:val="00781AB4"/>
    <w:rsid w:val="007833DF"/>
    <w:rsid w:val="00784678"/>
    <w:rsid w:val="00784BC8"/>
    <w:rsid w:val="00784C23"/>
    <w:rsid w:val="00785D5A"/>
    <w:rsid w:val="00786462"/>
    <w:rsid w:val="00787124"/>
    <w:rsid w:val="00787DC8"/>
    <w:rsid w:val="00790481"/>
    <w:rsid w:val="00790A24"/>
    <w:rsid w:val="00790A8F"/>
    <w:rsid w:val="00791D1E"/>
    <w:rsid w:val="00792DB4"/>
    <w:rsid w:val="0079309C"/>
    <w:rsid w:val="00793510"/>
    <w:rsid w:val="007936D3"/>
    <w:rsid w:val="00793B63"/>
    <w:rsid w:val="00795153"/>
    <w:rsid w:val="00795453"/>
    <w:rsid w:val="007954B4"/>
    <w:rsid w:val="007A0F62"/>
    <w:rsid w:val="007A1918"/>
    <w:rsid w:val="007A1C10"/>
    <w:rsid w:val="007A26D5"/>
    <w:rsid w:val="007A3974"/>
    <w:rsid w:val="007A3EE3"/>
    <w:rsid w:val="007A48E0"/>
    <w:rsid w:val="007A4CB2"/>
    <w:rsid w:val="007A5E2E"/>
    <w:rsid w:val="007A6A84"/>
    <w:rsid w:val="007B0662"/>
    <w:rsid w:val="007B0B93"/>
    <w:rsid w:val="007B0C2B"/>
    <w:rsid w:val="007B0C3B"/>
    <w:rsid w:val="007B167B"/>
    <w:rsid w:val="007B1981"/>
    <w:rsid w:val="007B1ED3"/>
    <w:rsid w:val="007B2A65"/>
    <w:rsid w:val="007B36F0"/>
    <w:rsid w:val="007B4430"/>
    <w:rsid w:val="007B6E4A"/>
    <w:rsid w:val="007B7725"/>
    <w:rsid w:val="007C1741"/>
    <w:rsid w:val="007C1FD0"/>
    <w:rsid w:val="007C2220"/>
    <w:rsid w:val="007C23D8"/>
    <w:rsid w:val="007C3211"/>
    <w:rsid w:val="007C3694"/>
    <w:rsid w:val="007C36B3"/>
    <w:rsid w:val="007C58A9"/>
    <w:rsid w:val="007C66EC"/>
    <w:rsid w:val="007C7394"/>
    <w:rsid w:val="007C7CFD"/>
    <w:rsid w:val="007D0ACC"/>
    <w:rsid w:val="007D28D1"/>
    <w:rsid w:val="007D3E8B"/>
    <w:rsid w:val="007E00E7"/>
    <w:rsid w:val="007E13EA"/>
    <w:rsid w:val="007E329C"/>
    <w:rsid w:val="007E4850"/>
    <w:rsid w:val="007E56D2"/>
    <w:rsid w:val="007E5CFC"/>
    <w:rsid w:val="007E63E1"/>
    <w:rsid w:val="007E6E33"/>
    <w:rsid w:val="007E7F9B"/>
    <w:rsid w:val="007F19B8"/>
    <w:rsid w:val="007F282F"/>
    <w:rsid w:val="007F3C6E"/>
    <w:rsid w:val="007F4005"/>
    <w:rsid w:val="007F41AD"/>
    <w:rsid w:val="007F5FA0"/>
    <w:rsid w:val="007F605C"/>
    <w:rsid w:val="007F63CD"/>
    <w:rsid w:val="007F7664"/>
    <w:rsid w:val="00800721"/>
    <w:rsid w:val="00800B72"/>
    <w:rsid w:val="00800CB5"/>
    <w:rsid w:val="00801A43"/>
    <w:rsid w:val="008040E6"/>
    <w:rsid w:val="008103B0"/>
    <w:rsid w:val="00810D4E"/>
    <w:rsid w:val="00810FE7"/>
    <w:rsid w:val="00811055"/>
    <w:rsid w:val="00811561"/>
    <w:rsid w:val="008120EE"/>
    <w:rsid w:val="00812AE1"/>
    <w:rsid w:val="00813BE8"/>
    <w:rsid w:val="0081436F"/>
    <w:rsid w:val="008146D3"/>
    <w:rsid w:val="00814811"/>
    <w:rsid w:val="00814ACD"/>
    <w:rsid w:val="00815C68"/>
    <w:rsid w:val="008169C3"/>
    <w:rsid w:val="00816BDF"/>
    <w:rsid w:val="00820298"/>
    <w:rsid w:val="00820628"/>
    <w:rsid w:val="008208F8"/>
    <w:rsid w:val="00820A23"/>
    <w:rsid w:val="00820BDC"/>
    <w:rsid w:val="00821A5B"/>
    <w:rsid w:val="00822759"/>
    <w:rsid w:val="00823175"/>
    <w:rsid w:val="00825225"/>
    <w:rsid w:val="00826201"/>
    <w:rsid w:val="0082760E"/>
    <w:rsid w:val="00827729"/>
    <w:rsid w:val="0082773B"/>
    <w:rsid w:val="00830D4E"/>
    <w:rsid w:val="00831387"/>
    <w:rsid w:val="008317D4"/>
    <w:rsid w:val="0083427C"/>
    <w:rsid w:val="008347BA"/>
    <w:rsid w:val="0083496C"/>
    <w:rsid w:val="00835C71"/>
    <w:rsid w:val="00835C85"/>
    <w:rsid w:val="00836F9E"/>
    <w:rsid w:val="008401B3"/>
    <w:rsid w:val="00840B1F"/>
    <w:rsid w:val="00841185"/>
    <w:rsid w:val="00843779"/>
    <w:rsid w:val="00843F49"/>
    <w:rsid w:val="00845551"/>
    <w:rsid w:val="00845857"/>
    <w:rsid w:val="00845910"/>
    <w:rsid w:val="00845AD5"/>
    <w:rsid w:val="008468BB"/>
    <w:rsid w:val="00847BBA"/>
    <w:rsid w:val="008504EF"/>
    <w:rsid w:val="00850C4B"/>
    <w:rsid w:val="00851986"/>
    <w:rsid w:val="00851C5E"/>
    <w:rsid w:val="00852DA2"/>
    <w:rsid w:val="00852FE5"/>
    <w:rsid w:val="008533A9"/>
    <w:rsid w:val="00854CE1"/>
    <w:rsid w:val="00855D05"/>
    <w:rsid w:val="00857280"/>
    <w:rsid w:val="0086041E"/>
    <w:rsid w:val="008647E7"/>
    <w:rsid w:val="00864EC9"/>
    <w:rsid w:val="00865317"/>
    <w:rsid w:val="008657AE"/>
    <w:rsid w:val="00866A57"/>
    <w:rsid w:val="0086742F"/>
    <w:rsid w:val="0087056D"/>
    <w:rsid w:val="008709D0"/>
    <w:rsid w:val="008723D2"/>
    <w:rsid w:val="00872A08"/>
    <w:rsid w:val="00872AA7"/>
    <w:rsid w:val="0087313D"/>
    <w:rsid w:val="00881EA1"/>
    <w:rsid w:val="00881F85"/>
    <w:rsid w:val="00882A18"/>
    <w:rsid w:val="00882C9B"/>
    <w:rsid w:val="008840EB"/>
    <w:rsid w:val="00885553"/>
    <w:rsid w:val="00885A40"/>
    <w:rsid w:val="00886C41"/>
    <w:rsid w:val="0088705D"/>
    <w:rsid w:val="00887705"/>
    <w:rsid w:val="008902AE"/>
    <w:rsid w:val="00891781"/>
    <w:rsid w:val="00891863"/>
    <w:rsid w:val="00891A43"/>
    <w:rsid w:val="00892693"/>
    <w:rsid w:val="008934A2"/>
    <w:rsid w:val="00894449"/>
    <w:rsid w:val="008953B3"/>
    <w:rsid w:val="008956D5"/>
    <w:rsid w:val="00895E7F"/>
    <w:rsid w:val="0089661A"/>
    <w:rsid w:val="00896D44"/>
    <w:rsid w:val="008971B1"/>
    <w:rsid w:val="0089746D"/>
    <w:rsid w:val="0089774B"/>
    <w:rsid w:val="008977AF"/>
    <w:rsid w:val="008A1D70"/>
    <w:rsid w:val="008A2347"/>
    <w:rsid w:val="008A31F7"/>
    <w:rsid w:val="008A3AAD"/>
    <w:rsid w:val="008A3DDB"/>
    <w:rsid w:val="008A3ED4"/>
    <w:rsid w:val="008A3FBA"/>
    <w:rsid w:val="008A43AB"/>
    <w:rsid w:val="008A4F48"/>
    <w:rsid w:val="008B0F04"/>
    <w:rsid w:val="008B1A2E"/>
    <w:rsid w:val="008B2040"/>
    <w:rsid w:val="008B3B89"/>
    <w:rsid w:val="008B438D"/>
    <w:rsid w:val="008B4A57"/>
    <w:rsid w:val="008B69DA"/>
    <w:rsid w:val="008B7022"/>
    <w:rsid w:val="008B7909"/>
    <w:rsid w:val="008C2893"/>
    <w:rsid w:val="008C5075"/>
    <w:rsid w:val="008C56AF"/>
    <w:rsid w:val="008C7AB0"/>
    <w:rsid w:val="008C7AFE"/>
    <w:rsid w:val="008C7EA9"/>
    <w:rsid w:val="008D00DB"/>
    <w:rsid w:val="008D018D"/>
    <w:rsid w:val="008D1290"/>
    <w:rsid w:val="008D165A"/>
    <w:rsid w:val="008D608A"/>
    <w:rsid w:val="008D667E"/>
    <w:rsid w:val="008D687F"/>
    <w:rsid w:val="008E1F6C"/>
    <w:rsid w:val="008E2460"/>
    <w:rsid w:val="008E2744"/>
    <w:rsid w:val="008E2ACF"/>
    <w:rsid w:val="008E413D"/>
    <w:rsid w:val="008E443F"/>
    <w:rsid w:val="008E4520"/>
    <w:rsid w:val="008E4557"/>
    <w:rsid w:val="008E4692"/>
    <w:rsid w:val="008E4ACE"/>
    <w:rsid w:val="008E50D1"/>
    <w:rsid w:val="008E5BBA"/>
    <w:rsid w:val="008E5DE9"/>
    <w:rsid w:val="008E63AB"/>
    <w:rsid w:val="008F10CB"/>
    <w:rsid w:val="008F1F9D"/>
    <w:rsid w:val="008F2845"/>
    <w:rsid w:val="008F2FAD"/>
    <w:rsid w:val="008F3804"/>
    <w:rsid w:val="008F5FD3"/>
    <w:rsid w:val="008F6FC8"/>
    <w:rsid w:val="00901E9E"/>
    <w:rsid w:val="009030E5"/>
    <w:rsid w:val="0090360B"/>
    <w:rsid w:val="009036F3"/>
    <w:rsid w:val="00903B21"/>
    <w:rsid w:val="00904A2A"/>
    <w:rsid w:val="00904B79"/>
    <w:rsid w:val="00905D2D"/>
    <w:rsid w:val="00905D78"/>
    <w:rsid w:val="009063CC"/>
    <w:rsid w:val="009066F3"/>
    <w:rsid w:val="00907D54"/>
    <w:rsid w:val="00907E84"/>
    <w:rsid w:val="00911584"/>
    <w:rsid w:val="00913BD4"/>
    <w:rsid w:val="00914597"/>
    <w:rsid w:val="0091460B"/>
    <w:rsid w:val="00915B16"/>
    <w:rsid w:val="009160D4"/>
    <w:rsid w:val="009212F7"/>
    <w:rsid w:val="00921544"/>
    <w:rsid w:val="0092225F"/>
    <w:rsid w:val="00922CA6"/>
    <w:rsid w:val="00922E65"/>
    <w:rsid w:val="009251CC"/>
    <w:rsid w:val="0092538B"/>
    <w:rsid w:val="00927B25"/>
    <w:rsid w:val="00927C32"/>
    <w:rsid w:val="00927DBE"/>
    <w:rsid w:val="00927FDE"/>
    <w:rsid w:val="009307DF"/>
    <w:rsid w:val="00930BEA"/>
    <w:rsid w:val="00931654"/>
    <w:rsid w:val="00931C28"/>
    <w:rsid w:val="009323E6"/>
    <w:rsid w:val="0093310C"/>
    <w:rsid w:val="0093396F"/>
    <w:rsid w:val="0093526B"/>
    <w:rsid w:val="00937F5B"/>
    <w:rsid w:val="009404A6"/>
    <w:rsid w:val="00941FEB"/>
    <w:rsid w:val="00942B43"/>
    <w:rsid w:val="00943532"/>
    <w:rsid w:val="00943D92"/>
    <w:rsid w:val="009502BD"/>
    <w:rsid w:val="00952D5F"/>
    <w:rsid w:val="00954367"/>
    <w:rsid w:val="00954682"/>
    <w:rsid w:val="0095687B"/>
    <w:rsid w:val="00957E1D"/>
    <w:rsid w:val="0096138C"/>
    <w:rsid w:val="00963454"/>
    <w:rsid w:val="0096345A"/>
    <w:rsid w:val="009634B1"/>
    <w:rsid w:val="0096491E"/>
    <w:rsid w:val="0096696F"/>
    <w:rsid w:val="00967083"/>
    <w:rsid w:val="0097261C"/>
    <w:rsid w:val="009728A4"/>
    <w:rsid w:val="0097323E"/>
    <w:rsid w:val="00973E59"/>
    <w:rsid w:val="0097444C"/>
    <w:rsid w:val="009758E8"/>
    <w:rsid w:val="00975E9F"/>
    <w:rsid w:val="009763A6"/>
    <w:rsid w:val="00976515"/>
    <w:rsid w:val="00976572"/>
    <w:rsid w:val="00977382"/>
    <w:rsid w:val="009808CF"/>
    <w:rsid w:val="009810EF"/>
    <w:rsid w:val="00981788"/>
    <w:rsid w:val="00982A6D"/>
    <w:rsid w:val="00983AC8"/>
    <w:rsid w:val="009840C4"/>
    <w:rsid w:val="0098610C"/>
    <w:rsid w:val="00986877"/>
    <w:rsid w:val="00991F45"/>
    <w:rsid w:val="00992BEB"/>
    <w:rsid w:val="00993D75"/>
    <w:rsid w:val="00995799"/>
    <w:rsid w:val="00996A57"/>
    <w:rsid w:val="00996B01"/>
    <w:rsid w:val="00997D40"/>
    <w:rsid w:val="009A056F"/>
    <w:rsid w:val="009A189B"/>
    <w:rsid w:val="009A1C7C"/>
    <w:rsid w:val="009A2501"/>
    <w:rsid w:val="009A2B03"/>
    <w:rsid w:val="009A3DD1"/>
    <w:rsid w:val="009A4AF3"/>
    <w:rsid w:val="009A4BD4"/>
    <w:rsid w:val="009A6299"/>
    <w:rsid w:val="009A7499"/>
    <w:rsid w:val="009B07D9"/>
    <w:rsid w:val="009B0836"/>
    <w:rsid w:val="009B17D3"/>
    <w:rsid w:val="009B311A"/>
    <w:rsid w:val="009B3CEF"/>
    <w:rsid w:val="009B71BC"/>
    <w:rsid w:val="009B7890"/>
    <w:rsid w:val="009C020D"/>
    <w:rsid w:val="009C0676"/>
    <w:rsid w:val="009C1C45"/>
    <w:rsid w:val="009C2837"/>
    <w:rsid w:val="009C3D31"/>
    <w:rsid w:val="009C4A8E"/>
    <w:rsid w:val="009C5571"/>
    <w:rsid w:val="009C55DE"/>
    <w:rsid w:val="009C5969"/>
    <w:rsid w:val="009C6D98"/>
    <w:rsid w:val="009C7539"/>
    <w:rsid w:val="009C7869"/>
    <w:rsid w:val="009D2601"/>
    <w:rsid w:val="009D370E"/>
    <w:rsid w:val="009D5320"/>
    <w:rsid w:val="009D74CB"/>
    <w:rsid w:val="009D7BBA"/>
    <w:rsid w:val="009E0671"/>
    <w:rsid w:val="009E0A57"/>
    <w:rsid w:val="009E2C64"/>
    <w:rsid w:val="009E2DDC"/>
    <w:rsid w:val="009E3443"/>
    <w:rsid w:val="009E40C9"/>
    <w:rsid w:val="009E4F7A"/>
    <w:rsid w:val="009E6EAA"/>
    <w:rsid w:val="009F03DB"/>
    <w:rsid w:val="009F0A16"/>
    <w:rsid w:val="009F1F85"/>
    <w:rsid w:val="009F23C0"/>
    <w:rsid w:val="009F277B"/>
    <w:rsid w:val="009F2787"/>
    <w:rsid w:val="009F2CB5"/>
    <w:rsid w:val="009F2CCC"/>
    <w:rsid w:val="009F32A0"/>
    <w:rsid w:val="009F3715"/>
    <w:rsid w:val="009F3F52"/>
    <w:rsid w:val="009F4ACA"/>
    <w:rsid w:val="009F4AD1"/>
    <w:rsid w:val="009F4D53"/>
    <w:rsid w:val="00A0034E"/>
    <w:rsid w:val="00A01C2F"/>
    <w:rsid w:val="00A02128"/>
    <w:rsid w:val="00A029AE"/>
    <w:rsid w:val="00A03111"/>
    <w:rsid w:val="00A03633"/>
    <w:rsid w:val="00A03C48"/>
    <w:rsid w:val="00A04864"/>
    <w:rsid w:val="00A05FD3"/>
    <w:rsid w:val="00A07699"/>
    <w:rsid w:val="00A106C6"/>
    <w:rsid w:val="00A106CC"/>
    <w:rsid w:val="00A118B8"/>
    <w:rsid w:val="00A12A01"/>
    <w:rsid w:val="00A13999"/>
    <w:rsid w:val="00A150E6"/>
    <w:rsid w:val="00A1537B"/>
    <w:rsid w:val="00A163D4"/>
    <w:rsid w:val="00A16688"/>
    <w:rsid w:val="00A1724A"/>
    <w:rsid w:val="00A17B68"/>
    <w:rsid w:val="00A2037F"/>
    <w:rsid w:val="00A20BE8"/>
    <w:rsid w:val="00A2232B"/>
    <w:rsid w:val="00A236D6"/>
    <w:rsid w:val="00A24837"/>
    <w:rsid w:val="00A24A4D"/>
    <w:rsid w:val="00A24FA0"/>
    <w:rsid w:val="00A261A4"/>
    <w:rsid w:val="00A2624A"/>
    <w:rsid w:val="00A26C5C"/>
    <w:rsid w:val="00A30E5E"/>
    <w:rsid w:val="00A32486"/>
    <w:rsid w:val="00A32A0C"/>
    <w:rsid w:val="00A33158"/>
    <w:rsid w:val="00A333BE"/>
    <w:rsid w:val="00A337FE"/>
    <w:rsid w:val="00A33B83"/>
    <w:rsid w:val="00A34EC9"/>
    <w:rsid w:val="00A3540D"/>
    <w:rsid w:val="00A364B4"/>
    <w:rsid w:val="00A371E0"/>
    <w:rsid w:val="00A3721D"/>
    <w:rsid w:val="00A3736C"/>
    <w:rsid w:val="00A41358"/>
    <w:rsid w:val="00A4280E"/>
    <w:rsid w:val="00A4363C"/>
    <w:rsid w:val="00A43F08"/>
    <w:rsid w:val="00A4447B"/>
    <w:rsid w:val="00A447CD"/>
    <w:rsid w:val="00A452DF"/>
    <w:rsid w:val="00A467EF"/>
    <w:rsid w:val="00A479F1"/>
    <w:rsid w:val="00A47BF2"/>
    <w:rsid w:val="00A5056B"/>
    <w:rsid w:val="00A50A94"/>
    <w:rsid w:val="00A51C0F"/>
    <w:rsid w:val="00A51F56"/>
    <w:rsid w:val="00A53CD7"/>
    <w:rsid w:val="00A567FC"/>
    <w:rsid w:val="00A60340"/>
    <w:rsid w:val="00A60D1B"/>
    <w:rsid w:val="00A621B7"/>
    <w:rsid w:val="00A63B61"/>
    <w:rsid w:val="00A64D43"/>
    <w:rsid w:val="00A65E8E"/>
    <w:rsid w:val="00A66094"/>
    <w:rsid w:val="00A663D9"/>
    <w:rsid w:val="00A66907"/>
    <w:rsid w:val="00A66CAE"/>
    <w:rsid w:val="00A66E21"/>
    <w:rsid w:val="00A67391"/>
    <w:rsid w:val="00A6755A"/>
    <w:rsid w:val="00A70731"/>
    <w:rsid w:val="00A71189"/>
    <w:rsid w:val="00A721F2"/>
    <w:rsid w:val="00A763EA"/>
    <w:rsid w:val="00A76401"/>
    <w:rsid w:val="00A80206"/>
    <w:rsid w:val="00A8286D"/>
    <w:rsid w:val="00A82B80"/>
    <w:rsid w:val="00A83171"/>
    <w:rsid w:val="00A837A6"/>
    <w:rsid w:val="00A85773"/>
    <w:rsid w:val="00A85DB7"/>
    <w:rsid w:val="00A85DBB"/>
    <w:rsid w:val="00A85EBB"/>
    <w:rsid w:val="00A8613D"/>
    <w:rsid w:val="00A93A33"/>
    <w:rsid w:val="00A970B7"/>
    <w:rsid w:val="00A9750B"/>
    <w:rsid w:val="00AA0473"/>
    <w:rsid w:val="00AA20AB"/>
    <w:rsid w:val="00AA22F6"/>
    <w:rsid w:val="00AA2398"/>
    <w:rsid w:val="00AA3DE5"/>
    <w:rsid w:val="00AA4F0A"/>
    <w:rsid w:val="00AA79E4"/>
    <w:rsid w:val="00AB324D"/>
    <w:rsid w:val="00AB36A2"/>
    <w:rsid w:val="00AB3DAA"/>
    <w:rsid w:val="00AB5E7C"/>
    <w:rsid w:val="00AB6D76"/>
    <w:rsid w:val="00AB71C2"/>
    <w:rsid w:val="00AC0D34"/>
    <w:rsid w:val="00AC1D3C"/>
    <w:rsid w:val="00AC1D80"/>
    <w:rsid w:val="00AC1DD7"/>
    <w:rsid w:val="00AC22D2"/>
    <w:rsid w:val="00AC2DDB"/>
    <w:rsid w:val="00AC42C3"/>
    <w:rsid w:val="00AC5934"/>
    <w:rsid w:val="00AC6226"/>
    <w:rsid w:val="00AD063B"/>
    <w:rsid w:val="00AD06DD"/>
    <w:rsid w:val="00AD0A18"/>
    <w:rsid w:val="00AD1B5E"/>
    <w:rsid w:val="00AD230B"/>
    <w:rsid w:val="00AD42E2"/>
    <w:rsid w:val="00AD5C09"/>
    <w:rsid w:val="00AD6756"/>
    <w:rsid w:val="00AD793C"/>
    <w:rsid w:val="00AE0253"/>
    <w:rsid w:val="00AE1385"/>
    <w:rsid w:val="00AE1441"/>
    <w:rsid w:val="00AE2025"/>
    <w:rsid w:val="00AE2705"/>
    <w:rsid w:val="00AE2BF1"/>
    <w:rsid w:val="00AE3392"/>
    <w:rsid w:val="00AE4723"/>
    <w:rsid w:val="00AE4C25"/>
    <w:rsid w:val="00AE5133"/>
    <w:rsid w:val="00AE6A0C"/>
    <w:rsid w:val="00AE77F1"/>
    <w:rsid w:val="00AE79F9"/>
    <w:rsid w:val="00AF03AE"/>
    <w:rsid w:val="00AF2967"/>
    <w:rsid w:val="00AF2C2E"/>
    <w:rsid w:val="00AF30BD"/>
    <w:rsid w:val="00AF3D4E"/>
    <w:rsid w:val="00AF4D1E"/>
    <w:rsid w:val="00AF5812"/>
    <w:rsid w:val="00AF6B68"/>
    <w:rsid w:val="00AF722D"/>
    <w:rsid w:val="00B0048D"/>
    <w:rsid w:val="00B005C8"/>
    <w:rsid w:val="00B012E3"/>
    <w:rsid w:val="00B026B7"/>
    <w:rsid w:val="00B05D74"/>
    <w:rsid w:val="00B07678"/>
    <w:rsid w:val="00B07A71"/>
    <w:rsid w:val="00B07F9D"/>
    <w:rsid w:val="00B1047E"/>
    <w:rsid w:val="00B113A9"/>
    <w:rsid w:val="00B11816"/>
    <w:rsid w:val="00B11EE4"/>
    <w:rsid w:val="00B120FA"/>
    <w:rsid w:val="00B12D36"/>
    <w:rsid w:val="00B135E5"/>
    <w:rsid w:val="00B136F9"/>
    <w:rsid w:val="00B14CD4"/>
    <w:rsid w:val="00B157FD"/>
    <w:rsid w:val="00B15D77"/>
    <w:rsid w:val="00B16A10"/>
    <w:rsid w:val="00B17019"/>
    <w:rsid w:val="00B17182"/>
    <w:rsid w:val="00B171AE"/>
    <w:rsid w:val="00B207CC"/>
    <w:rsid w:val="00B214C9"/>
    <w:rsid w:val="00B21973"/>
    <w:rsid w:val="00B22180"/>
    <w:rsid w:val="00B229D2"/>
    <w:rsid w:val="00B23CC0"/>
    <w:rsid w:val="00B247BC"/>
    <w:rsid w:val="00B248F0"/>
    <w:rsid w:val="00B2749C"/>
    <w:rsid w:val="00B30556"/>
    <w:rsid w:val="00B30597"/>
    <w:rsid w:val="00B328CB"/>
    <w:rsid w:val="00B336A2"/>
    <w:rsid w:val="00B34145"/>
    <w:rsid w:val="00B357E9"/>
    <w:rsid w:val="00B41DA8"/>
    <w:rsid w:val="00B41FB2"/>
    <w:rsid w:val="00B4266E"/>
    <w:rsid w:val="00B439C1"/>
    <w:rsid w:val="00B43BDB"/>
    <w:rsid w:val="00B43DE7"/>
    <w:rsid w:val="00B455D4"/>
    <w:rsid w:val="00B45717"/>
    <w:rsid w:val="00B46B19"/>
    <w:rsid w:val="00B475EC"/>
    <w:rsid w:val="00B50B8F"/>
    <w:rsid w:val="00B50BA0"/>
    <w:rsid w:val="00B51190"/>
    <w:rsid w:val="00B52533"/>
    <w:rsid w:val="00B54E68"/>
    <w:rsid w:val="00B55187"/>
    <w:rsid w:val="00B61023"/>
    <w:rsid w:val="00B61604"/>
    <w:rsid w:val="00B6205E"/>
    <w:rsid w:val="00B62CFD"/>
    <w:rsid w:val="00B635C5"/>
    <w:rsid w:val="00B637B9"/>
    <w:rsid w:val="00B64A5A"/>
    <w:rsid w:val="00B651C9"/>
    <w:rsid w:val="00B72062"/>
    <w:rsid w:val="00B720D7"/>
    <w:rsid w:val="00B72D73"/>
    <w:rsid w:val="00B73C88"/>
    <w:rsid w:val="00B76114"/>
    <w:rsid w:val="00B76E91"/>
    <w:rsid w:val="00B7721D"/>
    <w:rsid w:val="00B778E3"/>
    <w:rsid w:val="00B812B7"/>
    <w:rsid w:val="00B82A05"/>
    <w:rsid w:val="00B82D83"/>
    <w:rsid w:val="00B82E46"/>
    <w:rsid w:val="00B84017"/>
    <w:rsid w:val="00B84F1D"/>
    <w:rsid w:val="00B8534A"/>
    <w:rsid w:val="00B90AD8"/>
    <w:rsid w:val="00B91763"/>
    <w:rsid w:val="00B91938"/>
    <w:rsid w:val="00B935B3"/>
    <w:rsid w:val="00B93C03"/>
    <w:rsid w:val="00B95111"/>
    <w:rsid w:val="00B975A8"/>
    <w:rsid w:val="00BA1331"/>
    <w:rsid w:val="00BA223A"/>
    <w:rsid w:val="00BA2327"/>
    <w:rsid w:val="00BA297E"/>
    <w:rsid w:val="00BA358B"/>
    <w:rsid w:val="00BA4F5D"/>
    <w:rsid w:val="00BA6E77"/>
    <w:rsid w:val="00BB0EBA"/>
    <w:rsid w:val="00BB19D6"/>
    <w:rsid w:val="00BB25C8"/>
    <w:rsid w:val="00BB2975"/>
    <w:rsid w:val="00BB2B83"/>
    <w:rsid w:val="00BB3430"/>
    <w:rsid w:val="00BB4B4D"/>
    <w:rsid w:val="00BB55A9"/>
    <w:rsid w:val="00BB5F7F"/>
    <w:rsid w:val="00BB74B8"/>
    <w:rsid w:val="00BB7844"/>
    <w:rsid w:val="00BC1F4F"/>
    <w:rsid w:val="00BC39BD"/>
    <w:rsid w:val="00BC488C"/>
    <w:rsid w:val="00BC5052"/>
    <w:rsid w:val="00BC5845"/>
    <w:rsid w:val="00BC79C6"/>
    <w:rsid w:val="00BD1A74"/>
    <w:rsid w:val="00BD253B"/>
    <w:rsid w:val="00BD318E"/>
    <w:rsid w:val="00BD36DE"/>
    <w:rsid w:val="00BD48EE"/>
    <w:rsid w:val="00BD60A0"/>
    <w:rsid w:val="00BD6820"/>
    <w:rsid w:val="00BD7038"/>
    <w:rsid w:val="00BD7365"/>
    <w:rsid w:val="00BD757A"/>
    <w:rsid w:val="00BD7B6E"/>
    <w:rsid w:val="00BE0882"/>
    <w:rsid w:val="00BE090E"/>
    <w:rsid w:val="00BE1D0C"/>
    <w:rsid w:val="00BE25DA"/>
    <w:rsid w:val="00BE27B1"/>
    <w:rsid w:val="00BE34E2"/>
    <w:rsid w:val="00BE501A"/>
    <w:rsid w:val="00BE54B1"/>
    <w:rsid w:val="00BF048B"/>
    <w:rsid w:val="00BF0B43"/>
    <w:rsid w:val="00BF2A2F"/>
    <w:rsid w:val="00BF2EE6"/>
    <w:rsid w:val="00BF3DC8"/>
    <w:rsid w:val="00BF5C76"/>
    <w:rsid w:val="00BF6481"/>
    <w:rsid w:val="00BF6598"/>
    <w:rsid w:val="00BF7110"/>
    <w:rsid w:val="00BF7348"/>
    <w:rsid w:val="00BF74FF"/>
    <w:rsid w:val="00C012BA"/>
    <w:rsid w:val="00C015F9"/>
    <w:rsid w:val="00C01984"/>
    <w:rsid w:val="00C019E3"/>
    <w:rsid w:val="00C01C8F"/>
    <w:rsid w:val="00C042F5"/>
    <w:rsid w:val="00C05A37"/>
    <w:rsid w:val="00C06B45"/>
    <w:rsid w:val="00C071F5"/>
    <w:rsid w:val="00C0796C"/>
    <w:rsid w:val="00C07FFC"/>
    <w:rsid w:val="00C1146A"/>
    <w:rsid w:val="00C11765"/>
    <w:rsid w:val="00C122CC"/>
    <w:rsid w:val="00C12511"/>
    <w:rsid w:val="00C12F17"/>
    <w:rsid w:val="00C1398C"/>
    <w:rsid w:val="00C1481C"/>
    <w:rsid w:val="00C159CF"/>
    <w:rsid w:val="00C1601D"/>
    <w:rsid w:val="00C16803"/>
    <w:rsid w:val="00C16B14"/>
    <w:rsid w:val="00C170A1"/>
    <w:rsid w:val="00C2015E"/>
    <w:rsid w:val="00C210B5"/>
    <w:rsid w:val="00C2169A"/>
    <w:rsid w:val="00C2395A"/>
    <w:rsid w:val="00C23F24"/>
    <w:rsid w:val="00C27883"/>
    <w:rsid w:val="00C30C21"/>
    <w:rsid w:val="00C3271A"/>
    <w:rsid w:val="00C32AD2"/>
    <w:rsid w:val="00C34AB5"/>
    <w:rsid w:val="00C408F4"/>
    <w:rsid w:val="00C427AD"/>
    <w:rsid w:val="00C43AF1"/>
    <w:rsid w:val="00C43DE5"/>
    <w:rsid w:val="00C446D0"/>
    <w:rsid w:val="00C44D5D"/>
    <w:rsid w:val="00C451CA"/>
    <w:rsid w:val="00C451CC"/>
    <w:rsid w:val="00C46F4D"/>
    <w:rsid w:val="00C47701"/>
    <w:rsid w:val="00C47F59"/>
    <w:rsid w:val="00C51FCD"/>
    <w:rsid w:val="00C52474"/>
    <w:rsid w:val="00C52F78"/>
    <w:rsid w:val="00C54490"/>
    <w:rsid w:val="00C54B59"/>
    <w:rsid w:val="00C55E7D"/>
    <w:rsid w:val="00C56215"/>
    <w:rsid w:val="00C5662D"/>
    <w:rsid w:val="00C56648"/>
    <w:rsid w:val="00C57372"/>
    <w:rsid w:val="00C605FE"/>
    <w:rsid w:val="00C60EDA"/>
    <w:rsid w:val="00C61264"/>
    <w:rsid w:val="00C6222C"/>
    <w:rsid w:val="00C6302D"/>
    <w:rsid w:val="00C63BB9"/>
    <w:rsid w:val="00C63BF4"/>
    <w:rsid w:val="00C64CE2"/>
    <w:rsid w:val="00C65C24"/>
    <w:rsid w:val="00C66F3E"/>
    <w:rsid w:val="00C70325"/>
    <w:rsid w:val="00C7069A"/>
    <w:rsid w:val="00C7095E"/>
    <w:rsid w:val="00C71B6E"/>
    <w:rsid w:val="00C75665"/>
    <w:rsid w:val="00C75B7C"/>
    <w:rsid w:val="00C75E54"/>
    <w:rsid w:val="00C77CCA"/>
    <w:rsid w:val="00C8115B"/>
    <w:rsid w:val="00C84123"/>
    <w:rsid w:val="00C84887"/>
    <w:rsid w:val="00C85626"/>
    <w:rsid w:val="00C87487"/>
    <w:rsid w:val="00C87671"/>
    <w:rsid w:val="00C87856"/>
    <w:rsid w:val="00C90342"/>
    <w:rsid w:val="00C90554"/>
    <w:rsid w:val="00C91299"/>
    <w:rsid w:val="00C91993"/>
    <w:rsid w:val="00C94CAC"/>
    <w:rsid w:val="00C94D7A"/>
    <w:rsid w:val="00C957BE"/>
    <w:rsid w:val="00C97F0C"/>
    <w:rsid w:val="00CA0FF8"/>
    <w:rsid w:val="00CA1726"/>
    <w:rsid w:val="00CA1E17"/>
    <w:rsid w:val="00CA2A90"/>
    <w:rsid w:val="00CA3823"/>
    <w:rsid w:val="00CA3CCA"/>
    <w:rsid w:val="00CA446C"/>
    <w:rsid w:val="00CB09DE"/>
    <w:rsid w:val="00CB1148"/>
    <w:rsid w:val="00CB35D4"/>
    <w:rsid w:val="00CB3699"/>
    <w:rsid w:val="00CB42C8"/>
    <w:rsid w:val="00CB44DB"/>
    <w:rsid w:val="00CC04BC"/>
    <w:rsid w:val="00CC096D"/>
    <w:rsid w:val="00CC161C"/>
    <w:rsid w:val="00CC1E2A"/>
    <w:rsid w:val="00CC2DDC"/>
    <w:rsid w:val="00CC348D"/>
    <w:rsid w:val="00CC38A2"/>
    <w:rsid w:val="00CC40C8"/>
    <w:rsid w:val="00CC41C4"/>
    <w:rsid w:val="00CC47B7"/>
    <w:rsid w:val="00CC5ED4"/>
    <w:rsid w:val="00CC62BD"/>
    <w:rsid w:val="00CC6934"/>
    <w:rsid w:val="00CC69D0"/>
    <w:rsid w:val="00CC6A1B"/>
    <w:rsid w:val="00CD1C85"/>
    <w:rsid w:val="00CD22EA"/>
    <w:rsid w:val="00CD44B4"/>
    <w:rsid w:val="00CD48A4"/>
    <w:rsid w:val="00CD624F"/>
    <w:rsid w:val="00CD62B2"/>
    <w:rsid w:val="00CD6E61"/>
    <w:rsid w:val="00CD7A9C"/>
    <w:rsid w:val="00CE0868"/>
    <w:rsid w:val="00CE2324"/>
    <w:rsid w:val="00CE3462"/>
    <w:rsid w:val="00CE3E39"/>
    <w:rsid w:val="00CE4CB9"/>
    <w:rsid w:val="00CE5D6B"/>
    <w:rsid w:val="00CE7540"/>
    <w:rsid w:val="00CE77BB"/>
    <w:rsid w:val="00CF12E6"/>
    <w:rsid w:val="00CF1AB4"/>
    <w:rsid w:val="00CF1D58"/>
    <w:rsid w:val="00CF1F4B"/>
    <w:rsid w:val="00CF22D0"/>
    <w:rsid w:val="00CF2327"/>
    <w:rsid w:val="00CF3FE6"/>
    <w:rsid w:val="00CF43BA"/>
    <w:rsid w:val="00CF43BE"/>
    <w:rsid w:val="00CF4528"/>
    <w:rsid w:val="00CF65AB"/>
    <w:rsid w:val="00CF6D05"/>
    <w:rsid w:val="00D008FC"/>
    <w:rsid w:val="00D012EC"/>
    <w:rsid w:val="00D02380"/>
    <w:rsid w:val="00D02DE5"/>
    <w:rsid w:val="00D035EE"/>
    <w:rsid w:val="00D04055"/>
    <w:rsid w:val="00D04720"/>
    <w:rsid w:val="00D055FB"/>
    <w:rsid w:val="00D056B7"/>
    <w:rsid w:val="00D06AC2"/>
    <w:rsid w:val="00D06E06"/>
    <w:rsid w:val="00D10D5E"/>
    <w:rsid w:val="00D10DE3"/>
    <w:rsid w:val="00D12EF0"/>
    <w:rsid w:val="00D146AB"/>
    <w:rsid w:val="00D148A9"/>
    <w:rsid w:val="00D14DAF"/>
    <w:rsid w:val="00D1676B"/>
    <w:rsid w:val="00D16CA7"/>
    <w:rsid w:val="00D16CC7"/>
    <w:rsid w:val="00D16CCF"/>
    <w:rsid w:val="00D1761E"/>
    <w:rsid w:val="00D176DC"/>
    <w:rsid w:val="00D21E9F"/>
    <w:rsid w:val="00D226AB"/>
    <w:rsid w:val="00D22C68"/>
    <w:rsid w:val="00D232FC"/>
    <w:rsid w:val="00D2396B"/>
    <w:rsid w:val="00D23B8E"/>
    <w:rsid w:val="00D2441F"/>
    <w:rsid w:val="00D248BF"/>
    <w:rsid w:val="00D249E2"/>
    <w:rsid w:val="00D252F2"/>
    <w:rsid w:val="00D252F6"/>
    <w:rsid w:val="00D264CE"/>
    <w:rsid w:val="00D27131"/>
    <w:rsid w:val="00D273C1"/>
    <w:rsid w:val="00D32719"/>
    <w:rsid w:val="00D32BAA"/>
    <w:rsid w:val="00D32DD2"/>
    <w:rsid w:val="00D33A20"/>
    <w:rsid w:val="00D34E12"/>
    <w:rsid w:val="00D34F56"/>
    <w:rsid w:val="00D35F80"/>
    <w:rsid w:val="00D362B3"/>
    <w:rsid w:val="00D36A88"/>
    <w:rsid w:val="00D37E4D"/>
    <w:rsid w:val="00D41DA9"/>
    <w:rsid w:val="00D4213E"/>
    <w:rsid w:val="00D43E52"/>
    <w:rsid w:val="00D4418D"/>
    <w:rsid w:val="00D443DF"/>
    <w:rsid w:val="00D45251"/>
    <w:rsid w:val="00D45A8E"/>
    <w:rsid w:val="00D45F66"/>
    <w:rsid w:val="00D465CB"/>
    <w:rsid w:val="00D50104"/>
    <w:rsid w:val="00D52ABF"/>
    <w:rsid w:val="00D53039"/>
    <w:rsid w:val="00D53231"/>
    <w:rsid w:val="00D53697"/>
    <w:rsid w:val="00D53E24"/>
    <w:rsid w:val="00D545E3"/>
    <w:rsid w:val="00D557B0"/>
    <w:rsid w:val="00D55ABB"/>
    <w:rsid w:val="00D55B18"/>
    <w:rsid w:val="00D56624"/>
    <w:rsid w:val="00D567E7"/>
    <w:rsid w:val="00D567EB"/>
    <w:rsid w:val="00D56DF0"/>
    <w:rsid w:val="00D57047"/>
    <w:rsid w:val="00D5780C"/>
    <w:rsid w:val="00D6102D"/>
    <w:rsid w:val="00D62F7E"/>
    <w:rsid w:val="00D640D6"/>
    <w:rsid w:val="00D65E36"/>
    <w:rsid w:val="00D6631B"/>
    <w:rsid w:val="00D66B2C"/>
    <w:rsid w:val="00D6754A"/>
    <w:rsid w:val="00D70B69"/>
    <w:rsid w:val="00D71AA8"/>
    <w:rsid w:val="00D73041"/>
    <w:rsid w:val="00D744B6"/>
    <w:rsid w:val="00D7470B"/>
    <w:rsid w:val="00D75509"/>
    <w:rsid w:val="00D7638A"/>
    <w:rsid w:val="00D7717D"/>
    <w:rsid w:val="00D817FB"/>
    <w:rsid w:val="00D81D23"/>
    <w:rsid w:val="00D81F50"/>
    <w:rsid w:val="00D820FA"/>
    <w:rsid w:val="00D82922"/>
    <w:rsid w:val="00D843AF"/>
    <w:rsid w:val="00D868D6"/>
    <w:rsid w:val="00D87028"/>
    <w:rsid w:val="00D8769C"/>
    <w:rsid w:val="00D876F6"/>
    <w:rsid w:val="00D95006"/>
    <w:rsid w:val="00D950BC"/>
    <w:rsid w:val="00D957D7"/>
    <w:rsid w:val="00D95C94"/>
    <w:rsid w:val="00D9607D"/>
    <w:rsid w:val="00DA4100"/>
    <w:rsid w:val="00DA4689"/>
    <w:rsid w:val="00DA588D"/>
    <w:rsid w:val="00DA650E"/>
    <w:rsid w:val="00DA6CC5"/>
    <w:rsid w:val="00DA7367"/>
    <w:rsid w:val="00DB0017"/>
    <w:rsid w:val="00DB03CB"/>
    <w:rsid w:val="00DB03DE"/>
    <w:rsid w:val="00DB0DDA"/>
    <w:rsid w:val="00DB1176"/>
    <w:rsid w:val="00DB17F8"/>
    <w:rsid w:val="00DB474B"/>
    <w:rsid w:val="00DB4AE5"/>
    <w:rsid w:val="00DB4F14"/>
    <w:rsid w:val="00DB5B08"/>
    <w:rsid w:val="00DB5E2D"/>
    <w:rsid w:val="00DB6923"/>
    <w:rsid w:val="00DB754C"/>
    <w:rsid w:val="00DC1B2B"/>
    <w:rsid w:val="00DC695F"/>
    <w:rsid w:val="00DC6BE6"/>
    <w:rsid w:val="00DC6D7E"/>
    <w:rsid w:val="00DC7257"/>
    <w:rsid w:val="00DD0AD3"/>
    <w:rsid w:val="00DD0D27"/>
    <w:rsid w:val="00DD1921"/>
    <w:rsid w:val="00DD2AC4"/>
    <w:rsid w:val="00DD440D"/>
    <w:rsid w:val="00DD488D"/>
    <w:rsid w:val="00DD4C22"/>
    <w:rsid w:val="00DD4C66"/>
    <w:rsid w:val="00DD60FB"/>
    <w:rsid w:val="00DD662E"/>
    <w:rsid w:val="00DD6CC1"/>
    <w:rsid w:val="00DD7FBF"/>
    <w:rsid w:val="00DE03FF"/>
    <w:rsid w:val="00DE07B4"/>
    <w:rsid w:val="00DE1429"/>
    <w:rsid w:val="00DE181D"/>
    <w:rsid w:val="00DE19D6"/>
    <w:rsid w:val="00DE4043"/>
    <w:rsid w:val="00DE4C6D"/>
    <w:rsid w:val="00DE52F1"/>
    <w:rsid w:val="00DF0389"/>
    <w:rsid w:val="00DF0419"/>
    <w:rsid w:val="00DF1273"/>
    <w:rsid w:val="00DF145E"/>
    <w:rsid w:val="00E013BC"/>
    <w:rsid w:val="00E016F2"/>
    <w:rsid w:val="00E022B7"/>
    <w:rsid w:val="00E05720"/>
    <w:rsid w:val="00E057F0"/>
    <w:rsid w:val="00E05954"/>
    <w:rsid w:val="00E063CE"/>
    <w:rsid w:val="00E068B9"/>
    <w:rsid w:val="00E10C59"/>
    <w:rsid w:val="00E11676"/>
    <w:rsid w:val="00E117A6"/>
    <w:rsid w:val="00E11F08"/>
    <w:rsid w:val="00E1230D"/>
    <w:rsid w:val="00E13C47"/>
    <w:rsid w:val="00E13F4A"/>
    <w:rsid w:val="00E20B2B"/>
    <w:rsid w:val="00E25FC9"/>
    <w:rsid w:val="00E26753"/>
    <w:rsid w:val="00E26EE3"/>
    <w:rsid w:val="00E301D0"/>
    <w:rsid w:val="00E359AF"/>
    <w:rsid w:val="00E4198A"/>
    <w:rsid w:val="00E41B51"/>
    <w:rsid w:val="00E41D73"/>
    <w:rsid w:val="00E422A9"/>
    <w:rsid w:val="00E4405F"/>
    <w:rsid w:val="00E44C5D"/>
    <w:rsid w:val="00E44C82"/>
    <w:rsid w:val="00E44D58"/>
    <w:rsid w:val="00E450FF"/>
    <w:rsid w:val="00E47795"/>
    <w:rsid w:val="00E47CF2"/>
    <w:rsid w:val="00E47F83"/>
    <w:rsid w:val="00E511DD"/>
    <w:rsid w:val="00E52E6E"/>
    <w:rsid w:val="00E53461"/>
    <w:rsid w:val="00E53B2D"/>
    <w:rsid w:val="00E53F49"/>
    <w:rsid w:val="00E543BB"/>
    <w:rsid w:val="00E549B9"/>
    <w:rsid w:val="00E54AA2"/>
    <w:rsid w:val="00E551B4"/>
    <w:rsid w:val="00E56677"/>
    <w:rsid w:val="00E56B4A"/>
    <w:rsid w:val="00E56F8E"/>
    <w:rsid w:val="00E63576"/>
    <w:rsid w:val="00E65DAE"/>
    <w:rsid w:val="00E66BF2"/>
    <w:rsid w:val="00E712C9"/>
    <w:rsid w:val="00E7190D"/>
    <w:rsid w:val="00E71E5A"/>
    <w:rsid w:val="00E72A96"/>
    <w:rsid w:val="00E7313C"/>
    <w:rsid w:val="00E74AE7"/>
    <w:rsid w:val="00E75524"/>
    <w:rsid w:val="00E75FD3"/>
    <w:rsid w:val="00E77A3A"/>
    <w:rsid w:val="00E80674"/>
    <w:rsid w:val="00E80986"/>
    <w:rsid w:val="00E81148"/>
    <w:rsid w:val="00E812D8"/>
    <w:rsid w:val="00E8184A"/>
    <w:rsid w:val="00E8224A"/>
    <w:rsid w:val="00E83C13"/>
    <w:rsid w:val="00E84820"/>
    <w:rsid w:val="00E84F54"/>
    <w:rsid w:val="00E85923"/>
    <w:rsid w:val="00E8729C"/>
    <w:rsid w:val="00E873C1"/>
    <w:rsid w:val="00E87FF7"/>
    <w:rsid w:val="00E92EA2"/>
    <w:rsid w:val="00E9480E"/>
    <w:rsid w:val="00E95D34"/>
    <w:rsid w:val="00E961C8"/>
    <w:rsid w:val="00E96250"/>
    <w:rsid w:val="00E967FA"/>
    <w:rsid w:val="00E96993"/>
    <w:rsid w:val="00EA0879"/>
    <w:rsid w:val="00EA0D29"/>
    <w:rsid w:val="00EA1121"/>
    <w:rsid w:val="00EA143F"/>
    <w:rsid w:val="00EA16CC"/>
    <w:rsid w:val="00EA1EBA"/>
    <w:rsid w:val="00EA54F9"/>
    <w:rsid w:val="00EA5DFF"/>
    <w:rsid w:val="00EA6C8A"/>
    <w:rsid w:val="00EA7199"/>
    <w:rsid w:val="00EB0181"/>
    <w:rsid w:val="00EB231A"/>
    <w:rsid w:val="00EB40E4"/>
    <w:rsid w:val="00EB4ABE"/>
    <w:rsid w:val="00EB4D28"/>
    <w:rsid w:val="00EB4D92"/>
    <w:rsid w:val="00EB4F86"/>
    <w:rsid w:val="00EB519D"/>
    <w:rsid w:val="00EB63FC"/>
    <w:rsid w:val="00EB6FF6"/>
    <w:rsid w:val="00EB7F28"/>
    <w:rsid w:val="00EC002B"/>
    <w:rsid w:val="00EC2767"/>
    <w:rsid w:val="00EC2D23"/>
    <w:rsid w:val="00EC5FC4"/>
    <w:rsid w:val="00EC73A7"/>
    <w:rsid w:val="00EC73C3"/>
    <w:rsid w:val="00ED005F"/>
    <w:rsid w:val="00ED06C8"/>
    <w:rsid w:val="00ED0C60"/>
    <w:rsid w:val="00ED1B39"/>
    <w:rsid w:val="00ED2970"/>
    <w:rsid w:val="00ED39F2"/>
    <w:rsid w:val="00ED5717"/>
    <w:rsid w:val="00ED68A2"/>
    <w:rsid w:val="00ED7F84"/>
    <w:rsid w:val="00EE106D"/>
    <w:rsid w:val="00EE3464"/>
    <w:rsid w:val="00EE38DA"/>
    <w:rsid w:val="00EE3FE9"/>
    <w:rsid w:val="00EE4266"/>
    <w:rsid w:val="00EE66A0"/>
    <w:rsid w:val="00EE691B"/>
    <w:rsid w:val="00EE714C"/>
    <w:rsid w:val="00EE7CB7"/>
    <w:rsid w:val="00EF014A"/>
    <w:rsid w:val="00EF0C37"/>
    <w:rsid w:val="00EF1321"/>
    <w:rsid w:val="00EF1D9D"/>
    <w:rsid w:val="00EF2EA3"/>
    <w:rsid w:val="00EF45D7"/>
    <w:rsid w:val="00EF5C8F"/>
    <w:rsid w:val="00EF69F8"/>
    <w:rsid w:val="00F00437"/>
    <w:rsid w:val="00F00500"/>
    <w:rsid w:val="00F011D5"/>
    <w:rsid w:val="00F0149C"/>
    <w:rsid w:val="00F0227E"/>
    <w:rsid w:val="00F026FB"/>
    <w:rsid w:val="00F031C4"/>
    <w:rsid w:val="00F0406D"/>
    <w:rsid w:val="00F04613"/>
    <w:rsid w:val="00F05899"/>
    <w:rsid w:val="00F117D2"/>
    <w:rsid w:val="00F11B12"/>
    <w:rsid w:val="00F1364B"/>
    <w:rsid w:val="00F136A6"/>
    <w:rsid w:val="00F14522"/>
    <w:rsid w:val="00F14F44"/>
    <w:rsid w:val="00F153B2"/>
    <w:rsid w:val="00F16CC8"/>
    <w:rsid w:val="00F20D03"/>
    <w:rsid w:val="00F2145F"/>
    <w:rsid w:val="00F21C60"/>
    <w:rsid w:val="00F21C83"/>
    <w:rsid w:val="00F225A9"/>
    <w:rsid w:val="00F234EB"/>
    <w:rsid w:val="00F236BE"/>
    <w:rsid w:val="00F24535"/>
    <w:rsid w:val="00F25FB4"/>
    <w:rsid w:val="00F26660"/>
    <w:rsid w:val="00F27D50"/>
    <w:rsid w:val="00F32230"/>
    <w:rsid w:val="00F32DC7"/>
    <w:rsid w:val="00F330C2"/>
    <w:rsid w:val="00F3328D"/>
    <w:rsid w:val="00F343CB"/>
    <w:rsid w:val="00F34515"/>
    <w:rsid w:val="00F353D0"/>
    <w:rsid w:val="00F358A0"/>
    <w:rsid w:val="00F35D7F"/>
    <w:rsid w:val="00F37753"/>
    <w:rsid w:val="00F4184F"/>
    <w:rsid w:val="00F440B5"/>
    <w:rsid w:val="00F445E0"/>
    <w:rsid w:val="00F44AD0"/>
    <w:rsid w:val="00F44E8F"/>
    <w:rsid w:val="00F45C97"/>
    <w:rsid w:val="00F50A8D"/>
    <w:rsid w:val="00F51304"/>
    <w:rsid w:val="00F52053"/>
    <w:rsid w:val="00F52838"/>
    <w:rsid w:val="00F532EB"/>
    <w:rsid w:val="00F53B0E"/>
    <w:rsid w:val="00F612C0"/>
    <w:rsid w:val="00F62361"/>
    <w:rsid w:val="00F62DF0"/>
    <w:rsid w:val="00F62E5D"/>
    <w:rsid w:val="00F634A4"/>
    <w:rsid w:val="00F64638"/>
    <w:rsid w:val="00F64AE1"/>
    <w:rsid w:val="00F658C9"/>
    <w:rsid w:val="00F70F7C"/>
    <w:rsid w:val="00F711AB"/>
    <w:rsid w:val="00F731CC"/>
    <w:rsid w:val="00F737FE"/>
    <w:rsid w:val="00F74A3B"/>
    <w:rsid w:val="00F77419"/>
    <w:rsid w:val="00F77610"/>
    <w:rsid w:val="00F8023C"/>
    <w:rsid w:val="00F80668"/>
    <w:rsid w:val="00F806BC"/>
    <w:rsid w:val="00F81019"/>
    <w:rsid w:val="00F81EC7"/>
    <w:rsid w:val="00F87250"/>
    <w:rsid w:val="00F90181"/>
    <w:rsid w:val="00F96272"/>
    <w:rsid w:val="00F9675C"/>
    <w:rsid w:val="00F96A44"/>
    <w:rsid w:val="00F972BC"/>
    <w:rsid w:val="00FA0946"/>
    <w:rsid w:val="00FA0A18"/>
    <w:rsid w:val="00FA19B0"/>
    <w:rsid w:val="00FA2C31"/>
    <w:rsid w:val="00FA2D13"/>
    <w:rsid w:val="00FA31C9"/>
    <w:rsid w:val="00FA37DC"/>
    <w:rsid w:val="00FA7634"/>
    <w:rsid w:val="00FB0A01"/>
    <w:rsid w:val="00FB0CC0"/>
    <w:rsid w:val="00FB0E36"/>
    <w:rsid w:val="00FB111F"/>
    <w:rsid w:val="00FB3795"/>
    <w:rsid w:val="00FB3BD7"/>
    <w:rsid w:val="00FB5356"/>
    <w:rsid w:val="00FB77BE"/>
    <w:rsid w:val="00FC0B21"/>
    <w:rsid w:val="00FC11E4"/>
    <w:rsid w:val="00FC1A82"/>
    <w:rsid w:val="00FC2461"/>
    <w:rsid w:val="00FC31D4"/>
    <w:rsid w:val="00FC3B96"/>
    <w:rsid w:val="00FC3E19"/>
    <w:rsid w:val="00FC466F"/>
    <w:rsid w:val="00FC5F95"/>
    <w:rsid w:val="00FD00D3"/>
    <w:rsid w:val="00FD0421"/>
    <w:rsid w:val="00FD0994"/>
    <w:rsid w:val="00FD25A2"/>
    <w:rsid w:val="00FD4790"/>
    <w:rsid w:val="00FD5665"/>
    <w:rsid w:val="00FD7252"/>
    <w:rsid w:val="00FD76A6"/>
    <w:rsid w:val="00FD77FD"/>
    <w:rsid w:val="00FD7A4E"/>
    <w:rsid w:val="00FD7B92"/>
    <w:rsid w:val="00FD7BCA"/>
    <w:rsid w:val="00FE10D0"/>
    <w:rsid w:val="00FE18DA"/>
    <w:rsid w:val="00FE221E"/>
    <w:rsid w:val="00FE2402"/>
    <w:rsid w:val="00FE3BE5"/>
    <w:rsid w:val="00FE4FC6"/>
    <w:rsid w:val="00FE5075"/>
    <w:rsid w:val="00FE6281"/>
    <w:rsid w:val="00FE62D2"/>
    <w:rsid w:val="00FF1A50"/>
    <w:rsid w:val="00FF1D54"/>
    <w:rsid w:val="00FF2E78"/>
    <w:rsid w:val="00FF7E9E"/>
    <w:rsid w:val="00FF7F50"/>
    <w:rsid w:val="2FF31314"/>
    <w:rsid w:val="316F13DF"/>
    <w:rsid w:val="5C7F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32"/>
    <w:qFormat/>
    <w:uiPriority w:val="9"/>
    <w:pPr>
      <w:spacing w:before="100" w:beforeLines="100" w:after="100" w:afterLines="100"/>
      <w:outlineLvl w:val="0"/>
    </w:pPr>
    <w:rPr>
      <w:rFonts w:ascii="黑体" w:hAnsi="黑体" w:eastAsia="黑体"/>
      <w:sz w:val="32"/>
    </w:rPr>
  </w:style>
  <w:style w:type="paragraph" w:styleId="3">
    <w:name w:val="heading 2"/>
    <w:basedOn w:val="1"/>
    <w:next w:val="1"/>
    <w:link w:val="33"/>
    <w:unhideWhenUsed/>
    <w:qFormat/>
    <w:uiPriority w:val="9"/>
    <w:pPr>
      <w:spacing w:before="100" w:beforeLines="100" w:after="100" w:afterLines="100"/>
      <w:outlineLvl w:val="1"/>
    </w:pPr>
    <w:rPr>
      <w:rFonts w:ascii="楷体_GB2312" w:eastAsia="楷体_GB2312"/>
      <w:b/>
      <w:sz w:val="30"/>
    </w:rPr>
  </w:style>
  <w:style w:type="paragraph" w:styleId="4">
    <w:name w:val="heading 3"/>
    <w:basedOn w:val="1"/>
    <w:next w:val="1"/>
    <w:link w:val="34"/>
    <w:unhideWhenUsed/>
    <w:qFormat/>
    <w:uiPriority w:val="9"/>
    <w:pPr>
      <w:ind w:firstLine="562"/>
      <w:outlineLvl w:val="2"/>
    </w:pPr>
    <w:rPr>
      <w:rFonts w:cs="Times New Roman"/>
      <w:b/>
      <w:bCs/>
    </w:rPr>
  </w:style>
  <w:style w:type="paragraph" w:styleId="5">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2520" w:leftChars="1200" w:firstLine="0" w:firstLineChars="0"/>
    </w:pPr>
    <w:rPr>
      <w:rFonts w:asciiTheme="minorHAnsi" w:hAnsiTheme="minorHAnsi" w:eastAsiaTheme="minorEastAsia"/>
      <w:sz w:val="21"/>
    </w:rPr>
  </w:style>
  <w:style w:type="paragraph" w:styleId="7">
    <w:name w:val="annotation text"/>
    <w:basedOn w:val="1"/>
    <w:link w:val="42"/>
    <w:semiHidden/>
    <w:unhideWhenUsed/>
    <w:uiPriority w:val="99"/>
    <w:pPr>
      <w:jc w:val="left"/>
    </w:pPr>
  </w:style>
  <w:style w:type="paragraph" w:styleId="8">
    <w:name w:val="toc 5"/>
    <w:basedOn w:val="1"/>
    <w:next w:val="1"/>
    <w:unhideWhenUsed/>
    <w:uiPriority w:val="39"/>
    <w:pPr>
      <w:ind w:left="1680" w:leftChars="800" w:firstLine="0" w:firstLineChars="0"/>
    </w:pPr>
    <w:rPr>
      <w:rFonts w:asciiTheme="minorHAnsi" w:hAnsiTheme="minorHAnsi" w:eastAsiaTheme="minorEastAsia"/>
      <w:sz w:val="21"/>
    </w:rPr>
  </w:style>
  <w:style w:type="paragraph" w:styleId="9">
    <w:name w:val="toc 3"/>
    <w:basedOn w:val="1"/>
    <w:next w:val="1"/>
    <w:unhideWhenUsed/>
    <w:uiPriority w:val="39"/>
    <w:pPr>
      <w:ind w:left="200" w:leftChars="200"/>
    </w:pPr>
  </w:style>
  <w:style w:type="paragraph" w:styleId="10">
    <w:name w:val="toc 8"/>
    <w:basedOn w:val="1"/>
    <w:next w:val="1"/>
    <w:unhideWhenUsed/>
    <w:uiPriority w:val="39"/>
    <w:pPr>
      <w:ind w:left="2940" w:leftChars="1400" w:firstLine="0" w:firstLineChars="0"/>
    </w:pPr>
    <w:rPr>
      <w:rFonts w:asciiTheme="minorHAnsi" w:hAnsiTheme="minorHAnsi" w:eastAsiaTheme="minorEastAsia"/>
      <w:sz w:val="21"/>
    </w:r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39"/>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napToGrid w:val="0"/>
      <w:spacing w:line="360" w:lineRule="auto"/>
      <w:ind w:firstLine="0" w:firstLineChars="0"/>
    </w:pPr>
    <w:rPr>
      <w:rFonts w:eastAsia="黑体"/>
    </w:rPr>
  </w:style>
  <w:style w:type="paragraph" w:styleId="16">
    <w:name w:val="toc 4"/>
    <w:basedOn w:val="1"/>
    <w:next w:val="1"/>
    <w:unhideWhenUsed/>
    <w:uiPriority w:val="39"/>
    <w:pPr>
      <w:ind w:left="1260" w:leftChars="600" w:firstLine="0" w:firstLineChars="0"/>
    </w:pPr>
    <w:rPr>
      <w:rFonts w:asciiTheme="minorHAnsi" w:hAnsiTheme="minorHAnsi" w:eastAsiaTheme="minorEastAsia"/>
      <w:sz w:val="21"/>
    </w:rPr>
  </w:style>
  <w:style w:type="paragraph" w:styleId="17">
    <w:name w:val="footnote text"/>
    <w:basedOn w:val="1"/>
    <w:link w:val="38"/>
    <w:unhideWhenUsed/>
    <w:qFormat/>
    <w:uiPriority w:val="99"/>
    <w:pPr>
      <w:snapToGrid w:val="0"/>
      <w:jc w:val="left"/>
    </w:pPr>
    <w:rPr>
      <w:sz w:val="18"/>
      <w:szCs w:val="18"/>
    </w:rPr>
  </w:style>
  <w:style w:type="paragraph" w:styleId="18">
    <w:name w:val="toc 6"/>
    <w:basedOn w:val="1"/>
    <w:next w:val="1"/>
    <w:unhideWhenUsed/>
    <w:uiPriority w:val="39"/>
    <w:pPr>
      <w:ind w:left="2100" w:leftChars="1000" w:firstLine="0" w:firstLineChars="0"/>
    </w:pPr>
    <w:rPr>
      <w:rFonts w:asciiTheme="minorHAnsi" w:hAnsiTheme="minorHAnsi" w:eastAsiaTheme="minorEastAsia"/>
      <w:sz w:val="21"/>
    </w:rPr>
  </w:style>
  <w:style w:type="paragraph" w:styleId="19">
    <w:name w:val="toc 2"/>
    <w:basedOn w:val="1"/>
    <w:next w:val="1"/>
    <w:unhideWhenUsed/>
    <w:qFormat/>
    <w:uiPriority w:val="39"/>
    <w:pPr>
      <w:ind w:left="200" w:leftChars="200" w:firstLine="0" w:firstLineChars="0"/>
    </w:pPr>
  </w:style>
  <w:style w:type="paragraph" w:styleId="20">
    <w:name w:val="toc 9"/>
    <w:basedOn w:val="1"/>
    <w:next w:val="1"/>
    <w:unhideWhenUsed/>
    <w:uiPriority w:val="39"/>
    <w:pPr>
      <w:ind w:left="3360" w:leftChars="1600" w:firstLine="0" w:firstLineChars="0"/>
    </w:pPr>
    <w:rPr>
      <w:rFonts w:asciiTheme="minorHAnsi" w:hAnsiTheme="minorHAnsi" w:eastAsiaTheme="minorEastAsia"/>
      <w:sz w:val="21"/>
    </w:rPr>
  </w:style>
  <w:style w:type="paragraph" w:styleId="21">
    <w:name w:val="annotation subject"/>
    <w:basedOn w:val="7"/>
    <w:next w:val="7"/>
    <w:link w:val="43"/>
    <w:semiHidden/>
    <w:unhideWhenUsed/>
    <w:uiPriority w:val="99"/>
    <w:rPr>
      <w:b/>
      <w:bCs/>
    </w:rPr>
  </w:style>
  <w:style w:type="table" w:styleId="23">
    <w:name w:val="Table Grid"/>
    <w:basedOn w:val="2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uiPriority w:val="99"/>
    <w:rPr>
      <w:color w:val="0000FF" w:themeColor="hyperlink"/>
      <w:u w:val="single"/>
      <w14:textFill>
        <w14:solidFill>
          <w14:schemeClr w14:val="hlink"/>
        </w14:solidFill>
      </w14:textFill>
    </w:rPr>
  </w:style>
  <w:style w:type="character" w:styleId="26">
    <w:name w:val="annotation reference"/>
    <w:basedOn w:val="24"/>
    <w:semiHidden/>
    <w:unhideWhenUsed/>
    <w:uiPriority w:val="99"/>
    <w:rPr>
      <w:sz w:val="21"/>
      <w:szCs w:val="21"/>
    </w:rPr>
  </w:style>
  <w:style w:type="character" w:styleId="27">
    <w:name w:val="footnote reference"/>
    <w:basedOn w:val="24"/>
    <w:semiHidden/>
    <w:unhideWhenUsed/>
    <w:qFormat/>
    <w:uiPriority w:val="99"/>
    <w:rPr>
      <w:vertAlign w:val="superscript"/>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uiPriority w:val="99"/>
    <w:rPr>
      <w:sz w:val="18"/>
      <w:szCs w:val="18"/>
    </w:rPr>
  </w:style>
  <w:style w:type="character" w:customStyle="1" w:styleId="30">
    <w:name w:val="日期 字符"/>
    <w:basedOn w:val="24"/>
    <w:link w:val="11"/>
    <w:semiHidden/>
    <w:qFormat/>
    <w:uiPriority w:val="99"/>
    <w:rPr>
      <w:rFonts w:eastAsia="仿宋_GB2312"/>
      <w:sz w:val="32"/>
    </w:rPr>
  </w:style>
  <w:style w:type="paragraph" w:styleId="31">
    <w:name w:val="List Paragraph"/>
    <w:basedOn w:val="1"/>
    <w:qFormat/>
    <w:uiPriority w:val="34"/>
    <w:pPr>
      <w:ind w:firstLine="420"/>
    </w:pPr>
  </w:style>
  <w:style w:type="character" w:customStyle="1" w:styleId="32">
    <w:name w:val="标题 1 字符"/>
    <w:basedOn w:val="24"/>
    <w:link w:val="2"/>
    <w:qFormat/>
    <w:uiPriority w:val="9"/>
    <w:rPr>
      <w:rFonts w:ascii="黑体" w:hAnsi="黑体" w:eastAsia="黑体"/>
      <w:sz w:val="32"/>
    </w:rPr>
  </w:style>
  <w:style w:type="character" w:customStyle="1" w:styleId="33">
    <w:name w:val="标题 2 字符"/>
    <w:basedOn w:val="24"/>
    <w:link w:val="3"/>
    <w:uiPriority w:val="9"/>
    <w:rPr>
      <w:rFonts w:ascii="楷体_GB2312" w:hAnsi="Times New Roman" w:eastAsia="楷体_GB2312"/>
      <w:b/>
      <w:kern w:val="2"/>
      <w:sz w:val="30"/>
      <w:szCs w:val="22"/>
    </w:rPr>
  </w:style>
  <w:style w:type="character" w:customStyle="1" w:styleId="34">
    <w:name w:val="标题 3 字符"/>
    <w:basedOn w:val="24"/>
    <w:link w:val="4"/>
    <w:qFormat/>
    <w:uiPriority w:val="9"/>
    <w:rPr>
      <w:rFonts w:ascii="Times New Roman" w:hAnsi="Times New Roman" w:eastAsia="仿宋_GB2312" w:cs="Times New Roman"/>
      <w:b/>
      <w:bCs/>
      <w:kern w:val="2"/>
      <w:sz w:val="28"/>
      <w:szCs w:val="22"/>
    </w:rPr>
  </w:style>
  <w:style w:type="character" w:customStyle="1" w:styleId="35">
    <w:name w:val="标题 4 字符"/>
    <w:basedOn w:val="24"/>
    <w:link w:val="5"/>
    <w:qFormat/>
    <w:uiPriority w:val="9"/>
    <w:rPr>
      <w:rFonts w:asciiTheme="majorHAnsi" w:hAnsiTheme="majorHAnsi" w:eastAsiaTheme="majorEastAsia" w:cstheme="majorBidi"/>
      <w:b/>
      <w:bCs/>
      <w:sz w:val="28"/>
      <w:szCs w:val="28"/>
    </w:rPr>
  </w:style>
  <w:style w:type="paragraph" w:styleId="36">
    <w:name w:val="No Spacing"/>
    <w:qFormat/>
    <w:uiPriority w:val="1"/>
    <w:pPr>
      <w:widowControl w:val="0"/>
      <w:jc w:val="both"/>
    </w:pPr>
    <w:rPr>
      <w:rFonts w:eastAsia="仿宋_GB2312" w:asciiTheme="minorHAnsi" w:hAnsiTheme="minorHAnsi" w:cstheme="minorBidi"/>
      <w:kern w:val="2"/>
      <w:sz w:val="28"/>
      <w:szCs w:val="22"/>
      <w:lang w:val="en-US" w:eastAsia="zh-CN" w:bidi="ar-SA"/>
    </w:rPr>
  </w:style>
  <w:style w:type="character" w:customStyle="1" w:styleId="37">
    <w:name w:val="NormalCharacter"/>
    <w:semiHidden/>
    <w:qFormat/>
    <w:uiPriority w:val="0"/>
  </w:style>
  <w:style w:type="character" w:customStyle="1" w:styleId="38">
    <w:name w:val="脚注文本 字符"/>
    <w:basedOn w:val="24"/>
    <w:link w:val="17"/>
    <w:qFormat/>
    <w:uiPriority w:val="99"/>
    <w:rPr>
      <w:rFonts w:eastAsia="仿宋_GB2312"/>
      <w:sz w:val="18"/>
      <w:szCs w:val="18"/>
    </w:rPr>
  </w:style>
  <w:style w:type="character" w:customStyle="1" w:styleId="39">
    <w:name w:val="批注框文本 字符"/>
    <w:basedOn w:val="24"/>
    <w:link w:val="12"/>
    <w:semiHidden/>
    <w:uiPriority w:val="99"/>
    <w:rPr>
      <w:rFonts w:eastAsia="仿宋_GB2312"/>
      <w:sz w:val="18"/>
      <w:szCs w:val="18"/>
    </w:rPr>
  </w:style>
  <w:style w:type="table" w:customStyle="1" w:styleId="40">
    <w:name w:val="网格型1"/>
    <w:basedOn w:val="22"/>
    <w:qFormat/>
    <w:uiPriority w:val="0"/>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Revision"/>
    <w:hidden/>
    <w:semiHidden/>
    <w:uiPriority w:val="99"/>
    <w:rPr>
      <w:rFonts w:ascii="Times New Roman" w:hAnsi="Times New Roman" w:eastAsia="仿宋_GB2312" w:cstheme="minorBidi"/>
      <w:kern w:val="2"/>
      <w:sz w:val="28"/>
      <w:szCs w:val="22"/>
      <w:lang w:val="en-US" w:eastAsia="zh-CN" w:bidi="ar-SA"/>
    </w:rPr>
  </w:style>
  <w:style w:type="character" w:customStyle="1" w:styleId="42">
    <w:name w:val="批注文字 字符"/>
    <w:basedOn w:val="24"/>
    <w:link w:val="7"/>
    <w:semiHidden/>
    <w:uiPriority w:val="99"/>
    <w:rPr>
      <w:rFonts w:ascii="Times New Roman" w:hAnsi="Times New Roman" w:eastAsia="仿宋_GB2312"/>
      <w:kern w:val="2"/>
      <w:sz w:val="28"/>
      <w:szCs w:val="22"/>
    </w:rPr>
  </w:style>
  <w:style w:type="character" w:customStyle="1" w:styleId="43">
    <w:name w:val="批注主题 字符"/>
    <w:basedOn w:val="42"/>
    <w:link w:val="21"/>
    <w:semiHidden/>
    <w:uiPriority w:val="99"/>
    <w:rPr>
      <w:rFonts w:ascii="Times New Roman" w:hAnsi="Times New Roman" w:eastAsia="仿宋_GB2312"/>
      <w:b/>
      <w:bCs/>
      <w:kern w:val="2"/>
      <w:sz w:val="28"/>
      <w:szCs w:val="22"/>
    </w:rPr>
  </w:style>
  <w:style w:type="paragraph" w:customStyle="1" w:styleId="44">
    <w:name w:val="TOC Heading"/>
    <w:basedOn w:val="2"/>
    <w:next w:val="1"/>
    <w:unhideWhenUsed/>
    <w:qFormat/>
    <w:uiPriority w:val="39"/>
    <w:pPr>
      <w:keepNext/>
      <w:keepLines/>
      <w:widowControl/>
      <w:spacing w:before="240" w:beforeLines="0" w:after="0" w:afterLines="0" w:line="259" w:lineRule="auto"/>
      <w:ind w:firstLine="0" w:firstLineChars="0"/>
      <w:jc w:val="left"/>
      <w:outlineLvl w:val="9"/>
    </w:pPr>
    <w:rPr>
      <w:rFonts w:asciiTheme="majorHAnsi" w:hAnsiTheme="majorHAnsi" w:eastAsiaTheme="majorEastAsia" w:cstheme="majorBidi"/>
      <w:color w:val="376092" w:themeColor="accent1" w:themeShade="BF"/>
      <w:kern w:val="0"/>
      <w:szCs w:val="32"/>
    </w:rPr>
  </w:style>
  <w:style w:type="character" w:customStyle="1" w:styleId="45">
    <w:name w:val="Unresolved Mention"/>
    <w:basedOn w:val="2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footer" Target="footer27.xml"/><Relationship Id="rId58" Type="http://schemas.openxmlformats.org/officeDocument/2006/relationships/header" Target="header28.xml"/><Relationship Id="rId57" Type="http://schemas.openxmlformats.org/officeDocument/2006/relationships/header" Target="head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143</Pages>
  <Words>11893</Words>
  <Characters>67796</Characters>
  <Lines>564</Lines>
  <Paragraphs>159</Paragraphs>
  <TotalTime>0</TotalTime>
  <ScaleCrop>false</ScaleCrop>
  <LinksUpToDate>false</LinksUpToDate>
  <CharactersWithSpaces>79530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2022-09-05T09:22:00Z</dcterms:created>
  <dc:creator>PC</dc:creator>
  <cp:lastModifiedBy>caiyijing</cp:lastModifiedBy>
  <cp:lastPrinted>2022-09-05T13:12:00Z</cp:lastPrinted>
  <dcterms:modified xsi:type="dcterms:W3CDTF">2024-05-20T18:28:30Z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