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湛江市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建设工程质量检测机构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监管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检查情况表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spacing w:val="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sz w:val="21"/>
          <w:szCs w:val="21"/>
          <w:vertAlign w:val="baseline"/>
        </w:rPr>
        <w:t>受检单位: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sz w:val="21"/>
          <w:szCs w:val="21"/>
          <w:vertAlign w:val="baseline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sz w:val="21"/>
          <w:szCs w:val="21"/>
          <w:vertAlign w:val="baseline"/>
        </w:rPr>
        <w:t>检查日期: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sz w:val="21"/>
          <w:szCs w:val="21"/>
          <w:vertAlign w:val="baseline"/>
          <w:lang w:val="en-US" w:eastAsia="zh-CN"/>
        </w:rPr>
        <w:t xml:space="preserve"> 2024年   月   日</w:t>
      </w:r>
    </w:p>
    <w:tbl>
      <w:tblPr>
        <w:tblStyle w:val="5"/>
        <w:tblW w:w="8878" w:type="dxa"/>
        <w:tblInd w:w="-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4"/>
        <w:gridCol w:w="373"/>
        <w:gridCol w:w="562"/>
        <w:gridCol w:w="1275"/>
        <w:gridCol w:w="2550"/>
        <w:gridCol w:w="3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4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类别</w:t>
            </w:r>
          </w:p>
        </w:tc>
        <w:tc>
          <w:tcPr>
            <w:tcW w:w="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序号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项目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检查内容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检查要点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检查情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44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组织和管理</w:t>
            </w:r>
          </w:p>
        </w:tc>
        <w:tc>
          <w:tcPr>
            <w:tcW w:w="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en-US"/>
              </w:rPr>
              <w:t>1.1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资质管理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资质证书、计量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证书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是否在有效期内，是否涂改、倒卖、出租，出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、转让资质证书，是否转包检测业务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9" w:hRule="atLeast"/>
        </w:trPr>
        <w:tc>
          <w:tcPr>
            <w:tcW w:w="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en-US"/>
              </w:rPr>
              <w:t>1.2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质量体系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质量管理体系是否按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定定期进行内审和管理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评审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查看试验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资质认定要求的管理体系内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和管理评审材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的有效性，是否建立档案管理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度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en-US"/>
              </w:rPr>
              <w:t>1.3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检测能力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出具报告范围是否与相关资质证书检测能力相符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核查机构资质证书，核对报告，是否存在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超资质承揽检测业务、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超资质开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检测活动。标准规范是否现行有效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44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环境和仪器设备管理</w:t>
            </w:r>
          </w:p>
        </w:tc>
        <w:tc>
          <w:tcPr>
            <w:tcW w:w="3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2.1</w:t>
            </w:r>
          </w:p>
        </w:tc>
        <w:tc>
          <w:tcPr>
            <w:tcW w:w="5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设施和环境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有环境条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要求的场所其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设备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配备是否满足标准要求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查看现场及记录。主要看有养护要求的区域的设施和环境的控制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及其相关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记录。对相互会影响的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设备和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区域是否进行了隔离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4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7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2.2</w:t>
            </w:r>
          </w:p>
        </w:tc>
        <w:tc>
          <w:tcPr>
            <w:tcW w:w="56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仪器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备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1.仪器设备是否按时检定/校准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现场查看检测仪器设备检定/校准证书，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检定或校准结果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是否经过确认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0" w:hRule="atLeast"/>
        </w:trPr>
        <w:tc>
          <w:tcPr>
            <w:tcW w:w="44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73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562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2.检测仪器设备是否按相应资质及检测标准规范要求配备齐全，并能正常运行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1、现场查看，查阅检测仪器台帐及运行记录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2、抽取重要设备的发票进行核查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3.检测仪器设备是否按要求在检测监管平台进行登记，并及时更新信息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7" w:hRule="atLeast"/>
        </w:trPr>
        <w:tc>
          <w:tcPr>
            <w:tcW w:w="44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理</w:t>
            </w:r>
          </w:p>
        </w:tc>
        <w:tc>
          <w:tcPr>
            <w:tcW w:w="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3.1</w:t>
            </w:r>
          </w:p>
        </w:tc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件)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帐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1.样品管理是否建立唯一标识，样品编号是否按年分类流水编号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现场查看送检样品摆放及标识情况。查阅收样登记、检测原始记录、报告台帐，是否存在插号、重号、缺号等情况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444" w:type="dxa"/>
            <w:vMerge w:val="continue"/>
            <w:tcBorders>
              <w:left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2.按规定进行留样情况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检查样品留置是否符合要求，查留样样品标识、留样时间、留样记录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4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3.2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测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见证检测制度落实情况</w:t>
            </w:r>
          </w:p>
        </w:tc>
        <w:tc>
          <w:tcPr>
            <w:tcW w:w="2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是否有建设单位出具的见证人员授权书，委托单记录见证人员签证是否真实完整</w:t>
            </w:r>
          </w:p>
        </w:tc>
        <w:tc>
          <w:tcPr>
            <w:tcW w:w="3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leftChars="0" w:right="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spacing w:val="0"/>
          <w:sz w:val="18"/>
          <w:szCs w:val="18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892" w:type="dxa"/>
        <w:tblInd w:w="-1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3"/>
        <w:gridCol w:w="347"/>
        <w:gridCol w:w="571"/>
        <w:gridCol w:w="1526"/>
        <w:gridCol w:w="2426"/>
        <w:gridCol w:w="36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类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别</w:t>
            </w: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序号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项目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检查内容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检查要点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理</w:t>
            </w: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3.3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(试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验)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录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I.所有原始记录是否按年流水编号，并与对应的报告一致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查委托单、检测原始记录、报告，是否存在插号、重号、缺号等情况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2.自动采集检测项目的原始记录应与实时采集电脑记录相吻合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查原始记录、报告、实时采集电脑记录，检测监管信息是否存在信息不符现象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3.原始记录的签名是否符合要求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抽查原始记录签名及人员上岗资格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3.4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论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1.检测报告更改是否符合要求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抽查数据更改、信息更改审批手续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2.检测结论是否客观准确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检测结论是否准确、清晰、明确、客观、全面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6" w:hRule="atLeast"/>
        </w:trPr>
        <w:tc>
          <w:tcPr>
            <w:tcW w:w="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3.5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告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性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是否有出具虚假报告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1.抽查样品委托单、原始记录、报告、数据采集及检测监管网等情况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2.核查报告数据内容与仪器设备、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0"/>
                <w:sz w:val="18"/>
                <w:szCs w:val="18"/>
                <w:vertAlign w:val="baseline"/>
                <w:lang w:val="en-US" w:eastAsia="zh-CN"/>
              </w:rPr>
              <w:t>视频影像资料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是否匹配。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6" w:hRule="atLeast"/>
        </w:trPr>
        <w:tc>
          <w:tcPr>
            <w:tcW w:w="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3.6</w:t>
            </w:r>
          </w:p>
        </w:tc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识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0"/>
                <w:sz w:val="18"/>
                <w:szCs w:val="18"/>
                <w:vertAlign w:val="baseline"/>
                <w:lang w:val="en-US" w:eastAsia="zh-CN"/>
              </w:rPr>
              <w:t>委托方是否为建设单位（2023.3.1起），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是否按年流水编号的唯一性标识，不允许有分编号和重复标号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查阅委托单、收样登记、原始记录，核对报告是否有分编号和重复编号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</w:trPr>
        <w:tc>
          <w:tcPr>
            <w:tcW w:w="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5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检测报告是否有数字水印、二维码等有效监管标识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检测机构是否在检测监管网上打印关键页获取检测标识号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8" w:hRule="atLeast"/>
        </w:trPr>
        <w:tc>
          <w:tcPr>
            <w:tcW w:w="41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3.7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序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报告内容是否经相关有资格的人员签字、并加盖检测机构公章或检测报告专用章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1.查报告审批授权文件及报告审批程序，核对人员分工、签字人授权文件和单位任命文件，核查报告审批程序是否完整有效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2.核查报告签批人员签字真伪及到岗情况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.8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报告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档案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情况</w:t>
            </w:r>
          </w:p>
        </w:tc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报告是否及时归档妥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保存，是否与委托单、原始记录相对应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报告档案，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对报告、委托单、原始记录相应内容信息</w:t>
            </w:r>
          </w:p>
        </w:tc>
        <w:tc>
          <w:tcPr>
            <w:tcW w:w="3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leftChars="0" w:right="0" w:rightChars="0"/>
        <w:jc w:val="center"/>
        <w:rPr>
          <w:rFonts w:hint="eastAsia" w:ascii="宋体" w:hAnsi="宋体" w:eastAsia="宋体" w:cs="宋体"/>
          <w:i w:val="0"/>
          <w:iCs w:val="0"/>
          <w:color w:val="000000"/>
          <w:spacing w:val="0"/>
          <w:sz w:val="18"/>
          <w:szCs w:val="18"/>
          <w:vertAlign w:val="baseli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8901" w:type="dxa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"/>
        <w:gridCol w:w="470"/>
        <w:gridCol w:w="510"/>
        <w:gridCol w:w="1663"/>
        <w:gridCol w:w="2178"/>
        <w:gridCol w:w="36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3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别</w:t>
            </w:r>
          </w:p>
        </w:tc>
        <w:tc>
          <w:tcPr>
            <w:tcW w:w="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序号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项目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检查内容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检查要点</w:t>
            </w:r>
          </w:p>
        </w:tc>
        <w:tc>
          <w:tcPr>
            <w:tcW w:w="3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1" w:hRule="atLeast"/>
        </w:trPr>
        <w:tc>
          <w:tcPr>
            <w:tcW w:w="39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检测管理</w:t>
            </w:r>
          </w:p>
        </w:tc>
        <w:tc>
          <w:tcPr>
            <w:tcW w:w="47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.9</w:t>
            </w:r>
          </w:p>
        </w:tc>
        <w:tc>
          <w:tcPr>
            <w:tcW w:w="5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不合格报告处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置情况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1.不合格报告应建立台帐。不合格的检测报告是否在24小时内通知委托单位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查阅不合格报告登记台帐和不合格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通知单</w:t>
            </w:r>
          </w:p>
        </w:tc>
        <w:tc>
          <w:tcPr>
            <w:tcW w:w="3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5" w:hRule="atLeast"/>
        </w:trPr>
        <w:tc>
          <w:tcPr>
            <w:tcW w:w="39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7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是否将检测过程中发现的建设单位、监理单位、施工单位违反有关法律、法规和工程建设强关性标准的情况，以及涉及结构安全检测结果的不合格情况，及时报告工程所在地住房城乡建设主管部门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查阅不合格报告登记台帐和不合格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报告报送住建主管部门的记录和签收回执</w:t>
            </w:r>
          </w:p>
        </w:tc>
        <w:tc>
          <w:tcPr>
            <w:tcW w:w="3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48" w:hRule="atLeast"/>
        </w:trPr>
        <w:tc>
          <w:tcPr>
            <w:tcW w:w="39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.10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能力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验证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是否按要求参加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国家、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省、市级建设行政主管部门组织的能力验证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参加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国家、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省、市组织的实验室能力验证或比对试验结果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为满意或基本满意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查看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参加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国家、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省、市组织的实验室能力验证或比对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试验的文件资料、检测报告</w:t>
            </w:r>
          </w:p>
        </w:tc>
        <w:tc>
          <w:tcPr>
            <w:tcW w:w="3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39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3.11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现场检测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现场实体检测是否按规定组织实施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  <w:t>查看地基基础现场检测情况；查看主体结构现场检测痕迹与检测报告是否相符</w:t>
            </w:r>
          </w:p>
        </w:tc>
        <w:tc>
          <w:tcPr>
            <w:tcW w:w="3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0" w:hRule="atLeast"/>
        </w:trPr>
        <w:tc>
          <w:tcPr>
            <w:tcW w:w="396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3.12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其他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是否按照国家有关工程建设强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性标准进行检测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kern w:val="0"/>
                <w:sz w:val="18"/>
                <w:szCs w:val="1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查阅机构当前执行的检测标准</w:t>
            </w:r>
          </w:p>
        </w:tc>
        <w:tc>
          <w:tcPr>
            <w:tcW w:w="3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7" w:hRule="atLeast"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检测联网</w:t>
            </w:r>
          </w:p>
        </w:tc>
        <w:tc>
          <w:tcPr>
            <w:tcW w:w="470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.1</w:t>
            </w:r>
          </w:p>
        </w:tc>
        <w:tc>
          <w:tcPr>
            <w:tcW w:w="5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检测数据实时上传</w:t>
            </w: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1.自动采集的检则项目是否按规定实时上传，上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的检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测数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据是否完整、准确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通过联网平台，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现场检测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试块、水泥、钢筋及焊接件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测数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据上传是否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整、准确情况</w:t>
            </w:r>
          </w:p>
        </w:tc>
        <w:tc>
          <w:tcPr>
            <w:tcW w:w="3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70" w:type="dxa"/>
            <w:vMerge w:val="continue"/>
            <w:tcBorders>
              <w:left w:val="single" w:color="auto" w:sz="4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5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2检测结论为不合格的检测报告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否实时上传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通过联网平台，查检测结论为不合格的检测报告数据是否实时上传</w:t>
            </w:r>
          </w:p>
        </w:tc>
        <w:tc>
          <w:tcPr>
            <w:tcW w:w="3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470" w:type="dxa"/>
            <w:vMerge w:val="continue"/>
            <w:tcBorders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5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  <w:tc>
          <w:tcPr>
            <w:tcW w:w="1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是否在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检测收样、试验场所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、力学试验设备后方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安装视频监控系统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并与省、市平台实时对接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现场查看是否按要求安装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  <w:t>视频监控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和对接情况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FF"/>
                <w:spacing w:val="0"/>
                <w:sz w:val="18"/>
                <w:szCs w:val="18"/>
                <w:vertAlign w:val="baseline"/>
                <w:lang w:val="en-US" w:eastAsia="zh-CN"/>
              </w:rPr>
              <w:t>视频资料留存时间是否能达到12个月</w:t>
            </w:r>
            <w:bookmarkStart w:id="0" w:name="_GoBack"/>
            <w:bookmarkEnd w:id="0"/>
          </w:p>
        </w:tc>
        <w:tc>
          <w:tcPr>
            <w:tcW w:w="3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leftChars="0" w:right="0" w:rightChars="0"/>
        <w:jc w:val="both"/>
        <w:rPr>
          <w:rFonts w:hint="eastAsia" w:ascii="宋体" w:hAnsi="宋体" w:eastAsia="宋体" w:cs="宋体"/>
          <w:i w:val="0"/>
          <w:iCs w:val="0"/>
          <w:color w:val="000000"/>
          <w:spacing w:val="0"/>
          <w:sz w:val="18"/>
          <w:szCs w:val="18"/>
          <w:vertAlign w:val="baseli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pPr w:leftFromText="180" w:rightFromText="180" w:vertAnchor="text" w:horzAnchor="page" w:tblpX="1685" w:tblpY="69"/>
        <w:tblOverlap w:val="never"/>
        <w:tblW w:w="88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5"/>
        <w:gridCol w:w="419"/>
        <w:gridCol w:w="500"/>
        <w:gridCol w:w="1586"/>
        <w:gridCol w:w="2273"/>
        <w:gridCol w:w="3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类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别</w:t>
            </w:r>
          </w:p>
        </w:tc>
        <w:tc>
          <w:tcPr>
            <w:tcW w:w="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序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项目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检查要点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检查情况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3" w:hRule="atLeast"/>
        </w:trPr>
        <w:tc>
          <w:tcPr>
            <w:tcW w:w="4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理</w:t>
            </w:r>
          </w:p>
        </w:tc>
        <w:tc>
          <w:tcPr>
            <w:tcW w:w="4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5.1</w:t>
            </w:r>
          </w:p>
        </w:tc>
        <w:tc>
          <w:tcPr>
            <w:tcW w:w="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格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1.检测技术人员是否按要求在检测监管网中登记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抽查检测技术人员并查阅检测监管网人员登记情况，是否及时上传所有从事检测工作的人员、对辞职人员是否及时删除或注明离职状态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3" w:hRule="atLeast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2.检测人员数量及资格是否符合资质条件要求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重点查有注册人员要求的注册岩土工程师、注册结构工程师所要求的人数是否均注册在本单位（查相关证书及网上资料)、职称人员情况；是否能提供单位缴纳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0"/>
                <w:sz w:val="18"/>
                <w:szCs w:val="18"/>
                <w:vertAlign w:val="baseline"/>
                <w:lang w:val="en-US" w:eastAsia="zh-CN"/>
              </w:rPr>
              <w:t>3个月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以上人员社保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8" w:hRule="atLeast"/>
        </w:trPr>
        <w:tc>
          <w:tcPr>
            <w:tcW w:w="4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3.人员上岗证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人员上岗证是否符合要求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4" w:hRule="atLeast"/>
        </w:trPr>
        <w:tc>
          <w:tcPr>
            <w:tcW w:w="4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4.检测人员配置是否符合要求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查人员配置表和检测方法明细表，检测人员不得同时从事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spacing w:val="0"/>
                <w:sz w:val="18"/>
                <w:szCs w:val="18"/>
                <w:vertAlign w:val="baseline"/>
                <w:lang w:val="en-US" w:eastAsia="zh-CN"/>
              </w:rPr>
              <w:t>3个及以上专项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  <w:t>的检测工作</w:t>
            </w:r>
          </w:p>
        </w:tc>
        <w:tc>
          <w:tcPr>
            <w:tcW w:w="3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</w:trPr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被检查</w:t>
            </w:r>
            <w:r>
              <w:rPr>
                <w:rFonts w:hint="eastAsia"/>
                <w:b/>
                <w:sz w:val="24"/>
                <w:szCs w:val="24"/>
              </w:rPr>
              <w:t>单位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负责人（签名）：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</w:trPr>
        <w:tc>
          <w:tcPr>
            <w:tcW w:w="88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leftChars="0" w:right="0" w:rightChars="0"/>
              <w:jc w:val="left"/>
              <w:rPr>
                <w:rFonts w:hint="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检查人员（专家）签名：</w:t>
            </w:r>
          </w:p>
        </w:tc>
      </w:tr>
    </w:tbl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15" w:lineRule="atLeast"/>
        <w:ind w:left="537" w:leftChars="170" w:right="0" w:rightChars="0" w:hanging="180" w:hangingChars="100"/>
        <w:jc w:val="left"/>
        <w:rPr>
          <w:rFonts w:hint="default" w:ascii="宋体" w:hAnsi="宋体" w:eastAsia="宋体" w:cs="宋体"/>
          <w:i w:val="0"/>
          <w:iCs w:val="0"/>
          <w:color w:val="000000"/>
          <w:spacing w:val="0"/>
          <w:sz w:val="18"/>
          <w:szCs w:val="18"/>
          <w:vertAlign w:val="baseline"/>
          <w:lang w:val="e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F5014"/>
    <w:rsid w:val="015F60C3"/>
    <w:rsid w:val="0DF3CB2D"/>
    <w:rsid w:val="0EFE1ED1"/>
    <w:rsid w:val="118C2F9A"/>
    <w:rsid w:val="12A96800"/>
    <w:rsid w:val="12C0114D"/>
    <w:rsid w:val="14A721EE"/>
    <w:rsid w:val="17E12998"/>
    <w:rsid w:val="17F582FE"/>
    <w:rsid w:val="1A745E42"/>
    <w:rsid w:val="1F96FC8C"/>
    <w:rsid w:val="1FDFE884"/>
    <w:rsid w:val="1FFA45FB"/>
    <w:rsid w:val="244A4D1A"/>
    <w:rsid w:val="2A3F5014"/>
    <w:rsid w:val="2EBF81D3"/>
    <w:rsid w:val="2F5F9F8E"/>
    <w:rsid w:val="31C32326"/>
    <w:rsid w:val="35EC4E1C"/>
    <w:rsid w:val="36BEE681"/>
    <w:rsid w:val="38895D5B"/>
    <w:rsid w:val="39FF0202"/>
    <w:rsid w:val="39FFCC3F"/>
    <w:rsid w:val="3BB6742E"/>
    <w:rsid w:val="3BDF7EA6"/>
    <w:rsid w:val="3BFF250C"/>
    <w:rsid w:val="3DC9284E"/>
    <w:rsid w:val="3F3D430D"/>
    <w:rsid w:val="3FC4CE98"/>
    <w:rsid w:val="3FFBAD60"/>
    <w:rsid w:val="46B4FEDA"/>
    <w:rsid w:val="477EB5A2"/>
    <w:rsid w:val="4C9FB8BE"/>
    <w:rsid w:val="4D07114B"/>
    <w:rsid w:val="4EAFEC1E"/>
    <w:rsid w:val="4F2FC590"/>
    <w:rsid w:val="4FAE468A"/>
    <w:rsid w:val="4FDB67B3"/>
    <w:rsid w:val="4FDFDFEE"/>
    <w:rsid w:val="5489D6D6"/>
    <w:rsid w:val="5539E8DC"/>
    <w:rsid w:val="574EE527"/>
    <w:rsid w:val="5B1DA8D0"/>
    <w:rsid w:val="5CDD6256"/>
    <w:rsid w:val="5CE7C708"/>
    <w:rsid w:val="5DDE9505"/>
    <w:rsid w:val="5DFE84ED"/>
    <w:rsid w:val="5F6D25B6"/>
    <w:rsid w:val="5FB3B4C7"/>
    <w:rsid w:val="5FE30E83"/>
    <w:rsid w:val="5FE914DB"/>
    <w:rsid w:val="64BD55FD"/>
    <w:rsid w:val="67FF623D"/>
    <w:rsid w:val="6ADFCC40"/>
    <w:rsid w:val="6DDDF7AB"/>
    <w:rsid w:val="6ECF7228"/>
    <w:rsid w:val="6EE4C703"/>
    <w:rsid w:val="6FE7633B"/>
    <w:rsid w:val="71AD8F41"/>
    <w:rsid w:val="71DF8FFD"/>
    <w:rsid w:val="72B92E8F"/>
    <w:rsid w:val="76FA48CB"/>
    <w:rsid w:val="773F49FD"/>
    <w:rsid w:val="77DF10A1"/>
    <w:rsid w:val="77ED1F88"/>
    <w:rsid w:val="7AAF79EF"/>
    <w:rsid w:val="7AE777BC"/>
    <w:rsid w:val="7AEC944A"/>
    <w:rsid w:val="7BBFEC8C"/>
    <w:rsid w:val="7BCF45E4"/>
    <w:rsid w:val="7BCF5AB6"/>
    <w:rsid w:val="7BE77A5C"/>
    <w:rsid w:val="7CE3B8B6"/>
    <w:rsid w:val="7D7D601A"/>
    <w:rsid w:val="7D9FC134"/>
    <w:rsid w:val="7DB3A4F0"/>
    <w:rsid w:val="7DE20FE9"/>
    <w:rsid w:val="7EDF9546"/>
    <w:rsid w:val="7F3A6A99"/>
    <w:rsid w:val="7F73B4EC"/>
    <w:rsid w:val="7F772169"/>
    <w:rsid w:val="7F7F15A1"/>
    <w:rsid w:val="7FAF929C"/>
    <w:rsid w:val="7FB40C24"/>
    <w:rsid w:val="7FCF1F29"/>
    <w:rsid w:val="7FF71B54"/>
    <w:rsid w:val="7FFF21EB"/>
    <w:rsid w:val="86FF5D7C"/>
    <w:rsid w:val="9376235C"/>
    <w:rsid w:val="9F761AEF"/>
    <w:rsid w:val="9F7E10D3"/>
    <w:rsid w:val="9FAEEC52"/>
    <w:rsid w:val="9FFB4131"/>
    <w:rsid w:val="AAFFE988"/>
    <w:rsid w:val="AD6FD838"/>
    <w:rsid w:val="AEF62823"/>
    <w:rsid w:val="B75D2B8A"/>
    <w:rsid w:val="B7951940"/>
    <w:rsid w:val="B7EE4F25"/>
    <w:rsid w:val="BABFA284"/>
    <w:rsid w:val="BEFFBCAD"/>
    <w:rsid w:val="BF3FE2C2"/>
    <w:rsid w:val="BF8B21F9"/>
    <w:rsid w:val="BF995325"/>
    <w:rsid w:val="BFB390EA"/>
    <w:rsid w:val="BFF9288C"/>
    <w:rsid w:val="CEDBAFB9"/>
    <w:rsid w:val="CF6DE843"/>
    <w:rsid w:val="D9FFCE22"/>
    <w:rsid w:val="DCFA505B"/>
    <w:rsid w:val="DDF9B26F"/>
    <w:rsid w:val="DDFFA7E4"/>
    <w:rsid w:val="DF5CC63C"/>
    <w:rsid w:val="DFAF0C5A"/>
    <w:rsid w:val="DFE7256C"/>
    <w:rsid w:val="DFFB8668"/>
    <w:rsid w:val="E2FBECFF"/>
    <w:rsid w:val="E3F7FBEA"/>
    <w:rsid w:val="E6FFF4AF"/>
    <w:rsid w:val="E83FF487"/>
    <w:rsid w:val="EBF70B4D"/>
    <w:rsid w:val="ECDE7283"/>
    <w:rsid w:val="EE5F0F89"/>
    <w:rsid w:val="EFFD3DFE"/>
    <w:rsid w:val="F37BAB38"/>
    <w:rsid w:val="F47FEFCD"/>
    <w:rsid w:val="F6CF4199"/>
    <w:rsid w:val="F7568545"/>
    <w:rsid w:val="F76B7FB0"/>
    <w:rsid w:val="F7D36DA5"/>
    <w:rsid w:val="F7EB887E"/>
    <w:rsid w:val="F7F7F0FF"/>
    <w:rsid w:val="F9FF0AFC"/>
    <w:rsid w:val="FB7E7CC5"/>
    <w:rsid w:val="FBB9E88D"/>
    <w:rsid w:val="FBF5F951"/>
    <w:rsid w:val="FBFF5359"/>
    <w:rsid w:val="FC7F7240"/>
    <w:rsid w:val="FD9B521F"/>
    <w:rsid w:val="FDCB0EDA"/>
    <w:rsid w:val="FDDD1221"/>
    <w:rsid w:val="FDFB0A23"/>
    <w:rsid w:val="FDFBEFE5"/>
    <w:rsid w:val="FE0A75F7"/>
    <w:rsid w:val="FE5FA774"/>
    <w:rsid w:val="FE7FC3A5"/>
    <w:rsid w:val="FEFAC115"/>
    <w:rsid w:val="FEFF00AF"/>
    <w:rsid w:val="FF7D3349"/>
    <w:rsid w:val="FF9A3957"/>
    <w:rsid w:val="FFDF1B82"/>
    <w:rsid w:val="FFDF521B"/>
    <w:rsid w:val="FFE7223F"/>
    <w:rsid w:val="FFE7E568"/>
    <w:rsid w:val="FFEA1300"/>
    <w:rsid w:val="FFEEAE75"/>
    <w:rsid w:val="FFEFAFE9"/>
    <w:rsid w:val="FFF5E3CE"/>
    <w:rsid w:val="FFF71EAB"/>
    <w:rsid w:val="FFF7CE1C"/>
    <w:rsid w:val="FFFB14CF"/>
    <w:rsid w:val="FFFCE7FD"/>
    <w:rsid w:val="FFFF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  <w:spacing w:line="217" w:lineRule="exact"/>
    </w:pPr>
    <w:rPr>
      <w:rFonts w:ascii="宋体" w:hAnsi="宋体" w:eastAsia="宋体" w:cs="宋体"/>
      <w:sz w:val="13"/>
      <w:szCs w:val="13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2022-03-07T01:25:00Z</dcterms:created>
  <dc:creator>阿诺</dc:creator>
  <cp:lastModifiedBy>刘朝雄</cp:lastModifiedBy>
  <cp:lastPrinted>2022-04-05T16:02:00Z</cp:lastPrinted>
  <dcterms:modified xsi:type="dcterms:W3CDTF">2024-02-27T17:31:33Z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1F4E16BA589441A191044EF304CCB4BA</vt:lpwstr>
  </property>
</Properties>
</file>