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hint="eastAsia" w:ascii="黑体" w:hAnsi="宋体" w:eastAsia="黑体" w:cs="宋体"/>
          <w:kern w:val="0"/>
          <w:sz w:val="32"/>
          <w:szCs w:val="32"/>
          <w:lang w:eastAsia="zh-CN" w:bidi="ar-SA"/>
        </w:rPr>
      </w:pPr>
    </w:p>
    <w:p>
      <w:pPr>
        <w:widowControl/>
        <w:spacing w:line="540" w:lineRule="exact"/>
        <w:jc w:val="center"/>
        <w:rPr>
          <w:rFonts w:hint="default" w:ascii="方正小标宋简体" w:hAnsi="宋体" w:eastAsia="方正小标宋简体" w:cs="宋体"/>
          <w:kern w:val="0"/>
          <w:sz w:val="44"/>
          <w:szCs w:val="44"/>
          <w:lang w:val="en-US" w:eastAsia="zh-CN" w:bidi="ar-SA"/>
        </w:rPr>
      </w:pPr>
      <w:r>
        <w:rPr>
          <w:rFonts w:hint="eastAsia" w:ascii="方正小标宋简体" w:hAnsi="宋体" w:eastAsia="方正小标宋简体" w:cs="宋体"/>
          <w:kern w:val="0"/>
          <w:sz w:val="44"/>
          <w:szCs w:val="44"/>
          <w:lang w:val="en-US" w:eastAsia="zh-CN" w:bidi="ar-SA"/>
        </w:rPr>
        <w:t>2022年</w:t>
      </w:r>
      <w:r>
        <w:rPr>
          <w:rFonts w:hint="eastAsia" w:ascii="方正小标宋简体" w:hAnsi="宋体" w:eastAsia="方正小标宋简体" w:cs="宋体"/>
          <w:kern w:val="0"/>
          <w:sz w:val="44"/>
          <w:szCs w:val="44"/>
          <w:lang w:eastAsia="zh-CN" w:bidi="ar-SA"/>
        </w:rPr>
        <w:t>勘察设计质量检查情况表</w:t>
      </w: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方正公文小标宋" w:hAnsi="方正公文小标宋" w:eastAsia="方正公文小标宋" w:cs="方正公文小标宋"/>
          <w:b w:val="0"/>
          <w:bCs w:val="0"/>
          <w:sz w:val="15"/>
          <w:szCs w:val="10"/>
          <w:lang w:val="en-US" w:eastAsia="zh-CN"/>
        </w:rPr>
      </w:pPr>
      <w:r>
        <w:rPr>
          <w:rFonts w:hint="eastAsia" w:ascii="方正公文小标宋" w:hAnsi="方正公文小标宋" w:eastAsia="方正公文小标宋" w:cs="方正公文小标宋"/>
          <w:b w:val="0"/>
          <w:bCs w:val="0"/>
          <w:kern w:val="0"/>
          <w:sz w:val="22"/>
          <w:szCs w:val="22"/>
          <w:lang w:val="en-US" w:eastAsia="zh-CN" w:bidi="ar-SA"/>
        </w:rPr>
        <w:t xml:space="preserve">项目名称： </w:t>
      </w:r>
      <w:bookmarkStart w:id="0" w:name="_GoBack"/>
      <w:bookmarkEnd w:id="0"/>
      <w:r>
        <w:rPr>
          <w:rFonts w:hint="eastAsia"/>
          <w:b/>
          <w:bCs/>
          <w:sz w:val="24"/>
          <w:lang w:val="en-US" w:eastAsia="zh-CN"/>
        </w:rPr>
        <w:t>达智佳境花园一期地下室</w:t>
      </w:r>
      <w:r>
        <w:rPr>
          <w:rFonts w:hint="eastAsia" w:ascii="方正公文小标宋" w:hAnsi="方正公文小标宋" w:eastAsia="方正公文小标宋" w:cs="方正公文小标宋"/>
          <w:b/>
          <w:bCs/>
          <w:kern w:val="0"/>
          <w:sz w:val="22"/>
          <w:szCs w:val="22"/>
          <w:lang w:val="en-US" w:eastAsia="zh-CN" w:bidi="ar-SA"/>
        </w:rPr>
        <w:t xml:space="preserve"> </w:t>
      </w:r>
      <w:r>
        <w:rPr>
          <w:rFonts w:hint="eastAsia" w:ascii="方正公文小标宋" w:hAnsi="方正公文小标宋" w:eastAsia="方正公文小标宋" w:cs="方正公文小标宋"/>
          <w:b w:val="0"/>
          <w:bCs w:val="0"/>
          <w:kern w:val="0"/>
          <w:sz w:val="22"/>
          <w:szCs w:val="22"/>
          <w:lang w:val="en-US" w:eastAsia="zh-CN" w:bidi="ar-SA"/>
        </w:rPr>
        <w:t xml:space="preserve">                                             </w:t>
      </w:r>
    </w:p>
    <w:tbl>
      <w:tblPr>
        <w:tblStyle w:val="5"/>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检查项目</w:t>
            </w:r>
          </w:p>
        </w:tc>
        <w:tc>
          <w:tcPr>
            <w:tcW w:w="5450"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检查内容</w:t>
            </w:r>
          </w:p>
        </w:tc>
        <w:tc>
          <w:tcPr>
            <w:tcW w:w="6325"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检查情况</w:t>
            </w:r>
          </w:p>
        </w:tc>
        <w:tc>
          <w:tcPr>
            <w:tcW w:w="1426"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top"/>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勘察（如有）</w:t>
            </w:r>
            <w:r>
              <w:rPr>
                <w:rFonts w:hint="default" w:ascii="Arial" w:hAnsi="Arial" w:eastAsia="楷体_GB2312" w:cs="Arial"/>
                <w:b/>
                <w:bCs/>
                <w:kern w:val="0"/>
                <w:sz w:val="24"/>
                <w:szCs w:val="24"/>
                <w:vertAlign w:val="baseline"/>
                <w:lang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现场及试验室工作执行标准情况、工程勘察实施情况</w:t>
            </w: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color w:val="auto"/>
                <w:sz w:val="21"/>
                <w:szCs w:val="21"/>
                <w:lang w:bidi="ar-SA"/>
              </w:rPr>
              <w:t>技术孔、控制性钻孔比例是否满足规范要求；地质异常段是否加密勘探孔，遇断裂、洞穴等不良地质时勘探孔加深是否足够，</w:t>
            </w:r>
            <w:r>
              <w:rPr>
                <w:rFonts w:hint="eastAsia" w:ascii="仿宋_GB2312" w:hAnsi="仿宋_GB2312" w:eastAsia="仿宋_GB2312" w:cs="仿宋_GB2312"/>
                <w:color w:val="auto"/>
                <w:sz w:val="21"/>
                <w:szCs w:val="21"/>
                <w:lang w:bidi="ar-SA"/>
              </w:rPr>
              <w:t>取样数量、方法是否满足规范要求。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原位测试手段选用、设备性能、数量、深度是否满足要求</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水文地质试验方法选择是否合理（必要时）等。</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室内试验项目是否满足岩土性质、工程类型、设计、施工需要</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bCs/>
                <w:color w:val="auto"/>
                <w:sz w:val="21"/>
                <w:szCs w:val="21"/>
                <w:lang w:bidi="ar-SA"/>
              </w:rPr>
              <w:t>主要土层试验数量是否满足规范要求。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编制技术文件、工程勘察成果情况</w:t>
            </w: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bCs/>
                <w:color w:val="auto"/>
                <w:sz w:val="21"/>
                <w:szCs w:val="21"/>
                <w:lang w:bidi="ar-SA"/>
              </w:rPr>
              <w:t>岩土层划分依据是否合理、岩土层划分是否正确。</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bCs/>
                <w:color w:val="auto"/>
                <w:sz w:val="21"/>
                <w:szCs w:val="21"/>
                <w:lang w:bidi="ar-SA"/>
              </w:rPr>
              <w:t>岩土物理力学参数等</w:t>
            </w:r>
            <w:r>
              <w:rPr>
                <w:rFonts w:hint="eastAsia" w:ascii="仿宋_GB2312" w:hAnsi="仿宋_GB2312" w:eastAsia="仿宋_GB2312" w:cs="仿宋_GB2312"/>
                <w:color w:val="auto"/>
                <w:sz w:val="21"/>
                <w:szCs w:val="21"/>
                <w:lang w:bidi="ar-SA"/>
              </w:rPr>
              <w:t>勘察成果是否准确，地层、水文地质参数、岩土参数是否与实际情况相符。</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bCs/>
                <w:color w:val="auto"/>
                <w:sz w:val="21"/>
                <w:szCs w:val="21"/>
                <w:lang w:bidi="ar-SA"/>
              </w:rPr>
              <w:t>场地与地基的建筑抗震设计基本条件是否准确</w:t>
            </w:r>
            <w:r>
              <w:rPr>
                <w:rFonts w:hint="eastAsia" w:ascii="仿宋_GB2312" w:hAnsi="仿宋_GB2312" w:eastAsia="仿宋_GB2312" w:cs="仿宋_GB2312"/>
                <w:color w:val="auto"/>
                <w:sz w:val="21"/>
                <w:szCs w:val="21"/>
                <w:lang w:bidi="ar-SA"/>
              </w:rPr>
              <w:t>，包括场地类别划分、抗震影响基本参数、地震液化的判别是否准确等。</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对地质灾害和特殊性岩土的评价是否正确；水和土对建筑材料腐蚀性影响评价是否正确；</w:t>
            </w:r>
            <w:r>
              <w:rPr>
                <w:rFonts w:hint="eastAsia" w:ascii="仿宋_GB2312" w:hAnsi="仿宋_GB2312" w:eastAsia="仿宋_GB2312" w:cs="仿宋_GB2312"/>
                <w:bCs/>
                <w:color w:val="auto"/>
                <w:sz w:val="21"/>
                <w:szCs w:val="21"/>
                <w:lang w:bidi="ar-SA"/>
              </w:rPr>
              <w:t>工程地质、水文地质条件评价及措施建议是否准确合理。</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bCs/>
                <w:color w:val="auto"/>
                <w:sz w:val="21"/>
                <w:szCs w:val="21"/>
                <w:lang w:bidi="ar-SA"/>
              </w:rPr>
              <w:t>场地稳定性、适宜性评价是否准确、全面。</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bCs/>
                <w:color w:val="auto"/>
                <w:sz w:val="21"/>
                <w:szCs w:val="21"/>
                <w:lang w:bidi="ar-SA"/>
              </w:rPr>
              <w:t>成果是否经过内部审核、是否按照强制审查意见进行修改完善。</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工程勘察报告是否有注册土木工程师（岩土）签章</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签章是否齐全。</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技术文件内容是否存在重要缺漏。</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是否有其他文字、数据、图纸的错误。</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强制性标准条文</w:t>
            </w: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是否严格执行</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如</w:t>
            </w:r>
            <w:r>
              <w:rPr>
                <w:rFonts w:hint="eastAsia" w:ascii="仿宋_GB2312" w:hAnsi="仿宋_GB2312" w:eastAsia="仿宋_GB2312" w:cs="仿宋_GB2312"/>
                <w:color w:val="auto"/>
                <w:sz w:val="21"/>
                <w:szCs w:val="21"/>
                <w:lang w:eastAsia="zh-CN" w:bidi="ar-SA"/>
              </w:rPr>
              <w:t>违反，</w:t>
            </w:r>
            <w:r>
              <w:rPr>
                <w:rFonts w:hint="eastAsia" w:ascii="仿宋_GB2312" w:hAnsi="仿宋_GB2312" w:eastAsia="仿宋_GB2312" w:cs="仿宋_GB2312"/>
                <w:color w:val="auto"/>
                <w:sz w:val="21"/>
                <w:szCs w:val="21"/>
                <w:lang w:bidi="ar-SA"/>
              </w:rPr>
              <w:t>应指出违反的具体规范条文。</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一般标准条文</w:t>
            </w: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是否违反，影响工程质量程度如何。</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落实工程质量责任制情况</w:t>
            </w: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bCs/>
                <w:color w:val="auto"/>
                <w:sz w:val="21"/>
                <w:szCs w:val="21"/>
                <w:lang w:bidi="ar-SA"/>
              </w:rPr>
              <w:t>项目负责人是否取得法定代表人授权书，是否签署工程质量终身责任承诺书等。</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kern w:val="2"/>
                <w:sz w:val="21"/>
                <w:szCs w:val="21"/>
                <w:lang w:val="en-US" w:eastAsia="zh-CN" w:bidi="ar-SA"/>
              </w:rPr>
            </w:pPr>
            <w:r>
              <w:rPr>
                <w:rFonts w:hint="eastAsia" w:ascii="仿宋_GB2312" w:hAnsi="仿宋_GB2312" w:eastAsia="仿宋_GB2312" w:cs="仿宋_GB2312"/>
                <w:color w:val="auto"/>
                <w:sz w:val="21"/>
                <w:szCs w:val="21"/>
                <w:lang w:bidi="ar-SA"/>
              </w:rPr>
              <w:t>提供检查材料未见内</w:t>
            </w:r>
            <w:r>
              <w:rPr>
                <w:rFonts w:hint="eastAsia" w:ascii="仿宋_GB2312" w:hAnsi="仿宋_GB2312" w:cs="仿宋_GB2312"/>
                <w:color w:val="auto"/>
                <w:sz w:val="21"/>
                <w:szCs w:val="21"/>
                <w:lang w:val="en-US" w:eastAsia="zh-CN" w:bidi="ar-SA"/>
              </w:rPr>
              <w:t>项目负责人授权书</w:t>
            </w:r>
            <w:r>
              <w:rPr>
                <w:rFonts w:hint="eastAsia" w:ascii="仿宋_GB2312" w:hAnsi="仿宋_GB2312" w:eastAsia="仿宋_GB2312" w:cs="仿宋_GB2312"/>
                <w:color w:val="auto"/>
                <w:sz w:val="21"/>
                <w:szCs w:val="21"/>
                <w:lang w:bidi="ar-SA"/>
              </w:rPr>
              <w:t>、</w:t>
            </w:r>
            <w:r>
              <w:rPr>
                <w:rFonts w:hint="eastAsia" w:ascii="仿宋_GB2312" w:hAnsi="仿宋_GB2312" w:cs="仿宋_GB2312"/>
                <w:color w:val="auto"/>
                <w:sz w:val="21"/>
                <w:szCs w:val="21"/>
                <w:lang w:val="en-US" w:eastAsia="zh-CN" w:bidi="ar-SA"/>
              </w:rPr>
              <w:t>工程质量承诺书</w:t>
            </w:r>
            <w:r>
              <w:rPr>
                <w:rFonts w:hint="eastAsia" w:ascii="仿宋_GB2312" w:hAnsi="仿宋_GB2312" w:eastAsia="仿宋_GB2312" w:cs="仿宋_GB2312"/>
                <w:color w:val="auto"/>
                <w:sz w:val="21"/>
                <w:szCs w:val="21"/>
                <w:lang w:bidi="ar-SA"/>
              </w:rPr>
              <w:t>等文件</w:t>
            </w:r>
          </w:p>
        </w:tc>
        <w:tc>
          <w:tcPr>
            <w:tcW w:w="1426" w:type="dxa"/>
            <w:noWrap w:val="0"/>
            <w:vAlign w:val="center"/>
          </w:tcPr>
          <w:p>
            <w:pPr>
              <w:snapToGrid w:val="0"/>
              <w:spacing w:line="240" w:lineRule="auto"/>
              <w:jc w:val="left"/>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snapToGrid w:val="0"/>
              <w:spacing w:line="240" w:lineRule="auto"/>
              <w:jc w:val="left"/>
              <w:rPr>
                <w:rFonts w:hint="eastAsia" w:ascii="仿宋_GB2312" w:hAnsi="仿宋_GB2312" w:eastAsia="仿宋_GB2312" w:cs="仿宋_GB2312"/>
                <w:bCs/>
                <w:color w:val="auto"/>
                <w:sz w:val="21"/>
                <w:szCs w:val="21"/>
                <w:lang w:bidi="ar-SA"/>
              </w:rPr>
            </w:pPr>
            <w:r>
              <w:rPr>
                <w:rFonts w:hint="eastAsia" w:ascii="仿宋_GB2312" w:hAnsi="仿宋_GB2312" w:eastAsia="仿宋_GB2312" w:cs="仿宋_GB2312"/>
                <w:color w:val="auto"/>
                <w:sz w:val="21"/>
                <w:szCs w:val="21"/>
                <w:lang w:bidi="ar-SA"/>
              </w:rPr>
              <w:t>其他工程勘察质量相关内容</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center"/>
          </w:tcPr>
          <w:p>
            <w:pPr>
              <w:widowControl/>
              <w:spacing w:line="540" w:lineRule="exact"/>
              <w:jc w:val="center"/>
              <w:rPr>
                <w:rFonts w:hint="default" w:ascii="楷体_GB2312" w:hAnsi="楷体_GB2312" w:eastAsia="楷体_GB2312" w:cs="楷体_GB2312"/>
                <w:b/>
                <w:bCs/>
                <w:color w:val="auto"/>
                <w:kern w:val="0"/>
                <w:sz w:val="24"/>
                <w:szCs w:val="24"/>
                <w:vertAlign w:val="baseline"/>
                <w:lang w:val="en-US" w:eastAsia="zh-CN" w:bidi="ar-SA"/>
              </w:rPr>
            </w:pPr>
            <w:r>
              <w:rPr>
                <w:rFonts w:hint="eastAsia" w:ascii="楷体_GB2312" w:hAnsi="楷体_GB2312" w:eastAsia="楷体_GB2312" w:cs="楷体_GB2312"/>
                <w:b/>
                <w:bCs/>
                <w:color w:val="auto"/>
                <w:kern w:val="0"/>
                <w:sz w:val="24"/>
                <w:szCs w:val="24"/>
                <w:vertAlign w:val="baseline"/>
                <w:lang w:eastAsia="zh-CN" w:bidi="ar-SA"/>
              </w:rPr>
              <w:t>设计</w:t>
            </w:r>
            <w:r>
              <w:rPr>
                <w:rFonts w:hint="eastAsia" w:ascii="楷体_GB2312" w:hAnsi="楷体_GB2312" w:eastAsia="楷体_GB2312" w:cs="楷体_GB2312"/>
                <w:b/>
                <w:bCs/>
                <w:color w:val="auto"/>
                <w:kern w:val="0"/>
                <w:sz w:val="24"/>
                <w:szCs w:val="24"/>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设计依据</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设计依据的规范、标准是否准确；基础资料是否满足要求；设计是否执行立项、规划</w:t>
            </w:r>
            <w:r>
              <w:rPr>
                <w:rFonts w:hint="eastAsia" w:ascii="仿宋_GB2312" w:hAnsi="仿宋_GB2312" w:eastAsia="仿宋_GB2312" w:cs="仿宋_GB2312"/>
                <w:color w:val="auto"/>
                <w:sz w:val="21"/>
                <w:szCs w:val="21"/>
                <w:lang w:eastAsia="zh-CN" w:bidi="ar-SA"/>
              </w:rPr>
              <w:t>、人防</w:t>
            </w:r>
            <w:r>
              <w:rPr>
                <w:rFonts w:hint="eastAsia" w:ascii="仿宋_GB2312" w:hAnsi="仿宋_GB2312" w:eastAsia="仿宋_GB2312" w:cs="仿宋_GB2312"/>
                <w:color w:val="auto"/>
                <w:sz w:val="21"/>
                <w:szCs w:val="21"/>
                <w:lang w:bidi="ar-SA"/>
              </w:rPr>
              <w:t>等主管部门批文。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设计文件编制深度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完整性</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sz w:val="21"/>
                <w:szCs w:val="21"/>
                <w:lang w:eastAsia="zh-CN" w:bidi="ar-SA"/>
              </w:rPr>
            </w:pPr>
            <w:r>
              <w:rPr>
                <w:rFonts w:hint="eastAsia" w:ascii="仿宋_GB2312" w:hAnsi="仿宋_GB2312" w:eastAsia="仿宋_GB2312" w:cs="仿宋_GB2312"/>
                <w:color w:val="auto"/>
                <w:sz w:val="21"/>
                <w:szCs w:val="21"/>
                <w:lang w:bidi="ar-SA"/>
              </w:rPr>
              <w:t>专业图纸是否齐全</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是否符合现行相关规定要求</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单位和个人签章是否完备并符合要求</w:t>
            </w:r>
            <w:r>
              <w:rPr>
                <w:rFonts w:hint="eastAsia" w:ascii="仿宋_GB2312" w:hAnsi="仿宋_GB2312" w:eastAsia="仿宋_GB2312" w:cs="仿宋_GB2312"/>
                <w:color w:val="auto"/>
                <w:sz w:val="21"/>
                <w:szCs w:val="21"/>
                <w:lang w:eastAsia="zh-CN" w:bidi="ar-SA"/>
              </w:rPr>
              <w:t>；涉及危大工程的是否注明危大工程的重点部位和环节，提出保障工程周边环境安全和工程施工安全的意见，必要时进行专项设计。</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强制性标准条文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sz w:val="21"/>
                <w:szCs w:val="21"/>
                <w:lang w:bidi="ar-SA"/>
              </w:rPr>
            </w:pPr>
            <w:r>
              <w:rPr>
                <w:rFonts w:hint="eastAsia" w:ascii="仿宋_GB2312" w:hAnsi="仿宋_GB2312" w:eastAsia="仿宋_GB2312" w:cs="仿宋_GB2312"/>
                <w:color w:val="auto"/>
                <w:sz w:val="21"/>
                <w:szCs w:val="21"/>
                <w:lang w:bidi="ar-SA"/>
              </w:rPr>
              <w:t>是否严格执行</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如</w:t>
            </w:r>
            <w:r>
              <w:rPr>
                <w:rFonts w:hint="eastAsia" w:ascii="仿宋_GB2312" w:hAnsi="仿宋_GB2312" w:eastAsia="仿宋_GB2312" w:cs="仿宋_GB2312"/>
                <w:color w:val="auto"/>
                <w:sz w:val="21"/>
                <w:szCs w:val="21"/>
                <w:lang w:eastAsia="zh-CN" w:bidi="ar-SA"/>
              </w:rPr>
              <w:t>违反，</w:t>
            </w:r>
            <w:r>
              <w:rPr>
                <w:rFonts w:hint="eastAsia" w:ascii="仿宋_GB2312" w:hAnsi="仿宋_GB2312" w:eastAsia="仿宋_GB2312" w:cs="仿宋_GB2312"/>
                <w:color w:val="auto"/>
                <w:sz w:val="21"/>
                <w:szCs w:val="21"/>
                <w:lang w:bidi="ar-SA"/>
              </w:rPr>
              <w:t>应指出违反的具体规范条文。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一般标准条文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sz w:val="21"/>
                <w:szCs w:val="21"/>
                <w:lang w:bidi="ar-SA"/>
              </w:rPr>
            </w:pPr>
            <w:r>
              <w:rPr>
                <w:rFonts w:hint="eastAsia" w:ascii="仿宋_GB2312" w:hAnsi="仿宋_GB2312" w:eastAsia="仿宋_GB2312" w:cs="仿宋_GB2312"/>
                <w:color w:val="auto"/>
                <w:sz w:val="21"/>
                <w:szCs w:val="21"/>
                <w:lang w:bidi="ar-SA"/>
              </w:rPr>
              <w:t>是否违反，影响工程质量程度如何。</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有，一般</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落实工程质量责任制情况</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bCs/>
                <w:color w:val="auto"/>
                <w:sz w:val="21"/>
                <w:szCs w:val="21"/>
                <w:lang w:bidi="ar-SA"/>
              </w:rPr>
              <w:t>项目负责人是否取得法定代表人授权书，是否签署工程质量终身责任承诺书等。</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sz w:val="21"/>
                <w:szCs w:val="21"/>
                <w:lang w:val="en-US" w:eastAsia="zh-CN" w:bidi="ar-SA"/>
              </w:rPr>
            </w:pPr>
            <w:r>
              <w:rPr>
                <w:rFonts w:hint="eastAsia" w:ascii="仿宋_GB2312" w:hAnsi="仿宋_GB2312" w:eastAsia="仿宋_GB2312" w:cs="仿宋_GB2312"/>
                <w:color w:val="auto"/>
                <w:sz w:val="21"/>
                <w:szCs w:val="21"/>
                <w:lang w:bidi="ar-SA"/>
              </w:rPr>
              <w:t>提供检查材料未见内</w:t>
            </w:r>
            <w:r>
              <w:rPr>
                <w:rFonts w:hint="eastAsia" w:ascii="仿宋_GB2312" w:hAnsi="仿宋_GB2312" w:cs="仿宋_GB2312"/>
                <w:color w:val="auto"/>
                <w:sz w:val="21"/>
                <w:szCs w:val="21"/>
                <w:lang w:val="en-US" w:eastAsia="zh-CN" w:bidi="ar-SA"/>
              </w:rPr>
              <w:t>项目负责人授权书</w:t>
            </w:r>
            <w:r>
              <w:rPr>
                <w:rFonts w:hint="eastAsia" w:ascii="仿宋_GB2312" w:hAnsi="仿宋_GB2312" w:eastAsia="仿宋_GB2312" w:cs="仿宋_GB2312"/>
                <w:color w:val="auto"/>
                <w:sz w:val="21"/>
                <w:szCs w:val="21"/>
                <w:lang w:bidi="ar-SA"/>
              </w:rPr>
              <w:t>、</w:t>
            </w:r>
            <w:r>
              <w:rPr>
                <w:rFonts w:hint="eastAsia" w:ascii="仿宋_GB2312" w:hAnsi="仿宋_GB2312" w:cs="仿宋_GB2312"/>
                <w:color w:val="auto"/>
                <w:sz w:val="21"/>
                <w:szCs w:val="21"/>
                <w:lang w:val="en-US" w:eastAsia="zh-CN" w:bidi="ar-SA"/>
              </w:rPr>
              <w:t>工程质量承诺书</w:t>
            </w:r>
            <w:r>
              <w:rPr>
                <w:rFonts w:hint="eastAsia" w:ascii="仿宋_GB2312" w:hAnsi="仿宋_GB2312" w:eastAsia="仿宋_GB2312" w:cs="仿宋_GB2312"/>
                <w:color w:val="auto"/>
                <w:sz w:val="21"/>
                <w:szCs w:val="21"/>
                <w:lang w:bidi="ar-SA"/>
              </w:rPr>
              <w:t>等文件</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内部审核</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内部审核制度是否完善，校审意见单是否齐全，内部评审、方案会审记录是否齐全，专业间互提资料单是否齐全，内部各级复、审核意见是否落实全面，文件的签署、专业会签是否完整。</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bidi="ar-SA"/>
              </w:rPr>
              <w:t>提供检查材料未见内审记录、校审、会签等文件</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初步设计审查落实</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施工图设计中是否说明初步设计专家意见（包括其它评审意见）的执行情况。</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无相关内容</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设计交底</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是否按照要求执行设计交底制度，是否按照要求执行图纸会审制度。</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bidi="ar-SA"/>
              </w:rPr>
              <w:t>提供检查材料未见设计交底记录、图纸会审记录等文件</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pacing w:val="20"/>
                <w:sz w:val="21"/>
                <w:szCs w:val="21"/>
                <w:lang w:bidi="ar-SA"/>
              </w:rPr>
              <w:t>设计文件修改、变更</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设计文件修改、变更是否合理，设计变更是否履行规定的程序。</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bidi="ar-SA"/>
              </w:rPr>
              <w:t>提供检查材料未见设计变更相关文件</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建筑</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color w:val="auto"/>
                <w:sz w:val="21"/>
                <w:szCs w:val="21"/>
                <w:shd w:val="clear" w:color="auto" w:fill="FFFFFF"/>
                <w:lang w:val="en-GB" w:bidi="ar-SA"/>
              </w:rPr>
              <w:t>绿色建筑设计目标是否明确，建筑节能和绿色建筑设计拟采取的相应技术措施是否合理可行并符合规范要求</w:t>
            </w:r>
            <w:r>
              <w:rPr>
                <w:rFonts w:hint="eastAsia" w:ascii="仿宋_GB2312" w:hAnsi="仿宋_GB2312" w:eastAsia="仿宋_GB2312" w:cs="仿宋_GB2312"/>
                <w:color w:val="auto"/>
                <w:sz w:val="21"/>
                <w:szCs w:val="21"/>
                <w:shd w:val="clear" w:color="auto" w:fill="FFFFFF"/>
                <w:lang w:bidi="ar-SA"/>
              </w:rPr>
              <w:t>。</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GB" w:bidi="ar-SA"/>
              </w:rPr>
              <w:t>平面布置中功能分区是否明确，交通组织是否合理，楼层净高尺寸是否满足相关规范要求。消防设计是否满足有关要求，</w:t>
            </w:r>
            <w:r>
              <w:rPr>
                <w:rFonts w:hint="eastAsia" w:ascii="仿宋_GB2312" w:hAnsi="仿宋_GB2312" w:eastAsia="仿宋_GB2312" w:cs="仿宋_GB2312"/>
                <w:color w:val="auto"/>
                <w:sz w:val="21"/>
                <w:szCs w:val="21"/>
                <w:lang w:bidi="ar-SA"/>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color w:val="auto"/>
                <w:sz w:val="21"/>
                <w:szCs w:val="21"/>
                <w:lang w:val="en-GB" w:bidi="ar-SA"/>
              </w:rPr>
              <w:t>项目的使用功能是否满足相关建筑设计规范要求等。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1.建筑构造做法，变配电房的底板10采用环氧地坪漆，补充面层材料的燃烧性能。</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2.地下负一层组合平面，防火分区示意图的分区三与组合图中的位置和面积不符，组合图标注的分区十。开闭所5-17交6-T轴BY120060补充与左侧商铺门的防火间距。</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3.防火分区九，分区示意图标注的疏散距离56.4米非最远点，应标注D-G交D-1轴区域的疏散距离。</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4.负二层组合平面，防火分区二的防火单元一与防火单元二之间缺连通口。分区二右侧疏散梯应明确防火门等级。</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GB" w:bidi="ar-SA"/>
              </w:rPr>
            </w:pPr>
            <w:r>
              <w:rPr>
                <w:rFonts w:hint="eastAsia" w:ascii="仿宋_GB2312" w:hAnsi="仿宋_GB2312" w:eastAsia="仿宋_GB2312" w:cs="仿宋_GB2312"/>
                <w:color w:val="auto"/>
                <w:sz w:val="21"/>
                <w:szCs w:val="21"/>
                <w:lang w:val="en-US" w:eastAsia="zh-CN" w:bidi="ar-SA"/>
              </w:rPr>
              <w:t>5.总平面图，应无隐形消防车道概念。补充消防车登高操作场地与建筑的间距，开口大于4米的区域应将间距控制在10米以内。补充2#与3#楼的防火间距。</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GB"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结构</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结构选型、结构布置是否存在不合理或投资浪费等问题；荷载取值、结构计算、</w:t>
            </w:r>
            <w:r>
              <w:rPr>
                <w:rFonts w:hint="eastAsia" w:ascii="仿宋_GB2312" w:hAnsi="仿宋_GB2312" w:eastAsia="仿宋_GB2312" w:cs="仿宋_GB2312"/>
                <w:color w:val="auto"/>
                <w:sz w:val="21"/>
                <w:szCs w:val="21"/>
                <w:shd w:val="clear" w:color="auto" w:fill="FFFFFF"/>
                <w:lang w:bidi="ar-SA"/>
              </w:rPr>
              <w:t>结构安全等级、结构重要性系数、结构使用年限及耐久性、抗震设防类别和抗震等级、抗震构造措施等是否符合规范。</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1.地下室两侧填土高度相差较大，应考虑填土产生的水平推力。应进行地下室防水板的剪切和冲切验算。</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地基基础设计质量检查要点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基础选型及埋深、天然地基持力层、桩端持力层及进入持力层的深度是否合理，是否满足地基承载力、变形及整体稳定要求。抗浮设防水位是否正确，采取的抗浮措施是否合理、可靠。</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2.应考虑塔楼与大底盘地下室的相互影响。</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上部结构及地下室结构设计质量要点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eastAsia="zh-CN" w:bidi="ar-SA"/>
              </w:rPr>
              <w:t>给排水</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给排水设计质量检查要点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noWrap w:val="0"/>
            <w:vAlign w:val="top"/>
          </w:tcPr>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lang w:val="en-US" w:eastAsia="zh-CN"/>
              </w:rPr>
            </w:pPr>
            <w:r>
              <w:rPr>
                <w:rFonts w:hint="eastAsia" w:ascii="仿宋_GB2312" w:hAnsi="仿宋_GB2312" w:cs="仿宋_GB2312"/>
                <w:color w:val="auto"/>
                <w:sz w:val="21"/>
                <w:szCs w:val="21"/>
                <w:lang w:val="en-US" w:eastAsia="zh-CN"/>
              </w:rPr>
              <w:t>水施-D2-10 ，3号楼7#充电桩配电间设置了自动灭火系统喷头，水施-D2-11 ，4号楼6#充电桩配电间设置了自动灭火系统喷头，给排水管不应穿过变配电房等遇水会损坏设备和引发事故的房间，见《民用建筑设计统一标准》（GB50352-2019）第8.1.5条第1点。</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exact"/>
              <w:ind w:left="0" w:leftChars="0" w:firstLine="0" w:firstLineChars="0"/>
              <w:textAlignment w:val="auto"/>
              <w:rPr>
                <w:rFonts w:hint="eastAsia"/>
                <w:color w:val="auto"/>
              </w:rPr>
            </w:pPr>
            <w:r>
              <w:rPr>
                <w:rFonts w:hint="eastAsia" w:ascii="仿宋_GB2312" w:hAnsi="仿宋_GB2312" w:eastAsia="仿宋_GB2312" w:cs="仿宋_GB2312"/>
                <w:color w:val="auto"/>
                <w:kern w:val="2"/>
                <w:sz w:val="21"/>
                <w:szCs w:val="21"/>
                <w:lang w:val="en-US" w:eastAsia="zh-CN" w:bidi="ar-SA"/>
              </w:rPr>
              <w:t>负一层4号楼、6号楼消防电梯前室未设置消火栓，违反了《消防给水及消火栓系统技术规范》（GB50974-2014）第7.4.5条的规定。</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eastAsia="仿宋_GB2312" w:cs="仿宋_GB2312"/>
                <w:color w:val="auto"/>
                <w:kern w:val="2"/>
                <w:sz w:val="21"/>
                <w:szCs w:val="21"/>
                <w:lang w:val="en-US" w:eastAsia="zh-CN" w:bidi="ar-SA"/>
              </w:rPr>
              <w:t>排水系统检查井未安装防坠落装置，违反了《室外排水设计标准》（GB50014-2021）第5.4.11条的规定。</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eastAsia="zh-CN" w:bidi="ar-SA"/>
              </w:rPr>
              <w:t>电气</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电气设计质量检查要点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noWrap w:val="0"/>
            <w:vAlign w:val="top"/>
          </w:tcPr>
          <w:p>
            <w:pPr>
              <w:snapToGrid w:val="0"/>
              <w:spacing w:line="240" w:lineRule="auto"/>
              <w:jc w:val="left"/>
              <w:rPr>
                <w:rFonts w:ascii="仿宋_GB2312" w:hAnsi="仿宋_GB2312" w:cs="仿宋_GB2312"/>
                <w:color w:val="auto"/>
                <w:sz w:val="21"/>
                <w:szCs w:val="21"/>
              </w:rPr>
            </w:pPr>
            <w:r>
              <w:rPr>
                <w:rFonts w:hint="eastAsia" w:ascii="仿宋_GB2312" w:hAnsi="仿宋_GB2312" w:cs="仿宋_GB2312"/>
                <w:color w:val="auto"/>
                <w:sz w:val="21"/>
                <w:szCs w:val="21"/>
              </w:rPr>
              <w:t>1、地下室各防火分区消防电源主、备总箱消防输入、输出回路断路器过负荷仅报警，不应动作于跳闸。</w:t>
            </w:r>
          </w:p>
          <w:p>
            <w:pPr>
              <w:snapToGrid w:val="0"/>
              <w:spacing w:line="240" w:lineRule="auto"/>
              <w:jc w:val="left"/>
              <w:rPr>
                <w:rFonts w:ascii="仿宋_GB2312" w:hAnsi="仿宋_GB2312" w:cs="仿宋_GB2312"/>
                <w:color w:val="auto"/>
                <w:sz w:val="21"/>
                <w:szCs w:val="21"/>
              </w:rPr>
            </w:pPr>
            <w:r>
              <w:rPr>
                <w:rFonts w:hint="eastAsia" w:ascii="仿宋_GB2312" w:hAnsi="仿宋_GB2312" w:cs="仿宋_GB2312"/>
                <w:color w:val="auto"/>
                <w:sz w:val="21"/>
                <w:szCs w:val="21"/>
              </w:rPr>
              <w:t>2、弱电机房、电信间树干式配电系统分支处，导体载流量减小的地方，应设置短路和过负荷保护电器。</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eastAsia="zh-CN" w:bidi="ar-SA"/>
              </w:rPr>
              <w:t>暖通</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电气设计质量检查要点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空调负荷计算是否合理，通风空调系统设置是否合理，通风空调系统设备机房布置是否合理，设计是否符合规范要求等。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消防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val="en-US" w:eastAsia="zh-CN" w:bidi="ar-SA"/>
              </w:rPr>
              <w:t>.负一层防烟分区1F-2-1内,D-10交挡烟垂壁处区域与最近的排烟口之间的水平距离不应大于30m。</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eastAsia="仿宋_GB2312"/>
                <w:color w:val="auto"/>
                <w:lang w:val="en-US" w:eastAsia="zh-CN"/>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val="en-US" w:eastAsia="zh-CN" w:bidi="ar-SA"/>
              </w:rPr>
              <w:t>.D-19轴交D-F至D-G轴处封闭楼梯间未说明其防烟方式。（D-19轴交D-N轴处请自查）</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消防设计质量检查要点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建筑类别和耐火等级：建筑类别，建筑耐火等级，建筑构件的耐火极限和燃烧性能；总平面</w:t>
            </w:r>
            <w:r>
              <w:rPr>
                <w:rFonts w:hint="eastAsia" w:ascii="仿宋_GB2312" w:hAnsi="仿宋_GB2312" w:cs="仿宋_GB2312"/>
                <w:color w:val="auto"/>
                <w:sz w:val="21"/>
                <w:szCs w:val="21"/>
                <w:lang w:eastAsia="zh-CN" w:bidi="ar-SA"/>
              </w:rPr>
              <w:t>布</w:t>
            </w:r>
            <w:r>
              <w:rPr>
                <w:rFonts w:hint="eastAsia" w:ascii="仿宋_GB2312" w:hAnsi="仿宋_GB2312" w:eastAsia="仿宋_GB2312" w:cs="仿宋_GB2312"/>
                <w:color w:val="auto"/>
                <w:sz w:val="21"/>
                <w:szCs w:val="21"/>
                <w:lang w:bidi="ar-SA"/>
              </w:rPr>
              <w:t>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noWrap w:val="0"/>
            <w:vAlign w:val="top"/>
          </w:tcPr>
          <w:p>
            <w:pPr>
              <w:snapToGrid w:val="0"/>
              <w:spacing w:line="240" w:lineRule="auto"/>
              <w:jc w:val="left"/>
              <w:rPr>
                <w:rFonts w:ascii="仿宋_GB2312" w:hAnsi="仿宋_GB2312" w:cs="仿宋_GB2312"/>
                <w:color w:val="auto"/>
                <w:sz w:val="21"/>
                <w:szCs w:val="21"/>
              </w:rPr>
            </w:pPr>
            <w:r>
              <w:rPr>
                <w:rFonts w:hint="eastAsia" w:ascii="仿宋_GB2312" w:hAnsi="仿宋_GB2312" w:cs="仿宋_GB2312"/>
                <w:color w:val="auto"/>
                <w:sz w:val="21"/>
                <w:szCs w:val="21"/>
              </w:rPr>
              <w:t>1、总建筑面积大于20000㎡的地下、半地下建筑，消防应急照明</w:t>
            </w:r>
            <w:r>
              <w:rPr>
                <w:rFonts w:ascii="仿宋_GB2312" w:hAnsi="仿宋_GB2312" w:cs="仿宋_GB2312"/>
                <w:color w:val="auto"/>
                <w:sz w:val="21"/>
                <w:szCs w:val="21"/>
              </w:rPr>
              <w:t>蓄电池电源供电时的持续工作时间</w:t>
            </w:r>
            <w:r>
              <w:rPr>
                <w:rFonts w:hint="eastAsia" w:ascii="仿宋_GB2312" w:hAnsi="仿宋_GB2312" w:cs="仿宋_GB2312"/>
                <w:color w:val="auto"/>
                <w:sz w:val="21"/>
                <w:szCs w:val="21"/>
              </w:rPr>
              <w:t>不应少于1.0h，车库人防区域疏散通道照明的地面最低照度值不低于5lx。</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2、气体灭火系统经过有爆炸危险和变电、配电场所的管网，以及布设在以上场所的金属箱体等，应设防静电接地。</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人防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noWrap w:val="0"/>
            <w:vAlign w:val="top"/>
          </w:tcPr>
          <w:p>
            <w:pPr>
              <w:snapToGrid w:val="0"/>
              <w:spacing w:line="240" w:lineRule="auto"/>
              <w:jc w:val="left"/>
              <w:rPr>
                <w:rFonts w:ascii="仿宋_GB2312" w:hAnsi="仿宋_GB2312" w:cs="仿宋_GB2312"/>
                <w:color w:val="auto"/>
                <w:sz w:val="21"/>
                <w:szCs w:val="21"/>
              </w:rPr>
            </w:pPr>
            <w:r>
              <w:rPr>
                <w:rFonts w:hint="eastAsia" w:ascii="仿宋_GB2312" w:hAnsi="仿宋_GB2312" w:cs="仿宋_GB2312"/>
                <w:color w:val="auto"/>
                <w:sz w:val="21"/>
                <w:szCs w:val="21"/>
              </w:rPr>
              <w:t>1、人防用电负荷计算书有误，人防电站柴油发电机容量选型有误。</w:t>
            </w:r>
          </w:p>
          <w:p>
            <w:pPr>
              <w:snapToGrid w:val="0"/>
              <w:spacing w:line="240" w:lineRule="auto"/>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2、AP1和AP2配电系统图出线回路和计算负荷有误，柴油电站附属设备配电箱FXZ及控制箱配电系统图遗漏。</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3、人防总箱P2、M3、M3-1等部分配电线路人防套管遗漏，盥洗室、厕所等临战砌筑房间应补充战时照明平面图。</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lang w:val="en-US" w:eastAsia="zh-CN" w:bidi="ar-SA"/>
              </w:rPr>
              <w:t>4.</w:t>
            </w:r>
            <w:r>
              <w:rPr>
                <w:rFonts w:hint="eastAsia" w:ascii="仿宋_GB2312" w:hAnsi="仿宋_GB2312" w:eastAsia="仿宋_GB2312" w:cs="仿宋_GB2312"/>
                <w:color w:val="auto"/>
                <w:sz w:val="21"/>
                <w:szCs w:val="21"/>
                <w:lang w:val="en-US" w:eastAsia="zh-CN" w:bidi="ar-SA"/>
              </w:rPr>
              <w:t>给水加压设备应配套设置水泵房，战时水泵房应设置排水设施，见《广东省建设工程人防设计、审查疑难问题解析》第5.0.2条、第5.0.4条、第5.0.8条。</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color w:val="auto"/>
                <w:sz w:val="21"/>
                <w:szCs w:val="21"/>
                <w:lang w:val="en-GB" w:bidi="ar-SA"/>
              </w:rPr>
              <w:t>。</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eastAsia="zh-CN" w:bidi="ar-SA"/>
              </w:rPr>
              <w:t>是否执行</w:t>
            </w:r>
            <w:r>
              <w:rPr>
                <w:rFonts w:hint="eastAsia" w:ascii="仿宋_GB2312" w:hAnsi="仿宋_GB2312" w:eastAsia="仿宋_GB2312" w:cs="仿宋_GB2312"/>
                <w:color w:val="auto"/>
                <w:sz w:val="21"/>
                <w:szCs w:val="21"/>
                <w:lang w:bidi="ar-SA"/>
              </w:rPr>
              <w:t>无障碍环境建设、配套幼儿园建设、配套通信设施、充电场所等标准规定。</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其他</w:t>
            </w:r>
            <w:r>
              <w:rPr>
                <w:rFonts w:hint="eastAsia" w:ascii="仿宋_GB2312" w:hAnsi="仿宋_GB2312" w:eastAsia="仿宋_GB2312" w:cs="仿宋_GB2312"/>
                <w:color w:val="auto"/>
                <w:sz w:val="21"/>
                <w:szCs w:val="21"/>
                <w:lang w:eastAsia="zh-CN" w:bidi="ar-SA"/>
              </w:rPr>
              <w:t>工程设计</w:t>
            </w:r>
            <w:r>
              <w:rPr>
                <w:rFonts w:hint="eastAsia" w:ascii="仿宋_GB2312" w:hAnsi="仿宋_GB2312" w:eastAsia="仿宋_GB2312" w:cs="仿宋_GB2312"/>
                <w:color w:val="auto"/>
                <w:sz w:val="21"/>
                <w:szCs w:val="21"/>
                <w:lang w:bidi="ar-SA"/>
              </w:rPr>
              <w:t>质量相关内容</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color w:val="auto"/>
                <w:sz w:val="21"/>
                <w:szCs w:val="21"/>
                <w:lang w:bidi="ar-SA"/>
              </w:rPr>
            </w:pPr>
          </w:p>
        </w:tc>
      </w:tr>
    </w:tbl>
    <w:p>
      <w:pPr>
        <w:rPr>
          <w:rFonts w:hint="default"/>
          <w:color w:val="auto"/>
          <w:lang w:val="en-US" w:eastAsia="zh-CN"/>
        </w:rPr>
      </w:pPr>
    </w:p>
    <w:p>
      <w:pPr>
        <w:rPr>
          <w:color w:val="auto"/>
        </w:rPr>
      </w:pPr>
    </w:p>
    <w:sectPr>
      <w:headerReference r:id="rId5" w:type="default"/>
      <w:footerReference r:id="rId6" w:type="default"/>
      <w:pgSz w:w="16838" w:h="11906" w:orient="landscape"/>
      <w:pgMar w:top="1587" w:right="1644" w:bottom="1474" w:left="1417" w:header="851" w:footer="992" w:gutter="0"/>
      <w:pgNumType w:fmt="numberInDash" w:start="7"/>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lang w:val="en-US" w:eastAsia="zh-CN"/>
      </w:rPr>
    </w:pPr>
    <w:r>
      <w:rPr>
        <w:rFonts w:ascii="Times New Roman" w:hAnsi="Times New Roman" w:eastAsia="宋体" w:cs="Times New Roman"/>
        <w:kern w:val="2"/>
        <w:sz w:val="18"/>
        <w:lang w:val="en-US" w:eastAsia="zh-CN"/>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eastAsia="仿宋_GB2312"/>
        <w:lang w:val="en-US" w:eastAsia="zh-CN"/>
      </w:rPr>
    </w:pPr>
    <w:r>
      <w:rPr>
        <w:rFonts w:hint="eastAsia"/>
        <w:lang w:val="en-US" w:eastAsia="zh-CN"/>
      </w:rPr>
      <w:t>11号抽查项目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FB5298"/>
    <w:multiLevelType w:val="singleLevel"/>
    <w:tmpl w:val="5CFB529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zBkNGQzYjA2ZWY4MTU1YmNjMzRlYjgyM2M1MmEifQ=="/>
  </w:docVars>
  <w:rsids>
    <w:rsidRoot w:val="27FEE89E"/>
    <w:rsid w:val="04F45324"/>
    <w:rsid w:val="0D2857E3"/>
    <w:rsid w:val="1B602B69"/>
    <w:rsid w:val="27FEE89E"/>
    <w:rsid w:val="2B577D1D"/>
    <w:rsid w:val="4CD323D0"/>
    <w:rsid w:val="55BFBC0F"/>
    <w:rsid w:val="599A2C23"/>
    <w:rsid w:val="5B5E2508"/>
    <w:rsid w:val="60C92C4B"/>
    <w:rsid w:val="637F4419"/>
    <w:rsid w:val="63F4305C"/>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4455</Words>
  <Characters>4605</Characters>
  <Lines>0</Lines>
  <Paragraphs>0</Paragraphs>
  <TotalTime>59</TotalTime>
  <ScaleCrop>false</ScaleCrop>
  <LinksUpToDate>false</LinksUpToDate>
  <CharactersWithSpaces>4664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2022-12-19T11:22:44Z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500D00FE126F48C3875508747D31FD0E</vt:lpwstr>
  </property>
</Properties>
</file>