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黑体" w:hAnsi="宋体" w:eastAsia="黑体" w:cs="宋体"/>
          <w:kern w:val="0"/>
          <w:szCs w:val="32"/>
        </w:rPr>
      </w:pPr>
    </w:p>
    <w:p>
      <w:pPr>
        <w:widowControl/>
        <w:spacing w:line="54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2022年勘察设计质量检查情况表</w:t>
      </w:r>
    </w:p>
    <w:p>
      <w:pPr>
        <w:pStyle w:val="2"/>
        <w:ind w:firstLine="480"/>
      </w:pPr>
    </w:p>
    <w:p>
      <w:pPr>
        <w:pStyle w:val="2"/>
        <w:ind w:firstLine="0" w:firstLineChars="0"/>
        <w:rPr>
          <w:rFonts w:ascii="方正公文小标宋" w:hAnsi="方正公文小标宋" w:eastAsia="方正公文小标宋" w:cs="方正公文小标宋"/>
          <w:sz w:val="15"/>
          <w:szCs w:val="10"/>
        </w:rPr>
      </w:pPr>
      <w:r>
        <w:rPr>
          <w:rFonts w:hint="eastAsia" w:ascii="方正公文小标宋" w:hAnsi="方正公文小标宋" w:eastAsia="方正公文小标宋" w:cs="方正公文小标宋"/>
          <w:kern w:val="0"/>
          <w:sz w:val="22"/>
          <w:szCs w:val="22"/>
        </w:rPr>
        <w:t>项目名称：</w:t>
      </w:r>
      <w:r>
        <w:rPr>
          <w:rFonts w:hint="eastAsia" w:ascii="方正公文小标宋" w:hAnsi="方正公文小标宋" w:eastAsia="方正公文小标宋" w:cs="方正公文小标宋"/>
          <w:b w:val="0"/>
          <w:bCs w:val="0"/>
          <w:kern w:val="0"/>
          <w:sz w:val="22"/>
          <w:szCs w:val="22"/>
        </w:rPr>
        <w:t xml:space="preserve">华侨城欢乐海湾商住4栋  </w:t>
      </w:r>
      <w:r>
        <w:rPr>
          <w:rFonts w:hint="eastAsia" w:ascii="方正公文小标宋" w:hAnsi="方正公文小标宋" w:eastAsia="方正公文小标宋" w:cs="方正公文小标宋"/>
          <w:kern w:val="0"/>
          <w:sz w:val="22"/>
          <w:szCs w:val="22"/>
        </w:rPr>
        <w:t xml:space="preserve">                                               </w:t>
      </w:r>
    </w:p>
    <w:tbl>
      <w:tblPr>
        <w:tblStyle w:val="6"/>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检查项目</w:t>
            </w:r>
          </w:p>
        </w:tc>
        <w:tc>
          <w:tcPr>
            <w:tcW w:w="5450"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检查内容</w:t>
            </w:r>
          </w:p>
        </w:tc>
        <w:tc>
          <w:tcPr>
            <w:tcW w:w="6325"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检查情况</w:t>
            </w:r>
          </w:p>
        </w:tc>
        <w:tc>
          <w:tcPr>
            <w:tcW w:w="1426" w:type="dxa"/>
            <w:vAlign w:val="center"/>
          </w:tcPr>
          <w:p>
            <w:pPr>
              <w:widowControl/>
              <w:spacing w:line="240" w:lineRule="auto"/>
              <w:jc w:val="center"/>
              <w:rPr>
                <w:rFonts w:hint="eastAsia" w:ascii="黑体" w:hAnsi="黑体" w:eastAsia="黑体" w:cs="黑体"/>
                <w:kern w:val="0"/>
                <w:sz w:val="24"/>
                <w:lang w:eastAsia="zh-CN"/>
              </w:rPr>
            </w:pPr>
            <w:r>
              <w:rPr>
                <w:rFonts w:hint="eastAsia" w:ascii="黑体" w:hAnsi="黑体" w:eastAsia="黑体" w:cs="黑体"/>
                <w:kern w:val="0"/>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勘察（如有）</w:t>
            </w:r>
            <w:r>
              <w:rPr>
                <w:rFonts w:hint="eastAsia" w:ascii="楷体_GB2312" w:hAnsi="楷体_GB2312" w:eastAsia="楷体_GB2312" w:cs="楷体_GB2312"/>
                <w:b/>
                <w:bCs/>
                <w:kern w:val="0"/>
                <w:sz w:val="24"/>
              </w:rPr>
              <w:sym w:font="Wingdings" w:char="00FE"/>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现场及试验室工作执行标准情况、工程勘察实施情况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cs="仿宋_GB2312"/>
                <w:bCs/>
                <w:sz w:val="21"/>
                <w:szCs w:val="21"/>
              </w:rPr>
              <w:t>技术孔、控制性钻孔比例是否满足规范要求；地质异常段是否加密勘探孔，遇断裂、洞穴等不良地质时勘探孔加深是否足够，</w:t>
            </w:r>
            <w:r>
              <w:rPr>
                <w:rFonts w:hint="eastAsia" w:ascii="仿宋_GB2312" w:hAnsi="仿宋_GB2312" w:cs="仿宋_GB2312"/>
                <w:sz w:val="21"/>
                <w:szCs w:val="21"/>
              </w:rPr>
              <w:t>取样数量、方法是否满足规范要求。</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基本满足要求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原位测试手段选用、设备性能、数量、深度是否满足要求，水文地质试验方法选择是否合理（必要时）等。</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室内试验项目是否满足岩土性质、工程类型、设计、施工需要，</w:t>
            </w:r>
            <w:r>
              <w:rPr>
                <w:rFonts w:hint="eastAsia" w:ascii="仿宋_GB2312" w:hAnsi="仿宋_GB2312" w:cs="仿宋_GB2312"/>
                <w:bCs/>
                <w:sz w:val="21"/>
                <w:szCs w:val="21"/>
              </w:rPr>
              <w:t>主要土层试验数量是否满足规范要求。</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基本满足要求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编制技术文件、工程勘察成果情况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岩土层划分依据是否合理、岩土层划分是否正确。</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正确</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岩土物理力学参数等</w:t>
            </w:r>
            <w:r>
              <w:rPr>
                <w:rFonts w:hint="eastAsia" w:ascii="仿宋_GB2312" w:hAnsi="仿宋_GB2312" w:cs="仿宋_GB2312"/>
                <w:sz w:val="21"/>
                <w:szCs w:val="21"/>
              </w:rPr>
              <w:t>勘察成果是否准确，地层、水文地质参数、岩土参数是否与实际情况相符。</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基本相符</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场地与地基的建筑抗震设计基本条件是否准确</w:t>
            </w:r>
            <w:r>
              <w:rPr>
                <w:rFonts w:hint="eastAsia" w:ascii="仿宋_GB2312" w:hAnsi="仿宋_GB2312" w:cs="仿宋_GB2312"/>
                <w:sz w:val="21"/>
                <w:szCs w:val="21"/>
              </w:rPr>
              <w:t>，包括场地类别划分、抗震影响基本参数、地震液化的判别是否准确等。</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准确</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对地质灾害和特殊性岩土的评价是否正确；水和土对建筑材料腐蚀性影响评价是否正确；</w:t>
            </w:r>
            <w:r>
              <w:rPr>
                <w:rFonts w:hint="eastAsia" w:ascii="仿宋_GB2312" w:hAnsi="仿宋_GB2312" w:cs="仿宋_GB2312"/>
                <w:bCs/>
                <w:sz w:val="21"/>
                <w:szCs w:val="21"/>
              </w:rPr>
              <w:t>工程地质、水文地质条件评价及措施建议是否准确合理。</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 xml:space="preserve">基本准确 </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场地稳定性、适宜性评价是否准确、全面。</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 xml:space="preserve">准确 </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成果是否经过内部审核、是否按照强制审查意见进行修改完善。</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已完善</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工程勘察报告是否有注册土木工程师（岩土）签章，签章是否齐全。</w:t>
            </w:r>
          </w:p>
        </w:tc>
        <w:tc>
          <w:tcPr>
            <w:tcW w:w="6325" w:type="dxa"/>
            <w:vAlign w:val="center"/>
          </w:tcPr>
          <w:p>
            <w:p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齐全</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技术文件内容是否存在重要缺漏。</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是否有其他文字、数据、图纸的错误。</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无违反强制性条文</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是否违反，影响工程质量程度如何。</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已落实</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其他工程勘察质量相关内容</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widowControl/>
              <w:spacing w:line="540" w:lineRule="exact"/>
              <w:jc w:val="center"/>
              <w:rPr>
                <w:rFonts w:hint="default" w:ascii="楷体_GB2312" w:hAnsi="楷体_GB2312" w:eastAsia="楷体_GB2312" w:cs="楷体_GB2312"/>
                <w:b/>
                <w:bCs/>
                <w:kern w:val="0"/>
                <w:sz w:val="21"/>
                <w:szCs w:val="21"/>
                <w:lang w:val="en-US" w:eastAsia="zh-CN"/>
              </w:rPr>
            </w:pPr>
            <w:r>
              <w:rPr>
                <w:rFonts w:hint="eastAsia" w:ascii="楷体_GB2312" w:hAnsi="楷体_GB2312" w:eastAsia="楷体_GB2312" w:cs="楷体_GB2312"/>
                <w:b/>
                <w:bCs/>
                <w:kern w:val="0"/>
                <w:sz w:val="21"/>
                <w:szCs w:val="21"/>
              </w:rPr>
              <w:t>设计</w:t>
            </w:r>
            <w:r>
              <w:rPr>
                <w:rFonts w:hint="eastAsia" w:ascii="楷体_GB2312" w:hAnsi="楷体_GB2312" w:eastAsia="楷体_GB2312" w:cs="楷体_GB2312"/>
                <w:b/>
                <w:bCs/>
                <w:kern w:val="0"/>
                <w:sz w:val="21"/>
                <w:szCs w:val="21"/>
                <w:lang w:val="en-US" w:eastAsia="zh-CN"/>
              </w:rPr>
              <w:t xml:space="preserve">   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设计依据的规范、标准是否准确；基础资料是否满足要求；设计是否执行立项、规划、人防等主管部门批文。</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基本符合要求，</w:t>
            </w: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bidi="ar-SA"/>
              </w:rPr>
              <w:t>绿色建筑设计说明专篇设计依据采用的</w:t>
            </w:r>
            <w:r>
              <w:rPr>
                <w:rFonts w:hint="eastAsia" w:ascii="仿宋" w:hAnsi="仿宋" w:eastAsia="仿宋" w:cs="仿宋"/>
                <w:sz w:val="21"/>
                <w:szCs w:val="21"/>
              </w:rPr>
              <w:t>《民用建筑热工设计规范》版本</w:t>
            </w:r>
            <w:r>
              <w:rPr>
                <w:rFonts w:hint="eastAsia" w:ascii="仿宋" w:hAnsi="仿宋" w:eastAsia="仿宋" w:cs="仿宋"/>
                <w:sz w:val="21"/>
                <w:szCs w:val="21"/>
                <w:lang w:val="en-US" w:eastAsia="zh-CN"/>
              </w:rPr>
              <w:t>已废止；</w:t>
            </w:r>
            <w:r>
              <w:rPr>
                <w:rFonts w:hint="eastAsia" w:ascii="仿宋" w:hAnsi="仿宋" w:eastAsia="仿宋" w:cs="仿宋"/>
                <w:b w:val="0"/>
                <w:bCs w:val="0"/>
                <w:color w:val="auto"/>
                <w:kern w:val="2"/>
                <w:sz w:val="21"/>
                <w:szCs w:val="21"/>
                <w:shd w:val="clear" w:color="auto" w:fill="auto"/>
                <w:lang w:val="en-US" w:eastAsia="zh-CN" w:bidi="ar-SA"/>
              </w:rPr>
              <w:t>绿色建筑设计依据缺《广东省绿色建筑设计规范》DBJ/ 15-201-2020；</w:t>
            </w:r>
            <w:r>
              <w:rPr>
                <w:rFonts w:hint="eastAsia" w:ascii="仿宋" w:hAnsi="仿宋" w:eastAsia="仿宋" w:cs="仿宋"/>
                <w:sz w:val="21"/>
                <w:szCs w:val="21"/>
                <w:lang w:val="en-US" w:eastAsia="zh-CN"/>
              </w:rPr>
              <w:t>节能专篇填写的验收依据版本已废止</w:t>
            </w:r>
            <w:r>
              <w:rPr>
                <w:rFonts w:hint="eastAsia" w:ascii="仿宋" w:hAnsi="仿宋" w:eastAsia="仿宋" w:cs="仿宋"/>
                <w:b/>
                <w:bCs/>
                <w:sz w:val="21"/>
                <w:szCs w:val="21"/>
                <w:lang w:eastAsia="zh-CN"/>
              </w:rPr>
              <w:t>。</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设计文件编制深度</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完整性</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c>
          <w:tcPr>
            <w:tcW w:w="6325" w:type="dxa"/>
            <w:vAlign w:val="center"/>
          </w:tcPr>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缺</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各层用水点用水压力计算书”、“关键连接构件计算书”。</w:t>
            </w:r>
          </w:p>
          <w:p>
            <w:pPr>
              <w:bidi w:val="0"/>
              <w:spacing w:line="240" w:lineRule="auto"/>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2、</w:t>
            </w:r>
            <w:r>
              <w:rPr>
                <w:rFonts w:hint="eastAsia" w:ascii="仿宋" w:hAnsi="仿宋" w:eastAsia="仿宋" w:cs="仿宋"/>
                <w:sz w:val="21"/>
                <w:szCs w:val="21"/>
              </w:rPr>
              <w:t>绿色建筑设计技术措施编写深度不足，应明确建筑装修后室内空气中的氨、甲醛、苯、总挥发性有机物、氢等污染物浓度具体控制指标要求。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val="en-US" w:eastAsia="zh-CN" w:bidi="ar-SA"/>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是否违反，影响工程质量程度如何。</w:t>
            </w:r>
          </w:p>
        </w:tc>
        <w:tc>
          <w:tcPr>
            <w:tcW w:w="6325" w:type="dxa"/>
            <w:vAlign w:val="center"/>
          </w:tcPr>
          <w:p>
            <w:pPr>
              <w:pStyle w:val="2"/>
              <w:bidi w:val="0"/>
              <w:spacing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建筑入口</w:t>
            </w:r>
            <w:r>
              <w:rPr>
                <w:rFonts w:hint="eastAsia" w:ascii="仿宋" w:hAnsi="仿宋" w:eastAsia="仿宋" w:cs="仿宋"/>
                <w:sz w:val="21"/>
                <w:szCs w:val="21"/>
                <w:lang w:val="en-US" w:eastAsia="zh-CN"/>
              </w:rPr>
              <w:t>未</w:t>
            </w:r>
            <w:r>
              <w:rPr>
                <w:rFonts w:hint="eastAsia" w:ascii="仿宋" w:hAnsi="仿宋" w:eastAsia="仿宋" w:cs="仿宋"/>
                <w:sz w:val="21"/>
                <w:szCs w:val="21"/>
              </w:rPr>
              <w:t>设置可以实现非接触式通行及非接触体温监测的条件</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违反</w:t>
            </w:r>
            <w:r>
              <w:rPr>
                <w:rFonts w:hint="eastAsia" w:ascii="仿宋" w:hAnsi="仿宋" w:eastAsia="仿宋" w:cs="仿宋"/>
                <w:sz w:val="21"/>
                <w:szCs w:val="21"/>
              </w:rPr>
              <w:t>《广东省绿色建筑设计规范》5.2.14</w:t>
            </w:r>
            <w:r>
              <w:rPr>
                <w:rFonts w:hint="eastAsia" w:ascii="仿宋" w:hAnsi="仿宋" w:eastAsia="仿宋" w:cs="仿宋"/>
                <w:sz w:val="21"/>
                <w:szCs w:val="21"/>
                <w:lang w:val="en-US" w:eastAsia="zh-CN"/>
              </w:rPr>
              <w:t>规定</w:t>
            </w:r>
            <w:r>
              <w:rPr>
                <w:rFonts w:hint="eastAsia" w:ascii="仿宋" w:hAnsi="仿宋" w:eastAsia="仿宋" w:cs="仿宋"/>
                <w:sz w:val="21"/>
                <w:szCs w:val="21"/>
              </w:rPr>
              <w:t>。</w:t>
            </w:r>
          </w:p>
          <w:p>
            <w:pPr>
              <w:pStyle w:val="2"/>
              <w:bidi w:val="0"/>
              <w:spacing w:line="240" w:lineRule="auto"/>
              <w:jc w:val="left"/>
              <w:rPr>
                <w:rFonts w:hint="eastAsia" w:ascii="仿宋" w:hAnsi="仿宋" w:eastAsia="仿宋" w:cs="仿宋"/>
                <w:sz w:val="21"/>
                <w:szCs w:val="21"/>
              </w:rPr>
            </w:pPr>
            <w:r>
              <w:rPr>
                <w:rFonts w:hint="eastAsia" w:ascii="仿宋" w:hAnsi="仿宋" w:eastAsia="仿宋" w:cs="仿宋"/>
                <w:sz w:val="21"/>
                <w:szCs w:val="21"/>
                <w:lang w:val="en-US" w:eastAsia="zh-CN"/>
              </w:rPr>
              <w:t>2、结构设计图、建筑设计图均未表达空调室外机遮蔽百叶（格栅）与主体结构连的设计要求，未设置检修和维护条件。违反</w:t>
            </w:r>
            <w:r>
              <w:rPr>
                <w:rFonts w:hint="eastAsia" w:ascii="仿宋" w:hAnsi="仿宋" w:eastAsia="仿宋" w:cs="仿宋"/>
                <w:sz w:val="21"/>
                <w:szCs w:val="21"/>
              </w:rPr>
              <w:t>《广东省绿色建筑设计规范》第</w:t>
            </w:r>
            <w:r>
              <w:rPr>
                <w:rFonts w:hint="eastAsia" w:ascii="仿宋" w:hAnsi="仿宋" w:eastAsia="仿宋" w:cs="仿宋"/>
                <w:sz w:val="21"/>
                <w:szCs w:val="21"/>
                <w:lang w:val="en-US" w:eastAsia="zh-CN"/>
              </w:rPr>
              <w:t>6.2.4</w:t>
            </w:r>
            <w:r>
              <w:rPr>
                <w:rFonts w:hint="eastAsia" w:ascii="仿宋" w:hAnsi="仿宋" w:eastAsia="仿宋" w:cs="仿宋"/>
                <w:sz w:val="21"/>
                <w:szCs w:val="21"/>
              </w:rPr>
              <w:t>条</w:t>
            </w:r>
          </w:p>
          <w:p>
            <w:pPr>
              <w:pStyle w:val="2"/>
              <w:bidi w:val="0"/>
              <w:spacing w:line="240" w:lineRule="auto"/>
              <w:ind w:firstLine="420" w:firstLineChars="200"/>
              <w:jc w:val="left"/>
              <w:rPr>
                <w:rFonts w:hint="eastAsia" w:ascii="Times New Roman" w:hAnsi="Times New Roman" w:eastAsia="宋体" w:cs="Times New Roman"/>
                <w:kern w:val="2"/>
                <w:sz w:val="21"/>
                <w:szCs w:val="21"/>
                <w:lang w:val="en-US" w:eastAsia="zh-CN" w:bidi="ar-SA"/>
              </w:rPr>
            </w:pPr>
            <w:r>
              <w:rPr>
                <w:rFonts w:hint="eastAsia" w:ascii="仿宋" w:hAnsi="仿宋" w:eastAsia="仿宋" w:cs="仿宋"/>
                <w:sz w:val="21"/>
                <w:szCs w:val="21"/>
                <w:lang w:val="en-US" w:eastAsia="zh-CN"/>
              </w:rPr>
              <w:t>3、未编制“年径流总量控制率计算书”、“设计控制雨量计算书”，违反</w:t>
            </w:r>
            <w:r>
              <w:rPr>
                <w:rFonts w:hint="eastAsia" w:ascii="仿宋" w:hAnsi="仿宋" w:eastAsia="仿宋" w:cs="仿宋"/>
                <w:sz w:val="21"/>
                <w:szCs w:val="21"/>
              </w:rPr>
              <w:t>《广东省绿色建筑设计规范》第</w:t>
            </w:r>
            <w:r>
              <w:rPr>
                <w:rFonts w:hint="eastAsia" w:ascii="仿宋" w:hAnsi="仿宋" w:eastAsia="仿宋" w:cs="仿宋"/>
                <w:sz w:val="21"/>
                <w:szCs w:val="21"/>
                <w:lang w:val="en-US" w:eastAsia="zh-CN"/>
              </w:rPr>
              <w:t>4.2.8</w:t>
            </w:r>
            <w:r>
              <w:rPr>
                <w:rFonts w:hint="eastAsia" w:ascii="仿宋" w:hAnsi="仿宋" w:eastAsia="仿宋" w:cs="仿宋"/>
                <w:sz w:val="21"/>
                <w:szCs w:val="21"/>
              </w:rPr>
              <w:t>条</w:t>
            </w:r>
            <w:r>
              <w:rPr>
                <w:rFonts w:hint="eastAsia" w:ascii="仿宋" w:hAnsi="仿宋" w:eastAsia="仿宋" w:cs="仿宋"/>
                <w:sz w:val="21"/>
                <w:szCs w:val="21"/>
                <w:lang w:eastAsia="zh-CN"/>
              </w:rPr>
              <w:t>。</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snapToGrid w:val="0"/>
              <w:spacing w:line="240" w:lineRule="auto"/>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eastAsia="zh-CN"/>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内部审核制度是否完善，校审意见单是否齐全，内部评审、方案会审记录是否齐全，专业间互提资料单是否齐全，内部各级复、审核意见是否落实全面，文件的签署、专业会签是否完整。</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初步设计审查落实</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施工图设计中是否说明初步设计专家意见（包括其它评审意见）的执行情况。</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设计交底</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是否按照要求执行设计交底制度，是否按照要求执行图纸会审制度。</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pacing w:val="20"/>
                <w:sz w:val="21"/>
                <w:szCs w:val="21"/>
              </w:rPr>
              <w:t>设计文件修改、变更</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设计文件修改、变更是否合理，设计变更是否履行规定的程序。</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建筑</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cs="仿宋_GB2312"/>
                <w:sz w:val="21"/>
                <w:szCs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cs="仿宋_GB2312"/>
                <w:sz w:val="21"/>
                <w:szCs w:val="21"/>
                <w:shd w:val="clear" w:color="auto" w:fill="FFFFFF"/>
              </w:rPr>
              <w:t>。</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GB"/>
              </w:rPr>
              <w:t>平面布置中功能分区是否明确，交通组织是否合理，楼层净高尺寸是否满足相关规范要求。消防设计是否满足有关要求，</w:t>
            </w:r>
            <w:r>
              <w:rPr>
                <w:rFonts w:hint="eastAsia" w:ascii="仿宋_GB2312" w:hAnsi="仿宋_GB2312" w:cs="仿宋_GB2312"/>
                <w:sz w:val="21"/>
                <w:szCs w:val="21"/>
              </w:rPr>
              <w:t>消防车道、消防登高救援场地、建筑间距、防火分区、安全疏散、疏散距离、疏散宽度及防火构造措施等是否满足相应的规定。无障碍设计是否满足规范要求。</w:t>
            </w:r>
            <w:r>
              <w:rPr>
                <w:rFonts w:hint="eastAsia" w:ascii="仿宋_GB2312" w:hAnsi="仿宋_GB2312" w:cs="仿宋_GB2312"/>
                <w:sz w:val="21"/>
                <w:szCs w:val="21"/>
                <w:lang w:val="en-GB"/>
              </w:rPr>
              <w:t>项目的使用功能是否满足相关建筑设计规范要求等。</w:t>
            </w:r>
          </w:p>
        </w:tc>
        <w:tc>
          <w:tcPr>
            <w:tcW w:w="6325" w:type="dxa"/>
          </w:tcPr>
          <w:p>
            <w:pPr>
              <w:jc w:val="left"/>
              <w:rPr>
                <w:sz w:val="21"/>
                <w:szCs w:val="21"/>
              </w:rPr>
            </w:pPr>
            <w:r>
              <w:rPr>
                <w:rFonts w:hint="eastAsia"/>
                <w:sz w:val="21"/>
                <w:szCs w:val="21"/>
              </w:rPr>
              <w:t>标准层平面图A</w:t>
            </w:r>
            <w:r>
              <w:rPr>
                <w:sz w:val="21"/>
                <w:szCs w:val="21"/>
              </w:rPr>
              <w:t>1-02~04</w:t>
            </w:r>
            <w:r>
              <w:rPr>
                <w:rFonts w:hint="eastAsia"/>
                <w:sz w:val="21"/>
                <w:szCs w:val="21"/>
              </w:rPr>
              <w:t>：</w:t>
            </w:r>
          </w:p>
          <w:p>
            <w:pPr>
              <w:snapToGrid w:val="0"/>
              <w:spacing w:line="240" w:lineRule="auto"/>
              <w:jc w:val="left"/>
              <w:rPr>
                <w:rFonts w:ascii="仿宋_GB2312" w:hAnsi="仿宋_GB2312" w:cs="仿宋_GB2312"/>
                <w:sz w:val="21"/>
                <w:szCs w:val="21"/>
                <w:lang w:val="en-GB"/>
              </w:rPr>
            </w:pPr>
            <w:r>
              <w:rPr>
                <w:rFonts w:hint="eastAsia"/>
                <w:sz w:val="21"/>
                <w:szCs w:val="21"/>
              </w:rPr>
              <w:t>1）安全间设置在主卧内，主卧的卫生间门窗未做防火门窗，无法保证房间在紧急情况的安全性，违反《建筑设计防火规范》GB50016-2014(2018年版) 5.5.32</w:t>
            </w:r>
          </w:p>
        </w:tc>
        <w:tc>
          <w:tcPr>
            <w:tcW w:w="1426" w:type="dxa"/>
          </w:tcPr>
          <w:p>
            <w:pPr>
              <w:snapToGrid w:val="0"/>
              <w:spacing w:line="240" w:lineRule="auto"/>
              <w:jc w:val="left"/>
              <w:rPr>
                <w:rFonts w:ascii="仿宋_GB2312" w:hAnsi="仿宋_GB2312" w:cs="仿宋_GB2312"/>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结构</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结构选型、结构布置是否存在不合理或投资浪费等问题；荷载取值、结构计算、</w:t>
            </w:r>
            <w:r>
              <w:rPr>
                <w:rFonts w:hint="eastAsia" w:ascii="仿宋_GB2312" w:hAnsi="仿宋_GB2312" w:cs="仿宋_GB2312"/>
                <w:sz w:val="21"/>
                <w:szCs w:val="21"/>
                <w:shd w:val="clear" w:color="auto" w:fill="FFFFFF"/>
              </w:rPr>
              <w:t>结构安全等级、结构重要性系数、结构使用年限及耐久性、抗震设防类别和抗震等级、抗震构造措施等是否符合规范。</w:t>
            </w:r>
          </w:p>
        </w:tc>
        <w:tc>
          <w:tcPr>
            <w:tcW w:w="6325" w:type="dxa"/>
            <w:vAlign w:val="top"/>
          </w:tcPr>
          <w:p>
            <w:pPr>
              <w:snapToGrid w:val="0"/>
              <w:spacing w:line="240" w:lineRule="auto"/>
              <w:jc w:val="left"/>
              <w:rPr>
                <w:rFonts w:ascii="仿宋_GB2312" w:hAnsi="仿宋_GB2312" w:eastAsia="仿宋_GB2312" w:cs="仿宋_GB2312"/>
                <w:kern w:val="2"/>
                <w:sz w:val="21"/>
                <w:szCs w:val="21"/>
                <w:lang w:val="en-US" w:eastAsia="zh-CN" w:bidi="ar-SA"/>
              </w:rPr>
            </w:pPr>
            <w:r>
              <w:rPr>
                <w:rFonts w:ascii="仿宋_GB2312" w:hAnsi="仿宋_GB2312" w:cs="仿宋_GB2312"/>
                <w:sz w:val="21"/>
                <w:szCs w:val="21"/>
              </w:rPr>
              <w:t>合理</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地基基础设计质量检查要点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基础选型及埋深、天然地基持力层、桩端持力层及进入持力层的深度是否合理，是否满足地基承载力、变形及整体稳定要求。抗浮设防水位是否正确，采取的抗浮措施是否合理、可靠。</w:t>
            </w:r>
          </w:p>
        </w:tc>
        <w:tc>
          <w:tcPr>
            <w:tcW w:w="6325" w:type="dxa"/>
            <w:vAlign w:val="top"/>
          </w:tcPr>
          <w:p>
            <w:pPr>
              <w:snapToGrid w:val="0"/>
              <w:spacing w:line="240" w:lineRule="auto"/>
              <w:jc w:val="left"/>
              <w:rPr>
                <w:rFonts w:ascii="仿宋_GB2312" w:hAnsi="仿宋_GB2312" w:eastAsia="仿宋_GB2312" w:cs="仿宋_GB2312"/>
                <w:kern w:val="2"/>
                <w:sz w:val="21"/>
                <w:szCs w:val="21"/>
                <w:lang w:val="en-US" w:eastAsia="zh-CN" w:bidi="ar-SA"/>
              </w:rPr>
            </w:pPr>
            <w:r>
              <w:rPr>
                <w:rFonts w:ascii="仿宋_GB2312" w:hAnsi="仿宋_GB2312" w:cs="仿宋_GB2312"/>
                <w:sz w:val="21"/>
                <w:szCs w:val="21"/>
              </w:rPr>
              <w:t>合理（地下室抗浮非本次抽查范围）</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上部结构及地下室结构设计质量要点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vAlign w:val="top"/>
          </w:tcPr>
          <w:p>
            <w:pPr>
              <w:snapToGrid w:val="0"/>
              <w:spacing w:line="240" w:lineRule="auto"/>
              <w:jc w:val="left"/>
              <w:rPr>
                <w:rFonts w:ascii="仿宋_GB2312" w:hAnsi="仿宋_GB2312" w:eastAsia="仿宋_GB2312" w:cs="仿宋_GB2312"/>
                <w:kern w:val="2"/>
                <w:sz w:val="21"/>
                <w:szCs w:val="21"/>
                <w:lang w:val="en-US" w:eastAsia="zh-CN" w:bidi="ar-SA"/>
              </w:rPr>
            </w:pPr>
            <w:r>
              <w:rPr>
                <w:rFonts w:ascii="仿宋_GB2312" w:hAnsi="仿宋_GB2312" w:cs="仿宋_GB2312"/>
                <w:sz w:val="21"/>
                <w:szCs w:val="21"/>
              </w:rPr>
              <w:t>合理</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给排水</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vAlign w:val="top"/>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r>
              <w:rPr>
                <w:rFonts w:hint="eastAsia" w:ascii="仿宋_GB2312" w:hAnsi="仿宋_GB2312" w:cs="仿宋_GB2312"/>
                <w:sz w:val="21"/>
                <w:szCs w:val="21"/>
              </w:rPr>
              <w:t>给排水设计满足规划及相关要求。</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给排水设计质量检查要点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vAlign w:val="top"/>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给排水系统设计合理，符合规范要求。</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电气</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tcPr>
          <w:p>
            <w:pPr>
              <w:snapToGrid w:val="0"/>
              <w:spacing w:line="240" w:lineRule="auto"/>
              <w:jc w:val="left"/>
              <w:rPr>
                <w:rFonts w:ascii="仿宋_GB2312" w:hAnsi="仿宋_GB2312" w:cs="仿宋_GB2312"/>
                <w:sz w:val="21"/>
                <w:szCs w:val="21"/>
              </w:rPr>
            </w:pPr>
            <w:r>
              <w:rPr>
                <w:rFonts w:ascii="仿宋_GB2312" w:hAnsi="仿宋_GB2312" w:cs="仿宋_GB2312"/>
                <w:sz w:val="21"/>
                <w:szCs w:val="21"/>
              </w:rPr>
              <w:t>图号T-03防雷说明补充</w:t>
            </w:r>
            <w:r>
              <w:rPr>
                <w:rFonts w:hint="eastAsia" w:ascii="仿宋_GB2312" w:hAnsi="仿宋_GB2312" w:cs="仿宋_GB2312"/>
                <w:sz w:val="21"/>
                <w:szCs w:val="21"/>
              </w:rPr>
              <w:t>：《建筑物防雷设计规范》GB50057-2010/第4.1.2条、4.3.5条6款、4.3.8条5款相关说明；</w:t>
            </w:r>
          </w:p>
          <w:p>
            <w:pPr>
              <w:snapToGrid w:val="0"/>
              <w:spacing w:line="240" w:lineRule="auto"/>
              <w:jc w:val="left"/>
              <w:rPr>
                <w:rFonts w:ascii="仿宋_GB2312" w:hAnsi="仿宋_GB2312" w:cs="仿宋_GB2312"/>
                <w:sz w:val="21"/>
                <w:szCs w:val="21"/>
              </w:rPr>
            </w:pP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暖通</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tcPr>
          <w:p>
            <w:pPr>
              <w:snapToGrid w:val="0"/>
              <w:spacing w:line="240" w:lineRule="auto"/>
              <w:jc w:val="left"/>
              <w:rPr>
                <w:rFonts w:ascii="仿宋_GB2312" w:hAnsi="仿宋_GB2312" w:cs="仿宋_GB2312"/>
                <w:sz w:val="21"/>
                <w:szCs w:val="21"/>
              </w:rPr>
            </w:pPr>
            <w:r>
              <w:rPr>
                <w:rFonts w:ascii="仿宋_GB2312" w:hAnsi="仿宋_GB2312" w:cs="仿宋_GB2312"/>
                <w:color w:val="auto"/>
                <w:sz w:val="21"/>
                <w:szCs w:val="21"/>
                <w:highlight w:val="none"/>
              </w:rPr>
              <w:t>本项目未涉及到</w:t>
            </w:r>
            <w:r>
              <w:rPr>
                <w:rFonts w:hint="eastAsia" w:ascii="仿宋_GB2312" w:hAnsi="仿宋_GB2312" w:cs="仿宋_GB2312"/>
                <w:color w:val="auto"/>
                <w:sz w:val="21"/>
                <w:szCs w:val="21"/>
                <w:highlight w:val="none"/>
              </w:rPr>
              <w:t>空调负荷计算。屋面的电梯机房通风系统设置合理。</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消防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tcPr>
          <w:p>
            <w:pPr>
              <w:snapToGrid w:val="0"/>
              <w:spacing w:line="240" w:lineRule="auto"/>
              <w:jc w:val="left"/>
              <w:rPr>
                <w:rFonts w:ascii="仿宋_GB2312" w:hAnsi="仿宋_GB2312" w:cs="仿宋_GB2312"/>
                <w:sz w:val="21"/>
                <w:szCs w:val="21"/>
              </w:rPr>
            </w:pP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消防设计质量检查要点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类别和耐火等级：建筑类别，建筑耐火等级，建筑构件的耐火极限和燃烧性能；总平面布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tcPr>
          <w:p>
            <w:pPr>
              <w:jc w:val="left"/>
              <w:rPr>
                <w:sz w:val="21"/>
                <w:szCs w:val="21"/>
              </w:rPr>
            </w:pPr>
            <w:r>
              <w:rPr>
                <w:rFonts w:hint="eastAsia"/>
                <w:sz w:val="21"/>
                <w:szCs w:val="21"/>
                <w:lang w:val="en-US" w:eastAsia="zh-CN"/>
              </w:rPr>
              <w:t>1.</w:t>
            </w:r>
            <w:r>
              <w:rPr>
                <w:rFonts w:hint="eastAsia"/>
                <w:sz w:val="21"/>
                <w:szCs w:val="21"/>
              </w:rPr>
              <w:t>标准层平面图A</w:t>
            </w:r>
            <w:r>
              <w:rPr>
                <w:sz w:val="21"/>
                <w:szCs w:val="21"/>
              </w:rPr>
              <w:t>1-02~04</w:t>
            </w:r>
            <w:r>
              <w:rPr>
                <w:rFonts w:hint="eastAsia"/>
                <w:sz w:val="21"/>
                <w:szCs w:val="21"/>
              </w:rPr>
              <w:t>：</w:t>
            </w:r>
          </w:p>
          <w:p>
            <w:pPr>
              <w:numPr>
                <w:ilvl w:val="0"/>
                <w:numId w:val="0"/>
              </w:numPr>
              <w:snapToGrid w:val="0"/>
              <w:spacing w:line="240" w:lineRule="auto"/>
              <w:jc w:val="left"/>
              <w:rPr>
                <w:rFonts w:hint="eastAsia"/>
                <w:sz w:val="21"/>
                <w:szCs w:val="21"/>
                <w:lang w:eastAsia="zh-CN"/>
              </w:rPr>
            </w:pPr>
            <w:r>
              <w:rPr>
                <w:rFonts w:hint="eastAsia"/>
                <w:sz w:val="21"/>
                <w:szCs w:val="21"/>
              </w:rPr>
              <w:t xml:space="preserve">安全间设置在主卧内，主卧的卫生间门窗未做防火门窗，无法保证房间在紧急情况的安全性，违反《建筑设计防火规范》GB50016-2014(2018年版) </w:t>
            </w:r>
            <w:r>
              <w:rPr>
                <w:sz w:val="21"/>
                <w:szCs w:val="21"/>
              </w:rPr>
              <w:t>5.5.32</w:t>
            </w:r>
            <w:r>
              <w:rPr>
                <w:rFonts w:hint="eastAsia"/>
                <w:sz w:val="21"/>
                <w:szCs w:val="21"/>
                <w:lang w:eastAsia="zh-CN"/>
              </w:rPr>
              <w:t>；</w:t>
            </w:r>
          </w:p>
          <w:p>
            <w:pPr>
              <w:numPr>
                <w:ilvl w:val="0"/>
                <w:numId w:val="0"/>
              </w:num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2.</w:t>
            </w:r>
            <w:r>
              <w:rPr>
                <w:rFonts w:ascii="仿宋_GB2312" w:hAnsi="仿宋_GB2312" w:cs="仿宋_GB2312"/>
                <w:sz w:val="21"/>
                <w:szCs w:val="21"/>
              </w:rPr>
              <w:t>图号4-07防火门监控系统</w:t>
            </w:r>
            <w:r>
              <w:rPr>
                <w:rFonts w:hint="eastAsia" w:ascii="仿宋_GB2312" w:hAnsi="仿宋_GB2312" w:cs="仿宋_GB2312"/>
                <w:sz w:val="21"/>
                <w:szCs w:val="21"/>
              </w:rPr>
              <w:t>：标准层合用前室的门为</w:t>
            </w:r>
            <w:r>
              <w:rPr>
                <w:rFonts w:ascii="仿宋_GB2312" w:hAnsi="仿宋_GB2312" w:cs="仿宋_GB2312"/>
                <w:sz w:val="21"/>
                <w:szCs w:val="21"/>
              </w:rPr>
              <w:t>常开开防火门</w:t>
            </w:r>
            <w:r>
              <w:rPr>
                <w:rFonts w:hint="eastAsia" w:ascii="仿宋_GB2312" w:hAnsi="仿宋_GB2312" w:cs="仿宋_GB2312"/>
                <w:sz w:val="21"/>
                <w:szCs w:val="21"/>
              </w:rPr>
              <w:t>，应给常开</w:t>
            </w:r>
            <w:r>
              <w:rPr>
                <w:rFonts w:ascii="仿宋_GB2312" w:hAnsi="仿宋_GB2312" w:cs="仿宋_GB2312"/>
                <w:sz w:val="21"/>
                <w:szCs w:val="21"/>
              </w:rPr>
              <w:t>门磁开关</w:t>
            </w:r>
            <w:r>
              <w:rPr>
                <w:rFonts w:hint="eastAsia" w:ascii="仿宋_GB2312" w:hAnsi="仿宋_GB2312" w:cs="仿宋_GB2312"/>
                <w:sz w:val="21"/>
                <w:szCs w:val="21"/>
              </w:rPr>
              <w:t>C</w:t>
            </w:r>
            <w:r>
              <w:rPr>
                <w:rFonts w:ascii="仿宋_GB2312" w:hAnsi="仿宋_GB2312" w:cs="仿宋_GB2312"/>
                <w:sz w:val="21"/>
                <w:szCs w:val="21"/>
              </w:rPr>
              <w:t>K2配置</w:t>
            </w:r>
            <w:r>
              <w:rPr>
                <w:rFonts w:hint="eastAsia" w:ascii="仿宋_GB2312" w:hAnsi="仿宋_GB2312" w:cs="仿宋_GB2312"/>
                <w:sz w:val="21"/>
                <w:szCs w:val="21"/>
              </w:rPr>
              <w:t>电源；火灾自动平面图也相应增加电源线；</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人防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snapToGrid w:val="0"/>
              <w:spacing w:line="240" w:lineRule="auto"/>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cs="仿宋_GB2312"/>
                <w:sz w:val="21"/>
                <w:szCs w:val="21"/>
                <w:lang w:val="en-GB"/>
              </w:rPr>
              <w:t>。</w:t>
            </w:r>
          </w:p>
        </w:tc>
        <w:tc>
          <w:tcPr>
            <w:tcW w:w="6325"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是否执行无障碍环境建设、配套幼儿园建设、配套通信设施、充电场所等标准规定。</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rPr>
                <w:rFonts w:ascii="仿宋_GB2312" w:hAnsi="仿宋_GB2312" w:cs="仿宋_GB2312"/>
                <w:sz w:val="21"/>
                <w:szCs w:val="21"/>
              </w:rPr>
            </w:pPr>
            <w:r>
              <w:rPr>
                <w:rFonts w:hint="eastAsia" w:ascii="仿宋_GB2312" w:hAnsi="仿宋_GB2312" w:cs="仿宋_GB2312"/>
                <w:sz w:val="21"/>
                <w:szCs w:val="21"/>
              </w:rPr>
              <w:t>其他工程设计质量相关内容</w:t>
            </w:r>
          </w:p>
        </w:tc>
        <w:tc>
          <w:tcPr>
            <w:tcW w:w="6325" w:type="dxa"/>
            <w:vAlign w:val="center"/>
          </w:tcPr>
          <w:p>
            <w:pPr>
              <w:snapToGrid w:val="0"/>
              <w:spacing w:line="240" w:lineRule="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rPr>
                <w:rFonts w:ascii="仿宋_GB2312" w:hAnsi="仿宋_GB2312" w:cs="仿宋_GB2312"/>
                <w:sz w:val="21"/>
                <w:szCs w:val="21"/>
              </w:rPr>
            </w:pPr>
          </w:p>
        </w:tc>
      </w:tr>
    </w:tbl>
    <w:p/>
    <w:p/>
    <w:sectPr>
      <w:headerReference r:id="rId5" w:type="default"/>
      <w:footerReference r:id="rId6" w:type="default"/>
      <w:pgSz w:w="16838" w:h="11906" w:orient="landscape"/>
      <w:pgMar w:top="1587" w:right="1644" w:bottom="1474" w:left="1417" w:header="851" w:footer="992" w:gutter="0"/>
      <w:pgNumType w:fmt="numberInDash" w:start="7"/>
      <w:cols w:space="0" w:num="1"/>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sz w:val="18"/>
      </w:rPr>
    </w:pPr>
    <w:r>
      <w:rPr>
        <w:rFonts w:ascii="Times New Roman" w:hAnsi="Times New Roman" w:eastAsia="宋体"/>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仿宋_GB2312"/>
        <w:lang w:val="en-US" w:eastAsia="zh-CN"/>
      </w:rPr>
    </w:pPr>
    <w:r>
      <w:rPr>
        <w:rFonts w:hint="eastAsia"/>
        <w:lang w:val="en-US" w:eastAsia="zh-CN"/>
      </w:rPr>
      <w:t>03号抽查项目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2A101"/>
    <w:multiLevelType w:val="singleLevel"/>
    <w:tmpl w:val="FDF2A101"/>
    <w:lvl w:ilvl="0" w:tentative="0">
      <w:start w:val="1"/>
      <w:numFmt w:val="decimal"/>
      <w:suff w:val="nothing"/>
      <w:lvlText w:val="%1、"/>
      <w:lvlJc w:val="left"/>
    </w:lvl>
  </w:abstractNum>
  <w:abstractNum w:abstractNumId="1">
    <w:nsid w:val="2BF70E3A"/>
    <w:multiLevelType w:val="singleLevel"/>
    <w:tmpl w:val="2BF70E3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zBkNGQzYjA2ZWY4MTU1YmNjMzRlYjgyM2M1MmEifQ=="/>
  </w:docVars>
  <w:rsids>
    <w:rsidRoot w:val="27FEE89E"/>
    <w:rsid w:val="002A644D"/>
    <w:rsid w:val="00390D0A"/>
    <w:rsid w:val="005A221A"/>
    <w:rsid w:val="00873444"/>
    <w:rsid w:val="008F3E2F"/>
    <w:rsid w:val="00912AB2"/>
    <w:rsid w:val="00B37AE3"/>
    <w:rsid w:val="00B56EFF"/>
    <w:rsid w:val="00E377A3"/>
    <w:rsid w:val="00E9799E"/>
    <w:rsid w:val="00F51227"/>
    <w:rsid w:val="00F90AD6"/>
    <w:rsid w:val="0D2857E3"/>
    <w:rsid w:val="10E779D1"/>
    <w:rsid w:val="1A611FC9"/>
    <w:rsid w:val="27FEE89E"/>
    <w:rsid w:val="349F6DE3"/>
    <w:rsid w:val="4C883958"/>
    <w:rsid w:val="4D1164C3"/>
    <w:rsid w:val="55BFBC0F"/>
    <w:rsid w:val="61B06D68"/>
    <w:rsid w:val="680F3D7B"/>
    <w:rsid w:val="777551F4"/>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paragraph" w:styleId="3">
    <w:name w:val="footer"/>
    <w:basedOn w:val="1"/>
    <w:link w:val="8"/>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8">
    <w:name w:val="页脚 Char"/>
    <w:basedOn w:val="7"/>
    <w:link w:val="3"/>
    <w:qFormat/>
    <w:uiPriority w:val="0"/>
    <w:rPr>
      <w:rFonts w:ascii="Calibri" w:hAnsi="Calibri" w:eastAsia="仿宋_GB2312" w:cs="Times New Roman"/>
      <w:kern w:val="2"/>
      <w:sz w:val="18"/>
      <w:szCs w:val="18"/>
    </w:rPr>
  </w:style>
  <w:style w:type="paragraph" w:styleId="9">
    <w:name w:val="List Paragraph"/>
    <w:basedOn w:val="1"/>
    <w:qFormat/>
    <w:uiPriority w:val="34"/>
    <w:pPr>
      <w:spacing w:line="240" w:lineRule="auto"/>
      <w:ind w:firstLine="420" w:firstLineChars="200"/>
    </w:pPr>
    <w:rPr>
      <w:rFonts w:eastAsia="宋体"/>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4270</Words>
  <Characters>4389</Characters>
  <Lines>26</Lines>
  <Paragraphs>7</Paragraphs>
  <TotalTime>14</TotalTime>
  <ScaleCrop>false</ScaleCrop>
  <LinksUpToDate>false</LinksUpToDate>
  <CharactersWithSpaces>4448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2022-12-19T11:12:52Z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C7CEEF9C27E243EFA279047FDF408C6E</vt:lpwstr>
  </property>
</Properties>
</file>