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p>
    <w:p>
      <w:pPr>
        <w:jc w:val="center"/>
        <w:rPr>
          <w:rFonts w:hint="eastAsia" w:ascii="仿宋" w:hAnsi="仿宋" w:eastAsia="仿宋"/>
          <w:b/>
          <w:bCs/>
          <w:sz w:val="36"/>
          <w:szCs w:val="36"/>
        </w:rPr>
      </w:pPr>
      <w:bookmarkStart w:id="0" w:name="_GoBack"/>
      <w:bookmarkEnd w:id="0"/>
    </w:p>
    <w:p>
      <w:pPr>
        <w:jc w:val="center"/>
        <w:rPr>
          <w:rFonts w:hint="eastAsia" w:ascii="仿宋" w:hAnsi="仿宋" w:eastAsia="仿宋"/>
          <w:b/>
          <w:bCs/>
          <w:sz w:val="36"/>
          <w:szCs w:val="36"/>
          <w:lang w:eastAsia="zh-CN"/>
        </w:rPr>
      </w:pPr>
      <w:r>
        <w:rPr>
          <w:rFonts w:hint="eastAsia" w:ascii="仿宋" w:hAnsi="仿宋" w:eastAsia="仿宋"/>
          <w:b/>
          <w:bCs/>
          <w:sz w:val="36"/>
          <w:szCs w:val="36"/>
        </w:rPr>
        <w:t>湛江金沙湾海滨浴场</w:t>
      </w:r>
      <w:r>
        <w:rPr>
          <w:rFonts w:hint="eastAsia" w:ascii="仿宋" w:hAnsi="仿宋" w:eastAsia="仿宋"/>
          <w:b/>
          <w:bCs/>
          <w:sz w:val="36"/>
          <w:szCs w:val="36"/>
          <w:lang w:eastAsia="zh-CN"/>
        </w:rPr>
        <w:t>及渔港公园海滨浴场</w:t>
      </w:r>
    </w:p>
    <w:p>
      <w:pPr>
        <w:jc w:val="center"/>
        <w:rPr>
          <w:rFonts w:hint="eastAsia" w:ascii="仿宋" w:hAnsi="仿宋" w:eastAsia="仿宋" w:cs="仿宋"/>
          <w:b/>
          <w:bCs/>
          <w:sz w:val="36"/>
          <w:szCs w:val="36"/>
          <w:lang w:eastAsia="zh-CN"/>
        </w:rPr>
      </w:pPr>
      <w:r>
        <w:rPr>
          <w:rFonts w:hint="eastAsia" w:ascii="仿宋" w:hAnsi="仿宋" w:eastAsia="仿宋"/>
          <w:b/>
          <w:bCs/>
          <w:sz w:val="36"/>
          <w:szCs w:val="36"/>
          <w:lang w:eastAsia="zh-CN"/>
        </w:rPr>
        <w:t>设施设备存放仓库租赁</w:t>
      </w:r>
      <w:r>
        <w:rPr>
          <w:rFonts w:hint="eastAsia" w:ascii="仿宋" w:hAnsi="仿宋" w:eastAsia="仿宋" w:cs="仿宋"/>
          <w:b/>
          <w:bCs/>
          <w:sz w:val="36"/>
          <w:szCs w:val="36"/>
          <w:lang w:eastAsia="zh-CN"/>
        </w:rPr>
        <w:t>报价表</w:t>
      </w:r>
    </w:p>
    <w:tbl>
      <w:tblPr>
        <w:tblStyle w:val="3"/>
        <w:tblpPr w:leftFromText="180" w:rightFromText="180" w:vertAnchor="text" w:horzAnchor="page" w:tblpX="1168" w:tblpY="136"/>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rPr>
              <w:t>项目名称</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rPr>
              <w:t>报价单位名称</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1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sz w:val="32"/>
                <w:szCs w:val="32"/>
                <w:lang w:eastAsia="zh-CN"/>
              </w:rPr>
            </w:pPr>
            <w:r>
              <w:rPr>
                <w:rFonts w:hint="eastAsia" w:ascii="仿宋" w:hAnsi="仿宋" w:eastAsia="仿宋" w:cs="仿宋"/>
                <w:b/>
                <w:spacing w:val="-20"/>
                <w:sz w:val="32"/>
                <w:szCs w:val="32"/>
                <w:lang w:eastAsia="zh-CN"/>
              </w:rPr>
              <w:t>是否响应询价方《湛江金沙湾海滨浴场及渔港公园海滨浴场设施设备存放仓库租赁租赁询价单》所有项目要求</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仓库使用面积</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仓库层高</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邻近标准双车道公路距离</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仓库所在楼层</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仓库大门宽度和高度</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149" w:type="dxa"/>
            <w:vAlign w:val="center"/>
          </w:tcPr>
          <w:p>
            <w:pPr>
              <w:jc w:val="center"/>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eastAsia="zh-CN"/>
              </w:rPr>
              <w:t>仓库室内是否有照明灯</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pacing w:val="-23"/>
                <w:sz w:val="32"/>
                <w:szCs w:val="32"/>
                <w:vertAlign w:val="baseline"/>
                <w:lang w:eastAsia="zh-CN"/>
              </w:rPr>
              <w:t>仓库与湛江金沙湾海滨浴场直线距离</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1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sz w:val="32"/>
                <w:szCs w:val="32"/>
              </w:rPr>
              <w:t>项目总报价（含税）</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149" w:type="dxa"/>
            <w:vAlign w:val="center"/>
          </w:tcPr>
          <w:p>
            <w:pPr>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联系人</w:t>
            </w:r>
          </w:p>
        </w:tc>
        <w:tc>
          <w:tcPr>
            <w:tcW w:w="4616" w:type="dxa"/>
          </w:tcPr>
          <w:p>
            <w:pPr>
              <w:rPr>
                <w:rFonts w:hint="eastAsia" w:ascii="仿宋" w:hAnsi="仿宋" w:eastAsia="仿宋" w:cs="仿宋"/>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49" w:type="dxa"/>
            <w:vAlign w:val="center"/>
          </w:tcPr>
          <w:p>
            <w:pPr>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联系电话</w:t>
            </w:r>
          </w:p>
        </w:tc>
        <w:tc>
          <w:tcPr>
            <w:tcW w:w="4616" w:type="dxa"/>
          </w:tcPr>
          <w:p>
            <w:pPr>
              <w:rPr>
                <w:rFonts w:hint="eastAsia" w:ascii="仿宋" w:hAnsi="仿宋" w:eastAsia="仿宋" w:cs="仿宋"/>
                <w:b/>
                <w:bCs/>
                <w:sz w:val="30"/>
                <w:szCs w:val="30"/>
                <w:vertAlign w:val="baseline"/>
                <w:lang w:eastAsia="zh-CN"/>
              </w:rPr>
            </w:pPr>
          </w:p>
        </w:tc>
      </w:tr>
    </w:tbl>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填表时间：</w:t>
      </w:r>
      <w:r>
        <w:rPr>
          <w:rFonts w:hint="eastAsia" w:ascii="仿宋" w:hAnsi="仿宋" w:eastAsia="仿宋" w:cs="仿宋"/>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pacing w:val="-11"/>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val="0"/>
          <w:bCs/>
          <w:sz w:val="30"/>
          <w:szCs w:val="30"/>
          <w:lang w:val="en-US" w:eastAsia="zh-CN"/>
        </w:rPr>
      </w:pPr>
      <w:r>
        <w:rPr>
          <w:rFonts w:hint="eastAsia" w:ascii="仿宋" w:hAnsi="仿宋" w:eastAsia="仿宋" w:cs="仿宋"/>
          <w:b w:val="0"/>
          <w:bCs/>
          <w:spacing w:val="-11"/>
          <w:sz w:val="30"/>
          <w:szCs w:val="30"/>
        </w:rPr>
        <w:t>注：该报价为一次性总包干报价，必须符合询价方《湛江金沙湾海滨浴场</w:t>
      </w:r>
      <w:r>
        <w:rPr>
          <w:rFonts w:hint="eastAsia" w:ascii="仿宋" w:hAnsi="仿宋" w:eastAsia="仿宋" w:cs="仿宋"/>
          <w:b w:val="0"/>
          <w:bCs/>
          <w:spacing w:val="-11"/>
          <w:sz w:val="30"/>
          <w:szCs w:val="30"/>
          <w:lang w:eastAsia="zh-CN"/>
        </w:rPr>
        <w:t>及渔港公园海滨浴场设施设备存放仓库租赁租赁</w:t>
      </w:r>
      <w:r>
        <w:rPr>
          <w:rFonts w:hint="eastAsia" w:ascii="仿宋" w:hAnsi="仿宋" w:eastAsia="仿宋" w:cs="仿宋"/>
          <w:b w:val="0"/>
          <w:bCs/>
          <w:spacing w:val="-11"/>
          <w:sz w:val="30"/>
          <w:szCs w:val="30"/>
        </w:rPr>
        <w:t>询价单》所有项目要求。</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B5C45"/>
    <w:rsid w:val="090570EF"/>
    <w:rsid w:val="0C346F26"/>
    <w:rsid w:val="132B5C45"/>
    <w:rsid w:val="51363F3D"/>
    <w:rsid w:val="6F4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2021-08-09T11:11:00Z</dcterms:created>
  <dc:creator>悟空</dc:creator>
  <cp:lastModifiedBy>悟空</cp:lastModifiedBy>
  <cp:lastPrinted>2021-12-14T15:35:26Z</cp:lastPrinted>
  <dcterms:modified xsi:type="dcterms:W3CDTF">2021-12-24T04:28:25Z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E3852E7242214782BD0BCD429FE5700C</vt:lpwstr>
  </property>
</Properties>
</file>