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440801-2025-00916</w:t>
      </w:r>
    </w:p>
    <w:p>
      <w:pPr>
        <w:pStyle w:val="null3"/>
        <w:jc w:val="center"/>
        <w:outlineLvl w:val="3"/>
      </w:pPr>
      <w:r>
        <w:rPr>
          <w:sz w:val="24"/>
          <w:b/>
        </w:rPr>
        <w:t>采购项目编号：</w:t>
      </w:r>
      <w:r>
        <w:rPr>
          <w:sz w:val="24"/>
          <w:b/>
        </w:rPr>
        <w:t>ZJCG2025-VC012</w:t>
      </w:r>
    </w:p>
    <w:p>
      <w:pPr>
        <w:pStyle w:val="null3"/>
        <w:jc w:val="center"/>
        <w:outlineLvl w:val="3"/>
      </w:pPr>
      <w:r>
        <w:rPr>
          <w:sz w:val="24"/>
          <w:b/>
        </w:rPr>
        <w:t>项目名称：</w:t>
      </w:r>
      <w:r>
        <w:rPr>
          <w:sz w:val="24"/>
          <w:b/>
        </w:rPr>
        <w:t>第十五届全国运动会群众比赛足球项目（五人制足球女子组、女子老将组）承办服务</w:t>
      </w:r>
    </w:p>
    <w:p>
      <w:pPr>
        <w:pStyle w:val="null3"/>
        <w:jc w:val="center"/>
        <w:outlineLvl w:val="3"/>
      </w:pPr>
      <w:r>
        <w:rPr>
          <w:sz w:val="24"/>
          <w:b/>
        </w:rPr>
        <w:t>采购人：</w:t>
      </w:r>
      <w:r>
        <w:rPr>
          <w:sz w:val="24"/>
          <w:b/>
        </w:rPr>
        <w:t>湛江市文化广电旅游体育局</w:t>
      </w:r>
    </w:p>
    <w:p>
      <w:pPr>
        <w:pStyle w:val="null3"/>
        <w:jc w:val="center"/>
        <w:outlineLvl w:val="3"/>
      </w:pPr>
      <w:r>
        <w:rPr>
          <w:sz w:val="24"/>
          <w:b/>
        </w:rPr>
        <w:t>采购代理机构：</w:t>
      </w:r>
      <w:r>
        <w:rPr>
          <w:sz w:val="24"/>
          <w:b/>
        </w:rPr>
        <w:t>广东万诚工程造价咨询有限公司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广东万诚工程造价咨询有限公司</w:t>
      </w:r>
      <w:r>
        <w:rPr/>
        <w:t>受</w:t>
      </w:r>
      <w:r>
        <w:rPr/>
        <w:t>湛江市文化广电旅游体育局</w:t>
      </w:r>
      <w:r>
        <w:rPr/>
        <w:t>的委托，采用</w:t>
      </w:r>
      <w:r>
        <w:rPr/>
        <w:t>竞争性磋商</w:t>
      </w:r>
      <w:r>
        <w:rPr/>
        <w:t>方式组织采购</w:t>
      </w:r>
      <w:r>
        <w:rPr/>
        <w:t>第十五届全国运动会群众比赛足球项目（五人制足球女子组、女子老将组）承办服务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第十五届全国运动会群众比赛足球项目（五人制足球女子组、女子老将组）承办服务</w:t>
      </w:r>
    </w:p>
    <w:p>
      <w:pPr>
        <w:pStyle w:val="null3"/>
        <w:ind w:firstLine="480"/>
      </w:pPr>
      <w:r>
        <w:rPr/>
        <w:t>采购计划编号：</w:t>
      </w:r>
      <w:r>
        <w:rPr/>
        <w:t>440801-2025-00916</w:t>
      </w:r>
    </w:p>
    <w:p>
      <w:pPr>
        <w:pStyle w:val="null3"/>
        <w:ind w:firstLine="480"/>
      </w:pPr>
      <w:r>
        <w:rPr/>
        <w:t>采购项目编号：</w:t>
      </w:r>
      <w:r>
        <w:rPr/>
        <w:t>ZJCG2025-VC012</w:t>
      </w:r>
    </w:p>
    <w:p>
      <w:pPr>
        <w:pStyle w:val="null3"/>
        <w:ind w:firstLine="480"/>
      </w:pPr>
      <w:r>
        <w:rPr/>
        <w:t>采购方式：</w:t>
      </w:r>
      <w:r>
        <w:rPr/>
        <w:t>竞争性磋商</w:t>
      </w:r>
    </w:p>
    <w:p>
      <w:pPr>
        <w:pStyle w:val="null3"/>
        <w:ind w:firstLine="480"/>
      </w:pPr>
      <w:r>
        <w:rPr/>
        <w:t>预算金额：</w:t>
      </w:r>
      <w:r>
        <w:rPr/>
        <w:t>3,281,511.00</w:t>
      </w:r>
      <w:r>
        <w:rPr/>
        <w:t>元</w:t>
      </w:r>
    </w:p>
    <w:p>
      <w:pPr>
        <w:pStyle w:val="null3"/>
        <w:outlineLvl w:val="3"/>
      </w:pPr>
      <w:r>
        <w:rPr>
          <w:sz w:val="24"/>
          <w:b/>
        </w:rPr>
        <w:t>2.项目内容及需求情况（采购项目技术规格、参数及要求）</w:t>
      </w:r>
    </w:p>
    <w:p>
      <w:pPr>
        <w:pStyle w:val="null3"/>
      </w:pPr>
      <w:r>
        <w:rPr/>
        <w:t>采购包1(第十五届全国运动会群众比赛足球项目（五人制足球女子组、女子老将组）承办服务):</w:t>
      </w:r>
    </w:p>
    <w:p>
      <w:pPr>
        <w:pStyle w:val="null3"/>
      </w:pPr>
      <w:r>
        <w:rPr/>
        <w:t>采购包预算金额：3,281,511.00元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其他体育服务</w:t>
            </w:r>
          </w:p>
        </w:tc>
        <w:tc>
          <w:tcPr>
            <w:tcW w:type="dxa" w:w="2052"/>
          </w:tcPr>
          <w:p>
            <w:pPr>
              <w:pStyle w:val="null3"/>
            </w:pPr>
            <w:r>
              <w:rPr/>
              <w:t>第十五届全国运动会群众比赛足球项目（五人制足球女子组、女子老将组）承办服务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3,281,511.00</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合同履行期限：合同签订之日起至赛事全部结束为止。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2）有依法缴纳税收和社会保障资金的良好记录：响应文件中提供《资格承诺函》。</w:t>
      </w:r>
    </w:p>
    <w:p>
      <w:pPr>
        <w:pStyle w:val="null3"/>
      </w:pPr>
      <w:r>
        <w:rPr/>
        <w:t>3）具有良好的商业信誉和健全的财务会计制度：响应文件中提供《资格承诺函》。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5）参加采购活动前3年内，在经营活动中没有重大违法记录：参加采购活动前3年内，在经营活动中没有重大违法记录：响应文件中提供《资格承诺函》。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采购包1（第十五届全国运动会群众比赛足球项目（五人制足球女子组、女子老将组）承办服务）：</w:t>
      </w:r>
      <w:r>
        <w:rPr/>
        <w:t>按财政部、工业和信息化部印发的《政府采购促进中小企业发展管理办法》（财库﹝2020﹞46 号）要求，本项目专门面向中小企业采购。本项目中小企业划分标准所属行业：其他未列明行业。</w:t>
      </w:r>
    </w:p>
    <w:p>
      <w:pPr>
        <w:pStyle w:val="null3"/>
        <w:outlineLvl w:val="3"/>
      </w:pPr>
      <w:r>
        <w:rPr>
          <w:sz w:val="24"/>
          <w:b/>
        </w:rPr>
        <w:t>3.本项目特定的资格要求：</w:t>
      </w:r>
    </w:p>
    <w:p>
      <w:pPr>
        <w:pStyle w:val="null3"/>
      </w:pPr>
      <w:r>
        <w:rPr/>
        <w:t>采购包1（第十五届全国运动会群众比赛足球项目（五人制足球女子组、女子老将组）承办服务）：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湛江市文化广电旅游体育局</w:t>
      </w:r>
    </w:p>
    <w:p>
      <w:pPr>
        <w:pStyle w:val="null3"/>
        <w:ind w:firstLine="480"/>
      </w:pPr>
      <w:r>
        <w:rPr/>
        <w:t>地址：</w:t>
      </w:r>
      <w:r>
        <w:rPr/>
        <w:t>广东省湛江市赤坎区体育北路15号湛江商务大厦8楼</w:t>
      </w:r>
    </w:p>
    <w:p>
      <w:pPr>
        <w:pStyle w:val="null3"/>
        <w:ind w:firstLine="480"/>
      </w:pPr>
      <w:r>
        <w:rPr/>
        <w:t>联系方式：</w:t>
      </w:r>
      <w:r>
        <w:rPr/>
        <w:t>18575920976</w:t>
      </w:r>
    </w:p>
    <w:p>
      <w:pPr>
        <w:pStyle w:val="null3"/>
        <w:outlineLvl w:val="3"/>
      </w:pPr>
      <w:r>
        <w:rPr>
          <w:sz w:val="24"/>
          <w:b/>
        </w:rPr>
        <w:t>2.采购代理机构信息</w:t>
      </w:r>
    </w:p>
    <w:p>
      <w:pPr>
        <w:pStyle w:val="null3"/>
        <w:ind w:firstLine="480"/>
      </w:pPr>
      <w:r>
        <w:rPr/>
        <w:t>名称：</w:t>
      </w:r>
      <w:r>
        <w:rPr/>
        <w:t>广东万诚工程造价咨询有限公司</w:t>
      </w:r>
    </w:p>
    <w:p>
      <w:pPr>
        <w:pStyle w:val="null3"/>
        <w:ind w:firstLine="480"/>
      </w:pPr>
      <w:r>
        <w:rPr/>
        <w:t xml:space="preserve"> 地址：</w:t>
      </w:r>
      <w:r>
        <w:rPr/>
        <w:t>广东省湛江市赤坎区体育北路15号湛江商务大厦第九层910-912房</w:t>
      </w:r>
    </w:p>
    <w:p>
      <w:pPr>
        <w:pStyle w:val="null3"/>
        <w:ind w:firstLine="480"/>
      </w:pPr>
      <w:r>
        <w:rPr/>
        <w:t xml:space="preserve"> 联系方式：</w:t>
      </w:r>
      <w:r>
        <w:rPr/>
        <w:t>0759-2292113</w:t>
      </w:r>
    </w:p>
    <w:p>
      <w:pPr>
        <w:pStyle w:val="null3"/>
        <w:outlineLvl w:val="3"/>
      </w:pPr>
      <w:r>
        <w:rPr>
          <w:sz w:val="24"/>
          <w:b/>
        </w:rPr>
        <w:t xml:space="preserve"> 3.项目联系方式</w:t>
      </w:r>
    </w:p>
    <w:p>
      <w:pPr>
        <w:pStyle w:val="null3"/>
        <w:ind w:firstLine="480"/>
      </w:pPr>
      <w:r>
        <w:rPr/>
        <w:t xml:space="preserve"> 项目联系人：</w:t>
      </w:r>
      <w:r>
        <w:rPr/>
        <w:t>广东万诚工程造价咨询有限公司</w:t>
      </w:r>
    </w:p>
    <w:p>
      <w:pPr>
        <w:pStyle w:val="null3"/>
        <w:ind w:firstLine="480"/>
      </w:pPr>
      <w:r>
        <w:rPr/>
        <w:t xml:space="preserve"> 电话：</w:t>
      </w:r>
      <w:r>
        <w:rPr/>
        <w:t>0759-2292113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广东万诚工程造价咨询有限公司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6"/>
        <w:gridCol w:w="511"/>
        <w:gridCol w:w="309"/>
        <w:gridCol w:w="753"/>
        <w:gridCol w:w="619"/>
        <w:gridCol w:w="888"/>
        <w:gridCol w:w="1009"/>
        <w:gridCol w:w="632"/>
        <w:gridCol w:w="888"/>
        <w:gridCol w:w="753"/>
        <w:gridCol w:w="632"/>
        <w:gridCol w:w="659"/>
      </w:tblGrid>
      <w:tr>
        <w:tc>
          <w:tcPr>
            <w:tcW w:type="dxa" w:w="11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7142"/>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第十五届全国运动会群众比赛足球项目（五人制足球女子组、女子老将组）承办服务</w:t>
            </w:r>
          </w:p>
        </w:tc>
      </w:tr>
      <w:tr>
        <w:tc>
          <w:tcPr>
            <w:tcW w:type="dxa" w:w="11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比赛地点</w:t>
            </w:r>
          </w:p>
        </w:tc>
        <w:tc>
          <w:tcPr>
            <w:tcW w:type="dxa" w:w="714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湛江市奥体中心体育馆（如更改比赛地点，采购人提前</w:t>
            </w:r>
            <w:r>
              <w:rPr>
                <w:sz w:val="21"/>
              </w:rPr>
              <w:t>10天书面通知）</w:t>
            </w:r>
          </w:p>
        </w:tc>
      </w:tr>
      <w:tr>
        <w:tc>
          <w:tcPr>
            <w:tcW w:type="dxa" w:w="11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比赛时间</w:t>
            </w:r>
          </w:p>
        </w:tc>
        <w:tc>
          <w:tcPr>
            <w:tcW w:type="dxa" w:w="714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2025年6月11日-17日</w:t>
            </w:r>
          </w:p>
        </w:tc>
      </w:tr>
      <w:tr>
        <w:tc>
          <w:tcPr>
            <w:tcW w:type="dxa" w:w="221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运动队入住酒店</w:t>
            </w:r>
          </w:p>
        </w:tc>
        <w:tc>
          <w:tcPr>
            <w:tcW w:type="dxa" w:w="6080"/>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达到四星级酒店以上标准，</w:t>
            </w:r>
            <w:r>
              <w:rPr>
                <w:sz w:val="21"/>
              </w:rPr>
              <w:t>与比赛场馆的距离尽量控制在</w:t>
            </w:r>
            <w:r>
              <w:rPr>
                <w:sz w:val="21"/>
              </w:rPr>
              <w:t>5公里以内，符合消防要求。</w:t>
            </w:r>
          </w:p>
        </w:tc>
      </w:tr>
      <w:tr>
        <w:tc>
          <w:tcPr>
            <w:tcW w:type="dxa" w:w="221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裁判员及官员入住酒店</w:t>
            </w:r>
          </w:p>
        </w:tc>
        <w:tc>
          <w:tcPr>
            <w:tcW w:type="dxa" w:w="6080"/>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达到四星级酒店以上标准。</w:t>
            </w:r>
            <w:r>
              <w:rPr>
                <w:sz w:val="21"/>
              </w:rPr>
              <w:t>与比赛场馆的距离尽量控制在</w:t>
            </w:r>
            <w:r>
              <w:rPr>
                <w:sz w:val="21"/>
              </w:rPr>
              <w:t>5公里以内，如条件不允许，尽可能安排在市中心酒店。酒店要符合消防要求。</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8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球队</w:t>
            </w:r>
          </w:p>
          <w:p>
            <w:pPr>
              <w:pStyle w:val="null3"/>
              <w:jc w:val="center"/>
            </w:pPr>
            <w:r>
              <w:rPr>
                <w:sz w:val="21"/>
              </w:rPr>
              <w:t>官员</w:t>
            </w:r>
          </w:p>
        </w:tc>
        <w:tc>
          <w:tcPr>
            <w:tcW w:type="dxa" w:w="61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裁判</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w:t>
            </w:r>
          </w:p>
          <w:p>
            <w:pPr>
              <w:pStyle w:val="null3"/>
              <w:jc w:val="center"/>
            </w:pPr>
            <w:r>
              <w:rPr>
                <w:sz w:val="21"/>
              </w:rPr>
              <w:t>人员</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技术官员</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天数</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w:t>
            </w:r>
          </w:p>
          <w:p>
            <w:pPr>
              <w:pStyle w:val="null3"/>
              <w:jc w:val="center"/>
            </w:pPr>
            <w:r>
              <w:rPr>
                <w:sz w:val="21"/>
              </w:rPr>
              <w:t>天数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报到天数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离会天数</w:t>
            </w:r>
          </w:p>
        </w:tc>
      </w:tr>
      <w:tr>
        <w:tc>
          <w:tcPr>
            <w:tcW w:type="dxa" w:w="6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820"/>
            <w:gridSpan w:val="2"/>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265</w:t>
            </w:r>
          </w:p>
        </w:tc>
        <w:tc>
          <w:tcPr>
            <w:tcW w:type="dxa" w:w="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0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820"/>
            <w:gridSpan w:val="2"/>
            <w:vMerge/>
            <w:tcBorders>
              <w:top w:val="none" w:color="000000" w:sz="4"/>
              <w:left w:val="none" w:color="000000" w:sz="4"/>
              <w:bottom w:val="single" w:color="000000" w:sz="4"/>
              <w:right w:val="none" w:color="000000" w:sz="4"/>
            </w:tcBorders>
          </w:tcPr>
          <w:p/>
        </w:tc>
        <w:tc>
          <w:tcPr>
            <w:tcW w:type="dxa" w:w="753"/>
            <w:vMerge/>
            <w:tcBorders>
              <w:top w:val="none" w:color="000000" w:sz="4"/>
              <w:left w:val="singl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1009"/>
            <w:vMerge/>
            <w:tcBorders>
              <w:top w:val="none" w:color="000000" w:sz="4"/>
              <w:left w:val="none" w:color="000000" w:sz="4"/>
              <w:bottom w:val="single" w:color="000000" w:sz="4"/>
              <w:right w:val="single" w:color="000000" w:sz="4"/>
            </w:tcBorders>
          </w:tcPr>
          <w:p/>
        </w:tc>
        <w:tc>
          <w:tcPr>
            <w:tcW w:type="dxa" w:w="632"/>
            <w:vMerge/>
            <w:tcBorders>
              <w:top w:val="none" w:color="000000" w:sz="4"/>
              <w:left w:val="none" w:color="000000" w:sz="4"/>
              <w:bottom w:val="single" w:color="000000" w:sz="4"/>
              <w:right w:val="single" w:color="000000" w:sz="4"/>
            </w:tcBorders>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t>采购包1（第十五届全国运动会群众比赛足球项目（五人制足球女子组、女子老将组）承办服务）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合同签订之日起至赛事全部结束为止。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第1期为(进度款)：支付比例70%，合同签署生效后，采购人自收到成交供应商提供的发票之日起30个工作日内办理支付手续，采购人支付合同总价的70%给成交供应商。。</w:t>
            </w:r>
          </w:p>
          <w:p>
            <w:pPr>
              <w:pStyle w:val="null3"/>
            </w:pPr>
            <w:r>
              <w:rPr/>
              <w:t>第2期为(尾款)：支付比例30%，成交供应商完成整个比赛项目的赛事服务工作后并提交赛事执行情况报告，并经采购人验收合格后，采购人支付合同剩余30%给成交供应商。 注：（1）付款方式：采用支票、银行汇票、电汇三种形式。（2）按合同支付款项前，成交供应商必须先向采购人提供与支付金额相符的有效发票，且收款方、出具发票方、合同均必须与成交供应商名称一致。（3）因采购人使用财政性资金，采购人向财政部门提交支付申请报告之日，即视为款项已支付之日。。</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1期：项目完成后采购人依据采购文件、响应文件及合同条款要求进行验收。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服务清单明细报价须按照磋商公告的服务清单明细附件拟定。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其他体育服务</w:t>
            </w:r>
          </w:p>
        </w:tc>
        <w:tc>
          <w:tcPr>
            <w:tcW w:type="dxa" w:w="933"/>
          </w:tcPr>
          <w:p>
            <w:pPr>
              <w:pStyle w:val="null3"/>
              <w:jc w:val="left"/>
            </w:pPr>
            <w:r>
              <w:rPr/>
              <w:t>第十五届全国运动会群众比赛足球项目（五人制足球女子组、女子老将组）承办服务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3,281,511.00</w:t>
            </w:r>
          </w:p>
        </w:tc>
        <w:tc>
          <w:tcPr>
            <w:tcW w:type="dxa" w:w="933"/>
          </w:tcPr>
          <w:p>
            <w:pPr>
              <w:pStyle w:val="null3"/>
              <w:jc w:val="right"/>
            </w:pPr>
            <w:r>
              <w:rPr/>
              <w:t>3,281,511.00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第十五届全国运动会群众比赛足球项目（五人制足球女子组、女子老将组）承办服务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（一）采购内容及服务清单明细</w:t>
            </w:r>
          </w:p>
          <w:p>
            <w:pPr>
              <w:pStyle w:val="null3"/>
              <w:ind w:firstLine="422"/>
              <w:jc w:val="both"/>
            </w:pPr>
            <w:r>
              <w:rPr>
                <w:sz w:val="21"/>
                <w:b/>
              </w:rPr>
              <w:t>1.根据赛事的特点及采购人的要求，制定赛事工作流程、岗位职责、工作方案、应急预案等并执行服务，采购内容如下：</w:t>
            </w:r>
          </w:p>
          <w:p>
            <w:pPr>
              <w:pStyle w:val="null3"/>
            </w:pPr>
            <w:r>
              <w:rPr>
                <w:sz w:val="21"/>
              </w:rPr>
              <w:t>（</w:t>
            </w:r>
            <w:r>
              <w:rPr>
                <w:sz w:val="21"/>
              </w:rPr>
              <w:t>1）负责协调赛区各有关部门，承担比赛相关的竞赛运行、场馆服务、后勤接待、观众服务等各项组织保障工作。</w:t>
            </w:r>
          </w:p>
          <w:p>
            <w:pPr>
              <w:pStyle w:val="null3"/>
            </w:pPr>
            <w:r>
              <w:rPr>
                <w:sz w:val="21"/>
              </w:rPr>
              <w:t>（</w:t>
            </w:r>
            <w:r>
              <w:rPr>
                <w:sz w:val="21"/>
              </w:rPr>
              <w:t>2）按五人足球项目的竞赛规则和规程的要求，负责落实比赛场地、设施、器材等，确保赛事安全、成功举办。</w:t>
            </w:r>
          </w:p>
          <w:p>
            <w:pPr>
              <w:pStyle w:val="null3"/>
            </w:pPr>
            <w:r>
              <w:rPr>
                <w:sz w:val="21"/>
              </w:rPr>
              <w:t>（</w:t>
            </w:r>
            <w:r>
              <w:rPr>
                <w:sz w:val="21"/>
              </w:rPr>
              <w:t>3）负责按照赛事标准和要求说明的项目、标准、期限支付相关费用，主要包括：</w:t>
            </w:r>
          </w:p>
          <w:p>
            <w:pPr>
              <w:pStyle w:val="null3"/>
              <w:ind w:firstLine="630"/>
            </w:pPr>
            <w:r>
              <w:rPr>
                <w:sz w:val="21"/>
              </w:rPr>
              <w:t>1）赛事相关人员的食宿费用；</w:t>
            </w:r>
          </w:p>
          <w:p>
            <w:pPr>
              <w:pStyle w:val="null3"/>
              <w:ind w:firstLine="630"/>
            </w:pPr>
            <w:r>
              <w:rPr>
                <w:sz w:val="21"/>
              </w:rPr>
              <w:t>2）赛事场地费用；</w:t>
            </w:r>
          </w:p>
          <w:p>
            <w:pPr>
              <w:pStyle w:val="null3"/>
              <w:ind w:firstLine="630"/>
            </w:pPr>
            <w:r>
              <w:rPr>
                <w:sz w:val="21"/>
              </w:rPr>
              <w:t>3）车辆保障费用，包含接送站用车、比赛用车、适应场地用车、会议用车等；</w:t>
            </w:r>
          </w:p>
          <w:p>
            <w:pPr>
              <w:pStyle w:val="null3"/>
              <w:ind w:firstLine="630"/>
            </w:pPr>
            <w:r>
              <w:rPr>
                <w:sz w:val="21"/>
              </w:rPr>
              <w:t>4）比赛器材费用；</w:t>
            </w:r>
          </w:p>
          <w:p>
            <w:pPr>
              <w:pStyle w:val="null3"/>
              <w:ind w:firstLine="630"/>
            </w:pPr>
            <w:r>
              <w:rPr>
                <w:sz w:val="21"/>
              </w:rPr>
              <w:t>5）茶歇费；</w:t>
            </w:r>
          </w:p>
          <w:p>
            <w:pPr>
              <w:pStyle w:val="null3"/>
              <w:ind w:firstLine="630"/>
            </w:pPr>
            <w:r>
              <w:rPr>
                <w:sz w:val="21"/>
              </w:rPr>
              <w:t>6）体育展示及颁奖仪式费用；</w:t>
            </w:r>
          </w:p>
          <w:p>
            <w:pPr>
              <w:pStyle w:val="null3"/>
              <w:ind w:firstLine="630"/>
            </w:pPr>
            <w:r>
              <w:rPr>
                <w:sz w:val="21"/>
              </w:rPr>
              <w:t>7）赛事相关会务费；</w:t>
            </w:r>
          </w:p>
          <w:p>
            <w:pPr>
              <w:pStyle w:val="null3"/>
              <w:ind w:firstLine="630"/>
            </w:pPr>
            <w:r>
              <w:rPr>
                <w:sz w:val="21"/>
              </w:rPr>
              <w:t>8）赛事相关饮用水费用；</w:t>
            </w:r>
          </w:p>
          <w:p>
            <w:pPr>
              <w:pStyle w:val="null3"/>
              <w:ind w:firstLine="630"/>
            </w:pPr>
            <w:r>
              <w:rPr>
                <w:sz w:val="21"/>
              </w:rPr>
              <w:t>9）赛事播报主持费用；</w:t>
            </w:r>
          </w:p>
          <w:p>
            <w:pPr>
              <w:pStyle w:val="null3"/>
            </w:pPr>
            <w:r>
              <w:rPr>
                <w:sz w:val="21"/>
              </w:rPr>
              <w:t>（</w:t>
            </w:r>
            <w:r>
              <w:rPr>
                <w:sz w:val="21"/>
              </w:rPr>
              <w:t>4）负责落实相关赞助方的商业权益和公共宣传权益，包括背景板、秩序册、条幅等所有的制作、印刷、存放、布置、回收、运转等。</w:t>
            </w:r>
          </w:p>
          <w:p>
            <w:pPr>
              <w:pStyle w:val="null3"/>
            </w:pPr>
            <w:r>
              <w:rPr>
                <w:sz w:val="21"/>
              </w:rPr>
              <w:t>（</w:t>
            </w:r>
            <w:r>
              <w:rPr>
                <w:sz w:val="21"/>
              </w:rPr>
              <w:t>5</w:t>
            </w:r>
            <w:r>
              <w:rPr>
                <w:sz w:val="21"/>
              </w:rPr>
              <w:t>）负责落实本次比赛期间的食品安全工作。</w:t>
            </w:r>
          </w:p>
          <w:p>
            <w:pPr>
              <w:pStyle w:val="null3"/>
            </w:pPr>
            <w:r>
              <w:rPr>
                <w:sz w:val="21"/>
              </w:rPr>
              <w:t>（</w:t>
            </w:r>
            <w:r>
              <w:rPr>
                <w:sz w:val="21"/>
              </w:rPr>
              <w:t>6</w:t>
            </w:r>
            <w:r>
              <w:rPr>
                <w:sz w:val="21"/>
              </w:rPr>
              <w:t>）负责落实赛期安全应急方案的制定及组织工作。</w:t>
            </w:r>
          </w:p>
          <w:p>
            <w:pPr>
              <w:pStyle w:val="null3"/>
            </w:pPr>
            <w:r>
              <w:rPr>
                <w:sz w:val="21"/>
              </w:rPr>
              <w:t>（</w:t>
            </w:r>
            <w:r>
              <w:rPr>
                <w:sz w:val="21"/>
              </w:rPr>
              <w:t>7</w:t>
            </w:r>
            <w:r>
              <w:rPr>
                <w:sz w:val="21"/>
              </w:rPr>
              <w:t>）负责落实整理一套赛事总结报告资料，至少包括：秩序册</w:t>
            </w:r>
            <w:r>
              <w:rPr>
                <w:sz w:val="21"/>
              </w:rPr>
              <w:t>10本、成绩册10本，</w:t>
            </w:r>
            <w:r>
              <w:rPr>
                <w:sz w:val="21"/>
              </w:rPr>
              <w:t>竞赛手册</w:t>
            </w:r>
            <w:r>
              <w:rPr>
                <w:sz w:val="21"/>
              </w:rPr>
              <w:t>10本，比赛筹备和实施期间的各项工作方案、赛事总结等报告（含电子版），对本次比赛有关活动内容进行报道的报纸和杂志的复印件2册，对本次比赛各场地、器材、设施、人物、比赛、活动、商业宣传的照片（约20张、单张文件大小不小于2M、电子版）。</w:t>
            </w:r>
          </w:p>
          <w:p>
            <w:pPr>
              <w:pStyle w:val="null3"/>
            </w:pPr>
            <w:r>
              <w:rPr>
                <w:sz w:val="21"/>
              </w:rPr>
              <w:t>（</w:t>
            </w:r>
            <w:r>
              <w:rPr>
                <w:sz w:val="21"/>
              </w:rPr>
              <w:t>8</w:t>
            </w:r>
            <w:r>
              <w:rPr>
                <w:sz w:val="21"/>
              </w:rPr>
              <w:t>）负责落实与接待单位（场馆、酒店、交通等）做好赛事经费开支的结算等具体工作。</w:t>
            </w:r>
          </w:p>
          <w:p>
            <w:pPr>
              <w:pStyle w:val="null3"/>
            </w:pPr>
            <w:r>
              <w:rPr>
                <w:sz w:val="21"/>
              </w:rPr>
              <w:t>（</w:t>
            </w:r>
            <w:r>
              <w:rPr>
                <w:sz w:val="21"/>
              </w:rPr>
              <w:t>9</w:t>
            </w:r>
            <w:r>
              <w:rPr>
                <w:sz w:val="21"/>
              </w:rPr>
              <w:t>）完成采购人交代的其他事项。</w:t>
            </w:r>
          </w:p>
          <w:p>
            <w:pPr>
              <w:pStyle w:val="null3"/>
            </w:pPr>
            <w:r>
              <w:rPr>
                <w:sz w:val="21"/>
              </w:rPr>
              <w:t>（</w:t>
            </w:r>
            <w:r>
              <w:rPr>
                <w:sz w:val="21"/>
              </w:rPr>
              <w:t>10</w:t>
            </w:r>
            <w:r>
              <w:rPr>
                <w:sz w:val="21"/>
              </w:rPr>
              <w:t>）做好赛事防暑降温措施。</w:t>
            </w:r>
          </w:p>
          <w:p>
            <w:pPr>
              <w:pStyle w:val="null3"/>
            </w:pPr>
            <w:r>
              <w:rPr>
                <w:sz w:val="21"/>
                <w:b/>
              </w:rPr>
              <w:t>2.服务清单明细</w:t>
            </w:r>
          </w:p>
          <w:tbl>
            <w:tblPr>
              <w:tblInd w:type="dxa" w:w="210"/>
              <w:tblBorders>
                <w:top w:val="none" w:color="000000" w:sz="4"/>
                <w:left w:val="none" w:color="000000" w:sz="4"/>
                <w:bottom w:val="none" w:color="000000" w:sz="4"/>
                <w:right w:val="none" w:color="000000" w:sz="4"/>
                <w:insideH w:val="none"/>
                <w:insideV w:val="none"/>
              </w:tblBorders>
            </w:tblPr>
            <w:tblGrid>
              <w:gridCol w:w="435"/>
              <w:gridCol w:w="641"/>
              <w:gridCol w:w="560"/>
              <w:gridCol w:w="538"/>
              <w:gridCol w:w="744"/>
              <w:gridCol w:w="377"/>
              <w:gridCol w:w="2278"/>
            </w:tblGrid>
            <w:tr>
              <w:tc>
                <w:tcPr>
                  <w:tcW w:type="dxa" w:w="557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服务清单明细</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人（辆</w:t>
                  </w:r>
                  <w:r>
                    <w:rPr>
                      <w:sz w:val="21"/>
                    </w:rPr>
                    <w:t>/场) 数</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天数</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西部运动队</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伙食费标准</w:t>
                  </w:r>
                  <w:r>
                    <w:rPr>
                      <w:sz w:val="21"/>
                    </w:rPr>
                    <w:t>不低于</w:t>
                  </w:r>
                  <w:r>
                    <w:rPr>
                      <w:sz w:val="21"/>
                    </w:rPr>
                    <w:t>220元</w:t>
                  </w:r>
                </w:p>
              </w:tc>
            </w:tr>
            <w:tr>
              <w:tc>
                <w:tcPr>
                  <w:tcW w:type="dxa" w:w="435"/>
                  <w:vMerge/>
                  <w:tcBorders>
                    <w:top w:val="none" w:color="000000" w:sz="4"/>
                    <w:left w:val="single" w:color="000000" w:sz="4"/>
                    <w:bottom w:val="single" w:color="000000" w:sz="4"/>
                    <w:right w:val="single" w:color="000000" w:sz="4"/>
                  </w:tcBorders>
                </w:tcPr>
                <w:p/>
              </w:tc>
              <w:tc>
                <w:tcPr>
                  <w:tcW w:type="dxa" w:w="1201"/>
                  <w:gridSpan w:val="2"/>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0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非西部运动队</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伙食费</w:t>
                  </w:r>
                  <w:r>
                    <w:rPr>
                      <w:sz w:val="21"/>
                    </w:rPr>
                    <w:t>120（运动队交伙食费100元／人／天）。</w:t>
                  </w:r>
                </w:p>
              </w:tc>
            </w:tr>
            <w:tr>
              <w:tc>
                <w:tcPr>
                  <w:tcW w:type="dxa" w:w="435"/>
                  <w:vMerge/>
                  <w:tcBorders>
                    <w:top w:val="none" w:color="000000" w:sz="4"/>
                    <w:left w:val="single" w:color="000000" w:sz="4"/>
                    <w:bottom w:val="single" w:color="000000" w:sz="4"/>
                    <w:right w:val="single" w:color="000000" w:sz="4"/>
                  </w:tcBorders>
                </w:tcPr>
                <w:p/>
              </w:tc>
              <w:tc>
                <w:tcPr>
                  <w:tcW w:type="dxa" w:w="1201"/>
                  <w:gridSpan w:val="2"/>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裁判员食宿</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伙食费标准</w:t>
                  </w:r>
                  <w:r>
                    <w:rPr>
                      <w:sz w:val="21"/>
                    </w:rPr>
                    <w:t>不低于</w:t>
                  </w:r>
                  <w:r>
                    <w:rPr>
                      <w:sz w:val="21"/>
                    </w:rPr>
                    <w:t>220元</w:t>
                  </w:r>
                </w:p>
              </w:tc>
            </w:tr>
            <w:tr>
              <w:tc>
                <w:tcPr>
                  <w:tcW w:type="dxa" w:w="435"/>
                  <w:vMerge/>
                  <w:tcBorders>
                    <w:top w:val="none" w:color="000000" w:sz="4"/>
                    <w:left w:val="single" w:color="000000" w:sz="4"/>
                    <w:bottom w:val="single" w:color="000000" w:sz="4"/>
                    <w:right w:val="single" w:color="000000" w:sz="4"/>
                  </w:tcBorders>
                </w:tcPr>
                <w:p/>
              </w:tc>
              <w:tc>
                <w:tcPr>
                  <w:tcW w:type="dxa" w:w="1201"/>
                  <w:gridSpan w:val="2"/>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落单房间</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男女落单、运动队、裁判员落单需安排单间。</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本地工作人员</w:t>
                  </w:r>
                </w:p>
              </w:tc>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住酒店人员</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伙食费标准</w:t>
                  </w:r>
                  <w:r>
                    <w:rPr>
                      <w:sz w:val="21"/>
                    </w:rPr>
                    <w:t>不低于</w:t>
                  </w:r>
                  <w:r>
                    <w:rPr>
                      <w:sz w:val="21"/>
                    </w:rPr>
                    <w:t>220元</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560"/>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赛场工作人员</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参会官员</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1.标准为单间含三餐，伙食费标准</w:t>
                  </w:r>
                  <w:r>
                    <w:rPr>
                      <w:sz w:val="21"/>
                    </w:rPr>
                    <w:t>不低于</w:t>
                  </w:r>
                  <w:r>
                    <w:rPr>
                      <w:sz w:val="21"/>
                    </w:rPr>
                    <w:t>220元；</w:t>
                  </w:r>
                  <w:r>
                    <w:br/>
                  </w:r>
                  <w:r>
                    <w:rPr>
                      <w:sz w:val="21"/>
                    </w:rPr>
                    <w:t>2.官员包括体育总局、省体育局、中国足协参会官员、竞赛监督和裁判监督、比赛队伍负责赛风赛纪的官员。</w:t>
                  </w:r>
                </w:p>
              </w:tc>
            </w:tr>
            <w:tr>
              <w:tc>
                <w:tcPr>
                  <w:tcW w:type="dxa" w:w="435"/>
                  <w:vMerge/>
                  <w:tcBorders>
                    <w:top w:val="none" w:color="000000" w:sz="4"/>
                    <w:left w:val="single" w:color="000000" w:sz="4"/>
                    <w:bottom w:val="single" w:color="000000" w:sz="4"/>
                    <w:right w:val="single" w:color="000000" w:sz="4"/>
                  </w:tcBorders>
                </w:tcPr>
                <w:p/>
              </w:tc>
              <w:tc>
                <w:tcPr>
                  <w:tcW w:type="dxa" w:w="1201"/>
                  <w:gridSpan w:val="2"/>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vMerge/>
                  <w:tcBorders>
                    <w:top w:val="none" w:color="000000" w:sz="4"/>
                    <w:left w:val="singl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场地费用</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含场租、水电、空调（</w:t>
                  </w:r>
                  <w:r>
                    <w:rPr>
                      <w:sz w:val="21"/>
                    </w:rPr>
                    <w:t>2500/h）等费用。</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车辆保障</w:t>
                  </w:r>
                </w:p>
              </w:tc>
              <w:tc>
                <w:tcPr>
                  <w:tcW w:type="dxa" w:w="109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接送站用车</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运动队</w:t>
                  </w:r>
                  <w:r>
                    <w:rPr>
                      <w:sz w:val="21"/>
                    </w:rPr>
                    <w:t>19辆大巴。</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tcBorders>
                    <w:top w:val="none" w:color="000000" w:sz="4"/>
                    <w:left w:val="single" w:color="000000" w:sz="4"/>
                    <w:bottom w:val="single" w:color="000000" w:sz="4"/>
                    <w:right w:val="single" w:color="000000" w:sz="4"/>
                  </w:tcBorders>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技术官员和参赛官员</w:t>
                  </w:r>
                  <w:r>
                    <w:rPr>
                      <w:sz w:val="21"/>
                    </w:rPr>
                    <w:t>15辆商务车。</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比赛用车</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工作人员用车。</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tcBorders>
                    <w:top w:val="none" w:color="000000" w:sz="4"/>
                    <w:left w:val="single" w:color="000000" w:sz="4"/>
                    <w:bottom w:val="single" w:color="000000" w:sz="4"/>
                    <w:right w:val="single" w:color="000000" w:sz="4"/>
                  </w:tcBorders>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技术官员和参赛官员</w:t>
                  </w:r>
                  <w:r>
                    <w:rPr>
                      <w:sz w:val="21"/>
                    </w:rPr>
                    <w:t>2辆</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tcBorders>
                    <w:top w:val="none" w:color="000000" w:sz="4"/>
                    <w:left w:val="single" w:color="000000" w:sz="4"/>
                    <w:bottom w:val="single" w:color="000000" w:sz="4"/>
                    <w:right w:val="single" w:color="000000" w:sz="4"/>
                  </w:tcBorders>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体育总局领导用车。</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tcBorders>
                    <w:top w:val="none" w:color="000000" w:sz="4"/>
                    <w:left w:val="single" w:color="000000" w:sz="4"/>
                    <w:bottom w:val="single" w:color="000000" w:sz="4"/>
                    <w:right w:val="single" w:color="000000" w:sz="4"/>
                  </w:tcBorders>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每个参赛队伍</w:t>
                  </w:r>
                  <w:r>
                    <w:rPr>
                      <w:sz w:val="21"/>
                    </w:rPr>
                    <w:t>1辆车。</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vMerge/>
                  <w:tcBorders>
                    <w:top w:val="none" w:color="000000" w:sz="4"/>
                    <w:left w:val="single" w:color="000000" w:sz="4"/>
                    <w:bottom w:val="single" w:color="000000" w:sz="4"/>
                    <w:right w:val="single" w:color="000000" w:sz="4"/>
                  </w:tcBorders>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当天无比赛队伍参加开赛仪式用车。</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适应场地用车</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报到后安排球队适应场地。</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会议用车</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运动队入住酒店与技术官员入住酒店相距较远，集中开会需安排车辆保障</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比赛器材</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详见</w:t>
                  </w:r>
                  <w:r>
                    <w:rPr>
                      <w:sz w:val="21"/>
                      <w:b/>
                    </w:rPr>
                    <w:t>附件</w:t>
                  </w:r>
                  <w:r>
                    <w:rPr>
                      <w:sz w:val="21"/>
                      <w:b/>
                    </w:rPr>
                    <w:t>1五人制足球器材清单</w:t>
                  </w:r>
                  <w:r>
                    <w:rPr>
                      <w:sz w:val="21"/>
                    </w:rPr>
                    <w:t>。</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茶歇费</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技术官员</w:t>
                  </w:r>
                  <w:r>
                    <w:rPr>
                      <w:sz w:val="21"/>
                    </w:rPr>
                    <w:t>+裁判58人，注册媒体记者8人。</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体育展示及颁奖仪式</w:t>
                  </w: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体育展示</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体育展示及颁奖仪式费用标准固定为</w:t>
                  </w:r>
                  <w:r>
                    <w:rPr>
                      <w:sz w:val="21"/>
                    </w:rPr>
                    <w:t>604000元。</w:t>
                  </w:r>
                </w:p>
                <w:p>
                  <w:pPr>
                    <w:pStyle w:val="null3"/>
                    <w:jc w:val="left"/>
                  </w:pPr>
                  <w:r>
                    <w:rPr>
                      <w:sz w:val="21"/>
                    </w:rPr>
                    <w:t>赛前、赛中开展体育展示。</w:t>
                  </w:r>
                </w:p>
                <w:p>
                  <w:pPr>
                    <w:pStyle w:val="null3"/>
                    <w:jc w:val="left"/>
                  </w:pPr>
                  <w:r>
                    <w:rPr>
                      <w:sz w:val="21"/>
                    </w:rPr>
                    <w:t>开赛前、颁奖前民俗</w:t>
                  </w:r>
                  <w:r>
                    <w:rPr>
                      <w:sz w:val="21"/>
                    </w:rPr>
                    <w:t>文化</w:t>
                  </w:r>
                  <w:r>
                    <w:rPr>
                      <w:sz w:val="21"/>
                    </w:rPr>
                    <w:t>表演，聘请颁奖主持人。</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开赛和颁奖仪式</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78"/>
                  <w:vMerge/>
                  <w:tcBorders>
                    <w:top w:val="single" w:color="000000" w:sz="4"/>
                    <w:left w:val="singl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会务费</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会议场地租金、会议资料、会务用品等（约</w:t>
                  </w:r>
                  <w:r>
                    <w:rPr>
                      <w:sz w:val="21"/>
                    </w:rPr>
                    <w:t>430人次）。</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饮用水</w:t>
                  </w: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瓶装水</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比赛期间饮用水保障（按每人每天</w:t>
                  </w:r>
                  <w:r>
                    <w:rPr>
                      <w:sz w:val="21"/>
                    </w:rPr>
                    <w:t>8瓶水计算）。</w:t>
                  </w:r>
                </w:p>
              </w:tc>
            </w:tr>
            <w:tr>
              <w:tc>
                <w:tcPr>
                  <w:tcW w:type="dxa" w:w="435"/>
                  <w:vMerge/>
                  <w:tcBorders>
                    <w:top w:val="none" w:color="000000" w:sz="4"/>
                    <w:left w:val="single" w:color="000000" w:sz="4"/>
                    <w:bottom w:val="single" w:color="000000" w:sz="4"/>
                    <w:right w:val="single" w:color="000000" w:sz="4"/>
                  </w:tcBorders>
                </w:tcPr>
                <w:p/>
              </w:tc>
              <w:tc>
                <w:tcPr>
                  <w:tcW w:type="dxa" w:w="641"/>
                  <w:vMerge/>
                  <w:tcBorders>
                    <w:top w:val="none" w:color="000000" w:sz="4"/>
                    <w:left w:val="single" w:color="000000" w:sz="4"/>
                    <w:bottom w:val="single" w:color="000000" w:sz="4"/>
                    <w:right w:val="single" w:color="000000" w:sz="4"/>
                  </w:tcBorders>
                </w:tcPr>
                <w:p/>
              </w:tc>
              <w:tc>
                <w:tcPr>
                  <w:tcW w:type="dxa" w:w="10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桶装水</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比赛期间饮用水保障（</w:t>
                  </w:r>
                  <w:r>
                    <w:rPr>
                      <w:sz w:val="21"/>
                    </w:rPr>
                    <w:t>2个嘉宾室各１个、裁判员休息室１个、运动员休息室4个）。</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播报主持</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赛前播报</w:t>
                  </w:r>
                  <w:r>
                    <w:rPr>
                      <w:sz w:val="21"/>
                    </w:rPr>
                    <w:t>:观赛须知、观赛礼仪、赛前介绍、赞助商信息、活跃现场气氛等；竞赛播报:比赛规则介绍、运动员和教练员介绍、术官员介绍、成绩播报等；颁奖仪式播报：介绍颁奖嘉宾、铜银金获奖运动员及教练员。</w:t>
                  </w:r>
                </w:p>
              </w:tc>
            </w:tr>
          </w:tbl>
          <w:p>
            <w:pPr>
              <w:pStyle w:val="null3"/>
            </w:pPr>
            <w:r>
              <w:rPr>
                <w:sz w:val="21"/>
                <w:b/>
              </w:rPr>
              <w:t>3.服务具体要求</w:t>
            </w:r>
          </w:p>
          <w:p>
            <w:pPr>
              <w:pStyle w:val="null3"/>
            </w:pPr>
            <w:r>
              <w:rPr>
                <w:sz w:val="21"/>
              </w:rPr>
              <w:t>（</w:t>
            </w:r>
            <w:r>
              <w:rPr>
                <w:sz w:val="21"/>
              </w:rPr>
              <w:t>1）食宿安排</w:t>
            </w:r>
          </w:p>
          <w:p>
            <w:pPr>
              <w:pStyle w:val="null3"/>
            </w:pPr>
            <w:r>
              <w:rPr>
                <w:sz w:val="21"/>
              </w:rPr>
              <w:t>①食宿时间：竞赛7天，赛前报到2天，赛后1天离会，共10天。</w:t>
            </w:r>
          </w:p>
          <w:p>
            <w:pPr>
              <w:pStyle w:val="null3"/>
            </w:pPr>
            <w:r>
              <w:rPr>
                <w:sz w:val="21"/>
              </w:rPr>
              <w:t>②食宿费用：成交供应商负责技术官员食宿费用以及参赛单位运动员的食宿费用。</w:t>
            </w:r>
          </w:p>
          <w:p>
            <w:pPr>
              <w:pStyle w:val="null3"/>
            </w:pPr>
            <w:r>
              <w:rPr>
                <w:sz w:val="21"/>
              </w:rPr>
              <w:t>③食宿标准及要求：</w:t>
            </w:r>
          </w:p>
          <w:tbl>
            <w:tblPr>
              <w:tblInd w:type="dxa" w:w="120"/>
              <w:tblBorders>
                <w:top w:val="none" w:color="000000" w:sz="4"/>
                <w:left w:val="none" w:color="000000" w:sz="4"/>
                <w:bottom w:val="none" w:color="000000" w:sz="4"/>
                <w:right w:val="none" w:color="000000" w:sz="4"/>
                <w:insideH w:val="none"/>
                <w:insideV w:val="none"/>
              </w:tblBorders>
            </w:tblPr>
            <w:tblGrid>
              <w:gridCol w:w="1159"/>
              <w:gridCol w:w="2967"/>
              <w:gridCol w:w="1448"/>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人员类别</w:t>
                  </w:r>
                </w:p>
              </w:tc>
              <w:tc>
                <w:tcPr>
                  <w:tcW w:type="dxa" w:w="2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c>
                <w:tcPr>
                  <w:tcW w:type="dxa" w:w="1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w:t>
                  </w:r>
                </w:p>
              </w:tc>
              <w:tc>
                <w:tcPr>
                  <w:tcW w:type="dxa" w:w="2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住宿（标双）、餐饮（围餐或自助餐）、交通</w:t>
                  </w:r>
                </w:p>
              </w:tc>
              <w:tc>
                <w:tcPr>
                  <w:tcW w:type="dxa" w:w="1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食宿费用由成交供应商负责，落单人员安排酒店单间。</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技术官员</w:t>
                  </w:r>
                </w:p>
              </w:tc>
              <w:tc>
                <w:tcPr>
                  <w:tcW w:type="dxa" w:w="2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住宿（标双）、餐饮（围餐或自助餐）</w:t>
                  </w:r>
                </w:p>
              </w:tc>
              <w:tc>
                <w:tcPr>
                  <w:tcW w:type="dxa" w:w="1448"/>
                  <w:vMerge/>
                  <w:tcBorders>
                    <w:top w:val="none" w:color="000000" w:sz="4"/>
                    <w:left w:val="single" w:color="000000" w:sz="4"/>
                    <w:bottom w:val="single" w:color="000000" w:sz="4"/>
                    <w:right w:val="single" w:color="000000" w:sz="4"/>
                  </w:tcBorders>
                </w:tcP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竞委会</w:t>
                  </w:r>
                </w:p>
                <w:p>
                  <w:pPr>
                    <w:pStyle w:val="null3"/>
                    <w:jc w:val="center"/>
                  </w:pPr>
                  <w:r>
                    <w:rPr>
                      <w:sz w:val="21"/>
                    </w:rPr>
                    <w:t>工作人员</w:t>
                  </w:r>
                </w:p>
              </w:tc>
              <w:tc>
                <w:tcPr>
                  <w:tcW w:type="dxa" w:w="2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住宿（标双）、餐饮（围餐或自助餐）</w:t>
                  </w:r>
                </w:p>
              </w:tc>
              <w:tc>
                <w:tcPr>
                  <w:tcW w:type="dxa" w:w="1448"/>
                  <w:vMerge/>
                  <w:tcBorders>
                    <w:top w:val="none" w:color="000000" w:sz="4"/>
                    <w:left w:val="single" w:color="000000" w:sz="4"/>
                    <w:bottom w:val="single" w:color="000000" w:sz="4"/>
                    <w:right w:val="single" w:color="000000" w:sz="4"/>
                  </w:tcBorders>
                </w:tcPr>
                <w:p/>
              </w:tc>
            </w:tr>
          </w:tbl>
          <w:p>
            <w:pPr>
              <w:pStyle w:val="null3"/>
            </w:pPr>
            <w:r>
              <w:rPr>
                <w:sz w:val="21"/>
              </w:rPr>
              <w:t>（</w:t>
            </w:r>
            <w:r>
              <w:rPr>
                <w:sz w:val="21"/>
              </w:rPr>
              <w:t>2）比赛用车</w:t>
            </w:r>
          </w:p>
          <w:p>
            <w:pPr>
              <w:pStyle w:val="null3"/>
            </w:pPr>
            <w:r>
              <w:rPr>
                <w:sz w:val="21"/>
              </w:rPr>
              <w:t>①用车时间：竞赛7天，赛前报到2天，共10天（含竞赛官员提前到达赛区用车）。</w:t>
            </w:r>
          </w:p>
          <w:p>
            <w:pPr>
              <w:pStyle w:val="null3"/>
            </w:pPr>
            <w:r>
              <w:rPr>
                <w:sz w:val="21"/>
              </w:rPr>
              <w:t>②车辆时刻安排以赛前时刻表为准。</w:t>
            </w:r>
          </w:p>
          <w:p>
            <w:pPr>
              <w:pStyle w:val="null3"/>
            </w:pPr>
            <w:r>
              <w:rPr>
                <w:sz w:val="21"/>
              </w:rPr>
              <w:t>③驻地往返赛场交通需求：</w:t>
            </w:r>
          </w:p>
          <w:tbl>
            <w:tblPr>
              <w:tblBorders>
                <w:top w:val="none" w:color="000000" w:sz="4"/>
                <w:left w:val="none" w:color="000000" w:sz="4"/>
                <w:bottom w:val="none" w:color="000000" w:sz="4"/>
                <w:right w:val="none" w:color="000000" w:sz="4"/>
                <w:insideH w:val="none"/>
                <w:insideV w:val="none"/>
              </w:tblBorders>
            </w:tblPr>
            <w:tblGrid>
              <w:gridCol w:w="1077"/>
              <w:gridCol w:w="698"/>
              <w:gridCol w:w="651"/>
              <w:gridCol w:w="462"/>
              <w:gridCol w:w="1775"/>
              <w:gridCol w:w="935"/>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人员类别</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车型</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使用天数</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用途</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每个组别裁判员</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商务车</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7座</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4辆</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每场比赛往返</w:t>
                  </w:r>
                  <w:r>
                    <w:rPr>
                      <w:sz w:val="21"/>
                    </w:rPr>
                    <w:t>1次</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比赛用车</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每个组别运动队</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大巴车</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20座</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4辆</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每次承载人员最多为一支球队每场比赛不少于往返</w:t>
                  </w:r>
                  <w:r>
                    <w:rPr>
                      <w:sz w:val="21"/>
                    </w:rPr>
                    <w:t>1次</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比赛用车</w:t>
                  </w:r>
                </w:p>
              </w:tc>
            </w:tr>
          </w:tbl>
          <w:p>
            <w:pPr>
              <w:pStyle w:val="null3"/>
            </w:pPr>
            <w:r>
              <w:rPr>
                <w:sz w:val="21"/>
              </w:rPr>
              <w:t>（</w:t>
            </w:r>
            <w:r>
              <w:rPr>
                <w:sz w:val="21"/>
              </w:rPr>
              <w:t>3）竞赛组织场地及规格要求</w:t>
            </w:r>
          </w:p>
          <w:p>
            <w:pPr>
              <w:pStyle w:val="null3"/>
            </w:pPr>
            <w:r>
              <w:rPr>
                <w:sz w:val="21"/>
              </w:rPr>
              <w:t>①比赛场地要求：可满足两个组别各有1个场地同时进行比赛的室内场地（标准室内五人制足球场）</w:t>
            </w:r>
          </w:p>
          <w:p>
            <w:pPr>
              <w:pStyle w:val="null3"/>
            </w:pPr>
            <w:r>
              <w:rPr>
                <w:sz w:val="21"/>
              </w:rPr>
              <w:t>②比赛场地要求：木地板或地胶（须符合国际足联标准）</w:t>
            </w:r>
          </w:p>
          <w:p>
            <w:pPr>
              <w:pStyle w:val="null3"/>
            </w:pPr>
            <w:r>
              <w:rPr>
                <w:sz w:val="21"/>
              </w:rPr>
              <w:t>③准备时间：参赛单位报到前7天完毕。</w:t>
            </w:r>
          </w:p>
          <w:p>
            <w:pPr>
              <w:pStyle w:val="null3"/>
            </w:pPr>
            <w:r>
              <w:rPr>
                <w:sz w:val="21"/>
              </w:rPr>
              <w:t>④两个组别每个比赛场地规格要求：</w:t>
            </w:r>
          </w:p>
          <w:tbl>
            <w:tblPr>
              <w:tblInd w:type="dxa" w:w="135"/>
              <w:tblBorders>
                <w:top w:val="none" w:color="000000" w:sz="4"/>
                <w:left w:val="none" w:color="000000" w:sz="4"/>
                <w:bottom w:val="none" w:color="000000" w:sz="4"/>
                <w:right w:val="none" w:color="000000" w:sz="4"/>
                <w:insideH w:val="none"/>
                <w:insideV w:val="none"/>
              </w:tblBorders>
            </w:tblPr>
            <w:tblGrid>
              <w:gridCol w:w="1699"/>
              <w:gridCol w:w="2614"/>
              <w:gridCol w:w="1271"/>
            </w:tblGrid>
            <w:tr>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需求</w:t>
                  </w:r>
                </w:p>
              </w:tc>
              <w:tc>
                <w:tcPr>
                  <w:tcW w:type="dxa" w:w="1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场地设施</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防护网、球门、球网</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含沙袋</w:t>
                  </w: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裁判席</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应提供电动蜂鸣器电源插板，并配备必要的凳子（不少于</w:t>
                  </w:r>
                  <w:r>
                    <w:rPr>
                      <w:sz w:val="21"/>
                    </w:rPr>
                    <w:t>4张）</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替补席</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配备必要的凳子（不少于</w:t>
                  </w:r>
                  <w:r>
                    <w:rPr>
                      <w:sz w:val="21"/>
                    </w:rPr>
                    <w:t>14张）</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裁判员休息室</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配备凳子不少于</w:t>
                  </w:r>
                  <w:r>
                    <w:rPr>
                      <w:sz w:val="21"/>
                    </w:rPr>
                    <w:t>6张，办公台一张</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球队休息室</w:t>
                  </w:r>
                  <w:r>
                    <w:rPr>
                      <w:sz w:val="21"/>
                    </w:rPr>
                    <w:t>2间</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白板、凳子（</w:t>
                  </w:r>
                  <w:r>
                    <w:rPr>
                      <w:sz w:val="21"/>
                    </w:rPr>
                    <w:t>20张凳子）</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医务区</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应配备凳子不少于</w:t>
                  </w:r>
                  <w:r>
                    <w:rPr>
                      <w:sz w:val="21"/>
                    </w:rPr>
                    <w:t>10张，办公台一张，担架两付</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比赛用水</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1）裁判员及技术官员用水：每场比赛提供给不少于3箱矿泉水（24支装）</w:t>
                  </w:r>
                </w:p>
                <w:p>
                  <w:pPr>
                    <w:pStyle w:val="null3"/>
                    <w:jc w:val="center"/>
                  </w:pPr>
                  <w:r>
                    <w:rPr>
                      <w:sz w:val="21"/>
                    </w:rPr>
                    <w:t>（</w:t>
                  </w:r>
                  <w:r>
                    <w:rPr>
                      <w:sz w:val="21"/>
                    </w:rPr>
                    <w:t>2）运动员用水：每队每场提供不少于2箱矿泉水（24支装）</w:t>
                  </w:r>
                </w:p>
                <w:p>
                  <w:pPr>
                    <w:pStyle w:val="null3"/>
                    <w:jc w:val="center"/>
                  </w:pPr>
                  <w:r>
                    <w:rPr>
                      <w:sz w:val="21"/>
                    </w:rPr>
                    <w:t>（</w:t>
                  </w:r>
                  <w:r>
                    <w:rPr>
                      <w:sz w:val="21"/>
                    </w:rPr>
                    <w:t>3）确保所有人员的用水需求</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捡球员和担架员</w:t>
                  </w: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捡球员、担架员用水：每场提供</w:t>
                  </w:r>
                  <w:r>
                    <w:rPr>
                      <w:sz w:val="21"/>
                    </w:rPr>
                    <w:t>1箱矿泉水（</w:t>
                  </w:r>
                  <w:r>
                    <w:rPr>
                      <w:sz w:val="21"/>
                    </w:rPr>
                    <w:t>24</w:t>
                  </w:r>
                  <w:r>
                    <w:rPr>
                      <w:sz w:val="21"/>
                    </w:rPr>
                    <w:t>支装）</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每场不少于</w:t>
                  </w:r>
                  <w:r>
                    <w:rPr>
                      <w:sz w:val="21"/>
                    </w:rPr>
                    <w:t>5名捡球员和4名担架员，采用多球制</w:t>
                  </w:r>
                </w:p>
              </w:tc>
            </w:tr>
          </w:tbl>
          <w:p>
            <w:pPr>
              <w:pStyle w:val="null3"/>
            </w:pPr>
            <w:r>
              <w:rPr>
                <w:sz w:val="21"/>
              </w:rPr>
              <w:t>（</w:t>
            </w:r>
            <w:r>
              <w:rPr>
                <w:sz w:val="21"/>
              </w:rPr>
              <w:t>4）体育展示及颁奖仪式要求</w:t>
            </w:r>
          </w:p>
          <w:p>
            <w:pPr>
              <w:pStyle w:val="null3"/>
              <w:ind w:firstLine="105"/>
            </w:pPr>
            <w:r>
              <w:rPr>
                <w:sz w:val="21"/>
              </w:rPr>
              <w:t>①体育展示</w:t>
            </w:r>
            <w:r>
              <w:rPr>
                <w:sz w:val="21"/>
              </w:rPr>
              <w:t>84场，开赛仪式节目表演和</w:t>
            </w:r>
            <w:r>
              <w:rPr>
                <w:sz w:val="21"/>
              </w:rPr>
              <w:t>颁奖仪式</w:t>
            </w:r>
            <w:r>
              <w:rPr>
                <w:sz w:val="21"/>
              </w:rPr>
              <w:t>节目表演分别</w:t>
            </w:r>
            <w:r>
              <w:rPr>
                <w:sz w:val="21"/>
              </w:rPr>
              <w:t>需要</w:t>
            </w:r>
            <w:r>
              <w:rPr>
                <w:sz w:val="21"/>
              </w:rPr>
              <w:t>5个以上的湛江非遗文化节目，都</w:t>
            </w:r>
            <w:r>
              <w:rPr>
                <w:sz w:val="21"/>
              </w:rPr>
              <w:t>需要专业演出团队演出，精选湛江民俗文化，展示湛江文化特色</w:t>
            </w:r>
            <w:r>
              <w:rPr>
                <w:sz w:val="21"/>
              </w:rPr>
              <w:t>。</w:t>
            </w:r>
            <w:r>
              <w:rPr>
                <w:sz w:val="21"/>
              </w:rPr>
              <w:t>演出方案经采购</w:t>
            </w:r>
            <w:r>
              <w:rPr>
                <w:sz w:val="21"/>
              </w:rPr>
              <w:t>人</w:t>
            </w:r>
            <w:r>
              <w:rPr>
                <w:sz w:val="21"/>
              </w:rPr>
              <w:t>确认后方可实施。</w:t>
            </w:r>
          </w:p>
          <w:p>
            <w:pPr>
              <w:pStyle w:val="null3"/>
              <w:jc w:val="both"/>
            </w:pPr>
            <w:r>
              <w:rPr>
                <w:sz w:val="21"/>
                <w:b/>
              </w:rPr>
              <w:t>4.其他要求</w:t>
            </w:r>
            <w:r>
              <w:rPr>
                <w:sz w:val="21"/>
              </w:rPr>
              <w:t>：</w:t>
            </w:r>
          </w:p>
          <w:p>
            <w:pPr>
              <w:pStyle w:val="null3"/>
              <w:ind w:firstLine="420"/>
              <w:jc w:val="both"/>
            </w:pPr>
            <w:r>
              <w:rPr>
                <w:sz w:val="21"/>
              </w:rPr>
              <w:t>（</w:t>
            </w:r>
            <w:r>
              <w:rPr>
                <w:sz w:val="21"/>
              </w:rPr>
              <w:t>1）成交</w:t>
            </w:r>
            <w:r>
              <w:rPr>
                <w:sz w:val="21"/>
              </w:rPr>
              <w:t>供应商</w:t>
            </w:r>
            <w:r>
              <w:rPr>
                <w:sz w:val="21"/>
              </w:rPr>
              <w:t>需为本项目配置一名项目负责人，负责与采购人协商沟通项目事宜，并随时保持电话联系畅通。</w:t>
            </w:r>
          </w:p>
          <w:p>
            <w:pPr>
              <w:pStyle w:val="null3"/>
              <w:ind w:firstLine="420"/>
              <w:jc w:val="both"/>
            </w:pPr>
            <w:r>
              <w:rPr>
                <w:sz w:val="21"/>
              </w:rPr>
              <w:t>★（2）项目冠名权：本项目两个组别的赛事招商、冠名权属第十五届全国运动会群众足球比赛组委会所有。</w:t>
            </w:r>
          </w:p>
          <w:p>
            <w:pPr>
              <w:pStyle w:val="null3"/>
              <w:ind w:firstLine="420"/>
              <w:jc w:val="both"/>
            </w:pPr>
            <w:r>
              <w:rPr>
                <w:sz w:val="21"/>
              </w:rPr>
              <w:t>（</w:t>
            </w:r>
            <w:r>
              <w:rPr>
                <w:sz w:val="21"/>
              </w:rPr>
              <w:t>3）成交供应商需针对本项目制定详细方案、管理及服务办法和应急措施等，接受采购人的管理和检查考核。</w:t>
            </w:r>
          </w:p>
          <w:p>
            <w:pPr>
              <w:pStyle w:val="null3"/>
              <w:ind w:firstLine="420"/>
              <w:jc w:val="both"/>
            </w:pPr>
            <w:r>
              <w:rPr>
                <w:sz w:val="21"/>
              </w:rPr>
              <w:t>（</w:t>
            </w:r>
            <w:r>
              <w:rPr>
                <w:sz w:val="21"/>
              </w:rPr>
              <w:t>4）根据采购人需求保质保量完成项目所有采购的需求内容，如有增加内容协商完成。</w:t>
            </w:r>
          </w:p>
          <w:p>
            <w:pPr>
              <w:pStyle w:val="null3"/>
              <w:ind w:firstLine="420"/>
              <w:jc w:val="both"/>
            </w:pPr>
            <w:r>
              <w:rPr>
                <w:sz w:val="21"/>
              </w:rPr>
              <w:t>（</w:t>
            </w:r>
            <w:r>
              <w:rPr>
                <w:sz w:val="21"/>
              </w:rPr>
              <w:t>5）在具体执行中由于比赛活动的特殊性和不确定性，项目需求内容为暂时确定，具体以成交后深化设计为准。采购人将根据活动实际需要对内容进行调整或增减，成交供应商须无条件配合。</w:t>
            </w:r>
            <w:r>
              <w:br/>
            </w:r>
            <w:r>
              <w:rPr>
                <w:sz w:val="21"/>
              </w:rPr>
              <w:t xml:space="preserve">     </w:t>
            </w:r>
            <w:r>
              <w:rPr>
                <w:sz w:val="21"/>
              </w:rPr>
              <w:t>（</w:t>
            </w:r>
            <w:r>
              <w:rPr>
                <w:sz w:val="21"/>
              </w:rPr>
              <w:t>6）项目实施期间遵守采购人规章制度，文明行为，项目实施过程中涉及的安全责任及风险由供应商自负，而且必须严格按照行业规范进行，项目要求安全零事故，保障参加人员安全。成交人在服务实施过程中的安全责任由成交人负全责。</w:t>
            </w:r>
          </w:p>
          <w:p>
            <w:pPr>
              <w:pStyle w:val="null3"/>
              <w:ind w:firstLine="420"/>
              <w:jc w:val="both"/>
            </w:pPr>
            <w:r>
              <w:rPr>
                <w:sz w:val="21"/>
              </w:rPr>
              <w:t>（</w:t>
            </w:r>
            <w:r>
              <w:rPr>
                <w:sz w:val="21"/>
              </w:rPr>
              <w:t>7）本项目属于全国性体育赛事承办服务，全国性线上直播，赛事规则须严格遵循中国足协的相关赛事规范，涉及跨省队伍协调、统一赛制设计等复杂管理，经采购人评估，供应商须具备足球赛事数据分析支持能力。</w:t>
            </w:r>
          </w:p>
          <w:p>
            <w:pPr>
              <w:pStyle w:val="null3"/>
              <w:ind w:firstLine="420"/>
              <w:jc w:val="both"/>
            </w:pPr>
            <w:r>
              <w:rPr>
                <w:sz w:val="21"/>
              </w:rPr>
              <w:t>（</w:t>
            </w:r>
            <w:r>
              <w:rPr>
                <w:sz w:val="21"/>
              </w:rPr>
              <w:t>8</w:t>
            </w:r>
            <w:r>
              <w:rPr>
                <w:sz w:val="21"/>
              </w:rPr>
              <w:t>）</w:t>
            </w:r>
            <w:r>
              <w:rPr>
                <w:sz w:val="21"/>
              </w:rPr>
              <w:t>成交供应商在中标后</w:t>
            </w:r>
            <w:r>
              <w:rPr>
                <w:sz w:val="21"/>
              </w:rPr>
              <w:t>10个工作日内向采购人提供具体的赛事实施方案，赛事实施方案须经过采购人审核确认后方可实施。</w:t>
            </w:r>
          </w:p>
          <w:p>
            <w:pPr>
              <w:pStyle w:val="null3"/>
              <w:ind w:firstLine="420"/>
              <w:jc w:val="both"/>
            </w:pPr>
            <w:r>
              <w:rPr>
                <w:sz w:val="21"/>
                <w:b/>
              </w:rPr>
              <w:t>附件</w:t>
            </w:r>
            <w:r>
              <w:rPr>
                <w:sz w:val="21"/>
                <w:b/>
              </w:rPr>
              <w:t>1 五人制足球器材清单</w:t>
            </w:r>
          </w:p>
          <w:tbl>
            <w:tblPr>
              <w:tblBorders>
                <w:top w:val="none" w:color="000000" w:sz="4"/>
                <w:left w:val="none" w:color="000000" w:sz="4"/>
                <w:bottom w:val="none" w:color="000000" w:sz="4"/>
                <w:right w:val="none" w:color="000000" w:sz="4"/>
                <w:insideH w:val="none"/>
                <w:insideV w:val="none"/>
              </w:tblBorders>
            </w:tblPr>
            <w:tblGrid>
              <w:gridCol w:w="403"/>
              <w:gridCol w:w="1211"/>
              <w:gridCol w:w="2227"/>
              <w:gridCol w:w="623"/>
              <w:gridCol w:w="1096"/>
            </w:tblGrid>
            <w:tr>
              <w:tc>
                <w:tcPr>
                  <w:tcW w:type="dxa" w:w="556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第十五届全运会五人制足球器材清单</w:t>
                  </w:r>
                  <w:r>
                    <w:rPr>
                      <w:sz w:val="21"/>
                    </w:rPr>
                    <w:t>(群体项目)</w:t>
                  </w:r>
                </w:p>
              </w:tc>
            </w:tr>
            <w:tr>
              <w:tc>
                <w:tcPr>
                  <w:tcW w:type="dxa" w:w="556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一、竞赛专用器材</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器材名称</w:t>
                  </w:r>
                </w:p>
              </w:tc>
              <w:tc>
                <w:tcPr>
                  <w:tcW w:type="dxa" w:w="2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功能、规格、说明</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计时记分系统</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可显示比分，队名、暂停、犯规、节数、时间、球权。</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1.7米X0.72米带支架</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球门</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内侧高</w:t>
                  </w:r>
                  <w:r>
                    <w:rPr>
                      <w:sz w:val="21"/>
                    </w:rPr>
                    <w:t>2，宽3米，球门柱颜色必须与比赛场地颜色不同</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w:t>
                  </w:r>
                  <w:r>
                    <w:rPr>
                      <w:sz w:val="21"/>
                    </w:rPr>
                    <w:t>2付备1付</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球网</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w:t>
                  </w:r>
                  <w:r>
                    <w:rPr>
                      <w:sz w:val="21"/>
                    </w:rPr>
                    <w:t>1副，备用1副</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每个场地安装</w:t>
                  </w:r>
                  <w:r>
                    <w:rPr>
                      <w:sz w:val="21"/>
                    </w:rPr>
                    <w:t>1副，备用1副</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比赛球</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采用经国际足联认证的低弹足球</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每个场地不少于</w:t>
                  </w:r>
                  <w:r>
                    <w:rPr>
                      <w:sz w:val="21"/>
                    </w:rPr>
                    <w:t>10个</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球门后档网</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设计于球门后方，用于防止球冲上观众看台，每个球门后设置一排，长</w:t>
                  </w:r>
                  <w:r>
                    <w:rPr>
                      <w:sz w:val="21"/>
                    </w:rPr>
                    <w:t>37M，高 4M，有 6 根立柱，挡网采用绳子编织的软网</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挂于</w:t>
                  </w:r>
                  <w:r>
                    <w:rPr>
                      <w:sz w:val="21"/>
                    </w:rPr>
                    <w:t>2边球门后上方根据场馆宽度</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手动翻分牌</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6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二、竞赛辅助器材</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器材名称</w:t>
                  </w:r>
                </w:p>
              </w:tc>
              <w:tc>
                <w:tcPr>
                  <w:tcW w:type="dxa" w:w="2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功能、规格、说明</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蜂鸣器</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电动蜂鸣器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秒表</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记录台使用，电子秒表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夹板</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记录台使用，</w:t>
                  </w:r>
                  <w:r>
                    <w:rPr>
                      <w:sz w:val="21"/>
                    </w:rPr>
                    <w:t>A4</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地拖</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整理竞赛场地汗水使用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冰桶</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运动员休息区、裁判员休息室放置</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球包</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储存竞赛用球</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气筒</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电动，带软管</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球压表</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5犯标志桶</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用于第五次犯规标志</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4使用，2备用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暂停卡</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4使用，4备用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沙包</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用于固定</w:t>
                  </w:r>
                  <w:r>
                    <w:rPr>
                      <w:sz w:val="21"/>
                    </w:rPr>
                    <w:t>2边球门，防于2边球门后</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场地线</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场地界线为宽</w:t>
                  </w:r>
                  <w:r>
                    <w:rPr>
                      <w:sz w:val="21"/>
                    </w:rPr>
                    <w:t>8cm油漆线或黏胶带，颜色与地板有明显反差</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6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三、通用器材</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器材名称</w:t>
                  </w:r>
                </w:p>
              </w:tc>
              <w:tc>
                <w:tcPr>
                  <w:tcW w:type="dxa" w:w="2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功能、规格、说明</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笔记本电脑硬盘</w:t>
                  </w:r>
                  <w:r>
                    <w:rPr>
                      <w:sz w:val="21"/>
                    </w:rPr>
                    <w:t>+光驱位硬盘架</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512G笔记本固态硬盘，预装windows系统，配光驱位硬盘架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黑白、</w:t>
                  </w:r>
                  <w:r>
                    <w:rPr>
                      <w:sz w:val="21"/>
                    </w:rPr>
                    <w:t>A4</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针式平推打印机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打印奖状、证书用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打印机备用耗材</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硒鼓、色带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U盘</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每个场馆</w:t>
                  </w:r>
                  <w:r>
                    <w:rPr>
                      <w:sz w:val="21"/>
                    </w:rPr>
                    <w:t>2个，128G</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移动硬盘</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1TB</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手提喇叭</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每个场馆</w:t>
                  </w:r>
                  <w:r>
                    <w:rPr>
                      <w:sz w:val="21"/>
                    </w:rPr>
                    <w:t>2个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无线耳麦设备</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含主机与无线耳麦</w:t>
                  </w:r>
                  <w:r>
                    <w:rPr>
                      <w:sz w:val="21"/>
                    </w:rPr>
                    <w:t>(配对讲机使用）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局域通讯，每个场馆</w:t>
                  </w:r>
                  <w:r>
                    <w:rPr>
                      <w:sz w:val="21"/>
                    </w:rPr>
                    <w:t>10台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电话（座机）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局域通讯，每个场馆</w:t>
                  </w:r>
                  <w:r>
                    <w:rPr>
                      <w:sz w:val="21"/>
                    </w:rPr>
                    <w:t>2台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电视机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赛事监控、仲裁依据，每个场馆</w:t>
                  </w:r>
                  <w:r>
                    <w:rPr>
                      <w:sz w:val="21"/>
                    </w:rPr>
                    <w:t>1台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摄像机存储卡</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microSD卡,512G</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照度表</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测量夜场灯光照度</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大电子钟</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检录处、场内、热身场地、休息室显示、提示现在时间，每个场馆</w:t>
                  </w:r>
                  <w:r>
                    <w:rPr>
                      <w:sz w:val="21"/>
                    </w:rPr>
                    <w:t>1个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5号电池</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7号电池</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A4打印纸</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办公器材</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A3打印纸</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办公器材</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电线连接插板</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电气设备连接</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桌子、台布</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裁判桌椅</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桌子、台布各</w:t>
                  </w:r>
                  <w:r>
                    <w:rPr>
                      <w:sz w:val="21"/>
                    </w:rPr>
                    <w:t>16张</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长条椅</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运动员、教练员、裁判员</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可供</w:t>
                  </w:r>
                  <w:r>
                    <w:rPr>
                      <w:sz w:val="21"/>
                    </w:rPr>
                    <w:t>48人坐</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办公文具</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笔记本</w:t>
                  </w:r>
                  <w:r>
                    <w:rPr>
                      <w:sz w:val="21"/>
                    </w:rPr>
                    <w:t>,碳素笔、铅笔、各色签字笔、橡皮，削笔刀、剪刀、裁纸刀、大头针、曲别针、修改液、文件夹，胶带纸、双面胶带、订书机和钉、胶水</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成绩公告栏</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3米×1.5米</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信息发布板</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与成绩公告栏合在一起</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按摩床</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运动员恢复、治疗</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按摩垫</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运动员恢复、治疗</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比赛场馆、酒店宣传包装</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2个场馆区域指示、赛场背景板、宣传标语、看台周边牛津布包装、赛场外刀旗、搭建主席台、引导牌，酒店签到背景板、签到台、欢迎牌、指示牌等</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丈量尺（</w:t>
                  </w:r>
                  <w:r>
                    <w:rPr>
                      <w:sz w:val="21"/>
                    </w:rPr>
                    <w:t>100米）</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场地、器材位置丈量</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饮水机</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赛场、运动员、裁判员休息室</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冰箱</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裁判员休息室</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担架</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颁奖器材</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按统一标准制定（颁奖台）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裁判员用品</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文件袋、文件夹、笔记本、签字笔等。</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秩序册、成绩册、竞赛手册</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每个组别秩序册</w:t>
                  </w:r>
                  <w:r>
                    <w:rPr>
                      <w:sz w:val="21"/>
                    </w:rPr>
                    <w:t>100本、竞赛手册100本，成绩册</w:t>
                  </w:r>
                  <w:r>
                    <w:rPr>
                      <w:sz w:val="21"/>
                    </w:rPr>
                    <w:t>60</w:t>
                  </w:r>
                  <w:r>
                    <w:rPr>
                      <w:sz w:val="21"/>
                    </w:rPr>
                    <w:t>本</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封面</w:t>
                  </w:r>
                  <w:r>
                    <w:rPr>
                      <w:sz w:val="21"/>
                    </w:rPr>
                    <w:t>250克铜板纸，内页150克铜板纸</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赛场流线图</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制作赛场流线图</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人工费</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器材搬运、安装、拆除费用</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 xml:space="preserve"> </w:t>
            </w:r>
          </w:p>
          <w:p>
            <w:pPr>
              <w:pStyle w:val="null3"/>
            </w:pPr>
            <w:r>
              <w:rPr/>
              <w:t xml:space="preserve"> </w:t>
            </w:r>
          </w:p>
          <w:p>
            <w:pPr>
              <w:pStyle w:val="null3"/>
              <w:jc w:val="both"/>
            </w:pPr>
          </w:p>
        </w:tc>
      </w:tr>
      <w:tr>
        <w:tc>
          <w:tcPr>
            <w:tcW w:type="dxa" w:w="2076"/>
          </w:tcPr>
          <w:p>
            <w:pPr>
              <w:pStyle w:val="null3"/>
            </w:pPr>
            <w:r>
              <w:rPr/>
              <w:t>★</w:t>
            </w:r>
          </w:p>
        </w:tc>
        <w:tc>
          <w:tcPr>
            <w:tcW w:type="dxa" w:w="415"/>
          </w:tcPr>
          <w:p>
            <w:pPr>
              <w:pStyle w:val="null3"/>
            </w:pPr>
            <w:r>
              <w:rPr/>
              <w:t>2</w:t>
            </w:r>
          </w:p>
        </w:tc>
        <w:tc>
          <w:tcPr>
            <w:tcW w:type="dxa" w:w="5814"/>
          </w:tcPr>
          <w:p>
            <w:pPr>
              <w:pStyle w:val="null3"/>
              <w:ind w:firstLine="420"/>
              <w:jc w:val="both"/>
            </w:pPr>
            <w:r>
              <w:rPr>
                <w:sz w:val="21"/>
              </w:rPr>
              <w:t>★（2）项目冠名权：本项目两个组别的赛事招商、冠名权属第十五届全国运动会群众足球比赛组委会所有。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1.采购代理机构：本项目是指广东万诚工程造价咨询有限公司，负责整个采购活动的组织，依法负责编制和发布磋商文件，对磋商文件拥有最终的解释权，不以任何身份出任磋商小组成员。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湛江市文化广电旅游体育局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采购包1：保证金人民币：10,000.00元整。</w:t>
            </w:r>
          </w:p>
          <w:p>
            <w:pPr>
              <w:pStyle w:val="null3"/>
            </w:pPr>
            <w:r>
              <w:rPr/>
              <w:t xml:space="preserve">开户单位： </w:t>
            </w:r>
            <w:r>
              <w:rPr/>
              <w:t>广东万诚工程造价咨询有限公司</w:t>
            </w:r>
          </w:p>
          <w:p>
            <w:pPr>
              <w:pStyle w:val="null3"/>
            </w:pPr>
            <w:r>
              <w:rPr/>
              <w:t xml:space="preserve">开户账号： </w:t>
            </w:r>
            <w:r>
              <w:rPr/>
              <w:t>9550880017933600148</w:t>
            </w:r>
          </w:p>
          <w:p>
            <w:pPr>
              <w:pStyle w:val="null3"/>
            </w:pPr>
            <w:r>
              <w:rPr/>
              <w:t xml:space="preserve">开户银行： </w:t>
            </w:r>
            <w:r>
              <w:rPr/>
              <w:t>广发银行股份有限公司湛江岭南支行</w:t>
            </w:r>
          </w:p>
          <w:p>
            <w:pPr>
              <w:pStyle w:val="null3"/>
            </w:pPr>
            <w:r>
              <w:rPr/>
              <w:t xml:space="preserve">支票提交方式： </w:t>
            </w:r>
            <w:r>
              <w:rPr/>
              <w:t>现场提交</w:t>
            </w:r>
          </w:p>
          <w:p>
            <w:pPr>
              <w:pStyle w:val="null3"/>
            </w:pPr>
            <w:r>
              <w:rPr/>
              <w:t xml:space="preserve">汇票、本票提交方式： </w:t>
            </w:r>
            <w:r>
              <w:rPr/>
              <w:t>现场提交</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采购机构代理服务收费标准：按照委托协议要求收取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广东万诚工程造价咨询有限公司</w:t>
      </w:r>
      <w:r>
        <w:rPr/>
        <w:t>代收。具体操作要求详见</w:t>
      </w:r>
      <w:r>
        <w:rPr/>
        <w:t>广东万诚工程造价咨询有限公司</w:t>
      </w:r>
      <w:r>
        <w:rPr/>
        <w:t>有关指引，递交事宜请自行咨询</w:t>
      </w:r>
      <w:r>
        <w:rPr/>
        <w:t>广东万诚工程造价咨询有限公司</w:t>
      </w:r>
      <w:r>
        <w:rPr/>
        <w:t>；请各供应商在响应文件递交截止时间前按须知前附表规定的金额递交至</w:t>
      </w:r>
      <w:r>
        <w:rPr/>
        <w:t>广东万诚工程造价咨询有限公司</w:t>
      </w:r>
      <w:r>
        <w:rPr/>
        <w:t>，到账情况以开启时</w:t>
      </w:r>
      <w:r>
        <w:rPr/>
        <w:t>广东万诚工程造价咨询有限公司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余工</w:t>
      </w:r>
    </w:p>
    <w:p>
      <w:pPr>
        <w:pStyle w:val="null3"/>
        <w:ind w:firstLine="480"/>
      </w:pPr>
      <w:r>
        <w:rPr/>
        <w:t>电话：</w:t>
      </w:r>
      <w:r>
        <w:rPr/>
        <w:t>0759-2292113</w:t>
      </w:r>
    </w:p>
    <w:p>
      <w:pPr>
        <w:pStyle w:val="null3"/>
        <w:ind w:firstLine="480"/>
      </w:pPr>
      <w:r>
        <w:rPr/>
        <w:t>传真：</w:t>
      </w:r>
      <w:r>
        <w:rPr/>
        <w:t>/</w:t>
      </w:r>
    </w:p>
    <w:p>
      <w:pPr>
        <w:pStyle w:val="null3"/>
        <w:ind w:firstLine="480"/>
      </w:pPr>
      <w:r>
        <w:rPr/>
        <w:t>邮箱：</w:t>
      </w:r>
      <w:r>
        <w:rPr/>
        <w:t>zjvczhaobiao@163.com</w:t>
      </w:r>
    </w:p>
    <w:p>
      <w:pPr>
        <w:pStyle w:val="null3"/>
        <w:ind w:firstLine="480"/>
      </w:pPr>
      <w:r>
        <w:rPr/>
        <w:t>地址：</w:t>
      </w:r>
      <w:r>
        <w:rPr/>
        <w:t>湛江市赤坎区体育北路15号湛江商务大厦九楼910-912房</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第十五届全国运动会群众比赛足球项目（五人制足球女子组、女子老将组）承办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广东万诚工程造价咨询有限公司</w:t>
      </w:r>
      <w:r>
        <w:rPr/>
        <w:t>统一对外发布。</w:t>
      </w:r>
    </w:p>
    <w:p>
      <w:pPr>
        <w:pStyle w:val="null3"/>
        <w:ind w:firstLine="480"/>
      </w:pPr>
      <w:r>
        <w:rPr/>
        <w:t>（2）对</w:t>
      </w:r>
      <w:r>
        <w:rPr/>
        <w:t>广东万诚工程造价咨询有限公司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采购包1（第十五届全国运动会群众比赛足球项目（五人制足球女子组、女子老将组）承办服务）：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采购包1（第十五届全国运动会群众比赛足球项目（五人制足球女子组、女子老将组）承办服务）：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参加采购活动前3年内，在经营活动中没有重大违法记录：响应文件中提供《资格承诺函》。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按财政部、工业和信息化部印发的《政府采购促进中小企业发展管理办法》（财库﹝2020﹞46 号）要求，本项目专门面向中小企业采购。本项目中小企业划分标准所属行业：其他未列明行业。</w:t>
            </w:r>
          </w:p>
        </w:tc>
      </w:tr>
    </w:tbl>
    <w:p>
      <w:pPr>
        <w:pStyle w:val="null3"/>
        <w:ind w:firstLine="480"/>
      </w:pPr>
      <w:r>
        <w:rPr/>
        <w:t>表二符合性审查表：</w:t>
      </w:r>
    </w:p>
    <w:p>
      <w:pPr>
        <w:pStyle w:val="null3"/>
      </w:pPr>
      <w:r>
        <w:rPr/>
        <w:t>采购包1（第十五届全国运动会群众比赛足球项目（五人制足球女子组、女子老将组）承办服务）：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资格证明文件</w:t>
            </w:r>
          </w:p>
        </w:tc>
        <w:tc>
          <w:tcPr>
            <w:tcW w:type="dxa" w:w="4238"/>
          </w:tcPr>
          <w:p>
            <w:pPr>
              <w:pStyle w:val="null3"/>
            </w:pPr>
            <w:r>
              <w:rPr/>
              <w:t>具备磋商文件中规定资格要求的及资格证明文件齐全；</w:t>
            </w:r>
          </w:p>
        </w:tc>
      </w:tr>
      <w:tr>
        <w:tc>
          <w:tcPr>
            <w:tcW w:type="dxa" w:w="890"/>
          </w:tcPr>
          <w:p>
            <w:pPr>
              <w:pStyle w:val="null3"/>
            </w:pPr>
            <w:r>
              <w:rPr/>
              <w:t>2</w:t>
            </w:r>
          </w:p>
        </w:tc>
        <w:tc>
          <w:tcPr>
            <w:tcW w:type="dxa" w:w="3178"/>
          </w:tcPr>
          <w:p>
            <w:pPr>
              <w:pStyle w:val="null3"/>
            </w:pPr>
            <w:r>
              <w:rPr/>
              <w:t>磋商函</w:t>
            </w:r>
          </w:p>
        </w:tc>
        <w:tc>
          <w:tcPr>
            <w:tcW w:type="dxa" w:w="4238"/>
          </w:tcPr>
          <w:p>
            <w:pPr>
              <w:pStyle w:val="null3"/>
            </w:pPr>
            <w:r>
              <w:rPr/>
              <w:t>磋商函已提交并符合磋商文件要求的；</w:t>
            </w:r>
          </w:p>
        </w:tc>
      </w:tr>
      <w:tr>
        <w:tc>
          <w:tcPr>
            <w:tcW w:type="dxa" w:w="890"/>
          </w:tcPr>
          <w:p>
            <w:pPr>
              <w:pStyle w:val="null3"/>
            </w:pPr>
            <w:r>
              <w:rPr/>
              <w:t>3</w:t>
            </w:r>
          </w:p>
        </w:tc>
        <w:tc>
          <w:tcPr>
            <w:tcW w:type="dxa" w:w="3178"/>
          </w:tcPr>
          <w:p>
            <w:pPr>
              <w:pStyle w:val="null3"/>
            </w:pPr>
            <w:r>
              <w:rPr/>
              <w:t>签章签字</w:t>
            </w:r>
          </w:p>
        </w:tc>
        <w:tc>
          <w:tcPr>
            <w:tcW w:type="dxa" w:w="4238"/>
          </w:tcPr>
          <w:p>
            <w:pPr>
              <w:pStyle w:val="null3"/>
            </w:pPr>
            <w:r>
              <w:rPr/>
              <w:t>按照磋商文件规定要求签署、盖章且响应文件有法定代表人签字，或签字人有法定代表人有效授权书的；</w:t>
            </w:r>
          </w:p>
        </w:tc>
      </w:tr>
      <w:tr>
        <w:tc>
          <w:tcPr>
            <w:tcW w:type="dxa" w:w="890"/>
          </w:tcPr>
          <w:p>
            <w:pPr>
              <w:pStyle w:val="null3"/>
            </w:pPr>
            <w:r>
              <w:rPr/>
              <w:t>4</w:t>
            </w:r>
          </w:p>
        </w:tc>
        <w:tc>
          <w:tcPr>
            <w:tcW w:type="dxa" w:w="3178"/>
          </w:tcPr>
          <w:p>
            <w:pPr>
              <w:pStyle w:val="null3"/>
            </w:pPr>
            <w:r>
              <w:rPr/>
              <w:t>最高限价</w:t>
            </w:r>
          </w:p>
        </w:tc>
        <w:tc>
          <w:tcPr>
            <w:tcW w:type="dxa" w:w="4238"/>
          </w:tcPr>
          <w:p>
            <w:pPr>
              <w:pStyle w:val="null3"/>
            </w:pPr>
            <w:r>
              <w:rPr/>
              <w:t>响应报价未超过本项目最高限价的；</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响应文件没有磋商文件中规定的其它无效磋商响应条款的；按有关法律、法规、规章不属于磋商响应无效的。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采购包1(第十五届全国运动会群众比赛足球项目（五人制足球女子组、女子老将组）承办服务):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对项目整体的理解及认识程度1 (6.0分)</w:t>
            </w:r>
          </w:p>
        </w:tc>
        <w:tc>
          <w:tcPr>
            <w:tcW w:type="dxa" w:w="5076"/>
          </w:tcPr>
          <w:p>
            <w:pPr>
              <w:pStyle w:val="null3"/>
              <w:jc w:val="left"/>
            </w:pPr>
            <w:r>
              <w:rPr/>
              <w:t>响应供应商对项目整体的理解及认识程度内容包括但不仅限于：①对项目基本概况、②服务内容及要求的理解及认识、③对项目的分析说明。 提供的对项目整体的理解及认识程度内容包含上述内容要求（3小项）得6分，每缺少1项扣2分。</w:t>
            </w:r>
          </w:p>
        </w:tc>
      </w:tr>
      <w:tr>
        <w:tc>
          <w:tcPr>
            <w:tcW w:type="dxa" w:w="922"/>
            <w:gridSpan w:val="2"/>
            <w:vMerge/>
          </w:tcPr>
          <w:p/>
        </w:tc>
        <w:tc>
          <w:tcPr>
            <w:tcW w:type="dxa" w:w="2307"/>
          </w:tcPr>
          <w:p>
            <w:pPr>
              <w:pStyle w:val="null3"/>
              <w:jc w:val="left"/>
            </w:pPr>
            <w:r>
              <w:rPr/>
              <w:t>对项目整体的理解及认识程度2 (9.0分)</w:t>
            </w:r>
          </w:p>
        </w:tc>
        <w:tc>
          <w:tcPr>
            <w:tcW w:type="dxa" w:w="5076"/>
          </w:tcPr>
          <w:p>
            <w:pPr>
              <w:pStyle w:val="null3"/>
              <w:jc w:val="left"/>
            </w:pPr>
            <w:r>
              <w:rPr/>
              <w:t>根据响应供应商对项目整体的理解及认识程度内容进行评审： 1.对项目基本概况内容完全满足或优于采购需求的得3分；部分满足采购需求的，得1分；无或其他情况不得分。 2.服务内容及要求的理解及认识完全满足或优于采购需求的得3分；部分满足采购需求的，得1分；无或其他情况不得分。 3.对项目的分析说明完全满足或优于采购需求的得3分；部分满足采购需求的，得1分；无或其他情况不得分。</w:t>
            </w:r>
          </w:p>
        </w:tc>
      </w:tr>
      <w:tr>
        <w:tc>
          <w:tcPr>
            <w:tcW w:type="dxa" w:w="922"/>
            <w:gridSpan w:val="2"/>
            <w:vMerge/>
          </w:tcPr>
          <w:p/>
        </w:tc>
        <w:tc>
          <w:tcPr>
            <w:tcW w:type="dxa" w:w="2307"/>
          </w:tcPr>
          <w:p>
            <w:pPr>
              <w:pStyle w:val="null3"/>
              <w:jc w:val="left"/>
            </w:pPr>
            <w:r>
              <w:rPr/>
              <w:t>组织实施方案1 (3.0分)</w:t>
            </w:r>
          </w:p>
        </w:tc>
        <w:tc>
          <w:tcPr>
            <w:tcW w:type="dxa" w:w="5076"/>
          </w:tcPr>
          <w:p>
            <w:pPr>
              <w:pStyle w:val="null3"/>
              <w:jc w:val="left"/>
            </w:pPr>
            <w:r>
              <w:rPr/>
              <w:t>根据响应供应商针对本项目拟定的组织实施方案进行评审，方案内容须包括但不限于①赛事组织方案、②赛事推广方案、③人员岗位职责配置方案、④物料筹备方案、⑤食宿、交通接待方案、⑥赛事后勤保障服务方案；提供以上6点内容得3分，每缺少1项扣0.5分。</w:t>
            </w:r>
          </w:p>
        </w:tc>
      </w:tr>
      <w:tr>
        <w:tc>
          <w:tcPr>
            <w:tcW w:type="dxa" w:w="922"/>
            <w:gridSpan w:val="2"/>
            <w:vMerge/>
          </w:tcPr>
          <w:p/>
        </w:tc>
        <w:tc>
          <w:tcPr>
            <w:tcW w:type="dxa" w:w="2307"/>
          </w:tcPr>
          <w:p>
            <w:pPr>
              <w:pStyle w:val="null3"/>
              <w:jc w:val="left"/>
            </w:pPr>
            <w:r>
              <w:rPr/>
              <w:t>组织实施方案2 (12.0分)</w:t>
            </w:r>
          </w:p>
        </w:tc>
        <w:tc>
          <w:tcPr>
            <w:tcW w:type="dxa" w:w="5076"/>
          </w:tcPr>
          <w:p>
            <w:pPr>
              <w:pStyle w:val="null3"/>
              <w:jc w:val="left"/>
            </w:pPr>
            <w:r>
              <w:rPr/>
              <w:t>根据响应供应商针对本项目拟定的组织实施方案进行评审： 1.赛事组织方案完全满足或优于采购需求的得2分；部分满足采购需求的，得1分；无或其他情况不得分。 2.赛事推广方案完全满足或优于采购需求的得2分；部分满足采购需求的，得1分；无或其他情况不得分。 3.人员岗位职责配置方案完全满足或优于采购需求的得2分；部分满足采购需求的，得1分；无或其他情况不得分。 4.物料筹备方案完全满足或优于采购需求的得2分；部分满足采购需求的，得1分；无或其他情况不得分。 5.食宿、交通接待方案完全满足或优于采购需求的得2分；部分满足采购需求的，得1分；无或其他情况不得分。 6.赛事后勤保障服务方案完全满足或优于采购需求的得2分；部分满足采购需求的，得1分；无或其他情况不得分。</w:t>
            </w:r>
          </w:p>
        </w:tc>
      </w:tr>
      <w:tr>
        <w:tc>
          <w:tcPr>
            <w:tcW w:type="dxa" w:w="922"/>
            <w:gridSpan w:val="2"/>
            <w:vMerge/>
          </w:tcPr>
          <w:p/>
        </w:tc>
        <w:tc>
          <w:tcPr>
            <w:tcW w:type="dxa" w:w="2307"/>
          </w:tcPr>
          <w:p>
            <w:pPr>
              <w:pStyle w:val="null3"/>
              <w:jc w:val="left"/>
            </w:pPr>
            <w:r>
              <w:rPr/>
              <w:t>赛事应急响应方案1 (6.0分)</w:t>
            </w:r>
          </w:p>
        </w:tc>
        <w:tc>
          <w:tcPr>
            <w:tcW w:type="dxa" w:w="5076"/>
          </w:tcPr>
          <w:p>
            <w:pPr>
              <w:pStyle w:val="null3"/>
              <w:jc w:val="left"/>
            </w:pPr>
            <w:r>
              <w:rPr/>
              <w:t>根据响应供应商针对本项目拟定的赛事应急响应方案进行评审，方案内容须包括但不限于①赛事应急组织机构组成、②具体的安全措施、③各种应急处理方案等内容，提供以上3点内容得6分，每缺少1项扣2分。</w:t>
            </w:r>
          </w:p>
        </w:tc>
      </w:tr>
      <w:tr>
        <w:tc>
          <w:tcPr>
            <w:tcW w:type="dxa" w:w="922"/>
            <w:gridSpan w:val="2"/>
            <w:vMerge/>
          </w:tcPr>
          <w:p/>
        </w:tc>
        <w:tc>
          <w:tcPr>
            <w:tcW w:type="dxa" w:w="2307"/>
          </w:tcPr>
          <w:p>
            <w:pPr>
              <w:pStyle w:val="null3"/>
              <w:jc w:val="left"/>
            </w:pPr>
            <w:r>
              <w:rPr/>
              <w:t>赛事应急响应方案2 (9.0分)</w:t>
            </w:r>
          </w:p>
        </w:tc>
        <w:tc>
          <w:tcPr>
            <w:tcW w:type="dxa" w:w="5076"/>
          </w:tcPr>
          <w:p>
            <w:pPr>
              <w:pStyle w:val="null3"/>
              <w:jc w:val="left"/>
            </w:pPr>
            <w:r>
              <w:rPr/>
              <w:t>根据响应供应商针对本项目拟定的赛事应急响应方案进行评审： 1.赛事应急组织机构组成完全满足或优于采购需求的得3分；部分满足采购需求的，得1分；无或其他情况不得分。 2.具体的安全措施完全满足或优于采购需求的得3分；部分满足采购需求的，得1分；无或其他情况不得分。 3.各种应急处理方案完全满足或优于采购需求的得3分；部分满足采购需求的，得1分；无或其他情况不得分。</w:t>
            </w:r>
          </w:p>
        </w:tc>
      </w:tr>
      <w:tr>
        <w:tc>
          <w:tcPr>
            <w:tcW w:type="dxa" w:w="922"/>
            <w:gridSpan w:val="2"/>
            <w:vMerge/>
          </w:tcPr>
          <w:p/>
        </w:tc>
        <w:tc>
          <w:tcPr>
            <w:tcW w:type="dxa" w:w="2307"/>
          </w:tcPr>
          <w:p>
            <w:pPr>
              <w:pStyle w:val="null3"/>
              <w:jc w:val="left"/>
            </w:pPr>
            <w:r>
              <w:rPr/>
              <w:t>竞赛器材保障及场地布置方案1 (5.0分)</w:t>
            </w:r>
          </w:p>
        </w:tc>
        <w:tc>
          <w:tcPr>
            <w:tcW w:type="dxa" w:w="5076"/>
          </w:tcPr>
          <w:p>
            <w:pPr>
              <w:pStyle w:val="null3"/>
              <w:jc w:val="left"/>
            </w:pPr>
            <w:r>
              <w:rPr/>
              <w:t>根据响应供应商提供的竞赛器材保障及场地布置方案进行评审，方案内容须包括但不限于①竞赛器材保障方案、②场地布置方案等内容，提供以上2点内容得5分，每缺少1项扣2.5分。</w:t>
            </w:r>
          </w:p>
        </w:tc>
      </w:tr>
      <w:tr>
        <w:tc>
          <w:tcPr>
            <w:tcW w:type="dxa" w:w="922"/>
            <w:gridSpan w:val="2"/>
            <w:vMerge/>
          </w:tcPr>
          <w:p/>
        </w:tc>
        <w:tc>
          <w:tcPr>
            <w:tcW w:type="dxa" w:w="2307"/>
          </w:tcPr>
          <w:p>
            <w:pPr>
              <w:pStyle w:val="null3"/>
              <w:jc w:val="left"/>
            </w:pPr>
            <w:r>
              <w:rPr/>
              <w:t>竞赛器材保障及场地布置方案2 (10.0分)</w:t>
            </w:r>
          </w:p>
        </w:tc>
        <w:tc>
          <w:tcPr>
            <w:tcW w:type="dxa" w:w="5076"/>
          </w:tcPr>
          <w:p>
            <w:pPr>
              <w:pStyle w:val="null3"/>
              <w:jc w:val="left"/>
            </w:pPr>
            <w:r>
              <w:rPr/>
              <w:t>根据响应供应商提供的竞赛器材保障及场地布置方案进行评审： 1.竞赛器材保障方案完全满足或优于采购需求的得5分；部分满足采购需求的，得2分；无或其他情况不得分。 场地布置方案完全满足或优于采购需求的得5分；部分满足采购需求的，得2分；无或其他情况不得分。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同类项目情况 (12.0分)</w:t>
            </w:r>
          </w:p>
        </w:tc>
        <w:tc>
          <w:tcPr>
            <w:tcW w:type="dxa" w:w="5076"/>
          </w:tcPr>
          <w:p>
            <w:pPr>
              <w:pStyle w:val="null3"/>
              <w:jc w:val="left"/>
            </w:pPr>
            <w:r>
              <w:rPr/>
              <w:t>响应供应商2021年1月1日至今（以合同签订日期为准），承接过类似项目（类似项目是指：省级或以上体育赛事类）业绩经验的，每提供一项得3分，最高得12分。 注：（1）须同时附上合同关键页（含签订合同双方的单位名称、合同项目名称、合同清单/合同概况、与含签订合同双方的落款盖章、签订日期页）扫描件，作为评审依据，无提供或提供不全或提供的证明材料不清晰明确，评委无法辨认的，则不得分；（2）体育赛事级别分类详见体育总局关于印发《体育赛事管理办法》第二章规定。</w:t>
            </w:r>
          </w:p>
        </w:tc>
      </w:tr>
      <w:tr>
        <w:tc>
          <w:tcPr>
            <w:tcW w:type="dxa" w:w="922"/>
            <w:gridSpan w:val="2"/>
            <w:vMerge/>
          </w:tcPr>
          <w:p/>
        </w:tc>
        <w:tc>
          <w:tcPr>
            <w:tcW w:type="dxa" w:w="2307"/>
          </w:tcPr>
          <w:p>
            <w:pPr>
              <w:pStyle w:val="null3"/>
              <w:jc w:val="left"/>
            </w:pPr>
            <w:r>
              <w:rPr/>
              <w:t>用户满意度评价 (8.0分)</w:t>
            </w:r>
          </w:p>
        </w:tc>
        <w:tc>
          <w:tcPr>
            <w:tcW w:type="dxa" w:w="5076"/>
          </w:tcPr>
          <w:p>
            <w:pPr>
              <w:pStyle w:val="null3"/>
              <w:jc w:val="left"/>
            </w:pPr>
            <w:r>
              <w:rPr/>
              <w:t>响应供应商2021年1月1日至今（以合同签订日期为准），承接过类似项目（类似项目是指：省级或以上体育赛事类）获用户单位满意度评价或验收，评价情况至少须为“合格、满意或好评”或评分为90分以上的类似正面评价方可计分：每提供一项得2分，最高得8分，无不得分。 注：（1）提供经用户单位盖章确认的满意度评价或验收证明材料复印件，无或未按要求递交证明材料的不得分。（2）同一客户或同一项目提供多项用户满意度评价的，按一项计算。（3）体育赛事级别分类详见体育总局关于印发《体育赛事管理办法》第二章规定。</w:t>
            </w:r>
          </w:p>
        </w:tc>
      </w:tr>
      <w:tr>
        <w:tc>
          <w:tcPr>
            <w:tcW w:type="dxa" w:w="922"/>
            <w:gridSpan w:val="2"/>
            <w:vMerge/>
          </w:tcPr>
          <w:p/>
        </w:tc>
        <w:tc>
          <w:tcPr>
            <w:tcW w:type="dxa" w:w="2307"/>
          </w:tcPr>
          <w:p>
            <w:pPr>
              <w:pStyle w:val="null3"/>
              <w:jc w:val="left"/>
            </w:pPr>
            <w:r>
              <w:rPr/>
              <w:t>奖项、荣誉 (10.0分)</w:t>
            </w:r>
          </w:p>
        </w:tc>
        <w:tc>
          <w:tcPr>
            <w:tcW w:type="dxa" w:w="5076"/>
          </w:tcPr>
          <w:p>
            <w:pPr>
              <w:pStyle w:val="null3"/>
              <w:jc w:val="left"/>
            </w:pPr>
            <w:r>
              <w:rPr/>
              <w:t>2021年1月1日至今，响应供应商或拟投入本项目团队人员有获得承接类似项目（类似项目是指：省级或以上体育赛事类）奖项或荣誉的（客户满意度、好评除外）：每提供一项得2分，最高得10分，无不得分。 注：（1）提供奖项或荣誉证书复印件作为证明材料，无或未按要求递交证明材料的不得分。（2）体育赛事级别分类详见体育总局关于印发《体育赛事管理办法》第二章规定。</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22"/>
        <w:jc w:val="both"/>
      </w:pPr>
      <w:r>
        <w:rPr>
          <w:sz w:val="21"/>
          <w:b/>
        </w:rPr>
        <w:t>甲方：</w:t>
      </w:r>
      <w:r>
        <w:rPr>
          <w:sz w:val="21"/>
          <w:u w:val="single"/>
        </w:rPr>
        <w:t xml:space="preserve">         </w:t>
      </w:r>
    </w:p>
    <w:p>
      <w:pPr>
        <w:pStyle w:val="null3"/>
        <w:ind w:firstLine="420"/>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ind w:firstLine="422"/>
        <w:jc w:val="both"/>
      </w:pPr>
      <w:r>
        <w:rPr>
          <w:sz w:val="21"/>
          <w:b/>
        </w:rPr>
        <w:t>乙方：</w:t>
      </w:r>
      <w:r>
        <w:rPr>
          <w:sz w:val="21"/>
          <w:u w:val="single"/>
        </w:rPr>
        <w:t xml:space="preserve">         </w:t>
      </w:r>
    </w:p>
    <w:p>
      <w:pPr>
        <w:pStyle w:val="null3"/>
        <w:ind w:firstLine="420"/>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ind w:firstLine="420"/>
        <w:jc w:val="both"/>
      </w:pPr>
      <w:r>
        <w:rPr>
          <w:sz w:val="21"/>
        </w:rPr>
        <w:t xml:space="preserve"> </w:t>
      </w:r>
    </w:p>
    <w:p>
      <w:pPr>
        <w:pStyle w:val="null3"/>
        <w:ind w:firstLine="420"/>
        <w:jc w:val="both"/>
      </w:pPr>
      <w:r>
        <w:rPr>
          <w:sz w:val="21"/>
        </w:rPr>
        <w:t xml:space="preserve">  </w:t>
      </w:r>
      <w:r>
        <w:rPr>
          <w:sz w:val="21"/>
        </w:rPr>
        <w:t>根据</w:t>
      </w:r>
      <w:r>
        <w:rPr>
          <w:sz w:val="21"/>
          <w:u w:val="single"/>
        </w:rPr>
        <w:t xml:space="preserve">         </w:t>
      </w:r>
      <w:r>
        <w:rPr>
          <w:sz w:val="21"/>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22"/>
        <w:jc w:val="both"/>
      </w:pPr>
      <w:r>
        <w:rPr>
          <w:sz w:val="21"/>
          <w:b/>
        </w:rPr>
        <w:t>一、合同金额</w:t>
      </w:r>
    </w:p>
    <w:p>
      <w:pPr>
        <w:pStyle w:val="null3"/>
        <w:ind w:firstLine="420"/>
        <w:jc w:val="both"/>
      </w:pPr>
      <w:r>
        <w:rPr>
          <w:sz w:val="21"/>
        </w:rPr>
        <w:t>合同金额为（大写）：</w:t>
      </w:r>
      <w:r>
        <w:rPr>
          <w:sz w:val="21"/>
        </w:rPr>
        <w:t>_____________元（￥_________元）人民币。</w:t>
      </w:r>
    </w:p>
    <w:p>
      <w:pPr>
        <w:pStyle w:val="null3"/>
        <w:ind w:firstLine="422"/>
        <w:jc w:val="both"/>
      </w:pPr>
      <w:r>
        <w:rPr>
          <w:sz w:val="21"/>
          <w:b/>
        </w:rPr>
        <w:t>二、甲方乙方的权利和义务</w:t>
      </w:r>
    </w:p>
    <w:p>
      <w:pPr>
        <w:pStyle w:val="null3"/>
        <w:ind w:firstLine="420"/>
        <w:jc w:val="both"/>
      </w:pPr>
      <w:r>
        <w:rPr>
          <w:sz w:val="21"/>
        </w:rPr>
        <w:t>1.甲方的权利和义务</w:t>
      </w:r>
    </w:p>
    <w:p>
      <w:pPr>
        <w:pStyle w:val="null3"/>
        <w:ind w:firstLine="420"/>
        <w:jc w:val="both"/>
      </w:pPr>
      <w:r>
        <w:rPr>
          <w:sz w:val="21"/>
        </w:rPr>
        <w:t>2.乙方的权利和义务</w:t>
      </w:r>
    </w:p>
    <w:p>
      <w:pPr>
        <w:pStyle w:val="null3"/>
        <w:ind w:firstLine="422"/>
        <w:jc w:val="both"/>
      </w:pPr>
      <w:r>
        <w:rPr>
          <w:sz w:val="21"/>
          <w:b/>
        </w:rPr>
        <w:t>三、服务期间（项目完成期限）</w:t>
      </w:r>
    </w:p>
    <w:p>
      <w:pPr>
        <w:pStyle w:val="null3"/>
        <w:ind w:firstLine="420"/>
        <w:jc w:val="both"/>
      </w:pPr>
      <w:r>
        <w:rPr>
          <w:sz w:val="21"/>
        </w:rPr>
        <w:t>1.委托服务期间自______年______月至______年______月止。</w:t>
      </w:r>
    </w:p>
    <w:p>
      <w:pPr>
        <w:pStyle w:val="null3"/>
        <w:ind w:firstLine="422"/>
        <w:jc w:val="both"/>
      </w:pPr>
      <w:r>
        <w:rPr>
          <w:sz w:val="21"/>
          <w:b/>
        </w:rPr>
        <w:t>四、付款方式</w:t>
      </w:r>
    </w:p>
    <w:p>
      <w:pPr>
        <w:pStyle w:val="null3"/>
        <w:ind w:firstLine="420"/>
        <w:jc w:val="both"/>
      </w:pPr>
      <w:r>
        <w:rPr>
          <w:sz w:val="21"/>
        </w:rPr>
        <w:t>1期：支付比例70%，合同签署生效后，甲方自收到乙方提供的发票之日起</w:t>
      </w:r>
      <w:r>
        <w:rPr>
          <w:sz w:val="21"/>
        </w:rPr>
        <w:t>30</w:t>
      </w:r>
      <w:r>
        <w:rPr>
          <w:sz w:val="21"/>
        </w:rPr>
        <w:t>个工作日内办理支付手续，甲方支付合同总价的</w:t>
      </w:r>
      <w:r>
        <w:rPr>
          <w:sz w:val="21"/>
        </w:rPr>
        <w:t>70%给乙方。</w:t>
      </w:r>
    </w:p>
    <w:p>
      <w:pPr>
        <w:pStyle w:val="null3"/>
        <w:ind w:firstLine="420"/>
        <w:jc w:val="both"/>
      </w:pPr>
      <w:r>
        <w:rPr>
          <w:sz w:val="21"/>
        </w:rPr>
        <w:t>2期：支付比例30%，乙方完成整个比赛项目的赛事服务工作后并提交赛事执行情况报告，并经甲方验收合格后，甲方支付合同剩余30%给乙方。</w:t>
      </w:r>
    </w:p>
    <w:p>
      <w:pPr>
        <w:pStyle w:val="null3"/>
        <w:ind w:firstLine="420"/>
        <w:jc w:val="both"/>
      </w:pPr>
      <w:r>
        <w:rPr>
          <w:sz w:val="21"/>
        </w:rPr>
        <w:t>注：（</w:t>
      </w:r>
      <w:r>
        <w:rPr>
          <w:sz w:val="21"/>
        </w:rPr>
        <w:t>1）付款方式：采用支票、银行汇票、电汇三种形式。（2）按合同支付款项前，乙方必须先向甲方提供与支付金额相符的有效发票，且收款方、出具发票方、合同均必须与乙方名称一致。</w:t>
      </w:r>
      <w:r>
        <w:rPr>
          <w:sz w:val="21"/>
        </w:rPr>
        <w:t>（</w:t>
      </w:r>
      <w:r>
        <w:rPr>
          <w:sz w:val="21"/>
        </w:rPr>
        <w:t>3）因采购人使用财政性资金，采购人向财政部门提交支付申请报告之日，即视为款项已支付之日。</w:t>
      </w:r>
    </w:p>
    <w:p>
      <w:pPr>
        <w:pStyle w:val="null3"/>
        <w:ind w:firstLine="422"/>
        <w:jc w:val="both"/>
      </w:pPr>
      <w:r>
        <w:rPr>
          <w:sz w:val="21"/>
          <w:b/>
        </w:rPr>
        <w:t>五、验收要求</w:t>
      </w:r>
    </w:p>
    <w:p>
      <w:pPr>
        <w:pStyle w:val="null3"/>
        <w:ind w:firstLine="420"/>
        <w:jc w:val="both"/>
      </w:pPr>
      <w:r>
        <w:rPr>
          <w:sz w:val="21"/>
        </w:rPr>
        <w:t>项目完成后采购人依据采购文件、响应文件及合同条款要求进行验收。</w:t>
      </w:r>
    </w:p>
    <w:p>
      <w:pPr>
        <w:pStyle w:val="null3"/>
        <w:ind w:firstLine="422"/>
        <w:jc w:val="both"/>
      </w:pPr>
      <w:r>
        <w:rPr>
          <w:sz w:val="21"/>
          <w:b/>
        </w:rPr>
        <w:t>六、时间进度要求</w:t>
      </w:r>
    </w:p>
    <w:p>
      <w:pPr>
        <w:pStyle w:val="null3"/>
        <w:ind w:firstLine="420"/>
        <w:jc w:val="both"/>
      </w:pPr>
      <w:r>
        <w:rPr>
          <w:sz w:val="21"/>
        </w:rPr>
        <w:t>合同签订之日起至赛事全部结束为止。</w:t>
      </w:r>
    </w:p>
    <w:p>
      <w:pPr>
        <w:pStyle w:val="null3"/>
        <w:ind w:firstLine="422"/>
        <w:jc w:val="both"/>
      </w:pPr>
      <w:r>
        <w:rPr>
          <w:sz w:val="21"/>
          <w:b/>
        </w:rPr>
        <w:t>七、保密</w:t>
      </w:r>
    </w:p>
    <w:p>
      <w:pPr>
        <w:pStyle w:val="null3"/>
        <w:ind w:firstLine="420"/>
        <w:jc w:val="left"/>
      </w:pPr>
      <w:r>
        <w:rPr>
          <w:sz w:val="21"/>
        </w:rPr>
        <w:t>乙方应对甲方提供的资料及提交甲方的研究成果保密，未经甲方同意，均不得对甲方的资料和文件擅自修改、复制、向第三人转让或用于本合同项目外的其他项目。如发生以上情况，乙方应承担由此引起的一切后果并承担赔偿责任。</w:t>
      </w:r>
    </w:p>
    <w:p>
      <w:pPr>
        <w:pStyle w:val="null3"/>
        <w:ind w:firstLine="422"/>
        <w:jc w:val="both"/>
      </w:pPr>
      <w:r>
        <w:rPr>
          <w:sz w:val="21"/>
          <w:b/>
        </w:rPr>
        <w:t>八、违约责任与赔偿损失</w:t>
      </w:r>
    </w:p>
    <w:p>
      <w:pPr>
        <w:pStyle w:val="null3"/>
        <w:ind w:firstLine="420"/>
        <w:jc w:val="both"/>
      </w:pPr>
      <w:r>
        <w:rPr>
          <w:sz w:val="21"/>
        </w:rPr>
        <w:t>1.乙方提供的服务不符合本合同规定的，甲方有权拒收，并且乙方须向甲方方支付本合同总价5%的违约金。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3.甲方无正当理由拒收接受服务，到期拒付服务款项的，甲方向乙方偿付本合同总的5%的违约金。甲方人无正当理由逾期付款，则每日按本合同总价的3‰向乙方偿付违约金。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sz w:val="21"/>
          <w:u w:val="single"/>
        </w:rPr>
        <w:t xml:space="preserve">              </w:t>
      </w:r>
    </w:p>
    <w:p>
      <w:pPr>
        <w:pStyle w:val="null3"/>
        <w:ind w:firstLine="420"/>
        <w:jc w:val="both"/>
      </w:pPr>
      <w:r>
        <w:rPr>
          <w:sz w:val="21"/>
        </w:rPr>
        <w:t>5.其它违约责任按《中华人民共和国民法典(合同编)》处理。</w:t>
      </w:r>
    </w:p>
    <w:p>
      <w:pPr>
        <w:pStyle w:val="null3"/>
        <w:ind w:firstLine="422"/>
        <w:jc w:val="both"/>
      </w:pPr>
      <w:r>
        <w:rPr>
          <w:sz w:val="21"/>
          <w:b/>
        </w:rPr>
        <w:t>九、争议的解决</w:t>
      </w:r>
    </w:p>
    <w:p>
      <w:pPr>
        <w:pStyle w:val="null3"/>
        <w:ind w:firstLine="420"/>
        <w:jc w:val="both"/>
      </w:pPr>
      <w:r>
        <w:rPr>
          <w:sz w:val="21"/>
        </w:rPr>
        <w:t>合同执行过程中发生的任何争议，如双方不能通过友好协商解决，按相关法律法规处理。</w:t>
      </w:r>
      <w:r>
        <w:rPr>
          <w:sz w:val="21"/>
        </w:rPr>
        <w:t xml:space="preserve">   </w:t>
      </w:r>
    </w:p>
    <w:p>
      <w:pPr>
        <w:pStyle w:val="null3"/>
        <w:ind w:firstLine="422"/>
        <w:jc w:val="both"/>
      </w:pPr>
      <w:r>
        <w:rPr>
          <w:sz w:val="21"/>
          <w:b/>
        </w:rPr>
        <w:t>十、不可抗力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十一、税费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十二、其它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十三、合同生效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 xml:space="preserve"> </w:t>
      </w:r>
      <w:r>
        <w:rPr>
          <w:sz w:val="21"/>
        </w:rPr>
        <w:t>份。</w:t>
      </w:r>
    </w:p>
    <w:p>
      <w:pPr>
        <w:pStyle w:val="null3"/>
        <w:ind w:firstLine="420"/>
        <w:jc w:val="both"/>
      </w:pPr>
      <w:r>
        <w:rPr>
          <w:sz w:val="21"/>
        </w:rPr>
        <w:t xml:space="preserve"> </w:t>
      </w:r>
    </w:p>
    <w:p>
      <w:pPr>
        <w:pStyle w:val="null3"/>
        <w:ind w:firstLine="422"/>
        <w:jc w:val="both"/>
      </w:pPr>
      <w:r>
        <w:rPr>
          <w:sz w:val="21"/>
          <w:b/>
        </w:rPr>
        <w:t>甲方（盖章）：</w:t>
      </w:r>
      <w:r>
        <w:rPr>
          <w:sz w:val="21"/>
          <w:b/>
        </w:rPr>
        <w:t xml:space="preserve">                            </w:t>
      </w:r>
      <w:r>
        <w:rPr>
          <w:sz w:val="21"/>
          <w:b/>
        </w:rPr>
        <w:t>乙方（盖章）：</w:t>
      </w:r>
    </w:p>
    <w:p>
      <w:pPr>
        <w:pStyle w:val="null3"/>
        <w:ind w:firstLine="422"/>
        <w:jc w:val="both"/>
      </w:pPr>
      <w:r>
        <w:rPr>
          <w:sz w:val="21"/>
          <w:b/>
        </w:rPr>
        <w:t>代表：</w:t>
      </w:r>
      <w:r>
        <w:rPr>
          <w:sz w:val="21"/>
          <w:b/>
        </w:rPr>
        <w:t xml:space="preserve">                                      </w:t>
      </w:r>
      <w:r>
        <w:rPr>
          <w:sz w:val="21"/>
          <w:b/>
        </w:rPr>
        <w:t>代表：</w:t>
      </w:r>
    </w:p>
    <w:p>
      <w:pPr>
        <w:pStyle w:val="null3"/>
        <w:ind w:firstLine="420"/>
        <w:jc w:val="both"/>
      </w:pPr>
      <w:r>
        <w:rPr>
          <w:sz w:val="21"/>
        </w:rPr>
        <w:t>签定地点：</w:t>
      </w:r>
    </w:p>
    <w:p>
      <w:pPr>
        <w:pStyle w:val="null3"/>
        <w:ind w:firstLine="420"/>
        <w:jc w:val="both"/>
      </w:pPr>
      <w:r>
        <w:rPr>
          <w:sz w:val="21"/>
        </w:rPr>
        <w:t>签定日期：　　　年　　月　　日</w:t>
      </w:r>
      <w:r>
        <w:rPr>
          <w:sz w:val="21"/>
        </w:rPr>
        <w:t xml:space="preserve">     </w:t>
      </w:r>
      <w:r>
        <w:rPr>
          <w:sz w:val="21"/>
        </w:rPr>
        <w:t>签定日期：　　　年　　月　　日</w:t>
      </w:r>
    </w:p>
    <w:p>
      <w:pPr>
        <w:pStyle w:val="null3"/>
        <w:ind w:firstLine="420"/>
        <w:jc w:val="both"/>
      </w:pPr>
      <w:r>
        <w:rPr>
          <w:sz w:val="21"/>
        </w:rPr>
        <w:t>开户名称：</w:t>
      </w:r>
    </w:p>
    <w:p>
      <w:pPr>
        <w:pStyle w:val="null3"/>
        <w:ind w:firstLine="420"/>
        <w:jc w:val="both"/>
      </w:pPr>
      <w:r>
        <w:rPr>
          <w:sz w:val="21"/>
        </w:rPr>
        <w:t>银行帐号：</w:t>
      </w:r>
    </w:p>
    <w:p>
      <w:pPr>
        <w:pStyle w:val="null3"/>
        <w:ind w:firstLine="420"/>
        <w:jc w:val="both"/>
      </w:pPr>
      <w:r>
        <w:rPr>
          <w:sz w:val="21"/>
        </w:rPr>
        <w:t>开户行：</w:t>
      </w:r>
    </w:p>
    <w:p>
      <w:pPr>
        <w:pStyle w:val="null3"/>
        <w:ind w:firstLine="42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440801-2025-00916</w:t>
      </w:r>
    </w:p>
    <w:p>
      <w:pPr>
        <w:pStyle w:val="null3"/>
        <w:jc w:val="center"/>
        <w:outlineLvl w:val="3"/>
      </w:pPr>
      <w:r>
        <w:rPr>
          <w:sz w:val="24"/>
          <w:b/>
        </w:rPr>
        <w:t>采购项目编号：</w:t>
      </w:r>
      <w:r>
        <w:rPr>
          <w:sz w:val="24"/>
          <w:b/>
        </w:rPr>
        <w:t>ZJCG2025-VC012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广东万诚工程造价咨询有限公司</w:t>
      </w:r>
    </w:p>
    <w:p>
      <w:pPr>
        <w:pStyle w:val="null3"/>
        <w:ind w:firstLine="480"/>
      </w:pPr>
      <w:r>
        <w:rPr/>
        <w:t xml:space="preserve"> 你方组织的</w:t>
      </w:r>
      <w:r>
        <w:rPr>
          <w:u w:val="single"/>
        </w:rPr>
        <w:t>“</w:t>
      </w:r>
      <w:r>
        <w:rPr>
          <w:u w:val="single"/>
        </w:rPr>
        <w:t>第十五届全国运动会群众比赛足球项目（五人制足球女子组、女子老将组）承办服务</w:t>
      </w:r>
      <w:r>
        <w:rPr>
          <w:u w:val="single"/>
        </w:rPr>
        <w:t>”</w:t>
      </w:r>
      <w:r>
        <w:rPr/>
        <w:t>项目的竞争性磋商[采购项目编号为：</w:t>
      </w:r>
      <w:r>
        <w:rPr>
          <w:u w:val="single"/>
        </w:rPr>
        <w:t>ZJCG2025-VC012</w:t>
      </w:r>
      <w:r>
        <w:rPr/>
        <w:t>]，我方愿参与响应。</w:t>
      </w:r>
    </w:p>
    <w:p>
      <w:pPr>
        <w:pStyle w:val="null3"/>
        <w:ind w:firstLine="480"/>
      </w:pPr>
      <w:r>
        <w:rPr/>
        <w:t>我方确认收到贵方提供的</w:t>
      </w:r>
      <w:r>
        <w:rPr>
          <w:u w:val="single"/>
        </w:rPr>
        <w:t>“</w:t>
      </w:r>
      <w:r>
        <w:rPr>
          <w:u w:val="single"/>
        </w:rPr>
        <w:t>第十五届全国运动会群众比赛足球项目（五人制足球女子组、女子老将组）承办服务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广东万诚工程造价咨询有限公司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第十五届全国运动会群众比赛足球项目（五人制足球女子组、女子老将组）承办服务</w:t>
      </w:r>
      <w:r>
        <w:rPr/>
        <w:t>”项目采购[采购项目编号为</w:t>
      </w:r>
      <w:r>
        <w:rPr/>
        <w:t>ZJCG2025-VC012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广东万诚工程造价咨询有限公司</w:t>
      </w:r>
    </w:p>
    <w:p>
      <w:pPr>
        <w:pStyle w:val="null3"/>
        <w:ind w:firstLine="480"/>
      </w:pPr>
      <w:r>
        <w:rPr/>
        <w:t>我单位参加贵公司组织的</w:t>
      </w:r>
      <w:r>
        <w:rPr/>
        <w:t>第十五届全国运动会群众比赛足球项目（五人制足球女子组、女子老将组）承办服务</w:t>
      </w:r>
      <w:r>
        <w:rPr/>
        <w:t>（采购项目编号：</w:t>
      </w:r>
      <w:r>
        <w:rPr/>
        <w:t>ZJCG2025-VC012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广东万诚工程造价咨询有限公司</w:t>
      </w:r>
    </w:p>
    <w:p>
      <w:pPr>
        <w:pStyle w:val="null3"/>
        <w:ind w:firstLine="480"/>
      </w:pPr>
      <w:r>
        <w:rPr/>
        <w:t>我单位已登记并准备参与“</w:t>
      </w:r>
      <w:r>
        <w:rPr/>
        <w:t>第十五届全国运动会群众比赛足球项目（五人制足球女子组、女子老将组）承办服务</w:t>
      </w:r>
      <w:r>
        <w:rPr/>
        <w:t>”项目（采购项目编号：</w:t>
      </w:r>
      <w:r>
        <w:rPr/>
        <w:t>ZJCG2025-VC012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