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3"/>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bookmarkStart w:id="105" w:name="_GoBack"/>
            <w:bookmarkEnd w:id="105"/>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t>91.140.60</w:t>
            </w: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t>P</w:t>
            </w:r>
            <w:r>
              <w:rPr>
                <w:rFonts w:ascii="黑体" w:hAnsi="黑体" w:eastAsia="黑体"/>
                <w:sz w:val="21"/>
                <w:szCs w:val="21"/>
              </w:rPr>
              <w:t xml:space="preserve"> </w:t>
            </w:r>
            <w:r>
              <w:rPr>
                <w:rFonts w:hint="eastAsia" w:ascii="黑体" w:hAnsi="黑体" w:eastAsia="黑体"/>
                <w:sz w:val="21"/>
                <w:szCs w:val="21"/>
              </w:rPr>
              <w:t>42</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p>
        </w:tc>
      </w:tr>
    </w:tbl>
    <w:tbl>
      <w:tblPr>
        <w:tblStyle w:val="33"/>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PrEx>
        <w:tc>
          <w:tcPr>
            <w:tcW w:w="6407" w:type="dxa"/>
          </w:tcPr>
          <w:p>
            <w:pPr>
              <w:pStyle w:val="49"/>
              <w:framePr w:w="0" w:hRule="auto" w:wrap="auto" w:vAnchor="margin" w:hAnchor="text" w:xAlign="left" w:yAlign="inline"/>
              <w:rPr>
                <w:rFonts w:ascii="宋体" w:hAnsi="宋体"/>
                <w:sz w:val="28"/>
                <w:szCs w:val="28"/>
              </w:rPr>
            </w:pPr>
            <w:bookmarkStart w:id="1"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2" w:name="c1"/>
            <w:r>
              <w:instrText xml:space="preserve"> FORMTEXT </w:instrText>
            </w:r>
            <w:r>
              <w:fldChar w:fldCharType="separate"/>
            </w:r>
            <w:r>
              <w:t>4408</w:t>
            </w:r>
            <w:r>
              <w:fldChar w:fldCharType="end"/>
            </w:r>
            <w:bookmarkEnd w:id="2"/>
          </w:p>
        </w:tc>
      </w:tr>
    </w:tbl>
    <w:p>
      <w:pPr>
        <w:pStyle w:val="50"/>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3"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湛江市</w:t>
      </w:r>
      <w:r>
        <w:rPr>
          <w:rFonts w:ascii="黑体" w:eastAsia="黑体"/>
          <w:b w:val="0"/>
          <w:w w:val="100"/>
          <w:sz w:val="48"/>
        </w:rPr>
        <w:fldChar w:fldCharType="end"/>
      </w:r>
      <w:bookmarkEnd w:id="3"/>
      <w:r>
        <w:rPr>
          <w:rFonts w:hint="eastAsia" w:ascii="黑体" w:hAnsi="黑体" w:eastAsia="黑体"/>
          <w:b w:val="0"/>
          <w:bCs w:val="0"/>
          <w:w w:val="100"/>
          <w:sz w:val="48"/>
          <w:szCs w:val="48"/>
        </w:rPr>
        <w:t>地方标准</w:t>
      </w:r>
    </w:p>
    <w:bookmarkEnd w:id="1"/>
    <w:p>
      <w:pPr>
        <w:pStyle w:val="195"/>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4" w:name="文字1"/>
      <w:r>
        <w:rPr>
          <w:lang w:val="fr-FR"/>
        </w:rPr>
        <w:instrText xml:space="preserve"> FORMTEXT </w:instrText>
      </w:r>
      <w:r>
        <w:fldChar w:fldCharType="separate"/>
      </w:r>
      <w:r>
        <w:rPr>
          <w:lang w:val="fr-FR"/>
        </w:rPr>
        <w:t>4408/T</w:t>
      </w:r>
      <w:r>
        <w:fldChar w:fldCharType="end"/>
      </w:r>
      <w:bookmarkEnd w:id="4"/>
      <w:r>
        <w:rPr>
          <w:lang w:val="fr-FR"/>
        </w:rPr>
        <w:t xml:space="preserve"> </w:t>
      </w:r>
      <w:r>
        <w:fldChar w:fldCharType="begin">
          <w:ffData>
            <w:name w:val="NSTD_CODE_F"/>
            <w:enabled/>
            <w:calcOnExit w:val="0"/>
            <w:textInput>
              <w:default w:val="XXXX"/>
            </w:textInput>
          </w:ffData>
        </w:fldChar>
      </w:r>
      <w:bookmarkStart w:id="5" w:name="NSTD_CODE_F"/>
      <w:r>
        <w:rPr>
          <w:lang w:val="fr-FR"/>
        </w:rPr>
        <w:instrText xml:space="preserve"> FORMTEXT </w:instrText>
      </w:r>
      <w:r>
        <w:fldChar w:fldCharType="separate"/>
      </w:r>
      <w:r>
        <w:rPr>
          <w:lang w:val="fr-FR"/>
        </w:rPr>
        <w:t>XXXX</w:t>
      </w:r>
      <w:r>
        <w:fldChar w:fldCharType="end"/>
      </w:r>
      <w:bookmarkEnd w:id="5"/>
      <w:r>
        <w:rPr>
          <w:rFonts w:hAnsi="黑体"/>
          <w:lang w:val="fr-FR"/>
        </w:rPr>
        <w:t>—</w:t>
      </w:r>
      <w:r>
        <w:fldChar w:fldCharType="begin">
          <w:ffData>
            <w:name w:val="NSTD_CODE_B"/>
            <w:enabled/>
            <w:calcOnExit w:val="0"/>
            <w:textInput>
              <w:default w:val="XXXX"/>
            </w:textInput>
          </w:ffData>
        </w:fldChar>
      </w:r>
      <w:bookmarkStart w:id="6" w:name="NSTD_CODE_B"/>
      <w:r>
        <w:rPr>
          <w:lang w:val="fr-FR"/>
        </w:rPr>
        <w:instrText xml:space="preserve"> FORMTEXT </w:instrText>
      </w:r>
      <w:r>
        <w:fldChar w:fldCharType="separate"/>
      </w:r>
      <w:r>
        <w:rPr>
          <w:lang w:val="fr-FR"/>
        </w:rPr>
        <w:t>XXXX</w:t>
      </w:r>
      <w:r>
        <w:fldChar w:fldCharType="end"/>
      </w:r>
      <w:bookmarkEnd w:id="6"/>
    </w:p>
    <w:p>
      <w:pPr>
        <w:pStyle w:val="196"/>
        <w:framePr/>
        <w:rPr>
          <w:rFonts w:hAnsi="黑体"/>
          <w:lang w:val="fr-FR"/>
        </w:rPr>
      </w:pPr>
      <w:r>
        <w:rPr>
          <w:rFonts w:hAnsi="黑体"/>
        </w:rPr>
        <w:fldChar w:fldCharType="begin">
          <w:ffData>
            <w:name w:val="OSTD_CODE"/>
            <w:enabled/>
            <w:calcOnExit w:val="0"/>
            <w:textInput/>
          </w:ffData>
        </w:fldChar>
      </w:r>
      <w:bookmarkStart w:id="7" w:name="OSTD_CODE"/>
      <w:r>
        <w:rPr>
          <w:rFonts w:hAnsi="黑体"/>
          <w:lang w:val="fr-FR"/>
        </w:rPr>
        <w:instrText xml:space="preserve"> FORMTEXT </w:instrText>
      </w:r>
      <w:r>
        <w:rPr>
          <w:rFonts w:hAnsi="黑体"/>
        </w:rPr>
        <w:fldChar w:fldCharType="separate"/>
      </w:r>
      <w:r>
        <w:rPr>
          <w:rFonts w:hAnsi="黑体"/>
          <w:lang w:val="fr-FR"/>
        </w:rPr>
        <w:t>     </w:t>
      </w:r>
      <w:r>
        <w:rPr>
          <w:rFonts w:hAnsi="黑体"/>
        </w:rPr>
        <w:fldChar w:fldCharType="end"/>
      </w:r>
      <w:bookmarkEnd w:id="7"/>
    </w:p>
    <w:p>
      <w:pPr>
        <w:spacing w:line="240" w:lineRule="auto"/>
        <w:rPr>
          <w:rFonts w:ascii="黑体" w:hAnsi="黑体" w:eastAsia="黑体"/>
          <w:kern w:val="0"/>
          <w:sz w:val="10"/>
          <w:szCs w:val="10"/>
          <w:lang w:val="fr-FR"/>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ascii="黑体" w:hAnsi="黑体" w:eastAsia="黑体"/>
          <w:b w:val="0"/>
          <w:bCs w:val="0"/>
          <w:w w:val="100"/>
          <w:lang w:val="fr-FR"/>
        </w:rPr>
      </w:pPr>
    </w:p>
    <w:p>
      <w:pPr>
        <w:pStyle w:val="197"/>
        <w:framePr w:h="6974" w:hRule="exact" w:x="1419" w:anchorLock="1"/>
        <w:rPr>
          <w:lang w:val="fr-FR"/>
        </w:rPr>
      </w:pPr>
      <w:r>
        <w:rPr>
          <w:rFonts w:hint="eastAsia"/>
        </w:rPr>
        <w:t>供水</w:t>
      </w:r>
      <w:r>
        <w:t>管网及</w:t>
      </w:r>
      <w:r>
        <w:fldChar w:fldCharType="begin">
          <w:ffData>
            <w:name w:val="CSTD_NAME"/>
            <w:enabled/>
            <w:calcOnExit w:val="0"/>
            <w:textInput>
              <w:default w:val="点击此处添加标准名称"/>
            </w:textInput>
          </w:ffData>
        </w:fldChar>
      </w:r>
      <w:bookmarkStart w:id="8" w:name="CSTD_NAME"/>
      <w:r>
        <w:rPr>
          <w:lang w:val="fr-FR"/>
        </w:rPr>
        <w:instrText xml:space="preserve"> FORMTEXT </w:instrText>
      </w:r>
      <w:r>
        <w:fldChar w:fldCharType="separate"/>
      </w:r>
      <w:r>
        <w:rPr>
          <w:rFonts w:hint="eastAsia"/>
        </w:rPr>
        <w:t>二次供水工程技术规程</w:t>
      </w:r>
      <w:r>
        <w:fldChar w:fldCharType="end"/>
      </w:r>
      <w:bookmarkEnd w:id="8"/>
    </w:p>
    <w:p>
      <w:pPr>
        <w:framePr w:w="9639" w:h="6974" w:hRule="exact" w:wrap="around" w:vAnchor="page" w:hAnchor="page" w:x="1419" w:y="6408" w:anchorLock="1"/>
        <w:ind w:left="-1418"/>
        <w:rPr>
          <w:lang w:val="fr-FR"/>
        </w:rPr>
      </w:pPr>
    </w:p>
    <w:p>
      <w:pPr>
        <w:pStyle w:val="125"/>
        <w:framePr w:w="9639" w:h="6974" w:hRule="exact" w:wrap="around" w:vAnchor="page" w:hAnchor="page" w:x="1419" w:y="6408" w:anchorLock="1"/>
        <w:textAlignment w:val="bottom"/>
        <w:rPr>
          <w:rFonts w:eastAsia="黑体"/>
          <w:szCs w:val="28"/>
        </w:rPr>
      </w:pPr>
      <w:r>
        <w:rPr>
          <w:rFonts w:eastAsia="黑体"/>
          <w:szCs w:val="28"/>
          <w:lang w:val="fr-FR"/>
        </w:rPr>
        <w:t>Technical specification for water supply pipe-network and secondary water supply engineering</w:t>
      </w:r>
    </w:p>
    <w:p>
      <w:pPr>
        <w:framePr w:w="9639" w:h="6974" w:hRule="exact" w:wrap="around" w:vAnchor="page" w:hAnchor="page" w:x="1419" w:y="6408" w:anchorLock="1"/>
        <w:spacing w:line="760" w:lineRule="exact"/>
        <w:ind w:left="-1418"/>
        <w:rPr>
          <w:lang w:val="fr-FR"/>
        </w:rPr>
      </w:pPr>
    </w:p>
    <w:p>
      <w:pPr>
        <w:pStyle w:val="125"/>
        <w:framePr w:w="9639" w:h="6974" w:hRule="exact" w:wrap="around" w:vAnchor="page" w:hAnchor="page" w:x="1419" w:y="6408" w:anchorLock="1"/>
        <w:textAlignment w:val="bottom"/>
        <w:rPr>
          <w:rFonts w:eastAsia="黑体"/>
          <w:szCs w:val="28"/>
          <w:lang w:val="fr-FR"/>
        </w:rPr>
      </w:pPr>
    </w:p>
    <w:p>
      <w:pPr>
        <w:pStyle w:val="125"/>
        <w:framePr w:w="9639" w:h="6974" w:hRule="exact" w:wrap="around" w:vAnchor="page" w:hAnchor="page" w:x="1419" w:y="6408" w:anchorLock="1"/>
        <w:spacing w:before="440" w:after="160"/>
        <w:textAlignment w:val="bottom"/>
        <w:rPr>
          <w:sz w:val="24"/>
          <w:szCs w:val="28"/>
          <w:lang w:val="fr-FR"/>
        </w:rPr>
      </w:pPr>
      <w:r>
        <w:rPr>
          <w:rFonts w:hint="eastAsia"/>
          <w:sz w:val="24"/>
          <w:szCs w:val="28"/>
          <w:lang w:val="fr-FR"/>
        </w:rPr>
        <w:t>（</w:t>
      </w:r>
      <w:r>
        <w:rPr>
          <w:rFonts w:hint="eastAsia"/>
          <w:sz w:val="24"/>
          <w:szCs w:val="28"/>
        </w:rPr>
        <w:t>送审</w:t>
      </w:r>
      <w:r>
        <w:rPr>
          <w:sz w:val="24"/>
          <w:szCs w:val="28"/>
        </w:rPr>
        <w:t>稿</w:t>
      </w:r>
      <w:r>
        <w:rPr>
          <w:rFonts w:hint="eastAsia"/>
          <w:sz w:val="24"/>
          <w:szCs w:val="28"/>
          <w:lang w:val="fr-FR"/>
        </w:rPr>
        <w:t>）</w:t>
      </w:r>
    </w:p>
    <w:p>
      <w:pPr>
        <w:pStyle w:val="125"/>
        <w:framePr w:w="9639" w:h="6974" w:hRule="exact" w:wrap="around" w:vAnchor="page" w:hAnchor="page" w:x="1419" w:y="6408" w:anchorLock="1"/>
        <w:spacing w:before="180" w:line="240" w:lineRule="atLeast"/>
        <w:textAlignment w:val="bottom"/>
        <w:rPr>
          <w:sz w:val="21"/>
          <w:szCs w:val="28"/>
        </w:rPr>
      </w:pPr>
      <w:r>
        <w:rPr>
          <w:sz w:val="21"/>
          <w:szCs w:val="28"/>
        </w:rPr>
        <w:t>2024.01.15</w:t>
      </w:r>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9" w:name="下拉2"/>
      <w:r>
        <w:rPr>
          <w:b/>
          <w:sz w:val="21"/>
          <w:szCs w:val="28"/>
        </w:rPr>
        <w:instrText xml:space="preserve"> FORMDROPDOWN </w:instrText>
      </w:r>
      <w:r>
        <w:rPr>
          <w:b/>
          <w:sz w:val="21"/>
          <w:szCs w:val="28"/>
        </w:rPr>
        <w:fldChar w:fldCharType="separate"/>
      </w:r>
      <w:r>
        <w:rPr>
          <w:b/>
          <w:sz w:val="21"/>
          <w:szCs w:val="28"/>
        </w:rPr>
        <w:fldChar w:fldCharType="end"/>
      </w:r>
      <w:bookmarkEnd w:id="9"/>
    </w:p>
    <w:p>
      <w:pPr>
        <w:pStyle w:val="193"/>
        <w:framePr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实施</w:t>
      </w:r>
    </w:p>
    <w:p>
      <w:pPr>
        <w:pStyle w:val="151"/>
        <w:framePr w:h="584" w:hRule="exact" w:hSpace="181" w:vSpace="181" w:y="15027"/>
        <w:rPr>
          <w:rFonts w:hAnsi="黑体"/>
        </w:rPr>
      </w:pPr>
      <w:r>
        <w:rPr>
          <w:rFonts w:hAnsi="黑体"/>
          <w:w w:val="100"/>
          <w:sz w:val="28"/>
        </w:rPr>
        <w:fldChar w:fldCharType="begin">
          <w:ffData>
            <w:name w:val="fm"/>
            <w:enabled/>
            <w:calcOnExit w:val="0"/>
            <w:textInput/>
          </w:ffData>
        </w:fldChar>
      </w:r>
      <w:bookmarkStart w:id="16" w:name="fm"/>
      <w:r>
        <w:rPr>
          <w:rFonts w:hAnsi="黑体"/>
          <w:w w:val="100"/>
          <w:sz w:val="28"/>
        </w:rPr>
        <w:instrText xml:space="preserve"> FORMTEXT </w:instrText>
      </w:r>
      <w:r>
        <w:rPr>
          <w:rFonts w:hAnsi="黑体"/>
          <w:w w:val="100"/>
          <w:sz w:val="28"/>
        </w:rPr>
        <w:fldChar w:fldCharType="separate"/>
      </w:r>
      <w:r>
        <w:rPr>
          <w:rFonts w:hint="eastAsia" w:hAnsi="黑体"/>
          <w:w w:val="100"/>
          <w:sz w:val="28"/>
        </w:rPr>
        <w:t>湛江市市场监督管理局</w:t>
      </w:r>
      <w:r>
        <w:rPr>
          <w:rFonts w:hAnsi="黑体"/>
          <w:w w:val="100"/>
          <w:sz w:val="28"/>
        </w:rPr>
        <w:fldChar w:fldCharType="end"/>
      </w:r>
      <w:bookmarkEnd w:id="16"/>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4" w:type="first"/>
          <w:footerReference r:id="rId6" w:type="first"/>
          <w:headerReference r:id="rId3" w:type="default"/>
          <w:footerReference r:id="rId5"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p>
    <w:p>
      <w:pPr>
        <w:pStyle w:val="91"/>
        <w:spacing w:after="468"/>
      </w:pPr>
      <w:bookmarkStart w:id="17" w:name="BookMark1"/>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"_Toc155974748" </w:instrText>
      </w:r>
      <w:r>
        <w:fldChar w:fldCharType="separate"/>
      </w:r>
      <w:r>
        <w:rPr>
          <w:rStyle w:val="30"/>
          <w:spacing w:val="320"/>
        </w:rPr>
        <w:t>前</w:t>
      </w:r>
      <w:r>
        <w:rPr>
          <w:rStyle w:val="30"/>
        </w:rPr>
        <w:t>言</w:t>
      </w:r>
      <w:r>
        <w:tab/>
      </w:r>
      <w:r>
        <w:fldChar w:fldCharType="begin"/>
      </w:r>
      <w:r>
        <w:instrText xml:space="preserve"> PAGEREF _Toc155974748 \h </w:instrText>
      </w:r>
      <w:r>
        <w:fldChar w:fldCharType="separate"/>
      </w:r>
      <w:r>
        <w:t>III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"_Toc155974749" </w:instrText>
      </w:r>
      <w:r>
        <w:fldChar w:fldCharType="separate"/>
      </w:r>
      <w:r>
        <w:rPr>
          <w:rStyle w:val="30"/>
          <w:spacing w:val="320"/>
        </w:rPr>
        <w:t>引</w:t>
      </w:r>
      <w:r>
        <w:rPr>
          <w:rStyle w:val="30"/>
        </w:rPr>
        <w:t>言</w:t>
      </w:r>
      <w:r>
        <w:tab/>
      </w:r>
      <w:r>
        <w:fldChar w:fldCharType="begin"/>
      </w:r>
      <w:r>
        <w:instrText xml:space="preserve"> PAGEREF _Toc155974749 \h </w:instrText>
      </w:r>
      <w:r>
        <w:fldChar w:fldCharType="separate"/>
      </w:r>
      <w:r>
        <w:t>IV</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"_Toc155974750" </w:instrText>
      </w:r>
      <w:r>
        <w:fldChar w:fldCharType="separate"/>
      </w:r>
      <w:r>
        <w:rPr>
          <w:rStyle w:val="30"/>
        </w:rPr>
        <w:t>1 范围</w:t>
      </w:r>
      <w:r>
        <w:tab/>
      </w:r>
      <w:r>
        <w:fldChar w:fldCharType="begin"/>
      </w:r>
      <w:r>
        <w:instrText xml:space="preserve"> PAGEREF _Toc155974750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"_Toc155974751" </w:instrText>
      </w:r>
      <w:r>
        <w:fldChar w:fldCharType="separate"/>
      </w:r>
      <w:r>
        <w:rPr>
          <w:rStyle w:val="30"/>
        </w:rPr>
        <w:t>2 规范性引用文件</w:t>
      </w:r>
      <w:r>
        <w:tab/>
      </w:r>
      <w:r>
        <w:fldChar w:fldCharType="begin"/>
      </w:r>
      <w:r>
        <w:instrText xml:space="preserve"> PAGEREF _Toc155974751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"_Toc155974752" </w:instrText>
      </w:r>
      <w:r>
        <w:fldChar w:fldCharType="separate"/>
      </w:r>
      <w:r>
        <w:rPr>
          <w:rStyle w:val="30"/>
        </w:rPr>
        <w:t>3 术语和定义</w:t>
      </w:r>
      <w:r>
        <w:tab/>
      </w:r>
      <w:r>
        <w:fldChar w:fldCharType="begin"/>
      </w:r>
      <w:r>
        <w:instrText xml:space="preserve"> PAGEREF _Toc155974752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"_Toc155974753" </w:instrText>
      </w:r>
      <w:r>
        <w:fldChar w:fldCharType="separate"/>
      </w:r>
      <w:r>
        <w:rPr>
          <w:rStyle w:val="30"/>
        </w:rPr>
        <w:t>4 二次供水设计</w:t>
      </w:r>
      <w:r>
        <w:tab/>
      </w:r>
      <w:r>
        <w:fldChar w:fldCharType="begin"/>
      </w:r>
      <w:r>
        <w:instrText xml:space="preserve"> PAGEREF _Toc155974753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"_Toc155974754" </w:instrText>
      </w:r>
      <w:r>
        <w:fldChar w:fldCharType="separate"/>
      </w:r>
      <w:r>
        <w:rPr>
          <w:rStyle w:val="30"/>
          <w14:scene3d w14:prst="orthographicFront">
            <w14:lightRig w14:rig="threePt" w14:dir="t">
              <w14:rot w14:lat="0" w14:lon="0" w14:rev="0"/>
            </w14:lightRig>
          </w14:scene3d>
        </w:rPr>
        <w:t>4.1</w:t>
      </w:r>
      <w:r>
        <w:rPr>
          <w:rStyle w:val="30"/>
        </w:rPr>
        <w:t xml:space="preserve"> 一般规定</w:t>
      </w:r>
      <w:r>
        <w:tab/>
      </w:r>
      <w:r>
        <w:fldChar w:fldCharType="begin"/>
      </w:r>
      <w:r>
        <w:instrText xml:space="preserve"> PAGEREF _Toc155974754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"_Toc155974755" </w:instrText>
      </w:r>
      <w:r>
        <w:fldChar w:fldCharType="separate"/>
      </w:r>
      <w:r>
        <w:rPr>
          <w:rStyle w:val="30"/>
          <w14:scene3d w14:prst="orthographicFront">
            <w14:lightRig w14:rig="threePt" w14:dir="t">
              <w14:rot w14:lat="0" w14:lon="0" w14:rev="0"/>
            </w14:lightRig>
          </w14:scene3d>
        </w:rPr>
        <w:t>4.2</w:t>
      </w:r>
      <w:r>
        <w:rPr>
          <w:rStyle w:val="30"/>
        </w:rPr>
        <w:t xml:space="preserve"> 提标改造</w:t>
      </w:r>
      <w:r>
        <w:tab/>
      </w:r>
      <w:r>
        <w:fldChar w:fldCharType="begin"/>
      </w:r>
      <w:r>
        <w:instrText xml:space="preserve"> PAGEREF _Toc155974755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"_Toc155974756" </w:instrText>
      </w:r>
      <w:r>
        <w:fldChar w:fldCharType="separate"/>
      </w:r>
      <w:r>
        <w:rPr>
          <w:rStyle w:val="30"/>
          <w14:scene3d w14:prst="orthographicFront">
            <w14:lightRig w14:rig="threePt" w14:dir="t">
              <w14:rot w14:lat="0" w14:lon="0" w14:rev="0"/>
            </w14:lightRig>
          </w14:scene3d>
        </w:rPr>
        <w:t>4.3</w:t>
      </w:r>
      <w:r>
        <w:rPr>
          <w:rStyle w:val="30"/>
        </w:rPr>
        <w:t xml:space="preserve"> 水量、水质和水压</w:t>
      </w:r>
      <w:r>
        <w:tab/>
      </w:r>
      <w:r>
        <w:fldChar w:fldCharType="begin"/>
      </w:r>
      <w:r>
        <w:instrText xml:space="preserve"> PAGEREF _Toc155974756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"_Toc155974757" </w:instrText>
      </w:r>
      <w:r>
        <w:fldChar w:fldCharType="separate"/>
      </w:r>
      <w:r>
        <w:rPr>
          <w:rStyle w:val="30"/>
          <w14:scene3d w14:prst="orthographicFront">
            <w14:lightRig w14:rig="threePt" w14:dir="t">
              <w14:rot w14:lat="0" w14:lon="0" w14:rev="0"/>
            </w14:lightRig>
          </w14:scene3d>
        </w:rPr>
        <w:t>4.4</w:t>
      </w:r>
      <w:r>
        <w:rPr>
          <w:rStyle w:val="30"/>
        </w:rPr>
        <w:t xml:space="preserve"> 系统选择</w:t>
      </w:r>
      <w:r>
        <w:tab/>
      </w:r>
      <w:r>
        <w:fldChar w:fldCharType="begin"/>
      </w:r>
      <w:r>
        <w:instrText xml:space="preserve"> PAGEREF _Toc155974757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"_Toc155974758" </w:instrText>
      </w:r>
      <w:r>
        <w:fldChar w:fldCharType="separate"/>
      </w:r>
      <w:r>
        <w:rPr>
          <w:rStyle w:val="30"/>
          <w14:scene3d w14:prst="orthographicFront">
            <w14:lightRig w14:rig="threePt" w14:dir="t">
              <w14:rot w14:lat="0" w14:lon="0" w14:rev="0"/>
            </w14:lightRig>
          </w14:scene3d>
        </w:rPr>
        <w:t>4.5</w:t>
      </w:r>
      <w:r>
        <w:rPr>
          <w:rStyle w:val="30"/>
        </w:rPr>
        <w:t xml:space="preserve"> 系统设计</w:t>
      </w:r>
      <w:r>
        <w:tab/>
      </w:r>
      <w:r>
        <w:fldChar w:fldCharType="begin"/>
      </w:r>
      <w:r>
        <w:instrText xml:space="preserve"> PAGEREF _Toc155974758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"_Toc155974759" </w:instrText>
      </w:r>
      <w:r>
        <w:fldChar w:fldCharType="separate"/>
      </w:r>
      <w:r>
        <w:rPr>
          <w:rStyle w:val="30"/>
          <w14:scene3d w14:prst="orthographicFront">
            <w14:lightRig w14:rig="threePt" w14:dir="t">
              <w14:rot w14:lat="0" w14:lon="0" w14:rev="0"/>
            </w14:lightRig>
          </w14:scene3d>
        </w:rPr>
        <w:t>4.6</w:t>
      </w:r>
      <w:r>
        <w:rPr>
          <w:rStyle w:val="30"/>
        </w:rPr>
        <w:t xml:space="preserve"> 泵房</w:t>
      </w:r>
      <w:r>
        <w:tab/>
      </w:r>
      <w:r>
        <w:fldChar w:fldCharType="begin"/>
      </w:r>
      <w:r>
        <w:instrText xml:space="preserve"> PAGEREF _Toc155974759 \h </w:instrText>
      </w:r>
      <w:r>
        <w:fldChar w:fldCharType="separate"/>
      </w:r>
      <w:r>
        <w:t>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"_Toc155974760" </w:instrText>
      </w:r>
      <w:r>
        <w:fldChar w:fldCharType="separate"/>
      </w:r>
      <w:r>
        <w:rPr>
          <w:rStyle w:val="30"/>
          <w14:scene3d w14:prst="orthographicFront">
            <w14:lightRig w14:rig="threePt" w14:dir="t">
              <w14:rot w14:lat="0" w14:lon="0" w14:rev="0"/>
            </w14:lightRig>
          </w14:scene3d>
        </w:rPr>
        <w:t>4.7</w:t>
      </w:r>
      <w:r>
        <w:rPr>
          <w:rStyle w:val="30"/>
        </w:rPr>
        <w:t xml:space="preserve"> 水泵</w:t>
      </w:r>
      <w:r>
        <w:tab/>
      </w:r>
      <w:r>
        <w:fldChar w:fldCharType="begin"/>
      </w:r>
      <w:r>
        <w:instrText xml:space="preserve"> PAGEREF _Toc155974760 \h </w:instrText>
      </w:r>
      <w:r>
        <w:fldChar w:fldCharType="separate"/>
      </w:r>
      <w:r>
        <w:t>8</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"_Toc155974761" </w:instrText>
      </w:r>
      <w:r>
        <w:fldChar w:fldCharType="separate"/>
      </w:r>
      <w:r>
        <w:rPr>
          <w:rStyle w:val="30"/>
          <w14:scene3d w14:prst="orthographicFront">
            <w14:lightRig w14:rig="threePt" w14:dir="t">
              <w14:rot w14:lat="0" w14:lon="0" w14:rev="0"/>
            </w14:lightRig>
          </w14:scene3d>
        </w:rPr>
        <w:t>4.8</w:t>
      </w:r>
      <w:r>
        <w:rPr>
          <w:rStyle w:val="30"/>
        </w:rPr>
        <w:t xml:space="preserve"> 叠压供水设备</w:t>
      </w:r>
      <w:r>
        <w:tab/>
      </w:r>
      <w:r>
        <w:fldChar w:fldCharType="begin"/>
      </w:r>
      <w:r>
        <w:instrText xml:space="preserve"> PAGEREF _Toc155974761 \h </w:instrText>
      </w:r>
      <w:r>
        <w:fldChar w:fldCharType="separate"/>
      </w:r>
      <w:r>
        <w:t>9</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"_Toc155974762" </w:instrText>
      </w:r>
      <w:r>
        <w:fldChar w:fldCharType="separate"/>
      </w:r>
      <w:r>
        <w:rPr>
          <w:rStyle w:val="30"/>
          <w14:scene3d w14:prst="orthographicFront">
            <w14:lightRig w14:rig="threePt" w14:dir="t">
              <w14:rot w14:lat="0" w14:lon="0" w14:rev="0"/>
            </w14:lightRig>
          </w14:scene3d>
        </w:rPr>
        <w:t>4.9</w:t>
      </w:r>
      <w:r>
        <w:rPr>
          <w:rStyle w:val="30"/>
        </w:rPr>
        <w:t xml:space="preserve"> 水池（箱）</w:t>
      </w:r>
      <w:r>
        <w:tab/>
      </w:r>
      <w:r>
        <w:fldChar w:fldCharType="begin"/>
      </w:r>
      <w:r>
        <w:instrText xml:space="preserve"> PAGEREF _Toc155974762 \h </w:instrText>
      </w:r>
      <w:r>
        <w:fldChar w:fldCharType="separate"/>
      </w:r>
      <w:r>
        <w:t>9</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"_Toc155974763" </w:instrText>
      </w:r>
      <w:r>
        <w:fldChar w:fldCharType="separate"/>
      </w:r>
      <w:r>
        <w:rPr>
          <w:rStyle w:val="30"/>
          <w14:scene3d w14:prst="orthographicFront">
            <w14:lightRig w14:rig="threePt" w14:dir="t">
              <w14:rot w14:lat="0" w14:lon="0" w14:rev="0"/>
            </w14:lightRig>
          </w14:scene3d>
        </w:rPr>
        <w:t>4.10</w:t>
      </w:r>
      <w:r>
        <w:rPr>
          <w:rStyle w:val="30"/>
        </w:rPr>
        <w:t xml:space="preserve"> 消毒与在线监测</w:t>
      </w:r>
      <w:r>
        <w:tab/>
      </w:r>
      <w:r>
        <w:fldChar w:fldCharType="begin"/>
      </w:r>
      <w:r>
        <w:instrText xml:space="preserve"> PAGEREF _Toc155974763 \h </w:instrText>
      </w:r>
      <w:r>
        <w:fldChar w:fldCharType="separate"/>
      </w:r>
      <w:r>
        <w:t>11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"_Toc155974764" </w:instrText>
      </w:r>
      <w:r>
        <w:fldChar w:fldCharType="separate"/>
      </w:r>
      <w:r>
        <w:rPr>
          <w:rStyle w:val="30"/>
          <w14:scene3d w14:prst="orthographicFront">
            <w14:lightRig w14:rig="threePt" w14:dir="t">
              <w14:rot w14:lat="0" w14:lon="0" w14:rev="0"/>
            </w14:lightRig>
          </w14:scene3d>
        </w:rPr>
        <w:t>4.11</w:t>
      </w:r>
      <w:r>
        <w:rPr>
          <w:rStyle w:val="30"/>
        </w:rPr>
        <w:t xml:space="preserve"> 管路系统及附属设施</w:t>
      </w:r>
      <w:r>
        <w:tab/>
      </w:r>
      <w:r>
        <w:fldChar w:fldCharType="begin"/>
      </w:r>
      <w:r>
        <w:instrText xml:space="preserve"> PAGEREF _Toc155974764 \h </w:instrText>
      </w:r>
      <w:r>
        <w:fldChar w:fldCharType="separate"/>
      </w:r>
      <w:r>
        <w:t>11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"_Toc155974765" </w:instrText>
      </w:r>
      <w:r>
        <w:fldChar w:fldCharType="separate"/>
      </w:r>
      <w:r>
        <w:rPr>
          <w:rStyle w:val="30"/>
          <w14:scene3d w14:prst="orthographicFront">
            <w14:lightRig w14:rig="threePt" w14:dir="t">
              <w14:rot w14:lat="0" w14:lon="0" w14:rev="0"/>
            </w14:lightRig>
          </w14:scene3d>
        </w:rPr>
        <w:t>4.12</w:t>
      </w:r>
      <w:r>
        <w:rPr>
          <w:rStyle w:val="30"/>
        </w:rPr>
        <w:t xml:space="preserve"> 流量计及水表</w:t>
      </w:r>
      <w:r>
        <w:tab/>
      </w:r>
      <w:r>
        <w:fldChar w:fldCharType="begin"/>
      </w:r>
      <w:r>
        <w:instrText xml:space="preserve"> PAGEREF _Toc155974765 \h </w:instrText>
      </w:r>
      <w:r>
        <w:fldChar w:fldCharType="separate"/>
      </w:r>
      <w:r>
        <w:t>12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"_Toc155974766" </w:instrText>
      </w:r>
      <w:r>
        <w:fldChar w:fldCharType="separate"/>
      </w:r>
      <w:r>
        <w:rPr>
          <w:rStyle w:val="30"/>
          <w14:scene3d w14:prst="orthographicFront">
            <w14:lightRig w14:rig="threePt" w14:dir="t">
              <w14:rot w14:lat="0" w14:lon="0" w14:rev="0"/>
            </w14:lightRig>
          </w14:scene3d>
        </w:rPr>
        <w:t>4.13</w:t>
      </w:r>
      <w:r>
        <w:rPr>
          <w:rStyle w:val="30"/>
        </w:rPr>
        <w:t xml:space="preserve"> 自控</w:t>
      </w:r>
      <w:r>
        <w:tab/>
      </w:r>
      <w:r>
        <w:fldChar w:fldCharType="begin"/>
      </w:r>
      <w:r>
        <w:instrText xml:space="preserve"> PAGEREF _Toc155974766 \h </w:instrText>
      </w:r>
      <w:r>
        <w:fldChar w:fldCharType="separate"/>
      </w:r>
      <w:r>
        <w:t>13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"_Toc155974767" </w:instrText>
      </w:r>
      <w:r>
        <w:fldChar w:fldCharType="separate"/>
      </w:r>
      <w:r>
        <w:rPr>
          <w:rStyle w:val="30"/>
        </w:rPr>
        <w:t>5 管理系统与安防</w:t>
      </w:r>
      <w:r>
        <w:tab/>
      </w:r>
      <w:r>
        <w:fldChar w:fldCharType="begin"/>
      </w:r>
      <w:r>
        <w:instrText xml:space="preserve"> PAGEREF _Toc155974767 \h </w:instrText>
      </w:r>
      <w:r>
        <w:fldChar w:fldCharType="separate"/>
      </w:r>
      <w:r>
        <w:t>14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"_Toc155974768" </w:instrText>
      </w:r>
      <w:r>
        <w:fldChar w:fldCharType="separate"/>
      </w:r>
      <w:r>
        <w:rPr>
          <w:rStyle w:val="30"/>
          <w14:scene3d w14:prst="orthographicFront">
            <w14:lightRig w14:rig="threePt" w14:dir="t">
              <w14:rot w14:lat="0" w14:lon="0" w14:rev="0"/>
            </w14:lightRig>
          </w14:scene3d>
        </w:rPr>
        <w:t>5.1</w:t>
      </w:r>
      <w:r>
        <w:rPr>
          <w:rStyle w:val="30"/>
        </w:rPr>
        <w:t xml:space="preserve"> 一般规定</w:t>
      </w:r>
      <w:r>
        <w:tab/>
      </w:r>
      <w:r>
        <w:fldChar w:fldCharType="begin"/>
      </w:r>
      <w:r>
        <w:instrText xml:space="preserve"> PAGEREF _Toc155974768 \h </w:instrText>
      </w:r>
      <w:r>
        <w:fldChar w:fldCharType="separate"/>
      </w:r>
      <w:r>
        <w:t>14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"_Toc155974769" </w:instrText>
      </w:r>
      <w:r>
        <w:fldChar w:fldCharType="separate"/>
      </w:r>
      <w:r>
        <w:rPr>
          <w:rStyle w:val="30"/>
          <w14:scene3d w14:prst="orthographicFront">
            <w14:lightRig w14:rig="threePt" w14:dir="t">
              <w14:rot w14:lat="0" w14:lon="0" w14:rev="0"/>
            </w14:lightRig>
          </w14:scene3d>
        </w:rPr>
        <w:t>5.2</w:t>
      </w:r>
      <w:r>
        <w:rPr>
          <w:rStyle w:val="30"/>
        </w:rPr>
        <w:t xml:space="preserve"> 安防系统</w:t>
      </w:r>
      <w:r>
        <w:tab/>
      </w:r>
      <w:r>
        <w:fldChar w:fldCharType="begin"/>
      </w:r>
      <w:r>
        <w:instrText xml:space="preserve"> PAGEREF _Toc155974769 \h </w:instrText>
      </w:r>
      <w:r>
        <w:fldChar w:fldCharType="separate"/>
      </w:r>
      <w:r>
        <w:t>14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"_Toc155974770" </w:instrText>
      </w:r>
      <w:r>
        <w:fldChar w:fldCharType="separate"/>
      </w:r>
      <w:r>
        <w:rPr>
          <w:rStyle w:val="30"/>
          <w14:scene3d w14:prst="orthographicFront">
            <w14:lightRig w14:rig="threePt" w14:dir="t">
              <w14:rot w14:lat="0" w14:lon="0" w14:rev="0"/>
            </w14:lightRig>
          </w14:scene3d>
        </w:rPr>
        <w:t>5.3</w:t>
      </w:r>
      <w:r>
        <w:rPr>
          <w:rStyle w:val="30"/>
        </w:rPr>
        <w:t xml:space="preserve"> 数据采集与控制系统</w:t>
      </w:r>
      <w:r>
        <w:tab/>
      </w:r>
      <w:r>
        <w:fldChar w:fldCharType="begin"/>
      </w:r>
      <w:r>
        <w:instrText xml:space="preserve"> PAGEREF _Toc155974770 \h </w:instrText>
      </w:r>
      <w:r>
        <w:fldChar w:fldCharType="separate"/>
      </w:r>
      <w:r>
        <w:t>14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"_Toc155974771" </w:instrText>
      </w:r>
      <w:r>
        <w:fldChar w:fldCharType="separate"/>
      </w:r>
      <w:r>
        <w:rPr>
          <w:rStyle w:val="30"/>
          <w14:scene3d w14:prst="orthographicFront">
            <w14:lightRig w14:rig="threePt" w14:dir="t">
              <w14:rot w14:lat="0" w14:lon="0" w14:rev="0"/>
            </w14:lightRig>
          </w14:scene3d>
        </w:rPr>
        <w:t>5.4</w:t>
      </w:r>
      <w:r>
        <w:rPr>
          <w:rStyle w:val="30"/>
        </w:rPr>
        <w:t xml:space="preserve"> 运行维护管理系统</w:t>
      </w:r>
      <w:r>
        <w:tab/>
      </w:r>
      <w:r>
        <w:fldChar w:fldCharType="begin"/>
      </w:r>
      <w:r>
        <w:instrText xml:space="preserve"> PAGEREF _Toc155974771 \h </w:instrText>
      </w:r>
      <w:r>
        <w:fldChar w:fldCharType="separate"/>
      </w:r>
      <w:r>
        <w:t>15</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"_Toc155974772" </w:instrText>
      </w:r>
      <w:r>
        <w:fldChar w:fldCharType="separate"/>
      </w:r>
      <w:r>
        <w:rPr>
          <w:rStyle w:val="30"/>
        </w:rPr>
        <w:t>6 施工及安装</w:t>
      </w:r>
      <w:r>
        <w:tab/>
      </w:r>
      <w:r>
        <w:fldChar w:fldCharType="begin"/>
      </w:r>
      <w:r>
        <w:instrText xml:space="preserve"> PAGEREF _Toc155974772 \h </w:instrText>
      </w:r>
      <w:r>
        <w:fldChar w:fldCharType="separate"/>
      </w:r>
      <w:r>
        <w:t>15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"_Toc155974773" </w:instrText>
      </w:r>
      <w:r>
        <w:fldChar w:fldCharType="separate"/>
      </w:r>
      <w:r>
        <w:rPr>
          <w:rStyle w:val="30"/>
          <w14:scene3d w14:prst="orthographicFront">
            <w14:lightRig w14:rig="threePt" w14:dir="t">
              <w14:rot w14:lat="0" w14:lon="0" w14:rev="0"/>
            </w14:lightRig>
          </w14:scene3d>
        </w:rPr>
        <w:t>6.1</w:t>
      </w:r>
      <w:r>
        <w:rPr>
          <w:rStyle w:val="30"/>
        </w:rPr>
        <w:t xml:space="preserve"> 一般规定</w:t>
      </w:r>
      <w:r>
        <w:tab/>
      </w:r>
      <w:r>
        <w:fldChar w:fldCharType="begin"/>
      </w:r>
      <w:r>
        <w:instrText xml:space="preserve"> PAGEREF _Toc155974773 \h </w:instrText>
      </w:r>
      <w:r>
        <w:fldChar w:fldCharType="separate"/>
      </w:r>
      <w:r>
        <w:t>15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"_Toc155974774" </w:instrText>
      </w:r>
      <w:r>
        <w:fldChar w:fldCharType="separate"/>
      </w:r>
      <w:r>
        <w:rPr>
          <w:rStyle w:val="30"/>
          <w14:scene3d w14:prst="orthographicFront">
            <w14:lightRig w14:rig="threePt" w14:dir="t">
              <w14:rot w14:lat="0" w14:lon="0" w14:rev="0"/>
            </w14:lightRig>
          </w14:scene3d>
        </w:rPr>
        <w:t>6.2</w:t>
      </w:r>
      <w:r>
        <w:rPr>
          <w:rStyle w:val="30"/>
        </w:rPr>
        <w:t xml:space="preserve"> 设备安装</w:t>
      </w:r>
      <w:r>
        <w:tab/>
      </w:r>
      <w:r>
        <w:fldChar w:fldCharType="begin"/>
      </w:r>
      <w:r>
        <w:instrText xml:space="preserve"> PAGEREF _Toc155974774 \h </w:instrText>
      </w:r>
      <w:r>
        <w:fldChar w:fldCharType="separate"/>
      </w:r>
      <w:r>
        <w:t>15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"_Toc155974775" </w:instrText>
      </w:r>
      <w:r>
        <w:fldChar w:fldCharType="separate"/>
      </w:r>
      <w:r>
        <w:rPr>
          <w:rStyle w:val="30"/>
          <w14:scene3d w14:prst="orthographicFront">
            <w14:lightRig w14:rig="threePt" w14:dir="t">
              <w14:rot w14:lat="0" w14:lon="0" w14:rev="0"/>
            </w14:lightRig>
          </w14:scene3d>
        </w:rPr>
        <w:t>6.3</w:t>
      </w:r>
      <w:r>
        <w:rPr>
          <w:rStyle w:val="30"/>
        </w:rPr>
        <w:t xml:space="preserve"> 水池（箱）改造</w:t>
      </w:r>
      <w:r>
        <w:tab/>
      </w:r>
      <w:r>
        <w:fldChar w:fldCharType="begin"/>
      </w:r>
      <w:r>
        <w:instrText xml:space="preserve"> PAGEREF _Toc155974775 \h </w:instrText>
      </w:r>
      <w:r>
        <w:fldChar w:fldCharType="separate"/>
      </w:r>
      <w:r>
        <w:t>16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"_Toc155974776" </w:instrText>
      </w:r>
      <w:r>
        <w:fldChar w:fldCharType="separate"/>
      </w:r>
      <w:r>
        <w:rPr>
          <w:rStyle w:val="30"/>
          <w14:scene3d w14:prst="orthographicFront">
            <w14:lightRig w14:rig="threePt" w14:dir="t">
              <w14:rot w14:lat="0" w14:lon="0" w14:rev="0"/>
            </w14:lightRig>
          </w14:scene3d>
        </w:rPr>
        <w:t>6.4</w:t>
      </w:r>
      <w:r>
        <w:rPr>
          <w:rStyle w:val="30"/>
        </w:rPr>
        <w:t xml:space="preserve"> 管道的敷设与安装</w:t>
      </w:r>
      <w:r>
        <w:tab/>
      </w:r>
      <w:r>
        <w:fldChar w:fldCharType="begin"/>
      </w:r>
      <w:r>
        <w:instrText xml:space="preserve"> PAGEREF _Toc155974776 \h </w:instrText>
      </w:r>
      <w:r>
        <w:fldChar w:fldCharType="separate"/>
      </w:r>
      <w:r>
        <w:t>16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"_Toc155974777" </w:instrText>
      </w:r>
      <w:r>
        <w:fldChar w:fldCharType="separate"/>
      </w:r>
      <w:r>
        <w:rPr>
          <w:rStyle w:val="30"/>
          <w14:scene3d w14:prst="orthographicFront">
            <w14:lightRig w14:rig="threePt" w14:dir="t">
              <w14:rot w14:lat="0" w14:lon="0" w14:rev="0"/>
            </w14:lightRig>
          </w14:scene3d>
        </w:rPr>
        <w:t>6.5</w:t>
      </w:r>
      <w:r>
        <w:rPr>
          <w:rStyle w:val="30"/>
        </w:rPr>
        <w:t xml:space="preserve"> 质量控制</w:t>
      </w:r>
      <w:r>
        <w:tab/>
      </w:r>
      <w:r>
        <w:fldChar w:fldCharType="begin"/>
      </w:r>
      <w:r>
        <w:instrText xml:space="preserve"> PAGEREF _Toc155974777 \h </w:instrText>
      </w:r>
      <w:r>
        <w:fldChar w:fldCharType="separate"/>
      </w:r>
      <w:r>
        <w:t>16</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"_Toc155974778" </w:instrText>
      </w:r>
      <w:r>
        <w:fldChar w:fldCharType="separate"/>
      </w:r>
      <w:r>
        <w:rPr>
          <w:rStyle w:val="30"/>
        </w:rPr>
        <w:t>7 调试与验收</w:t>
      </w:r>
      <w:r>
        <w:tab/>
      </w:r>
      <w:r>
        <w:fldChar w:fldCharType="begin"/>
      </w:r>
      <w:r>
        <w:instrText xml:space="preserve"> PAGEREF _Toc155974778 \h </w:instrText>
      </w:r>
      <w:r>
        <w:fldChar w:fldCharType="separate"/>
      </w:r>
      <w:r>
        <w:t>17</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"_Toc155974779" </w:instrText>
      </w:r>
      <w:r>
        <w:fldChar w:fldCharType="separate"/>
      </w:r>
      <w:r>
        <w:rPr>
          <w:rStyle w:val="30"/>
          <w14:scene3d w14:prst="orthographicFront">
            <w14:lightRig w14:rig="threePt" w14:dir="t">
              <w14:rot w14:lat="0" w14:lon="0" w14:rev="0"/>
            </w14:lightRig>
          </w14:scene3d>
        </w:rPr>
        <w:t>7.1</w:t>
      </w:r>
      <w:r>
        <w:rPr>
          <w:rStyle w:val="30"/>
        </w:rPr>
        <w:t xml:space="preserve"> 调试</w:t>
      </w:r>
      <w:r>
        <w:tab/>
      </w:r>
      <w:r>
        <w:fldChar w:fldCharType="begin"/>
      </w:r>
      <w:r>
        <w:instrText xml:space="preserve"> PAGEREF _Toc155974779 \h </w:instrText>
      </w:r>
      <w:r>
        <w:fldChar w:fldCharType="separate"/>
      </w:r>
      <w:r>
        <w:t>17</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"_Toc155974780" </w:instrText>
      </w:r>
      <w:r>
        <w:fldChar w:fldCharType="separate"/>
      </w:r>
      <w:r>
        <w:rPr>
          <w:rStyle w:val="30"/>
          <w14:scene3d w14:prst="orthographicFront">
            <w14:lightRig w14:rig="threePt" w14:dir="t">
              <w14:rot w14:lat="0" w14:lon="0" w14:rev="0"/>
            </w14:lightRig>
          </w14:scene3d>
        </w:rPr>
        <w:t>7.2</w:t>
      </w:r>
      <w:r>
        <w:rPr>
          <w:rStyle w:val="30"/>
        </w:rPr>
        <w:t xml:space="preserve"> 二次供水泵房的验收</w:t>
      </w:r>
      <w:r>
        <w:tab/>
      </w:r>
      <w:r>
        <w:fldChar w:fldCharType="begin"/>
      </w:r>
      <w:r>
        <w:instrText xml:space="preserve"> PAGEREF _Toc155974780 \h </w:instrText>
      </w:r>
      <w:r>
        <w:fldChar w:fldCharType="separate"/>
      </w:r>
      <w:r>
        <w:t>17</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"_Toc155974781" </w:instrText>
      </w:r>
      <w:r>
        <w:fldChar w:fldCharType="separate"/>
      </w:r>
      <w:r>
        <w:rPr>
          <w:rStyle w:val="30"/>
          <w14:scene3d w14:prst="orthographicFront">
            <w14:lightRig w14:rig="threePt" w14:dir="t">
              <w14:rot w14:lat="0" w14:lon="0" w14:rev="0"/>
            </w14:lightRig>
          </w14:scene3d>
        </w:rPr>
        <w:t>7.3</w:t>
      </w:r>
      <w:r>
        <w:rPr>
          <w:rStyle w:val="30"/>
        </w:rPr>
        <w:t xml:space="preserve"> 验收要求</w:t>
      </w:r>
      <w:r>
        <w:tab/>
      </w:r>
      <w:r>
        <w:fldChar w:fldCharType="begin"/>
      </w:r>
      <w:r>
        <w:instrText xml:space="preserve"> PAGEREF _Toc155974781 \h </w:instrText>
      </w:r>
      <w:r>
        <w:fldChar w:fldCharType="separate"/>
      </w:r>
      <w:r>
        <w:t>18</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"_Toc155974782" </w:instrText>
      </w:r>
      <w:r>
        <w:fldChar w:fldCharType="separate"/>
      </w:r>
      <w:r>
        <w:rPr>
          <w:rStyle w:val="30"/>
        </w:rPr>
        <w:t>8 设备设施运行与维护管理</w:t>
      </w:r>
      <w:r>
        <w:tab/>
      </w:r>
      <w:r>
        <w:fldChar w:fldCharType="begin"/>
      </w:r>
      <w:r>
        <w:instrText xml:space="preserve"> PAGEREF _Toc155974782 \h </w:instrText>
      </w:r>
      <w:r>
        <w:fldChar w:fldCharType="separate"/>
      </w:r>
      <w:r>
        <w:t>19</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"_Toc155974783" </w:instrText>
      </w:r>
      <w:r>
        <w:fldChar w:fldCharType="separate"/>
      </w:r>
      <w:r>
        <w:rPr>
          <w:rStyle w:val="30"/>
          <w14:scene3d w14:prst="orthographicFront">
            <w14:lightRig w14:rig="threePt" w14:dir="t">
              <w14:rot w14:lat="0" w14:lon="0" w14:rev="0"/>
            </w14:lightRig>
          </w14:scene3d>
        </w:rPr>
        <w:t>8.1</w:t>
      </w:r>
      <w:r>
        <w:rPr>
          <w:rStyle w:val="30"/>
        </w:rPr>
        <w:t xml:space="preserve"> 一般规定</w:t>
      </w:r>
      <w:r>
        <w:tab/>
      </w:r>
      <w:r>
        <w:fldChar w:fldCharType="begin"/>
      </w:r>
      <w:r>
        <w:instrText xml:space="preserve"> PAGEREF _Toc155974783 \h </w:instrText>
      </w:r>
      <w:r>
        <w:fldChar w:fldCharType="separate"/>
      </w:r>
      <w:r>
        <w:t>19</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"_Toc155974784" </w:instrText>
      </w:r>
      <w:r>
        <w:fldChar w:fldCharType="separate"/>
      </w:r>
      <w:r>
        <w:rPr>
          <w:rStyle w:val="30"/>
          <w14:scene3d w14:prst="orthographicFront">
            <w14:lightRig w14:rig="threePt" w14:dir="t">
              <w14:rot w14:lat="0" w14:lon="0" w14:rev="0"/>
            </w14:lightRig>
          </w14:scene3d>
        </w:rPr>
        <w:t>8.2</w:t>
      </w:r>
      <w:r>
        <w:rPr>
          <w:rStyle w:val="30"/>
        </w:rPr>
        <w:t xml:space="preserve"> 运行</w:t>
      </w:r>
      <w:r>
        <w:tab/>
      </w:r>
      <w:r>
        <w:fldChar w:fldCharType="begin"/>
      </w:r>
      <w:r>
        <w:instrText xml:space="preserve"> PAGEREF _Toc155974784 \h </w:instrText>
      </w:r>
      <w:r>
        <w:fldChar w:fldCharType="separate"/>
      </w:r>
      <w:r>
        <w:t>19</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"_Toc155974785" </w:instrText>
      </w:r>
      <w:r>
        <w:fldChar w:fldCharType="separate"/>
      </w:r>
      <w:r>
        <w:rPr>
          <w:rStyle w:val="30"/>
          <w14:scene3d w14:prst="orthographicFront">
            <w14:lightRig w14:rig="threePt" w14:dir="t">
              <w14:rot w14:lat="0" w14:lon="0" w14:rev="0"/>
            </w14:lightRig>
          </w14:scene3d>
        </w:rPr>
        <w:t>8.3</w:t>
      </w:r>
      <w:r>
        <w:rPr>
          <w:rStyle w:val="30"/>
        </w:rPr>
        <w:t xml:space="preserve"> 维护</w:t>
      </w:r>
      <w:r>
        <w:tab/>
      </w:r>
      <w:r>
        <w:fldChar w:fldCharType="begin"/>
      </w:r>
      <w:r>
        <w:instrText xml:space="preserve"> PAGEREF _Toc155974785 \h </w:instrText>
      </w:r>
      <w:r>
        <w:fldChar w:fldCharType="separate"/>
      </w:r>
      <w:r>
        <w:t>21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"_Toc155974786" </w:instrText>
      </w:r>
      <w:r>
        <w:fldChar w:fldCharType="separate"/>
      </w:r>
      <w:r>
        <w:rPr>
          <w:rStyle w:val="30"/>
          <w14:scene3d w14:prst="orthographicFront">
            <w14:lightRig w14:rig="threePt" w14:dir="t">
              <w14:rot w14:lat="0" w14:lon="0" w14:rev="0"/>
            </w14:lightRig>
          </w14:scene3d>
        </w:rPr>
        <w:t>8.4</w:t>
      </w:r>
      <w:r>
        <w:rPr>
          <w:rStyle w:val="30"/>
        </w:rPr>
        <w:t xml:space="preserve"> 安全管理</w:t>
      </w:r>
      <w:r>
        <w:tab/>
      </w:r>
      <w:r>
        <w:fldChar w:fldCharType="begin"/>
      </w:r>
      <w:r>
        <w:instrText xml:space="preserve"> PAGEREF _Toc155974786 \h </w:instrText>
      </w:r>
      <w:r>
        <w:fldChar w:fldCharType="separate"/>
      </w:r>
      <w:r>
        <w:t>24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"_Toc155974787" </w:instrText>
      </w:r>
      <w:r>
        <w:fldChar w:fldCharType="separate"/>
      </w:r>
      <w:r>
        <w:rPr>
          <w:rStyle w:val="30"/>
          <w:spacing w:val="100"/>
        </w:rPr>
        <w:t>附录A</w:t>
      </w:r>
      <w:r>
        <w:rPr>
          <w:rStyle w:val="30"/>
        </w:rPr>
        <w:t xml:space="preserve"> （资料性） 二次供水设施提标改造评估技术路线</w:t>
      </w:r>
      <w:r>
        <w:tab/>
      </w:r>
      <w:r>
        <w:fldChar w:fldCharType="begin"/>
      </w:r>
      <w:r>
        <w:instrText xml:space="preserve"> PAGEREF _Toc155974787 \h </w:instrText>
      </w:r>
      <w:r>
        <w:fldChar w:fldCharType="separate"/>
      </w:r>
      <w:r>
        <w:t>25</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"_Toc155974788" </w:instrText>
      </w:r>
      <w:r>
        <w:fldChar w:fldCharType="separate"/>
      </w:r>
      <w:r>
        <w:rPr>
          <w:rStyle w:val="30"/>
          <w:spacing w:val="100"/>
        </w:rPr>
        <w:t>附录B</w:t>
      </w:r>
      <w:r>
        <w:rPr>
          <w:rStyle w:val="30"/>
        </w:rPr>
        <w:t xml:space="preserve"> （资料性） 二次供水设施提标改造评估记录表</w:t>
      </w:r>
      <w:r>
        <w:tab/>
      </w:r>
      <w:r>
        <w:fldChar w:fldCharType="begin"/>
      </w:r>
      <w:r>
        <w:instrText xml:space="preserve"> PAGEREF _Toc155974788 \h </w:instrText>
      </w:r>
      <w:r>
        <w:fldChar w:fldCharType="separate"/>
      </w:r>
      <w:r>
        <w:t>26</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"_Toc155974789" </w:instrText>
      </w:r>
      <w:r>
        <w:fldChar w:fldCharType="separate"/>
      </w:r>
      <w:r>
        <w:rPr>
          <w:rStyle w:val="30"/>
          <w:spacing w:val="100"/>
        </w:rPr>
        <w:t>附录C</w:t>
      </w:r>
      <w:r>
        <w:rPr>
          <w:rStyle w:val="30"/>
        </w:rPr>
        <w:t xml:space="preserve"> （资料性） 二次供水设施提标改造申请资料</w:t>
      </w:r>
      <w:r>
        <w:tab/>
      </w:r>
      <w:r>
        <w:fldChar w:fldCharType="begin"/>
      </w:r>
      <w:r>
        <w:instrText xml:space="preserve"> PAGEREF _Toc155974789 \h </w:instrText>
      </w:r>
      <w:r>
        <w:fldChar w:fldCharType="separate"/>
      </w:r>
      <w:r>
        <w:t>28</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"_Toc155974790" </w:instrText>
      </w:r>
      <w:r>
        <w:fldChar w:fldCharType="separate"/>
      </w:r>
      <w:r>
        <w:rPr>
          <w:rStyle w:val="30"/>
          <w:spacing w:val="100"/>
        </w:rPr>
        <w:t>附录D</w:t>
      </w:r>
      <w:r>
        <w:rPr>
          <w:rStyle w:val="30"/>
        </w:rPr>
        <w:t xml:space="preserve"> （资料性） 二次供水设施提标改造移交验收记录表</w:t>
      </w:r>
      <w:r>
        <w:tab/>
      </w:r>
      <w:r>
        <w:fldChar w:fldCharType="begin"/>
      </w:r>
      <w:r>
        <w:instrText xml:space="preserve"> PAGEREF _Toc155974790 \h </w:instrText>
      </w:r>
      <w:r>
        <w:fldChar w:fldCharType="separate"/>
      </w:r>
      <w:r>
        <w:t>31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"_Toc155974791" </w:instrText>
      </w:r>
      <w:r>
        <w:fldChar w:fldCharType="separate"/>
      </w:r>
      <w:r>
        <w:rPr>
          <w:rStyle w:val="30"/>
          <w:spacing w:val="100"/>
        </w:rPr>
        <w:t>附录E</w:t>
      </w:r>
      <w:r>
        <w:rPr>
          <w:rStyle w:val="30"/>
        </w:rPr>
        <w:t xml:space="preserve"> （资料性） 二次供水设施验收意见表</w:t>
      </w:r>
      <w:r>
        <w:tab/>
      </w:r>
      <w:r>
        <w:fldChar w:fldCharType="begin"/>
      </w:r>
      <w:r>
        <w:instrText xml:space="preserve"> PAGEREF _Toc155974791 \h </w:instrText>
      </w:r>
      <w:r>
        <w:fldChar w:fldCharType="separate"/>
      </w:r>
      <w:r>
        <w:t>33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"_Toc155974792" </w:instrText>
      </w:r>
      <w:r>
        <w:fldChar w:fldCharType="separate"/>
      </w:r>
      <w:r>
        <w:rPr>
          <w:rStyle w:val="30"/>
          <w:spacing w:val="100"/>
        </w:rPr>
        <w:t>附录F</w:t>
      </w:r>
      <w:r>
        <w:rPr>
          <w:rStyle w:val="30"/>
        </w:rPr>
        <w:t xml:space="preserve"> （资料性） 泵房工程质量保修书（范本）</w:t>
      </w:r>
      <w:r>
        <w:tab/>
      </w:r>
      <w:r>
        <w:fldChar w:fldCharType="begin"/>
      </w:r>
      <w:r>
        <w:instrText xml:space="preserve"> PAGEREF _Toc155974792 \h </w:instrText>
      </w:r>
      <w:r>
        <w:fldChar w:fldCharType="separate"/>
      </w:r>
      <w:r>
        <w:t>34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"_Toc155974793" </w:instrText>
      </w:r>
      <w:r>
        <w:fldChar w:fldCharType="separate"/>
      </w:r>
      <w:r>
        <w:rPr>
          <w:rStyle w:val="30"/>
          <w:spacing w:val="100"/>
        </w:rPr>
        <w:t>附录G</w:t>
      </w:r>
      <w:r>
        <w:rPr>
          <w:rStyle w:val="30"/>
        </w:rPr>
        <w:t xml:space="preserve"> （资料性） 二次供水设施委托运营协议（范本）</w:t>
      </w:r>
      <w:r>
        <w:tab/>
      </w:r>
      <w:r>
        <w:fldChar w:fldCharType="begin"/>
      </w:r>
      <w:r>
        <w:instrText xml:space="preserve"> PAGEREF _Toc155974793 \h </w:instrText>
      </w:r>
      <w:r>
        <w:fldChar w:fldCharType="separate"/>
      </w:r>
      <w:r>
        <w:t>35</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"_Toc155974794" </w:instrText>
      </w:r>
      <w:r>
        <w:fldChar w:fldCharType="separate"/>
      </w:r>
      <w:r>
        <w:rPr>
          <w:rStyle w:val="30"/>
          <w:spacing w:val="100"/>
        </w:rPr>
        <w:t>附录H</w:t>
      </w:r>
      <w:r>
        <w:rPr>
          <w:rStyle w:val="30"/>
        </w:rPr>
        <w:t xml:space="preserve"> （资料性） 技术档案送审表</w:t>
      </w:r>
      <w:r>
        <w:tab/>
      </w:r>
      <w:r>
        <w:fldChar w:fldCharType="begin"/>
      </w:r>
      <w:r>
        <w:instrText xml:space="preserve"> PAGEREF _Toc155974794 \h </w:instrText>
      </w:r>
      <w:r>
        <w:fldChar w:fldCharType="separate"/>
      </w:r>
      <w:r>
        <w:t>39</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"_Toc155974795" </w:instrText>
      </w:r>
      <w:r>
        <w:fldChar w:fldCharType="separate"/>
      </w:r>
      <w:r>
        <w:rPr>
          <w:rStyle w:val="30"/>
          <w:spacing w:val="100"/>
        </w:rPr>
        <w:t>附录I</w:t>
      </w:r>
      <w:r>
        <w:rPr>
          <w:rStyle w:val="30"/>
        </w:rPr>
        <w:t xml:space="preserve"> （资料性） 技术档案移交书</w:t>
      </w:r>
      <w:r>
        <w:tab/>
      </w:r>
      <w:r>
        <w:fldChar w:fldCharType="begin"/>
      </w:r>
      <w:r>
        <w:instrText xml:space="preserve"> PAGEREF _Toc155974795 \h </w:instrText>
      </w:r>
      <w:r>
        <w:fldChar w:fldCharType="separate"/>
      </w:r>
      <w:r>
        <w:t>40</w:t>
      </w:r>
      <w:r>
        <w:fldChar w:fldCharType="end"/>
      </w:r>
      <w:r>
        <w:fldChar w:fldCharType="end"/>
      </w:r>
    </w:p>
    <w:p>
      <w:pPr>
        <w:pStyle w:val="91"/>
        <w:spacing w:after="468"/>
        <w:sectPr>
          <w:headerReference r:id="rId7" w:type="default"/>
          <w:footerReference r:id="rId9" w:type="default"/>
          <w:headerReference r:id="rId8"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7"/>
    <w:p>
      <w:pPr>
        <w:pStyle w:val="89"/>
        <w:spacing w:after="468"/>
      </w:pPr>
      <w:bookmarkStart w:id="18" w:name="_Toc155974748"/>
      <w:bookmarkStart w:id="19" w:name="BookMark2"/>
      <w:r>
        <w:rPr>
          <w:spacing w:val="320"/>
        </w:rPr>
        <w:t>前</w:t>
      </w:r>
      <w:r>
        <w:t>言</w:t>
      </w:r>
      <w:bookmarkEnd w:id="18"/>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hAnsi="宋体"/>
        </w:rPr>
        <w:t>请注意</w:t>
      </w:r>
      <w:r>
        <w:rPr>
          <w:rFonts w:hAnsi="宋体"/>
        </w:rPr>
        <w:t>本文件的</w:t>
      </w:r>
      <w:r>
        <w:rPr>
          <w:rFonts w:hint="eastAsia" w:hAnsi="宋体"/>
        </w:rPr>
        <w:t>某些</w:t>
      </w:r>
      <w:r>
        <w:rPr>
          <w:rFonts w:hAnsi="宋体"/>
        </w:rPr>
        <w:t>内容</w:t>
      </w:r>
      <w:r>
        <w:rPr>
          <w:rFonts w:hint="eastAsia" w:hAnsi="宋体"/>
        </w:rPr>
        <w:t>可能</w:t>
      </w:r>
      <w:r>
        <w:rPr>
          <w:rFonts w:hAnsi="宋体"/>
        </w:rPr>
        <w:t>涉及专利。本文件</w:t>
      </w:r>
      <w:r>
        <w:rPr>
          <w:rFonts w:hint="eastAsia" w:hAnsi="宋体"/>
        </w:rPr>
        <w:t>的</w:t>
      </w:r>
      <w:r>
        <w:rPr>
          <w:rFonts w:hAnsi="宋体"/>
        </w:rPr>
        <w:t>发布机构不承担识别专利</w:t>
      </w:r>
      <w:r>
        <w:rPr>
          <w:rFonts w:hint="eastAsia" w:hAnsi="宋体"/>
        </w:rPr>
        <w:t>的</w:t>
      </w:r>
      <w:r>
        <w:rPr>
          <w:rFonts w:hAnsi="宋体"/>
        </w:rPr>
        <w:t>责任</w:t>
      </w:r>
      <w:r>
        <w:rPr>
          <w:rFonts w:hint="eastAsia"/>
        </w:rPr>
        <w:t>。</w:t>
      </w:r>
    </w:p>
    <w:p>
      <w:pPr>
        <w:pStyle w:val="56"/>
        <w:ind w:firstLine="420"/>
        <w:rPr>
          <w:rFonts w:hAnsi="宋体"/>
        </w:rPr>
      </w:pPr>
      <w:r>
        <w:rPr>
          <w:rFonts w:hint="eastAsia" w:hAnsi="宋体"/>
        </w:rPr>
        <w:t>本文件由湛江市水务局提出并归口。</w:t>
      </w:r>
    </w:p>
    <w:p>
      <w:pPr>
        <w:pStyle w:val="56"/>
        <w:ind w:firstLine="420"/>
        <w:rPr>
          <w:szCs w:val="21"/>
        </w:rPr>
      </w:pPr>
      <w:r>
        <w:rPr>
          <w:rFonts w:hint="eastAsia" w:hAnsi="宋体"/>
        </w:rPr>
        <w:t>本文件起草单位：湛江市</w:t>
      </w:r>
      <w:r>
        <w:rPr>
          <w:rFonts w:hAnsi="宋体"/>
        </w:rPr>
        <w:t>粤海水务投资集团有限公司、广东省建筑设计研究院有限公司</w:t>
      </w:r>
      <w:r>
        <w:rPr>
          <w:rFonts w:hint="eastAsia" w:hAnsi="宋体"/>
        </w:rPr>
        <w:t>、湛江市</w:t>
      </w:r>
      <w:r>
        <w:rPr>
          <w:rFonts w:hAnsi="宋体"/>
        </w:rPr>
        <w:t>润通水务工程有限公司、青岛三利中德美水设备有限公司、赛莱默（</w:t>
      </w:r>
      <w:r>
        <w:rPr>
          <w:rFonts w:hint="eastAsia" w:hAnsi="宋体"/>
        </w:rPr>
        <w:t>南京</w:t>
      </w:r>
      <w:r>
        <w:rPr>
          <w:rFonts w:hAnsi="宋体"/>
        </w:rPr>
        <w:t>）</w:t>
      </w:r>
      <w:r>
        <w:rPr>
          <w:rFonts w:hint="eastAsia" w:hAnsi="宋体"/>
        </w:rPr>
        <w:t>有限</w:t>
      </w:r>
      <w:r>
        <w:rPr>
          <w:rFonts w:hAnsi="宋体"/>
        </w:rPr>
        <w:t>公司</w:t>
      </w:r>
      <w:r>
        <w:rPr>
          <w:rFonts w:hint="eastAsia" w:hAnsi="宋体"/>
        </w:rPr>
        <w:t>、上海威派格智慧水务股份有限公司、广东省</w:t>
      </w:r>
      <w:r>
        <w:rPr>
          <w:rFonts w:hAnsi="宋体"/>
        </w:rPr>
        <w:t>标准化</w:t>
      </w:r>
      <w:r>
        <w:rPr>
          <w:rFonts w:hint="eastAsia" w:hAnsi="宋体"/>
        </w:rPr>
        <w:t>研究院</w:t>
      </w:r>
      <w:r>
        <w:rPr>
          <w:rFonts w:hint="eastAsia"/>
        </w:rPr>
        <w:t>。</w:t>
      </w:r>
    </w:p>
    <w:p>
      <w:pPr>
        <w:pStyle w:val="56"/>
        <w:ind w:firstLine="420"/>
      </w:pPr>
      <w:r>
        <w:rPr>
          <w:rFonts w:hint="eastAsia"/>
        </w:rPr>
        <w:t>本文件主要起草人：杨素钦、许文辉、俞金生、孙斌、彭丽奇、祝海波、李晓亮、席永红、钟国卫、逯海堂、孟凡鲁、余天胜、黄勇、邱鑫、梁俊起、黄日新、杨丽君、石永锋。</w:t>
      </w:r>
    </w:p>
    <w:p>
      <w:pPr>
        <w:pStyle w:val="56"/>
        <w:ind w:firstLine="420"/>
      </w:pPr>
    </w:p>
    <w:p>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19"/>
    <w:p>
      <w:pPr>
        <w:pStyle w:val="89"/>
        <w:spacing w:after="468"/>
      </w:pPr>
      <w:bookmarkStart w:id="20" w:name="_Toc155974749"/>
      <w:bookmarkStart w:id="21" w:name="BookMark3"/>
      <w:r>
        <w:rPr>
          <w:spacing w:val="320"/>
        </w:rPr>
        <w:t>引</w:t>
      </w:r>
      <w:r>
        <w:t>言</w:t>
      </w:r>
      <w:bookmarkEnd w:id="20"/>
    </w:p>
    <w:p>
      <w:pPr>
        <w:pStyle w:val="56"/>
        <w:ind w:firstLine="420"/>
      </w:pPr>
      <w:r>
        <w:rPr>
          <w:rFonts w:hint="eastAsia"/>
        </w:rPr>
        <w:t>为规范湛江市二次供水系统设计</w:t>
      </w:r>
      <w:r>
        <w:t>、建设和运行</w:t>
      </w:r>
      <w:r>
        <w:rPr>
          <w:rFonts w:hint="eastAsia"/>
        </w:rPr>
        <w:t>管理工作，提高</w:t>
      </w:r>
      <w:r>
        <w:t>工程建设和管理水平，</w:t>
      </w:r>
      <w:r>
        <w:rPr>
          <w:rFonts w:hint="eastAsia"/>
        </w:rPr>
        <w:t>建设安全</w:t>
      </w:r>
      <w:r>
        <w:t>、</w:t>
      </w:r>
      <w:r>
        <w:rPr>
          <w:rFonts w:hint="eastAsia"/>
        </w:rPr>
        <w:t>稳定</w:t>
      </w:r>
      <w:r>
        <w:t>、优质和高</w:t>
      </w:r>
      <w:r>
        <w:rPr>
          <w:rFonts w:hint="eastAsia"/>
        </w:rPr>
        <w:t>效运行的</w:t>
      </w:r>
      <w:r>
        <w:t>二次供水体系，满足用户用水需求，</w:t>
      </w:r>
      <w:r>
        <w:rPr>
          <w:rFonts w:hint="eastAsia"/>
        </w:rPr>
        <w:t>改善供水水质和服务质量，落实GB 5749《生活饮用水卫生标准》的要求，更好地保障生活饮用水质量。</w:t>
      </w:r>
    </w:p>
    <w:p>
      <w:pPr>
        <w:pStyle w:val="56"/>
        <w:ind w:firstLine="420"/>
      </w:pPr>
      <w:r>
        <w:rPr>
          <w:rFonts w:hint="eastAsia"/>
        </w:rPr>
        <w:t>本文件的制定旨在进一步提高居民饮用水服务质量，保障居民饮用水的安全，同时也有利于供水企业实施“抄表到户，管表到户”的目标。结合国家及湛江市的法律法规、技术标准和要求，以及居民小区供水“最后一公里将由供水企业全面接管的形势，特制定本文件。</w:t>
      </w:r>
    </w:p>
    <w:p>
      <w:pPr>
        <w:pStyle w:val="56"/>
        <w:ind w:firstLine="420"/>
      </w:pPr>
      <w:r>
        <w:rPr>
          <w:rFonts w:hint="eastAsia"/>
        </w:rPr>
        <w:t>通过本文件的执行，我们期望能够确保供水系统的可靠性和稳定性，提升供水服务质量，保障居民饮用水的安全与健康，以及促进供水企业的科学管理和运营效率。同时，本文件也将为湛江市二次供水系统的设计、建设和运行管根据国家及湛江市有关法律法规、技术标准和要求，结合居民小区供水“最后一公里”将由供水企业全面接管的形势，特制定本文件。</w:t>
      </w:r>
    </w:p>
    <w:p>
      <w:pPr>
        <w:pStyle w:val="56"/>
        <w:ind w:firstLine="420"/>
        <w:sectPr>
          <w:pgSz w:w="11906" w:h="16838"/>
          <w:pgMar w:top="1928" w:right="1134" w:bottom="1134" w:left="1134" w:header="1418" w:footer="1134" w:gutter="284"/>
          <w:pgNumType w:fmt="upperRoman"/>
          <w:cols w:space="425" w:num="1"/>
          <w:formProt w:val="0"/>
          <w:docGrid w:type="lines" w:linePitch="312" w:charSpace="0"/>
        </w:sectPr>
      </w:pPr>
      <w:r>
        <w:rPr>
          <w:rFonts w:hint="eastAsia"/>
        </w:rPr>
        <w:t>本文件目的在于进一步提高居民饮用水服务质量，保障居民饮用水的安全，有利于供水企业“抄表到户，管表到户”的实施。</w:t>
      </w:r>
    </w:p>
    <w:bookmarkEnd w:id="21"/>
    <w:p>
      <w:pPr>
        <w:spacing w:line="20" w:lineRule="exact"/>
        <w:jc w:val="center"/>
        <w:rPr>
          <w:rFonts w:ascii="黑体" w:hAnsi="黑体" w:eastAsia="黑体"/>
          <w:sz w:val="32"/>
          <w:szCs w:val="32"/>
        </w:rPr>
      </w:pPr>
      <w:bookmarkStart w:id="22" w:name="BookMark4"/>
    </w:p>
    <w:p>
      <w:pPr>
        <w:spacing w:line="20" w:lineRule="exact"/>
        <w:jc w:val="center"/>
        <w:rPr>
          <w:rFonts w:ascii="黑体" w:hAnsi="黑体" w:eastAsia="黑体"/>
          <w:sz w:val="32"/>
          <w:szCs w:val="32"/>
        </w:rPr>
      </w:pPr>
    </w:p>
    <w:sdt>
      <w:sdtPr>
        <w:tag w:val="NEW_STAND_NAME"/>
        <w:id w:val="595910757"/>
        <w:lock w:val="sdtLocked"/>
        <w:placeholder>
          <w:docPart w:val="D956746661FE4D148254328BD864EB57"/>
        </w:placeholder>
      </w:sdtPr>
      <w:sdtContent>
        <w:p>
          <w:pPr>
            <w:pStyle w:val="177"/>
            <w:spacing w:before="312" w:beforeLines="100" w:after="686" w:afterLines="220"/>
          </w:pPr>
          <w:bookmarkStart w:id="23" w:name="NEW_STAND_NAME"/>
          <w:r>
            <w:rPr>
              <w:rFonts w:hint="eastAsia"/>
            </w:rPr>
            <w:t>供水</w:t>
          </w:r>
          <w:r>
            <w:t>管网及</w:t>
          </w:r>
          <w:r>
            <w:rPr>
              <w:rFonts w:hint="eastAsia"/>
            </w:rPr>
            <w:t>二次供水工程技术规程</w:t>
          </w:r>
        </w:p>
      </w:sdtContent>
    </w:sdt>
    <w:bookmarkEnd w:id="23"/>
    <w:p>
      <w:pPr>
        <w:pStyle w:val="104"/>
        <w:spacing w:before="312" w:after="312"/>
      </w:pPr>
      <w:bookmarkStart w:id="24" w:name="_Toc26986771"/>
      <w:bookmarkStart w:id="25" w:name="_Toc17233325"/>
      <w:bookmarkStart w:id="26" w:name="_Toc26718930"/>
      <w:bookmarkStart w:id="27" w:name="_Toc24884211"/>
      <w:bookmarkStart w:id="28" w:name="_Toc26648465"/>
      <w:bookmarkStart w:id="29" w:name="_Toc17233333"/>
      <w:bookmarkStart w:id="30" w:name="_Toc155974750"/>
      <w:bookmarkStart w:id="31" w:name="_Toc97191423"/>
      <w:bookmarkStart w:id="32" w:name="_Toc24884218"/>
      <w:bookmarkStart w:id="33" w:name="_Toc26986530"/>
      <w:r>
        <w:rPr>
          <w:rFonts w:hint="eastAsia"/>
        </w:rPr>
        <w:t>范围</w:t>
      </w:r>
      <w:bookmarkEnd w:id="24"/>
      <w:bookmarkEnd w:id="25"/>
      <w:bookmarkEnd w:id="26"/>
      <w:bookmarkEnd w:id="27"/>
      <w:bookmarkEnd w:id="28"/>
      <w:bookmarkEnd w:id="29"/>
      <w:bookmarkEnd w:id="30"/>
      <w:bookmarkEnd w:id="31"/>
      <w:bookmarkEnd w:id="32"/>
      <w:bookmarkEnd w:id="33"/>
    </w:p>
    <w:p>
      <w:pPr>
        <w:pStyle w:val="56"/>
        <w:ind w:firstLine="420"/>
      </w:pPr>
      <w:bookmarkStart w:id="34" w:name="_Toc26648466"/>
      <w:bookmarkStart w:id="35" w:name="_Toc17233326"/>
      <w:bookmarkStart w:id="36" w:name="_Toc17233334"/>
      <w:bookmarkStart w:id="37" w:name="_Toc24884219"/>
      <w:bookmarkStart w:id="38" w:name="_Toc24884212"/>
      <w:r>
        <w:rPr>
          <w:rFonts w:hint="eastAsia"/>
        </w:rPr>
        <w:t>本文件规定了湛江市城镇生产、生活及公共用水二次供水设计、设备选型与</w:t>
      </w:r>
      <w:r>
        <w:t>要求</w:t>
      </w:r>
      <w:r>
        <w:rPr>
          <w:rFonts w:hint="eastAsia"/>
        </w:rPr>
        <w:t>、设备</w:t>
      </w:r>
      <w:r>
        <w:t>组件要求</w:t>
      </w:r>
      <w:r>
        <w:rPr>
          <w:rFonts w:hint="eastAsia"/>
        </w:rPr>
        <w:t>、</w:t>
      </w:r>
      <w:r>
        <w:t>管材及</w:t>
      </w:r>
      <w:r>
        <w:rPr>
          <w:rFonts w:hint="eastAsia"/>
        </w:rPr>
        <w:t>附属设施</w:t>
      </w:r>
      <w:r>
        <w:t>、</w:t>
      </w:r>
      <w:r>
        <w:rPr>
          <w:rFonts w:hint="eastAsia"/>
        </w:rPr>
        <w:t>电气</w:t>
      </w:r>
      <w:r>
        <w:t>、自控与安防、</w:t>
      </w:r>
      <w:r>
        <w:rPr>
          <w:rFonts w:hint="eastAsia"/>
        </w:rPr>
        <w:t>施工、安装调试、验收、智能管理及</w:t>
      </w:r>
      <w:r>
        <w:t>施</w:t>
      </w:r>
      <w:r>
        <w:rPr>
          <w:rFonts w:hint="eastAsia"/>
        </w:rPr>
        <w:t>运行</w:t>
      </w:r>
      <w:r>
        <w:t>维护管理</w:t>
      </w:r>
      <w:r>
        <w:rPr>
          <w:rFonts w:hint="eastAsia"/>
        </w:rPr>
        <w:t>的要求。</w:t>
      </w:r>
    </w:p>
    <w:p>
      <w:pPr>
        <w:pStyle w:val="56"/>
        <w:ind w:firstLine="420"/>
      </w:pPr>
      <w:r>
        <w:rPr>
          <w:rFonts w:hint="eastAsia"/>
        </w:rPr>
        <w:t>本文件适用于湛江市范围内城镇新建、改（扩）建的生产、生活及公共用水二次供水设施的建设和运行维护管理。</w:t>
      </w:r>
      <w:r>
        <w:t xml:space="preserve"> </w:t>
      </w:r>
    </w:p>
    <w:p>
      <w:pPr>
        <w:pStyle w:val="104"/>
        <w:spacing w:before="312" w:after="312"/>
      </w:pPr>
      <w:bookmarkStart w:id="39" w:name="_Toc26986772"/>
      <w:bookmarkStart w:id="40" w:name="_Toc97191424"/>
      <w:bookmarkStart w:id="41" w:name="_Toc26718931"/>
      <w:bookmarkStart w:id="42" w:name="_Toc26986531"/>
      <w:bookmarkStart w:id="43" w:name="_Toc155974751"/>
      <w:r>
        <w:rPr>
          <w:rFonts w:hint="eastAsia"/>
        </w:rPr>
        <w:t>规范性引用文件</w:t>
      </w:r>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7158C80FFE2B461BBF83DF9781D6CF0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GB/T 778.1  饮用冷水水表和热水水表　第1部分：计量要求和技术要求</w:t>
      </w:r>
    </w:p>
    <w:p>
      <w:pPr>
        <w:pStyle w:val="56"/>
        <w:ind w:firstLine="420"/>
      </w:pPr>
      <w:r>
        <w:rPr>
          <w:rFonts w:hint="eastAsia"/>
        </w:rPr>
        <w:t>GB/T 778.5  饮用冷水水表和热水水表　第5部分：安装要求</w:t>
      </w:r>
    </w:p>
    <w:p>
      <w:pPr>
        <w:pStyle w:val="56"/>
        <w:ind w:firstLine="420"/>
      </w:pPr>
      <w:r>
        <w:rPr>
          <w:rFonts w:hint="eastAsia"/>
        </w:rPr>
        <w:t>GB 3096  声环境质量标准</w:t>
      </w:r>
    </w:p>
    <w:p>
      <w:pPr>
        <w:pStyle w:val="56"/>
        <w:ind w:firstLine="420"/>
      </w:pPr>
      <w:r>
        <w:rPr>
          <w:rFonts w:hint="eastAsia"/>
        </w:rPr>
        <w:t>GB/T 3797  电气控制设备</w:t>
      </w:r>
    </w:p>
    <w:p>
      <w:pPr>
        <w:pStyle w:val="56"/>
        <w:ind w:firstLine="420"/>
      </w:pPr>
      <w:r>
        <w:rPr>
          <w:rFonts w:hint="eastAsia"/>
        </w:rPr>
        <w:t>GB 4806.1  食品安全国家标准　食品接触材料及制品通用安全要求</w:t>
      </w:r>
    </w:p>
    <w:p>
      <w:pPr>
        <w:pStyle w:val="56"/>
        <w:ind w:firstLine="420"/>
      </w:pPr>
      <w:r>
        <w:rPr>
          <w:rFonts w:hint="eastAsia"/>
        </w:rPr>
        <w:t>GB 5749  生活饮用水卫生标准</w:t>
      </w:r>
    </w:p>
    <w:p>
      <w:pPr>
        <w:pStyle w:val="56"/>
        <w:ind w:firstLine="420"/>
      </w:pPr>
      <w:r>
        <w:rPr>
          <w:rFonts w:hint="eastAsia"/>
        </w:rPr>
        <w:t xml:space="preserve">GB/T 5750（所有部分）  生活饮用水卫生标准 生活饮用水标准检验方法 </w:t>
      </w:r>
    </w:p>
    <w:p>
      <w:pPr>
        <w:pStyle w:val="56"/>
        <w:ind w:firstLine="420"/>
      </w:pPr>
      <w:r>
        <w:rPr>
          <w:rFonts w:hint="eastAsia"/>
        </w:rPr>
        <w:t>GB/T</w:t>
      </w:r>
      <w:r>
        <w:t xml:space="preserve"> </w:t>
      </w:r>
      <w:r>
        <w:rPr>
          <w:rFonts w:hint="eastAsia"/>
        </w:rPr>
        <w:t>12232  通用阀门　法兰连接铁制闸阀</w:t>
      </w:r>
    </w:p>
    <w:p>
      <w:pPr>
        <w:pStyle w:val="56"/>
        <w:ind w:firstLine="420"/>
      </w:pPr>
      <w:r>
        <w:rPr>
          <w:rFonts w:hint="eastAsia"/>
        </w:rPr>
        <w:t>GB/T</w:t>
      </w:r>
      <w:r>
        <w:t xml:space="preserve"> </w:t>
      </w:r>
      <w:r>
        <w:rPr>
          <w:rFonts w:hint="eastAsia"/>
        </w:rPr>
        <w:t>12238  法兰和对夹连接弹性密封蝶阀</w:t>
      </w:r>
    </w:p>
    <w:p>
      <w:pPr>
        <w:pStyle w:val="56"/>
        <w:ind w:firstLine="420"/>
      </w:pPr>
      <w:r>
        <w:rPr>
          <w:rFonts w:hint="eastAsia"/>
        </w:rPr>
        <w:t>GB 17051  二次供水设施卫生规范</w:t>
      </w:r>
    </w:p>
    <w:p>
      <w:pPr>
        <w:pStyle w:val="56"/>
        <w:ind w:firstLine="420"/>
      </w:pPr>
      <w:r>
        <w:rPr>
          <w:rFonts w:hint="eastAsia"/>
        </w:rPr>
        <w:t>GB/T 17219  生活饮用水输配水设备及防护材料的安全性评价标准</w:t>
      </w:r>
    </w:p>
    <w:p>
      <w:pPr>
        <w:pStyle w:val="56"/>
        <w:ind w:firstLine="420"/>
      </w:pPr>
      <w:r>
        <w:t xml:space="preserve">GB/T 17702  </w:t>
      </w:r>
      <w:r>
        <w:rPr>
          <w:rFonts w:hint="eastAsia"/>
        </w:rPr>
        <w:t>电力电子电容器</w:t>
      </w:r>
    </w:p>
    <w:p>
      <w:pPr>
        <w:pStyle w:val="56"/>
        <w:ind w:firstLine="420"/>
      </w:pPr>
      <w:r>
        <w:rPr>
          <w:rFonts w:hint="eastAsia"/>
        </w:rPr>
        <w:t>GB 18613  电动机能效限定值及能效等级</w:t>
      </w:r>
    </w:p>
    <w:p>
      <w:pPr>
        <w:pStyle w:val="56"/>
        <w:ind w:firstLine="420"/>
      </w:pPr>
      <w:r>
        <w:t xml:space="preserve">GB/T 24603  </w:t>
      </w:r>
      <w:r>
        <w:rPr>
          <w:rFonts w:hint="eastAsia"/>
        </w:rPr>
        <w:t>箱式叠压给水设备</w:t>
      </w:r>
    </w:p>
    <w:p>
      <w:pPr>
        <w:pStyle w:val="56"/>
        <w:ind w:firstLine="420"/>
      </w:pPr>
      <w:r>
        <w:t xml:space="preserve">GB/T 26003  </w:t>
      </w:r>
      <w:r>
        <w:rPr>
          <w:rFonts w:hint="eastAsia"/>
        </w:rPr>
        <w:t>无负压管网增压稳流给水设备</w:t>
      </w:r>
    </w:p>
    <w:p>
      <w:pPr>
        <w:pStyle w:val="56"/>
        <w:ind w:firstLine="420"/>
      </w:pPr>
      <w:r>
        <w:rPr>
          <w:rFonts w:hint="eastAsia"/>
        </w:rPr>
        <w:t>GB</w:t>
      </w:r>
      <w:r>
        <w:t>/T</w:t>
      </w:r>
      <w:r>
        <w:rPr>
          <w:rFonts w:hint="eastAsia"/>
        </w:rPr>
        <w:t xml:space="preserve"> 28181  公共安全视频监控联网系统信息传输、交换、控制技术要求</w:t>
      </w:r>
    </w:p>
    <w:p>
      <w:pPr>
        <w:pStyle w:val="56"/>
        <w:ind w:firstLine="420"/>
      </w:pPr>
      <w:r>
        <w:rPr>
          <w:rFonts w:hint="eastAsia"/>
        </w:rPr>
        <w:t>GB/T 29529  泵的噪声测量与评价方法</w:t>
      </w:r>
    </w:p>
    <w:p>
      <w:pPr>
        <w:pStyle w:val="56"/>
        <w:ind w:firstLine="420"/>
      </w:pPr>
      <w:r>
        <w:rPr>
          <w:rFonts w:hint="eastAsia"/>
        </w:rPr>
        <w:t>GB/T 295</w:t>
      </w:r>
      <w:r>
        <w:t>31</w:t>
      </w:r>
      <w:r>
        <w:rPr>
          <w:rFonts w:hint="eastAsia"/>
        </w:rPr>
        <w:t xml:space="preserve">  泵的振动测量与评价方法</w:t>
      </w:r>
    </w:p>
    <w:p>
      <w:pPr>
        <w:pStyle w:val="56"/>
        <w:ind w:firstLine="420"/>
      </w:pPr>
      <w:r>
        <w:rPr>
          <w:rFonts w:hint="eastAsia"/>
        </w:rPr>
        <w:t>GB 5001</w:t>
      </w:r>
      <w:r>
        <w:t xml:space="preserve">3  </w:t>
      </w:r>
      <w:r>
        <w:rPr>
          <w:rFonts w:hint="eastAsia"/>
        </w:rPr>
        <w:t>室外给水设计标准</w:t>
      </w:r>
    </w:p>
    <w:p>
      <w:pPr>
        <w:pStyle w:val="56"/>
        <w:ind w:firstLine="420"/>
      </w:pPr>
      <w:r>
        <w:rPr>
          <w:rFonts w:hint="eastAsia"/>
        </w:rPr>
        <w:t>GB 50015  建筑给水排水设计规范</w:t>
      </w:r>
    </w:p>
    <w:p>
      <w:pPr>
        <w:pStyle w:val="56"/>
        <w:ind w:firstLine="420"/>
      </w:pPr>
      <w:r>
        <w:rPr>
          <w:rFonts w:hint="eastAsia"/>
        </w:rPr>
        <w:t>GB 5001</w:t>
      </w:r>
      <w:r>
        <w:t>6</w:t>
      </w:r>
      <w:r>
        <w:rPr>
          <w:rFonts w:hint="eastAsia"/>
        </w:rPr>
        <w:t xml:space="preserve">  建筑设计防火规范（2018年版）</w:t>
      </w:r>
    </w:p>
    <w:p>
      <w:pPr>
        <w:pStyle w:val="56"/>
        <w:ind w:firstLine="420"/>
      </w:pPr>
      <w:r>
        <w:rPr>
          <w:rFonts w:hint="eastAsia"/>
        </w:rPr>
        <w:t>GB 50034  建筑照明设计标准</w:t>
      </w:r>
    </w:p>
    <w:p>
      <w:pPr>
        <w:pStyle w:val="56"/>
        <w:ind w:firstLine="420"/>
      </w:pPr>
      <w:r>
        <w:rPr>
          <w:rFonts w:hint="eastAsia"/>
        </w:rPr>
        <w:t>GB 50055  通用用电设备配电设计规范</w:t>
      </w:r>
    </w:p>
    <w:p>
      <w:pPr>
        <w:pStyle w:val="56"/>
        <w:ind w:firstLine="420"/>
      </w:pPr>
      <w:r>
        <w:rPr>
          <w:rFonts w:hint="eastAsia"/>
        </w:rPr>
        <w:t>GB 50057  建筑物防雷设计规范</w:t>
      </w:r>
    </w:p>
    <w:p>
      <w:pPr>
        <w:pStyle w:val="56"/>
        <w:ind w:firstLine="420"/>
      </w:pPr>
      <w:r>
        <w:rPr>
          <w:rFonts w:hint="eastAsia"/>
        </w:rPr>
        <w:t>GB/T 50065  交流电气装置的接地设计规范</w:t>
      </w:r>
    </w:p>
    <w:p>
      <w:pPr>
        <w:pStyle w:val="56"/>
        <w:ind w:firstLine="420"/>
      </w:pPr>
      <w:r>
        <w:t xml:space="preserve">GB/T 50083  </w:t>
      </w:r>
      <w:r>
        <w:rPr>
          <w:rFonts w:hint="eastAsia"/>
        </w:rPr>
        <w:t>工程结构设计基本术语标准</w:t>
      </w:r>
    </w:p>
    <w:p>
      <w:pPr>
        <w:pStyle w:val="56"/>
        <w:ind w:firstLine="420"/>
      </w:pPr>
      <w:r>
        <w:rPr>
          <w:rFonts w:hint="eastAsia"/>
        </w:rPr>
        <w:t>GB 50118  民用建筑隔声设计规范</w:t>
      </w:r>
    </w:p>
    <w:p>
      <w:pPr>
        <w:pStyle w:val="56"/>
        <w:ind w:firstLine="420"/>
      </w:pPr>
      <w:r>
        <w:rPr>
          <w:rFonts w:hint="eastAsia"/>
        </w:rPr>
        <w:t>G</w:t>
      </w:r>
      <w:r>
        <w:t>B 50141</w:t>
      </w:r>
      <w:r>
        <w:rPr>
          <w:rFonts w:hint="eastAsia"/>
        </w:rPr>
        <w:t xml:space="preserve">  给水排水构筑物工程施工及验收规范</w:t>
      </w:r>
    </w:p>
    <w:p>
      <w:pPr>
        <w:pStyle w:val="56"/>
        <w:ind w:firstLine="420"/>
      </w:pPr>
      <w:r>
        <w:t xml:space="preserve">GB 50174  </w:t>
      </w:r>
      <w:r>
        <w:rPr>
          <w:rFonts w:hint="eastAsia"/>
        </w:rPr>
        <w:t>数据中心设计规范</w:t>
      </w:r>
    </w:p>
    <w:p>
      <w:pPr>
        <w:pStyle w:val="56"/>
        <w:ind w:firstLine="420"/>
      </w:pPr>
      <w:r>
        <w:rPr>
          <w:rFonts w:hint="eastAsia"/>
        </w:rPr>
        <w:t>GB</w:t>
      </w:r>
      <w:r>
        <w:t xml:space="preserve"> </w:t>
      </w:r>
      <w:r>
        <w:rPr>
          <w:rFonts w:hint="eastAsia"/>
        </w:rPr>
        <w:t>50231  机械设备安装工程施工及验收通用规范</w:t>
      </w:r>
    </w:p>
    <w:p>
      <w:pPr>
        <w:pStyle w:val="56"/>
        <w:ind w:firstLine="420"/>
      </w:pPr>
      <w:r>
        <w:rPr>
          <w:rFonts w:hint="eastAsia"/>
        </w:rPr>
        <w:t>GB 50242  建筑给水排水及采暖工程施工质量验收规范</w:t>
      </w:r>
    </w:p>
    <w:p>
      <w:pPr>
        <w:pStyle w:val="56"/>
        <w:ind w:firstLine="420"/>
      </w:pPr>
      <w:r>
        <w:rPr>
          <w:rFonts w:hint="eastAsia"/>
        </w:rPr>
        <w:t>G</w:t>
      </w:r>
      <w:r>
        <w:t>B 50268</w:t>
      </w:r>
      <w:r>
        <w:rPr>
          <w:rFonts w:hint="eastAsia"/>
        </w:rPr>
        <w:t xml:space="preserve">  给水排水管道工程施工及验收规范</w:t>
      </w:r>
    </w:p>
    <w:p>
      <w:pPr>
        <w:pStyle w:val="56"/>
        <w:ind w:firstLine="420"/>
      </w:pPr>
      <w:r>
        <w:rPr>
          <w:rFonts w:hint="eastAsia"/>
        </w:rPr>
        <w:t>GB 50275  风机、压缩机、泵安装工程施工及验收规范</w:t>
      </w:r>
    </w:p>
    <w:p>
      <w:pPr>
        <w:pStyle w:val="56"/>
        <w:ind w:firstLine="420"/>
      </w:pPr>
      <w:r>
        <w:rPr>
          <w:rFonts w:hint="eastAsia"/>
        </w:rPr>
        <w:t xml:space="preserve">GB 50289 </w:t>
      </w:r>
      <w:r>
        <w:t xml:space="preserve"> </w:t>
      </w:r>
      <w:r>
        <w:rPr>
          <w:rFonts w:hint="eastAsia"/>
        </w:rPr>
        <w:t>城市工程管线综合规划规范</w:t>
      </w:r>
    </w:p>
    <w:p>
      <w:pPr>
        <w:pStyle w:val="56"/>
        <w:ind w:firstLine="420"/>
      </w:pPr>
      <w:r>
        <w:rPr>
          <w:rFonts w:hint="eastAsia"/>
        </w:rPr>
        <w:t>GB</w:t>
      </w:r>
      <w:r>
        <w:t xml:space="preserve"> </w:t>
      </w:r>
      <w:r>
        <w:rPr>
          <w:rFonts w:hint="eastAsia"/>
        </w:rPr>
        <w:t>50300  建筑工程施工质量验收统一标准</w:t>
      </w:r>
    </w:p>
    <w:p>
      <w:pPr>
        <w:pStyle w:val="56"/>
        <w:ind w:firstLine="420"/>
      </w:pPr>
      <w:r>
        <w:rPr>
          <w:rFonts w:hint="eastAsia"/>
        </w:rPr>
        <w:t xml:space="preserve">GB </w:t>
      </w:r>
      <w:r>
        <w:t xml:space="preserve">50303  </w:t>
      </w:r>
      <w:r>
        <w:rPr>
          <w:rFonts w:hint="eastAsia"/>
        </w:rPr>
        <w:t>建筑电气工程施工质量验收规范</w:t>
      </w:r>
    </w:p>
    <w:p>
      <w:pPr>
        <w:pStyle w:val="56"/>
        <w:ind w:firstLine="420"/>
      </w:pPr>
      <w:r>
        <w:rPr>
          <w:rFonts w:hint="eastAsia"/>
        </w:rPr>
        <w:t>GB/T</w:t>
      </w:r>
      <w:r>
        <w:t xml:space="preserve"> </w:t>
      </w:r>
      <w:r>
        <w:rPr>
          <w:rFonts w:hint="eastAsia"/>
        </w:rPr>
        <w:t>50331  城市居民生活用水量标准</w:t>
      </w:r>
      <w:r>
        <w:t xml:space="preserve"> </w:t>
      </w:r>
    </w:p>
    <w:p>
      <w:pPr>
        <w:pStyle w:val="56"/>
        <w:ind w:firstLine="420"/>
      </w:pPr>
      <w:r>
        <w:t xml:space="preserve">GB 50343  </w:t>
      </w:r>
      <w:r>
        <w:rPr>
          <w:rFonts w:hint="eastAsia"/>
        </w:rPr>
        <w:t>建筑物电子信息系统防雷技术规范</w:t>
      </w:r>
    </w:p>
    <w:p>
      <w:pPr>
        <w:pStyle w:val="56"/>
        <w:ind w:firstLine="420"/>
      </w:pPr>
      <w:r>
        <w:t xml:space="preserve">GB 50347  </w:t>
      </w:r>
      <w:r>
        <w:rPr>
          <w:rFonts w:hint="eastAsia"/>
        </w:rPr>
        <w:t>干粉灭火系统设计规范</w:t>
      </w:r>
    </w:p>
    <w:p>
      <w:pPr>
        <w:pStyle w:val="56"/>
        <w:ind w:firstLine="420"/>
      </w:pPr>
      <w:r>
        <w:t xml:space="preserve">GB 50348  </w:t>
      </w:r>
      <w:r>
        <w:rPr>
          <w:rFonts w:hint="eastAsia"/>
        </w:rPr>
        <w:t>安全防范工程技术规范</w:t>
      </w:r>
    </w:p>
    <w:p>
      <w:pPr>
        <w:pStyle w:val="56"/>
        <w:ind w:firstLine="420"/>
      </w:pPr>
      <w:r>
        <w:t xml:space="preserve">GB 50736  </w:t>
      </w:r>
      <w:r>
        <w:rPr>
          <w:rFonts w:hint="eastAsia"/>
        </w:rPr>
        <w:t>民用建筑供暖通风与空气调节设计规范</w:t>
      </w:r>
    </w:p>
    <w:p>
      <w:pPr>
        <w:pStyle w:val="56"/>
        <w:ind w:firstLine="420"/>
      </w:pPr>
      <w:r>
        <w:rPr>
          <w:rFonts w:hint="eastAsia"/>
        </w:rPr>
        <w:t>GB 55026  城市给水工程项目规范</w:t>
      </w:r>
    </w:p>
    <w:p>
      <w:pPr>
        <w:pStyle w:val="56"/>
        <w:ind w:firstLine="420"/>
      </w:pPr>
      <w:r>
        <w:rPr>
          <w:rFonts w:hint="eastAsia"/>
        </w:rPr>
        <w:t>CJ/T</w:t>
      </w:r>
      <w:r>
        <w:t xml:space="preserve"> 94  </w:t>
      </w:r>
      <w:r>
        <w:rPr>
          <w:rFonts w:hint="eastAsia"/>
        </w:rPr>
        <w:t>饮用净水水质标准</w:t>
      </w:r>
    </w:p>
    <w:p>
      <w:pPr>
        <w:pStyle w:val="56"/>
        <w:ind w:firstLine="420"/>
      </w:pPr>
      <w:r>
        <w:rPr>
          <w:rFonts w:hint="eastAsia"/>
        </w:rPr>
        <w:t>CJ/T 352  微机控制变频调速给水设备</w:t>
      </w:r>
    </w:p>
    <w:p>
      <w:pPr>
        <w:pStyle w:val="56"/>
        <w:ind w:firstLine="420"/>
      </w:pPr>
      <w:r>
        <w:rPr>
          <w:rFonts w:hint="eastAsia"/>
        </w:rPr>
        <w:t>CJ</w:t>
      </w:r>
      <w:r>
        <w:t>J</w:t>
      </w:r>
      <w:r>
        <w:rPr>
          <w:rFonts w:hint="eastAsia"/>
        </w:rPr>
        <w:t>/T</w:t>
      </w:r>
      <w:r>
        <w:t xml:space="preserve"> 110  </w:t>
      </w:r>
      <w:r>
        <w:rPr>
          <w:rFonts w:hint="eastAsia"/>
        </w:rPr>
        <w:t>建筑与小区管道直饮水系统技术规程</w:t>
      </w:r>
    </w:p>
    <w:p>
      <w:pPr>
        <w:pStyle w:val="56"/>
        <w:ind w:firstLine="420"/>
      </w:pPr>
      <w:r>
        <w:rPr>
          <w:rFonts w:hint="eastAsia"/>
        </w:rPr>
        <w:t>CJJ 140  二次供水工程技术规程</w:t>
      </w:r>
    </w:p>
    <w:p>
      <w:pPr>
        <w:pStyle w:val="56"/>
        <w:ind w:firstLine="420"/>
      </w:pPr>
      <w:r>
        <w:rPr>
          <w:rFonts w:hint="eastAsia"/>
        </w:rPr>
        <w:t>JB</w:t>
      </w:r>
      <w:r>
        <w:t>/T</w:t>
      </w:r>
      <w:r>
        <w:rPr>
          <w:rFonts w:hint="eastAsia"/>
        </w:rPr>
        <w:t xml:space="preserve"> 4732  钢制压力容器 分析设计标准</w:t>
      </w:r>
    </w:p>
    <w:p>
      <w:pPr>
        <w:pStyle w:val="56"/>
        <w:ind w:firstLine="420"/>
      </w:pPr>
      <w:r>
        <w:rPr>
          <w:rFonts w:hint="eastAsia"/>
        </w:rPr>
        <w:t>YB 9073  钢制压力容器设计技术规定</w:t>
      </w:r>
    </w:p>
    <w:p>
      <w:pPr>
        <w:pStyle w:val="104"/>
        <w:spacing w:before="312" w:after="312"/>
      </w:pPr>
      <w:bookmarkStart w:id="44" w:name="_Toc97191425"/>
      <w:bookmarkStart w:id="45" w:name="_Toc155974752"/>
      <w:r>
        <w:rPr>
          <w:rFonts w:hint="eastAsia"/>
          <w:szCs w:val="21"/>
        </w:rPr>
        <w:t>术语和定义</w:t>
      </w:r>
      <w:bookmarkEnd w:id="44"/>
      <w:bookmarkEnd w:id="45"/>
    </w:p>
    <w:sdt>
      <w:sdtPr>
        <w:id w:val="-1909835108"/>
        <w:placeholder>
          <w:docPart w:val="EB9F5340E6DF4AED9AA322F70387A8B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46" w:name="_Toc26986532"/>
          <w:bookmarkEnd w:id="46"/>
          <w:r>
            <w:t>下列术语和定义适用于本文件。</w:t>
          </w:r>
        </w:p>
      </w:sdtContent>
    </w:sdt>
    <w:p>
      <w:pPr>
        <w:pStyle w:val="223"/>
      </w:pPr>
    </w:p>
    <w:p>
      <w:pPr>
        <w:pStyle w:val="223"/>
        <w:numPr>
          <w:ilvl w:val="0"/>
          <w:numId w:val="0"/>
        </w:numPr>
        <w:ind w:firstLine="420" w:firstLineChars="200"/>
        <w:rPr>
          <w:rFonts w:ascii="黑体" w:hAnsi="黑体" w:eastAsia="黑体" w:cs="黑体"/>
        </w:rPr>
      </w:pPr>
      <w:r>
        <w:rPr>
          <w:rFonts w:hint="eastAsia" w:ascii="黑体" w:hAnsi="黑体" w:eastAsia="黑体"/>
        </w:rPr>
        <w:t>二次供水</w:t>
      </w:r>
      <w:r>
        <w:rPr>
          <w:rFonts w:hint="eastAsia" w:ascii="黑体" w:hAnsi="黑体" w:eastAsia="黑体" w:cs="黑体"/>
        </w:rPr>
        <w:t>设施（</w:t>
      </w:r>
      <w:r>
        <w:rPr>
          <w:rFonts w:hint="eastAsia" w:ascii="黑体" w:hAnsi="黑体" w:eastAsia="黑体"/>
        </w:rPr>
        <w:t>设</w:t>
      </w:r>
      <w:r>
        <w:rPr>
          <w:rFonts w:hint="eastAsia" w:ascii="黑体" w:hAnsi="黑体" w:eastAsia="黑体" w:cs="黑体"/>
        </w:rPr>
        <w:t>备） secondary pressurization and storage water supply facilities</w:t>
      </w:r>
    </w:p>
    <w:p>
      <w:pPr>
        <w:pStyle w:val="56"/>
        <w:ind w:firstLine="420"/>
      </w:pPr>
      <w:r>
        <w:rPr>
          <w:rFonts w:hint="eastAsia"/>
        </w:rPr>
        <w:t>用于保障二次供水水质、水压、水量而设置的设备、管线，包括水池（箱）、泵房、水泵机组（含水泵、电机）、压力罐、电控设备、消毒设备、管道、阀门及附属设施等。</w:t>
      </w:r>
    </w:p>
    <w:p>
      <w:pPr>
        <w:pStyle w:val="223"/>
        <w:rPr>
          <w:rFonts w:hAnsi="宋体"/>
        </w:rPr>
      </w:pPr>
    </w:p>
    <w:p>
      <w:pPr>
        <w:pStyle w:val="223"/>
        <w:numPr>
          <w:ilvl w:val="0"/>
          <w:numId w:val="0"/>
        </w:numPr>
        <w:ind w:firstLine="525" w:firstLineChars="250"/>
        <w:rPr>
          <w:rFonts w:ascii="黑体" w:hAnsi="黑体" w:eastAsia="黑体"/>
        </w:rPr>
      </w:pPr>
      <w:r>
        <w:rPr>
          <w:rFonts w:hint="eastAsia" w:ascii="黑体" w:hAnsi="黑体" w:eastAsia="黑体"/>
        </w:rPr>
        <w:t>引入管 inlet pipe</w:t>
      </w:r>
    </w:p>
    <w:p>
      <w:pPr>
        <w:pStyle w:val="223"/>
        <w:numPr>
          <w:ilvl w:val="0"/>
          <w:numId w:val="0"/>
        </w:numPr>
        <w:ind w:firstLine="525" w:firstLineChars="250"/>
        <w:rPr>
          <w:rFonts w:hAnsi="宋体"/>
        </w:rPr>
      </w:pPr>
      <w:r>
        <w:rPr>
          <w:rFonts w:hint="eastAsia" w:hAnsi="宋体"/>
        </w:rPr>
        <w:t>从给水系统单独供至每个住户的生活给水管段。</w:t>
      </w:r>
    </w:p>
    <w:p>
      <w:pPr>
        <w:pStyle w:val="223"/>
        <w:rPr>
          <w:rFonts w:ascii="黑体" w:hAnsi="黑体" w:eastAsia="黑体"/>
        </w:rPr>
      </w:pPr>
    </w:p>
    <w:p>
      <w:pPr>
        <w:pStyle w:val="223"/>
        <w:numPr>
          <w:ilvl w:val="0"/>
          <w:numId w:val="0"/>
        </w:numPr>
        <w:ind w:firstLine="525" w:firstLineChars="250"/>
        <w:rPr>
          <w:rFonts w:ascii="黑体" w:hAnsi="黑体" w:eastAsia="黑体"/>
        </w:rPr>
      </w:pPr>
      <w:r>
        <w:rPr>
          <w:rFonts w:hint="eastAsia" w:ascii="黑体" w:hAnsi="黑体" w:eastAsia="黑体"/>
        </w:rPr>
        <w:t>变频调速供水设备water supply equipment of VFD</w:t>
      </w:r>
    </w:p>
    <w:p>
      <w:pPr>
        <w:pStyle w:val="223"/>
        <w:numPr>
          <w:ilvl w:val="0"/>
          <w:numId w:val="0"/>
        </w:numPr>
        <w:ind w:firstLine="525" w:firstLineChars="250"/>
        <w:rPr>
          <w:rFonts w:hAnsi="宋体"/>
        </w:rPr>
      </w:pPr>
      <w:r>
        <w:rPr>
          <w:rFonts w:hint="eastAsia" w:hAnsi="宋体"/>
        </w:rPr>
        <w:t>由变频器改变电机供电频率、运转速度，实现恒压变量供水的设备。</w:t>
      </w:r>
    </w:p>
    <w:p>
      <w:pPr>
        <w:pStyle w:val="223"/>
        <w:rPr>
          <w:rFonts w:ascii="黑体" w:hAnsi="黑体" w:eastAsia="黑体"/>
        </w:rPr>
      </w:pPr>
    </w:p>
    <w:p>
      <w:pPr>
        <w:pStyle w:val="223"/>
        <w:numPr>
          <w:ilvl w:val="0"/>
          <w:numId w:val="0"/>
        </w:numPr>
        <w:ind w:firstLine="525" w:firstLineChars="250"/>
        <w:rPr>
          <w:rFonts w:ascii="黑体" w:hAnsi="黑体" w:eastAsia="黑体"/>
        </w:rPr>
      </w:pPr>
      <w:r>
        <w:rPr>
          <w:rFonts w:hint="eastAsia" w:ascii="黑体" w:hAnsi="黑体" w:eastAsia="黑体"/>
        </w:rPr>
        <w:t>叠压供水 pressure</w:t>
      </w:r>
      <w:r>
        <w:rPr>
          <w:rFonts w:ascii="黑体" w:hAnsi="黑体" w:eastAsia="黑体"/>
        </w:rPr>
        <w:t xml:space="preserve"> superposed</w:t>
      </w:r>
      <w:r>
        <w:rPr>
          <w:rFonts w:hint="eastAsia" w:ascii="黑体" w:hAnsi="黑体" w:eastAsia="黑体"/>
        </w:rPr>
        <w:t xml:space="preserve"> water supply</w:t>
      </w:r>
    </w:p>
    <w:p>
      <w:pPr>
        <w:pStyle w:val="223"/>
        <w:numPr>
          <w:ilvl w:val="0"/>
          <w:numId w:val="0"/>
        </w:numPr>
        <w:ind w:firstLine="525" w:firstLineChars="250"/>
        <w:rPr>
          <w:rFonts w:hAnsi="宋体"/>
        </w:rPr>
      </w:pPr>
      <w:r>
        <w:rPr>
          <w:rFonts w:hint="eastAsia" w:hAnsi="宋体"/>
        </w:rPr>
        <w:t>利用市政供水管网压力直接增压，保证供水管网水压不低于设定压力值，保证对市政供水不产生真空抽吸，且水质不发生污染的二次供水方式。</w:t>
      </w:r>
    </w:p>
    <w:p>
      <w:pPr>
        <w:pStyle w:val="223"/>
        <w:rPr>
          <w:rFonts w:ascii="黑体" w:hAnsi="黑体" w:eastAsia="黑体"/>
        </w:rPr>
      </w:pPr>
    </w:p>
    <w:p>
      <w:pPr>
        <w:pStyle w:val="223"/>
        <w:numPr>
          <w:ilvl w:val="0"/>
          <w:numId w:val="0"/>
        </w:numPr>
        <w:ind w:firstLine="525" w:firstLineChars="250"/>
      </w:pPr>
      <w:r>
        <w:rPr>
          <w:rFonts w:hint="eastAsia" w:ascii="黑体" w:hAnsi="黑体" w:eastAsia="黑体"/>
        </w:rPr>
        <w:t>远传</w:t>
      </w:r>
      <w:r>
        <w:rPr>
          <w:rFonts w:hint="eastAsia" w:ascii="黑体" w:hAnsi="黑体" w:eastAsia="黑体" w:cs="黑体"/>
        </w:rPr>
        <w:t xml:space="preserve">监控系统 </w:t>
      </w:r>
      <w:r>
        <w:rPr>
          <w:rFonts w:hint="eastAsia" w:ascii="黑体" w:hAnsi="黑体" w:eastAsia="黑体" w:cs="黑体"/>
          <w:sz w:val="20"/>
          <w:lang w:bidi="ar"/>
        </w:rPr>
        <w:t>remote monitoring system</w:t>
      </w:r>
    </w:p>
    <w:p>
      <w:pPr>
        <w:pStyle w:val="223"/>
        <w:numPr>
          <w:ilvl w:val="0"/>
          <w:numId w:val="0"/>
        </w:numPr>
        <w:ind w:firstLine="525" w:firstLineChars="250"/>
        <w:rPr>
          <w:rFonts w:hAnsi="宋体"/>
        </w:rPr>
      </w:pPr>
      <w:r>
        <w:rPr>
          <w:rFonts w:hAnsi="宋体"/>
        </w:rPr>
        <w:t>为实现二次供水远程监控功能建设的信息采集、响应执行、网络通讯和监控调度等软件和硬件的集成系统。</w:t>
      </w:r>
    </w:p>
    <w:p>
      <w:pPr>
        <w:pStyle w:val="104"/>
        <w:spacing w:before="312" w:after="312"/>
      </w:pPr>
      <w:bookmarkStart w:id="47" w:name="_Toc155974753"/>
      <w:r>
        <w:rPr>
          <w:rFonts w:hint="eastAsia"/>
        </w:rPr>
        <w:t>二次供水</w:t>
      </w:r>
      <w:r>
        <w:t>设计</w:t>
      </w:r>
      <w:bookmarkEnd w:id="47"/>
    </w:p>
    <w:p>
      <w:pPr>
        <w:pStyle w:val="105"/>
        <w:spacing w:before="156" w:after="156"/>
      </w:pPr>
      <w:bookmarkStart w:id="48" w:name="_Toc155974754"/>
      <w:r>
        <w:rPr>
          <w:rFonts w:hint="eastAsia"/>
        </w:rPr>
        <w:t>一般规定</w:t>
      </w:r>
      <w:bookmarkEnd w:id="48"/>
    </w:p>
    <w:p>
      <w:pPr>
        <w:pStyle w:val="165"/>
      </w:pPr>
      <w:r>
        <w:rPr>
          <w:rFonts w:hint="eastAsia"/>
        </w:rPr>
        <w:t>当用户对生活饮用水的水压要求超过供水管网的能力时，应建设二次供水设施。新建二次供水设施应与主体工程同时设计、同时施工及同时投入使用。</w:t>
      </w:r>
    </w:p>
    <w:p>
      <w:pPr>
        <w:pStyle w:val="165"/>
      </w:pPr>
      <w:r>
        <w:rPr>
          <w:rFonts w:hint="eastAsia"/>
        </w:rPr>
        <w:t>二次供水设施的建设与提标改造应满足“安全充足、节能环保、经济高效、智能管控”的要求。生活二次供水设施与消防二次供水设施应分开设置，单独计量。</w:t>
      </w:r>
    </w:p>
    <w:p>
      <w:pPr>
        <w:pStyle w:val="165"/>
      </w:pPr>
      <w:r>
        <w:rPr>
          <w:rFonts w:hint="eastAsia"/>
        </w:rPr>
        <w:t>新建、改（扩）建二次供水工程的设计方案、改（扩）建二次供水工程的施工方案及临时供水保障方案应书面征求供水企业意见，并达成一致方可实施。</w:t>
      </w:r>
    </w:p>
    <w:p>
      <w:pPr>
        <w:pStyle w:val="165"/>
      </w:pPr>
      <w:r>
        <w:rPr>
          <w:rFonts w:hint="eastAsia"/>
        </w:rPr>
        <w:t>二次供水系统的运行不得影响市政供水管网正常供水，禁止在市政供水管网或与其相连接的管道上直接装泵抽水。</w:t>
      </w:r>
    </w:p>
    <w:p>
      <w:pPr>
        <w:pStyle w:val="165"/>
      </w:pPr>
      <w:r>
        <w:rPr>
          <w:rFonts w:hint="eastAsia"/>
        </w:rPr>
        <w:t>二次供水设施应具有防水、防火、防潮、防暴晒、防雷击和可靠供电等运行安全保障措施，并采取有效的防污染措施。</w:t>
      </w:r>
    </w:p>
    <w:p>
      <w:pPr>
        <w:pStyle w:val="165"/>
      </w:pPr>
      <w:r>
        <w:rPr>
          <w:rFonts w:hint="eastAsia"/>
        </w:rPr>
        <w:t>二次供水设施中的涉水产品在运输、堆放和搬移过程中采取临时保护措施，避免封堵等设施脱落或损坏。</w:t>
      </w:r>
    </w:p>
    <w:p>
      <w:pPr>
        <w:pStyle w:val="165"/>
      </w:pPr>
      <w:r>
        <w:rPr>
          <w:rFonts w:hint="eastAsia"/>
        </w:rPr>
        <w:t>二次供水设施应实现远程监控，并与供水企业的应用管理系统对接，兼容城市公共供水调度系统。</w:t>
      </w:r>
    </w:p>
    <w:p>
      <w:pPr>
        <w:pStyle w:val="165"/>
      </w:pPr>
      <w:r>
        <w:rPr>
          <w:rFonts w:hint="eastAsia"/>
        </w:rPr>
        <w:t>新建、改建、扩建的建筑物对水压要求超过城市供水水压标准的，建设单位应按照相关技术标准和规范配套建设二次供水设施。</w:t>
      </w:r>
    </w:p>
    <w:p>
      <w:pPr>
        <w:pStyle w:val="165"/>
      </w:pPr>
      <w:r>
        <w:rPr>
          <w:rFonts w:hint="eastAsia"/>
        </w:rPr>
        <w:t>二次供水设施应当独立设置，不得与消防等设施混用。消防二次供水设施应执行国家、行业及地方现行标准、规范的有关规定。</w:t>
      </w:r>
    </w:p>
    <w:p>
      <w:pPr>
        <w:pStyle w:val="165"/>
      </w:pPr>
      <w:r>
        <w:rPr>
          <w:rFonts w:hint="eastAsia"/>
        </w:rPr>
        <w:t>二次供水设施应符合GB</w:t>
      </w:r>
      <w:r>
        <w:t xml:space="preserve"> </w:t>
      </w:r>
      <w:r>
        <w:rPr>
          <w:rFonts w:hint="eastAsia"/>
        </w:rPr>
        <w:t>17051和GB/T</w:t>
      </w:r>
      <w:r>
        <w:t xml:space="preserve"> </w:t>
      </w:r>
      <w:r>
        <w:rPr>
          <w:rFonts w:hint="eastAsia"/>
        </w:rPr>
        <w:t>17219的规定。</w:t>
      </w:r>
    </w:p>
    <w:p>
      <w:pPr>
        <w:pStyle w:val="165"/>
      </w:pPr>
      <w:r>
        <w:rPr>
          <w:rFonts w:hint="eastAsia"/>
        </w:rPr>
        <w:t>新建小区设计时宜考虑管道直饮水入户，建设管道直饮水系统，管道直饮水供水系统应按照卫生、安全、节能、经济的原则设计，考虑施工安全、操作运行和维护管理便利等因素，同时应符合GB 50015和CJJ/T 110的相关规定。</w:t>
      </w:r>
    </w:p>
    <w:p>
      <w:pPr>
        <w:pStyle w:val="165"/>
      </w:pPr>
      <w:r>
        <w:rPr>
          <w:rFonts w:hint="eastAsia"/>
        </w:rPr>
        <w:t>管道直饮水水质卫生标准应符合CJ/T 94的要求。</w:t>
      </w:r>
    </w:p>
    <w:p>
      <w:pPr>
        <w:pStyle w:val="105"/>
        <w:spacing w:before="156" w:after="156"/>
      </w:pPr>
      <w:r>
        <w:rPr>
          <w:rFonts w:hint="eastAsia"/>
        </w:rPr>
        <w:t xml:space="preserve"> </w:t>
      </w:r>
      <w:bookmarkStart w:id="49" w:name="_Toc155974755"/>
      <w:r>
        <w:rPr>
          <w:rFonts w:hint="eastAsia"/>
        </w:rPr>
        <w:t>提标改造</w:t>
      </w:r>
      <w:bookmarkEnd w:id="49"/>
    </w:p>
    <w:p>
      <w:pPr>
        <w:pStyle w:val="165"/>
      </w:pPr>
      <w:r>
        <w:rPr>
          <w:rFonts w:hint="eastAsia"/>
        </w:rPr>
        <w:t>现状二次供水设施不满足用水需求，或出现以下情况之一的，应进行提标改造：</w:t>
      </w:r>
    </w:p>
    <w:p>
      <w:pPr>
        <w:pStyle w:val="174"/>
        <w:numPr>
          <w:ilvl w:val="0"/>
          <w:numId w:val="33"/>
        </w:numPr>
      </w:pPr>
      <w:r>
        <w:rPr>
          <w:rFonts w:hint="eastAsia"/>
        </w:rPr>
        <w:t>生活供水系统与消防供水系统合用的；</w:t>
      </w:r>
    </w:p>
    <w:p>
      <w:pPr>
        <w:pStyle w:val="174"/>
      </w:pPr>
      <w:r>
        <w:rPr>
          <w:rFonts w:hint="eastAsia"/>
        </w:rPr>
        <w:t>现状二次供水形式采用管道泵直抽，或不满足叠压使用条件而采用了叠压供水方式的；</w:t>
      </w:r>
    </w:p>
    <w:p>
      <w:pPr>
        <w:pStyle w:val="174"/>
      </w:pPr>
      <w:r>
        <w:rPr>
          <w:rFonts w:hint="eastAsia"/>
        </w:rPr>
        <w:t>生活二次供水设施材质不能提供稳定的水质环境，容易带来水质风险的；</w:t>
      </w:r>
    </w:p>
    <w:p>
      <w:pPr>
        <w:pStyle w:val="174"/>
      </w:pPr>
      <w:r>
        <w:rPr>
          <w:rFonts w:hint="eastAsia"/>
        </w:rPr>
        <w:t>二次供水设施老旧，能耗高、故障率高，对居民生活用水造成较大影响的；</w:t>
      </w:r>
    </w:p>
    <w:p>
      <w:pPr>
        <w:pStyle w:val="174"/>
      </w:pPr>
      <w:r>
        <w:rPr>
          <w:rFonts w:hint="eastAsia"/>
        </w:rPr>
        <w:t>二次供水设施未实现远程智能监控管理的。</w:t>
      </w:r>
    </w:p>
    <w:p>
      <w:pPr>
        <w:pStyle w:val="165"/>
      </w:pPr>
      <w:r>
        <w:rPr>
          <w:rFonts w:hint="eastAsia"/>
        </w:rPr>
        <w:t>二次供水设施实施提标改造前，应对现状二次供水设施进行评估，包括设备设施的建设与改造时间、设备设施使用的材料标准、维修情况、泵房及水池内外环境状况等，评估意见作为工程设计依据之一。评估技术路线见附录A，评估记录见附录B。符合改造条件的二次供水设施，纳入提标改造工程，申请提交资料见附录C。</w:t>
      </w:r>
    </w:p>
    <w:p>
      <w:pPr>
        <w:pStyle w:val="165"/>
      </w:pPr>
      <w:r>
        <w:rPr>
          <w:rFonts w:hint="eastAsia"/>
        </w:rPr>
        <w:t>二次供水设施提标改造完成后，应及时组织现场验收，可移交供水企业统一管理。</w:t>
      </w:r>
    </w:p>
    <w:p>
      <w:pPr>
        <w:pStyle w:val="165"/>
      </w:pPr>
      <w:r>
        <w:rPr>
          <w:rFonts w:hint="eastAsia"/>
        </w:rPr>
        <w:t>现状生活与消防合用的二次供水系统，具备条件时应新增独立的生活二次供水系统，不具备条件时应对生活和消防二次供水系统进行分离改造。</w:t>
      </w:r>
    </w:p>
    <w:p>
      <w:pPr>
        <w:pStyle w:val="165"/>
      </w:pPr>
      <w:r>
        <w:rPr>
          <w:rFonts w:hint="eastAsia"/>
        </w:rPr>
        <w:t>二次供水设施提标改造，供水方式的选择应符合下列规定：</w:t>
      </w:r>
    </w:p>
    <w:p>
      <w:pPr>
        <w:pStyle w:val="174"/>
        <w:numPr>
          <w:ilvl w:val="0"/>
          <w:numId w:val="34"/>
        </w:numPr>
      </w:pPr>
      <w:r>
        <w:rPr>
          <w:rFonts w:hint="eastAsia"/>
        </w:rPr>
        <w:t>应依据居民小区实际水量和水压，综合考虑现状水池和主要设备等的运行状况，确定合理的供水方式；</w:t>
      </w:r>
    </w:p>
    <w:p>
      <w:pPr>
        <w:pStyle w:val="174"/>
        <w:numPr>
          <w:ilvl w:val="0"/>
          <w:numId w:val="34"/>
        </w:numPr>
      </w:pPr>
      <w:r>
        <w:rPr>
          <w:rFonts w:hint="eastAsia"/>
        </w:rPr>
        <w:t>应根据实际情况制订专项改造方案。周边二次供水设施具备关闭及整合条件的，应根据现场实际情况，在进行技术和经济比较后，选择合理的优化整合方案；</w:t>
      </w:r>
    </w:p>
    <w:p>
      <w:pPr>
        <w:pStyle w:val="174"/>
        <w:numPr>
          <w:ilvl w:val="0"/>
          <w:numId w:val="34"/>
        </w:numPr>
      </w:pPr>
      <w:r>
        <w:rPr>
          <w:rFonts w:hint="eastAsia"/>
        </w:rPr>
        <w:t>取消屋顶水箱和工频水泵。工频水泵改为变频水泵，并按照本文件</w:t>
      </w:r>
      <w:r>
        <w:t>4</w:t>
      </w:r>
      <w:r>
        <w:rPr>
          <w:rFonts w:hint="eastAsia"/>
        </w:rPr>
        <w:t>.7相关规定执行。屋顶水箱因系统设置等原因不能取消的，须按照本文件</w:t>
      </w:r>
      <w:r>
        <w:t>4</w:t>
      </w:r>
      <w:r>
        <w:rPr>
          <w:rFonts w:hint="eastAsia"/>
        </w:rPr>
        <w:t>.9相关规定进行整改。</w:t>
      </w:r>
    </w:p>
    <w:p>
      <w:pPr>
        <w:pStyle w:val="105"/>
        <w:spacing w:before="156" w:after="156"/>
      </w:pPr>
      <w:bookmarkStart w:id="50" w:name="_Toc155974756"/>
      <w:r>
        <w:rPr>
          <w:rFonts w:hint="eastAsia"/>
        </w:rPr>
        <w:t>水量</w:t>
      </w:r>
      <w:r>
        <w:t>、</w:t>
      </w:r>
      <w:r>
        <w:rPr>
          <w:rFonts w:hint="eastAsia"/>
        </w:rPr>
        <w:t>水质和</w:t>
      </w:r>
      <w:r>
        <w:t>水压</w:t>
      </w:r>
      <w:bookmarkEnd w:id="50"/>
    </w:p>
    <w:p>
      <w:pPr>
        <w:pStyle w:val="165"/>
      </w:pPr>
      <w:r>
        <w:rPr>
          <w:rFonts w:hint="eastAsia"/>
        </w:rPr>
        <w:t>二次供水水量应根据小区及建筑使用性质、规模、用水范围、用水器具及设备用水量进行计算确定。用水定额及计算方法，应符合GB 50015、GB 50013和GB/T</w:t>
      </w:r>
      <w:r>
        <w:t xml:space="preserve"> </w:t>
      </w:r>
      <w:r>
        <w:rPr>
          <w:rFonts w:hint="eastAsia"/>
        </w:rPr>
        <w:t>50331的规定。</w:t>
      </w:r>
    </w:p>
    <w:p>
      <w:pPr>
        <w:pStyle w:val="165"/>
      </w:pPr>
      <w:r>
        <w:rPr>
          <w:rFonts w:hint="eastAsia"/>
        </w:rPr>
        <w:t>二次供水系统的设计用水量计算应包括管道漏失水量和未预见水量。</w:t>
      </w:r>
    </w:p>
    <w:p>
      <w:pPr>
        <w:pStyle w:val="165"/>
      </w:pPr>
      <w:r>
        <w:rPr>
          <w:rFonts w:hint="eastAsia"/>
        </w:rPr>
        <w:t>二次供水水质应符合GB 5749的规定。</w:t>
      </w:r>
    </w:p>
    <w:p>
      <w:pPr>
        <w:pStyle w:val="165"/>
      </w:pPr>
      <w:r>
        <w:rPr>
          <w:rFonts w:hint="eastAsia"/>
        </w:rPr>
        <w:t>二次供水系统的供水压力应根据最不利用水点的工作压力确定。</w:t>
      </w:r>
    </w:p>
    <w:p>
      <w:pPr>
        <w:pStyle w:val="105"/>
        <w:spacing w:before="156" w:after="156"/>
      </w:pPr>
      <w:bookmarkStart w:id="51" w:name="_Toc155974757"/>
      <w:r>
        <w:rPr>
          <w:rFonts w:hint="eastAsia"/>
        </w:rPr>
        <w:t>系统选择</w:t>
      </w:r>
      <w:bookmarkEnd w:id="51"/>
    </w:p>
    <w:p>
      <w:pPr>
        <w:pStyle w:val="165"/>
      </w:pPr>
      <w:r>
        <w:rPr>
          <w:rFonts w:hint="eastAsia"/>
        </w:rPr>
        <w:t>二次供水方式的选择应经技术经济比较后确定，并符合下列规定：</w:t>
      </w:r>
    </w:p>
    <w:p>
      <w:pPr>
        <w:pStyle w:val="174"/>
        <w:numPr>
          <w:ilvl w:val="0"/>
          <w:numId w:val="35"/>
        </w:numPr>
      </w:pPr>
      <w:r>
        <w:rPr>
          <w:rFonts w:hint="eastAsia"/>
        </w:rPr>
        <w:t>确保供水安全；</w:t>
      </w:r>
    </w:p>
    <w:p>
      <w:pPr>
        <w:pStyle w:val="174"/>
      </w:pPr>
      <w:r>
        <w:rPr>
          <w:rFonts w:hint="eastAsia"/>
        </w:rPr>
        <w:t>充分考虑市政供水管网管径、压力以及周边用户的供水现状等因素；</w:t>
      </w:r>
    </w:p>
    <w:p>
      <w:pPr>
        <w:pStyle w:val="174"/>
      </w:pPr>
      <w:r>
        <w:rPr>
          <w:rFonts w:hint="eastAsia"/>
        </w:rPr>
        <w:t>综合考虑建筑物规模、类别、高度、使用标准等因素。</w:t>
      </w:r>
    </w:p>
    <w:p>
      <w:pPr>
        <w:pStyle w:val="165"/>
      </w:pPr>
      <w:r>
        <w:rPr>
          <w:rFonts w:hint="eastAsia"/>
        </w:rPr>
        <w:t>二次供水系统宜采用“低位水池（箱）和变频调速设备联合供水”的供水方式。在市政供水管网条件允许且不影响周边用户安全稳定供水的情况下，并征得供水企业审查同意后，可选用管网叠压供水方式。</w:t>
      </w:r>
    </w:p>
    <w:p>
      <w:pPr>
        <w:pStyle w:val="165"/>
      </w:pPr>
      <w:r>
        <w:rPr>
          <w:rFonts w:hint="eastAsia"/>
        </w:rPr>
        <w:t>下列情况下不宜采用叠压供水方式：</w:t>
      </w:r>
    </w:p>
    <w:p>
      <w:pPr>
        <w:pStyle w:val="174"/>
        <w:numPr>
          <w:ilvl w:val="0"/>
          <w:numId w:val="36"/>
        </w:numPr>
      </w:pPr>
      <w:r>
        <w:rPr>
          <w:rFonts w:hint="eastAsia"/>
        </w:rPr>
        <w:t>市政供水管网管径小于300</w:t>
      </w:r>
      <w:r>
        <w:t xml:space="preserve"> </w:t>
      </w:r>
      <w:r>
        <w:rPr>
          <w:rFonts w:hint="eastAsia"/>
        </w:rPr>
        <w:t>mm；</w:t>
      </w:r>
    </w:p>
    <w:p>
      <w:pPr>
        <w:pStyle w:val="174"/>
      </w:pPr>
      <w:r>
        <w:rPr>
          <w:rFonts w:hint="eastAsia"/>
        </w:rPr>
        <w:t>用水高峰期市政供水管网压力小于0.28</w:t>
      </w:r>
      <w:r>
        <w:t xml:space="preserve"> </w:t>
      </w:r>
      <w:r>
        <w:rPr>
          <w:rFonts w:hint="eastAsia"/>
        </w:rPr>
        <w:t>MPa；</w:t>
      </w:r>
    </w:p>
    <w:p>
      <w:pPr>
        <w:pStyle w:val="174"/>
      </w:pPr>
      <w:r>
        <w:rPr>
          <w:rFonts w:hint="eastAsia"/>
        </w:rPr>
        <w:t>市政供水管网管径小于引入管管径的2倍；</w:t>
      </w:r>
    </w:p>
    <w:p>
      <w:pPr>
        <w:pStyle w:val="174"/>
      </w:pPr>
      <w:r>
        <w:rPr>
          <w:rFonts w:hint="eastAsia"/>
        </w:rPr>
        <w:t>启动或切换叠压设备供水时，引入管及市政供水管网压力瞬时变动值大于0.02</w:t>
      </w:r>
      <w:r>
        <w:t xml:space="preserve"> </w:t>
      </w:r>
      <w:r>
        <w:rPr>
          <w:rFonts w:hint="eastAsia"/>
        </w:rPr>
        <w:t>MPa；</w:t>
      </w:r>
    </w:p>
    <w:p>
      <w:pPr>
        <w:pStyle w:val="174"/>
      </w:pPr>
      <w:r>
        <w:rPr>
          <w:rFonts w:hint="eastAsia"/>
        </w:rPr>
        <w:t>造成市政供水管网的水压低于该地区规定的最低供水服务压力。</w:t>
      </w:r>
    </w:p>
    <w:p>
      <w:pPr>
        <w:pStyle w:val="174"/>
      </w:pPr>
      <w:r>
        <w:rPr>
          <w:rFonts w:hint="eastAsia"/>
        </w:rPr>
        <w:t>同一区域多用户同时使用叠压设备时，市政管网压力瞬时变动值大于0.02</w:t>
      </w:r>
      <w:r>
        <w:t xml:space="preserve"> </w:t>
      </w:r>
      <w:r>
        <w:rPr>
          <w:rFonts w:hint="eastAsia"/>
        </w:rPr>
        <w:t>MPa。</w:t>
      </w:r>
    </w:p>
    <w:p>
      <w:pPr>
        <w:pStyle w:val="165"/>
      </w:pPr>
      <w:r>
        <w:rPr>
          <w:rFonts w:hint="eastAsia"/>
        </w:rPr>
        <w:t>下列用户及区域不得采用叠压供水方式：</w:t>
      </w:r>
    </w:p>
    <w:p>
      <w:pPr>
        <w:pStyle w:val="174"/>
        <w:numPr>
          <w:ilvl w:val="0"/>
          <w:numId w:val="37"/>
        </w:numPr>
      </w:pPr>
      <w:r>
        <w:rPr>
          <w:rFonts w:hint="eastAsia"/>
        </w:rPr>
        <w:t>对有毒有害物质、药品药剂等危险化学物质进行制造、加工、贮存和使用的工厂、研究单位、医疗机构和仓库等；</w:t>
      </w:r>
    </w:p>
    <w:p>
      <w:pPr>
        <w:pStyle w:val="174"/>
      </w:pPr>
      <w:r>
        <w:rPr>
          <w:rFonts w:hint="eastAsia"/>
        </w:rPr>
        <w:t>供水保障率要求高、需要连续供水、不允许停水、瞬间用水量过大，且未自行设置断水保障措施的用户；</w:t>
      </w:r>
    </w:p>
    <w:p>
      <w:pPr>
        <w:pStyle w:val="174"/>
      </w:pPr>
      <w:r>
        <w:rPr>
          <w:rFonts w:hint="eastAsia"/>
        </w:rPr>
        <w:t>在保障正常供水压力情况下，市政供水管网供水容量无富余的区域；</w:t>
      </w:r>
    </w:p>
    <w:p>
      <w:pPr>
        <w:pStyle w:val="174"/>
      </w:pPr>
      <w:r>
        <w:rPr>
          <w:rFonts w:hint="eastAsia"/>
        </w:rPr>
        <w:t>在保障正常供水压力条件下，未来发展不适合采用叠压供水方式的其他用户和区域。</w:t>
      </w:r>
    </w:p>
    <w:p>
      <w:pPr>
        <w:pStyle w:val="165"/>
      </w:pPr>
      <w:r>
        <w:rPr>
          <w:rFonts w:hint="eastAsia"/>
        </w:rPr>
        <w:t>二次供水系统竖向分区应符合GB 50015的规定。</w:t>
      </w:r>
    </w:p>
    <w:p>
      <w:pPr>
        <w:pStyle w:val="165"/>
      </w:pPr>
      <w:r>
        <w:rPr>
          <w:rFonts w:hint="eastAsia"/>
        </w:rPr>
        <w:t>同时符合下列条件的，可保留并优化“低位水池（箱）、工频供水设备与屋顶水箱联合供水”的方式：</w:t>
      </w:r>
    </w:p>
    <w:p>
      <w:pPr>
        <w:pStyle w:val="174"/>
        <w:numPr>
          <w:ilvl w:val="0"/>
          <w:numId w:val="38"/>
        </w:numPr>
      </w:pPr>
      <w:r>
        <w:rPr>
          <w:rFonts w:hint="eastAsia"/>
        </w:rPr>
        <w:t>供水保障率要求高的；</w:t>
      </w:r>
    </w:p>
    <w:p>
      <w:pPr>
        <w:pStyle w:val="174"/>
      </w:pPr>
      <w:r>
        <w:rPr>
          <w:rFonts w:hint="eastAsia"/>
        </w:rPr>
        <w:t>经专业评估，原“低位水池（箱）、工频供水设备与屋顶水箱联合供水”方式运行安全稳定的。</w:t>
      </w:r>
    </w:p>
    <w:p>
      <w:pPr>
        <w:pStyle w:val="105"/>
        <w:spacing w:before="156" w:after="156"/>
      </w:pPr>
      <w:bookmarkStart w:id="52" w:name="_Toc155974758"/>
      <w:r>
        <w:rPr>
          <w:rFonts w:hint="eastAsia"/>
        </w:rPr>
        <w:t>系统设计</w:t>
      </w:r>
      <w:bookmarkEnd w:id="52"/>
    </w:p>
    <w:p>
      <w:pPr>
        <w:pStyle w:val="165"/>
      </w:pPr>
      <w:r>
        <w:rPr>
          <w:rFonts w:hint="eastAsia"/>
        </w:rPr>
        <w:t>二次供水的设计，应与市政供水管网的供水能力以及用户的用水需求相匹配。</w:t>
      </w:r>
    </w:p>
    <w:p>
      <w:pPr>
        <w:pStyle w:val="165"/>
      </w:pPr>
      <w:r>
        <w:rPr>
          <w:rFonts w:hint="eastAsia"/>
        </w:rPr>
        <w:t>生活供水系统必须与消防供水、工业供水、建筑中水、海水冲厕或再生水等系统分开设置，并单独计量。</w:t>
      </w:r>
    </w:p>
    <w:p>
      <w:pPr>
        <w:pStyle w:val="165"/>
      </w:pPr>
      <w:r>
        <w:rPr>
          <w:rFonts w:hint="eastAsia"/>
        </w:rPr>
        <w:t>二次供水工程严禁与其他供水系统和自备水源等管网直接连接。其他临时用水确需由二次供水工程提供的，应采取防污染措施，按照GB</w:t>
      </w:r>
      <w:r>
        <w:t xml:space="preserve"> </w:t>
      </w:r>
      <w:r>
        <w:rPr>
          <w:rFonts w:hint="eastAsia"/>
        </w:rPr>
        <w:t>50015的规定执行。</w:t>
      </w:r>
    </w:p>
    <w:p>
      <w:pPr>
        <w:pStyle w:val="165"/>
      </w:pPr>
      <w:r>
        <w:rPr>
          <w:rFonts w:hint="eastAsia"/>
        </w:rPr>
        <w:t>二次供水设施的建设和提标改造应符合临时供水安全、环境保护、施工安装、操作管理和维修检测等要求。</w:t>
      </w:r>
    </w:p>
    <w:p>
      <w:pPr>
        <w:pStyle w:val="165"/>
      </w:pPr>
      <w:r>
        <w:rPr>
          <w:rFonts w:hint="eastAsia"/>
        </w:rPr>
        <w:t>二次供水应进行优化设计，宜采用成套设备。在泵房用地等条件许可的情况下，提标改造可采取“关、停、并、转”等优化措施，提升泵房整体运行效率。</w:t>
      </w:r>
    </w:p>
    <w:p>
      <w:pPr>
        <w:pStyle w:val="165"/>
      </w:pPr>
      <w:r>
        <w:rPr>
          <w:rFonts w:hint="eastAsia"/>
        </w:rPr>
        <w:t>二次供水设计，应符合下列规定：</w:t>
      </w:r>
    </w:p>
    <w:p>
      <w:pPr>
        <w:pStyle w:val="174"/>
        <w:numPr>
          <w:ilvl w:val="0"/>
          <w:numId w:val="39"/>
        </w:numPr>
      </w:pPr>
      <w:r>
        <w:rPr>
          <w:rFonts w:hint="eastAsia"/>
        </w:rPr>
        <w:t>满足供水水质及运行安全的需要；</w:t>
      </w:r>
    </w:p>
    <w:p>
      <w:pPr>
        <w:pStyle w:val="174"/>
      </w:pPr>
      <w:r>
        <w:rPr>
          <w:rFonts w:hint="eastAsia"/>
        </w:rPr>
        <w:t>选择合理的供水方式；</w:t>
      </w:r>
    </w:p>
    <w:p>
      <w:pPr>
        <w:pStyle w:val="174"/>
      </w:pPr>
      <w:r>
        <w:rPr>
          <w:rFonts w:hint="eastAsia"/>
        </w:rPr>
        <w:t>系统应运行稳定、节能高效、低噪环保；</w:t>
      </w:r>
    </w:p>
    <w:p>
      <w:pPr>
        <w:pStyle w:val="174"/>
      </w:pPr>
      <w:r>
        <w:rPr>
          <w:rFonts w:hint="eastAsia"/>
        </w:rPr>
        <w:t>设备型号及品牌、主要设施及配件、电气参数及接口需统一标准，具有可更换性和可维护性；</w:t>
      </w:r>
    </w:p>
    <w:p>
      <w:pPr>
        <w:pStyle w:val="174"/>
      </w:pPr>
      <w:r>
        <w:rPr>
          <w:rFonts w:hint="eastAsia"/>
        </w:rPr>
        <w:t>实现智能化控制与管理。</w:t>
      </w:r>
    </w:p>
    <w:p>
      <w:pPr>
        <w:pStyle w:val="165"/>
      </w:pPr>
      <w:r>
        <w:rPr>
          <w:rFonts w:hint="eastAsia"/>
        </w:rPr>
        <w:t>二次供水设施中的涉水材料及设备，应符合GB/T 17219的规定，并应获得涉及饮用水卫生安全产品卫生许可批件。</w:t>
      </w:r>
    </w:p>
    <w:p>
      <w:pPr>
        <w:pStyle w:val="165"/>
      </w:pPr>
      <w:r>
        <w:rPr>
          <w:rFonts w:hint="eastAsia"/>
        </w:rPr>
        <w:t>二次供水系统应充分利用城镇供水管网压力，并应根据城镇供水管网条件，综合考虑供水范围、建筑高度、使用标准和建筑物的分布等因素，经技术经济比较后合理选择二次供水系统。</w:t>
      </w:r>
    </w:p>
    <w:p>
      <w:pPr>
        <w:pStyle w:val="165"/>
      </w:pPr>
      <w:r>
        <w:rPr>
          <w:rFonts w:hint="eastAsia"/>
        </w:rPr>
        <w:t>二次供水系统的竖向分区应符合GB</w:t>
      </w:r>
      <w:r>
        <w:t xml:space="preserve"> </w:t>
      </w:r>
      <w:r>
        <w:rPr>
          <w:rFonts w:hint="eastAsia"/>
        </w:rPr>
        <w:t>50015的规定。</w:t>
      </w:r>
    </w:p>
    <w:p>
      <w:pPr>
        <w:pStyle w:val="165"/>
      </w:pPr>
      <w:r>
        <w:rPr>
          <w:rFonts w:hint="eastAsia"/>
        </w:rPr>
        <w:t>高层建筑生活给水系统竖向分区应根据建筑物用途、层数、使用要求、材料设备性能、维护管理、节约供水、能耗等因素综合确定，宜满足以下要求：</w:t>
      </w:r>
    </w:p>
    <w:p>
      <w:pPr>
        <w:pStyle w:val="174"/>
        <w:numPr>
          <w:ilvl w:val="0"/>
          <w:numId w:val="40"/>
        </w:numPr>
      </w:pPr>
      <w:r>
        <w:rPr>
          <w:rFonts w:hint="eastAsia"/>
        </w:rPr>
        <w:t>居住建筑入户管给水压力不应大于0.35</w:t>
      </w:r>
      <w:r>
        <w:t xml:space="preserve"> </w:t>
      </w:r>
      <w:r>
        <w:rPr>
          <w:rFonts w:hint="eastAsia"/>
        </w:rPr>
        <w:t>Mpa；</w:t>
      </w:r>
    </w:p>
    <w:p>
      <w:pPr>
        <w:pStyle w:val="174"/>
      </w:pPr>
      <w:r>
        <w:rPr>
          <w:rFonts w:hint="eastAsia"/>
        </w:rPr>
        <w:t>静水压大于0.35</w:t>
      </w:r>
      <w:r>
        <w:t xml:space="preserve"> </w:t>
      </w:r>
      <w:r>
        <w:rPr>
          <w:rFonts w:hint="eastAsia"/>
        </w:rPr>
        <w:t>Mpa的入户管（或配水横管），加设减压或调压设施；</w:t>
      </w:r>
    </w:p>
    <w:p>
      <w:pPr>
        <w:pStyle w:val="174"/>
      </w:pPr>
      <w:r>
        <w:rPr>
          <w:rFonts w:hint="eastAsia"/>
        </w:rPr>
        <w:t>各分区最低卫生器具配水点处的静水压力不宜大于0.45</w:t>
      </w:r>
      <w:r>
        <w:t xml:space="preserve"> </w:t>
      </w:r>
      <w:r>
        <w:rPr>
          <w:rFonts w:hint="eastAsia"/>
        </w:rPr>
        <w:t>MPa；</w:t>
      </w:r>
    </w:p>
    <w:p>
      <w:pPr>
        <w:pStyle w:val="174"/>
      </w:pPr>
      <w:r>
        <w:rPr>
          <w:rFonts w:hint="eastAsia"/>
        </w:rPr>
        <w:t>建筑高度不超过100</w:t>
      </w:r>
      <w:r>
        <w:t xml:space="preserve"> </w:t>
      </w:r>
      <w:r>
        <w:rPr>
          <w:rFonts w:hint="eastAsia"/>
        </w:rPr>
        <w:t>m的建筑生活给水系统，宜采用垂直分区并联供水或分区减压的供水方式；建筑高度超过100</w:t>
      </w:r>
      <w:r>
        <w:t xml:space="preserve"> </w:t>
      </w:r>
      <w:r>
        <w:rPr>
          <w:rFonts w:hint="eastAsia"/>
        </w:rPr>
        <w:t>m的建筑，宜采用垂直串联供水方式。</w:t>
      </w:r>
    </w:p>
    <w:p>
      <w:pPr>
        <w:pStyle w:val="165"/>
      </w:pPr>
      <w:r>
        <w:rPr>
          <w:rFonts w:hint="eastAsia"/>
        </w:rPr>
        <w:t>与供水管网直接联接的供水设备引入管上应设低阻力倒流防止器，倒流防止器的设置应符合GB</w:t>
      </w:r>
      <w:r>
        <w:t xml:space="preserve"> </w:t>
      </w:r>
      <w:r>
        <w:rPr>
          <w:rFonts w:hint="eastAsia"/>
        </w:rPr>
        <w:t>50015的规定。倒流防止器的排水口不得直接接至排水管，应采用间接排水。</w:t>
      </w:r>
    </w:p>
    <w:p>
      <w:pPr>
        <w:pStyle w:val="165"/>
      </w:pPr>
      <w:r>
        <w:rPr>
          <w:rFonts w:hint="eastAsia"/>
        </w:rPr>
        <w:t>在二次供水工程中宜设置水质在线监测，水箱应设置消毒设施。</w:t>
      </w:r>
    </w:p>
    <w:p>
      <w:pPr>
        <w:pStyle w:val="165"/>
      </w:pPr>
      <w:r>
        <w:rPr>
          <w:rFonts w:hint="eastAsia"/>
        </w:rPr>
        <w:t>二次供水工程的设计、施工应由具有相应资质的单位承担。</w:t>
      </w:r>
    </w:p>
    <w:p>
      <w:pPr>
        <w:pStyle w:val="165"/>
      </w:pPr>
      <w:r>
        <w:rPr>
          <w:rFonts w:hint="eastAsia"/>
        </w:rPr>
        <w:t>二次供水设施应当有建筑围护结构，有污染防治、噪音治理和运行安全保障措施，符合施工安装、操作管理、维修检测等具体要求。</w:t>
      </w:r>
    </w:p>
    <w:p>
      <w:pPr>
        <w:pStyle w:val="165"/>
      </w:pPr>
      <w:r>
        <w:rPr>
          <w:rFonts w:hint="eastAsia"/>
        </w:rPr>
        <w:t>二次供水设施计量到户，宜安装智能远传水表；泵房进水宜安装在线计量装置，出水宜安装在线计量装置。</w:t>
      </w:r>
    </w:p>
    <w:p>
      <w:pPr>
        <w:pStyle w:val="165"/>
      </w:pPr>
      <w:r>
        <w:rPr>
          <w:rFonts w:hint="eastAsia"/>
        </w:rPr>
        <w:t>二次供水系统改建的设计须考虑原有构（建）筑物的荷载及整体安全性。</w:t>
      </w:r>
    </w:p>
    <w:p>
      <w:pPr>
        <w:pStyle w:val="165"/>
      </w:pPr>
      <w:r>
        <w:rPr>
          <w:rFonts w:hint="eastAsia"/>
        </w:rPr>
        <w:t>二次供水加压设备的安装设计、施工、使用和管理应符合CJJ 140的规定。二次供水加压设备的质量及各项技术指标、组件选材制造工艺应符合GB/T 24603、GB/T 26003的相关要求。</w:t>
      </w:r>
    </w:p>
    <w:p>
      <w:pPr>
        <w:pStyle w:val="165"/>
      </w:pPr>
      <w:r>
        <w:rPr>
          <w:rFonts w:hint="eastAsia"/>
        </w:rPr>
        <w:t>当使用二次供水的居住小区规模在7000人以上时，小区室外二次供水主干管网宜布置成环状，与二次供水管网连接的加压泵出水管不宜少于两条，环状管网应设置阀门分段。</w:t>
      </w:r>
    </w:p>
    <w:p>
      <w:pPr>
        <w:pStyle w:val="165"/>
      </w:pPr>
      <w:r>
        <w:rPr>
          <w:rFonts w:hint="eastAsia"/>
        </w:rPr>
        <w:t>单体建筑二次供水管道宜布置成枝状管网，单向供水。</w:t>
      </w:r>
    </w:p>
    <w:p>
      <w:pPr>
        <w:pStyle w:val="165"/>
      </w:pPr>
      <w:r>
        <w:rPr>
          <w:rFonts w:hint="eastAsia"/>
        </w:rPr>
        <w:t>二次供水管道设计应符合下列要求:</w:t>
      </w:r>
    </w:p>
    <w:p>
      <w:pPr>
        <w:pStyle w:val="174"/>
        <w:numPr>
          <w:ilvl w:val="0"/>
          <w:numId w:val="41"/>
        </w:numPr>
      </w:pPr>
      <w:r>
        <w:rPr>
          <w:rFonts w:hint="eastAsia"/>
        </w:rPr>
        <w:t>不应与消防管道、空调补水等非生活饮用水管道连通；</w:t>
      </w:r>
    </w:p>
    <w:p>
      <w:pPr>
        <w:pStyle w:val="174"/>
      </w:pPr>
      <w:r>
        <w:rPr>
          <w:rFonts w:hint="eastAsia"/>
        </w:rPr>
        <w:t>不应与自建供水设施连接；</w:t>
      </w:r>
    </w:p>
    <w:p>
      <w:pPr>
        <w:pStyle w:val="174"/>
      </w:pPr>
      <w:r>
        <w:rPr>
          <w:rFonts w:hint="eastAsia"/>
        </w:rPr>
        <w:t>不应穿过毒物污染区；</w:t>
      </w:r>
    </w:p>
    <w:p>
      <w:pPr>
        <w:pStyle w:val="174"/>
      </w:pPr>
      <w:r>
        <w:rPr>
          <w:rFonts w:hint="eastAsia"/>
        </w:rPr>
        <w:t>当通过腐蚀地段的管道应采取安全保护措施；</w:t>
      </w:r>
    </w:p>
    <w:p>
      <w:pPr>
        <w:pStyle w:val="174"/>
      </w:pPr>
      <w:r>
        <w:rPr>
          <w:rFonts w:hint="eastAsia"/>
        </w:rPr>
        <w:t>不应穿越市政道路；</w:t>
      </w:r>
    </w:p>
    <w:p>
      <w:pPr>
        <w:pStyle w:val="174"/>
      </w:pPr>
      <w:r>
        <w:rPr>
          <w:rFonts w:hint="eastAsia"/>
        </w:rPr>
        <w:t>水泵出水管严禁与市政供水管网连接，不得影响城镇供水管网正常供水；</w:t>
      </w:r>
    </w:p>
    <w:p>
      <w:pPr>
        <w:pStyle w:val="174"/>
      </w:pPr>
      <w:r>
        <w:rPr>
          <w:rFonts w:hint="eastAsia"/>
        </w:rPr>
        <w:t>水泵出水管严禁与直供供水管网连接。</w:t>
      </w:r>
    </w:p>
    <w:p>
      <w:pPr>
        <w:pStyle w:val="165"/>
      </w:pPr>
      <w:r>
        <w:rPr>
          <w:rFonts w:hint="eastAsia"/>
        </w:rPr>
        <w:t>二次供水管道的布置，应符合下列要求:</w:t>
      </w:r>
    </w:p>
    <w:p>
      <w:pPr>
        <w:pStyle w:val="174"/>
        <w:numPr>
          <w:ilvl w:val="0"/>
          <w:numId w:val="42"/>
        </w:numPr>
      </w:pPr>
      <w:r>
        <w:rPr>
          <w:rFonts w:hint="eastAsia"/>
        </w:rPr>
        <w:t>不得直接敷设在建筑物结构层内；</w:t>
      </w:r>
    </w:p>
    <w:p>
      <w:pPr>
        <w:pStyle w:val="174"/>
      </w:pPr>
      <w:r>
        <w:rPr>
          <w:rFonts w:hint="eastAsia"/>
        </w:rPr>
        <w:t>设置的生活饮用水管道不得受到污染，应方便安装与维修，并且不得影响结构的安全和建筑物的使用；</w:t>
      </w:r>
    </w:p>
    <w:p>
      <w:pPr>
        <w:pStyle w:val="174"/>
      </w:pPr>
      <w:r>
        <w:rPr>
          <w:rFonts w:hint="eastAsia"/>
        </w:rPr>
        <w:t>干管和立管应敷设在吊顶、管井、管隆内，支管可敷设在吊顶、楼（地）面的垫层内或沿墙敷设在管槽内；</w:t>
      </w:r>
    </w:p>
    <w:p>
      <w:pPr>
        <w:pStyle w:val="174"/>
      </w:pPr>
      <w:r>
        <w:rPr>
          <w:rFonts w:hint="eastAsia"/>
        </w:rPr>
        <w:t>敷设在垫层或墙体管槽内的给水支管的外径不宜大于25</w:t>
      </w:r>
      <w:r>
        <w:t xml:space="preserve"> </w:t>
      </w:r>
      <w:r>
        <w:rPr>
          <w:rFonts w:hint="eastAsia"/>
        </w:rPr>
        <w:t>mm；</w:t>
      </w:r>
    </w:p>
    <w:p>
      <w:pPr>
        <w:pStyle w:val="174"/>
      </w:pPr>
      <w:r>
        <w:rPr>
          <w:rFonts w:hint="eastAsia"/>
        </w:rPr>
        <w:t>敷设在垫层或培体管槽内的给水管管材宜采用塑料、金属与塑料复合管材或耐腐蚀的金属管材；</w:t>
      </w:r>
    </w:p>
    <w:p>
      <w:pPr>
        <w:pStyle w:val="174"/>
      </w:pPr>
      <w:r>
        <w:rPr>
          <w:rFonts w:hint="eastAsia"/>
        </w:rPr>
        <w:t>敷设在垫层或墙体管槽内的管材，不得采用可拆卸的连接方式。柔性管材宜采用分水器向各卫生器具配水，中途不得有连接配件，两端接口应明露。</w:t>
      </w:r>
    </w:p>
    <w:p>
      <w:pPr>
        <w:pStyle w:val="165"/>
      </w:pPr>
      <w:r>
        <w:rPr>
          <w:rFonts w:hint="eastAsia"/>
        </w:rPr>
        <w:t>住宅给水系统室外管网宜设置泄水管，泄水管应采取间接排水的方式。</w:t>
      </w:r>
    </w:p>
    <w:p>
      <w:pPr>
        <w:pStyle w:val="165"/>
      </w:pPr>
      <w:r>
        <w:rPr>
          <w:rFonts w:hint="eastAsia"/>
        </w:rPr>
        <w:t>室外二次供水管道的布置不得污染生活用水，当达不到要求时，应采取相应的保护措施，并应符合GB 50013的规定。</w:t>
      </w:r>
    </w:p>
    <w:p>
      <w:pPr>
        <w:pStyle w:val="165"/>
      </w:pPr>
      <w:r>
        <w:rPr>
          <w:rFonts w:hint="eastAsia"/>
        </w:rPr>
        <w:t>二次供水管道的伸缩补偿装置应按GB 50015执行。</w:t>
      </w:r>
    </w:p>
    <w:p>
      <w:pPr>
        <w:pStyle w:val="105"/>
        <w:spacing w:before="156" w:after="156"/>
      </w:pPr>
      <w:bookmarkStart w:id="53" w:name="_Toc155974759"/>
      <w:r>
        <w:rPr>
          <w:rFonts w:hint="eastAsia"/>
        </w:rPr>
        <w:t>泵房</w:t>
      </w:r>
      <w:bookmarkEnd w:id="53"/>
    </w:p>
    <w:p>
      <w:pPr>
        <w:pStyle w:val="165"/>
      </w:pPr>
      <w:r>
        <w:rPr>
          <w:rFonts w:hint="eastAsia"/>
        </w:rPr>
        <w:t>泵房的位置应根据城镇供水管网条件，小区的环境和建筑的布置、类别、高度、使用标准等因素综合确定，每个泵房的服务半径不宜大于500</w:t>
      </w:r>
      <w:r>
        <w:t xml:space="preserve"> </w:t>
      </w:r>
      <w:r>
        <w:rPr>
          <w:rFonts w:hint="eastAsia"/>
        </w:rPr>
        <w:t>m，并宜设于用水负荷中心，且不应穿越市政道路。</w:t>
      </w:r>
    </w:p>
    <w:p>
      <w:pPr>
        <w:pStyle w:val="165"/>
      </w:pPr>
      <w:r>
        <w:rPr>
          <w:rFonts w:hint="eastAsia"/>
        </w:rPr>
        <w:t>泵房设置应符合GB 50015的规定，还应符合下列规定：</w:t>
      </w:r>
    </w:p>
    <w:p>
      <w:pPr>
        <w:pStyle w:val="174"/>
        <w:numPr>
          <w:ilvl w:val="0"/>
          <w:numId w:val="43"/>
        </w:numPr>
      </w:pPr>
      <w:r>
        <w:rPr>
          <w:rFonts w:hint="eastAsia"/>
        </w:rPr>
        <w:t>不应毗邻起居室或卧室；</w:t>
      </w:r>
    </w:p>
    <w:p>
      <w:pPr>
        <w:pStyle w:val="174"/>
      </w:pPr>
      <w:r>
        <w:rPr>
          <w:rFonts w:hint="eastAsia"/>
        </w:rPr>
        <w:t>宜与居住建筑主体建筑结构分开设置；</w:t>
      </w:r>
    </w:p>
    <w:p>
      <w:pPr>
        <w:pStyle w:val="174"/>
      </w:pPr>
      <w:r>
        <w:rPr>
          <w:rFonts w:hint="eastAsia"/>
        </w:rPr>
        <w:t>当居住建筑分期建设时，泵房宜按小区终期规模一次性预留空间，设备可分期安装或更换；</w:t>
      </w:r>
    </w:p>
    <w:p>
      <w:pPr>
        <w:pStyle w:val="174"/>
      </w:pPr>
      <w:r>
        <w:rPr>
          <w:rFonts w:hint="eastAsia"/>
        </w:rPr>
        <w:t>泵房及水池（箱）30</w:t>
      </w:r>
      <w:r>
        <w:t xml:space="preserve"> </w:t>
      </w:r>
      <w:r>
        <w:rPr>
          <w:rFonts w:hint="eastAsia"/>
        </w:rPr>
        <w:t>m以内不得有污染源。当达不到此要求时，应采取防护措施；</w:t>
      </w:r>
    </w:p>
    <w:p>
      <w:pPr>
        <w:pStyle w:val="174"/>
      </w:pPr>
      <w:r>
        <w:rPr>
          <w:rFonts w:hint="eastAsia"/>
        </w:rPr>
        <w:t>新建泵房应设置在专用的房间内，生活泵房应与消防泵房、其他设备用房分开独立设置，泵房出入口应从公共通道直接进入。改扩建生活二次供水设施宜与消防设施用房分开设置，不能分开的，宜采用物理隔断措施。</w:t>
      </w:r>
    </w:p>
    <w:p>
      <w:pPr>
        <w:pStyle w:val="174"/>
      </w:pPr>
      <w:r>
        <w:rPr>
          <w:rFonts w:hint="eastAsia"/>
        </w:rPr>
        <w:t>泵房不得设置在居住用房的上层、下层和毗邻的房间内，不得影响居住环境；</w:t>
      </w:r>
    </w:p>
    <w:p>
      <w:pPr>
        <w:pStyle w:val="174"/>
      </w:pPr>
      <w:r>
        <w:rPr>
          <w:rFonts w:hint="eastAsia"/>
        </w:rPr>
        <w:t>应设置可贸易结算的独立用电计量装置；</w:t>
      </w:r>
    </w:p>
    <w:p>
      <w:pPr>
        <w:pStyle w:val="174"/>
      </w:pPr>
      <w:r>
        <w:rPr>
          <w:rFonts w:hint="eastAsia"/>
        </w:rPr>
        <w:t>建筑高度≥100</w:t>
      </w:r>
      <w:r>
        <w:t xml:space="preserve"> </w:t>
      </w:r>
      <w:r>
        <w:rPr>
          <w:rFonts w:hint="eastAsia"/>
        </w:rPr>
        <w:t>m时，设置在中间楼层的泵房应采取可靠的减振防噪措施；</w:t>
      </w:r>
    </w:p>
    <w:p>
      <w:pPr>
        <w:pStyle w:val="174"/>
      </w:pPr>
      <w:r>
        <w:rPr>
          <w:rFonts w:hint="eastAsia"/>
        </w:rPr>
        <w:t>泵房不宜设置在地下最底层，宜与配电房在同一层；</w:t>
      </w:r>
    </w:p>
    <w:p>
      <w:pPr>
        <w:pStyle w:val="174"/>
      </w:pPr>
      <w:r>
        <w:rPr>
          <w:rFonts w:hint="eastAsia"/>
        </w:rPr>
        <w:t>室外泵房内部地面高出外部地面的高差不得小于0.3 m；</w:t>
      </w:r>
    </w:p>
    <w:p>
      <w:pPr>
        <w:pStyle w:val="174"/>
      </w:pPr>
      <w:r>
        <w:rPr>
          <w:rFonts w:hint="eastAsia"/>
        </w:rPr>
        <w:t>室外单独设置的泵房净高不低于3.5 m，设置在地下室内的泵房净高不低于3.0 m，并应满足设备起吊高度要求。</w:t>
      </w:r>
    </w:p>
    <w:p>
      <w:pPr>
        <w:pStyle w:val="165"/>
      </w:pPr>
      <w:r>
        <w:rPr>
          <w:rFonts w:hint="eastAsia"/>
        </w:rPr>
        <w:t>泵房及水池周边环境卫生较差，容易造成蚊虫滋生影响二次供水水质安全的，还应采取措施进行环境提升改造。</w:t>
      </w:r>
    </w:p>
    <w:p>
      <w:pPr>
        <w:pStyle w:val="165"/>
      </w:pPr>
      <w:r>
        <w:rPr>
          <w:rFonts w:hint="eastAsia"/>
        </w:rPr>
        <w:t>4.4.3 泵房内热环境除应符合GB 50015和GB 50736的有关规定以外，还应符合下列规定：</w:t>
      </w:r>
    </w:p>
    <w:p>
      <w:pPr>
        <w:pStyle w:val="174"/>
        <w:numPr>
          <w:ilvl w:val="0"/>
          <w:numId w:val="44"/>
        </w:numPr>
      </w:pPr>
      <w:r>
        <w:rPr>
          <w:rFonts w:hint="eastAsia"/>
        </w:rPr>
        <w:t>室外泵房的墙体、顶棚和门窗等应具有隔热措施；</w:t>
      </w:r>
    </w:p>
    <w:p>
      <w:pPr>
        <w:pStyle w:val="174"/>
      </w:pPr>
      <w:r>
        <w:rPr>
          <w:rFonts w:hint="eastAsia"/>
        </w:rPr>
        <w:t>泵房内温度无法保障设备正常运行的，可设置空调；</w:t>
      </w:r>
    </w:p>
    <w:p>
      <w:pPr>
        <w:pStyle w:val="174"/>
      </w:pPr>
      <w:r>
        <w:rPr>
          <w:rFonts w:hint="eastAsia"/>
        </w:rPr>
        <w:t>应设置通风设备，宜设置温度和湿度实时显示和监控装置。</w:t>
      </w:r>
    </w:p>
    <w:p>
      <w:pPr>
        <w:pStyle w:val="165"/>
      </w:pPr>
      <w:r>
        <w:rPr>
          <w:rFonts w:hint="eastAsia"/>
        </w:rPr>
        <w:t>泵房内卫生环境应符合下列规定：</w:t>
      </w:r>
    </w:p>
    <w:p>
      <w:pPr>
        <w:pStyle w:val="174"/>
        <w:numPr>
          <w:ilvl w:val="0"/>
          <w:numId w:val="45"/>
        </w:numPr>
      </w:pPr>
      <w:r>
        <w:rPr>
          <w:rFonts w:hint="eastAsia"/>
        </w:rPr>
        <w:t>泵房应安装防火防盗门，其尺寸应满足搬运最大设备需要，且净宽不得小于1.2</w:t>
      </w:r>
      <w:r>
        <w:t xml:space="preserve"> </w:t>
      </w:r>
      <w:r>
        <w:rPr>
          <w:rFonts w:hint="eastAsia"/>
        </w:rPr>
        <w:t>m，净高不得小于2</w:t>
      </w:r>
      <w:r>
        <w:t xml:space="preserve"> </w:t>
      </w:r>
      <w:r>
        <w:rPr>
          <w:rFonts w:hint="eastAsia"/>
        </w:rPr>
        <w:t>m，门框内侧宜用不锈钢包边，泵房入口处应设置不锈钢挡板，材料宜为不低于 S30408 不锈钢或同等性能级别的其他材料制作，挡板高度宜为 0.5</w:t>
      </w:r>
      <w:r>
        <w:t xml:space="preserve"> </w:t>
      </w:r>
      <w:r>
        <w:rPr>
          <w:rFonts w:hint="eastAsia"/>
        </w:rPr>
        <w:t>m；</w:t>
      </w:r>
    </w:p>
    <w:p>
      <w:pPr>
        <w:pStyle w:val="174"/>
      </w:pPr>
      <w:r>
        <w:rPr>
          <w:rFonts w:hint="eastAsia"/>
        </w:rPr>
        <w:t>窗户及通风孔应设不锈钢防护格栅式网罩；</w:t>
      </w:r>
    </w:p>
    <w:p>
      <w:pPr>
        <w:pStyle w:val="174"/>
      </w:pPr>
      <w:r>
        <w:rPr>
          <w:rFonts w:hint="eastAsia"/>
        </w:rPr>
        <w:t>泵房地面宜选用米黄色防滑瓷砖或环氧地坪材料，墙面宜贴白色瓷砖；</w:t>
      </w:r>
    </w:p>
    <w:p>
      <w:pPr>
        <w:pStyle w:val="174"/>
      </w:pPr>
      <w:r>
        <w:rPr>
          <w:rFonts w:hint="eastAsia"/>
        </w:rPr>
        <w:t>当泵房毗邻用户起居室的，泵房室内墙面 1.2</w:t>
      </w:r>
      <w:r>
        <w:t xml:space="preserve"> </w:t>
      </w:r>
      <w:r>
        <w:rPr>
          <w:rFonts w:hint="eastAsia"/>
        </w:rPr>
        <w:t>m以上应采用隔音板、隔音棉进行隔音处理；</w:t>
      </w:r>
    </w:p>
    <w:p>
      <w:pPr>
        <w:pStyle w:val="174"/>
      </w:pPr>
      <w:r>
        <w:rPr>
          <w:rFonts w:hint="eastAsia"/>
        </w:rPr>
        <w:t>泵房应设置保洁功能区，用于存放二次供水设施常用清洁维护用品、用具。</w:t>
      </w:r>
    </w:p>
    <w:p>
      <w:pPr>
        <w:pStyle w:val="165"/>
      </w:pPr>
      <w:r>
        <w:rPr>
          <w:rFonts w:hint="eastAsia"/>
        </w:rPr>
        <w:t>泵房内噪声环境除应符合GB 50015的规定外，还应符合下列规定：</w:t>
      </w:r>
    </w:p>
    <w:p>
      <w:pPr>
        <w:pStyle w:val="174"/>
        <w:numPr>
          <w:ilvl w:val="0"/>
          <w:numId w:val="46"/>
        </w:numPr>
      </w:pPr>
      <w:r>
        <w:rPr>
          <w:rFonts w:hint="eastAsia"/>
        </w:rPr>
        <w:t>泵房地面、墙面、顶板和设备基础应进行减振降噪处理，并应符合GB 3096的规定；</w:t>
      </w:r>
    </w:p>
    <w:p>
      <w:pPr>
        <w:pStyle w:val="174"/>
      </w:pPr>
      <w:r>
        <w:rPr>
          <w:rFonts w:hint="eastAsia"/>
        </w:rPr>
        <w:t>泵房设备、管道应采取柔性减振措施。管道穿过楼板或墙体时，孔洞周边应采取密封隔声措施。</w:t>
      </w:r>
    </w:p>
    <w:p>
      <w:pPr>
        <w:pStyle w:val="165"/>
      </w:pPr>
      <w:r>
        <w:rPr>
          <w:rFonts w:hint="eastAsia"/>
        </w:rPr>
        <w:t>泵房内电气环境应符合下列规定：</w:t>
      </w:r>
    </w:p>
    <w:p>
      <w:pPr>
        <w:pStyle w:val="174"/>
        <w:numPr>
          <w:ilvl w:val="0"/>
          <w:numId w:val="47"/>
        </w:numPr>
      </w:pPr>
      <w:r>
        <w:rPr>
          <w:rFonts w:hint="eastAsia"/>
        </w:rPr>
        <w:t>泵房内的电气控制设备应具备相应的防水、防潮等级，并应采取有效的防护措施；</w:t>
      </w:r>
    </w:p>
    <w:p>
      <w:pPr>
        <w:pStyle w:val="174"/>
      </w:pPr>
      <w:r>
        <w:rPr>
          <w:rFonts w:hint="eastAsia"/>
        </w:rPr>
        <w:t>泵房建筑结构应具有防雷击和安全接地的保护措施；</w:t>
      </w:r>
    </w:p>
    <w:p>
      <w:pPr>
        <w:pStyle w:val="174"/>
      </w:pPr>
      <w:r>
        <w:rPr>
          <w:rFonts w:hint="eastAsia"/>
        </w:rPr>
        <w:t>泵房电源应满足设备的安全运行，新建泵房宜采用双电源或双回路供电方式；</w:t>
      </w:r>
    </w:p>
    <w:p>
      <w:pPr>
        <w:pStyle w:val="174"/>
      </w:pPr>
      <w:r>
        <w:rPr>
          <w:rFonts w:hint="eastAsia"/>
        </w:rPr>
        <w:t>泵房内配电柜和控制柜前面通道宽度不宜小于1.5</w:t>
      </w:r>
      <w:r>
        <w:t xml:space="preserve"> </w:t>
      </w:r>
      <w:r>
        <w:rPr>
          <w:rFonts w:hint="eastAsia"/>
        </w:rPr>
        <w:t>m。</w:t>
      </w:r>
    </w:p>
    <w:p>
      <w:pPr>
        <w:pStyle w:val="165"/>
      </w:pPr>
      <w:r>
        <w:rPr>
          <w:rFonts w:hint="eastAsia"/>
        </w:rPr>
        <w:t>水泵机组宜设在水池（箱）的侧面、下方，水泵机组的布置，应满足国家标准GB 50015的规定。当电机额定功率不大于11</w:t>
      </w:r>
      <w:r>
        <w:t xml:space="preserve"> </w:t>
      </w:r>
      <w:r>
        <w:rPr>
          <w:rFonts w:hint="eastAsia"/>
        </w:rPr>
        <w:t>kW时，同型号水泵可共用同一基础。</w:t>
      </w:r>
    </w:p>
    <w:p>
      <w:pPr>
        <w:pStyle w:val="165"/>
      </w:pPr>
      <w:r>
        <w:rPr>
          <w:rFonts w:hint="eastAsia"/>
        </w:rPr>
        <w:t>泵房内部及进出通道的照明系统除应符合GB 50034的规定外，还应符合下列规定；</w:t>
      </w:r>
    </w:p>
    <w:p>
      <w:pPr>
        <w:pStyle w:val="174"/>
        <w:numPr>
          <w:ilvl w:val="0"/>
          <w:numId w:val="48"/>
        </w:numPr>
      </w:pPr>
      <w:r>
        <w:rPr>
          <w:rFonts w:hint="eastAsia"/>
        </w:rPr>
        <w:t>地上式泵房应充分利用自然采光，并应有防止阳光直射的措施；</w:t>
      </w:r>
    </w:p>
    <w:p>
      <w:pPr>
        <w:pStyle w:val="174"/>
      </w:pPr>
      <w:r>
        <w:rPr>
          <w:rFonts w:hint="eastAsia"/>
        </w:rPr>
        <w:t>泵房应配置应急备用照明系统，并应符合GB 50016的规定；</w:t>
      </w:r>
    </w:p>
    <w:p>
      <w:pPr>
        <w:pStyle w:val="174"/>
      </w:pPr>
      <w:r>
        <w:rPr>
          <w:rFonts w:hint="eastAsia"/>
        </w:rPr>
        <w:t>泵房照明应采用防水、防潮和高效节能的灯具，且便于检修和更新。</w:t>
      </w:r>
    </w:p>
    <w:p>
      <w:pPr>
        <w:pStyle w:val="165"/>
      </w:pPr>
      <w:r>
        <w:rPr>
          <w:rFonts w:hint="eastAsia"/>
        </w:rPr>
        <w:t>设备设施应设置统一、规范的标识标牌。</w:t>
      </w:r>
    </w:p>
    <w:p>
      <w:pPr>
        <w:pStyle w:val="165"/>
      </w:pPr>
      <w:r>
        <w:rPr>
          <w:rFonts w:hint="eastAsia"/>
        </w:rPr>
        <w:t>泵房内应预留足够空间，以满足水泵机组和相关设备安装及检修的要求，宜根据水泵电机等设备的重量设置起重设备。泵房室内水泵机组的布置应符合表</w:t>
      </w:r>
      <w:r>
        <w:t>1</w:t>
      </w:r>
      <w:r>
        <w:rPr>
          <w:rFonts w:hint="eastAsia"/>
        </w:rPr>
        <w:t>的规定。</w:t>
      </w:r>
    </w:p>
    <w:p>
      <w:pPr>
        <w:pStyle w:val="112"/>
        <w:spacing w:before="156" w:after="156"/>
      </w:pPr>
      <w:r>
        <w:rPr>
          <w:rFonts w:hint="eastAsia"/>
        </w:rPr>
        <w:t>水泵机组外轮廓面与墙和相邻机组间的间距</w:t>
      </w:r>
    </w:p>
    <w:tbl>
      <w:tblPr>
        <w:tblStyle w:val="33"/>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258"/>
        <w:gridCol w:w="3544"/>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blHeader/>
          <w:jc w:val="center"/>
        </w:trPr>
        <w:tc>
          <w:tcPr>
            <w:tcW w:w="2258" w:type="dxa"/>
            <w:tcBorders>
              <w:top w:val="single" w:color="auto" w:sz="8" w:space="0"/>
              <w:bottom w:val="single" w:color="auto" w:sz="8" w:space="0"/>
            </w:tcBorders>
            <w:shd w:val="clear" w:color="auto" w:fill="auto"/>
            <w:vAlign w:val="center"/>
          </w:tcPr>
          <w:p>
            <w:pPr>
              <w:pStyle w:val="178"/>
            </w:pPr>
            <w:r>
              <w:rPr>
                <w:rFonts w:hint="eastAsia"/>
              </w:rPr>
              <w:t>电动机额定功率（k</w:t>
            </w:r>
            <w:r>
              <w:t>W</w:t>
            </w:r>
            <w:r>
              <w:rPr>
                <w:rFonts w:hint="eastAsia"/>
              </w:rPr>
              <w:t>）</w:t>
            </w:r>
          </w:p>
        </w:tc>
        <w:tc>
          <w:tcPr>
            <w:tcW w:w="3544" w:type="dxa"/>
            <w:tcBorders>
              <w:top w:val="single" w:color="auto" w:sz="8" w:space="0"/>
              <w:bottom w:val="single" w:color="auto" w:sz="8" w:space="0"/>
            </w:tcBorders>
            <w:shd w:val="clear" w:color="auto" w:fill="auto"/>
            <w:vAlign w:val="center"/>
          </w:tcPr>
          <w:p>
            <w:pPr>
              <w:pStyle w:val="178"/>
            </w:pPr>
            <w:r>
              <w:rPr>
                <w:rFonts w:hint="eastAsia"/>
              </w:rPr>
              <w:t>水泵</w:t>
            </w:r>
            <w:r>
              <w:t>机组外轮廓与墙面之间的最小</w:t>
            </w:r>
            <w:r>
              <w:rPr>
                <w:rFonts w:hint="eastAsia"/>
              </w:rPr>
              <w:t>间距（m）</w:t>
            </w:r>
          </w:p>
        </w:tc>
        <w:tc>
          <w:tcPr>
            <w:tcW w:w="3532" w:type="dxa"/>
            <w:tcBorders>
              <w:top w:val="single" w:color="auto" w:sz="8" w:space="0"/>
              <w:bottom w:val="single" w:color="auto" w:sz="8" w:space="0"/>
            </w:tcBorders>
            <w:shd w:val="clear" w:color="auto" w:fill="auto"/>
            <w:vAlign w:val="center"/>
          </w:tcPr>
          <w:p>
            <w:pPr>
              <w:pStyle w:val="178"/>
            </w:pPr>
            <w:r>
              <w:rPr>
                <w:rFonts w:hint="eastAsia"/>
              </w:rPr>
              <w:t>相邻水泵</w:t>
            </w:r>
            <w:r>
              <w:t>机组外轮廓</w:t>
            </w:r>
            <w:r>
              <w:rPr>
                <w:rFonts w:hint="eastAsia"/>
              </w:rPr>
              <w:t>面</w:t>
            </w:r>
            <w:r>
              <w:t>之间的最小</w:t>
            </w:r>
            <w:r>
              <w:rPr>
                <w:rFonts w:hint="eastAsia"/>
              </w:rPr>
              <w:t>间距（m）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258" w:type="dxa"/>
            <w:tcBorders>
              <w:top w:val="single" w:color="auto" w:sz="8" w:space="0"/>
            </w:tcBorders>
            <w:shd w:val="clear" w:color="auto" w:fill="auto"/>
            <w:vAlign w:val="center"/>
          </w:tcPr>
          <w:p>
            <w:pPr>
              <w:pStyle w:val="178"/>
            </w:pPr>
            <w:r>
              <w:rPr>
                <w:rFonts w:hint="eastAsia"/>
              </w:rPr>
              <w:t>≤22</w:t>
            </w:r>
          </w:p>
        </w:tc>
        <w:tc>
          <w:tcPr>
            <w:tcW w:w="3544" w:type="dxa"/>
            <w:tcBorders>
              <w:top w:val="single" w:color="auto" w:sz="8" w:space="0"/>
            </w:tcBorders>
            <w:shd w:val="clear" w:color="auto" w:fill="auto"/>
            <w:vAlign w:val="center"/>
          </w:tcPr>
          <w:p>
            <w:pPr>
              <w:pStyle w:val="178"/>
            </w:pPr>
            <w:r>
              <w:rPr>
                <w:rFonts w:hint="eastAsia"/>
              </w:rPr>
              <w:t>0.8</w:t>
            </w:r>
          </w:p>
        </w:tc>
        <w:tc>
          <w:tcPr>
            <w:tcW w:w="3532" w:type="dxa"/>
            <w:tcBorders>
              <w:top w:val="single" w:color="auto" w:sz="8" w:space="0"/>
            </w:tcBorders>
            <w:shd w:val="clear" w:color="auto" w:fill="auto"/>
            <w:vAlign w:val="center"/>
          </w:tcPr>
          <w:p>
            <w:pPr>
              <w:pStyle w:val="178"/>
            </w:pPr>
            <w:r>
              <w:rPr>
                <w:rFonts w:hint="eastAsia"/>
              </w:rPr>
              <w:t>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258" w:type="dxa"/>
            <w:shd w:val="clear" w:color="auto" w:fill="auto"/>
            <w:vAlign w:val="center"/>
          </w:tcPr>
          <w:p>
            <w:pPr>
              <w:pStyle w:val="178"/>
            </w:pPr>
            <w:r>
              <w:rPr>
                <w:rFonts w:hint="eastAsia"/>
              </w:rPr>
              <w:t>＞2</w:t>
            </w:r>
            <w:r>
              <w:t>2</w:t>
            </w:r>
            <w:r>
              <w:rPr>
                <w:rFonts w:hint="eastAsia"/>
              </w:rPr>
              <w:t>，＜55</w:t>
            </w:r>
          </w:p>
        </w:tc>
        <w:tc>
          <w:tcPr>
            <w:tcW w:w="3544" w:type="dxa"/>
            <w:shd w:val="clear" w:color="auto" w:fill="auto"/>
            <w:vAlign w:val="center"/>
          </w:tcPr>
          <w:p>
            <w:pPr>
              <w:pStyle w:val="178"/>
            </w:pPr>
            <w:r>
              <w:rPr>
                <w:rFonts w:hint="eastAsia"/>
              </w:rPr>
              <w:t>1.0</w:t>
            </w:r>
          </w:p>
        </w:tc>
        <w:tc>
          <w:tcPr>
            <w:tcW w:w="3532" w:type="dxa"/>
            <w:shd w:val="clear" w:color="auto" w:fill="auto"/>
            <w:vAlign w:val="center"/>
          </w:tcPr>
          <w:p>
            <w:pPr>
              <w:pStyle w:val="178"/>
            </w:pPr>
            <w:r>
              <w:rPr>
                <w:rFonts w:hint="eastAsia"/>
              </w:rPr>
              <w:t>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258" w:type="dxa"/>
            <w:shd w:val="clear" w:color="auto" w:fill="auto"/>
            <w:vAlign w:val="center"/>
          </w:tcPr>
          <w:p>
            <w:pPr>
              <w:pStyle w:val="178"/>
            </w:pPr>
            <w:r>
              <w:rPr>
                <w:rFonts w:hint="eastAsia"/>
              </w:rPr>
              <w:t>≥55，</w:t>
            </w:r>
            <w:r>
              <w:t>≤160</w:t>
            </w:r>
          </w:p>
        </w:tc>
        <w:tc>
          <w:tcPr>
            <w:tcW w:w="3544" w:type="dxa"/>
            <w:shd w:val="clear" w:color="auto" w:fill="auto"/>
            <w:vAlign w:val="center"/>
          </w:tcPr>
          <w:p>
            <w:pPr>
              <w:pStyle w:val="178"/>
            </w:pPr>
            <w:r>
              <w:rPr>
                <w:rFonts w:hint="eastAsia"/>
              </w:rPr>
              <w:t>1.2</w:t>
            </w:r>
          </w:p>
        </w:tc>
        <w:tc>
          <w:tcPr>
            <w:tcW w:w="3532" w:type="dxa"/>
            <w:shd w:val="clear" w:color="auto" w:fill="auto"/>
            <w:vAlign w:val="center"/>
          </w:tcPr>
          <w:p>
            <w:pPr>
              <w:pStyle w:val="178"/>
            </w:pPr>
            <w:r>
              <w:rPr>
                <w:rFonts w:hint="eastAsia"/>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644" w:hRule="atLeast"/>
          <w:jc w:val="center"/>
        </w:trPr>
        <w:tc>
          <w:tcPr>
            <w:tcW w:w="9334" w:type="dxa"/>
            <w:gridSpan w:val="3"/>
            <w:shd w:val="clear" w:color="auto" w:fill="auto"/>
            <w:vAlign w:val="center"/>
          </w:tcPr>
          <w:p>
            <w:pPr>
              <w:pStyle w:val="178"/>
              <w:jc w:val="left"/>
            </w:pPr>
            <w:r>
              <w:rPr>
                <w:rFonts w:hint="eastAsia"/>
              </w:rPr>
              <w:t>注1：</w:t>
            </w:r>
            <w:r>
              <w:t>水泵侧面有管道时，外轮廓面计至管道外壁面。</w:t>
            </w:r>
          </w:p>
          <w:p>
            <w:pPr>
              <w:pStyle w:val="178"/>
              <w:jc w:val="left"/>
            </w:pPr>
            <w:r>
              <w:rPr>
                <w:rFonts w:hint="eastAsia"/>
              </w:rPr>
              <w:t>注2：</w:t>
            </w:r>
            <w:r>
              <w:t>水泵机组是指水泵与电动机的联合体，或已安装在金属座</w:t>
            </w:r>
            <w:r>
              <w:rPr>
                <w:rFonts w:hint="eastAsia"/>
              </w:rPr>
              <w:t>架上</w:t>
            </w:r>
            <w:r>
              <w:t>的多台</w:t>
            </w:r>
            <w:r>
              <w:rPr>
                <w:rFonts w:hint="eastAsia"/>
              </w:rPr>
              <w:t>水泵</w:t>
            </w:r>
            <w:r>
              <w:t>组合体。</w:t>
            </w:r>
          </w:p>
        </w:tc>
      </w:tr>
    </w:tbl>
    <w:p>
      <w:pPr>
        <w:pStyle w:val="165"/>
      </w:pPr>
      <w:r>
        <w:rPr>
          <w:rFonts w:hint="eastAsia"/>
        </w:rPr>
        <w:t>水泵机组的基础应采用混凝土捣制，且要高出泵房地面不小于0.2</w:t>
      </w:r>
      <w:r>
        <w:t xml:space="preserve"> </w:t>
      </w:r>
      <w:r>
        <w:rPr>
          <w:rFonts w:hint="eastAsia"/>
        </w:rPr>
        <w:t>m，并设置防振装置。</w:t>
      </w:r>
    </w:p>
    <w:p>
      <w:pPr>
        <w:pStyle w:val="165"/>
      </w:pPr>
      <w:r>
        <w:rPr>
          <w:rFonts w:hint="eastAsia"/>
        </w:rPr>
        <w:t>泵房内电控系统应采取防水、防潮和消防等安全保护措施。配电柜基础采用C20混凝土浇筑，泵房内电气设备和其他电气设施的底部应高出泵房地面不小于0.3</w:t>
      </w:r>
      <w:r>
        <w:t xml:space="preserve"> </w:t>
      </w:r>
      <w:r>
        <w:rPr>
          <w:rFonts w:hint="eastAsia"/>
        </w:rPr>
        <w:t>m。</w:t>
      </w:r>
    </w:p>
    <w:p>
      <w:pPr>
        <w:pStyle w:val="165"/>
      </w:pPr>
      <w:r>
        <w:rPr>
          <w:rFonts w:hint="eastAsia"/>
        </w:rPr>
        <w:t>进出泵房供配电电缆保护管必须采用防火泥进行封堵。</w:t>
      </w:r>
    </w:p>
    <w:p>
      <w:pPr>
        <w:pStyle w:val="165"/>
      </w:pPr>
      <w:r>
        <w:rPr>
          <w:rFonts w:hint="eastAsia"/>
        </w:rPr>
        <w:t>二次供水泵房内管道、管件及连接件材质应选用不低于S30408不锈钢材料，宜采用S31608不锈钢。</w:t>
      </w:r>
    </w:p>
    <w:p>
      <w:pPr>
        <w:pStyle w:val="165"/>
      </w:pPr>
      <w:r>
        <w:rPr>
          <w:rFonts w:hint="eastAsia"/>
        </w:rPr>
        <w:t>泵房应设置排水设施，泵房内地面应有不小于0.01的坡度坡向排水设施。</w:t>
      </w:r>
    </w:p>
    <w:p>
      <w:pPr>
        <w:pStyle w:val="165"/>
      </w:pPr>
      <w:r>
        <w:rPr>
          <w:rFonts w:hint="eastAsia"/>
        </w:rPr>
        <w:t>地下室泵房应单独设置集水井并安装潜污泵，潜污泵采用液位仪控制，一用一备，出水管管径不得小于DN80。</w:t>
      </w:r>
    </w:p>
    <w:p>
      <w:pPr>
        <w:pStyle w:val="165"/>
      </w:pPr>
      <w:r>
        <w:rPr>
          <w:rFonts w:hint="eastAsia"/>
        </w:rPr>
        <w:t>泵房用电设备电缆单芯截面积4</w:t>
      </w:r>
      <w:r>
        <w:t xml:space="preserve"> </w:t>
      </w:r>
      <w:r>
        <w:rPr>
          <w:rFonts w:hint="eastAsia"/>
        </w:rPr>
        <w:t>mm及以上，必须采用YJV（或YJV22）型规格电缆，若泵房所在建筑对电缆有更高防火要求的，则采用电缆应同时符合所在建筑的防火要求。</w:t>
      </w:r>
    </w:p>
    <w:p>
      <w:pPr>
        <w:pStyle w:val="165"/>
      </w:pPr>
      <w:r>
        <w:rPr>
          <w:rFonts w:hint="eastAsia"/>
        </w:rPr>
        <w:t>泵房内配备防潮照明灯，高度离地不超过3.5</w:t>
      </w:r>
      <w:r>
        <w:t xml:space="preserve"> </w:t>
      </w:r>
      <w:r>
        <w:rPr>
          <w:rFonts w:hint="eastAsia"/>
        </w:rPr>
        <w:t>m，照度要求应满足GB 50034的相关要求，墙上配防潮单相插座及照明开关。同时泵房必须配置备用照明灯，备用照度值不应低于正常照度。</w:t>
      </w:r>
    </w:p>
    <w:p>
      <w:pPr>
        <w:pStyle w:val="165"/>
      </w:pPr>
      <w:r>
        <w:rPr>
          <w:rFonts w:hint="eastAsia"/>
        </w:rPr>
        <w:t>泵房应安装轴流风机和百叶窗，窗户及通风孔应设防护格栅式网罩。</w:t>
      </w:r>
    </w:p>
    <w:p>
      <w:pPr>
        <w:pStyle w:val="165"/>
      </w:pPr>
      <w:r>
        <w:rPr>
          <w:rFonts w:hint="eastAsia"/>
        </w:rPr>
        <w:t>独立的泵房建筑物应按照 GB 50057采取防雷措施。泵房应采用共用接地网，接地网的接地电阻应符合其中设备接地电阻最小值的要求。泵房接地应符合 GB/T 50065的规定。</w:t>
      </w:r>
    </w:p>
    <w:p>
      <w:pPr>
        <w:pStyle w:val="165"/>
      </w:pPr>
      <w:r>
        <w:rPr>
          <w:rFonts w:hint="eastAsia"/>
        </w:rPr>
        <w:t>泵房内的电缆布线按 GB 50303的</w:t>
      </w:r>
      <w:r>
        <w:t>要求</w:t>
      </w:r>
      <w:r>
        <w:rPr>
          <w:rFonts w:hint="eastAsia"/>
        </w:rPr>
        <w:t>施工，与其它设备的间距符合规范要求，架空电缆下方不得布置水泵机组。</w:t>
      </w:r>
    </w:p>
    <w:p>
      <w:pPr>
        <w:pStyle w:val="165"/>
      </w:pPr>
      <w:r>
        <w:rPr>
          <w:rFonts w:hint="eastAsia"/>
        </w:rPr>
        <w:t>泵房内应具备有线网络（光纤）接入条件，同时，应确保无线网络信号全覆盖。有线网络接入时，泵房外宜采用电缆井或电缆桥架形式铺设，泵房内应采用保护套管形式铺设。</w:t>
      </w:r>
    </w:p>
    <w:p>
      <w:pPr>
        <w:pStyle w:val="165"/>
      </w:pPr>
      <w:r>
        <w:rPr>
          <w:rFonts w:hint="eastAsia"/>
        </w:rPr>
        <w:t>泵房内应设具有独立漏电保护开关和空气开关，且有接地的配电箱一个，内设380 V和220 V电源接口各不少于一个。</w:t>
      </w:r>
    </w:p>
    <w:p>
      <w:pPr>
        <w:pStyle w:val="165"/>
      </w:pPr>
      <w:r>
        <w:rPr>
          <w:rFonts w:hint="eastAsia"/>
        </w:rPr>
        <w:t>泵房可安装吊顶，吊顶宜使用半通透的方通，便于观察和维修。</w:t>
      </w:r>
    </w:p>
    <w:p>
      <w:pPr>
        <w:pStyle w:val="165"/>
      </w:pPr>
      <w:r>
        <w:rPr>
          <w:rFonts w:hint="eastAsia"/>
        </w:rPr>
        <w:t>吊顶表面应平整、洁净、无污染、色泽美观一致，下部不宜设置灯箱。</w:t>
      </w:r>
    </w:p>
    <w:p>
      <w:pPr>
        <w:pStyle w:val="165"/>
      </w:pPr>
      <w:r>
        <w:rPr>
          <w:rFonts w:hint="eastAsia"/>
        </w:rPr>
        <w:t>泵房室内墙面全部贴白色瓷砖到吊顶，并可在墙面采取加设无孔吸音板。</w:t>
      </w:r>
    </w:p>
    <w:p>
      <w:pPr>
        <w:pStyle w:val="165"/>
      </w:pPr>
      <w:r>
        <w:rPr>
          <w:rFonts w:hint="eastAsia"/>
        </w:rPr>
        <w:t>泵房地面铺砌防滑瓷砖，水箱、水泵基础铺砌瓷砖。</w:t>
      </w:r>
    </w:p>
    <w:p>
      <w:pPr>
        <w:pStyle w:val="165"/>
      </w:pPr>
      <w:r>
        <w:rPr>
          <w:rFonts w:hint="eastAsia"/>
        </w:rPr>
        <w:t>泵房应设置下列附属设备和设施:</w:t>
      </w:r>
    </w:p>
    <w:p>
      <w:pPr>
        <w:pStyle w:val="132"/>
      </w:pPr>
      <w:r>
        <w:rPr>
          <w:rFonts w:hint="eastAsia"/>
        </w:rPr>
        <w:t>泵房内应设置地面液位报警装置，报警仪设置离地面50</w:t>
      </w:r>
      <w:r>
        <w:t xml:space="preserve"> </w:t>
      </w:r>
      <w:r>
        <w:rPr>
          <w:rFonts w:hint="eastAsia"/>
        </w:rPr>
        <w:t>mm；</w:t>
      </w:r>
    </w:p>
    <w:p>
      <w:pPr>
        <w:pStyle w:val="132"/>
      </w:pPr>
      <w:r>
        <w:rPr>
          <w:rFonts w:hint="eastAsia"/>
        </w:rPr>
        <w:t>泵房内应配置烟感探测器，并配置手提式 ABC 干粉灭火器不少于2只；</w:t>
      </w:r>
    </w:p>
    <w:p>
      <w:pPr>
        <w:pStyle w:val="132"/>
      </w:pPr>
      <w:r>
        <w:rPr>
          <w:rFonts w:hint="eastAsia"/>
        </w:rPr>
        <w:t>泵房门口应设置二次供水生活泵房标志；</w:t>
      </w:r>
    </w:p>
    <w:p>
      <w:pPr>
        <w:pStyle w:val="132"/>
      </w:pPr>
      <w:r>
        <w:rPr>
          <w:rFonts w:hint="eastAsia"/>
        </w:rPr>
        <w:t>泵房内应安装防盗、监控装置，并具有远程监督和控制功能；</w:t>
      </w:r>
    </w:p>
    <w:p>
      <w:pPr>
        <w:pStyle w:val="132"/>
      </w:pPr>
      <w:r>
        <w:rPr>
          <w:rFonts w:hint="eastAsia"/>
        </w:rPr>
        <w:t>泵房门应内设0.5</w:t>
      </w:r>
      <w:r>
        <w:t xml:space="preserve"> </w:t>
      </w:r>
      <w:r>
        <w:rPr>
          <w:rFonts w:hint="eastAsia"/>
        </w:rPr>
        <w:t>m高不锈钢挡鼠板；</w:t>
      </w:r>
    </w:p>
    <w:p>
      <w:pPr>
        <w:pStyle w:val="132"/>
      </w:pPr>
      <w:r>
        <w:rPr>
          <w:rFonts w:hint="eastAsia"/>
        </w:rPr>
        <w:t>泵房内应设置防潮仪或除湿器。</w:t>
      </w:r>
    </w:p>
    <w:p>
      <w:pPr>
        <w:pStyle w:val="165"/>
      </w:pPr>
      <w:r>
        <w:rPr>
          <w:rFonts w:hint="eastAsia"/>
        </w:rPr>
        <w:t>泵房内不得放置与供水无关的设备、物品。与供水无关的排水管渠等其他管线不得穿越泵房。</w:t>
      </w:r>
    </w:p>
    <w:p>
      <w:pPr>
        <w:pStyle w:val="165"/>
      </w:pPr>
      <w:r>
        <w:rPr>
          <w:rFonts w:hint="eastAsia"/>
        </w:rPr>
        <w:t>泵房设计时应充分考虑通风、采光、排水以及防止外界雨水、废水、污水等进入的措施。泵房设置在地下室时，每小时换气次数不少于4次。</w:t>
      </w:r>
    </w:p>
    <w:p>
      <w:pPr>
        <w:pStyle w:val="105"/>
        <w:spacing w:before="156" w:after="156"/>
      </w:pPr>
      <w:bookmarkStart w:id="54" w:name="_Toc155974760"/>
      <w:r>
        <w:rPr>
          <w:rFonts w:hint="eastAsia"/>
        </w:rPr>
        <w:t>水泵</w:t>
      </w:r>
      <w:bookmarkEnd w:id="54"/>
    </w:p>
    <w:p>
      <w:pPr>
        <w:pStyle w:val="165"/>
      </w:pPr>
      <w:r>
        <w:rPr>
          <w:rFonts w:hint="eastAsia"/>
        </w:rPr>
        <w:t>宜选用不锈钢离心泵，泵壳及过流部件应选用不低于S30408不锈钢材质或同等性能级别的其他材料。</w:t>
      </w:r>
    </w:p>
    <w:p>
      <w:pPr>
        <w:pStyle w:val="165"/>
      </w:pPr>
      <w:r>
        <w:rPr>
          <w:rFonts w:hint="eastAsia"/>
        </w:rPr>
        <w:t>水泵能效应符合GB 18613规定的‖级能效及以上标准。</w:t>
      </w:r>
    </w:p>
    <w:p>
      <w:pPr>
        <w:pStyle w:val="165"/>
      </w:pPr>
      <w:r>
        <w:rPr>
          <w:rFonts w:hint="eastAsia"/>
        </w:rPr>
        <w:t>水泵电机应采用F级绝缘或以上，IP55 防护设计。</w:t>
      </w:r>
    </w:p>
    <w:p>
      <w:pPr>
        <w:pStyle w:val="165"/>
      </w:pPr>
      <w:r>
        <w:rPr>
          <w:rFonts w:hint="eastAsia"/>
        </w:rPr>
        <w:t>噪声应符合</w:t>
      </w:r>
      <w:r>
        <w:t>G</w:t>
      </w:r>
      <w:r>
        <w:rPr>
          <w:rFonts w:hint="eastAsia"/>
        </w:rPr>
        <w:t xml:space="preserve">B/T </w:t>
      </w:r>
      <w:r>
        <w:t>29529</w:t>
      </w:r>
      <w:r>
        <w:rPr>
          <w:rFonts w:hint="eastAsia"/>
        </w:rPr>
        <w:t>规定的</w:t>
      </w:r>
      <w:r>
        <w:t>A</w:t>
      </w:r>
      <w:r>
        <w:rPr>
          <w:rFonts w:hint="eastAsia"/>
        </w:rPr>
        <w:t>级及以上标准。</w:t>
      </w:r>
    </w:p>
    <w:p>
      <w:pPr>
        <w:pStyle w:val="165"/>
      </w:pPr>
      <w:r>
        <w:rPr>
          <w:rFonts w:hint="eastAsia"/>
        </w:rPr>
        <w:t>振动应符合GB/T 295</w:t>
      </w:r>
      <w:r>
        <w:t>31</w:t>
      </w:r>
      <w:r>
        <w:rPr>
          <w:rFonts w:hint="eastAsia"/>
        </w:rPr>
        <w:t>规定的</w:t>
      </w:r>
      <w:r>
        <w:t>A</w:t>
      </w:r>
      <w:r>
        <w:rPr>
          <w:rFonts w:hint="eastAsia"/>
        </w:rPr>
        <w:t>级及以上标准。</w:t>
      </w:r>
    </w:p>
    <w:p>
      <w:pPr>
        <w:pStyle w:val="165"/>
      </w:pPr>
      <w:r>
        <w:rPr>
          <w:rFonts w:hint="eastAsia"/>
        </w:rPr>
        <w:t>水泵应采用自灌式吸水,当因条件所限不能自灌吸水时应采取可靠的引水措施。</w:t>
      </w:r>
    </w:p>
    <w:p>
      <w:pPr>
        <w:pStyle w:val="165"/>
      </w:pPr>
      <w:r>
        <w:rPr>
          <w:rFonts w:hint="eastAsia"/>
        </w:rPr>
        <w:t>每台水泵的出水管应设阀门、止回阀、伸缩器（橡胶接头）、压力表。每台水泵的吸水管上必须装设阀门、伸缩器（橡胶接头），宜装设过滤器，压力检测设备应装设在水泵进出水管的止回阀前，应设置水锤消除装置。</w:t>
      </w:r>
    </w:p>
    <w:p>
      <w:pPr>
        <w:pStyle w:val="165"/>
      </w:pPr>
      <w:r>
        <w:rPr>
          <w:rFonts w:hint="eastAsia"/>
        </w:rPr>
        <w:t>进出水总管宜装设阀门，阀门宜为手动阀门，并具有与水泵联动的功能。</w:t>
      </w:r>
    </w:p>
    <w:p>
      <w:pPr>
        <w:pStyle w:val="165"/>
      </w:pPr>
      <w:r>
        <w:rPr>
          <w:rFonts w:hint="eastAsia"/>
        </w:rPr>
        <w:t>出水总管应安装压力传感器，压力传感器应安装在出水总管的震动小、水压平稳处。压力表量程选择应为工作压力的 1.5倍～2.0倍。</w:t>
      </w:r>
    </w:p>
    <w:p>
      <w:pPr>
        <w:pStyle w:val="165"/>
      </w:pPr>
      <w:r>
        <w:rPr>
          <w:rFonts w:hint="eastAsia"/>
        </w:rPr>
        <w:t>出水总管处应设置数据采集装置。包括压力变送器、余氯、</w:t>
      </w:r>
      <w:r>
        <w:t>p</w:t>
      </w:r>
      <w:r>
        <w:rPr>
          <w:rFonts w:hint="eastAsia"/>
        </w:rPr>
        <w:t>H、浊度等在线式仪表、水质采样装置等。采集数据须满足实时或间隔性传输。</w:t>
      </w:r>
    </w:p>
    <w:p>
      <w:pPr>
        <w:pStyle w:val="165"/>
      </w:pPr>
      <w:r>
        <w:rPr>
          <w:rFonts w:hint="eastAsia"/>
        </w:rPr>
        <w:t>水泵吸水口处变径宜采用偏心管件，水泵出水口变径应采用同心管件。</w:t>
      </w:r>
    </w:p>
    <w:p>
      <w:pPr>
        <w:pStyle w:val="165"/>
      </w:pPr>
      <w:r>
        <w:rPr>
          <w:rFonts w:hint="eastAsia"/>
        </w:rPr>
        <w:t>二次供水系统应设置气压罐（稳压罐），宜采用气囊式。</w:t>
      </w:r>
    </w:p>
    <w:p>
      <w:pPr>
        <w:pStyle w:val="165"/>
      </w:pPr>
      <w:r>
        <w:rPr>
          <w:rFonts w:hint="eastAsia"/>
        </w:rPr>
        <w:t>气压罐（稳压罐）壳体及其附属配件为不锈钢 S30408 或以上材质，壁厚要求完全达到压力容器设计标准。气压罐内橡胶囊材质应不低于 EPDM。</w:t>
      </w:r>
    </w:p>
    <w:p>
      <w:pPr>
        <w:pStyle w:val="165"/>
      </w:pPr>
      <w:r>
        <w:rPr>
          <w:rFonts w:hint="eastAsia"/>
        </w:rPr>
        <w:t>气压罐（稳压罐）的设计、制造、检验应符合JB 4732和YB 9073的要求。压力容器作为特种设备，设备供应商应具备“中华人民共和国特种设备制造许可证”。</w:t>
      </w:r>
    </w:p>
    <w:p>
      <w:pPr>
        <w:pStyle w:val="105"/>
        <w:spacing w:before="156" w:after="156"/>
      </w:pPr>
      <w:bookmarkStart w:id="55" w:name="_Toc155974761"/>
      <w:r>
        <w:rPr>
          <w:rFonts w:hint="eastAsia"/>
        </w:rPr>
        <w:t>叠压供水设备</w:t>
      </w:r>
      <w:bookmarkEnd w:id="55"/>
    </w:p>
    <w:p>
      <w:pPr>
        <w:pStyle w:val="165"/>
      </w:pPr>
      <w:r>
        <w:rPr>
          <w:rFonts w:hint="eastAsia"/>
        </w:rPr>
        <w:t>叠压式供水设备应符合 GB/T 26003的规定。</w:t>
      </w:r>
    </w:p>
    <w:p>
      <w:pPr>
        <w:pStyle w:val="165"/>
      </w:pPr>
      <w:r>
        <w:rPr>
          <w:rFonts w:hint="eastAsia"/>
        </w:rPr>
        <w:t>成套叠压设备应具备无负压、全密闭稳定补偿、缺水保护、小流量保压、水泵自动切换、休眠与唤醒、远程监控和故障报警等功能。</w:t>
      </w:r>
    </w:p>
    <w:p>
      <w:pPr>
        <w:pStyle w:val="165"/>
      </w:pPr>
      <w:r>
        <w:rPr>
          <w:rFonts w:hint="eastAsia"/>
        </w:rPr>
        <w:t>气压罐承压最低等级为1.6</w:t>
      </w:r>
      <w:r>
        <w:t xml:space="preserve"> </w:t>
      </w:r>
      <w:r>
        <w:rPr>
          <w:rFonts w:hint="eastAsia"/>
        </w:rPr>
        <w:t>MPa，设备在1.5倍设计压力下保压 30min 应无变形或损坏，在 1.1倍设计压力下保压30</w:t>
      </w:r>
      <w:r>
        <w:t xml:space="preserve"> </w:t>
      </w:r>
      <w:r>
        <w:rPr>
          <w:rFonts w:hint="eastAsia"/>
        </w:rPr>
        <w:t>min应无渗漏。</w:t>
      </w:r>
    </w:p>
    <w:p>
      <w:pPr>
        <w:pStyle w:val="165"/>
      </w:pPr>
      <w:r>
        <w:rPr>
          <w:rFonts w:hint="eastAsia"/>
        </w:rPr>
        <w:t>稳流补偿器、真空抑制器、倒流防止器、过滤器及连接管段等部件，应采用耐腐蚀性能不低于S30408不锈钢或其他同等级别的材料制作，稳流罐罐体应采用S31603不锈钢材质。</w:t>
      </w:r>
    </w:p>
    <w:p>
      <w:pPr>
        <w:pStyle w:val="165"/>
      </w:pPr>
      <w:r>
        <w:rPr>
          <w:rFonts w:hint="eastAsia"/>
        </w:rPr>
        <w:t>成套叠压设备应具备多种支持数据采集、传输、储存的功能。</w:t>
      </w:r>
    </w:p>
    <w:p>
      <w:pPr>
        <w:pStyle w:val="165"/>
      </w:pPr>
      <w:r>
        <w:rPr>
          <w:rFonts w:hint="eastAsia"/>
        </w:rPr>
        <w:t>叠压配套用水泵，除满足本条款要求之外，须满足本文件 5.7规定要求。</w:t>
      </w:r>
    </w:p>
    <w:p>
      <w:pPr>
        <w:pStyle w:val="165"/>
      </w:pPr>
      <w:r>
        <w:rPr>
          <w:rFonts w:hint="eastAsia"/>
        </w:rPr>
        <w:t>叠压式供水设备的进水管应单独接自供水干管，宜从环状供水干管接入。</w:t>
      </w:r>
    </w:p>
    <w:p>
      <w:pPr>
        <w:pStyle w:val="165"/>
      </w:pPr>
      <w:r>
        <w:rPr>
          <w:rFonts w:hint="eastAsia"/>
        </w:rPr>
        <w:t>叠压式供水设备进出水管之间可设旁通管，旁通管应设阀门和倒流防止器。</w:t>
      </w:r>
    </w:p>
    <w:p>
      <w:pPr>
        <w:pStyle w:val="105"/>
        <w:spacing w:before="156" w:after="156"/>
      </w:pPr>
      <w:bookmarkStart w:id="56" w:name="_Toc155974762"/>
      <w:r>
        <w:rPr>
          <w:rFonts w:hint="eastAsia"/>
        </w:rPr>
        <w:t>水池</w:t>
      </w:r>
      <w:r>
        <w:t>（</w:t>
      </w:r>
      <w:r>
        <w:rPr>
          <w:rFonts w:hint="eastAsia"/>
        </w:rPr>
        <w:t>箱</w:t>
      </w:r>
      <w:r>
        <w:t>）</w:t>
      </w:r>
      <w:bookmarkEnd w:id="56"/>
    </w:p>
    <w:p>
      <w:pPr>
        <w:pStyle w:val="165"/>
      </w:pPr>
      <w:r>
        <w:rPr>
          <w:rFonts w:hint="eastAsia"/>
        </w:rPr>
        <w:t>水池（箱）设计应遵循GB 50015的有关规定。</w:t>
      </w:r>
    </w:p>
    <w:p>
      <w:pPr>
        <w:pStyle w:val="165"/>
      </w:pPr>
      <w:r>
        <w:rPr>
          <w:rFonts w:hint="eastAsia"/>
        </w:rPr>
        <w:t>新建水池（箱）应采用不锈钢材料，材质应</w:t>
      </w:r>
      <w:r>
        <w:t>为S30408</w:t>
      </w:r>
      <w:r>
        <w:rPr>
          <w:rFonts w:hint="eastAsia"/>
        </w:rPr>
        <w:t>或</w:t>
      </w:r>
      <w:r>
        <w:t>以上等级</w:t>
      </w:r>
      <w:r>
        <w:rPr>
          <w:rFonts w:hint="eastAsia"/>
        </w:rPr>
        <w:t>，其焊接材料应与水箱同材质，不锈钢焊缝应进行酸洗钝化等抗氧化处理，厂家制作、现场组装。矩形水箱壁厚和安装应符合国家现行标准图集02S101的要求。</w:t>
      </w:r>
    </w:p>
    <w:p>
      <w:pPr>
        <w:pStyle w:val="165"/>
      </w:pPr>
      <w:r>
        <w:rPr>
          <w:rFonts w:hint="eastAsia"/>
        </w:rPr>
        <w:t>水池（箱）不宜毗邻电气用房，其上方不应有厕所、浴室、盥洗室、厨房、污水处理间、污水管道等。</w:t>
      </w:r>
    </w:p>
    <w:p>
      <w:pPr>
        <w:pStyle w:val="165"/>
      </w:pPr>
      <w:r>
        <w:rPr>
          <w:rFonts w:hint="eastAsia"/>
        </w:rPr>
        <w:t>水池（箱）设计还应遵循下列规定：</w:t>
      </w:r>
    </w:p>
    <w:p>
      <w:pPr>
        <w:pStyle w:val="132"/>
      </w:pPr>
      <w:r>
        <w:rPr>
          <w:rFonts w:hint="eastAsia"/>
        </w:rPr>
        <w:t>水池（箱）应设置在维护方便、通风良好的房间内；</w:t>
      </w:r>
    </w:p>
    <w:p>
      <w:pPr>
        <w:pStyle w:val="132"/>
      </w:pPr>
      <w:r>
        <w:rPr>
          <w:rFonts w:hint="eastAsia"/>
        </w:rPr>
        <w:t>平均水力停留时间不宜超过6</w:t>
      </w:r>
      <w:r>
        <w:t xml:space="preserve"> </w:t>
      </w:r>
      <w:r>
        <w:rPr>
          <w:rFonts w:hint="eastAsia"/>
        </w:rPr>
        <w:t>h；</w:t>
      </w:r>
    </w:p>
    <w:p>
      <w:pPr>
        <w:pStyle w:val="132"/>
      </w:pPr>
      <w:r>
        <w:rPr>
          <w:rFonts w:hint="eastAsia"/>
        </w:rPr>
        <w:t>水池（箱）的</w:t>
      </w:r>
      <w:r>
        <w:t>有效</w:t>
      </w:r>
      <w:r>
        <w:rPr>
          <w:rFonts w:hint="eastAsia"/>
        </w:rPr>
        <w:t>容积大于50</w:t>
      </w:r>
      <w:r>
        <w:t xml:space="preserve"> </w:t>
      </w:r>
      <w:r>
        <w:rPr>
          <w:rFonts w:hint="eastAsia"/>
        </w:rPr>
        <w:t>m</w:t>
      </w:r>
      <w:r>
        <w:rPr>
          <w:rFonts w:hint="eastAsia"/>
          <w:vertAlign w:val="superscript"/>
        </w:rPr>
        <w:t>3</w:t>
      </w:r>
      <w:r>
        <w:rPr>
          <w:rFonts w:hint="eastAsia"/>
        </w:rPr>
        <w:t>时，应分为容积基本相等的两个独立运行</w:t>
      </w:r>
      <w:r>
        <w:t>的水箱</w:t>
      </w:r>
      <w:r>
        <w:rPr>
          <w:rFonts w:hint="eastAsia"/>
        </w:rPr>
        <w:t>；当水池（箱）容积大于800 m</w:t>
      </w:r>
      <w:r>
        <w:rPr>
          <w:rFonts w:hint="eastAsia"/>
          <w:vertAlign w:val="superscript"/>
        </w:rPr>
        <w:t>3</w:t>
      </w:r>
      <w:r>
        <w:rPr>
          <w:rFonts w:hint="eastAsia"/>
        </w:rPr>
        <w:t>时，应分为容积基本相等的四个独立运行</w:t>
      </w:r>
      <w:r>
        <w:t>的水箱</w:t>
      </w:r>
      <w:r>
        <w:rPr>
          <w:rFonts w:hint="eastAsia"/>
        </w:rPr>
        <w:t>；</w:t>
      </w:r>
    </w:p>
    <w:p>
      <w:pPr>
        <w:pStyle w:val="132"/>
      </w:pPr>
      <w:r>
        <w:rPr>
          <w:rFonts w:hint="eastAsia"/>
        </w:rPr>
        <w:t>水池（箱）的顶部</w:t>
      </w:r>
      <w:r>
        <w:t>对角</w:t>
      </w:r>
      <w:r>
        <w:rPr>
          <w:rFonts w:hint="eastAsia"/>
        </w:rPr>
        <w:t>应设置不少于两个检修人孔。</w:t>
      </w:r>
    </w:p>
    <w:p>
      <w:pPr>
        <w:pStyle w:val="165"/>
      </w:pPr>
      <w:r>
        <w:rPr>
          <w:rFonts w:hint="eastAsia"/>
        </w:rPr>
        <w:t>水池（箱）应设进水管、出水管、溢流管、泄水管、导流板、通气口、人孔，并应符合下列规定：</w:t>
      </w:r>
    </w:p>
    <w:p>
      <w:pPr>
        <w:pStyle w:val="132"/>
      </w:pPr>
      <w:r>
        <w:rPr>
          <w:rFonts w:hint="eastAsia"/>
        </w:rPr>
        <w:t>水池（箱）的进、出水管宜分别设置在不同侧，并应采取防止短流的措施。进水管管径应按平均每小时流量计算；</w:t>
      </w:r>
    </w:p>
    <w:p>
      <w:pPr>
        <w:pStyle w:val="132"/>
      </w:pPr>
      <w:r>
        <w:rPr>
          <w:rFonts w:hint="eastAsia"/>
        </w:rPr>
        <w:t>水池（箱）进水设施宜选用具有实现池内水周期循环功能及具有水力控制及电动控制功能的液位控制装置；</w:t>
      </w:r>
    </w:p>
    <w:p>
      <w:pPr>
        <w:pStyle w:val="132"/>
      </w:pPr>
      <w:r>
        <w:rPr>
          <w:rFonts w:hint="eastAsia"/>
        </w:rPr>
        <w:t>水池（箱）应设置溢流管。水箱溢流管的直径应大于进水管直径；管口上沿距水箱顶部应不小于0.1</w:t>
      </w:r>
      <w:r>
        <w:t xml:space="preserve"> </w:t>
      </w:r>
      <w:r>
        <w:rPr>
          <w:rFonts w:hint="eastAsia"/>
        </w:rPr>
        <w:t>m。溢流管出口应设置耐腐蚀性能不低于S31603材质的不锈钢网，网孔宜为14目～18目。溢流管不应接入污水井（管）；</w:t>
      </w:r>
    </w:p>
    <w:p>
      <w:pPr>
        <w:pStyle w:val="132"/>
      </w:pPr>
      <w:r>
        <w:rPr>
          <w:rFonts w:hint="eastAsia"/>
        </w:rPr>
        <w:t>泄水管应设在水池（箱）底部，管径不应小于DN50，且排空时间不宜超过3</w:t>
      </w:r>
      <w:r>
        <w:t xml:space="preserve"> </w:t>
      </w:r>
      <w:r>
        <w:rPr>
          <w:rFonts w:hint="eastAsia"/>
        </w:rPr>
        <w:t>h。水池（箱）底部宜有坡度，并坡向泄水管或集水坑。泄水管与排水系统不得直接连接并应有不小于0.2</w:t>
      </w:r>
      <w:r>
        <w:t xml:space="preserve"> </w:t>
      </w:r>
      <w:r>
        <w:rPr>
          <w:rFonts w:hint="eastAsia"/>
        </w:rPr>
        <w:t>m的空气间隙隔断；</w:t>
      </w:r>
    </w:p>
    <w:p>
      <w:pPr>
        <w:pStyle w:val="132"/>
      </w:pPr>
      <w:r>
        <w:rPr>
          <w:rFonts w:hint="eastAsia"/>
        </w:rPr>
        <w:t>水池（箱）可能存在死水区时，应设置导流板，导流板的长度应大于水池长度的3/4，导流板的设置应充分考虑水池（箱）的维护管理操作空间的需要；</w:t>
      </w:r>
    </w:p>
    <w:p>
      <w:pPr>
        <w:pStyle w:val="132"/>
      </w:pPr>
      <w:r>
        <w:rPr>
          <w:rFonts w:hint="eastAsia"/>
        </w:rPr>
        <w:t>水池（箱）位于室外时，通风换气装置的进气管口距水池（箱）顶上表面不得低于0.5</w:t>
      </w:r>
      <w:r>
        <w:t xml:space="preserve"> </w:t>
      </w:r>
      <w:r>
        <w:rPr>
          <w:rFonts w:hint="eastAsia"/>
        </w:rPr>
        <w:t>m，出气管口距水池（箱）顶上表面不得低于1.5</w:t>
      </w:r>
      <w:r>
        <w:t xml:space="preserve"> </w:t>
      </w:r>
      <w:r>
        <w:rPr>
          <w:rFonts w:hint="eastAsia"/>
        </w:rPr>
        <w:t>m；进、出气管均应设置呼吸器，呼吸器应采用S31603不锈钢制作，内置卫生级抑菌滤芯。水池（箱）位于室内时，应根据现场空间情况，尽可能提高进气管、出气管管口的高度，并保持出气管口高于进气管口。</w:t>
      </w:r>
    </w:p>
    <w:p>
      <w:pPr>
        <w:pStyle w:val="165"/>
      </w:pPr>
      <w:r>
        <w:rPr>
          <w:rFonts w:hint="eastAsia"/>
        </w:rPr>
        <w:t>水池（箱）应设置人孔，圆型人孔直径不得小于0.7</w:t>
      </w:r>
      <w:r>
        <w:t xml:space="preserve"> </w:t>
      </w:r>
      <w:r>
        <w:rPr>
          <w:rFonts w:hint="eastAsia"/>
        </w:rPr>
        <w:t>m，方型人孔每边长不得小于0.6</w:t>
      </w:r>
      <w:r>
        <w:t xml:space="preserve"> </w:t>
      </w:r>
      <w:r>
        <w:rPr>
          <w:rFonts w:hint="eastAsia"/>
        </w:rPr>
        <w:t>m，人孔处应设S31603不锈钢爬梯，人孔保护高度不得小于0.1</w:t>
      </w:r>
      <w:r>
        <w:t xml:space="preserve"> </w:t>
      </w:r>
      <w:r>
        <w:rPr>
          <w:rFonts w:hint="eastAsia"/>
        </w:rPr>
        <w:t>m，并应设置S31603不锈钢密封孔盖并加锁防护。</w:t>
      </w:r>
    </w:p>
    <w:p>
      <w:pPr>
        <w:pStyle w:val="165"/>
      </w:pPr>
      <w:r>
        <w:rPr>
          <w:rFonts w:hint="eastAsia"/>
        </w:rPr>
        <w:t>水箱基础可采用混凝土条形梁，基础使用混凝土标号不低于C20的素混凝土浇筑，基础高度应不小于0.</w:t>
      </w:r>
      <w:r>
        <w:t xml:space="preserve">5 </w:t>
      </w:r>
      <w:r>
        <w:rPr>
          <w:rFonts w:hint="eastAsia"/>
        </w:rPr>
        <w:t>m，宽度不小于0.2</w:t>
      </w:r>
      <w:r>
        <w:t xml:space="preserve"> </w:t>
      </w:r>
      <w:r>
        <w:rPr>
          <w:rFonts w:hint="eastAsia"/>
        </w:rPr>
        <w:t>m，条状基础表面及侧面要求跟地面一样贴瓷砖，瓷砖颜色保持统一。</w:t>
      </w:r>
    </w:p>
    <w:p>
      <w:pPr>
        <w:pStyle w:val="165"/>
      </w:pPr>
      <w:r>
        <w:rPr>
          <w:rFonts w:hint="eastAsia"/>
        </w:rPr>
        <w:t>水箱与墙面的距离应满足以下要求：</w:t>
      </w:r>
    </w:p>
    <w:p>
      <w:pPr>
        <w:pStyle w:val="174"/>
        <w:numPr>
          <w:ilvl w:val="0"/>
          <w:numId w:val="49"/>
        </w:numPr>
      </w:pPr>
      <w:r>
        <w:rPr>
          <w:rFonts w:hint="eastAsia"/>
        </w:rPr>
        <w:t>距离无管道的侧面应不小于0.7</w:t>
      </w:r>
      <w:r>
        <w:t xml:space="preserve"> </w:t>
      </w:r>
      <w:r>
        <w:rPr>
          <w:rFonts w:hint="eastAsia"/>
        </w:rPr>
        <w:t>m；</w:t>
      </w:r>
    </w:p>
    <w:p>
      <w:pPr>
        <w:pStyle w:val="174"/>
      </w:pPr>
      <w:r>
        <w:rPr>
          <w:rFonts w:hint="eastAsia"/>
        </w:rPr>
        <w:t>距离安装有管道的面应不小于1.0</w:t>
      </w:r>
      <w:r>
        <w:t xml:space="preserve"> </w:t>
      </w:r>
      <w:r>
        <w:rPr>
          <w:rFonts w:hint="eastAsia"/>
        </w:rPr>
        <w:t>m；</w:t>
      </w:r>
    </w:p>
    <w:p>
      <w:pPr>
        <w:pStyle w:val="174"/>
      </w:pPr>
      <w:r>
        <w:rPr>
          <w:rFonts w:hint="eastAsia"/>
        </w:rPr>
        <w:t>管道外壁和建筑本体墙面之间的通道宽度不应小于0.6</w:t>
      </w:r>
      <w:r>
        <w:t xml:space="preserve"> </w:t>
      </w:r>
      <w:r>
        <w:rPr>
          <w:rFonts w:hint="eastAsia"/>
        </w:rPr>
        <w:t>m。</w:t>
      </w:r>
    </w:p>
    <w:p>
      <w:pPr>
        <w:pStyle w:val="165"/>
      </w:pPr>
      <w:r>
        <w:rPr>
          <w:rFonts w:hint="eastAsia"/>
        </w:rPr>
        <w:t>设有人孔的池顶，顶板面与建筑板底的净空不小于0.8</w:t>
      </w:r>
      <w:r>
        <w:t xml:space="preserve"> </w:t>
      </w:r>
      <w:r>
        <w:rPr>
          <w:rFonts w:hint="eastAsia"/>
        </w:rPr>
        <w:t>m。</w:t>
      </w:r>
    </w:p>
    <w:p>
      <w:pPr>
        <w:pStyle w:val="165"/>
      </w:pPr>
      <w:r>
        <w:rPr>
          <w:rFonts w:hint="eastAsia"/>
        </w:rPr>
        <w:t>设置水箱的建筑物内应设有排水坑，排水坑的大小和深度应满足水泵的安装要求，一般采用潜水泵抽水方式。</w:t>
      </w:r>
    </w:p>
    <w:p>
      <w:pPr>
        <w:pStyle w:val="165"/>
      </w:pPr>
      <w:r>
        <w:rPr>
          <w:rFonts w:hint="eastAsia"/>
        </w:rPr>
        <w:t>现状生活和消防合用的水池（箱）应按照</w:t>
      </w:r>
      <w:r>
        <w:t>下列要求</w:t>
      </w:r>
      <w:r>
        <w:rPr>
          <w:rFonts w:hint="eastAsia"/>
        </w:rPr>
        <w:t>进行提标改造：</w:t>
      </w:r>
    </w:p>
    <w:p>
      <w:pPr>
        <w:pStyle w:val="174"/>
        <w:numPr>
          <w:ilvl w:val="0"/>
          <w:numId w:val="50"/>
        </w:numPr>
      </w:pPr>
      <w:r>
        <w:rPr>
          <w:rFonts w:hint="eastAsia"/>
        </w:rPr>
        <w:t>生活水池（箱）应独立设置，并采取相应措施保证池（箱）内的水力流动条件；</w:t>
      </w:r>
    </w:p>
    <w:p>
      <w:pPr>
        <w:pStyle w:val="174"/>
      </w:pPr>
      <w:r>
        <w:rPr>
          <w:rFonts w:hint="eastAsia"/>
        </w:rPr>
        <w:t>具备条件的，应新建不锈钢生活水池（箱）；</w:t>
      </w:r>
    </w:p>
    <w:p>
      <w:pPr>
        <w:pStyle w:val="174"/>
      </w:pPr>
      <w:r>
        <w:rPr>
          <w:rFonts w:hint="eastAsia"/>
        </w:rPr>
        <w:t>不具备新建条件的，应对现状水池（箱）进行改造；应在水池内部设置分隔墙，将生活和消防用水分开，并应优先保证消防水池（箱）的有效容积。</w:t>
      </w:r>
    </w:p>
    <w:p>
      <w:pPr>
        <w:pStyle w:val="165"/>
      </w:pPr>
      <w:r>
        <w:rPr>
          <w:rFonts w:hint="eastAsia"/>
        </w:rPr>
        <w:t>改(扩)建水池（箱）材质应符合下列规定：</w:t>
      </w:r>
    </w:p>
    <w:p>
      <w:pPr>
        <w:pStyle w:val="174"/>
        <w:numPr>
          <w:ilvl w:val="0"/>
          <w:numId w:val="51"/>
        </w:numPr>
      </w:pPr>
      <w:r>
        <w:rPr>
          <w:rFonts w:hint="eastAsia"/>
        </w:rPr>
        <w:t>现状生活水池（箱）材质非S31603不锈钢的，改造应采用设置S31603不锈钢水箱；已建的S30408 不锈钢水箱经专业评估合格后，可继续使用；</w:t>
      </w:r>
    </w:p>
    <w:p>
      <w:pPr>
        <w:pStyle w:val="174"/>
      </w:pPr>
      <w:r>
        <w:rPr>
          <w:rFonts w:hint="eastAsia"/>
        </w:rPr>
        <w:t>采用不锈钢水池（箱）的，水池（箱）以及与水箱连接部件、配件应使用S31603材料，应由厂家制作、现场组装；</w:t>
      </w:r>
    </w:p>
    <w:p>
      <w:pPr>
        <w:pStyle w:val="174"/>
      </w:pPr>
      <w:r>
        <w:rPr>
          <w:rFonts w:hint="eastAsia"/>
        </w:rPr>
        <w:t>不具备设置不锈钢水池（箱）条件的，可选用白色食品级瓷砖修复，勾缝剂材料必须满足GB/T 17219 要求。</w:t>
      </w:r>
    </w:p>
    <w:p>
      <w:pPr>
        <w:pStyle w:val="165"/>
      </w:pPr>
      <w:r>
        <w:rPr>
          <w:rFonts w:hint="eastAsia"/>
        </w:rPr>
        <w:t>取消生活和消防供水合用的屋顶水箱的生活供水功能时，应于水箱进水管处设置倒流防止器，并加装远传水表计量。</w:t>
      </w:r>
    </w:p>
    <w:p>
      <w:pPr>
        <w:pStyle w:val="165"/>
      </w:pPr>
      <w:r>
        <w:rPr>
          <w:rFonts w:hint="eastAsia"/>
        </w:rPr>
        <w:t>取消屋顶水箱后，应复核低位水池（箱）进水管管径是否满足最大设计流量要求。在供往用户公共管道的立管最高处设置自动排气阀，现状屋顶水箱生活出水管应与新建生活管道断开并封堵。</w:t>
      </w:r>
    </w:p>
    <w:p>
      <w:pPr>
        <w:pStyle w:val="105"/>
        <w:spacing w:before="156" w:after="156"/>
      </w:pPr>
      <w:bookmarkStart w:id="57" w:name="_Toc155974763"/>
      <w:r>
        <w:rPr>
          <w:rFonts w:hint="eastAsia"/>
        </w:rPr>
        <w:t>消毒</w:t>
      </w:r>
      <w:r>
        <w:t>与在线监测</w:t>
      </w:r>
      <w:bookmarkEnd w:id="57"/>
    </w:p>
    <w:p>
      <w:pPr>
        <w:pStyle w:val="165"/>
      </w:pPr>
      <w:r>
        <w:rPr>
          <w:rFonts w:hint="eastAsia"/>
        </w:rPr>
        <w:t>二次供水设施的水池（箱）应设置消毒设备，并宜同步安装。</w:t>
      </w:r>
    </w:p>
    <w:p>
      <w:pPr>
        <w:pStyle w:val="165"/>
      </w:pPr>
      <w:r>
        <w:rPr>
          <w:rFonts w:hint="eastAsia"/>
        </w:rPr>
        <w:t>消毒设备可选择臭氧发生器、紫外线消毒器、紫外光催化氧化设备和水箱自洁消毒器等，其设计、安装和使用应符合国家及行业现行标准、规范的规定。二次供水设施改造宜优先采用紫外线消毒器进行消毒。</w:t>
      </w:r>
    </w:p>
    <w:p>
      <w:pPr>
        <w:pStyle w:val="165"/>
      </w:pPr>
      <w:r>
        <w:rPr>
          <w:rFonts w:hint="eastAsia"/>
        </w:rPr>
        <w:t>采用臭氧消毒时，管网末梢水中臭氧残留浓度不应小于0.02</w:t>
      </w:r>
      <w:r>
        <w:t xml:space="preserve"> </w:t>
      </w:r>
      <w:r>
        <w:rPr>
          <w:rFonts w:hint="eastAsia"/>
        </w:rPr>
        <w:t>mg/L。臭氧发生器产生的臭氧应以负压方式投加到水中并应设置尾气消除装置。</w:t>
      </w:r>
    </w:p>
    <w:p>
      <w:pPr>
        <w:pStyle w:val="165"/>
      </w:pPr>
      <w:r>
        <w:rPr>
          <w:rFonts w:hint="eastAsia"/>
        </w:rPr>
        <w:t>紫外线消毒器应具备对紫外线照射强度的在线检测，并宜有自动清洗功能。</w:t>
      </w:r>
    </w:p>
    <w:p>
      <w:pPr>
        <w:pStyle w:val="165"/>
      </w:pPr>
      <w:r>
        <w:rPr>
          <w:rFonts w:hint="eastAsia"/>
        </w:rPr>
        <w:t>水箱自洁消毒器宜外置。</w:t>
      </w:r>
    </w:p>
    <w:p>
      <w:pPr>
        <w:pStyle w:val="165"/>
      </w:pPr>
      <w:r>
        <w:rPr>
          <w:rFonts w:hint="eastAsia"/>
        </w:rPr>
        <w:t>二次供水设施应具有与监控运行相匹配的压力、流量、液位等检测仪表。</w:t>
      </w:r>
    </w:p>
    <w:p>
      <w:pPr>
        <w:pStyle w:val="165"/>
      </w:pPr>
      <w:r>
        <w:rPr>
          <w:rFonts w:hint="eastAsia"/>
        </w:rPr>
        <w:t>二次供水设施宜设置余氯（总氯）、pH 值、浊度等水质在线检测仪表。</w:t>
      </w:r>
    </w:p>
    <w:p>
      <w:pPr>
        <w:pStyle w:val="105"/>
        <w:spacing w:before="156" w:after="156"/>
      </w:pPr>
      <w:bookmarkStart w:id="58" w:name="_Toc155974764"/>
      <w:r>
        <w:rPr>
          <w:rFonts w:hint="eastAsia"/>
        </w:rPr>
        <w:t>管路系统及附属设施</w:t>
      </w:r>
      <w:bookmarkEnd w:id="58"/>
    </w:p>
    <w:p>
      <w:pPr>
        <w:pStyle w:val="165"/>
      </w:pPr>
      <w:r>
        <w:rPr>
          <w:rFonts w:hint="eastAsia"/>
        </w:rPr>
        <w:t>给水管道及附件中所用橡胶密封圈应为食品级橡胶材料，其卫生指标应符合GB 4806.1的规定。</w:t>
      </w:r>
    </w:p>
    <w:p>
      <w:pPr>
        <w:pStyle w:val="165"/>
      </w:pPr>
      <w:r>
        <w:rPr>
          <w:rFonts w:hint="eastAsia"/>
        </w:rPr>
        <w:t>室外埋地管网管径大于或等于100</w:t>
      </w:r>
      <w:r>
        <w:t xml:space="preserve"> </w:t>
      </w:r>
      <w:r>
        <w:rPr>
          <w:rFonts w:hint="eastAsia"/>
        </w:rPr>
        <w:t>mm时，应采用球墨铸铁管；管径小于100</w:t>
      </w:r>
      <w:r>
        <w:t xml:space="preserve"> </w:t>
      </w:r>
      <w:r>
        <w:rPr>
          <w:rFonts w:hint="eastAsia"/>
        </w:rPr>
        <w:t>mm时，应采用钢塑复合管、内衬不锈钢复合钢管及覆塑薄壁不锈钢管。明设管道宜采用S31603薄壁不锈钢管。</w:t>
      </w:r>
    </w:p>
    <w:p>
      <w:pPr>
        <w:pStyle w:val="165"/>
      </w:pPr>
      <w:r>
        <w:rPr>
          <w:rFonts w:hint="eastAsia"/>
        </w:rPr>
        <w:t>泵房内管道及管件宜采用S31603薄壁不锈钢，不应采用低于S30408的不锈钢材质。不锈钢管宜采用法兰连接和沟槽卡箍式连接，不得采取现场焊接方式，厂家制作、现场组装。</w:t>
      </w:r>
    </w:p>
    <w:p>
      <w:pPr>
        <w:pStyle w:val="165"/>
      </w:pPr>
      <w:r>
        <w:rPr>
          <w:rFonts w:hint="eastAsia"/>
        </w:rPr>
        <w:t>不锈钢阀门宜选用不锈钢硬密封闸阀、球阀。阀板应采用耐腐蚀性能不低于S30408不锈钢材料制作，阀杆应采用强度及耐腐蚀性能不低于20Cr13或6Cr18Ni9不锈钢材料制作。</w:t>
      </w:r>
    </w:p>
    <w:p>
      <w:pPr>
        <w:pStyle w:val="165"/>
      </w:pPr>
      <w:r>
        <w:rPr>
          <w:rFonts w:hint="eastAsia"/>
        </w:rPr>
        <w:t>每个泵房至少设置两条吸水管，吸水总管上靠主工作泵端应设置自动排气阀。</w:t>
      </w:r>
    </w:p>
    <w:p>
      <w:pPr>
        <w:pStyle w:val="165"/>
      </w:pPr>
      <w:r>
        <w:rPr>
          <w:rFonts w:hint="eastAsia"/>
        </w:rPr>
        <w:t>每台水泵的出水管上，应装设压力表、防倒流装置和阀门，应设置水锤消除装置。</w:t>
      </w:r>
    </w:p>
    <w:p>
      <w:pPr>
        <w:pStyle w:val="165"/>
      </w:pPr>
      <w:r>
        <w:rPr>
          <w:rFonts w:hint="eastAsia"/>
        </w:rPr>
        <w:t>水池进水总管应安装管段式电磁流量计或远传水表。</w:t>
      </w:r>
    </w:p>
    <w:p>
      <w:pPr>
        <w:pStyle w:val="165"/>
      </w:pPr>
      <w:r>
        <w:rPr>
          <w:rFonts w:hint="eastAsia"/>
        </w:rPr>
        <w:t>管路系统上应根据需要设置数据采集装置，并符合下列规定：</w:t>
      </w:r>
    </w:p>
    <w:p>
      <w:pPr>
        <w:pStyle w:val="174"/>
        <w:numPr>
          <w:ilvl w:val="0"/>
          <w:numId w:val="52"/>
        </w:numPr>
      </w:pPr>
      <w:r>
        <w:rPr>
          <w:rFonts w:hint="eastAsia"/>
        </w:rPr>
        <w:t>水泵出水总管上应设置压力变送器，控制柜宜设置多功能电量监测仪表等数据采集装置；</w:t>
      </w:r>
    </w:p>
    <w:p>
      <w:pPr>
        <w:pStyle w:val="174"/>
      </w:pPr>
      <w:r>
        <w:rPr>
          <w:rFonts w:hint="eastAsia"/>
        </w:rPr>
        <w:t>需设置水质在线仪表的，应在水池出水总管上设置消毒剂余量、</w:t>
      </w:r>
      <w:r>
        <w:t>p</w:t>
      </w:r>
      <w:r>
        <w:rPr>
          <w:rFonts w:hint="eastAsia"/>
        </w:rPr>
        <w:t>H 及浊度等在线数据采集装置；</w:t>
      </w:r>
    </w:p>
    <w:p>
      <w:pPr>
        <w:pStyle w:val="174"/>
      </w:pPr>
      <w:r>
        <w:rPr>
          <w:rFonts w:hint="eastAsia"/>
        </w:rPr>
        <w:t>监测仪表应具有现场显示功能，并可实现数据的实时采集和远程传输。数据根据实际需求，实时或间隔性传输至二次供水智能管理系统。</w:t>
      </w:r>
    </w:p>
    <w:p>
      <w:pPr>
        <w:pStyle w:val="165"/>
      </w:pPr>
      <w:r>
        <w:rPr>
          <w:rFonts w:hint="eastAsia"/>
        </w:rPr>
        <w:t>水质在线监测设备应综合考虑二次供水设施周边市政管网状况、所处位置、建设年代、供水规模、管材、流速、进水水质等，并根据“环保经济、科学合理、安全可靠、可持续发展”的原则设置。</w:t>
      </w:r>
    </w:p>
    <w:p>
      <w:pPr>
        <w:pStyle w:val="165"/>
      </w:pPr>
      <w:r>
        <w:rPr>
          <w:rFonts w:hint="eastAsia"/>
        </w:rPr>
        <w:t>水质在线监测设备的安装宜按照区域内小区数量10%</w:t>
      </w:r>
      <w:r>
        <w:rPr>
          <w:rFonts w:hint="eastAsia" w:hAnsi="宋体"/>
        </w:rPr>
        <w:t>～</w:t>
      </w:r>
      <w:r>
        <w:rPr>
          <w:rFonts w:hint="eastAsia"/>
        </w:rPr>
        <w:t>15%的比例有代表性地布置，水厂供水分界线、管网末梢以及管网水流速偏低区域应提高布置比例。</w:t>
      </w:r>
    </w:p>
    <w:p>
      <w:pPr>
        <w:pStyle w:val="165"/>
      </w:pPr>
      <w:r>
        <w:rPr>
          <w:rFonts w:hint="eastAsia"/>
        </w:rPr>
        <w:t>水池（箱）进水总管应安装电动阀门。</w:t>
      </w:r>
    </w:p>
    <w:p>
      <w:pPr>
        <w:pStyle w:val="165"/>
      </w:pPr>
      <w:r>
        <w:rPr>
          <w:rFonts w:hint="eastAsia"/>
        </w:rPr>
        <w:t>应采用多功能电量监测仪表，统计泵房内所有设备耗电量。</w:t>
      </w:r>
    </w:p>
    <w:p>
      <w:pPr>
        <w:pStyle w:val="165"/>
      </w:pPr>
      <w:r>
        <w:rPr>
          <w:rFonts w:hint="eastAsia"/>
        </w:rPr>
        <w:t>供水管道、阀门、分支应按照系统分区设置明显的区分标识和水流方向标识，标识间隔不宜大于 3m。</w:t>
      </w:r>
    </w:p>
    <w:p>
      <w:pPr>
        <w:pStyle w:val="165"/>
      </w:pPr>
      <w:r>
        <w:rPr>
          <w:rFonts w:hint="eastAsia"/>
        </w:rPr>
        <w:t>管道支架及螺栓等与管道直接连接的附配件应与管道材质保持一致，避免因材质不一致导致电离反应；当不能做到材质一致的，应设置胶垫、套管等加以隔离。</w:t>
      </w:r>
    </w:p>
    <w:p>
      <w:pPr>
        <w:pStyle w:val="165"/>
      </w:pPr>
      <w:r>
        <w:rPr>
          <w:rFonts w:hint="eastAsia"/>
        </w:rPr>
        <w:t>二次供水系统采用的管材、配件应符合现行产品标准的要求。</w:t>
      </w:r>
    </w:p>
    <w:p>
      <w:pPr>
        <w:pStyle w:val="165"/>
      </w:pPr>
      <w:r>
        <w:rPr>
          <w:rFonts w:hint="eastAsia"/>
        </w:rPr>
        <w:t>严禁使用国家明令淘汰的产品。</w:t>
      </w:r>
    </w:p>
    <w:p>
      <w:pPr>
        <w:pStyle w:val="165"/>
      </w:pPr>
      <w:r>
        <w:rPr>
          <w:rFonts w:hint="eastAsia"/>
        </w:rPr>
        <w:t>二次供水管道及附件应采用耐腐蚀、寿命长、水头损失小、安装方便、便于维护、卫生环保的产品，并应符合相应的压力等级。</w:t>
      </w:r>
    </w:p>
    <w:p>
      <w:pPr>
        <w:pStyle w:val="165"/>
      </w:pPr>
      <w:r>
        <w:rPr>
          <w:rFonts w:hint="eastAsia"/>
        </w:rPr>
        <w:t>新建工程及有条件的改（扩）建工程的配水立管或表后立管应敷设于建筑物内楼梯、管井、设备房等公共部位，因条件限制需敷设于建筑物外立面时，应有防晒隔热措施。当安装于公共管道坚井时每层应设检修门，并预留足够的维修空间。</w:t>
      </w:r>
    </w:p>
    <w:p>
      <w:pPr>
        <w:pStyle w:val="165"/>
      </w:pPr>
      <w:r>
        <w:rPr>
          <w:rFonts w:hint="eastAsia"/>
        </w:rPr>
        <w:t>阀门井盖的设计应符合国家</w:t>
      </w:r>
      <w:r>
        <w:t>有关</w:t>
      </w:r>
      <w:r>
        <w:rPr>
          <w:rFonts w:hint="eastAsia"/>
        </w:rPr>
        <w:t>规定。</w:t>
      </w:r>
    </w:p>
    <w:p>
      <w:pPr>
        <w:pStyle w:val="165"/>
      </w:pPr>
      <w:r>
        <w:rPr>
          <w:rFonts w:hint="eastAsia"/>
        </w:rPr>
        <w:t>阀门井盖应标明“公司名称”、“供水”及“电话”等字样， 并根据道路的设计载荷等级选择井盖的强度级别。井盖一般采用圆形球墨铸铁井盖，检查 口Φ600，井盖配套防坠网。</w:t>
      </w:r>
    </w:p>
    <w:p>
      <w:pPr>
        <w:pStyle w:val="105"/>
        <w:spacing w:before="156" w:after="156"/>
      </w:pPr>
      <w:bookmarkStart w:id="59" w:name="_Toc155974765"/>
      <w:r>
        <w:rPr>
          <w:rFonts w:hint="eastAsia"/>
        </w:rPr>
        <w:t>流量计及水表</w:t>
      </w:r>
      <w:bookmarkEnd w:id="59"/>
    </w:p>
    <w:p>
      <w:pPr>
        <w:pStyle w:val="165"/>
      </w:pPr>
      <w:r>
        <w:rPr>
          <w:rFonts w:hint="eastAsia"/>
        </w:rPr>
        <w:t>新装DN50mm及以上，DN300以下的水表宜采用电磁水表。DN300 以上（含 DN300）宜选用电磁流量计。计量仪表宜尽量明装，现场条件限制，可安装于埋地水表井内，但应设置防计量仪表浸泡的措施。</w:t>
      </w:r>
    </w:p>
    <w:p>
      <w:pPr>
        <w:pStyle w:val="165"/>
      </w:pPr>
      <w:r>
        <w:rPr>
          <w:rFonts w:hint="eastAsia"/>
        </w:rPr>
        <w:t>居民用户水表口径原则采用DN15或DN20；</w:t>
      </w:r>
    </w:p>
    <w:p>
      <w:pPr>
        <w:pStyle w:val="165"/>
      </w:pPr>
      <w:r>
        <w:rPr>
          <w:rFonts w:hint="eastAsia"/>
        </w:rPr>
        <w:t>根据用水性质、水量、时变化系数和水表设置环境，选择相应种类及口径的水表， 逐步推广使用智能水表。</w:t>
      </w:r>
    </w:p>
    <w:p>
      <w:pPr>
        <w:pStyle w:val="165"/>
      </w:pPr>
      <w:r>
        <w:rPr>
          <w:rFonts w:hint="eastAsia"/>
        </w:rPr>
        <w:t>特殊位置的水表井可埋地设置，井内应设置渗水孔。</w:t>
      </w:r>
    </w:p>
    <w:p>
      <w:pPr>
        <w:pStyle w:val="165"/>
      </w:pPr>
      <w:r>
        <w:rPr>
          <w:rFonts w:hint="eastAsia"/>
        </w:rPr>
        <w:t>不同给水系统应独立安装市政给水总表计量。</w:t>
      </w:r>
    </w:p>
    <w:p>
      <w:pPr>
        <w:pStyle w:val="165"/>
      </w:pPr>
      <w:r>
        <w:rPr>
          <w:rFonts w:hint="eastAsia"/>
        </w:rPr>
        <w:t>新建、扩建、改建的建筑应分表到户，分表到户应优先采用具有远传功能的智能水表。</w:t>
      </w:r>
    </w:p>
    <w:p>
      <w:pPr>
        <w:pStyle w:val="165"/>
      </w:pPr>
      <w:r>
        <w:rPr>
          <w:rFonts w:hint="eastAsia"/>
        </w:rPr>
        <w:t>水表安装位置应以准确计量、便于抄表、不易损坏及方便维护管理为原则。</w:t>
      </w:r>
    </w:p>
    <w:p>
      <w:pPr>
        <w:pStyle w:val="165"/>
      </w:pPr>
      <w:r>
        <w:rPr>
          <w:rFonts w:hint="eastAsia"/>
        </w:rPr>
        <w:t>高层建筑入户水表应设置于管道井（水表井）中，必须符合安全抄表及检修的原则。</w:t>
      </w:r>
    </w:p>
    <w:p>
      <w:pPr>
        <w:pStyle w:val="165"/>
      </w:pPr>
      <w:r>
        <w:rPr>
          <w:rFonts w:hint="eastAsia"/>
        </w:rPr>
        <w:t>建筑消防水池（箱）由生活给水系统补水时，应在水池（箱）进水管设置用户水表。</w:t>
      </w:r>
    </w:p>
    <w:p>
      <w:pPr>
        <w:pStyle w:val="165"/>
      </w:pPr>
      <w:r>
        <w:rPr>
          <w:rFonts w:hint="eastAsia"/>
        </w:rPr>
        <w:t>注册水表应在建筑物的首层或给水管道井（水表井）内集中设置。</w:t>
      </w:r>
    </w:p>
    <w:p>
      <w:pPr>
        <w:pStyle w:val="165"/>
      </w:pPr>
      <w:r>
        <w:rPr>
          <w:rFonts w:hint="eastAsia"/>
        </w:rPr>
        <w:t>新建、改建居民住宅各公共卫生清洁用水、消防用水、居住小区绿化浇灌等非居民生活用水需从生活给水管取水时应单独设置用户水表。</w:t>
      </w:r>
    </w:p>
    <w:p>
      <w:pPr>
        <w:pStyle w:val="165"/>
      </w:pPr>
      <w:r>
        <w:rPr>
          <w:rFonts w:hint="eastAsia"/>
        </w:rPr>
        <w:t>入户水表组应由（不仅限于）下列附件依次串联组成：表前阀门、表前直管段、水表、表后直管段、止回阀、表后阀门。</w:t>
      </w:r>
    </w:p>
    <w:p>
      <w:pPr>
        <w:pStyle w:val="165"/>
      </w:pPr>
      <w:r>
        <w:rPr>
          <w:rFonts w:hint="eastAsia"/>
        </w:rPr>
        <w:t>表前阀门前宜安装伸缩节（活接）。</w:t>
      </w:r>
    </w:p>
    <w:p>
      <w:pPr>
        <w:pStyle w:val="165"/>
      </w:pPr>
      <w:r>
        <w:rPr>
          <w:rFonts w:hint="eastAsia"/>
        </w:rPr>
        <w:t>水表的表前直管段长度应不小于10</w:t>
      </w:r>
      <w:r>
        <w:t xml:space="preserve"> </w:t>
      </w:r>
      <w:r>
        <w:rPr>
          <w:rFonts w:hint="eastAsia"/>
        </w:rPr>
        <w:t>D，表后直管段的长度应不小于5</w:t>
      </w:r>
      <w:r>
        <w:t xml:space="preserve"> </w:t>
      </w:r>
      <w:r>
        <w:rPr>
          <w:rFonts w:hint="eastAsia"/>
        </w:rPr>
        <w:t>D，D为水表口径；若水表生产厂家有注明可按厂家要求适当调整。</w:t>
      </w:r>
    </w:p>
    <w:p>
      <w:pPr>
        <w:pStyle w:val="165"/>
      </w:pPr>
      <w:r>
        <w:rPr>
          <w:rFonts w:hint="eastAsia"/>
        </w:rPr>
        <w:t>水表质量及技术要求应符合</w:t>
      </w:r>
      <w:r>
        <w:t>下列要求：</w:t>
      </w:r>
    </w:p>
    <w:p>
      <w:pPr>
        <w:pStyle w:val="132"/>
      </w:pPr>
      <w:r>
        <w:rPr>
          <w:rFonts w:hint="eastAsia"/>
        </w:rPr>
        <w:t>水表质量及技术要求应符合 GB/T 778.1要求；</w:t>
      </w:r>
    </w:p>
    <w:p>
      <w:pPr>
        <w:pStyle w:val="132"/>
      </w:pPr>
      <w:r>
        <w:rPr>
          <w:rFonts w:hint="eastAsia"/>
        </w:rPr>
        <w:t>生产厂家必须具有制造计量器具许可证（CNC）和生产许可证（XK）标志，水表涉水部件须取得符合国家生活饮用水卫生标准的证明；</w:t>
      </w:r>
    </w:p>
    <w:p>
      <w:pPr>
        <w:pStyle w:val="132"/>
      </w:pPr>
      <w:r>
        <w:rPr>
          <w:rFonts w:hint="eastAsia"/>
        </w:rPr>
        <w:t>水表材料应符合 GB/T 778.1的</w:t>
      </w:r>
      <w:r>
        <w:t>要求</w:t>
      </w:r>
      <w:r>
        <w:rPr>
          <w:rFonts w:hint="eastAsia"/>
        </w:rPr>
        <w:t>；</w:t>
      </w:r>
    </w:p>
    <w:p>
      <w:pPr>
        <w:pStyle w:val="132"/>
      </w:pPr>
      <w:r>
        <w:rPr>
          <w:rFonts w:hint="eastAsia"/>
        </w:rPr>
        <w:t>水表在安装使用前必须经法定检定机构或计量行政部门授权的检定机构检定合格，并贴有强检合格证标志。</w:t>
      </w:r>
    </w:p>
    <w:p>
      <w:pPr>
        <w:pStyle w:val="165"/>
      </w:pPr>
      <w:r>
        <w:rPr>
          <w:rFonts w:hint="eastAsia"/>
        </w:rPr>
        <w:t>水表尺寸宜按表</w:t>
      </w:r>
      <w:r>
        <w:t>2</w:t>
      </w:r>
      <w:r>
        <w:rPr>
          <w:rFonts w:hint="eastAsia"/>
        </w:rPr>
        <w:t>新标准推荐尺寸选用。</w:t>
      </w:r>
    </w:p>
    <w:p>
      <w:pPr>
        <w:pStyle w:val="112"/>
        <w:spacing w:before="156" w:after="156"/>
      </w:pPr>
      <w:r>
        <w:rPr>
          <w:rFonts w:hint="eastAsia"/>
        </w:rPr>
        <w:t>水表</w:t>
      </w:r>
      <w:r>
        <w:t>新标准推荐尺寸</w:t>
      </w:r>
    </w:p>
    <w:p>
      <w:pPr>
        <w:pStyle w:val="56"/>
        <w:ind w:firstLine="420"/>
      </w:pPr>
    </w:p>
    <w:p>
      <w:pPr>
        <w:pStyle w:val="56"/>
        <w:ind w:firstLine="420"/>
      </w:pPr>
    </w:p>
    <w:tbl>
      <w:tblPr>
        <w:tblStyle w:val="33"/>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333"/>
        <w:gridCol w:w="2334"/>
        <w:gridCol w:w="2333"/>
        <w:gridCol w:w="23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2333" w:type="dxa"/>
            <w:tcBorders>
              <w:top w:val="single" w:color="auto" w:sz="8" w:space="0"/>
              <w:bottom w:val="single" w:color="auto" w:sz="8" w:space="0"/>
            </w:tcBorders>
            <w:shd w:val="clear" w:color="auto" w:fill="auto"/>
            <w:vAlign w:val="center"/>
          </w:tcPr>
          <w:p>
            <w:pPr>
              <w:pStyle w:val="178"/>
            </w:pPr>
            <w:r>
              <w:rPr>
                <w:rFonts w:hint="eastAsia"/>
              </w:rPr>
              <w:t>口径（mm）</w:t>
            </w:r>
          </w:p>
        </w:tc>
        <w:tc>
          <w:tcPr>
            <w:tcW w:w="2334" w:type="dxa"/>
            <w:tcBorders>
              <w:top w:val="single" w:color="auto" w:sz="8" w:space="0"/>
              <w:bottom w:val="single" w:color="auto" w:sz="8" w:space="0"/>
            </w:tcBorders>
            <w:shd w:val="clear" w:color="auto" w:fill="auto"/>
            <w:vAlign w:val="center"/>
          </w:tcPr>
          <w:p>
            <w:pPr>
              <w:pStyle w:val="178"/>
            </w:pPr>
            <w:r>
              <w:rPr>
                <w:rFonts w:hint="eastAsia"/>
              </w:rPr>
              <w:t>长（mm）</w:t>
            </w:r>
          </w:p>
        </w:tc>
        <w:tc>
          <w:tcPr>
            <w:tcW w:w="2333" w:type="dxa"/>
            <w:tcBorders>
              <w:top w:val="single" w:color="auto" w:sz="8" w:space="0"/>
              <w:bottom w:val="single" w:color="auto" w:sz="8" w:space="0"/>
            </w:tcBorders>
            <w:shd w:val="clear" w:color="auto" w:fill="auto"/>
            <w:vAlign w:val="center"/>
          </w:tcPr>
          <w:p>
            <w:pPr>
              <w:pStyle w:val="178"/>
            </w:pPr>
            <w:r>
              <w:rPr>
                <w:rFonts w:hint="eastAsia"/>
              </w:rPr>
              <w:t>宽（mm）</w:t>
            </w:r>
          </w:p>
        </w:tc>
        <w:tc>
          <w:tcPr>
            <w:tcW w:w="2334" w:type="dxa"/>
            <w:tcBorders>
              <w:top w:val="single" w:color="auto" w:sz="8" w:space="0"/>
              <w:bottom w:val="single" w:color="auto" w:sz="8" w:space="0"/>
            </w:tcBorders>
            <w:shd w:val="clear" w:color="auto" w:fill="auto"/>
            <w:vAlign w:val="center"/>
          </w:tcPr>
          <w:p>
            <w:pPr>
              <w:pStyle w:val="178"/>
            </w:pPr>
            <w:r>
              <w:rPr>
                <w:rFonts w:hint="eastAsia"/>
              </w:rPr>
              <w:t>高（mm）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333" w:type="dxa"/>
            <w:tcBorders>
              <w:top w:val="single" w:color="auto" w:sz="8" w:space="0"/>
            </w:tcBorders>
            <w:shd w:val="clear" w:color="auto" w:fill="auto"/>
            <w:vAlign w:val="center"/>
          </w:tcPr>
          <w:p>
            <w:pPr>
              <w:pStyle w:val="178"/>
            </w:pPr>
            <w:r>
              <w:rPr>
                <w:rFonts w:hint="eastAsia"/>
              </w:rPr>
              <w:t>1</w:t>
            </w:r>
            <w:r>
              <w:t>5</w:t>
            </w:r>
          </w:p>
        </w:tc>
        <w:tc>
          <w:tcPr>
            <w:tcW w:w="2334" w:type="dxa"/>
            <w:tcBorders>
              <w:top w:val="single" w:color="auto" w:sz="8" w:space="0"/>
            </w:tcBorders>
            <w:shd w:val="clear" w:color="auto" w:fill="auto"/>
            <w:vAlign w:val="center"/>
          </w:tcPr>
          <w:p>
            <w:pPr>
              <w:pStyle w:val="178"/>
            </w:pPr>
            <w:r>
              <w:rPr>
                <w:rFonts w:hint="eastAsia"/>
              </w:rPr>
              <w:t>165</w:t>
            </w:r>
          </w:p>
        </w:tc>
        <w:tc>
          <w:tcPr>
            <w:tcW w:w="2333" w:type="dxa"/>
            <w:tcBorders>
              <w:top w:val="single" w:color="auto" w:sz="8" w:space="0"/>
            </w:tcBorders>
            <w:shd w:val="clear" w:color="auto" w:fill="auto"/>
            <w:vAlign w:val="center"/>
          </w:tcPr>
          <w:p>
            <w:pPr>
              <w:pStyle w:val="178"/>
            </w:pPr>
            <w:r>
              <w:rPr>
                <w:rFonts w:hint="eastAsia"/>
              </w:rPr>
              <w:t>98</w:t>
            </w:r>
          </w:p>
        </w:tc>
        <w:tc>
          <w:tcPr>
            <w:tcW w:w="2334" w:type="dxa"/>
            <w:tcBorders>
              <w:top w:val="single" w:color="auto" w:sz="8" w:space="0"/>
            </w:tcBorders>
            <w:shd w:val="clear" w:color="auto" w:fill="auto"/>
            <w:vAlign w:val="center"/>
          </w:tcPr>
          <w:p>
            <w:pPr>
              <w:pStyle w:val="178"/>
            </w:pPr>
            <w:r>
              <w:rPr>
                <w:rFonts w:hint="eastAsia"/>
              </w:rPr>
              <w:t>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333" w:type="dxa"/>
            <w:shd w:val="clear" w:color="auto" w:fill="auto"/>
            <w:vAlign w:val="center"/>
          </w:tcPr>
          <w:p>
            <w:pPr>
              <w:pStyle w:val="178"/>
            </w:pPr>
            <w:r>
              <w:rPr>
                <w:rFonts w:hint="eastAsia"/>
              </w:rPr>
              <w:t>2</w:t>
            </w:r>
            <w:r>
              <w:t>0</w:t>
            </w:r>
          </w:p>
        </w:tc>
        <w:tc>
          <w:tcPr>
            <w:tcW w:w="2334" w:type="dxa"/>
            <w:shd w:val="clear" w:color="auto" w:fill="auto"/>
            <w:vAlign w:val="center"/>
          </w:tcPr>
          <w:p>
            <w:pPr>
              <w:pStyle w:val="178"/>
            </w:pPr>
            <w:r>
              <w:rPr>
                <w:rFonts w:hint="eastAsia"/>
              </w:rPr>
              <w:t>195</w:t>
            </w:r>
          </w:p>
        </w:tc>
        <w:tc>
          <w:tcPr>
            <w:tcW w:w="2333" w:type="dxa"/>
            <w:shd w:val="clear" w:color="auto" w:fill="auto"/>
            <w:vAlign w:val="center"/>
          </w:tcPr>
          <w:p>
            <w:pPr>
              <w:pStyle w:val="178"/>
            </w:pPr>
            <w:r>
              <w:rPr>
                <w:rFonts w:hint="eastAsia"/>
              </w:rPr>
              <w:t>98</w:t>
            </w:r>
          </w:p>
        </w:tc>
        <w:tc>
          <w:tcPr>
            <w:tcW w:w="2334" w:type="dxa"/>
            <w:shd w:val="clear" w:color="auto" w:fill="auto"/>
            <w:vAlign w:val="center"/>
          </w:tcPr>
          <w:p>
            <w:pPr>
              <w:pStyle w:val="178"/>
            </w:pPr>
            <w:r>
              <w:rPr>
                <w:rFonts w:hint="eastAsia"/>
              </w:rPr>
              <w:t>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334" w:type="dxa"/>
            <w:gridSpan w:val="4"/>
            <w:shd w:val="clear" w:color="auto" w:fill="auto"/>
            <w:vAlign w:val="center"/>
          </w:tcPr>
          <w:p>
            <w:pPr>
              <w:pStyle w:val="180"/>
            </w:pPr>
            <w:r>
              <w:rPr>
                <w:rFonts w:hint="eastAsia"/>
              </w:rPr>
              <w:t>同类不同厂家的水表可实现互换。</w:t>
            </w:r>
          </w:p>
          <w:p>
            <w:pPr>
              <w:pStyle w:val="180"/>
            </w:pPr>
            <w:r>
              <w:rPr>
                <w:rFonts w:hint="eastAsia"/>
              </w:rPr>
              <w:t>水表始动流量：DN15口径小于6 L/h，DN20口径小于10 L/h。</w:t>
            </w:r>
          </w:p>
          <w:p>
            <w:pPr>
              <w:pStyle w:val="180"/>
            </w:pPr>
            <w:r>
              <w:rPr>
                <w:rFonts w:hint="eastAsia"/>
              </w:rPr>
              <w:t>量程比：Q3/Q1≥80。</w:t>
            </w:r>
          </w:p>
          <w:p>
            <w:pPr>
              <w:pStyle w:val="178"/>
            </w:pPr>
          </w:p>
        </w:tc>
      </w:tr>
    </w:tbl>
    <w:p>
      <w:pPr>
        <w:pStyle w:val="105"/>
        <w:spacing w:before="156" w:after="156"/>
      </w:pPr>
      <w:bookmarkStart w:id="60" w:name="_Toc155974766"/>
      <w:r>
        <w:rPr>
          <w:rFonts w:hint="eastAsia"/>
        </w:rPr>
        <w:t>自控</w:t>
      </w:r>
      <w:bookmarkEnd w:id="60"/>
    </w:p>
    <w:p>
      <w:pPr>
        <w:pStyle w:val="165"/>
      </w:pPr>
      <w:r>
        <w:rPr>
          <w:rFonts w:hint="eastAsia"/>
        </w:rPr>
        <w:t>控制设备应按GB 50055的</w:t>
      </w:r>
      <w:r>
        <w:t>要求</w:t>
      </w:r>
      <w:r>
        <w:rPr>
          <w:rFonts w:hint="eastAsia"/>
        </w:rPr>
        <w:t>执行。电源防雷器和信号防雷器需符合GB/T 17702的规定。控制设备应兼容水泵电机一体式变频设备。</w:t>
      </w:r>
    </w:p>
    <w:p>
      <w:pPr>
        <w:pStyle w:val="165"/>
      </w:pPr>
      <w:r>
        <w:rPr>
          <w:rFonts w:hint="eastAsia"/>
        </w:rPr>
        <w:t>控制设备应符合以下规定：</w:t>
      </w:r>
    </w:p>
    <w:p>
      <w:pPr>
        <w:pStyle w:val="174"/>
        <w:numPr>
          <w:ilvl w:val="0"/>
          <w:numId w:val="53"/>
        </w:numPr>
      </w:pPr>
      <w:r>
        <w:rPr>
          <w:rFonts w:hint="eastAsia"/>
        </w:rPr>
        <w:t>PLC智能控制系统：</w:t>
      </w:r>
    </w:p>
    <w:p>
      <w:pPr>
        <w:pStyle w:val="109"/>
      </w:pPr>
      <w:r>
        <w:rPr>
          <w:rFonts w:hint="eastAsia"/>
        </w:rPr>
        <w:t>PLC模块信号点须预留20%余量；控制柜内电子元器件布局、进出信号端子排序规则须保持一致；</w:t>
      </w:r>
    </w:p>
    <w:p>
      <w:pPr>
        <w:pStyle w:val="109"/>
      </w:pPr>
      <w:r>
        <w:rPr>
          <w:rFonts w:hint="eastAsia"/>
        </w:rPr>
        <w:t>泵房所选择PLC控制设备及相关I</w:t>
      </w:r>
      <w:r>
        <w:t>O</w:t>
      </w:r>
      <w:r>
        <w:rPr>
          <w:rFonts w:hint="eastAsia"/>
        </w:rPr>
        <w:t>模块必须统一，宜选取同一系列型号及品牌；CPU模块必须自带以太网口；开关量采用无源触点信号，模拟量采用 4</w:t>
      </w:r>
      <w:r>
        <w:t xml:space="preserve"> </w:t>
      </w:r>
      <w:r>
        <w:rPr>
          <w:rFonts w:hint="eastAsia"/>
        </w:rPr>
        <w:t>mA</w:t>
      </w:r>
      <w:r>
        <w:rPr>
          <w:rFonts w:hint="eastAsia" w:hAnsi="宋体"/>
        </w:rPr>
        <w:t>～</w:t>
      </w:r>
      <w:r>
        <w:rPr>
          <w:rFonts w:hint="eastAsia"/>
        </w:rPr>
        <w:t>20</w:t>
      </w:r>
      <w:r>
        <w:t xml:space="preserve"> </w:t>
      </w:r>
      <w:r>
        <w:rPr>
          <w:rFonts w:hint="eastAsia"/>
        </w:rPr>
        <w:t>mA电流信号；</w:t>
      </w:r>
    </w:p>
    <w:p>
      <w:pPr>
        <w:pStyle w:val="109"/>
      </w:pPr>
      <w:r>
        <w:rPr>
          <w:rFonts w:hint="eastAsia"/>
        </w:rPr>
        <w:t>控制程序应有完整的中文注释；控制柜内连接线要有号码管，元器件应有中文标识，线号与标识要与图纸保持一致；</w:t>
      </w:r>
    </w:p>
    <w:p>
      <w:pPr>
        <w:pStyle w:val="109"/>
      </w:pPr>
      <w:r>
        <w:rPr>
          <w:rFonts w:hint="eastAsia"/>
        </w:rPr>
        <w:t>每个模拟量输入通道须配置信号防雷器，控制柜进线电源须配置电源防雷器；</w:t>
      </w:r>
    </w:p>
    <w:p>
      <w:pPr>
        <w:pStyle w:val="109"/>
      </w:pPr>
      <w:r>
        <w:rPr>
          <w:rFonts w:hint="eastAsia"/>
        </w:rPr>
        <w:t>设备泵组全自动运行，无人值守，具备停电后复电自动再启动功能，具有远程/就地控制切换功能，可实现设备的远程/就地启停功能；</w:t>
      </w:r>
    </w:p>
    <w:p>
      <w:pPr>
        <w:pStyle w:val="109"/>
      </w:pPr>
      <w:r>
        <w:rPr>
          <w:rFonts w:hint="eastAsia"/>
        </w:rPr>
        <w:t>泵组自动轮换功能：工作泵与非工作泵应按照设定时间自动轮换运行，做到先启先停；</w:t>
      </w:r>
    </w:p>
    <w:p>
      <w:pPr>
        <w:pStyle w:val="109"/>
      </w:pPr>
      <w:r>
        <w:rPr>
          <w:rFonts w:hint="eastAsia"/>
        </w:rPr>
        <w:t>自动压力控制功能：第一台水泵变频启动达到额定的频率，但设备出水口压力仍未稳定达到设定值时，按照等待队列启动第二台水泵，以此类推；当压力稳定后，应自动进行能耗判别选择合适的水泵运行台数；</w:t>
      </w:r>
    </w:p>
    <w:p>
      <w:pPr>
        <w:pStyle w:val="109"/>
      </w:pPr>
      <w:r>
        <w:rPr>
          <w:rFonts w:hint="eastAsia"/>
        </w:rPr>
        <w:t>泵房建设完成后，数据采集与监视控制系统应实现对泵房全部数据的监控。</w:t>
      </w:r>
    </w:p>
    <w:p>
      <w:pPr>
        <w:pStyle w:val="174"/>
        <w:numPr>
          <w:ilvl w:val="0"/>
          <w:numId w:val="53"/>
        </w:numPr>
      </w:pPr>
      <w:r>
        <w:rPr>
          <w:rFonts w:hint="eastAsia"/>
        </w:rPr>
        <w:t>变频器：变频调速水泵宜采用一对一控制，水泵计控/就地、运行、启/停、频率输入/输出采用硬接点控制方式，变频器其他信号采用通讯方式读取至PLC；</w:t>
      </w:r>
    </w:p>
    <w:p>
      <w:pPr>
        <w:pStyle w:val="174"/>
      </w:pPr>
      <w:r>
        <w:rPr>
          <w:rFonts w:hint="eastAsia"/>
        </w:rPr>
        <w:t>工业交换机：根据现场实际情况配置光口、电口数量；</w:t>
      </w:r>
    </w:p>
    <w:p>
      <w:pPr>
        <w:pStyle w:val="174"/>
      </w:pPr>
      <w:r>
        <w:rPr>
          <w:rFonts w:hint="eastAsia"/>
        </w:rPr>
        <w:t>触摸屏：选用9寸、分辨率不低于924*600触摸屏，应支持以太网通讯方式，能够查询显示控制系统相关参数（设定压力，实际压力，电流，电压，频率等），并能对水泵启停、供水压力、水泵频率进行修改设置，同时具有声光报警功能；</w:t>
      </w:r>
    </w:p>
    <w:p>
      <w:pPr>
        <w:pStyle w:val="174"/>
      </w:pPr>
      <w:r>
        <w:rPr>
          <w:rFonts w:hint="eastAsia"/>
        </w:rPr>
        <w:t>应有过载、短路、过压、过热、缺水、传感器短线、失压保护等故障报警及自动保护功能；对可恢复的故障应能自动或手动消除，恢复正常运行；</w:t>
      </w:r>
    </w:p>
    <w:p>
      <w:pPr>
        <w:pStyle w:val="165"/>
      </w:pPr>
      <w:r>
        <w:rPr>
          <w:rFonts w:hint="eastAsia"/>
        </w:rPr>
        <w:t>电控与保护应符合下列规定：</w:t>
      </w:r>
    </w:p>
    <w:p>
      <w:pPr>
        <w:pStyle w:val="174"/>
        <w:numPr>
          <w:ilvl w:val="0"/>
          <w:numId w:val="54"/>
        </w:numPr>
      </w:pPr>
      <w:r>
        <w:rPr>
          <w:rFonts w:hint="eastAsia"/>
        </w:rPr>
        <w:t>电源应满足设备的安全运行，宜采用双电源或双回路供电方式；</w:t>
      </w:r>
    </w:p>
    <w:p>
      <w:pPr>
        <w:pStyle w:val="174"/>
      </w:pPr>
      <w:r>
        <w:rPr>
          <w:rFonts w:hint="eastAsia"/>
        </w:rPr>
        <w:t>泵房应设置地面积水报警装置并与电气控制系统和排水系统联动；</w:t>
      </w:r>
    </w:p>
    <w:p>
      <w:pPr>
        <w:pStyle w:val="174"/>
      </w:pPr>
      <w:r>
        <w:rPr>
          <w:rFonts w:hint="eastAsia"/>
        </w:rPr>
        <w:t>设备应有可靠的安全接地保护。</w:t>
      </w:r>
    </w:p>
    <w:p>
      <w:pPr>
        <w:pStyle w:val="165"/>
      </w:pPr>
      <w:r>
        <w:rPr>
          <w:rFonts w:hint="eastAsia"/>
        </w:rPr>
        <w:t>水池（箱）应实现以下功能：</w:t>
      </w:r>
    </w:p>
    <w:p>
      <w:pPr>
        <w:pStyle w:val="174"/>
        <w:numPr>
          <w:ilvl w:val="0"/>
          <w:numId w:val="55"/>
        </w:numPr>
      </w:pPr>
      <w:r>
        <w:rPr>
          <w:rFonts w:hint="eastAsia"/>
        </w:rPr>
        <w:t>进水装置应有电气控制功能；</w:t>
      </w:r>
    </w:p>
    <w:p>
      <w:pPr>
        <w:pStyle w:val="174"/>
      </w:pPr>
      <w:r>
        <w:rPr>
          <w:rFonts w:hint="eastAsia"/>
        </w:rPr>
        <w:t>水池出现低液位时，能自动停泵和报警；</w:t>
      </w:r>
    </w:p>
    <w:p>
      <w:pPr>
        <w:pStyle w:val="174"/>
      </w:pPr>
      <w:r>
        <w:rPr>
          <w:rFonts w:hint="eastAsia"/>
        </w:rPr>
        <w:t>出现溢流液位时，能自动关闭进水电动阀门和报警。</w:t>
      </w:r>
    </w:p>
    <w:p>
      <w:pPr>
        <w:pStyle w:val="165"/>
      </w:pPr>
      <w:r>
        <w:rPr>
          <w:rFonts w:hint="eastAsia"/>
        </w:rPr>
        <w:t>二次供水设备应配备完善的自控系统，能根据人为设定值使泵组自动切换运行，满足用户用水需求，同时可实时监测泵组的工作状态、电机电流、电压、运行频率、耗电量、水箱液位、进水箱实时流量和累计流量、进水箱压力、泵后供水压力、水质情况等参数。</w:t>
      </w:r>
    </w:p>
    <w:p>
      <w:pPr>
        <w:pStyle w:val="165"/>
      </w:pPr>
      <w:r>
        <w:rPr>
          <w:rFonts w:hint="eastAsia"/>
        </w:rPr>
        <w:t>自控系统应实现远程监控和控制功能，管理人员可通过手机或电脑实时查看供水设备的运行状态，必要时可在上位机处可实现远程控制功能。</w:t>
      </w:r>
    </w:p>
    <w:p>
      <w:pPr>
        <w:pStyle w:val="165"/>
      </w:pPr>
      <w:r>
        <w:rPr>
          <w:rFonts w:hint="eastAsia"/>
        </w:rPr>
        <w:t>自控系统应配置与上位机进行数据交互的传输模块或接口，支持Modbus、Ethernet/IP、OPC等主流通讯协议。</w:t>
      </w:r>
    </w:p>
    <w:p>
      <w:pPr>
        <w:pStyle w:val="104"/>
        <w:spacing w:before="312" w:after="312"/>
      </w:pPr>
      <w:bookmarkStart w:id="61" w:name="_Toc155974767"/>
      <w:r>
        <w:rPr>
          <w:rFonts w:hint="eastAsia"/>
        </w:rPr>
        <w:t>管理系统与安防</w:t>
      </w:r>
      <w:bookmarkEnd w:id="61"/>
    </w:p>
    <w:p>
      <w:pPr>
        <w:pStyle w:val="105"/>
        <w:spacing w:before="156" w:after="156"/>
      </w:pPr>
      <w:bookmarkStart w:id="62" w:name="_Toc155974768"/>
      <w:r>
        <w:rPr>
          <w:rFonts w:hint="eastAsia"/>
        </w:rPr>
        <w:t>一般规定</w:t>
      </w:r>
      <w:bookmarkEnd w:id="62"/>
    </w:p>
    <w:p>
      <w:pPr>
        <w:pStyle w:val="165"/>
      </w:pPr>
      <w:r>
        <w:rPr>
          <w:rFonts w:hint="eastAsia"/>
        </w:rPr>
        <w:t>二次供水信息管理系统应利用通信网络集成泵房自动化控制数据采集与监视控制系统、安防视频系统和门禁系统等，通过电脑端及移动端实现数据采集和监控、设备运行维护以及系统管理的自动化、信息化，并能够通过数据建模分析优化运行管理流程。</w:t>
      </w:r>
    </w:p>
    <w:p>
      <w:pPr>
        <w:pStyle w:val="165"/>
      </w:pPr>
      <w:r>
        <w:rPr>
          <w:rFonts w:hint="eastAsia"/>
        </w:rPr>
        <w:t xml:space="preserve"> 通信网络应单独设置，实现数据的可靠传输。应采用网络防火墙、病毒防护和VPN等技术手段保证网络安全。</w:t>
      </w:r>
    </w:p>
    <w:p>
      <w:pPr>
        <w:pStyle w:val="165"/>
      </w:pPr>
      <w:r>
        <w:rPr>
          <w:rFonts w:hint="eastAsia"/>
        </w:rPr>
        <w:t>应采用设备硬件冗余、数据库系统冗余、应用系统冗余等技术手段保证系统稳定运行。</w:t>
      </w:r>
    </w:p>
    <w:p>
      <w:pPr>
        <w:pStyle w:val="165"/>
      </w:pPr>
      <w:r>
        <w:rPr>
          <w:rFonts w:hint="eastAsia"/>
        </w:rPr>
        <w:t>系统应提供标准的PC端及移动端二次开发接口，接口内容包括视频浏览、回放、云台控制、对讲、录制、报警等，接口提供的视频要能在各种主流浏览器播放，系统应具备单点登录集成及功能界面集成功能。</w:t>
      </w:r>
    </w:p>
    <w:p>
      <w:pPr>
        <w:pStyle w:val="105"/>
        <w:spacing w:before="156" w:after="156"/>
      </w:pPr>
      <w:bookmarkStart w:id="63" w:name="_Toc155974769"/>
      <w:bookmarkStart w:id="64" w:name="_Toc3821009"/>
      <w:bookmarkStart w:id="65" w:name="_Toc513039185"/>
      <w:bookmarkStart w:id="66" w:name="_Toc15589"/>
      <w:bookmarkStart w:id="67" w:name="_Toc37687869"/>
      <w:bookmarkStart w:id="68" w:name="_Toc524357171"/>
      <w:bookmarkStart w:id="69" w:name="_Toc590"/>
      <w:r>
        <w:rPr>
          <w:rFonts w:hint="eastAsia"/>
        </w:rPr>
        <w:t>安防系统</w:t>
      </w:r>
      <w:bookmarkEnd w:id="63"/>
    </w:p>
    <w:p>
      <w:pPr>
        <w:pStyle w:val="165"/>
      </w:pPr>
      <w:r>
        <w:rPr>
          <w:rFonts w:hint="eastAsia"/>
        </w:rPr>
        <w:t>应采用低照度、可远控以及不低于200万像素的球机摄像头。</w:t>
      </w:r>
    </w:p>
    <w:p>
      <w:pPr>
        <w:pStyle w:val="165"/>
      </w:pPr>
      <w:r>
        <w:rPr>
          <w:rFonts w:hint="eastAsia"/>
        </w:rPr>
        <w:t>支持对特定场景（人孔）进行布防，场景因非授权人员进入泵房时，触发入侵报警，并在二次供水管理平台中弹出现场画面。</w:t>
      </w:r>
    </w:p>
    <w:p>
      <w:pPr>
        <w:pStyle w:val="165"/>
      </w:pPr>
      <w:r>
        <w:rPr>
          <w:rFonts w:hint="eastAsia"/>
        </w:rPr>
        <w:t>具备声光报警功能，声光报警装置引至泵房外。</w:t>
      </w:r>
    </w:p>
    <w:p>
      <w:pPr>
        <w:pStyle w:val="165"/>
      </w:pPr>
      <w:r>
        <w:rPr>
          <w:rFonts w:hint="eastAsia"/>
        </w:rPr>
        <w:t>系统应具有视频追溯功能，正常监控数据须滚动保存1个月。入侵报警发生后，系统应将自报警前30</w:t>
      </w:r>
      <w:r>
        <w:t xml:space="preserve"> </w:t>
      </w:r>
      <w:r>
        <w:rPr>
          <w:rFonts w:hint="eastAsia"/>
        </w:rPr>
        <w:t>s至报警结束的视频图像自动单独存放在泵房本地存储系统，同时上传至中央监控中心进行保存。</w:t>
      </w:r>
    </w:p>
    <w:p>
      <w:pPr>
        <w:pStyle w:val="165"/>
      </w:pPr>
      <w:r>
        <w:rPr>
          <w:rFonts w:hint="eastAsia"/>
        </w:rPr>
        <w:t>视频系统应具备人数统计、行为分析的功能。</w:t>
      </w:r>
    </w:p>
    <w:p>
      <w:pPr>
        <w:pStyle w:val="165"/>
      </w:pPr>
      <w:r>
        <w:rPr>
          <w:rFonts w:hint="eastAsia"/>
        </w:rPr>
        <w:t>实现监控中心与各泵房双向对讲通话功能。</w:t>
      </w:r>
    </w:p>
    <w:p>
      <w:pPr>
        <w:pStyle w:val="165"/>
      </w:pPr>
      <w:r>
        <w:rPr>
          <w:rFonts w:hint="eastAsia"/>
        </w:rPr>
        <w:t>泵房应设置独立的脸部识别与指纹门禁系统，可记录人员信息和开启门禁时间，进行图像抓拍，并上传至二次供水管理平台中。</w:t>
      </w:r>
    </w:p>
    <w:p>
      <w:pPr>
        <w:pStyle w:val="165"/>
      </w:pPr>
      <w:r>
        <w:rPr>
          <w:rFonts w:hint="eastAsia"/>
        </w:rPr>
        <w:t>视频质量诊断服务器应定期对摄像头是否损坏及图像质量等进行诊断，诊断结果能以报表、图表等多种形式呈现并实现同步提醒。</w:t>
      </w:r>
    </w:p>
    <w:p>
      <w:pPr>
        <w:pStyle w:val="165"/>
      </w:pPr>
      <w:r>
        <w:rPr>
          <w:rFonts w:hint="eastAsia"/>
        </w:rPr>
        <w:t>泵房现场视频应能清晰显示在二次供水管理平台中。视频安防系统的防雷与接地应符合GB 50347、GB 50348、GB 50174 及GB 50343 相关条款规定。</w:t>
      </w:r>
    </w:p>
    <w:p>
      <w:pPr>
        <w:pStyle w:val="105"/>
        <w:spacing w:before="156" w:after="156"/>
      </w:pPr>
      <w:bookmarkStart w:id="70" w:name="_Toc155974770"/>
      <w:r>
        <w:t>数据采集与控制系统</w:t>
      </w:r>
      <w:bookmarkEnd w:id="64"/>
      <w:bookmarkEnd w:id="65"/>
      <w:bookmarkEnd w:id="66"/>
      <w:bookmarkEnd w:id="67"/>
      <w:bookmarkEnd w:id="68"/>
      <w:bookmarkEnd w:id="69"/>
      <w:bookmarkEnd w:id="70"/>
    </w:p>
    <w:p>
      <w:pPr>
        <w:pStyle w:val="165"/>
      </w:pPr>
      <w:r>
        <w:t>应实现</w:t>
      </w:r>
      <w:r>
        <w:rPr>
          <w:rFonts w:hint="eastAsia"/>
        </w:rPr>
        <w:t>二次供水</w:t>
      </w:r>
      <w:r>
        <w:t>设施运行数据及视频信息的自动采集、传输监控、预警报警、远程控制、存储备份、统计分析等功能，并应具备数据信息的容错、判错功能。</w:t>
      </w:r>
    </w:p>
    <w:p>
      <w:pPr>
        <w:pStyle w:val="165"/>
      </w:pPr>
      <w:r>
        <w:rPr>
          <w:rFonts w:hint="eastAsia"/>
        </w:rPr>
        <w:t>可接入市面几乎所有品牌型号摄像头,摄像头需满足ONVIF全球通用协议或GB</w:t>
      </w:r>
      <w:r>
        <w:t>/T</w:t>
      </w:r>
      <w:r>
        <w:rPr>
          <w:rFonts w:hint="eastAsia"/>
        </w:rPr>
        <w:t xml:space="preserve"> 28181的</w:t>
      </w:r>
      <w:r>
        <w:t>规定</w:t>
      </w:r>
      <w:r>
        <w:rPr>
          <w:rFonts w:hint="eastAsia"/>
        </w:rPr>
        <w:t>；支持断网续传,即使离线，数据依旧可缓存；管理人员可使用U盘进行历史数据、报警数据、自控日志、系统日志的导出。</w:t>
      </w:r>
    </w:p>
    <w:p>
      <w:pPr>
        <w:pStyle w:val="165"/>
      </w:pPr>
      <w:r>
        <w:t>系统自动采集的数据信息主要包括：</w:t>
      </w:r>
    </w:p>
    <w:p>
      <w:pPr>
        <w:pStyle w:val="174"/>
        <w:numPr>
          <w:ilvl w:val="0"/>
          <w:numId w:val="56"/>
        </w:numPr>
      </w:pPr>
      <w:r>
        <w:t>水质信息，包括余氯、浊度、pH值等；</w:t>
      </w:r>
    </w:p>
    <w:p>
      <w:pPr>
        <w:pStyle w:val="174"/>
      </w:pPr>
      <w:r>
        <w:t>环境信息，包括温度、湿度、地面积水等；</w:t>
      </w:r>
    </w:p>
    <w:p>
      <w:pPr>
        <w:pStyle w:val="174"/>
      </w:pPr>
      <w:r>
        <w:t>设备信息，包括电流、电压、电量、温度等；</w:t>
      </w:r>
    </w:p>
    <w:p>
      <w:pPr>
        <w:pStyle w:val="174"/>
      </w:pPr>
      <w:r>
        <w:t>其他供水信息，包括进出水压力、进出水流量、水箱液位等。</w:t>
      </w:r>
    </w:p>
    <w:p>
      <w:pPr>
        <w:pStyle w:val="165"/>
      </w:pPr>
      <w:r>
        <w:t>系统应具备水压自动控制、水泵机组自动切换、集水坑自动排水、泵房水淹自动断电保护、压力和液位传感器故障自动识别等功能，并支持远程控制。</w:t>
      </w:r>
    </w:p>
    <w:p>
      <w:pPr>
        <w:pStyle w:val="165"/>
      </w:pPr>
      <w:r>
        <w:t>除应具备实时感知并存储水质信息、水压信息、流量信息、环境信息、设备信息、门禁信息等外，还应可与视频系统联动，以声光、短信息等方式进行报警，并能够传送报警视频、图片。</w:t>
      </w:r>
    </w:p>
    <w:p>
      <w:pPr>
        <w:pStyle w:val="165"/>
      </w:pPr>
      <w:r>
        <w:rPr>
          <w:rFonts w:hint="eastAsia"/>
        </w:rPr>
        <w:t>应支持接口，包括但不限于：≥1个WAN口，≥4个LAN口，支持modbus TCP/IP协议，≥58路DI，≥24路DO，≥12路AI，≥1个WAN，≥4个LAN口,≥5路RJ45网口，≥2路RS485接口。</w:t>
      </w:r>
    </w:p>
    <w:p>
      <w:pPr>
        <w:pStyle w:val="165"/>
      </w:pPr>
      <w:r>
        <w:rPr>
          <w:rFonts w:hint="eastAsia"/>
        </w:rPr>
        <w:t>应支持TLS或SSL数字证书，保证远程控制的安全性；内含丰富的诊断专家诊断库，发生异常后，可在泵房本地进行诊断并生成报警。支持泵房在离线状态下进行异常诊断。</w:t>
      </w:r>
    </w:p>
    <w:p>
      <w:pPr>
        <w:pStyle w:val="165"/>
      </w:pPr>
      <w:r>
        <w:rPr>
          <w:rFonts w:hint="eastAsia"/>
        </w:rPr>
        <w:t>宜支持OTA升级，通过OTA远程升级，用软件定义硬件，可灵活应对未来可能多变的场景要求。</w:t>
      </w:r>
    </w:p>
    <w:p>
      <w:pPr>
        <w:pStyle w:val="165"/>
      </w:pPr>
      <w:r>
        <w:rPr>
          <w:rFonts w:hint="eastAsia"/>
        </w:rPr>
        <w:t>防护等级应在IP55及以上。</w:t>
      </w:r>
    </w:p>
    <w:p>
      <w:pPr>
        <w:pStyle w:val="165"/>
      </w:pPr>
      <w:r>
        <w:rPr>
          <w:rFonts w:hint="eastAsia"/>
        </w:rPr>
        <w:t>耐盐雾性能应能在50g/L浓度的氯化钠溶液中48</w:t>
      </w:r>
      <w:r>
        <w:t xml:space="preserve"> </w:t>
      </w:r>
      <w:r>
        <w:rPr>
          <w:rFonts w:hint="eastAsia"/>
        </w:rPr>
        <w:t>h后，柜体外壳无明显腐蚀现象，无明显变形。</w:t>
      </w:r>
    </w:p>
    <w:p>
      <w:pPr>
        <w:pStyle w:val="105"/>
        <w:spacing w:before="156" w:after="156"/>
      </w:pPr>
      <w:bookmarkStart w:id="71" w:name="_Toc2725"/>
      <w:bookmarkStart w:id="72" w:name="_Toc3821010"/>
      <w:bookmarkStart w:id="73" w:name="_Toc155974771"/>
      <w:bookmarkStart w:id="74" w:name="_Toc524357172"/>
      <w:bookmarkStart w:id="75" w:name="_Toc37687870"/>
      <w:r>
        <w:t>运行维护管理系统</w:t>
      </w:r>
      <w:bookmarkEnd w:id="71"/>
      <w:bookmarkEnd w:id="72"/>
      <w:bookmarkEnd w:id="73"/>
      <w:bookmarkEnd w:id="74"/>
      <w:bookmarkEnd w:id="75"/>
    </w:p>
    <w:p>
      <w:pPr>
        <w:pStyle w:val="165"/>
      </w:pPr>
      <w:r>
        <w:t>应建立二次供水设施运行维护管理系统，对二次供水设施日常巡检、维护保养、设备维修、水池清洗等运行维护数据进行及时、准确、完整地记录。</w:t>
      </w:r>
    </w:p>
    <w:p>
      <w:pPr>
        <w:pStyle w:val="165"/>
      </w:pPr>
      <w:r>
        <w:t>应具备可视化用户界面，集成视频监控、设备维护管理、数据分析和报表统计等功能模块。</w:t>
      </w:r>
    </w:p>
    <w:p>
      <w:pPr>
        <w:pStyle w:val="165"/>
      </w:pPr>
      <w:r>
        <w:t>视频监控终端应具备对各泵房监控设备进行故障检测功能并支持远程巡检。</w:t>
      </w:r>
    </w:p>
    <w:p>
      <w:pPr>
        <w:pStyle w:val="165"/>
      </w:pPr>
      <w:r>
        <w:t>应基于运行维护管理系统对二次供水设施进行全生命周期的信息化管理，根据水泵、变频器等设备运行时间、运行状态、故障信息等数据，实现设备检修保养等操作信息的自动提醒功能，能自动生成设备维护、保养及维修工单。</w:t>
      </w:r>
    </w:p>
    <w:p>
      <w:pPr>
        <w:pStyle w:val="165"/>
      </w:pPr>
      <w:r>
        <w:t>应定期对各类生产数据进行统计分析，并根据数据分析成果优化二次加压设施的管控模式。</w:t>
      </w:r>
    </w:p>
    <w:p>
      <w:pPr>
        <w:pStyle w:val="165"/>
      </w:pPr>
      <w:r>
        <w:t>系统应具备关联业务系统的数据接口。</w:t>
      </w:r>
    </w:p>
    <w:p>
      <w:pPr>
        <w:pStyle w:val="104"/>
        <w:spacing w:before="312" w:after="312"/>
      </w:pPr>
      <w:bookmarkStart w:id="76" w:name="_Toc155974772"/>
      <w:r>
        <w:rPr>
          <w:rFonts w:hint="eastAsia"/>
        </w:rPr>
        <w:t>施工</w:t>
      </w:r>
      <w:r>
        <w:t>及安装</w:t>
      </w:r>
      <w:bookmarkEnd w:id="76"/>
    </w:p>
    <w:p>
      <w:pPr>
        <w:pStyle w:val="105"/>
        <w:spacing w:before="156" w:after="156"/>
      </w:pPr>
      <w:bookmarkStart w:id="77" w:name="_Toc155974773"/>
      <w:r>
        <w:rPr>
          <w:rFonts w:hint="eastAsia"/>
        </w:rPr>
        <w:t>一般</w:t>
      </w:r>
      <w:r>
        <w:t>规定</w:t>
      </w:r>
      <w:bookmarkEnd w:id="77"/>
    </w:p>
    <w:p>
      <w:pPr>
        <w:pStyle w:val="165"/>
      </w:pPr>
      <w:r>
        <w:rPr>
          <w:rFonts w:hint="eastAsia"/>
        </w:rPr>
        <w:t>工程施工应符合GB 50242有关规定，并按照施工图纸进行施工。</w:t>
      </w:r>
    </w:p>
    <w:p>
      <w:pPr>
        <w:pStyle w:val="165"/>
      </w:pPr>
      <w:r>
        <w:rPr>
          <w:rFonts w:hint="eastAsia"/>
        </w:rPr>
        <w:t>施工单位应按国家现行有关标准和经过施工图审查合格后的施工图纸施工。</w:t>
      </w:r>
    </w:p>
    <w:p>
      <w:pPr>
        <w:pStyle w:val="165"/>
      </w:pPr>
      <w:r>
        <w:rPr>
          <w:rFonts w:hint="eastAsia"/>
        </w:rPr>
        <w:t>施工力量、施工场地及施工机具，应具备安全施工条件。</w:t>
      </w:r>
    </w:p>
    <w:p>
      <w:pPr>
        <w:pStyle w:val="165"/>
      </w:pPr>
      <w:r>
        <w:rPr>
          <w:rFonts w:hint="eastAsia"/>
        </w:rPr>
        <w:t>隐蔽工程应经过中间验收后，方可进行下一道工序的施工。</w:t>
      </w:r>
    </w:p>
    <w:p>
      <w:pPr>
        <w:pStyle w:val="165"/>
      </w:pPr>
      <w:r>
        <w:rPr>
          <w:rFonts w:hint="eastAsia"/>
        </w:rPr>
        <w:t>二次供水工程施工应经竣工验收合格后，方可投入使用。</w:t>
      </w:r>
    </w:p>
    <w:p>
      <w:pPr>
        <w:pStyle w:val="105"/>
        <w:spacing w:before="156" w:after="156"/>
      </w:pPr>
      <w:bookmarkStart w:id="78" w:name="_Toc155974774"/>
      <w:r>
        <w:rPr>
          <w:rFonts w:hint="eastAsia"/>
        </w:rPr>
        <w:t>设备</w:t>
      </w:r>
      <w:r>
        <w:t>安装</w:t>
      </w:r>
      <w:bookmarkEnd w:id="78"/>
    </w:p>
    <w:p>
      <w:pPr>
        <w:pStyle w:val="165"/>
      </w:pPr>
      <w:r>
        <w:rPr>
          <w:rFonts w:hint="eastAsia"/>
        </w:rPr>
        <w:t>设备的安装应按工艺要求进行，压力、液位、电压、频率等监控仪表的安装位置和方向应正确，精度等级应符合国家现行有关标准的规定，不得少装、漏装。</w:t>
      </w:r>
    </w:p>
    <w:p>
      <w:pPr>
        <w:pStyle w:val="165"/>
      </w:pPr>
      <w:r>
        <w:rPr>
          <w:rFonts w:hint="eastAsia"/>
        </w:rPr>
        <w:t>材料和设备在安装前应核对、复验，并做好卫生清洁及防护工作。</w:t>
      </w:r>
    </w:p>
    <w:p>
      <w:pPr>
        <w:pStyle w:val="165"/>
      </w:pPr>
      <w:r>
        <w:rPr>
          <w:rFonts w:hint="eastAsia"/>
        </w:rPr>
        <w:t>设备基础尺寸、强度和地脚螺栓孔位置应符合设计和产品要求。设备安装位置应满足安全运行、清洁消毒、维护检修要求。</w:t>
      </w:r>
    </w:p>
    <w:p>
      <w:pPr>
        <w:pStyle w:val="165"/>
      </w:pPr>
      <w:r>
        <w:rPr>
          <w:rFonts w:hint="eastAsia"/>
        </w:rPr>
        <w:t>水泵安装精度应符合GB 50275的有关规定。整体安装的泵，纵向安装水平偏差不应大于0.1/1000，横向安装水平偏差不应大于0.20/1000，并应在泵的进出口法兰面或其它水平面上进行测量；解体安装的泵纵向和横向安装水平偏差均不应大于0.05/1000，并应在水平中分面、轴的外露部分、底座的水平加工面上进行测量。</w:t>
      </w:r>
    </w:p>
    <w:p>
      <w:pPr>
        <w:pStyle w:val="165"/>
      </w:pPr>
      <w:r>
        <w:rPr>
          <w:rFonts w:hint="eastAsia"/>
        </w:rPr>
        <w:t>电控柜（箱）的安装应符合GB 50303 的有关规定。</w:t>
      </w:r>
    </w:p>
    <w:p>
      <w:pPr>
        <w:pStyle w:val="165"/>
      </w:pPr>
      <w:r>
        <w:rPr>
          <w:rFonts w:hint="eastAsia"/>
        </w:rPr>
        <w:t>水池（箱）的安装，包括材质、支架或底座、位置、尺寸、允许偏差及检验方法、通气管、溢流管和泄放管设置、满水试验或水压试验，应严格按照设计以及规范标准执行。</w:t>
      </w:r>
    </w:p>
    <w:p>
      <w:pPr>
        <w:pStyle w:val="165"/>
      </w:pPr>
      <w:r>
        <w:rPr>
          <w:rFonts w:hint="eastAsia"/>
        </w:rPr>
        <w:t>仪器仪表的安装应符合GB</w:t>
      </w:r>
      <w:r>
        <w:t>/T</w:t>
      </w:r>
      <w:r>
        <w:rPr>
          <w:rFonts w:hint="eastAsia"/>
        </w:rPr>
        <w:t xml:space="preserve"> 50083的有关规定。</w:t>
      </w:r>
    </w:p>
    <w:p>
      <w:pPr>
        <w:pStyle w:val="105"/>
        <w:spacing w:before="156" w:after="156"/>
      </w:pPr>
      <w:bookmarkStart w:id="79" w:name="_Toc155974775"/>
      <w:r>
        <w:rPr>
          <w:rFonts w:hint="eastAsia"/>
        </w:rPr>
        <w:t>水池（箱）改造</w:t>
      </w:r>
      <w:bookmarkEnd w:id="79"/>
      <w:r>
        <w:rPr>
          <w:rFonts w:hint="eastAsia"/>
        </w:rPr>
        <w:t xml:space="preserve"> </w:t>
      </w:r>
    </w:p>
    <w:p>
      <w:pPr>
        <w:pStyle w:val="165"/>
      </w:pPr>
      <w:r>
        <w:rPr>
          <w:rFonts w:hint="eastAsia"/>
        </w:rPr>
        <w:t xml:space="preserve">改造期间，应制订二次供水系统临时供水保障方案，并报供水企业备案；涉及消防设施改造的，应报消防监督管理部门备案。临时供水保障方案应保证现状水量、水压和水质需求。 </w:t>
      </w:r>
    </w:p>
    <w:p>
      <w:pPr>
        <w:pStyle w:val="165"/>
      </w:pPr>
      <w:r>
        <w:rPr>
          <w:rFonts w:hint="eastAsia"/>
        </w:rPr>
        <w:t>改造期间，临时消防设施根据现状消防资料及要求确定。若无相关资料，可依据居民小区建设年代执行的国家消防规范确定。</w:t>
      </w:r>
    </w:p>
    <w:p>
      <w:pPr>
        <w:pStyle w:val="105"/>
        <w:spacing w:before="156" w:after="156"/>
      </w:pPr>
      <w:bookmarkStart w:id="80" w:name="_Toc155974776"/>
      <w:r>
        <w:rPr>
          <w:rFonts w:hint="eastAsia"/>
        </w:rPr>
        <w:t>管道的敷设与安装</w:t>
      </w:r>
      <w:bookmarkEnd w:id="80"/>
    </w:p>
    <w:p>
      <w:pPr>
        <w:pStyle w:val="165"/>
      </w:pPr>
      <w:r>
        <w:rPr>
          <w:rFonts w:hint="eastAsia"/>
        </w:rPr>
        <w:t>管道敷设及安装应执行现行国家有关标准和规范。</w:t>
      </w:r>
    </w:p>
    <w:p>
      <w:pPr>
        <w:pStyle w:val="165"/>
      </w:pPr>
      <w:r>
        <w:rPr>
          <w:rFonts w:hint="eastAsia"/>
        </w:rPr>
        <w:t>二次供水的建筑物引入管与污水排出管的管外壁水平净距不宜小于1.0</w:t>
      </w:r>
      <w:r>
        <w:t xml:space="preserve"> </w:t>
      </w:r>
      <w:r>
        <w:rPr>
          <w:rFonts w:hint="eastAsia"/>
        </w:rPr>
        <w:t>m，引入管应有不小于0.003的坡度，坡向室外管网或阀门井、水表井；引入管的转弯处宜设支墩；当穿越承重墙或基础时，应预留洞口或钢套管；穿越地下室外墙处应预埋防水套管。</w:t>
      </w:r>
    </w:p>
    <w:p>
      <w:pPr>
        <w:pStyle w:val="165"/>
      </w:pPr>
      <w:r>
        <w:rPr>
          <w:rFonts w:hint="eastAsia"/>
        </w:rPr>
        <w:t>二次供水室外管道与建筑物外墙平行敷设的净距不宜小于1.0</w:t>
      </w:r>
      <w:r>
        <w:t xml:space="preserve"> m</w:t>
      </w:r>
      <w:r>
        <w:rPr>
          <w:rFonts w:hint="eastAsia"/>
        </w:rPr>
        <w:t>，且不得影响建筑物基础；供水管与污水管的最小水平净距应为0.8</w:t>
      </w:r>
      <w:r>
        <w:t xml:space="preserve"> m</w:t>
      </w:r>
      <w:r>
        <w:rPr>
          <w:rFonts w:hint="eastAsia"/>
        </w:rPr>
        <w:t>，交叉时供水管应在污水管上方，且接口不应重叠，最小垂直净距应为0.1</w:t>
      </w:r>
      <w:r>
        <w:t xml:space="preserve"> </w:t>
      </w:r>
      <w:r>
        <w:rPr>
          <w:rFonts w:hint="eastAsia"/>
        </w:rPr>
        <w:t>m，达不到要求的应采取保护措施。</w:t>
      </w:r>
    </w:p>
    <w:p>
      <w:pPr>
        <w:pStyle w:val="165"/>
      </w:pPr>
      <w:r>
        <w:rPr>
          <w:rFonts w:hint="eastAsia"/>
        </w:rPr>
        <w:t>管道安装时管道内和接口处应清洁无污物，安装过程中应严防施工碎屑落入管中，施工中断和结束后应对敞口部位采取临时封堵措施。</w:t>
      </w:r>
    </w:p>
    <w:p>
      <w:pPr>
        <w:pStyle w:val="165"/>
      </w:pPr>
      <w:r>
        <w:rPr>
          <w:rFonts w:hint="eastAsia"/>
        </w:rPr>
        <w:t>管道安装应平整牢固，间距均匀且应符合设计要求。成排安装的管道应保持轴线平行，弯头的弯曲半径应相同。管道的支、吊架应与管道同等材质，材质不同的应设置橡胶、塑料材质的垫片和套管与管道隔离。</w:t>
      </w:r>
    </w:p>
    <w:p>
      <w:pPr>
        <w:pStyle w:val="165"/>
      </w:pPr>
      <w:r>
        <w:rPr>
          <w:rFonts w:hint="eastAsia"/>
        </w:rPr>
        <w:t>埋地管道采用非金属管道时，必须在管道上端20</w:t>
      </w:r>
      <w:r>
        <w:t xml:space="preserve"> m</w:t>
      </w:r>
      <w:r>
        <w:rPr>
          <w:rFonts w:hint="eastAsia"/>
        </w:rPr>
        <w:t>m～30</w:t>
      </w:r>
      <w:r>
        <w:t xml:space="preserve"> </w:t>
      </w:r>
      <w:r>
        <w:rPr>
          <w:rFonts w:hint="eastAsia"/>
        </w:rPr>
        <w:t>mm处埋设金属示踪线。</w:t>
      </w:r>
    </w:p>
    <w:p>
      <w:pPr>
        <w:pStyle w:val="165"/>
      </w:pPr>
      <w:r>
        <w:rPr>
          <w:rFonts w:hint="eastAsia"/>
        </w:rPr>
        <w:t>新旧管道的连接应符合下列规定：</w:t>
      </w:r>
    </w:p>
    <w:p>
      <w:pPr>
        <w:pStyle w:val="132"/>
      </w:pPr>
      <w:r>
        <w:rPr>
          <w:rFonts w:hint="eastAsia"/>
        </w:rPr>
        <w:t>连接方式宜采用不停水的开口方式；</w:t>
      </w:r>
    </w:p>
    <w:p>
      <w:pPr>
        <w:pStyle w:val="132"/>
      </w:pPr>
      <w:r>
        <w:rPr>
          <w:rFonts w:hint="eastAsia"/>
        </w:rPr>
        <w:t>需要停水的新旧管道连接施工，应采取措施，在24</w:t>
      </w:r>
      <w:r>
        <w:t xml:space="preserve"> </w:t>
      </w:r>
      <w:r>
        <w:rPr>
          <w:rFonts w:hint="eastAsia"/>
        </w:rPr>
        <w:t>h内恢复供水。</w:t>
      </w:r>
    </w:p>
    <w:p>
      <w:pPr>
        <w:pStyle w:val="105"/>
        <w:spacing w:before="156" w:after="156"/>
      </w:pPr>
      <w:bookmarkStart w:id="81" w:name="_Toc155974777"/>
      <w:r>
        <w:rPr>
          <w:rFonts w:hint="eastAsia"/>
        </w:rPr>
        <w:t>质量控制</w:t>
      </w:r>
      <w:bookmarkEnd w:id="81"/>
    </w:p>
    <w:p>
      <w:pPr>
        <w:pStyle w:val="165"/>
      </w:pPr>
      <w:r>
        <w:rPr>
          <w:rFonts w:hint="eastAsia"/>
        </w:rPr>
        <w:t>进场原材料和设备应提交齐全的产品质量证明文件，包括产品合格证、检测报告等，并应符合设计的要求。</w:t>
      </w:r>
    </w:p>
    <w:p>
      <w:pPr>
        <w:pStyle w:val="165"/>
      </w:pPr>
      <w:r>
        <w:rPr>
          <w:rFonts w:hint="eastAsia"/>
        </w:rPr>
        <w:t>施工单位应按照合同文件、设计文件和有关规范、标准要求，根据建设单位提供的施工界域内构（建）筑物等资料，组织有关施工技术管理人员勘察现场实际情况，做好施工准备工作。</w:t>
      </w:r>
    </w:p>
    <w:p>
      <w:pPr>
        <w:pStyle w:val="165"/>
      </w:pPr>
      <w:r>
        <w:rPr>
          <w:rFonts w:hint="eastAsia"/>
        </w:rPr>
        <w:t>现场配制的混凝土、砂浆、防腐与防水涂料等工程材料，应经具有相应资质的单位检测合格后，方可使用。</w:t>
      </w:r>
    </w:p>
    <w:p>
      <w:pPr>
        <w:pStyle w:val="165"/>
      </w:pPr>
      <w:r>
        <w:rPr>
          <w:rFonts w:hint="eastAsia"/>
        </w:rPr>
        <w:t>在质量检验、验收中使用的计量器具和检测设备，必须经计量检定、校准合格后方可使用。承担材料和设备检测的单位，应具备相应的资质。</w:t>
      </w:r>
    </w:p>
    <w:p>
      <w:pPr>
        <w:pStyle w:val="165"/>
      </w:pPr>
      <w:r>
        <w:rPr>
          <w:rFonts w:hint="eastAsia"/>
        </w:rPr>
        <w:t>相关各分项工程之间，必须进行交接检验，所有隐蔽分项工程必须进行隐蔽验收。未经检验或验收不合格的，不得进行下道分项工程。</w:t>
      </w:r>
    </w:p>
    <w:p>
      <w:pPr>
        <w:pStyle w:val="165"/>
      </w:pPr>
      <w:r>
        <w:rPr>
          <w:rFonts w:hint="eastAsia"/>
        </w:rPr>
        <w:t>各种承压管道系统和设备应做水压试验，非承压管道系统和设备应做灌水试验。管道试压应符合GB 50242和GB</w:t>
      </w:r>
      <w:r>
        <w:t xml:space="preserve"> 50268</w:t>
      </w:r>
      <w:r>
        <w:rPr>
          <w:rFonts w:hint="eastAsia"/>
        </w:rPr>
        <w:t>的相关规定。设计未注明时，管道系统试验压力应为管道工作压力的1.5倍，且不得小于0.90</w:t>
      </w:r>
      <w:r>
        <w:t xml:space="preserve"> </w:t>
      </w:r>
      <w:r>
        <w:rPr>
          <w:rFonts w:hint="eastAsia"/>
        </w:rPr>
        <w:t>MPa。暗装管道必须隐蔽前试压及验收。对不能参与试压的设备、仪表、阀门及附件应拆除或采取隔离措施。</w:t>
      </w:r>
    </w:p>
    <w:p>
      <w:pPr>
        <w:pStyle w:val="104"/>
        <w:spacing w:before="312" w:after="312"/>
      </w:pPr>
      <w:bookmarkStart w:id="82" w:name="_Toc155974778"/>
      <w:r>
        <w:rPr>
          <w:rFonts w:hint="eastAsia"/>
        </w:rPr>
        <w:t>调试与验收</w:t>
      </w:r>
      <w:bookmarkEnd w:id="82"/>
    </w:p>
    <w:p>
      <w:pPr>
        <w:pStyle w:val="105"/>
        <w:spacing w:before="156" w:after="156"/>
      </w:pPr>
      <w:bookmarkStart w:id="83" w:name="_Toc155974779"/>
      <w:r>
        <w:rPr>
          <w:rFonts w:hint="eastAsia"/>
        </w:rPr>
        <w:t>调试</w:t>
      </w:r>
      <w:bookmarkEnd w:id="83"/>
    </w:p>
    <w:p>
      <w:pPr>
        <w:pStyle w:val="165"/>
      </w:pPr>
      <w:r>
        <w:rPr>
          <w:rFonts w:hint="eastAsia"/>
        </w:rPr>
        <w:t>设施完工后应按设计要求进行系统的通电、通水调试。调试顺序应以先单体后系统、先局部后全面的形式，依次进行二次供水设备的调试。</w:t>
      </w:r>
    </w:p>
    <w:p>
      <w:pPr>
        <w:pStyle w:val="165"/>
      </w:pPr>
      <w:r>
        <w:rPr>
          <w:rFonts w:hint="eastAsia"/>
        </w:rPr>
        <w:t>施工安装单位负责施工范围内的单体设备通电及试运行；系统联动调试应由建设单位负责统一组织。</w:t>
      </w:r>
    </w:p>
    <w:p>
      <w:pPr>
        <w:pStyle w:val="165"/>
      </w:pPr>
      <w:r>
        <w:rPr>
          <w:rFonts w:hint="eastAsia"/>
        </w:rPr>
        <w:t>消毒设备应按照产品说明书进行单体调试。水池（箱）应做满水试验。水泵调试前应将阀门置于相应的通、断位置，并将电控装置逐级通电，工作电压应符合要求。</w:t>
      </w:r>
    </w:p>
    <w:p>
      <w:pPr>
        <w:pStyle w:val="165"/>
      </w:pPr>
      <w:r>
        <w:rPr>
          <w:rFonts w:hint="eastAsia"/>
        </w:rPr>
        <w:t>水泵调试要进行点动及连续运转试验，当泵后压力达到设定值时，对压力、流量、液位等自动控制环节进行人工扰动试验，试验结果均应达到设计要求。</w:t>
      </w:r>
    </w:p>
    <w:p>
      <w:pPr>
        <w:pStyle w:val="165"/>
      </w:pPr>
      <w:r>
        <w:rPr>
          <w:rFonts w:hint="eastAsia"/>
        </w:rPr>
        <w:t>接入智能管理系统后，应完成水泵、电动阀门、门禁和数据参数设置等的控制调试。</w:t>
      </w:r>
    </w:p>
    <w:p>
      <w:pPr>
        <w:pStyle w:val="165"/>
      </w:pPr>
      <w:r>
        <w:rPr>
          <w:rFonts w:hint="eastAsia"/>
        </w:rPr>
        <w:t>设备调试完成后，方可组织对整个二次供水系统进行调试，系统调试模拟运转不应少于30</w:t>
      </w:r>
      <w:r>
        <w:t xml:space="preserve"> </w:t>
      </w:r>
      <w:r>
        <w:rPr>
          <w:rFonts w:hint="eastAsia"/>
        </w:rPr>
        <w:t>min。</w:t>
      </w:r>
    </w:p>
    <w:p>
      <w:pPr>
        <w:pStyle w:val="165"/>
      </w:pPr>
      <w:r>
        <w:rPr>
          <w:rFonts w:hint="eastAsia"/>
        </w:rPr>
        <w:t>系统调试结束后，应对供水设备、管道进行冲洗和消毒。</w:t>
      </w:r>
    </w:p>
    <w:p>
      <w:pPr>
        <w:pStyle w:val="165"/>
      </w:pPr>
      <w:r>
        <w:rPr>
          <w:rFonts w:hint="eastAsia"/>
        </w:rPr>
        <w:t>消毒时，应根据二次供水设施类型和材质选择相应的消毒剂，可采用20</w:t>
      </w:r>
      <w:r>
        <w:t xml:space="preserve"> </w:t>
      </w:r>
      <w:r>
        <w:rPr>
          <w:rFonts w:hint="eastAsia"/>
        </w:rPr>
        <w:t>mg/L～30</w:t>
      </w:r>
      <w:r>
        <w:t xml:space="preserve"> </w:t>
      </w:r>
      <w:r>
        <w:rPr>
          <w:rFonts w:hint="eastAsia"/>
        </w:rPr>
        <w:t>mg/L的游离氯消毒液浸泡24</w:t>
      </w:r>
      <w:r>
        <w:t xml:space="preserve"> </w:t>
      </w:r>
      <w:r>
        <w:rPr>
          <w:rFonts w:hint="eastAsia"/>
        </w:rPr>
        <w:t>h。冲洗前对系统内易损部件进行保护或临时拆除，冲洗流速应大于1.0</w:t>
      </w:r>
      <w:r>
        <w:t xml:space="preserve"> </w:t>
      </w:r>
      <w:r>
        <w:rPr>
          <w:rFonts w:hint="eastAsia"/>
        </w:rPr>
        <w:t>m/s。</w:t>
      </w:r>
    </w:p>
    <w:p>
      <w:pPr>
        <w:pStyle w:val="165"/>
      </w:pPr>
      <w:r>
        <w:rPr>
          <w:rFonts w:hint="eastAsia"/>
        </w:rPr>
        <w:t>二次供水设施冲洗、消毒后，应取样送检并符合GB 5749的相关规定。</w:t>
      </w:r>
    </w:p>
    <w:p>
      <w:pPr>
        <w:pStyle w:val="105"/>
        <w:spacing w:before="156" w:after="156"/>
      </w:pPr>
      <w:bookmarkStart w:id="84" w:name="_Toc155974780"/>
      <w:r>
        <w:rPr>
          <w:rFonts w:hint="eastAsia"/>
        </w:rPr>
        <w:t>二次供水泵房的验收</w:t>
      </w:r>
      <w:bookmarkEnd w:id="84"/>
    </w:p>
    <w:p>
      <w:pPr>
        <w:pStyle w:val="165"/>
      </w:pPr>
      <w:r>
        <w:rPr>
          <w:rFonts w:hint="eastAsia"/>
        </w:rPr>
        <w:t>供水企业负责协助政府有关部门开展二次供水监督管理工作。在不影响工程正常建设的情况下供水企业可按相关规范标准对二次供水设施的建设过程和建设内容进行质量监督，对建设和施工过程中违反相关规定和规范行为的，应明确提出整改要求，并报建设、供水、卫生行政主管部门依法处理。建设单位配合供水企业的相关质量监督工作并按照要求进行整改。</w:t>
      </w:r>
    </w:p>
    <w:p>
      <w:pPr>
        <w:pStyle w:val="165"/>
      </w:pPr>
      <w:r>
        <w:rPr>
          <w:rFonts w:hint="eastAsia"/>
        </w:rPr>
        <w:t>建设单位</w:t>
      </w:r>
      <w:r>
        <w:t>对违规的项目不整改或整改不合格，未获得供水企业审核通过的，</w:t>
      </w:r>
      <w:r>
        <w:rPr>
          <w:rFonts w:hint="eastAsia"/>
        </w:rPr>
        <w:t>不予</w:t>
      </w:r>
      <w:r>
        <w:t>通过验收</w:t>
      </w:r>
      <w:r>
        <w:rPr>
          <w:rFonts w:hint="eastAsia"/>
        </w:rPr>
        <w:t>。</w:t>
      </w:r>
    </w:p>
    <w:p>
      <w:pPr>
        <w:pStyle w:val="165"/>
      </w:pPr>
      <w:r>
        <w:rPr>
          <w:rFonts w:hint="eastAsia"/>
        </w:rPr>
        <w:t>供水工程安装</w:t>
      </w:r>
      <w:r>
        <w:t>调试检验</w:t>
      </w:r>
      <w:r>
        <w:rPr>
          <w:rFonts w:hint="eastAsia"/>
        </w:rPr>
        <w:t>完成</w:t>
      </w:r>
      <w:r>
        <w:t>后</w:t>
      </w:r>
      <w:r>
        <w:rPr>
          <w:rFonts w:hint="eastAsia"/>
        </w:rPr>
        <w:t>，</w:t>
      </w:r>
      <w:r>
        <w:t>应</w:t>
      </w:r>
      <w:r>
        <w:rPr>
          <w:rFonts w:hint="eastAsia"/>
        </w:rPr>
        <w:t>按照</w:t>
      </w:r>
      <w:r>
        <w:t>以下要求组织竣工验收：</w:t>
      </w:r>
    </w:p>
    <w:p>
      <w:pPr>
        <w:pStyle w:val="132"/>
      </w:pPr>
      <w:r>
        <w:rPr>
          <w:rFonts w:hint="eastAsia"/>
        </w:rPr>
        <w:t>工程质量按GB</w:t>
      </w:r>
      <w:r>
        <w:t xml:space="preserve"> </w:t>
      </w:r>
      <w:r>
        <w:rPr>
          <w:rFonts w:hint="eastAsia"/>
        </w:rPr>
        <w:t>50268、GB</w:t>
      </w:r>
      <w:r>
        <w:t xml:space="preserve"> </w:t>
      </w:r>
      <w:r>
        <w:rPr>
          <w:rFonts w:hint="eastAsia"/>
        </w:rPr>
        <w:t>50242、GB</w:t>
      </w:r>
      <w:r>
        <w:t xml:space="preserve"> </w:t>
      </w:r>
      <w:r>
        <w:rPr>
          <w:rFonts w:hint="eastAsia"/>
        </w:rPr>
        <w:t>50300以及本文件的</w:t>
      </w:r>
      <w:r>
        <w:t>规定</w:t>
      </w:r>
      <w:r>
        <w:rPr>
          <w:rFonts w:hint="eastAsia"/>
        </w:rPr>
        <w:t>进行验收；</w:t>
      </w:r>
    </w:p>
    <w:p>
      <w:pPr>
        <w:pStyle w:val="132"/>
      </w:pPr>
      <w:r>
        <w:rPr>
          <w:rFonts w:hint="eastAsia"/>
        </w:rPr>
        <w:t>设备安装按GB 50231进行验收；</w:t>
      </w:r>
    </w:p>
    <w:p>
      <w:pPr>
        <w:pStyle w:val="132"/>
      </w:pPr>
      <w:r>
        <w:rPr>
          <w:rFonts w:hint="eastAsia"/>
        </w:rPr>
        <w:t>电气工程安装按JGJ 46、GB</w:t>
      </w:r>
      <w:r>
        <w:t xml:space="preserve"> </w:t>
      </w:r>
      <w:r>
        <w:rPr>
          <w:rFonts w:hint="eastAsia"/>
        </w:rPr>
        <w:t>50254和GB</w:t>
      </w:r>
      <w:r>
        <w:t xml:space="preserve"> </w:t>
      </w:r>
      <w:r>
        <w:rPr>
          <w:rFonts w:hint="eastAsia"/>
        </w:rPr>
        <w:t>50303的规定进行验收。</w:t>
      </w:r>
    </w:p>
    <w:p>
      <w:pPr>
        <w:pStyle w:val="165"/>
      </w:pPr>
      <w:r>
        <w:rPr>
          <w:rFonts w:hint="eastAsia"/>
        </w:rPr>
        <w:t>泵房未经验收或者验收不合格的，不得挂表供水。</w:t>
      </w:r>
    </w:p>
    <w:p>
      <w:pPr>
        <w:pStyle w:val="165"/>
      </w:pPr>
      <w:r>
        <w:rPr>
          <w:rFonts w:hint="eastAsia"/>
        </w:rPr>
        <w:t>泵房验收前应按原设计要求进行系统的通电、通水调试，贮水容器应做满水试验。</w:t>
      </w:r>
    </w:p>
    <w:p>
      <w:pPr>
        <w:pStyle w:val="165"/>
      </w:pPr>
      <w:r>
        <w:rPr>
          <w:rFonts w:hint="eastAsia"/>
        </w:rPr>
        <w:t>泵房验收前，消毒设备应按照产品说明书进行单体调试。</w:t>
      </w:r>
    </w:p>
    <w:p>
      <w:pPr>
        <w:pStyle w:val="165"/>
      </w:pPr>
      <w:r>
        <w:rPr>
          <w:rFonts w:hint="eastAsia"/>
        </w:rPr>
        <w:t>冲洗、消毒后，系统出水水质各项</w:t>
      </w:r>
      <w:r>
        <w:t>指标</w:t>
      </w:r>
      <w:r>
        <w:rPr>
          <w:rFonts w:hint="eastAsia"/>
        </w:rPr>
        <w:t>应符合GB</w:t>
      </w:r>
      <w:r>
        <w:t xml:space="preserve"> </w:t>
      </w:r>
      <w:r>
        <w:rPr>
          <w:rFonts w:hint="eastAsia"/>
        </w:rPr>
        <w:t>5749的规定。</w:t>
      </w:r>
    </w:p>
    <w:p>
      <w:pPr>
        <w:pStyle w:val="165"/>
      </w:pPr>
      <w:r>
        <w:rPr>
          <w:rFonts w:hint="eastAsia"/>
        </w:rPr>
        <w:t>泵房验收时应提供下列文件资料：</w:t>
      </w:r>
    </w:p>
    <w:p>
      <w:pPr>
        <w:pStyle w:val="132"/>
      </w:pPr>
      <w:r>
        <w:rPr>
          <w:rFonts w:hint="eastAsia"/>
        </w:rPr>
        <w:t>供水公司出具的泵房建设技术方案审核意见书；</w:t>
      </w:r>
    </w:p>
    <w:p>
      <w:pPr>
        <w:pStyle w:val="132"/>
      </w:pPr>
      <w:r>
        <w:rPr>
          <w:rFonts w:hint="eastAsia"/>
        </w:rPr>
        <w:t>泵房的卫生组织管理机构及卫生管理制度；</w:t>
      </w:r>
    </w:p>
    <w:p>
      <w:pPr>
        <w:pStyle w:val="132"/>
      </w:pPr>
      <w:r>
        <w:rPr>
          <w:rFonts w:hint="eastAsia"/>
        </w:rPr>
        <w:t>隐蔽工程验收资料；</w:t>
      </w:r>
    </w:p>
    <w:p>
      <w:pPr>
        <w:pStyle w:val="132"/>
      </w:pPr>
      <w:r>
        <w:rPr>
          <w:rFonts w:hint="eastAsia"/>
        </w:rPr>
        <w:t>工程所包括设备、材料的合格证、质保卡说明书等相关资料；</w:t>
      </w:r>
    </w:p>
    <w:p>
      <w:pPr>
        <w:pStyle w:val="132"/>
      </w:pPr>
      <w:r>
        <w:rPr>
          <w:rFonts w:hint="eastAsia"/>
        </w:rPr>
        <w:t>涉水产品的卫生许可证（二次供水设施及管材）；</w:t>
      </w:r>
    </w:p>
    <w:p>
      <w:pPr>
        <w:pStyle w:val="132"/>
      </w:pPr>
      <w:r>
        <w:rPr>
          <w:rFonts w:hint="eastAsia"/>
        </w:rPr>
        <w:t>二次供水系统试压、冲洗、消毒、调试检查记录；</w:t>
      </w:r>
    </w:p>
    <w:p>
      <w:pPr>
        <w:pStyle w:val="132"/>
      </w:pPr>
      <w:r>
        <w:rPr>
          <w:rFonts w:hint="eastAsia"/>
        </w:rPr>
        <w:t>水质检测报告；</w:t>
      </w:r>
    </w:p>
    <w:p>
      <w:pPr>
        <w:pStyle w:val="132"/>
      </w:pPr>
      <w:r>
        <w:rPr>
          <w:rFonts w:hint="eastAsia"/>
        </w:rPr>
        <w:t>工程质量评定表；</w:t>
      </w:r>
    </w:p>
    <w:p>
      <w:pPr>
        <w:pStyle w:val="132"/>
      </w:pPr>
      <w:r>
        <w:rPr>
          <w:rFonts w:hint="eastAsia"/>
        </w:rPr>
        <w:t>建设工程规划许可证；</w:t>
      </w:r>
    </w:p>
    <w:p>
      <w:pPr>
        <w:pStyle w:val="132"/>
      </w:pPr>
      <w:r>
        <w:rPr>
          <w:rFonts w:hint="eastAsia"/>
        </w:rPr>
        <w:t>水池（箱）平面及剖面图；水池（箱）的闭水实验验收合格单；水箱结构安装图；</w:t>
      </w:r>
    </w:p>
    <w:p>
      <w:pPr>
        <w:pStyle w:val="132"/>
      </w:pPr>
      <w:r>
        <w:rPr>
          <w:rFonts w:hint="eastAsia"/>
        </w:rPr>
        <w:t>给水泵房平面及剖面图；</w:t>
      </w:r>
    </w:p>
    <w:p>
      <w:pPr>
        <w:pStyle w:val="132"/>
      </w:pPr>
      <w:r>
        <w:rPr>
          <w:rFonts w:hint="eastAsia"/>
        </w:rPr>
        <w:t>给水泵房、水池（箱）的所在层平面图，给水系统图。</w:t>
      </w:r>
    </w:p>
    <w:p>
      <w:pPr>
        <w:pStyle w:val="165"/>
      </w:pPr>
      <w:r>
        <w:rPr>
          <w:rFonts w:hint="eastAsia"/>
        </w:rPr>
        <w:t>泵房验收时的重点检查项目包括：</w:t>
      </w:r>
    </w:p>
    <w:p>
      <w:pPr>
        <w:pStyle w:val="132"/>
      </w:pPr>
      <w:r>
        <w:rPr>
          <w:rFonts w:hint="eastAsia"/>
        </w:rPr>
        <w:t>电源的可靠性；</w:t>
      </w:r>
    </w:p>
    <w:p>
      <w:pPr>
        <w:pStyle w:val="132"/>
      </w:pPr>
      <w:r>
        <w:rPr>
          <w:rFonts w:hint="eastAsia"/>
        </w:rPr>
        <w:t>水泵机组运行状况和扬程、流量等参数；</w:t>
      </w:r>
    </w:p>
    <w:p>
      <w:pPr>
        <w:pStyle w:val="132"/>
      </w:pPr>
      <w:r>
        <w:rPr>
          <w:rFonts w:hint="eastAsia"/>
        </w:rPr>
        <w:t>供水管网水压达到设定值时，系统的可靠性；</w:t>
      </w:r>
    </w:p>
    <w:p>
      <w:pPr>
        <w:pStyle w:val="132"/>
      </w:pPr>
      <w:r>
        <w:rPr>
          <w:rFonts w:hint="eastAsia"/>
        </w:rPr>
        <w:t>管道、管件、设备的材质与设计要求的一致性；</w:t>
      </w:r>
    </w:p>
    <w:p>
      <w:pPr>
        <w:pStyle w:val="132"/>
      </w:pPr>
      <w:r>
        <w:rPr>
          <w:rFonts w:hint="eastAsia"/>
        </w:rPr>
        <w:t xml:space="preserve">设备显示仪表的准确度； </w:t>
      </w:r>
    </w:p>
    <w:p>
      <w:pPr>
        <w:pStyle w:val="132"/>
      </w:pPr>
      <w:r>
        <w:rPr>
          <w:rFonts w:hint="eastAsia"/>
        </w:rPr>
        <w:t>设备控制的功能，数据传输的质量，接入信息管理系统的数据格式是否符合要求；</w:t>
      </w:r>
    </w:p>
    <w:p>
      <w:pPr>
        <w:pStyle w:val="132"/>
      </w:pPr>
      <w:r>
        <w:rPr>
          <w:rFonts w:hint="eastAsia"/>
        </w:rPr>
        <w:t xml:space="preserve">设备控制与数据传输的功能； </w:t>
      </w:r>
    </w:p>
    <w:p>
      <w:pPr>
        <w:pStyle w:val="132"/>
      </w:pPr>
      <w:r>
        <w:rPr>
          <w:rFonts w:hint="eastAsia"/>
        </w:rPr>
        <w:t xml:space="preserve">设备接地、防雷等保护功能； </w:t>
      </w:r>
    </w:p>
    <w:p>
      <w:pPr>
        <w:pStyle w:val="132"/>
      </w:pPr>
      <w:r>
        <w:rPr>
          <w:rFonts w:hint="eastAsia"/>
        </w:rPr>
        <w:t xml:space="preserve">水池（箱）的材质与设置； </w:t>
      </w:r>
    </w:p>
    <w:p>
      <w:pPr>
        <w:pStyle w:val="132"/>
      </w:pPr>
      <w:r>
        <w:rPr>
          <w:rFonts w:hint="eastAsia"/>
        </w:rPr>
        <w:t>供水设备的排水、通风、保温等环境状况；</w:t>
      </w:r>
    </w:p>
    <w:p>
      <w:pPr>
        <w:pStyle w:val="132"/>
      </w:pPr>
      <w:r>
        <w:rPr>
          <w:rFonts w:hint="eastAsia"/>
        </w:rPr>
        <w:t>防回流污染设施的安全性；</w:t>
      </w:r>
    </w:p>
    <w:p>
      <w:pPr>
        <w:pStyle w:val="132"/>
      </w:pPr>
      <w:r>
        <w:rPr>
          <w:rFonts w:hint="eastAsia"/>
        </w:rPr>
        <w:t>供水设备的减振措施及环境噪声的控制；</w:t>
      </w:r>
    </w:p>
    <w:p>
      <w:pPr>
        <w:pStyle w:val="132"/>
      </w:pPr>
      <w:r>
        <w:rPr>
          <w:rFonts w:hint="eastAsia"/>
        </w:rPr>
        <w:t>消毒设备的安全运行；</w:t>
      </w:r>
    </w:p>
    <w:p>
      <w:pPr>
        <w:pStyle w:val="132"/>
      </w:pPr>
      <w:r>
        <w:rPr>
          <w:rFonts w:hint="eastAsia"/>
        </w:rPr>
        <w:t>CJJ 140和</w:t>
      </w:r>
      <w:r>
        <w:t>GB 55026</w:t>
      </w:r>
      <w:r>
        <w:rPr>
          <w:rFonts w:hint="eastAsia"/>
        </w:rPr>
        <w:t>现行的强制性条文。</w:t>
      </w:r>
    </w:p>
    <w:p>
      <w:pPr>
        <w:pStyle w:val="105"/>
        <w:spacing w:before="156" w:after="156"/>
      </w:pPr>
      <w:bookmarkStart w:id="85" w:name="_Toc155974781"/>
      <w:r>
        <w:rPr>
          <w:rFonts w:hint="eastAsia"/>
        </w:rPr>
        <w:t>验收</w:t>
      </w:r>
      <w:r>
        <w:t>要求</w:t>
      </w:r>
      <w:bookmarkEnd w:id="85"/>
    </w:p>
    <w:p>
      <w:pPr>
        <w:pStyle w:val="165"/>
      </w:pPr>
      <w:r>
        <w:rPr>
          <w:rFonts w:hint="eastAsia"/>
        </w:rPr>
        <w:t>竣工验收时应重点检查下列项目:</w:t>
      </w:r>
    </w:p>
    <w:p>
      <w:pPr>
        <w:pStyle w:val="132"/>
      </w:pPr>
      <w:r>
        <w:rPr>
          <w:rFonts w:hint="eastAsia"/>
        </w:rPr>
        <w:t>电源的可靠性；</w:t>
      </w:r>
    </w:p>
    <w:p>
      <w:pPr>
        <w:pStyle w:val="132"/>
      </w:pPr>
      <w:r>
        <w:rPr>
          <w:rFonts w:hint="eastAsia"/>
        </w:rPr>
        <w:t>水泵机组运行状况和扬程、流量等参数；</w:t>
      </w:r>
    </w:p>
    <w:p>
      <w:pPr>
        <w:pStyle w:val="132"/>
      </w:pPr>
      <w:r>
        <w:rPr>
          <w:rFonts w:hint="eastAsia"/>
        </w:rPr>
        <w:t>供水管网水压达到设定值时，系统的可靠性；</w:t>
      </w:r>
    </w:p>
    <w:p>
      <w:pPr>
        <w:pStyle w:val="132"/>
      </w:pPr>
      <w:r>
        <w:rPr>
          <w:rFonts w:hint="eastAsia"/>
        </w:rPr>
        <w:t>管道、管件、设备的材质与设计要求的一致性。</w:t>
      </w:r>
    </w:p>
    <w:p>
      <w:pPr>
        <w:pStyle w:val="165"/>
      </w:pPr>
      <w:r>
        <w:rPr>
          <w:rFonts w:hint="eastAsia"/>
        </w:rPr>
        <w:t>供水工程竣工验收时，建设单位应提供以下文件资料：</w:t>
      </w:r>
    </w:p>
    <w:p>
      <w:pPr>
        <w:pStyle w:val="132"/>
      </w:pPr>
      <w:r>
        <w:rPr>
          <w:rFonts w:hint="eastAsia"/>
        </w:rPr>
        <w:t>施工图、竣工图及设计变更文件；</w:t>
      </w:r>
    </w:p>
    <w:p>
      <w:pPr>
        <w:pStyle w:val="132"/>
      </w:pPr>
      <w:r>
        <w:rPr>
          <w:rFonts w:hint="eastAsia"/>
        </w:rPr>
        <w:t>隐蔽工程验收资料；</w:t>
      </w:r>
    </w:p>
    <w:p>
      <w:pPr>
        <w:pStyle w:val="132"/>
      </w:pPr>
      <w:r>
        <w:rPr>
          <w:rFonts w:hint="eastAsia"/>
        </w:rPr>
        <w:t>工程所包括设备、材料的合格证、质保卡、说明书等相关资料；</w:t>
      </w:r>
    </w:p>
    <w:p>
      <w:pPr>
        <w:pStyle w:val="132"/>
      </w:pPr>
      <w:r>
        <w:rPr>
          <w:rFonts w:hint="eastAsia"/>
        </w:rPr>
        <w:t>涉水产品的卫生许可；</w:t>
      </w:r>
    </w:p>
    <w:p>
      <w:pPr>
        <w:pStyle w:val="132"/>
      </w:pPr>
      <w:r>
        <w:rPr>
          <w:rFonts w:hint="eastAsia"/>
        </w:rPr>
        <w:t>系统试压、冲洗、消毒、调试检查记录；</w:t>
      </w:r>
    </w:p>
    <w:p>
      <w:pPr>
        <w:pStyle w:val="132"/>
      </w:pPr>
      <w:r>
        <w:rPr>
          <w:rFonts w:hint="eastAsia"/>
        </w:rPr>
        <w:t>水质检测报告；</w:t>
      </w:r>
    </w:p>
    <w:p>
      <w:pPr>
        <w:pStyle w:val="132"/>
      </w:pPr>
      <w:r>
        <w:rPr>
          <w:rFonts w:hint="eastAsia"/>
        </w:rPr>
        <w:t>环境噪声监测报告；</w:t>
      </w:r>
    </w:p>
    <w:p>
      <w:pPr>
        <w:pStyle w:val="132"/>
      </w:pPr>
      <w:r>
        <w:rPr>
          <w:rFonts w:hint="eastAsia"/>
        </w:rPr>
        <w:t>工程质量评定表。</w:t>
      </w:r>
    </w:p>
    <w:p>
      <w:pPr>
        <w:pStyle w:val="165"/>
      </w:pPr>
      <w:r>
        <w:rPr>
          <w:rFonts w:hint="eastAsia"/>
        </w:rPr>
        <w:t>验收隐蔽工程，应填写中间验收记录表。</w:t>
      </w:r>
    </w:p>
    <w:p>
      <w:pPr>
        <w:pStyle w:val="165"/>
      </w:pPr>
      <w:r>
        <w:rPr>
          <w:rFonts w:hint="eastAsia"/>
        </w:rPr>
        <w:t>竣工验收时，应核实竣工验收资料，并进行必要的复验和外观检查，同时填写竣工验收报告。</w:t>
      </w:r>
    </w:p>
    <w:p>
      <w:pPr>
        <w:pStyle w:val="165"/>
      </w:pPr>
      <w:r>
        <w:rPr>
          <w:rFonts w:hint="eastAsia"/>
        </w:rPr>
        <w:t>“一户一表”工程应与建筑给水工程同时竣工验收，必要时也可作为单项工程进行验收。</w:t>
      </w:r>
    </w:p>
    <w:p>
      <w:pPr>
        <w:pStyle w:val="165"/>
      </w:pPr>
      <w:r>
        <w:rPr>
          <w:rFonts w:hint="eastAsia"/>
        </w:rPr>
        <w:t>水池、水箱应做满水试验，静置24小时观察，不渗漏。水池使用3年以上的应采用容积法进行漏水检查试验。</w:t>
      </w:r>
    </w:p>
    <w:p>
      <w:pPr>
        <w:pStyle w:val="165"/>
      </w:pPr>
      <w:r>
        <w:rPr>
          <w:rFonts w:hint="eastAsia"/>
        </w:rPr>
        <w:t>新装给水管道工程和二次供水水质各项指标应符合GB 5749的规定。供水水样的采集、保存，运输和检验应符合GB/T 5750的规定。</w:t>
      </w:r>
    </w:p>
    <w:p>
      <w:pPr>
        <w:pStyle w:val="165"/>
      </w:pPr>
      <w:r>
        <w:rPr>
          <w:rFonts w:hint="eastAsia"/>
        </w:rPr>
        <w:t>验收程序</w:t>
      </w:r>
    </w:p>
    <w:p>
      <w:pPr>
        <w:pStyle w:val="165"/>
      </w:pPr>
      <w:r>
        <w:rPr>
          <w:rFonts w:hint="eastAsia"/>
        </w:rPr>
        <w:t>验收程序包括：验收申请、资料</w:t>
      </w:r>
      <w:r>
        <w:t>审核</w:t>
      </w:r>
      <w:r>
        <w:rPr>
          <w:rFonts w:hint="eastAsia"/>
        </w:rPr>
        <w:t>、现场验收、出具验收意见表（见附录Ｅ）。</w:t>
      </w:r>
    </w:p>
    <w:p>
      <w:pPr>
        <w:pStyle w:val="165"/>
      </w:pPr>
      <w:r>
        <w:rPr>
          <w:rFonts w:hint="eastAsia"/>
        </w:rPr>
        <w:t>工程竣工验收后，建设单位应将有关设计、施工及验收的文件和技术资料立卷归档。</w:t>
      </w:r>
    </w:p>
    <w:p>
      <w:pPr>
        <w:pStyle w:val="165"/>
      </w:pPr>
      <w:r>
        <w:rPr>
          <w:rFonts w:hint="eastAsia"/>
        </w:rPr>
        <w:t>现场验收不符合要求的，应要求施工单位限期整改；资料不符合要求的，应要求施工单位进行</w:t>
      </w:r>
    </w:p>
    <w:p>
      <w:pPr>
        <w:pStyle w:val="165"/>
        <w:numPr>
          <w:ilvl w:val="3"/>
          <w:numId w:val="0"/>
        </w:numPr>
      </w:pPr>
      <w:r>
        <w:rPr>
          <w:rFonts w:hint="eastAsia"/>
        </w:rPr>
        <w:t>修改完善，直至所有验收项目符合要求后，方能通过验收并签字确认。</w:t>
      </w:r>
    </w:p>
    <w:p>
      <w:pPr>
        <w:pStyle w:val="165"/>
      </w:pPr>
      <w:r>
        <w:rPr>
          <w:rFonts w:hint="eastAsia"/>
        </w:rPr>
        <w:t>提标改造</w:t>
      </w:r>
      <w:r>
        <w:t>工程</w:t>
      </w:r>
      <w:r>
        <w:rPr>
          <w:rFonts w:hint="eastAsia"/>
        </w:rPr>
        <w:t>竣工</w:t>
      </w:r>
      <w:r>
        <w:t>验收合格，申请移交供水单位管理的，应办理移交手续，</w:t>
      </w:r>
      <w:r>
        <w:rPr>
          <w:rFonts w:hint="eastAsia"/>
        </w:rPr>
        <w:t>移交</w:t>
      </w:r>
      <w:r>
        <w:t>材料</w:t>
      </w:r>
      <w:r>
        <w:rPr>
          <w:rFonts w:hint="eastAsia"/>
        </w:rPr>
        <w:t>应</w:t>
      </w:r>
      <w:r>
        <w:t>包含</w:t>
      </w:r>
      <w:r>
        <w:rPr>
          <w:rFonts w:hint="eastAsia"/>
        </w:rPr>
        <w:t>：二次供水设施提标改造移交验收记录表（见附录Ｄ）、泵房工程质量保修书（范本）（见附录Ｆ）、二次供水设施委托运营协议（范本）（见附录Ｇ）、技术档案送审表（见附录Ｈ）、技术档案移交书（见附录Ｉ）。</w:t>
      </w:r>
    </w:p>
    <w:p>
      <w:pPr>
        <w:pStyle w:val="104"/>
        <w:spacing w:before="312" w:after="312"/>
      </w:pPr>
      <w:bookmarkStart w:id="86" w:name="_Toc155974782"/>
      <w:r>
        <w:rPr>
          <w:rFonts w:hint="eastAsia"/>
        </w:rPr>
        <w:t>设备设施运行</w:t>
      </w:r>
      <w:r>
        <w:t>与维护</w:t>
      </w:r>
      <w:r>
        <w:rPr>
          <w:rFonts w:hint="eastAsia"/>
        </w:rPr>
        <w:t>管理</w:t>
      </w:r>
      <w:bookmarkEnd w:id="86"/>
    </w:p>
    <w:p>
      <w:pPr>
        <w:pStyle w:val="105"/>
        <w:spacing w:before="156" w:after="156"/>
      </w:pPr>
      <w:bookmarkStart w:id="87" w:name="_Toc155974783"/>
      <w:r>
        <w:rPr>
          <w:rFonts w:hint="eastAsia"/>
        </w:rPr>
        <w:t>一般</w:t>
      </w:r>
      <w:r>
        <w:t>规定</w:t>
      </w:r>
      <w:bookmarkEnd w:id="87"/>
    </w:p>
    <w:p>
      <w:pPr>
        <w:pStyle w:val="165"/>
      </w:pPr>
      <w:r>
        <w:rPr>
          <w:rFonts w:hint="eastAsia"/>
        </w:rPr>
        <w:t>运营管理单位应设有专门的管理部门，配备专业的管理人员。操作人员应持有健康证明及相应专业资格证书。</w:t>
      </w:r>
    </w:p>
    <w:p>
      <w:pPr>
        <w:pStyle w:val="165"/>
      </w:pPr>
      <w:r>
        <w:rPr>
          <w:rFonts w:hint="eastAsia"/>
        </w:rPr>
        <w:t>运行维护应实施专业化管理，宜采用远程监控管理。</w:t>
      </w:r>
    </w:p>
    <w:p>
      <w:pPr>
        <w:pStyle w:val="165"/>
      </w:pPr>
      <w:r>
        <w:rPr>
          <w:rFonts w:hint="eastAsia"/>
        </w:rPr>
        <w:t>应制定管理制度、作业指导书和应急预案等。管理制度应包括设备设施保养维修、水池（箱）清洗、水质管理、平台系统管理、用户报修处理、操作人员技能培训及考核、档案信息及报表管理等内容。设备运行操作规程应包括操作人员资质、操作要求、操作程序、故障处理、安全生产和日常维护保养要求等内容。</w:t>
      </w:r>
    </w:p>
    <w:p>
      <w:pPr>
        <w:pStyle w:val="165"/>
      </w:pPr>
      <w:r>
        <w:rPr>
          <w:rFonts w:hint="eastAsia"/>
        </w:rPr>
        <w:t>宜采用在线监控及人工巡检等运行管理方式。</w:t>
      </w:r>
    </w:p>
    <w:p>
      <w:pPr>
        <w:pStyle w:val="165"/>
      </w:pPr>
      <w:r>
        <w:rPr>
          <w:rFonts w:hint="eastAsia"/>
        </w:rPr>
        <w:t>应建立健全供水设施基础信息、运行维护信息档案，及时、准确、完整地记录日常运行维护的数据信息。</w:t>
      </w:r>
    </w:p>
    <w:p>
      <w:pPr>
        <w:pStyle w:val="165"/>
      </w:pPr>
      <w:r>
        <w:rPr>
          <w:rFonts w:hint="eastAsia"/>
        </w:rPr>
        <w:t>监测调度中心管理人员应时刻关注供水泵房内各设备的运行状态和数据，对异常状况和数据、报警信息提示时，应及时处理。</w:t>
      </w:r>
    </w:p>
    <w:p>
      <w:pPr>
        <w:pStyle w:val="165"/>
      </w:pPr>
      <w:r>
        <w:rPr>
          <w:rFonts w:hint="eastAsia"/>
        </w:rPr>
        <w:t>遇到水质污染、市政管网水量供给不足、发生自然灾害、泵房淹没、机电设备重大故障、供电系统出现故障、恐怖袭击等影响正常供水服务的突发性事件，二次供水服务单位应按二次供水应急预案要求采取相应措施提供服务。</w:t>
      </w:r>
    </w:p>
    <w:p>
      <w:pPr>
        <w:pStyle w:val="105"/>
        <w:spacing w:before="156" w:after="156"/>
      </w:pPr>
      <w:bookmarkStart w:id="88" w:name="_Toc155974784"/>
      <w:r>
        <w:rPr>
          <w:rFonts w:hint="eastAsia"/>
        </w:rPr>
        <w:t>运行</w:t>
      </w:r>
      <w:bookmarkEnd w:id="88"/>
    </w:p>
    <w:p>
      <w:pPr>
        <w:pStyle w:val="165"/>
      </w:pPr>
      <w:r>
        <w:rPr>
          <w:rFonts w:hint="eastAsia"/>
        </w:rPr>
        <w:t>运行管理人员应定期巡检设施运行及室外埋地管网，严禁在泵房、水池（箱）周围堆放杂物，不得在管线上压、埋、围、占，及时制止和消除影响供水安全的因素。</w:t>
      </w:r>
    </w:p>
    <w:p>
      <w:pPr>
        <w:pStyle w:val="165"/>
      </w:pPr>
      <w:r>
        <w:rPr>
          <w:rFonts w:hint="eastAsia"/>
        </w:rPr>
        <w:t>二次供水运行管理单位应定期对水质进行检验，检验结果应进行公示。</w:t>
      </w:r>
    </w:p>
    <w:p>
      <w:pPr>
        <w:pStyle w:val="165"/>
      </w:pPr>
      <w:r>
        <w:rPr>
          <w:rFonts w:hint="eastAsia"/>
        </w:rPr>
        <w:t>二次供水设施巡检应符合下列规定：</w:t>
      </w:r>
    </w:p>
    <w:p>
      <w:pPr>
        <w:pStyle w:val="132"/>
      </w:pPr>
      <w:r>
        <w:rPr>
          <w:rFonts w:hint="eastAsia"/>
        </w:rPr>
        <w:t>应制定巡检计划。巡检时，应首先观察泵房外部环境，查看门窗是否完好；</w:t>
      </w:r>
    </w:p>
    <w:p>
      <w:pPr>
        <w:pStyle w:val="132"/>
      </w:pPr>
      <w:r>
        <w:rPr>
          <w:rFonts w:hint="eastAsia"/>
        </w:rPr>
        <w:t>检查照明设施是否完好，排风系统是否工作正常；</w:t>
      </w:r>
    </w:p>
    <w:p>
      <w:pPr>
        <w:pStyle w:val="132"/>
      </w:pPr>
      <w:r>
        <w:rPr>
          <w:rFonts w:hint="eastAsia"/>
        </w:rPr>
        <w:t>检查供水工艺系统设施有无变形、泄漏；</w:t>
      </w:r>
    </w:p>
    <w:p>
      <w:pPr>
        <w:pStyle w:val="132"/>
      </w:pPr>
      <w:r>
        <w:rPr>
          <w:rFonts w:hint="eastAsia"/>
        </w:rPr>
        <w:t>检查各种仪表运转是否正常，各种指示灯显示是否正常，并做好记录；</w:t>
      </w:r>
    </w:p>
    <w:p>
      <w:pPr>
        <w:pStyle w:val="132"/>
      </w:pPr>
      <w:r>
        <w:rPr>
          <w:rFonts w:hint="eastAsia"/>
        </w:rPr>
        <w:t>发现系统压力变化异常时，应及时分析调整；</w:t>
      </w:r>
    </w:p>
    <w:p>
      <w:pPr>
        <w:pStyle w:val="132"/>
      </w:pPr>
      <w:r>
        <w:rPr>
          <w:rFonts w:hint="eastAsia"/>
        </w:rPr>
        <w:t>检查水泵机组，仔细辨听水流声、电磁噪声、机械噪声等运行中的声响对机组产生的异常噪声做出判断；</w:t>
      </w:r>
    </w:p>
    <w:p>
      <w:pPr>
        <w:pStyle w:val="132"/>
      </w:pPr>
      <w:r>
        <w:rPr>
          <w:rFonts w:hint="eastAsia"/>
        </w:rPr>
        <w:t>检查消毒灭菌装置的工作状态及故障指示；</w:t>
      </w:r>
    </w:p>
    <w:p>
      <w:pPr>
        <w:pStyle w:val="132"/>
      </w:pPr>
      <w:r>
        <w:rPr>
          <w:rFonts w:hint="eastAsia"/>
        </w:rPr>
        <w:t>查看水箱液位指示及波动情况；</w:t>
      </w:r>
    </w:p>
    <w:p>
      <w:pPr>
        <w:pStyle w:val="132"/>
      </w:pPr>
      <w:r>
        <w:rPr>
          <w:rFonts w:hint="eastAsia"/>
        </w:rPr>
        <w:t>检查进、出水阀门（含阀门井）及管道。</w:t>
      </w:r>
    </w:p>
    <w:p>
      <w:pPr>
        <w:pStyle w:val="165"/>
      </w:pPr>
      <w:r>
        <w:rPr>
          <w:rFonts w:hint="eastAsia"/>
        </w:rPr>
        <w:t>水池（箱）及消毒设备运行应符合下列规定：</w:t>
      </w:r>
    </w:p>
    <w:p>
      <w:pPr>
        <w:pStyle w:val="132"/>
      </w:pPr>
      <w:r>
        <w:rPr>
          <w:rFonts w:hint="eastAsia"/>
        </w:rPr>
        <w:t>委托依法设立的清洗消毒机构对二次供水水池（箱）定期进行清洗消毒，每半年不得少于1次；</w:t>
      </w:r>
    </w:p>
    <w:p>
      <w:pPr>
        <w:pStyle w:val="132"/>
      </w:pPr>
      <w:r>
        <w:rPr>
          <w:rFonts w:hint="eastAsia"/>
        </w:rPr>
        <w:t>委托水质检测机构进行二次供水水质检测（每季度不少于1次，其中含清洗消毒后的水质检测）；</w:t>
      </w:r>
    </w:p>
    <w:p>
      <w:pPr>
        <w:pStyle w:val="132"/>
      </w:pPr>
      <w:r>
        <w:rPr>
          <w:rFonts w:hint="eastAsia"/>
        </w:rPr>
        <w:t>水池（箱）所使用的消毒剂应取得卫生行政部门的卫生许可（不需要许可的应有卫生安全评价报告）；</w:t>
      </w:r>
    </w:p>
    <w:p>
      <w:pPr>
        <w:pStyle w:val="132"/>
      </w:pPr>
      <w:r>
        <w:rPr>
          <w:rFonts w:hint="eastAsia"/>
        </w:rPr>
        <w:t>水池（箱）周围10</w:t>
      </w:r>
      <w:r>
        <w:t xml:space="preserve"> </w:t>
      </w:r>
      <w:r>
        <w:rPr>
          <w:rFonts w:hint="eastAsia"/>
        </w:rPr>
        <w:t>m以内不应有渗水坑，不应有垃圾等污染源。水箱周围2</w:t>
      </w:r>
      <w:r>
        <w:t xml:space="preserve"> </w:t>
      </w:r>
      <w:r>
        <w:rPr>
          <w:rFonts w:hint="eastAsia"/>
        </w:rPr>
        <w:t>m内不应有污水管线及污染物；</w:t>
      </w:r>
    </w:p>
    <w:p>
      <w:pPr>
        <w:pStyle w:val="132"/>
      </w:pPr>
      <w:r>
        <w:rPr>
          <w:rFonts w:hint="eastAsia"/>
        </w:rPr>
        <w:t>水池（箱）应当加盖上锁，加网罩，设隔离护栏，钥匙由专人保管；</w:t>
      </w:r>
    </w:p>
    <w:p>
      <w:pPr>
        <w:pStyle w:val="132"/>
      </w:pPr>
      <w:r>
        <w:rPr>
          <w:rFonts w:hint="eastAsia"/>
        </w:rPr>
        <w:t>水池（箱）应有液位控制装置和压力变送器，超高液位时应自动报警、超低液位时应自动停机。</w:t>
      </w:r>
    </w:p>
    <w:p>
      <w:pPr>
        <w:pStyle w:val="165"/>
      </w:pPr>
      <w:r>
        <w:rPr>
          <w:rFonts w:hint="eastAsia"/>
        </w:rPr>
        <w:t>水池（箱）房的管理应符合下列要求:</w:t>
      </w:r>
    </w:p>
    <w:p>
      <w:pPr>
        <w:pStyle w:val="132"/>
      </w:pPr>
      <w:r>
        <w:rPr>
          <w:rFonts w:hint="eastAsia"/>
        </w:rPr>
        <w:t>水池（箱）人孔必须加盖，封闭严密；</w:t>
      </w:r>
    </w:p>
    <w:p>
      <w:pPr>
        <w:pStyle w:val="132"/>
      </w:pPr>
      <w:r>
        <w:rPr>
          <w:rFonts w:hint="eastAsia"/>
        </w:rPr>
        <w:t>水池（箱）溢流管，宜采用水平喇叭口集水；溢流管出口应设置耐腐蚀材料滤网的防虫网罩，并应与排水系统有不小于0.2 m的空气间隙，不得直接连接；</w:t>
      </w:r>
    </w:p>
    <w:p>
      <w:pPr>
        <w:pStyle w:val="132"/>
      </w:pPr>
      <w:r>
        <w:rPr>
          <w:rFonts w:hint="eastAsia"/>
        </w:rPr>
        <w:t>每月应定期检查排水畅通情况，有无堵塞现象。汛期应在汛前、雨前、雨后增加检查，保证排水通畅。</w:t>
      </w:r>
    </w:p>
    <w:p>
      <w:pPr>
        <w:pStyle w:val="165"/>
      </w:pPr>
      <w:r>
        <w:rPr>
          <w:rFonts w:hint="eastAsia"/>
        </w:rPr>
        <w:t>水泵运行应符合下列规定：</w:t>
      </w:r>
    </w:p>
    <w:p>
      <w:pPr>
        <w:pStyle w:val="132"/>
      </w:pPr>
      <w:r>
        <w:rPr>
          <w:rFonts w:hint="eastAsia"/>
        </w:rPr>
        <w:t>进水水位不应低于规定的最低水位；</w:t>
      </w:r>
    </w:p>
    <w:p>
      <w:pPr>
        <w:pStyle w:val="132"/>
      </w:pPr>
      <w:r>
        <w:rPr>
          <w:rFonts w:hint="eastAsia"/>
        </w:rPr>
        <w:t>除水泵机械密封及其他无泄漏密封外，填料室应有水滴出。</w:t>
      </w:r>
    </w:p>
    <w:p>
      <w:pPr>
        <w:pStyle w:val="165"/>
      </w:pPr>
      <w:r>
        <w:rPr>
          <w:rFonts w:hint="eastAsia"/>
        </w:rPr>
        <w:t>泵房的运行管理应符合下列要求：</w:t>
      </w:r>
    </w:p>
    <w:p>
      <w:pPr>
        <w:pStyle w:val="132"/>
      </w:pPr>
      <w:r>
        <w:rPr>
          <w:rFonts w:hint="eastAsia"/>
        </w:rPr>
        <w:t>每月应定期检查泵房内的水池（箱） 的液位控制系统、消毒设施设备、各类仪表、阀门井等，保证阀门井盖不缺失、阀门不漏水: 自动排气阀、倒流防止器等设施设备运行正常；</w:t>
      </w:r>
    </w:p>
    <w:p>
      <w:pPr>
        <w:pStyle w:val="132"/>
      </w:pPr>
      <w:r>
        <w:rPr>
          <w:rFonts w:hint="eastAsia"/>
        </w:rPr>
        <w:t>泵房内应保持干净、整洁、通风。严禁存放有毒有害，易燃，易爆、易腐蚀及可能造成环境污染的物品；</w:t>
      </w:r>
    </w:p>
    <w:p>
      <w:pPr>
        <w:pStyle w:val="132"/>
      </w:pPr>
      <w:r>
        <w:rPr>
          <w:rFonts w:hint="eastAsia"/>
        </w:rPr>
        <w:t>非值班人员需要进入泵房，应经主管领导批准，并由值班人员陪同；</w:t>
      </w:r>
    </w:p>
    <w:p>
      <w:pPr>
        <w:pStyle w:val="132"/>
      </w:pPr>
      <w:r>
        <w:rPr>
          <w:rFonts w:hint="eastAsia"/>
        </w:rPr>
        <w:t>水泵房内应备齐消防器材并应放置在方便取用处；</w:t>
      </w:r>
    </w:p>
    <w:p>
      <w:pPr>
        <w:pStyle w:val="132"/>
      </w:pPr>
      <w:r>
        <w:rPr>
          <w:rFonts w:hint="eastAsia"/>
        </w:rPr>
        <w:t>水泵房应保持锁闭状态，钥匙由值班人员保管，不得转借他人。</w:t>
      </w:r>
    </w:p>
    <w:p>
      <w:pPr>
        <w:pStyle w:val="165"/>
      </w:pPr>
      <w:r>
        <w:rPr>
          <w:rFonts w:hint="eastAsia"/>
        </w:rPr>
        <w:t>叠压（无负压）供水设备运行应符合下列规定:</w:t>
      </w:r>
    </w:p>
    <w:p>
      <w:pPr>
        <w:pStyle w:val="132"/>
      </w:pPr>
      <w:r>
        <w:rPr>
          <w:rFonts w:hint="eastAsia"/>
        </w:rPr>
        <w:t>叠压（无负压）供水应根据当地供求和用水实际情况，确定有效防止影响供水管道水力工况的技术措施和可靠的防负压控制系统；</w:t>
      </w:r>
    </w:p>
    <w:p>
      <w:pPr>
        <w:pStyle w:val="132"/>
      </w:pPr>
      <w:r>
        <w:rPr>
          <w:rFonts w:hint="eastAsia"/>
        </w:rPr>
        <w:t>行政主管部门及供水企业可以检查无负压供水设备的实际运行的工况。</w:t>
      </w:r>
    </w:p>
    <w:p>
      <w:pPr>
        <w:pStyle w:val="165"/>
      </w:pPr>
      <w:r>
        <w:rPr>
          <w:rFonts w:hint="eastAsia"/>
        </w:rPr>
        <w:t>供水管道运行应符合下列规定:</w:t>
      </w:r>
    </w:p>
    <w:p>
      <w:pPr>
        <w:pStyle w:val="132"/>
      </w:pPr>
      <w:r>
        <w:rPr>
          <w:rFonts w:hint="eastAsia"/>
        </w:rPr>
        <w:t>二次供水管道应有标识；</w:t>
      </w:r>
    </w:p>
    <w:p>
      <w:pPr>
        <w:pStyle w:val="132"/>
      </w:pPr>
      <w:r>
        <w:rPr>
          <w:rFonts w:hint="eastAsia"/>
        </w:rPr>
        <w:t>维修人员应熟悉供给水系统，检查供给水管道及阀门的使用情况，注意地层有无漏水、渗水、积水等异常情况。如发现有上述现象，应及时查明原因并做出相应处理；</w:t>
      </w:r>
    </w:p>
    <w:p>
      <w:pPr>
        <w:pStyle w:val="132"/>
      </w:pPr>
      <w:r>
        <w:rPr>
          <w:rFonts w:hint="eastAsia"/>
        </w:rPr>
        <w:t>管道应安装牢固，控制阀门启用灵活、无滴漏。水压试验及保温、防腐措施应符合GB 50242的规定。</w:t>
      </w:r>
    </w:p>
    <w:p>
      <w:pPr>
        <w:pStyle w:val="165"/>
      </w:pPr>
      <w:r>
        <w:rPr>
          <w:rFonts w:hint="eastAsia"/>
        </w:rPr>
        <w:t>运行管理人员不得随意更改已设定的运行控制参数。</w:t>
      </w:r>
    </w:p>
    <w:p>
      <w:pPr>
        <w:pStyle w:val="165"/>
      </w:pPr>
      <w:r>
        <w:rPr>
          <w:rFonts w:hint="eastAsia"/>
        </w:rPr>
        <w:t>控制系统应显示故障信号，并宜显示运行状况信号，其中可包括水泵运行、泵前水位、供水压力、水量、电源、电流和变频频率等。</w:t>
      </w:r>
    </w:p>
    <w:p>
      <w:pPr>
        <w:pStyle w:val="165"/>
      </w:pPr>
      <w:r>
        <w:rPr>
          <w:rFonts w:hint="eastAsia"/>
        </w:rPr>
        <w:t>控制系统应采用可靠安全接地保护措施，符合相应技术标准要求</w:t>
      </w:r>
    </w:p>
    <w:p>
      <w:pPr>
        <w:pStyle w:val="165"/>
      </w:pPr>
      <w:r>
        <w:rPr>
          <w:rFonts w:hint="eastAsia"/>
        </w:rPr>
        <w:t>根据设计运行模式，水泵及其配套设备控制应采取就地控制、远程控制及自动控制的方式。</w:t>
      </w:r>
    </w:p>
    <w:p>
      <w:pPr>
        <w:pStyle w:val="165"/>
      </w:pPr>
      <w:r>
        <w:rPr>
          <w:rFonts w:hint="eastAsia"/>
        </w:rPr>
        <w:t>贮水池和水箱应有可靠的溢出报警和水位传输设施及其控制设备。</w:t>
      </w:r>
    </w:p>
    <w:p>
      <w:pPr>
        <w:pStyle w:val="165"/>
      </w:pPr>
      <w:r>
        <w:rPr>
          <w:rFonts w:hint="eastAsia"/>
        </w:rPr>
        <w:t>加压设备和消毒设备应有满足设备安全运行的电源和可靠的配电系统，应符合GB 50055的规定。</w:t>
      </w:r>
    </w:p>
    <w:p>
      <w:pPr>
        <w:pStyle w:val="165"/>
      </w:pPr>
      <w:r>
        <w:rPr>
          <w:rFonts w:hint="eastAsia"/>
        </w:rPr>
        <w:t>加压系统断水或供水不足以及系统供水超压时，应有自动报警和停机保护功能，当恢复正常时，应自动启动，进行供水。</w:t>
      </w:r>
    </w:p>
    <w:p>
      <w:pPr>
        <w:pStyle w:val="165"/>
      </w:pPr>
      <w:r>
        <w:rPr>
          <w:rFonts w:hint="eastAsia"/>
        </w:rPr>
        <w:t>泵房宜安装红外报警系统，在入口处设红外探头，有人入侵时，报警箱应能发出声光报警，且上传信号至管理部门。</w:t>
      </w:r>
    </w:p>
    <w:p>
      <w:pPr>
        <w:pStyle w:val="105"/>
        <w:spacing w:before="156" w:after="156"/>
      </w:pPr>
      <w:bookmarkStart w:id="89" w:name="_Toc155974785"/>
      <w:r>
        <w:rPr>
          <w:rFonts w:hint="eastAsia"/>
        </w:rPr>
        <w:t>维护</w:t>
      </w:r>
      <w:bookmarkEnd w:id="89"/>
    </w:p>
    <w:p>
      <w:pPr>
        <w:pStyle w:val="165"/>
      </w:pPr>
      <w:r>
        <w:rPr>
          <w:rFonts w:hint="eastAsia"/>
        </w:rPr>
        <w:t>二次供水设施维护应每半年一次，并应记录及建立台账。</w:t>
      </w:r>
    </w:p>
    <w:p>
      <w:pPr>
        <w:pStyle w:val="165"/>
      </w:pPr>
      <w:r>
        <w:rPr>
          <w:rFonts w:hint="eastAsia"/>
        </w:rPr>
        <w:t>二次供水设施设备维护管理人员应具备下列基本知识和技能：</w:t>
      </w:r>
    </w:p>
    <w:p>
      <w:pPr>
        <w:pStyle w:val="132"/>
      </w:pPr>
      <w:r>
        <w:rPr>
          <w:rFonts w:hint="eastAsia"/>
        </w:rPr>
        <w:t>各项管理制度、技术规程和安全操作规程；</w:t>
      </w:r>
    </w:p>
    <w:p>
      <w:pPr>
        <w:pStyle w:val="132"/>
      </w:pPr>
      <w:r>
        <w:rPr>
          <w:rFonts w:hint="eastAsia"/>
        </w:rPr>
        <w:t>二次供水设施设备的结构、工作原理和工艺流程，熟悉各项技术指标和参数；</w:t>
      </w:r>
    </w:p>
    <w:p>
      <w:pPr>
        <w:pStyle w:val="132"/>
      </w:pPr>
      <w:r>
        <w:rPr>
          <w:rFonts w:hint="eastAsia"/>
        </w:rPr>
        <w:t>生活饮用水卫生相关法规和知识；</w:t>
      </w:r>
    </w:p>
    <w:p>
      <w:pPr>
        <w:pStyle w:val="132"/>
      </w:pPr>
      <w:r>
        <w:rPr>
          <w:rFonts w:hint="eastAsia"/>
        </w:rPr>
        <w:t>维修、保养相关技术知识和要求；</w:t>
      </w:r>
    </w:p>
    <w:p>
      <w:pPr>
        <w:pStyle w:val="132"/>
      </w:pPr>
      <w:r>
        <w:rPr>
          <w:rFonts w:hint="eastAsia"/>
        </w:rPr>
        <w:t>具备二次供水设施设备运行、维保、维修和应急处置相应技能，能及时发现并排除故障隐患的能力。</w:t>
      </w:r>
    </w:p>
    <w:p>
      <w:pPr>
        <w:pStyle w:val="165"/>
      </w:pPr>
      <w:r>
        <w:rPr>
          <w:rFonts w:hint="eastAsia"/>
        </w:rPr>
        <w:t>二次供水设施出现故障应及时抢修，尽快恢复供水。</w:t>
      </w:r>
    </w:p>
    <w:p>
      <w:pPr>
        <w:pStyle w:val="165"/>
      </w:pPr>
      <w:r>
        <w:rPr>
          <w:rFonts w:hint="eastAsia"/>
        </w:rPr>
        <w:t>应加强对供水设施的巡视。如发生占压应及时劝阻、拆除。</w:t>
      </w:r>
    </w:p>
    <w:p>
      <w:pPr>
        <w:pStyle w:val="165"/>
      </w:pPr>
      <w:r>
        <w:rPr>
          <w:rFonts w:hint="eastAsia"/>
        </w:rPr>
        <w:t>根据管道材质及使用情况，应有计划的进行老旧管网改造。</w:t>
      </w:r>
    </w:p>
    <w:p>
      <w:pPr>
        <w:pStyle w:val="165"/>
      </w:pPr>
      <w:r>
        <w:rPr>
          <w:rFonts w:hint="eastAsia"/>
        </w:rPr>
        <w:t>应根据国家相关规定对压力表、压力容器、电接点压力表、绝缘电阻测量仪、接地电阻测量仪、用于计量电表等特种设备或计量器具进行检测、校准。</w:t>
      </w:r>
    </w:p>
    <w:p>
      <w:pPr>
        <w:pStyle w:val="165"/>
      </w:pPr>
      <w:r>
        <w:rPr>
          <w:rFonts w:hint="eastAsia"/>
        </w:rPr>
        <w:t>维护保养应包括下列内容：</w:t>
      </w:r>
    </w:p>
    <w:p>
      <w:pPr>
        <w:pStyle w:val="132"/>
      </w:pPr>
      <w:r>
        <w:rPr>
          <w:rFonts w:hint="eastAsia"/>
        </w:rPr>
        <w:t>水池（箱）；</w:t>
      </w:r>
    </w:p>
    <w:p>
      <w:pPr>
        <w:pStyle w:val="132"/>
      </w:pPr>
      <w:r>
        <w:rPr>
          <w:rFonts w:hint="eastAsia"/>
        </w:rPr>
        <w:t>水泵机组；</w:t>
      </w:r>
    </w:p>
    <w:p>
      <w:pPr>
        <w:pStyle w:val="132"/>
      </w:pPr>
      <w:r>
        <w:rPr>
          <w:rFonts w:hint="eastAsia"/>
        </w:rPr>
        <w:t>消毒设备；</w:t>
      </w:r>
    </w:p>
    <w:p>
      <w:pPr>
        <w:pStyle w:val="132"/>
      </w:pPr>
      <w:r>
        <w:rPr>
          <w:rFonts w:hint="eastAsia"/>
        </w:rPr>
        <w:t>叠压供水设施；</w:t>
      </w:r>
    </w:p>
    <w:p>
      <w:pPr>
        <w:pStyle w:val="132"/>
      </w:pPr>
      <w:r>
        <w:rPr>
          <w:rFonts w:hint="eastAsia"/>
        </w:rPr>
        <w:t>管路及附件。</w:t>
      </w:r>
    </w:p>
    <w:p>
      <w:pPr>
        <w:pStyle w:val="165"/>
      </w:pPr>
      <w:r>
        <w:rPr>
          <w:rFonts w:hint="eastAsia"/>
        </w:rPr>
        <w:t>二次供水水池（箱）维护应按照表3执行。</w:t>
      </w:r>
    </w:p>
    <w:p>
      <w:pPr>
        <w:pStyle w:val="112"/>
        <w:spacing w:before="156" w:after="156"/>
      </w:pPr>
      <w:r>
        <w:rPr>
          <w:rFonts w:hint="eastAsia"/>
        </w:rPr>
        <w:t>水池（箱）</w:t>
      </w:r>
      <w:r>
        <w:t>维护内容及要求</w:t>
      </w:r>
    </w:p>
    <w:tbl>
      <w:tblPr>
        <w:tblStyle w:val="33"/>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667"/>
        <w:gridCol w:w="4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blHeader/>
          <w:jc w:val="center"/>
        </w:trPr>
        <w:tc>
          <w:tcPr>
            <w:tcW w:w="4667" w:type="dxa"/>
            <w:tcBorders>
              <w:top w:val="single" w:color="auto" w:sz="8" w:space="0"/>
              <w:bottom w:val="single" w:color="auto" w:sz="8" w:space="0"/>
            </w:tcBorders>
            <w:shd w:val="clear" w:color="auto" w:fill="auto"/>
          </w:tcPr>
          <w:p>
            <w:pPr>
              <w:jc w:val="center"/>
              <w:rPr>
                <w:rFonts w:ascii="宋体" w:hAnsi="宋体"/>
                <w:sz w:val="18"/>
                <w:szCs w:val="18"/>
              </w:rPr>
            </w:pPr>
            <w:r>
              <w:rPr>
                <w:rFonts w:hint="eastAsia" w:ascii="宋体" w:hAnsi="宋体"/>
                <w:sz w:val="18"/>
                <w:szCs w:val="18"/>
              </w:rPr>
              <w:t>检查内容</w:t>
            </w:r>
          </w:p>
        </w:tc>
        <w:tc>
          <w:tcPr>
            <w:tcW w:w="4667" w:type="dxa"/>
            <w:tcBorders>
              <w:top w:val="single" w:color="auto" w:sz="8" w:space="0"/>
              <w:bottom w:val="single" w:color="auto" w:sz="8" w:space="0"/>
            </w:tcBorders>
            <w:shd w:val="clear" w:color="auto" w:fill="auto"/>
          </w:tcPr>
          <w:p>
            <w:pPr>
              <w:jc w:val="center"/>
              <w:rPr>
                <w:rFonts w:ascii="宋体" w:hAnsi="宋体"/>
                <w:sz w:val="18"/>
                <w:szCs w:val="18"/>
              </w:rPr>
            </w:pPr>
            <w:r>
              <w:rPr>
                <w:rFonts w:hint="eastAsia" w:ascii="宋体" w:hAnsi="宋体"/>
                <w:sz w:val="18"/>
                <w:szCs w:val="18"/>
              </w:rPr>
              <w:t>维护要求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jc w:val="center"/>
        </w:trPr>
        <w:tc>
          <w:tcPr>
            <w:tcW w:w="4667" w:type="dxa"/>
            <w:tcBorders>
              <w:top w:val="single" w:color="auto" w:sz="8" w:space="0"/>
            </w:tcBorders>
            <w:shd w:val="clear" w:color="auto" w:fill="auto"/>
          </w:tcPr>
          <w:p>
            <w:pPr>
              <w:pStyle w:val="178"/>
            </w:pPr>
            <w:r>
              <w:rPr>
                <w:rFonts w:hint="eastAsia"/>
              </w:rPr>
              <w:t>通气孔</w:t>
            </w:r>
            <w:r>
              <w:t>、溢流管、</w:t>
            </w:r>
            <w:r>
              <w:rPr>
                <w:rFonts w:hint="eastAsia"/>
              </w:rPr>
              <w:t>泄水</w:t>
            </w:r>
            <w:r>
              <w:t>管</w:t>
            </w:r>
          </w:p>
        </w:tc>
        <w:tc>
          <w:tcPr>
            <w:tcW w:w="4667" w:type="dxa"/>
            <w:tcBorders>
              <w:top w:val="single" w:color="auto" w:sz="8" w:space="0"/>
            </w:tcBorders>
            <w:shd w:val="clear" w:color="auto" w:fill="auto"/>
          </w:tcPr>
          <w:p>
            <w:pPr>
              <w:pStyle w:val="178"/>
            </w:pPr>
            <w:r>
              <w:rPr>
                <w:rFonts w:hint="eastAsia"/>
              </w:rPr>
              <w:t>畅通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jc w:val="center"/>
        </w:trPr>
        <w:tc>
          <w:tcPr>
            <w:tcW w:w="4667" w:type="dxa"/>
            <w:shd w:val="clear" w:color="auto" w:fill="auto"/>
          </w:tcPr>
          <w:p>
            <w:pPr>
              <w:pStyle w:val="178"/>
            </w:pPr>
            <w:r>
              <w:rPr>
                <w:rFonts w:hint="eastAsia"/>
              </w:rPr>
              <w:t>水箱</w:t>
            </w:r>
            <w:r>
              <w:t>人孔</w:t>
            </w:r>
          </w:p>
        </w:tc>
        <w:tc>
          <w:tcPr>
            <w:tcW w:w="4667" w:type="dxa"/>
            <w:shd w:val="clear" w:color="auto" w:fill="auto"/>
          </w:tcPr>
          <w:p>
            <w:pPr>
              <w:pStyle w:val="178"/>
            </w:pPr>
            <w:r>
              <w:rPr>
                <w:rFonts w:hint="eastAsia"/>
              </w:rPr>
              <w:t>启闭</w:t>
            </w:r>
            <w:r>
              <w:t>状况、严密性和封闭措施正常、完好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jc w:val="center"/>
        </w:trPr>
        <w:tc>
          <w:tcPr>
            <w:tcW w:w="4667" w:type="dxa"/>
            <w:shd w:val="clear" w:color="auto" w:fill="auto"/>
          </w:tcPr>
          <w:p>
            <w:pPr>
              <w:pStyle w:val="178"/>
            </w:pPr>
            <w:r>
              <w:rPr>
                <w:rFonts w:hint="eastAsia"/>
              </w:rPr>
              <w:t>水箱</w:t>
            </w:r>
            <w:r>
              <w:t>内部</w:t>
            </w:r>
          </w:p>
        </w:tc>
        <w:tc>
          <w:tcPr>
            <w:tcW w:w="4667" w:type="dxa"/>
            <w:shd w:val="clear" w:color="auto" w:fill="auto"/>
          </w:tcPr>
          <w:p>
            <w:pPr>
              <w:pStyle w:val="178"/>
            </w:pPr>
            <w:r>
              <w:rPr>
                <w:rFonts w:hint="eastAsia"/>
              </w:rPr>
              <w:t>无</w:t>
            </w:r>
            <w:r>
              <w:t>微生物滋生和杂志沉淀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jc w:val="center"/>
        </w:trPr>
        <w:tc>
          <w:tcPr>
            <w:tcW w:w="4667" w:type="dxa"/>
            <w:shd w:val="clear" w:color="auto" w:fill="auto"/>
          </w:tcPr>
          <w:p>
            <w:pPr>
              <w:pStyle w:val="178"/>
            </w:pPr>
            <w:r>
              <w:rPr>
                <w:rFonts w:hint="eastAsia"/>
              </w:rPr>
              <w:t>水箱</w:t>
            </w:r>
            <w:r>
              <w:t>液位</w:t>
            </w:r>
            <w:r>
              <w:rPr>
                <w:rFonts w:hint="eastAsia"/>
              </w:rPr>
              <w:t>浮球阀</w:t>
            </w:r>
          </w:p>
        </w:tc>
        <w:tc>
          <w:tcPr>
            <w:tcW w:w="4667" w:type="dxa"/>
            <w:shd w:val="clear" w:color="auto" w:fill="auto"/>
          </w:tcPr>
          <w:p>
            <w:pPr>
              <w:pStyle w:val="178"/>
            </w:pPr>
            <w:r>
              <w:rPr>
                <w:rFonts w:hint="eastAsia"/>
              </w:rPr>
              <w:t>无松动</w:t>
            </w:r>
            <w:r>
              <w:t>和损坏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jc w:val="center"/>
        </w:trPr>
        <w:tc>
          <w:tcPr>
            <w:tcW w:w="4667" w:type="dxa"/>
            <w:shd w:val="clear" w:color="auto" w:fill="auto"/>
          </w:tcPr>
          <w:p>
            <w:pPr>
              <w:pStyle w:val="178"/>
            </w:pPr>
            <w:r>
              <w:rPr>
                <w:rFonts w:hint="eastAsia"/>
              </w:rPr>
              <w:t>水箱</w:t>
            </w:r>
            <w:r>
              <w:t>液位检测显示装置</w:t>
            </w:r>
          </w:p>
        </w:tc>
        <w:tc>
          <w:tcPr>
            <w:tcW w:w="4667" w:type="dxa"/>
            <w:shd w:val="clear" w:color="auto" w:fill="auto"/>
          </w:tcPr>
          <w:p>
            <w:pPr>
              <w:pStyle w:val="178"/>
            </w:pPr>
            <w:r>
              <w:rPr>
                <w:rFonts w:hint="eastAsia"/>
              </w:rPr>
              <w:t>完好</w:t>
            </w:r>
            <w:r>
              <w:t>，显示准确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78"/>
            </w:pPr>
            <w:r>
              <w:rPr>
                <w:rFonts w:hint="eastAsia"/>
              </w:rPr>
              <w:t>压力</w:t>
            </w:r>
            <w:r>
              <w:t>水容器防负压装置</w:t>
            </w:r>
          </w:p>
        </w:tc>
        <w:tc>
          <w:tcPr>
            <w:tcW w:w="4667" w:type="dxa"/>
            <w:shd w:val="clear" w:color="auto" w:fill="auto"/>
          </w:tcPr>
          <w:p>
            <w:pPr>
              <w:pStyle w:val="178"/>
            </w:pPr>
            <w:r>
              <w:rPr>
                <w:rFonts w:hint="eastAsia"/>
              </w:rPr>
              <w:t>完好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78"/>
            </w:pPr>
            <w:r>
              <w:rPr>
                <w:rFonts w:hint="eastAsia"/>
              </w:rPr>
              <w:t>压力</w:t>
            </w:r>
            <w:r>
              <w:t>水容器运行压力</w:t>
            </w:r>
          </w:p>
        </w:tc>
        <w:tc>
          <w:tcPr>
            <w:tcW w:w="4667" w:type="dxa"/>
            <w:shd w:val="clear" w:color="auto" w:fill="auto"/>
          </w:tcPr>
          <w:p>
            <w:pPr>
              <w:pStyle w:val="178"/>
            </w:pPr>
            <w:r>
              <w:rPr>
                <w:rFonts w:hint="eastAsia"/>
              </w:rPr>
              <w:t>正常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78"/>
            </w:pPr>
            <w:r>
              <w:rPr>
                <w:rFonts w:hint="eastAsia"/>
              </w:rPr>
              <w:t>设施</w:t>
            </w:r>
            <w:r>
              <w:t>基础</w:t>
            </w:r>
          </w:p>
        </w:tc>
        <w:tc>
          <w:tcPr>
            <w:tcW w:w="4667" w:type="dxa"/>
            <w:shd w:val="clear" w:color="auto" w:fill="auto"/>
          </w:tcPr>
          <w:p>
            <w:pPr>
              <w:pStyle w:val="178"/>
            </w:pPr>
            <w:r>
              <w:rPr>
                <w:rFonts w:hint="eastAsia"/>
              </w:rPr>
              <w:t>无损坏</w:t>
            </w:r>
            <w:r>
              <w:t>和沉降</w:t>
            </w:r>
          </w:p>
        </w:tc>
      </w:tr>
    </w:tbl>
    <w:p>
      <w:pPr>
        <w:pStyle w:val="165"/>
      </w:pPr>
      <w:r>
        <w:rPr>
          <w:rFonts w:hint="eastAsia"/>
        </w:rPr>
        <w:t>二次供水水泵机组</w:t>
      </w:r>
      <w:r>
        <w:t>维护应按照表</w:t>
      </w:r>
      <w:r>
        <w:rPr>
          <w:rFonts w:hint="eastAsia"/>
        </w:rPr>
        <w:t>4</w:t>
      </w:r>
      <w:r>
        <w:t>执行。</w:t>
      </w:r>
    </w:p>
    <w:p>
      <w:pPr>
        <w:pStyle w:val="112"/>
        <w:spacing w:before="156" w:after="156"/>
      </w:pPr>
      <w:r>
        <w:rPr>
          <w:rFonts w:hint="eastAsia"/>
        </w:rPr>
        <w:t>二次供水水泵机组维护内容和</w:t>
      </w:r>
      <w:r>
        <w:t>要求</w:t>
      </w:r>
    </w:p>
    <w:tbl>
      <w:tblPr>
        <w:tblStyle w:val="33"/>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667"/>
        <w:gridCol w:w="4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shd w:val="clear" w:color="auto" w:fill="auto"/>
            <w:vAlign w:val="center"/>
          </w:tcPr>
          <w:p>
            <w:pPr>
              <w:pStyle w:val="178"/>
            </w:pPr>
            <w:r>
              <w:rPr>
                <w:rFonts w:hint="eastAsia"/>
              </w:rPr>
              <w:t>检查内容</w:t>
            </w:r>
          </w:p>
        </w:tc>
        <w:tc>
          <w:tcPr>
            <w:tcW w:w="4667" w:type="dxa"/>
            <w:tcBorders>
              <w:top w:val="single" w:color="auto" w:sz="8" w:space="0"/>
              <w:bottom w:val="single" w:color="auto" w:sz="8" w:space="0"/>
            </w:tcBorders>
            <w:shd w:val="clear" w:color="auto" w:fill="auto"/>
            <w:vAlign w:val="center"/>
          </w:tcPr>
          <w:p>
            <w:pPr>
              <w:pStyle w:val="178"/>
            </w:pPr>
            <w:r>
              <w:rPr>
                <w:rFonts w:hint="eastAsia"/>
              </w:rPr>
              <w:t>维护要求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tcBorders>
              <w:top w:val="single" w:color="auto" w:sz="8" w:space="0"/>
            </w:tcBorders>
            <w:shd w:val="clear" w:color="auto" w:fill="auto"/>
          </w:tcPr>
          <w:p>
            <w:pPr>
              <w:pStyle w:val="178"/>
            </w:pPr>
            <w:r>
              <w:rPr>
                <w:rFonts w:hint="eastAsia"/>
              </w:rPr>
              <w:t>水泵</w:t>
            </w:r>
            <w:r>
              <w:t>机组外露零件</w:t>
            </w:r>
          </w:p>
        </w:tc>
        <w:tc>
          <w:tcPr>
            <w:tcW w:w="4667" w:type="dxa"/>
            <w:tcBorders>
              <w:top w:val="single" w:color="auto" w:sz="8" w:space="0"/>
            </w:tcBorders>
            <w:shd w:val="clear" w:color="auto" w:fill="auto"/>
          </w:tcPr>
          <w:p>
            <w:pPr>
              <w:pStyle w:val="178"/>
            </w:pPr>
            <w:r>
              <w:rPr>
                <w:rFonts w:hint="eastAsia"/>
              </w:rPr>
              <w:t>应</w:t>
            </w:r>
            <w:r>
              <w:t>无锈蚀、漏水、漏油、漏电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78"/>
            </w:pPr>
            <w:r>
              <w:rPr>
                <w:rFonts w:hint="eastAsia"/>
              </w:rPr>
              <w:t>轴承</w:t>
            </w:r>
          </w:p>
        </w:tc>
        <w:tc>
          <w:tcPr>
            <w:tcW w:w="4667" w:type="dxa"/>
            <w:shd w:val="clear" w:color="auto" w:fill="auto"/>
          </w:tcPr>
          <w:p>
            <w:pPr>
              <w:pStyle w:val="178"/>
            </w:pPr>
            <w:r>
              <w:rPr>
                <w:rFonts w:hint="eastAsia"/>
              </w:rPr>
              <w:t>应</w:t>
            </w:r>
            <w:r>
              <w:t>保持润滑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78"/>
            </w:pPr>
            <w:r>
              <w:rPr>
                <w:rFonts w:hint="eastAsia"/>
              </w:rPr>
              <w:t>水泵</w:t>
            </w:r>
            <w:r>
              <w:t>机组外壳</w:t>
            </w:r>
          </w:p>
        </w:tc>
        <w:tc>
          <w:tcPr>
            <w:tcW w:w="4667" w:type="dxa"/>
            <w:shd w:val="clear" w:color="auto" w:fill="auto"/>
          </w:tcPr>
          <w:p>
            <w:pPr>
              <w:pStyle w:val="178"/>
            </w:pPr>
            <w:r>
              <w:rPr>
                <w:rFonts w:hint="eastAsia"/>
              </w:rPr>
              <w:t>接地</w:t>
            </w:r>
            <w:r>
              <w:t>良好牢固、不得有氧化或腐蚀现象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78"/>
            </w:pPr>
            <w:r>
              <w:rPr>
                <w:rFonts w:hint="eastAsia"/>
              </w:rPr>
              <w:t>电动</w:t>
            </w:r>
            <w:r>
              <w:t>机</w:t>
            </w:r>
          </w:p>
        </w:tc>
        <w:tc>
          <w:tcPr>
            <w:tcW w:w="4667" w:type="dxa"/>
            <w:shd w:val="clear" w:color="auto" w:fill="auto"/>
          </w:tcPr>
          <w:p>
            <w:pPr>
              <w:pStyle w:val="178"/>
            </w:pPr>
            <w:r>
              <w:rPr>
                <w:rFonts w:hint="eastAsia"/>
              </w:rPr>
              <w:t>三</w:t>
            </w:r>
            <w:r>
              <w:t>相电流平衡，轴承冷却系统有效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78"/>
            </w:pPr>
            <w:r>
              <w:rPr>
                <w:rFonts w:hint="eastAsia"/>
              </w:rPr>
              <w:t>对</w:t>
            </w:r>
            <w:r>
              <w:t>地绝缘电阻</w:t>
            </w:r>
          </w:p>
        </w:tc>
        <w:tc>
          <w:tcPr>
            <w:tcW w:w="4667" w:type="dxa"/>
            <w:shd w:val="clear" w:color="auto" w:fill="auto"/>
          </w:tcPr>
          <w:p>
            <w:pPr>
              <w:pStyle w:val="178"/>
            </w:pPr>
            <w:r>
              <w:rPr>
                <w:rFonts w:hint="eastAsia"/>
              </w:rPr>
              <w:t>测量</w:t>
            </w:r>
            <w:r>
              <w:t>值应符合规定值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78"/>
            </w:pPr>
            <w:r>
              <w:rPr>
                <w:rFonts w:hint="eastAsia"/>
              </w:rPr>
              <w:t>机组</w:t>
            </w:r>
            <w:r>
              <w:t>噪声</w:t>
            </w:r>
          </w:p>
        </w:tc>
        <w:tc>
          <w:tcPr>
            <w:tcW w:w="4667" w:type="dxa"/>
            <w:shd w:val="clear" w:color="auto" w:fill="auto"/>
          </w:tcPr>
          <w:p>
            <w:pPr>
              <w:pStyle w:val="178"/>
            </w:pPr>
            <w:r>
              <w:rPr>
                <w:rFonts w:hint="eastAsia"/>
              </w:rPr>
              <w:t>符合</w:t>
            </w:r>
            <w:r>
              <w:t>规定值，无</w:t>
            </w:r>
            <w:r>
              <w:rPr>
                <w:rFonts w:hint="eastAsia"/>
              </w:rPr>
              <w:t>异响</w:t>
            </w:r>
          </w:p>
        </w:tc>
      </w:tr>
    </w:tbl>
    <w:p>
      <w:pPr>
        <w:pStyle w:val="165"/>
        <w:numPr>
          <w:ilvl w:val="0"/>
          <w:numId w:val="0"/>
        </w:numPr>
      </w:pPr>
    </w:p>
    <w:p>
      <w:pPr>
        <w:pStyle w:val="165"/>
      </w:pPr>
      <w:r>
        <w:rPr>
          <w:rFonts w:hint="eastAsia"/>
        </w:rPr>
        <w:t>二次供水消毒设备</w:t>
      </w:r>
      <w:r>
        <w:t>维护应按照表</w:t>
      </w:r>
      <w:r>
        <w:rPr>
          <w:rFonts w:hint="eastAsia"/>
        </w:rPr>
        <w:t>5</w:t>
      </w:r>
      <w:r>
        <w:t>执行。</w:t>
      </w:r>
    </w:p>
    <w:p>
      <w:pPr>
        <w:pStyle w:val="112"/>
        <w:spacing w:before="156" w:after="156"/>
      </w:pPr>
      <w:r>
        <w:rPr>
          <w:rFonts w:hint="eastAsia"/>
        </w:rPr>
        <w:t>二次供水消毒设备维护内容</w:t>
      </w:r>
      <w:r>
        <w:t>及要求</w:t>
      </w:r>
    </w:p>
    <w:tbl>
      <w:tblPr>
        <w:tblStyle w:val="33"/>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667"/>
        <w:gridCol w:w="4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shd w:val="clear" w:color="auto" w:fill="auto"/>
            <w:vAlign w:val="center"/>
          </w:tcPr>
          <w:p>
            <w:pPr>
              <w:pStyle w:val="178"/>
            </w:pPr>
            <w:r>
              <w:rPr>
                <w:rFonts w:hint="eastAsia"/>
              </w:rPr>
              <w:t>检查内容</w:t>
            </w:r>
          </w:p>
        </w:tc>
        <w:tc>
          <w:tcPr>
            <w:tcW w:w="4667" w:type="dxa"/>
            <w:tcBorders>
              <w:top w:val="single" w:color="auto" w:sz="8" w:space="0"/>
              <w:bottom w:val="single" w:color="auto" w:sz="8" w:space="0"/>
            </w:tcBorders>
            <w:shd w:val="clear" w:color="auto" w:fill="auto"/>
            <w:vAlign w:val="center"/>
          </w:tcPr>
          <w:p>
            <w:pPr>
              <w:pStyle w:val="178"/>
            </w:pPr>
            <w:r>
              <w:rPr>
                <w:rFonts w:hint="eastAsia"/>
              </w:rPr>
              <w:t>维护要求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tcBorders>
              <w:top w:val="single" w:color="auto" w:sz="8" w:space="0"/>
            </w:tcBorders>
            <w:shd w:val="clear" w:color="auto" w:fill="auto"/>
            <w:vAlign w:val="center"/>
          </w:tcPr>
          <w:p>
            <w:pPr>
              <w:pStyle w:val="178"/>
            </w:pPr>
            <w:r>
              <w:rPr>
                <w:rFonts w:hint="eastAsia"/>
              </w:rPr>
              <w:t>紫外线照射强度</w:t>
            </w:r>
          </w:p>
        </w:tc>
        <w:tc>
          <w:tcPr>
            <w:tcW w:w="4667" w:type="dxa"/>
            <w:tcBorders>
              <w:top w:val="single" w:color="auto" w:sz="8" w:space="0"/>
            </w:tcBorders>
            <w:shd w:val="clear" w:color="auto" w:fill="auto"/>
            <w:vAlign w:val="center"/>
          </w:tcPr>
          <w:p>
            <w:pPr>
              <w:pStyle w:val="178"/>
            </w:pPr>
            <w:r>
              <w:rPr>
                <w:rFonts w:hint="eastAsia"/>
              </w:rPr>
              <w:t>及时清洗</w:t>
            </w:r>
            <w:r>
              <w:t>石英</w:t>
            </w:r>
            <w:r>
              <w:rPr>
                <w:rFonts w:hint="eastAsia"/>
              </w:rPr>
              <w:t>套管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vAlign w:val="center"/>
          </w:tcPr>
          <w:p>
            <w:pPr>
              <w:pStyle w:val="178"/>
            </w:pPr>
            <w:r>
              <w:rPr>
                <w:rFonts w:hint="eastAsia"/>
              </w:rPr>
              <w:t>紫外线照射</w:t>
            </w:r>
            <w:r>
              <w:t>累计使用时间</w:t>
            </w:r>
          </w:p>
        </w:tc>
        <w:tc>
          <w:tcPr>
            <w:tcW w:w="4667" w:type="dxa"/>
            <w:shd w:val="clear" w:color="auto" w:fill="auto"/>
            <w:vAlign w:val="center"/>
          </w:tcPr>
          <w:p>
            <w:pPr>
              <w:pStyle w:val="178"/>
            </w:pPr>
            <w:r>
              <w:rPr>
                <w:rFonts w:hint="eastAsia"/>
              </w:rPr>
              <w:t>应</w:t>
            </w:r>
            <w:r>
              <w:t>按规定更换灯管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vAlign w:val="center"/>
          </w:tcPr>
          <w:p>
            <w:pPr>
              <w:pStyle w:val="178"/>
            </w:pPr>
            <w:r>
              <w:rPr>
                <w:rFonts w:hint="eastAsia"/>
              </w:rPr>
              <w:t>紫外线</w:t>
            </w:r>
            <w:r>
              <w:t>套筒</w:t>
            </w:r>
          </w:p>
        </w:tc>
        <w:tc>
          <w:tcPr>
            <w:tcW w:w="4667" w:type="dxa"/>
            <w:shd w:val="clear" w:color="auto" w:fill="auto"/>
            <w:vAlign w:val="center"/>
          </w:tcPr>
          <w:p>
            <w:pPr>
              <w:pStyle w:val="178"/>
            </w:pPr>
            <w:r>
              <w:rPr>
                <w:rFonts w:hint="eastAsia"/>
              </w:rPr>
              <w:t>无渗漏</w:t>
            </w:r>
            <w:r>
              <w:t>、锈蚀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vAlign w:val="center"/>
          </w:tcPr>
          <w:p>
            <w:pPr>
              <w:pStyle w:val="178"/>
            </w:pPr>
            <w:r>
              <w:rPr>
                <w:rFonts w:hint="eastAsia"/>
              </w:rPr>
              <w:t>臭氧冷却水箱</w:t>
            </w:r>
          </w:p>
        </w:tc>
        <w:tc>
          <w:tcPr>
            <w:tcW w:w="4667" w:type="dxa"/>
            <w:shd w:val="clear" w:color="auto" w:fill="auto"/>
            <w:vAlign w:val="center"/>
          </w:tcPr>
          <w:p>
            <w:pPr>
              <w:pStyle w:val="178"/>
            </w:pPr>
            <w:r>
              <w:rPr>
                <w:rFonts w:hint="eastAsia"/>
              </w:rPr>
              <w:t>无缺水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vAlign w:val="center"/>
          </w:tcPr>
          <w:p>
            <w:pPr>
              <w:pStyle w:val="178"/>
            </w:pPr>
            <w:r>
              <w:rPr>
                <w:rFonts w:hint="eastAsia"/>
              </w:rPr>
              <w:t>臭氧发生器</w:t>
            </w:r>
          </w:p>
        </w:tc>
        <w:tc>
          <w:tcPr>
            <w:tcW w:w="4667" w:type="dxa"/>
            <w:shd w:val="clear" w:color="auto" w:fill="auto"/>
            <w:vAlign w:val="center"/>
          </w:tcPr>
          <w:p>
            <w:pPr>
              <w:pStyle w:val="178"/>
            </w:pPr>
            <w:r>
              <w:rPr>
                <w:rFonts w:hint="eastAsia"/>
              </w:rPr>
              <w:t>运行正常、无泄漏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vAlign w:val="center"/>
          </w:tcPr>
          <w:p>
            <w:pPr>
              <w:pStyle w:val="178"/>
            </w:pPr>
            <w:r>
              <w:rPr>
                <w:rFonts w:hint="eastAsia"/>
              </w:rPr>
              <w:t>曝气头</w:t>
            </w:r>
          </w:p>
        </w:tc>
        <w:tc>
          <w:tcPr>
            <w:tcW w:w="4667" w:type="dxa"/>
            <w:shd w:val="clear" w:color="auto" w:fill="auto"/>
            <w:vAlign w:val="center"/>
          </w:tcPr>
          <w:p>
            <w:pPr>
              <w:pStyle w:val="178"/>
            </w:pPr>
            <w:r>
              <w:rPr>
                <w:rFonts w:hint="eastAsia"/>
              </w:rPr>
              <w:t>通畅，曝气均匀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vAlign w:val="center"/>
          </w:tcPr>
          <w:p>
            <w:pPr>
              <w:pStyle w:val="178"/>
            </w:pPr>
            <w:r>
              <w:rPr>
                <w:rFonts w:hint="eastAsia"/>
              </w:rPr>
              <w:t>电气元件及线路</w:t>
            </w:r>
          </w:p>
        </w:tc>
        <w:tc>
          <w:tcPr>
            <w:tcW w:w="4667" w:type="dxa"/>
            <w:shd w:val="clear" w:color="auto" w:fill="auto"/>
            <w:vAlign w:val="center"/>
          </w:tcPr>
          <w:p>
            <w:pPr>
              <w:pStyle w:val="178"/>
            </w:pPr>
            <w:r>
              <w:rPr>
                <w:rFonts w:hint="eastAsia"/>
              </w:rPr>
              <w:t>完好、可靠</w:t>
            </w:r>
          </w:p>
        </w:tc>
      </w:tr>
    </w:tbl>
    <w:p>
      <w:pPr>
        <w:pStyle w:val="165"/>
      </w:pPr>
      <w:r>
        <w:rPr>
          <w:rFonts w:hint="eastAsia"/>
        </w:rPr>
        <w:t>二次供水</w:t>
      </w:r>
      <w:r>
        <w:t>设施管路及附件维护应按照表</w:t>
      </w:r>
      <w:r>
        <w:rPr>
          <w:rFonts w:hint="eastAsia"/>
        </w:rPr>
        <w:t>6</w:t>
      </w:r>
      <w:r>
        <w:t>执行。</w:t>
      </w:r>
    </w:p>
    <w:p>
      <w:pPr>
        <w:pStyle w:val="112"/>
        <w:spacing w:before="156" w:after="156"/>
      </w:pPr>
      <w:r>
        <w:rPr>
          <w:rFonts w:hint="eastAsia"/>
        </w:rPr>
        <w:t>二次供水设施管路及附件维护内容</w:t>
      </w:r>
      <w:r>
        <w:t>及要求</w:t>
      </w:r>
    </w:p>
    <w:tbl>
      <w:tblPr>
        <w:tblStyle w:val="33"/>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667"/>
        <w:gridCol w:w="4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shd w:val="clear" w:color="auto" w:fill="auto"/>
          </w:tcPr>
          <w:p>
            <w:pPr>
              <w:jc w:val="center"/>
              <w:rPr>
                <w:rFonts w:ascii="宋体" w:hAnsi="宋体"/>
                <w:sz w:val="18"/>
                <w:szCs w:val="18"/>
              </w:rPr>
            </w:pPr>
            <w:r>
              <w:rPr>
                <w:rFonts w:hint="eastAsia" w:ascii="宋体" w:hAnsi="宋体"/>
                <w:sz w:val="18"/>
                <w:szCs w:val="18"/>
              </w:rPr>
              <w:t>检查内容</w:t>
            </w:r>
          </w:p>
        </w:tc>
        <w:tc>
          <w:tcPr>
            <w:tcW w:w="4667" w:type="dxa"/>
            <w:tcBorders>
              <w:top w:val="single" w:color="auto" w:sz="8" w:space="0"/>
              <w:bottom w:val="single" w:color="auto" w:sz="8" w:space="0"/>
            </w:tcBorders>
            <w:shd w:val="clear" w:color="auto" w:fill="auto"/>
          </w:tcPr>
          <w:p>
            <w:pPr>
              <w:jc w:val="center"/>
              <w:rPr>
                <w:rFonts w:ascii="宋体" w:hAnsi="宋体"/>
                <w:sz w:val="18"/>
                <w:szCs w:val="18"/>
              </w:rPr>
            </w:pPr>
            <w:r>
              <w:rPr>
                <w:rFonts w:hint="eastAsia" w:ascii="宋体" w:hAnsi="宋体"/>
                <w:sz w:val="18"/>
                <w:szCs w:val="18"/>
              </w:rPr>
              <w:t>维护要求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tcBorders>
              <w:top w:val="single" w:color="auto" w:sz="8" w:space="0"/>
            </w:tcBorders>
            <w:shd w:val="clear" w:color="auto" w:fill="auto"/>
          </w:tcPr>
          <w:p>
            <w:pPr>
              <w:jc w:val="center"/>
              <w:rPr>
                <w:rFonts w:ascii="宋体" w:hAnsi="宋体"/>
                <w:sz w:val="18"/>
                <w:szCs w:val="18"/>
              </w:rPr>
            </w:pPr>
            <w:r>
              <w:rPr>
                <w:rFonts w:hint="eastAsia" w:ascii="宋体" w:hAnsi="宋体"/>
                <w:sz w:val="18"/>
                <w:szCs w:val="18"/>
              </w:rPr>
              <w:t>过滤器</w:t>
            </w:r>
          </w:p>
        </w:tc>
        <w:tc>
          <w:tcPr>
            <w:tcW w:w="4667" w:type="dxa"/>
            <w:tcBorders>
              <w:top w:val="single" w:color="auto" w:sz="8" w:space="0"/>
            </w:tcBorders>
            <w:shd w:val="clear" w:color="auto" w:fill="auto"/>
          </w:tcPr>
          <w:p>
            <w:pPr>
              <w:jc w:val="center"/>
              <w:rPr>
                <w:rFonts w:ascii="宋体" w:hAnsi="宋体"/>
                <w:sz w:val="18"/>
                <w:szCs w:val="18"/>
              </w:rPr>
            </w:pPr>
            <w:r>
              <w:rPr>
                <w:rFonts w:hint="eastAsia" w:ascii="宋体" w:hAnsi="宋体"/>
                <w:sz w:val="18"/>
                <w:szCs w:val="18"/>
              </w:rPr>
              <w:t>清洁、通畅、状态良好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jc w:val="center"/>
              <w:rPr>
                <w:rFonts w:ascii="宋体" w:hAnsi="宋体"/>
                <w:sz w:val="18"/>
                <w:szCs w:val="18"/>
              </w:rPr>
            </w:pPr>
            <w:r>
              <w:rPr>
                <w:rFonts w:hint="eastAsia" w:ascii="宋体" w:hAnsi="宋体"/>
                <w:sz w:val="18"/>
                <w:szCs w:val="18"/>
              </w:rPr>
              <w:t>阀门</w:t>
            </w:r>
          </w:p>
        </w:tc>
        <w:tc>
          <w:tcPr>
            <w:tcW w:w="4667" w:type="dxa"/>
            <w:shd w:val="clear" w:color="auto" w:fill="auto"/>
          </w:tcPr>
          <w:p>
            <w:pPr>
              <w:jc w:val="center"/>
              <w:rPr>
                <w:rFonts w:ascii="宋体" w:hAnsi="宋体"/>
                <w:sz w:val="18"/>
                <w:szCs w:val="18"/>
              </w:rPr>
            </w:pPr>
            <w:r>
              <w:rPr>
                <w:rFonts w:hint="eastAsia" w:ascii="宋体" w:hAnsi="宋体"/>
                <w:sz w:val="18"/>
                <w:szCs w:val="18"/>
              </w:rPr>
              <w:t>密封完好，启闭灵活，表面无油污、锈蚀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jc w:val="center"/>
              <w:rPr>
                <w:rFonts w:ascii="宋体" w:hAnsi="宋体"/>
                <w:sz w:val="18"/>
                <w:szCs w:val="18"/>
              </w:rPr>
            </w:pPr>
            <w:r>
              <w:rPr>
                <w:rFonts w:hint="eastAsia" w:ascii="宋体" w:hAnsi="宋体"/>
                <w:sz w:val="18"/>
                <w:szCs w:val="18"/>
              </w:rPr>
              <w:t>倒流防止器</w:t>
            </w:r>
          </w:p>
        </w:tc>
        <w:tc>
          <w:tcPr>
            <w:tcW w:w="4667" w:type="dxa"/>
            <w:shd w:val="clear" w:color="auto" w:fill="auto"/>
          </w:tcPr>
          <w:p>
            <w:pPr>
              <w:jc w:val="center"/>
              <w:rPr>
                <w:rFonts w:ascii="宋体" w:hAnsi="宋体"/>
                <w:sz w:val="18"/>
                <w:szCs w:val="18"/>
              </w:rPr>
            </w:pPr>
            <w:r>
              <w:rPr>
                <w:rFonts w:hint="eastAsia" w:ascii="宋体" w:hAnsi="宋体"/>
                <w:sz w:val="18"/>
                <w:szCs w:val="18"/>
              </w:rPr>
              <w:t>无泄漏或损坏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jc w:val="center"/>
              <w:rPr>
                <w:rFonts w:ascii="宋体" w:hAnsi="宋体"/>
                <w:sz w:val="18"/>
                <w:szCs w:val="18"/>
              </w:rPr>
            </w:pPr>
            <w:r>
              <w:rPr>
                <w:rFonts w:hint="eastAsia" w:ascii="宋体" w:hAnsi="宋体"/>
                <w:sz w:val="18"/>
                <w:szCs w:val="18"/>
              </w:rPr>
              <w:t>软接头、胶圈、垫片等塑料橡胶制品</w:t>
            </w:r>
          </w:p>
        </w:tc>
        <w:tc>
          <w:tcPr>
            <w:tcW w:w="4667" w:type="dxa"/>
            <w:shd w:val="clear" w:color="auto" w:fill="auto"/>
          </w:tcPr>
          <w:p>
            <w:pPr>
              <w:jc w:val="center"/>
              <w:rPr>
                <w:rFonts w:ascii="宋体" w:hAnsi="宋体"/>
                <w:sz w:val="18"/>
                <w:szCs w:val="18"/>
              </w:rPr>
            </w:pPr>
            <w:r>
              <w:rPr>
                <w:rFonts w:hint="eastAsia" w:ascii="宋体" w:hAnsi="宋体"/>
                <w:sz w:val="18"/>
                <w:szCs w:val="18"/>
              </w:rPr>
              <w:t>无老化变质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jc w:val="center"/>
              <w:rPr>
                <w:rFonts w:ascii="宋体" w:hAnsi="宋体"/>
                <w:sz w:val="18"/>
                <w:szCs w:val="18"/>
              </w:rPr>
            </w:pPr>
            <w:r>
              <w:rPr>
                <w:rFonts w:hint="eastAsia" w:ascii="宋体" w:hAnsi="宋体"/>
                <w:sz w:val="18"/>
                <w:szCs w:val="18"/>
              </w:rPr>
              <w:t>排水管道</w:t>
            </w:r>
          </w:p>
        </w:tc>
        <w:tc>
          <w:tcPr>
            <w:tcW w:w="4667" w:type="dxa"/>
            <w:shd w:val="clear" w:color="auto" w:fill="auto"/>
          </w:tcPr>
          <w:p>
            <w:pPr>
              <w:jc w:val="center"/>
              <w:rPr>
                <w:rFonts w:ascii="宋体" w:hAnsi="宋体"/>
                <w:sz w:val="18"/>
                <w:szCs w:val="18"/>
              </w:rPr>
            </w:pPr>
            <w:r>
              <w:rPr>
                <w:rFonts w:hint="eastAsia" w:ascii="宋体" w:hAnsi="宋体"/>
                <w:sz w:val="18"/>
                <w:szCs w:val="18"/>
              </w:rPr>
              <w:t>通畅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jc w:val="center"/>
              <w:rPr>
                <w:rFonts w:ascii="宋体" w:hAnsi="宋体"/>
                <w:sz w:val="18"/>
                <w:szCs w:val="18"/>
              </w:rPr>
            </w:pPr>
            <w:r>
              <w:rPr>
                <w:rFonts w:hint="eastAsia" w:ascii="宋体" w:hAnsi="宋体"/>
                <w:sz w:val="18"/>
                <w:szCs w:val="18"/>
              </w:rPr>
              <w:t>电动（磁）阀门</w:t>
            </w:r>
          </w:p>
        </w:tc>
        <w:tc>
          <w:tcPr>
            <w:tcW w:w="4667" w:type="dxa"/>
            <w:shd w:val="clear" w:color="auto" w:fill="auto"/>
          </w:tcPr>
          <w:p>
            <w:pPr>
              <w:jc w:val="center"/>
              <w:rPr>
                <w:rFonts w:ascii="宋体" w:hAnsi="宋体"/>
                <w:sz w:val="18"/>
                <w:szCs w:val="18"/>
              </w:rPr>
            </w:pPr>
            <w:r>
              <w:rPr>
                <w:rFonts w:hint="eastAsia" w:ascii="宋体" w:hAnsi="宋体"/>
                <w:sz w:val="18"/>
                <w:szCs w:val="18"/>
              </w:rPr>
              <w:t>限位开关及手动与电动联锁装置完好、可靠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jc w:val="center"/>
              <w:rPr>
                <w:rFonts w:ascii="宋体" w:hAnsi="宋体"/>
                <w:sz w:val="18"/>
                <w:szCs w:val="18"/>
              </w:rPr>
            </w:pPr>
            <w:r>
              <w:rPr>
                <w:rFonts w:hint="eastAsia" w:ascii="宋体" w:hAnsi="宋体"/>
                <w:sz w:val="18"/>
                <w:szCs w:val="18"/>
              </w:rPr>
              <w:t>管道支架、管卡</w:t>
            </w:r>
          </w:p>
        </w:tc>
        <w:tc>
          <w:tcPr>
            <w:tcW w:w="4667" w:type="dxa"/>
            <w:shd w:val="clear" w:color="auto" w:fill="auto"/>
          </w:tcPr>
          <w:p>
            <w:pPr>
              <w:jc w:val="center"/>
              <w:rPr>
                <w:rFonts w:ascii="宋体" w:hAnsi="宋体"/>
                <w:sz w:val="18"/>
                <w:szCs w:val="18"/>
              </w:rPr>
            </w:pPr>
            <w:r>
              <w:rPr>
                <w:rFonts w:hint="eastAsia" w:ascii="宋体" w:hAnsi="宋体"/>
                <w:sz w:val="18"/>
                <w:szCs w:val="18"/>
              </w:rPr>
              <w:t>牢固无松动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jc w:val="center"/>
              <w:rPr>
                <w:rFonts w:ascii="宋体" w:hAnsi="宋体"/>
                <w:sz w:val="18"/>
                <w:szCs w:val="18"/>
              </w:rPr>
            </w:pPr>
            <w:r>
              <w:rPr>
                <w:rFonts w:hint="eastAsia" w:ascii="宋体" w:hAnsi="宋体"/>
                <w:sz w:val="18"/>
                <w:szCs w:val="18"/>
              </w:rPr>
              <w:t>监测仪表</w:t>
            </w:r>
          </w:p>
        </w:tc>
        <w:tc>
          <w:tcPr>
            <w:tcW w:w="4667" w:type="dxa"/>
            <w:shd w:val="clear" w:color="auto" w:fill="auto"/>
          </w:tcPr>
          <w:p>
            <w:pPr>
              <w:jc w:val="center"/>
              <w:rPr>
                <w:rFonts w:ascii="宋体" w:hAnsi="宋体"/>
                <w:sz w:val="18"/>
                <w:szCs w:val="18"/>
              </w:rPr>
            </w:pPr>
            <w:r>
              <w:rPr>
                <w:rFonts w:hint="eastAsia" w:ascii="宋体" w:hAnsi="宋体"/>
                <w:sz w:val="18"/>
                <w:szCs w:val="18"/>
              </w:rPr>
              <w:t>测量值可靠、无异常</w:t>
            </w:r>
          </w:p>
        </w:tc>
      </w:tr>
    </w:tbl>
    <w:p>
      <w:pPr>
        <w:pStyle w:val="165"/>
      </w:pPr>
      <w:r>
        <w:rPr>
          <w:rFonts w:hint="eastAsia"/>
        </w:rPr>
        <w:t>控制系统日常巡检应符合下列规定：</w:t>
      </w:r>
    </w:p>
    <w:p>
      <w:pPr>
        <w:pStyle w:val="132"/>
      </w:pPr>
      <w:r>
        <w:rPr>
          <w:rFonts w:hint="eastAsia"/>
        </w:rPr>
        <w:t>信号灯正常显示；</w:t>
      </w:r>
    </w:p>
    <w:p>
      <w:pPr>
        <w:pStyle w:val="132"/>
      </w:pPr>
      <w:r>
        <w:rPr>
          <w:rFonts w:hint="eastAsia"/>
        </w:rPr>
        <w:t>配电盘上各种检测仪表正常显示；</w:t>
      </w:r>
    </w:p>
    <w:p>
      <w:pPr>
        <w:pStyle w:val="132"/>
      </w:pPr>
      <w:r>
        <w:rPr>
          <w:rFonts w:hint="eastAsia"/>
        </w:rPr>
        <w:t>配电盘通风状况良好，无堵塞；</w:t>
      </w:r>
    </w:p>
    <w:p>
      <w:pPr>
        <w:pStyle w:val="132"/>
      </w:pPr>
      <w:r>
        <w:rPr>
          <w:rFonts w:hint="eastAsia"/>
        </w:rPr>
        <w:t>配电控制盘无异常气味。</w:t>
      </w:r>
    </w:p>
    <w:p>
      <w:pPr>
        <w:pStyle w:val="165"/>
      </w:pPr>
      <w:r>
        <w:rPr>
          <w:rFonts w:hint="eastAsia"/>
        </w:rPr>
        <w:t>控制系统定期维护内容及要求应符合下列规定：</w:t>
      </w:r>
    </w:p>
    <w:p>
      <w:pPr>
        <w:pStyle w:val="132"/>
      </w:pPr>
      <w:r>
        <w:rPr>
          <w:rFonts w:hint="eastAsia"/>
        </w:rPr>
        <w:t>季节性保养宜安排在夏季或冬季换季之前；</w:t>
      </w:r>
    </w:p>
    <w:p>
      <w:pPr>
        <w:pStyle w:val="132"/>
      </w:pPr>
      <w:r>
        <w:rPr>
          <w:rFonts w:hint="eastAsia"/>
        </w:rPr>
        <w:t>检查电控柜的接地和接零性能，电机的绝缘电阻不小于0.5</w:t>
      </w:r>
      <w:r>
        <w:t xml:space="preserve"> </w:t>
      </w:r>
      <w:r>
        <w:rPr>
          <w:rFonts w:hint="eastAsia"/>
        </w:rPr>
        <w:t>MΩ；</w:t>
      </w:r>
    </w:p>
    <w:p>
      <w:pPr>
        <w:pStyle w:val="132"/>
      </w:pPr>
      <w:r>
        <w:rPr>
          <w:rFonts w:hint="eastAsia"/>
        </w:rPr>
        <w:t>对电控柜和电控设备除尘清扫；</w:t>
      </w:r>
    </w:p>
    <w:p>
      <w:pPr>
        <w:pStyle w:val="132"/>
      </w:pPr>
      <w:r>
        <w:rPr>
          <w:rFonts w:hint="eastAsia"/>
        </w:rPr>
        <w:t>控制电路显示接插件应无松动、裂纹、破损及变形；</w:t>
      </w:r>
    </w:p>
    <w:p>
      <w:pPr>
        <w:pStyle w:val="132"/>
      </w:pPr>
      <w:r>
        <w:rPr>
          <w:rFonts w:hint="eastAsia"/>
        </w:rPr>
        <w:t>采用专业仪器，检查电器元件的接线端子温升应在正常范围内；</w:t>
      </w:r>
    </w:p>
    <w:p>
      <w:pPr>
        <w:pStyle w:val="132"/>
      </w:pPr>
      <w:r>
        <w:rPr>
          <w:rFonts w:hint="eastAsia"/>
        </w:rPr>
        <w:t>检查电器元件触头可靠动作，无卡阻现象；</w:t>
      </w:r>
    </w:p>
    <w:p>
      <w:pPr>
        <w:pStyle w:val="132"/>
      </w:pPr>
      <w:r>
        <w:rPr>
          <w:rFonts w:hint="eastAsia"/>
        </w:rPr>
        <w:t>检查电器元件端子接线无松动；</w:t>
      </w:r>
    </w:p>
    <w:p>
      <w:pPr>
        <w:pStyle w:val="132"/>
      </w:pPr>
      <w:r>
        <w:rPr>
          <w:rFonts w:hint="eastAsia"/>
        </w:rPr>
        <w:t>校查全部接线端子接地良好，无松动；</w:t>
      </w:r>
    </w:p>
    <w:p>
      <w:pPr>
        <w:pStyle w:val="132"/>
      </w:pPr>
      <w:r>
        <w:rPr>
          <w:rFonts w:hint="eastAsia"/>
        </w:rPr>
        <w:t>监测仪表应正确、清晰显示；</w:t>
      </w:r>
    </w:p>
    <w:p>
      <w:pPr>
        <w:pStyle w:val="132"/>
      </w:pPr>
      <w:r>
        <w:rPr>
          <w:rFonts w:hint="eastAsia"/>
        </w:rPr>
        <w:t>电控柜通风扇（如有）应正常运转，通风孔无堵塞。</w:t>
      </w:r>
    </w:p>
    <w:p>
      <w:pPr>
        <w:pStyle w:val="165"/>
      </w:pPr>
      <w:r>
        <w:rPr>
          <w:rFonts w:hint="eastAsia"/>
        </w:rPr>
        <w:t>控制系统维修应符合下列规定：</w:t>
      </w:r>
    </w:p>
    <w:p>
      <w:pPr>
        <w:pStyle w:val="132"/>
      </w:pPr>
      <w:r>
        <w:rPr>
          <w:rFonts w:hint="eastAsia"/>
        </w:rPr>
        <w:t>控制系统的维修或更换均应在断电情况下进行；</w:t>
      </w:r>
    </w:p>
    <w:p>
      <w:pPr>
        <w:pStyle w:val="132"/>
      </w:pPr>
      <w:r>
        <w:rPr>
          <w:rFonts w:hint="eastAsia"/>
        </w:rPr>
        <w:t>控制柜主进线开关更换时，所更换断路器的型号应与断路器保持一致，断路器的整定电流值应与原断路器保持一致；</w:t>
      </w:r>
    </w:p>
    <w:p>
      <w:pPr>
        <w:pStyle w:val="132"/>
      </w:pPr>
      <w:r>
        <w:rPr>
          <w:rFonts w:hint="eastAsia"/>
        </w:rPr>
        <w:t>控制系统继电保护元件发生异常时，应及时更换电器元件，所更换电器元件的规格、技术参数应与原元件一致；</w:t>
      </w:r>
    </w:p>
    <w:p>
      <w:pPr>
        <w:pStyle w:val="132"/>
      </w:pPr>
      <w:r>
        <w:rPr>
          <w:rFonts w:hint="eastAsia"/>
        </w:rPr>
        <w:t>控制柜电源指示灯如更换，所更换指示灯的规格、技术参数、颜色应与原指示灯保持一致；</w:t>
      </w:r>
    </w:p>
    <w:p>
      <w:pPr>
        <w:pStyle w:val="132"/>
      </w:pPr>
      <w:r>
        <w:rPr>
          <w:rFonts w:hint="eastAsia"/>
        </w:rPr>
        <w:t>采用专业仪器发现接线端子温升过高时，应对系统进行全面检查，触头松动时应进行紧固。</w:t>
      </w:r>
    </w:p>
    <w:p>
      <w:pPr>
        <w:pStyle w:val="165"/>
      </w:pPr>
      <w:r>
        <w:rPr>
          <w:rFonts w:hint="eastAsia"/>
        </w:rPr>
        <w:t>二次供水设备配置的仪表（包括但不限于压力表、液位计、流量计等）应具备足够的精度和稳定性，安装位置应便于观察和维修。</w:t>
      </w:r>
    </w:p>
    <w:p>
      <w:pPr>
        <w:pStyle w:val="165"/>
      </w:pPr>
      <w:r>
        <w:rPr>
          <w:rFonts w:hint="eastAsia"/>
        </w:rPr>
        <w:t>日常应对自控系统运行情况和仪表设备每月定期进行检查，包括线路连接是否松动、元件是否老化、水泵电机自动切换供水能否满足用户用水需求、PLC触摸屏展示数据是否异常等。发现异常应及时处理，确保设备的正常运行。</w:t>
      </w:r>
    </w:p>
    <w:p>
      <w:pPr>
        <w:pStyle w:val="165"/>
      </w:pPr>
      <w:r>
        <w:rPr>
          <w:rFonts w:hint="eastAsia"/>
        </w:rPr>
        <w:t>自控系统设备和仪表应</w:t>
      </w:r>
      <w:r>
        <w:t>按照下列要求进行</w:t>
      </w:r>
      <w:r>
        <w:rPr>
          <w:rFonts w:hint="eastAsia"/>
        </w:rPr>
        <w:t>维护：</w:t>
      </w:r>
    </w:p>
    <w:p>
      <w:pPr>
        <w:pStyle w:val="174"/>
        <w:numPr>
          <w:ilvl w:val="0"/>
          <w:numId w:val="57"/>
        </w:numPr>
      </w:pPr>
      <w:r>
        <w:rPr>
          <w:rFonts w:hint="eastAsia"/>
        </w:rPr>
        <w:t>PLC：指令数据收发正常，通讯状态良好；</w:t>
      </w:r>
    </w:p>
    <w:p>
      <w:pPr>
        <w:pStyle w:val="174"/>
      </w:pPr>
      <w:r>
        <w:rPr>
          <w:rFonts w:hint="eastAsia"/>
        </w:rPr>
        <w:t>触摸屏：指令数据收发正常，通讯状态良好，屏幕显示无异常，人为触摸操作无明显延迟；</w:t>
      </w:r>
    </w:p>
    <w:p>
      <w:pPr>
        <w:pStyle w:val="174"/>
      </w:pPr>
      <w:r>
        <w:rPr>
          <w:rFonts w:hint="eastAsia"/>
        </w:rPr>
        <w:t>电表、电压互感器、电流互感器、智能电表等：数据监测准确，变化正常，无异常跳变，接线触头可靠无松动；</w:t>
      </w:r>
    </w:p>
    <w:p>
      <w:pPr>
        <w:pStyle w:val="174"/>
      </w:pPr>
      <w:r>
        <w:rPr>
          <w:rFonts w:hint="eastAsia"/>
        </w:rPr>
        <w:t>RTU、DTU、交换机、NVR等数据传输设备：数据传输正常；</w:t>
      </w:r>
    </w:p>
    <w:p>
      <w:pPr>
        <w:pStyle w:val="174"/>
      </w:pPr>
      <w:r>
        <w:rPr>
          <w:rFonts w:hint="eastAsia"/>
        </w:rPr>
        <w:t>流量计：流量监测准确，变化正常，无异常跳变，监测数据转换电流/电压输出信号正常；</w:t>
      </w:r>
    </w:p>
    <w:p>
      <w:pPr>
        <w:pStyle w:val="174"/>
      </w:pPr>
      <w:r>
        <w:rPr>
          <w:rFonts w:hint="eastAsia"/>
        </w:rPr>
        <w:t>压力计：压力监测准确，变化正常，无异常跳变，监测数据转换电流/电压输出信号正常；</w:t>
      </w:r>
    </w:p>
    <w:p>
      <w:pPr>
        <w:pStyle w:val="174"/>
      </w:pPr>
      <w:r>
        <w:rPr>
          <w:rFonts w:hint="eastAsia"/>
        </w:rPr>
        <w:t>液位计：液位监测准确，变化正常，无异常跳变，监测数据转换电流/电压输出信号正常；</w:t>
      </w:r>
    </w:p>
    <w:p>
      <w:pPr>
        <w:pStyle w:val="174"/>
      </w:pPr>
      <w:r>
        <w:rPr>
          <w:rFonts w:hint="eastAsia"/>
        </w:rPr>
        <w:t>余氯、</w:t>
      </w:r>
      <w:r>
        <w:t>p</w:t>
      </w:r>
      <w:r>
        <w:rPr>
          <w:rFonts w:hint="eastAsia"/>
        </w:rPr>
        <w:t>H、浊度、微生物等水质监测仪器：数据监测准确，变化正常，无异常跳变，监测数据转换电流/电压输出信号正常，监测配套试剂更换周期合理。</w:t>
      </w:r>
    </w:p>
    <w:p>
      <w:pPr>
        <w:pStyle w:val="105"/>
        <w:spacing w:before="156" w:after="156"/>
      </w:pPr>
      <w:bookmarkStart w:id="90" w:name="_Toc155974786"/>
      <w:r>
        <w:rPr>
          <w:rFonts w:hint="eastAsia"/>
        </w:rPr>
        <w:t>安全管理</w:t>
      </w:r>
      <w:bookmarkEnd w:id="90"/>
    </w:p>
    <w:p>
      <w:pPr>
        <w:pStyle w:val="165"/>
      </w:pPr>
      <w:r>
        <w:rPr>
          <w:rFonts w:hint="eastAsia"/>
        </w:rPr>
        <w:t>应建立安全运行机制，并应符合下列规定：</w:t>
      </w:r>
    </w:p>
    <w:p>
      <w:pPr>
        <w:pStyle w:val="174"/>
        <w:numPr>
          <w:ilvl w:val="0"/>
          <w:numId w:val="58"/>
        </w:numPr>
      </w:pPr>
      <w:r>
        <w:rPr>
          <w:rFonts w:hint="eastAsia"/>
        </w:rPr>
        <w:t>电气设备检修时应做到一人操作一人监护；</w:t>
      </w:r>
    </w:p>
    <w:p>
      <w:pPr>
        <w:pStyle w:val="174"/>
      </w:pPr>
      <w:r>
        <w:rPr>
          <w:rFonts w:hint="eastAsia"/>
        </w:rPr>
        <w:t>雷雨天气巡视室外电气设备时，应穿绝缘靴，并不得靠近避雷器或避雷针；</w:t>
      </w:r>
    </w:p>
    <w:p>
      <w:pPr>
        <w:pStyle w:val="174"/>
      </w:pPr>
      <w:r>
        <w:rPr>
          <w:rFonts w:hint="eastAsia"/>
        </w:rPr>
        <w:t>使用摇表测量绝缘电阻时，必须将被测设备与电气回路断开，在测量绝缘前后必须将被测设备对地放电；</w:t>
      </w:r>
    </w:p>
    <w:p>
      <w:pPr>
        <w:pStyle w:val="174"/>
      </w:pPr>
      <w:r>
        <w:rPr>
          <w:rFonts w:hint="eastAsia"/>
        </w:rPr>
        <w:t>电气设备起火时，应立即切断电源并灭火。</w:t>
      </w:r>
    </w:p>
    <w:p>
      <w:pPr>
        <w:pStyle w:val="165"/>
      </w:pPr>
      <w:r>
        <w:rPr>
          <w:rFonts w:hint="eastAsia"/>
        </w:rPr>
        <w:t>应建立安全维修机制，并应符合下列规定：</w:t>
      </w:r>
    </w:p>
    <w:p>
      <w:pPr>
        <w:pStyle w:val="174"/>
        <w:numPr>
          <w:ilvl w:val="0"/>
          <w:numId w:val="59"/>
        </w:numPr>
      </w:pPr>
      <w:r>
        <w:rPr>
          <w:rFonts w:hint="eastAsia"/>
        </w:rPr>
        <w:t>检修设备时应切断电源；</w:t>
      </w:r>
    </w:p>
    <w:p>
      <w:pPr>
        <w:pStyle w:val="174"/>
      </w:pPr>
      <w:r>
        <w:rPr>
          <w:rFonts w:hint="eastAsia"/>
        </w:rPr>
        <w:t>确定设备无电压后，将检修设备接地；</w:t>
      </w:r>
    </w:p>
    <w:p>
      <w:pPr>
        <w:pStyle w:val="174"/>
      </w:pPr>
      <w:r>
        <w:rPr>
          <w:rFonts w:hint="eastAsia"/>
        </w:rPr>
        <w:t>对全部停电或部分停电的机械及电气设备进行检修时，必须停电、验电、装设接地线，并应在相关刀闸和相关地点悬挂标示牌和装设临时遮栏。标示牌应用绝缘材料制作，规格应符合国家相关规定，悬挂和拆除应按检修命令执行，严禁在工作中移动或拆除；</w:t>
      </w:r>
    </w:p>
    <w:p>
      <w:pPr>
        <w:pStyle w:val="174"/>
      </w:pPr>
      <w:r>
        <w:rPr>
          <w:rFonts w:hint="eastAsia"/>
        </w:rPr>
        <w:t>电气绝缘工具应在专用房间存放，由专人管理，并定期试验；</w:t>
      </w:r>
    </w:p>
    <w:p>
      <w:pPr>
        <w:pStyle w:val="174"/>
      </w:pPr>
      <w:r>
        <w:rPr>
          <w:rFonts w:hint="eastAsia"/>
        </w:rPr>
        <w:t>室内电气设备、电力和通讯线路应有防火、防水和防生物侵入等措施，并应经常巡视检查。</w:t>
      </w:r>
    </w:p>
    <w:p>
      <w:pPr>
        <w:pStyle w:val="165"/>
      </w:pPr>
      <w:r>
        <w:rPr>
          <w:rFonts w:hint="eastAsia"/>
        </w:rPr>
        <w:t>应建立安全防护机制，并应符合下列规定：</w:t>
      </w:r>
    </w:p>
    <w:p>
      <w:pPr>
        <w:pStyle w:val="174"/>
        <w:numPr>
          <w:ilvl w:val="0"/>
          <w:numId w:val="60"/>
        </w:numPr>
      </w:pPr>
      <w:r>
        <w:rPr>
          <w:rFonts w:hint="eastAsia"/>
        </w:rPr>
        <w:t>二次供水泵房应具有防盗、防破坏措施；</w:t>
      </w:r>
    </w:p>
    <w:p>
      <w:pPr>
        <w:pStyle w:val="174"/>
      </w:pPr>
      <w:r>
        <w:rPr>
          <w:rFonts w:hint="eastAsia"/>
        </w:rPr>
        <w:t>二次供水设施应采取防止人为污染、破坏的措施。</w:t>
      </w:r>
    </w:p>
    <w:p>
      <w:pPr>
        <w:pStyle w:val="165"/>
      </w:pPr>
      <w:r>
        <w:rPr>
          <w:rFonts w:hint="eastAsia"/>
        </w:rPr>
        <w:t>应建立应急预案机制，并应符合下列规定：</w:t>
      </w:r>
    </w:p>
    <w:p>
      <w:pPr>
        <w:pStyle w:val="174"/>
        <w:numPr>
          <w:ilvl w:val="0"/>
          <w:numId w:val="61"/>
        </w:numPr>
      </w:pPr>
      <w:r>
        <w:rPr>
          <w:rFonts w:hint="eastAsia"/>
        </w:rPr>
        <w:t>运营维护企业应编制二次供水突发事件应急预案，每年组织演练；</w:t>
      </w:r>
    </w:p>
    <w:p>
      <w:pPr>
        <w:pStyle w:val="174"/>
      </w:pPr>
      <w:r>
        <w:rPr>
          <w:rFonts w:hint="eastAsia"/>
        </w:rPr>
        <w:t>发生二次供水突发性事件后，应按照突发事件级别立即启动应急预案，并按规定及时上报相关政府主管部门；</w:t>
      </w:r>
    </w:p>
    <w:p>
      <w:pPr>
        <w:pStyle w:val="174"/>
        <w:sectPr>
          <w:pgSz w:w="11906" w:h="16838"/>
          <w:pgMar w:top="1928" w:right="1134" w:bottom="1134" w:left="1134" w:header="1418" w:footer="1134" w:gutter="284"/>
          <w:pgNumType w:start="1"/>
          <w:cols w:space="425" w:num="1"/>
          <w:formProt w:val="0"/>
          <w:docGrid w:type="lines" w:linePitch="312" w:charSpace="0"/>
        </w:sectPr>
      </w:pPr>
      <w:r>
        <w:rPr>
          <w:rFonts w:hint="eastAsia"/>
        </w:rPr>
        <w:t>突发事件应急处置完成后，运行维护单位应形成书面总结，总结应包括下列内容：事故原因、发展过程及造成的后果分析和评价；采取的主要应急响应措施和经验教训等；对规划设计、建设施工和运行管理等方面提出改进建议。</w:t>
      </w:r>
    </w:p>
    <w:bookmarkEnd w:id="22"/>
    <w:p>
      <w:pPr>
        <w:pStyle w:val="198"/>
        <w:rPr>
          <w:vanish w:val="0"/>
        </w:rPr>
      </w:pPr>
      <w:bookmarkStart w:id="91" w:name="BookMark5"/>
    </w:p>
    <w:p>
      <w:pPr>
        <w:pStyle w:val="199"/>
        <w:rPr>
          <w:vanish w:val="0"/>
        </w:rPr>
      </w:pPr>
    </w:p>
    <w:p>
      <w:pPr>
        <w:pStyle w:val="76"/>
        <w:spacing w:after="156"/>
      </w:pPr>
      <w:r>
        <w:br w:type="textWrapping"/>
      </w:r>
      <w:bookmarkStart w:id="92" w:name="_Toc155974787"/>
      <w:r>
        <w:rPr>
          <w:rFonts w:hint="eastAsia"/>
        </w:rPr>
        <w:t>（资料性）</w:t>
      </w:r>
      <w:r>
        <w:br w:type="textWrapping"/>
      </w:r>
      <w:r>
        <w:rPr>
          <w:rFonts w:hint="eastAsia"/>
        </w:rPr>
        <w:t>二次供水设施提标改造评估技术路线</w:t>
      </w:r>
      <w:bookmarkEnd w:id="92"/>
    </w:p>
    <w:p>
      <w:pPr>
        <w:pStyle w:val="56"/>
        <w:ind w:firstLine="420"/>
      </w:pPr>
      <w:r>
        <w:rPr>
          <w:rFonts w:hint="eastAsia"/>
        </w:rPr>
        <w:t>图A</w:t>
      </w:r>
      <w:r>
        <w:t>.1</w:t>
      </w:r>
      <w:r>
        <w:rPr>
          <w:rFonts w:hint="eastAsia"/>
        </w:rPr>
        <w:t>是关于二次供水设施提标改造评估的技术路线。</w:t>
      </w:r>
    </w:p>
    <w:p>
      <w:pPr>
        <w:pStyle w:val="56"/>
        <w:ind w:firstLine="0" w:firstLineChars="0"/>
      </w:pPr>
    </w:p>
    <w:p>
      <w:pPr>
        <w:pStyle w:val="56"/>
        <w:ind w:firstLine="0" w:firstLineChars="0"/>
      </w:pPr>
      <w:r>
        <w:rPr>
          <w:rFonts w:hint="eastAsia"/>
        </w:rPr>
        <w:drawing>
          <wp:inline distT="0" distB="0" distL="114300" distR="114300">
            <wp:extent cx="5928360" cy="5501640"/>
            <wp:effectExtent l="0" t="0" r="0" b="0"/>
            <wp:docPr id="1" name="图片 1" descr="clipbord_169751522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lipbord_1697515221041"/>
                    <pic:cNvPicPr>
                      <a:picLocks noChangeAspect="1"/>
                    </pic:cNvPicPr>
                  </pic:nvPicPr>
                  <pic:blipFill>
                    <a:blip r:embed="rId12"/>
                    <a:stretch>
                      <a:fillRect/>
                    </a:stretch>
                  </pic:blipFill>
                  <pic:spPr>
                    <a:xfrm>
                      <a:off x="0" y="0"/>
                      <a:ext cx="5928360" cy="5501640"/>
                    </a:xfrm>
                    <a:prstGeom prst="rect">
                      <a:avLst/>
                    </a:prstGeom>
                  </pic:spPr>
                </pic:pic>
              </a:graphicData>
            </a:graphic>
          </wp:inline>
        </w:drawing>
      </w:r>
    </w:p>
    <w:p>
      <w:pPr>
        <w:pStyle w:val="56"/>
        <w:ind w:firstLine="0" w:firstLineChars="0"/>
      </w:pPr>
    </w:p>
    <w:p>
      <w:pPr>
        <w:pStyle w:val="83"/>
        <w:spacing w:before="156" w:after="156"/>
        <w:sectPr>
          <w:pgSz w:w="11906" w:h="16838"/>
          <w:pgMar w:top="1928" w:right="1134" w:bottom="1134" w:left="1134" w:header="1418" w:footer="1134" w:gutter="284"/>
          <w:cols w:space="425" w:num="1"/>
          <w:formProt w:val="0"/>
          <w:docGrid w:type="lines" w:linePitch="312" w:charSpace="0"/>
        </w:sectPr>
      </w:pPr>
      <w:r>
        <w:rPr>
          <w:rFonts w:hint="eastAsia"/>
        </w:rPr>
        <w:t>二次供水设施提标改造评估技术路线</w:t>
      </w:r>
    </w:p>
    <w:p>
      <w:pPr>
        <w:pStyle w:val="198"/>
        <w:rPr>
          <w:vanish w:val="0"/>
        </w:rPr>
      </w:pPr>
      <w:bookmarkStart w:id="93" w:name="bookmark46"/>
      <w:bookmarkEnd w:id="93"/>
      <w:bookmarkStart w:id="94" w:name="bookmark94"/>
      <w:bookmarkEnd w:id="94"/>
    </w:p>
    <w:p>
      <w:pPr>
        <w:pStyle w:val="199"/>
        <w:rPr>
          <w:vanish w:val="0"/>
        </w:rPr>
      </w:pPr>
    </w:p>
    <w:p>
      <w:pPr>
        <w:pStyle w:val="76"/>
        <w:spacing w:after="156"/>
      </w:pPr>
      <w:r>
        <w:br w:type="textWrapping"/>
      </w:r>
      <w:bookmarkStart w:id="95" w:name="_Toc155974788"/>
      <w:r>
        <w:rPr>
          <w:rFonts w:hint="eastAsia"/>
        </w:rPr>
        <w:t>（资料性）</w:t>
      </w:r>
      <w:r>
        <w:br w:type="textWrapping"/>
      </w:r>
      <w:r>
        <w:rPr>
          <w:rFonts w:hint="eastAsia"/>
        </w:rPr>
        <w:t>二次供水设施提标改造评估记录表</w:t>
      </w:r>
      <w:bookmarkEnd w:id="95"/>
    </w:p>
    <w:p>
      <w:pPr>
        <w:pStyle w:val="77"/>
        <w:numPr>
          <w:ilvl w:val="0"/>
          <w:numId w:val="0"/>
        </w:numPr>
        <w:spacing w:before="156" w:after="156"/>
        <w:ind w:firstLine="420" w:firstLineChars="200"/>
        <w:jc w:val="both"/>
        <w:rPr>
          <w:rFonts w:ascii="宋体" w:hAnsi="宋体" w:eastAsia="宋体"/>
        </w:rPr>
      </w:pPr>
      <w:r>
        <w:rPr>
          <w:rFonts w:hint="eastAsia" w:ascii="宋体" w:hAnsi="宋体" w:eastAsia="宋体"/>
        </w:rPr>
        <w:t>表B</w:t>
      </w:r>
      <w:r>
        <w:rPr>
          <w:rFonts w:ascii="宋体" w:hAnsi="宋体" w:eastAsia="宋体"/>
        </w:rPr>
        <w:t>.1</w:t>
      </w:r>
      <w:r>
        <w:rPr>
          <w:rFonts w:hint="eastAsia" w:ascii="宋体" w:hAnsi="宋体" w:eastAsia="宋体"/>
        </w:rPr>
        <w:t>给出了二次供水设施提标改造评估记录的</w:t>
      </w:r>
      <w:r>
        <w:rPr>
          <w:rFonts w:ascii="宋体" w:hAnsi="宋体" w:eastAsia="宋体"/>
        </w:rPr>
        <w:t>指标。</w:t>
      </w:r>
    </w:p>
    <w:p>
      <w:pPr>
        <w:pStyle w:val="77"/>
        <w:spacing w:before="156" w:after="156"/>
      </w:pPr>
      <w:r>
        <w:rPr>
          <w:rFonts w:hint="eastAsia"/>
        </w:rPr>
        <w:t>二次供水设施提标改造评估记录表</w:t>
      </w:r>
    </w:p>
    <w:tbl>
      <w:tblPr>
        <w:tblStyle w:val="244"/>
        <w:tblW w:w="8696" w:type="dxa"/>
        <w:tblInd w:w="3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2"/>
        <w:gridCol w:w="1861"/>
        <w:gridCol w:w="3270"/>
        <w:gridCol w:w="19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1642" w:type="dxa"/>
            <w:vAlign w:val="center"/>
          </w:tcPr>
          <w:p>
            <w:pPr>
              <w:pStyle w:val="243"/>
              <w:snapToGrid w:val="0"/>
              <w:spacing w:before="148" w:line="240" w:lineRule="auto"/>
              <w:jc w:val="center"/>
            </w:pPr>
            <w:r>
              <w:rPr>
                <w:spacing w:val="-5"/>
              </w:rPr>
              <w:t>指标</w:t>
            </w:r>
          </w:p>
        </w:tc>
        <w:tc>
          <w:tcPr>
            <w:tcW w:w="1861" w:type="dxa"/>
            <w:vAlign w:val="center"/>
          </w:tcPr>
          <w:p>
            <w:pPr>
              <w:pStyle w:val="243"/>
              <w:snapToGrid w:val="0"/>
              <w:spacing w:before="148" w:line="240" w:lineRule="auto"/>
              <w:jc w:val="center"/>
            </w:pPr>
            <w:r>
              <w:rPr>
                <w:spacing w:val="-3"/>
              </w:rPr>
              <w:t>定义描述</w:t>
            </w:r>
          </w:p>
        </w:tc>
        <w:tc>
          <w:tcPr>
            <w:tcW w:w="3270" w:type="dxa"/>
            <w:vAlign w:val="center"/>
          </w:tcPr>
          <w:p>
            <w:pPr>
              <w:pStyle w:val="243"/>
              <w:snapToGrid w:val="0"/>
              <w:spacing w:before="148" w:line="240" w:lineRule="auto"/>
              <w:ind w:left="894"/>
            </w:pPr>
            <w:r>
              <w:rPr>
                <w:spacing w:val="-2"/>
              </w:rPr>
              <w:t>存在问题</w:t>
            </w:r>
          </w:p>
        </w:tc>
        <w:tc>
          <w:tcPr>
            <w:tcW w:w="1923" w:type="dxa"/>
            <w:vAlign w:val="center"/>
          </w:tcPr>
          <w:p>
            <w:pPr>
              <w:pStyle w:val="243"/>
              <w:snapToGrid w:val="0"/>
              <w:spacing w:before="148" w:line="240" w:lineRule="auto"/>
              <w:ind w:left="853"/>
            </w:pPr>
            <w:r>
              <w:rPr>
                <w:spacing w:val="-3"/>
              </w:rPr>
              <w:t>是否改造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3" w:hRule="atLeast"/>
        </w:trPr>
        <w:tc>
          <w:tcPr>
            <w:tcW w:w="1642" w:type="dxa"/>
            <w:vAlign w:val="center"/>
          </w:tcPr>
          <w:p>
            <w:pPr>
              <w:pStyle w:val="243"/>
              <w:snapToGrid w:val="0"/>
              <w:spacing w:before="146" w:line="240" w:lineRule="auto"/>
            </w:pPr>
            <w:r>
              <w:rPr>
                <w:spacing w:val="-3"/>
              </w:rPr>
              <w:t>小区名称</w:t>
            </w:r>
          </w:p>
        </w:tc>
        <w:tc>
          <w:tcPr>
            <w:tcW w:w="1861" w:type="dxa"/>
            <w:vAlign w:val="center"/>
          </w:tcPr>
          <w:p>
            <w:pPr>
              <w:snapToGrid w:val="0"/>
              <w:spacing w:before="251" w:line="240" w:lineRule="auto"/>
              <w:ind w:left="101"/>
              <w:rPr>
                <w:rFonts w:ascii="宋体" w:hAnsi="宋体"/>
                <w:sz w:val="18"/>
                <w:szCs w:val="18"/>
              </w:rPr>
            </w:pPr>
            <w:r>
              <w:rPr>
                <w:rFonts w:ascii="宋体" w:hAnsi="宋体"/>
                <w:spacing w:val="1"/>
                <w:position w:val="-2"/>
                <w:sz w:val="18"/>
                <w:szCs w:val="18"/>
              </w:rPr>
              <w:t>——</w:t>
            </w:r>
          </w:p>
        </w:tc>
        <w:tc>
          <w:tcPr>
            <w:tcW w:w="3270" w:type="dxa"/>
            <w:vAlign w:val="center"/>
          </w:tcPr>
          <w:p>
            <w:pPr>
              <w:snapToGrid w:val="0"/>
              <w:spacing w:line="240" w:lineRule="auto"/>
              <w:rPr>
                <w:rFonts w:ascii="宋体" w:hAnsi="宋体"/>
                <w:sz w:val="18"/>
                <w:szCs w:val="18"/>
              </w:rPr>
            </w:pPr>
          </w:p>
        </w:tc>
        <w:tc>
          <w:tcPr>
            <w:tcW w:w="1923" w:type="dxa"/>
            <w:vAlign w:val="center"/>
          </w:tcPr>
          <w:p>
            <w:pPr>
              <w:snapToGrid w:val="0"/>
              <w:spacing w:line="240" w:lineRule="auto"/>
              <w:rPr>
                <w:rFonts w:ascii="宋体" w:hAnsi="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0" w:hRule="atLeast"/>
        </w:trPr>
        <w:tc>
          <w:tcPr>
            <w:tcW w:w="1642" w:type="dxa"/>
            <w:vAlign w:val="center"/>
          </w:tcPr>
          <w:p>
            <w:pPr>
              <w:pStyle w:val="243"/>
              <w:snapToGrid w:val="0"/>
              <w:spacing w:before="59" w:line="240" w:lineRule="auto"/>
            </w:pPr>
            <w:r>
              <w:rPr>
                <w:spacing w:val="-3"/>
              </w:rPr>
              <w:t>建设年代</w:t>
            </w:r>
          </w:p>
        </w:tc>
        <w:tc>
          <w:tcPr>
            <w:tcW w:w="1861" w:type="dxa"/>
            <w:vAlign w:val="center"/>
          </w:tcPr>
          <w:p>
            <w:pPr>
              <w:pStyle w:val="243"/>
              <w:snapToGrid w:val="0"/>
              <w:spacing w:before="59" w:line="240" w:lineRule="auto"/>
            </w:pPr>
            <w:r>
              <w:rPr>
                <w:spacing w:val="-2"/>
              </w:rPr>
              <w:t>小区泵房建设年代</w:t>
            </w:r>
          </w:p>
        </w:tc>
        <w:tc>
          <w:tcPr>
            <w:tcW w:w="3270" w:type="dxa"/>
            <w:vAlign w:val="center"/>
          </w:tcPr>
          <w:p>
            <w:pPr>
              <w:snapToGrid w:val="0"/>
              <w:spacing w:line="240" w:lineRule="auto"/>
              <w:rPr>
                <w:rFonts w:ascii="宋体" w:hAnsi="宋体"/>
                <w:sz w:val="18"/>
                <w:szCs w:val="18"/>
              </w:rPr>
            </w:pPr>
          </w:p>
        </w:tc>
        <w:tc>
          <w:tcPr>
            <w:tcW w:w="1923" w:type="dxa"/>
            <w:vAlign w:val="center"/>
          </w:tcPr>
          <w:p>
            <w:pPr>
              <w:pStyle w:val="243"/>
              <w:snapToGrid w:val="0"/>
              <w:spacing w:before="146" w:line="240" w:lineRule="auto"/>
              <w:ind w:left="119"/>
              <w:rPr>
                <w:spacing w:val="-5"/>
              </w:rPr>
            </w:pPr>
            <w:r>
              <w:rPr>
                <w:rFonts w:hint="eastAsia" w:cs="Times New Roman"/>
                <w:spacing w:val="-5"/>
                <w:lang w:eastAsia="zh-CN"/>
              </w:rPr>
              <w:t>□</w:t>
            </w:r>
            <w:r>
              <w:rPr>
                <w:spacing w:val="-5"/>
              </w:rPr>
              <w:t>改造</w:t>
            </w:r>
          </w:p>
          <w:p>
            <w:pPr>
              <w:pStyle w:val="243"/>
              <w:snapToGrid w:val="0"/>
              <w:spacing w:before="146" w:line="240" w:lineRule="auto"/>
              <w:ind w:left="119"/>
              <w:rPr>
                <w:spacing w:val="-5"/>
              </w:rPr>
            </w:pPr>
          </w:p>
          <w:p>
            <w:pPr>
              <w:pStyle w:val="243"/>
              <w:snapToGrid w:val="0"/>
              <w:spacing w:line="240" w:lineRule="auto"/>
              <w:ind w:left="119"/>
            </w:pPr>
            <w:r>
              <w:rPr>
                <w:rFonts w:hint="eastAsia" w:cs="Times New Roman"/>
                <w:spacing w:val="-4"/>
                <w:lang w:eastAsia="zh-CN"/>
              </w:rPr>
              <w:t>□</w:t>
            </w:r>
            <w:r>
              <w:rPr>
                <w:spacing w:val="-4"/>
              </w:rPr>
              <w:t>不改造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1" w:hRule="atLeast"/>
        </w:trPr>
        <w:tc>
          <w:tcPr>
            <w:tcW w:w="1642" w:type="dxa"/>
            <w:vAlign w:val="center"/>
          </w:tcPr>
          <w:p>
            <w:pPr>
              <w:pStyle w:val="243"/>
              <w:snapToGrid w:val="0"/>
              <w:spacing w:before="59" w:line="240" w:lineRule="auto"/>
            </w:pPr>
            <w:r>
              <w:rPr>
                <w:spacing w:val="-2"/>
              </w:rPr>
              <w:t>供水系统</w:t>
            </w:r>
          </w:p>
        </w:tc>
        <w:tc>
          <w:tcPr>
            <w:tcW w:w="1861" w:type="dxa"/>
            <w:vAlign w:val="center"/>
          </w:tcPr>
          <w:p>
            <w:pPr>
              <w:snapToGrid w:val="0"/>
              <w:spacing w:before="52" w:line="240" w:lineRule="auto"/>
              <w:ind w:left="101"/>
              <w:rPr>
                <w:rFonts w:ascii="宋体" w:hAnsi="宋体"/>
                <w:sz w:val="18"/>
                <w:szCs w:val="18"/>
              </w:rPr>
            </w:pPr>
            <w:r>
              <w:rPr>
                <w:rFonts w:ascii="宋体" w:hAnsi="宋体"/>
                <w:spacing w:val="1"/>
                <w:position w:val="-2"/>
                <w:sz w:val="18"/>
                <w:szCs w:val="18"/>
              </w:rPr>
              <w:t>——</w:t>
            </w:r>
          </w:p>
        </w:tc>
        <w:tc>
          <w:tcPr>
            <w:tcW w:w="3270" w:type="dxa"/>
            <w:vAlign w:val="center"/>
          </w:tcPr>
          <w:p>
            <w:pPr>
              <w:snapToGrid w:val="0"/>
              <w:spacing w:line="240" w:lineRule="auto"/>
              <w:rPr>
                <w:rFonts w:ascii="宋体" w:hAnsi="宋体"/>
                <w:sz w:val="18"/>
                <w:szCs w:val="18"/>
              </w:rPr>
            </w:pPr>
          </w:p>
        </w:tc>
        <w:tc>
          <w:tcPr>
            <w:tcW w:w="1923" w:type="dxa"/>
            <w:vAlign w:val="center"/>
          </w:tcPr>
          <w:p>
            <w:pPr>
              <w:pStyle w:val="243"/>
              <w:snapToGrid w:val="0"/>
              <w:spacing w:before="146" w:line="240" w:lineRule="auto"/>
              <w:ind w:left="119"/>
            </w:pPr>
            <w:r>
              <w:rPr>
                <w:rFonts w:hint="eastAsia" w:cs="Times New Roman"/>
                <w:spacing w:val="-5"/>
                <w:lang w:eastAsia="zh-CN"/>
              </w:rPr>
              <w:t>□</w:t>
            </w:r>
            <w:r>
              <w:rPr>
                <w:spacing w:val="-5"/>
              </w:rPr>
              <w:t>改造</w:t>
            </w:r>
          </w:p>
          <w:p>
            <w:pPr>
              <w:pStyle w:val="243"/>
              <w:snapToGrid w:val="0"/>
              <w:spacing w:before="254" w:line="240" w:lineRule="auto"/>
              <w:ind w:left="119"/>
            </w:pPr>
            <w:r>
              <w:rPr>
                <w:rFonts w:hint="eastAsia" w:cs="Times New Roman"/>
                <w:spacing w:val="-4"/>
                <w:lang w:eastAsia="zh-CN"/>
              </w:rPr>
              <w:t>□</w:t>
            </w:r>
            <w:r>
              <w:rPr>
                <w:spacing w:val="-4"/>
              </w:rPr>
              <w:t>不改造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0" w:hRule="atLeast"/>
        </w:trPr>
        <w:tc>
          <w:tcPr>
            <w:tcW w:w="1642" w:type="dxa"/>
            <w:vAlign w:val="center"/>
          </w:tcPr>
          <w:p>
            <w:pPr>
              <w:pStyle w:val="243"/>
              <w:snapToGrid w:val="0"/>
              <w:spacing w:before="59" w:line="240" w:lineRule="auto"/>
            </w:pPr>
            <w:r>
              <w:rPr>
                <w:spacing w:val="-2"/>
              </w:rPr>
              <w:t>供水系统</w:t>
            </w:r>
          </w:p>
        </w:tc>
        <w:tc>
          <w:tcPr>
            <w:tcW w:w="1861" w:type="dxa"/>
            <w:vAlign w:val="center"/>
          </w:tcPr>
          <w:p>
            <w:pPr>
              <w:pStyle w:val="243"/>
              <w:snapToGrid w:val="0"/>
              <w:spacing w:before="146" w:line="240" w:lineRule="auto"/>
              <w:ind w:left="114"/>
              <w:rPr>
                <w:lang w:eastAsia="zh-CN"/>
              </w:rPr>
            </w:pPr>
            <w:r>
              <w:rPr>
                <w:spacing w:val="13"/>
                <w:position w:val="22"/>
                <w:lang w:eastAsia="zh-CN"/>
              </w:rPr>
              <w:t>消防与生活供水系统是否</w:t>
            </w:r>
            <w:r>
              <w:rPr>
                <w:rFonts w:hint="eastAsia"/>
                <w:spacing w:val="13"/>
                <w:position w:val="22"/>
                <w:lang w:eastAsia="zh-CN"/>
              </w:rPr>
              <w:t>合用</w:t>
            </w:r>
          </w:p>
        </w:tc>
        <w:tc>
          <w:tcPr>
            <w:tcW w:w="3270" w:type="dxa"/>
            <w:vAlign w:val="center"/>
          </w:tcPr>
          <w:p>
            <w:pPr>
              <w:snapToGrid w:val="0"/>
              <w:spacing w:line="240" w:lineRule="auto"/>
              <w:rPr>
                <w:rFonts w:ascii="宋体" w:hAnsi="宋体"/>
                <w:sz w:val="18"/>
                <w:szCs w:val="18"/>
              </w:rPr>
            </w:pPr>
          </w:p>
        </w:tc>
        <w:tc>
          <w:tcPr>
            <w:tcW w:w="1923" w:type="dxa"/>
            <w:vAlign w:val="center"/>
          </w:tcPr>
          <w:p>
            <w:pPr>
              <w:pStyle w:val="243"/>
              <w:snapToGrid w:val="0"/>
              <w:spacing w:before="146" w:line="240" w:lineRule="auto"/>
              <w:ind w:left="119"/>
            </w:pPr>
            <w:r>
              <w:rPr>
                <w:rFonts w:hint="eastAsia" w:cs="Times New Roman"/>
                <w:spacing w:val="-5"/>
                <w:lang w:eastAsia="zh-CN"/>
              </w:rPr>
              <w:t>□</w:t>
            </w:r>
            <w:r>
              <w:rPr>
                <w:spacing w:val="-5"/>
              </w:rPr>
              <w:t>改造</w:t>
            </w:r>
          </w:p>
          <w:p>
            <w:pPr>
              <w:pStyle w:val="243"/>
              <w:snapToGrid w:val="0"/>
              <w:spacing w:before="254" w:line="240" w:lineRule="auto"/>
              <w:ind w:left="119"/>
            </w:pPr>
            <w:r>
              <w:rPr>
                <w:rFonts w:hint="eastAsia" w:cs="Times New Roman"/>
                <w:spacing w:val="-4"/>
                <w:lang w:eastAsia="zh-CN"/>
              </w:rPr>
              <w:t>□</w:t>
            </w:r>
            <w:r>
              <w:rPr>
                <w:spacing w:val="-4"/>
              </w:rPr>
              <w:t>不改造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1" w:hRule="atLeast"/>
        </w:trPr>
        <w:tc>
          <w:tcPr>
            <w:tcW w:w="1642" w:type="dxa"/>
            <w:vAlign w:val="center"/>
          </w:tcPr>
          <w:p>
            <w:pPr>
              <w:pStyle w:val="243"/>
              <w:snapToGrid w:val="0"/>
              <w:spacing w:before="58" w:line="240" w:lineRule="auto"/>
            </w:pPr>
            <w:r>
              <w:rPr>
                <w:rFonts w:hint="eastAsia"/>
                <w:spacing w:val="-9"/>
                <w:lang w:eastAsia="zh-CN"/>
              </w:rPr>
              <w:t>水池（箱）</w:t>
            </w:r>
            <w:r>
              <w:rPr>
                <w:spacing w:val="-9"/>
              </w:rPr>
              <w:t>材质</w:t>
            </w:r>
          </w:p>
        </w:tc>
        <w:tc>
          <w:tcPr>
            <w:tcW w:w="1861" w:type="dxa"/>
            <w:vAlign w:val="center"/>
          </w:tcPr>
          <w:p>
            <w:pPr>
              <w:snapToGrid w:val="0"/>
              <w:spacing w:before="52" w:line="240" w:lineRule="auto"/>
              <w:ind w:left="101"/>
              <w:rPr>
                <w:rFonts w:ascii="宋体" w:hAnsi="宋体"/>
                <w:sz w:val="18"/>
                <w:szCs w:val="18"/>
              </w:rPr>
            </w:pPr>
            <w:r>
              <w:rPr>
                <w:rFonts w:ascii="宋体" w:hAnsi="宋体"/>
                <w:spacing w:val="1"/>
                <w:position w:val="-2"/>
                <w:sz w:val="18"/>
                <w:szCs w:val="18"/>
              </w:rPr>
              <w:t>——</w:t>
            </w:r>
          </w:p>
        </w:tc>
        <w:tc>
          <w:tcPr>
            <w:tcW w:w="3270" w:type="dxa"/>
            <w:vAlign w:val="center"/>
          </w:tcPr>
          <w:p>
            <w:pPr>
              <w:snapToGrid w:val="0"/>
              <w:spacing w:line="240" w:lineRule="auto"/>
              <w:rPr>
                <w:rFonts w:ascii="宋体" w:hAnsi="宋体"/>
                <w:sz w:val="18"/>
                <w:szCs w:val="18"/>
              </w:rPr>
            </w:pPr>
          </w:p>
        </w:tc>
        <w:tc>
          <w:tcPr>
            <w:tcW w:w="1923" w:type="dxa"/>
            <w:vAlign w:val="center"/>
          </w:tcPr>
          <w:p>
            <w:pPr>
              <w:pStyle w:val="243"/>
              <w:snapToGrid w:val="0"/>
              <w:spacing w:before="147" w:line="240" w:lineRule="auto"/>
              <w:ind w:left="119"/>
            </w:pPr>
            <w:r>
              <w:rPr>
                <w:rFonts w:hint="eastAsia" w:cs="Times New Roman"/>
                <w:spacing w:val="-5"/>
                <w:lang w:eastAsia="zh-CN"/>
              </w:rPr>
              <w:t>□</w:t>
            </w:r>
            <w:r>
              <w:rPr>
                <w:spacing w:val="-5"/>
              </w:rPr>
              <w:t>改造</w:t>
            </w:r>
          </w:p>
          <w:p>
            <w:pPr>
              <w:pStyle w:val="243"/>
              <w:snapToGrid w:val="0"/>
              <w:spacing w:before="254" w:line="240" w:lineRule="auto"/>
              <w:ind w:left="119"/>
            </w:pPr>
            <w:r>
              <w:rPr>
                <w:rFonts w:hint="eastAsia" w:cs="Times New Roman"/>
                <w:spacing w:val="-4"/>
                <w:lang w:eastAsia="zh-CN"/>
              </w:rPr>
              <w:t>□</w:t>
            </w:r>
            <w:r>
              <w:rPr>
                <w:spacing w:val="-4"/>
              </w:rPr>
              <w:t>不改造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0" w:hRule="atLeast"/>
        </w:trPr>
        <w:tc>
          <w:tcPr>
            <w:tcW w:w="1642" w:type="dxa"/>
            <w:vAlign w:val="center"/>
          </w:tcPr>
          <w:p>
            <w:pPr>
              <w:pStyle w:val="243"/>
              <w:snapToGrid w:val="0"/>
              <w:spacing w:before="146" w:line="240" w:lineRule="auto"/>
            </w:pPr>
            <w:r>
              <w:rPr>
                <w:rFonts w:hint="eastAsia"/>
                <w:spacing w:val="-9"/>
                <w:position w:val="22"/>
                <w:lang w:eastAsia="zh-CN"/>
              </w:rPr>
              <w:t>水池（箱）</w:t>
            </w:r>
            <w:r>
              <w:rPr>
                <w:spacing w:val="-9"/>
                <w:position w:val="22"/>
              </w:rPr>
              <w:t>施工</w:t>
            </w:r>
            <w:r>
              <w:rPr>
                <w:rFonts w:hint="eastAsia"/>
                <w:spacing w:val="-9"/>
                <w:position w:val="22"/>
                <w:lang w:eastAsia="zh-CN"/>
              </w:rPr>
              <w:t>方式</w:t>
            </w:r>
          </w:p>
        </w:tc>
        <w:tc>
          <w:tcPr>
            <w:tcW w:w="1861" w:type="dxa"/>
            <w:vAlign w:val="center"/>
          </w:tcPr>
          <w:p>
            <w:pPr>
              <w:snapToGrid w:val="0"/>
              <w:spacing w:before="52" w:line="240" w:lineRule="auto"/>
              <w:ind w:left="101"/>
              <w:rPr>
                <w:rFonts w:ascii="宋体" w:hAnsi="宋体"/>
                <w:sz w:val="18"/>
                <w:szCs w:val="18"/>
              </w:rPr>
            </w:pPr>
            <w:r>
              <w:rPr>
                <w:rFonts w:ascii="宋体" w:hAnsi="宋体"/>
                <w:spacing w:val="1"/>
                <w:position w:val="-2"/>
                <w:sz w:val="18"/>
                <w:szCs w:val="18"/>
              </w:rPr>
              <w:t>——</w:t>
            </w:r>
          </w:p>
        </w:tc>
        <w:tc>
          <w:tcPr>
            <w:tcW w:w="3270" w:type="dxa"/>
            <w:vAlign w:val="center"/>
          </w:tcPr>
          <w:p>
            <w:pPr>
              <w:snapToGrid w:val="0"/>
              <w:spacing w:line="240" w:lineRule="auto"/>
              <w:rPr>
                <w:rFonts w:ascii="宋体" w:hAnsi="宋体"/>
                <w:sz w:val="18"/>
                <w:szCs w:val="18"/>
              </w:rPr>
            </w:pPr>
          </w:p>
        </w:tc>
        <w:tc>
          <w:tcPr>
            <w:tcW w:w="1923" w:type="dxa"/>
            <w:vAlign w:val="center"/>
          </w:tcPr>
          <w:p>
            <w:pPr>
              <w:pStyle w:val="243"/>
              <w:snapToGrid w:val="0"/>
              <w:spacing w:before="146" w:line="240" w:lineRule="auto"/>
              <w:ind w:left="119"/>
            </w:pPr>
            <w:r>
              <w:rPr>
                <w:rFonts w:hint="eastAsia" w:cs="Times New Roman"/>
                <w:spacing w:val="-5"/>
                <w:lang w:eastAsia="zh-CN"/>
              </w:rPr>
              <w:t>□</w:t>
            </w:r>
            <w:r>
              <w:rPr>
                <w:spacing w:val="-5"/>
              </w:rPr>
              <w:t>改造</w:t>
            </w:r>
          </w:p>
          <w:p>
            <w:pPr>
              <w:pStyle w:val="243"/>
              <w:snapToGrid w:val="0"/>
              <w:spacing w:before="254" w:line="240" w:lineRule="auto"/>
              <w:ind w:left="119"/>
            </w:pPr>
            <w:r>
              <w:rPr>
                <w:rFonts w:hint="eastAsia" w:cs="Times New Roman"/>
                <w:spacing w:val="-4"/>
                <w:lang w:eastAsia="zh-CN"/>
              </w:rPr>
              <w:t>□</w:t>
            </w:r>
            <w:r>
              <w:rPr>
                <w:spacing w:val="-4"/>
              </w:rPr>
              <w:t>不改造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1" w:hRule="atLeast"/>
        </w:trPr>
        <w:tc>
          <w:tcPr>
            <w:tcW w:w="1642" w:type="dxa"/>
            <w:vAlign w:val="center"/>
          </w:tcPr>
          <w:p>
            <w:pPr>
              <w:pStyle w:val="243"/>
              <w:snapToGrid w:val="0"/>
              <w:spacing w:before="58" w:line="240" w:lineRule="auto"/>
            </w:pPr>
            <w:r>
              <w:rPr>
                <w:spacing w:val="-5"/>
              </w:rPr>
              <w:t>水泵</w:t>
            </w:r>
          </w:p>
        </w:tc>
        <w:tc>
          <w:tcPr>
            <w:tcW w:w="1861" w:type="dxa"/>
            <w:vAlign w:val="center"/>
          </w:tcPr>
          <w:p>
            <w:pPr>
              <w:snapToGrid w:val="0"/>
              <w:spacing w:before="52" w:line="240" w:lineRule="auto"/>
              <w:ind w:left="101"/>
              <w:rPr>
                <w:rFonts w:ascii="宋体" w:hAnsi="宋体"/>
                <w:sz w:val="18"/>
                <w:szCs w:val="18"/>
              </w:rPr>
            </w:pPr>
            <w:r>
              <w:rPr>
                <w:rFonts w:ascii="宋体" w:hAnsi="宋体"/>
                <w:spacing w:val="1"/>
                <w:position w:val="-2"/>
                <w:sz w:val="18"/>
                <w:szCs w:val="18"/>
              </w:rPr>
              <w:t>——</w:t>
            </w:r>
          </w:p>
        </w:tc>
        <w:tc>
          <w:tcPr>
            <w:tcW w:w="3270" w:type="dxa"/>
            <w:vAlign w:val="center"/>
          </w:tcPr>
          <w:p>
            <w:pPr>
              <w:snapToGrid w:val="0"/>
              <w:spacing w:line="240" w:lineRule="auto"/>
              <w:rPr>
                <w:rFonts w:ascii="宋体" w:hAnsi="宋体"/>
                <w:sz w:val="18"/>
                <w:szCs w:val="18"/>
              </w:rPr>
            </w:pPr>
          </w:p>
        </w:tc>
        <w:tc>
          <w:tcPr>
            <w:tcW w:w="1923" w:type="dxa"/>
            <w:vAlign w:val="center"/>
          </w:tcPr>
          <w:p>
            <w:pPr>
              <w:pStyle w:val="243"/>
              <w:snapToGrid w:val="0"/>
              <w:spacing w:before="149" w:line="240" w:lineRule="auto"/>
              <w:ind w:left="119"/>
            </w:pPr>
            <w:r>
              <w:rPr>
                <w:rFonts w:hint="eastAsia" w:cs="Times New Roman"/>
                <w:spacing w:val="-5"/>
                <w:lang w:eastAsia="zh-CN"/>
              </w:rPr>
              <w:t>□</w:t>
            </w:r>
            <w:r>
              <w:rPr>
                <w:spacing w:val="-5"/>
              </w:rPr>
              <w:t>改造</w:t>
            </w:r>
          </w:p>
          <w:p>
            <w:pPr>
              <w:pStyle w:val="243"/>
              <w:snapToGrid w:val="0"/>
              <w:spacing w:before="254" w:line="240" w:lineRule="auto"/>
              <w:ind w:left="119"/>
            </w:pPr>
            <w:r>
              <w:rPr>
                <w:rFonts w:hint="eastAsia" w:cs="Times New Roman"/>
                <w:spacing w:val="-4"/>
                <w:lang w:eastAsia="zh-CN"/>
              </w:rPr>
              <w:t>□</w:t>
            </w:r>
            <w:r>
              <w:rPr>
                <w:spacing w:val="-4"/>
              </w:rPr>
              <w:t>不改造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1" w:hRule="atLeast"/>
        </w:trPr>
        <w:tc>
          <w:tcPr>
            <w:tcW w:w="1642" w:type="dxa"/>
            <w:vAlign w:val="center"/>
          </w:tcPr>
          <w:p>
            <w:pPr>
              <w:pStyle w:val="243"/>
              <w:snapToGrid w:val="0"/>
              <w:spacing w:before="148" w:line="240" w:lineRule="auto"/>
              <w:ind w:left="118"/>
            </w:pPr>
            <w:r>
              <w:rPr>
                <w:spacing w:val="20"/>
                <w:position w:val="22"/>
              </w:rPr>
              <w:t>管路系统及</w:t>
            </w:r>
            <w:r>
              <w:rPr>
                <w:rFonts w:hint="eastAsia"/>
                <w:spacing w:val="20"/>
                <w:position w:val="22"/>
                <w:lang w:eastAsia="zh-CN"/>
              </w:rPr>
              <w:t>附属设施</w:t>
            </w:r>
          </w:p>
        </w:tc>
        <w:tc>
          <w:tcPr>
            <w:tcW w:w="1861" w:type="dxa"/>
            <w:vAlign w:val="center"/>
          </w:tcPr>
          <w:p>
            <w:pPr>
              <w:pStyle w:val="243"/>
              <w:snapToGrid w:val="0"/>
              <w:spacing w:before="59" w:line="240" w:lineRule="auto"/>
            </w:pPr>
            <w:r>
              <w:rPr>
                <w:spacing w:val="-2"/>
              </w:rPr>
              <w:t>生活供水系统</w:t>
            </w:r>
          </w:p>
        </w:tc>
        <w:tc>
          <w:tcPr>
            <w:tcW w:w="3270" w:type="dxa"/>
            <w:vAlign w:val="center"/>
          </w:tcPr>
          <w:p>
            <w:pPr>
              <w:snapToGrid w:val="0"/>
              <w:spacing w:line="240" w:lineRule="auto"/>
              <w:rPr>
                <w:rFonts w:ascii="宋体" w:hAnsi="宋体"/>
                <w:sz w:val="18"/>
                <w:szCs w:val="18"/>
              </w:rPr>
            </w:pPr>
          </w:p>
        </w:tc>
        <w:tc>
          <w:tcPr>
            <w:tcW w:w="1923" w:type="dxa"/>
            <w:vAlign w:val="center"/>
          </w:tcPr>
          <w:p>
            <w:pPr>
              <w:pStyle w:val="243"/>
              <w:snapToGrid w:val="0"/>
              <w:spacing w:before="149" w:line="240" w:lineRule="auto"/>
              <w:ind w:left="119"/>
            </w:pPr>
            <w:r>
              <w:rPr>
                <w:rFonts w:hint="eastAsia" w:cs="Times New Roman"/>
                <w:spacing w:val="-5"/>
                <w:lang w:eastAsia="zh-CN"/>
              </w:rPr>
              <w:t>□</w:t>
            </w:r>
            <w:r>
              <w:rPr>
                <w:spacing w:val="-5"/>
              </w:rPr>
              <w:t>改造</w:t>
            </w:r>
          </w:p>
          <w:p>
            <w:pPr>
              <w:pStyle w:val="243"/>
              <w:snapToGrid w:val="0"/>
              <w:spacing w:before="254" w:line="240" w:lineRule="auto"/>
              <w:ind w:left="119"/>
            </w:pPr>
            <w:r>
              <w:rPr>
                <w:rFonts w:hint="eastAsia" w:cs="Times New Roman"/>
                <w:spacing w:val="-4"/>
                <w:lang w:eastAsia="zh-CN"/>
              </w:rPr>
              <w:t>□</w:t>
            </w:r>
            <w:r>
              <w:rPr>
                <w:spacing w:val="-4"/>
              </w:rPr>
              <w:t>不改造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0" w:hRule="atLeast"/>
        </w:trPr>
        <w:tc>
          <w:tcPr>
            <w:tcW w:w="1642" w:type="dxa"/>
            <w:vAlign w:val="center"/>
          </w:tcPr>
          <w:p>
            <w:pPr>
              <w:pStyle w:val="243"/>
              <w:snapToGrid w:val="0"/>
              <w:spacing w:before="59" w:line="240" w:lineRule="auto"/>
            </w:pPr>
            <w:r>
              <w:rPr>
                <w:spacing w:val="-10"/>
              </w:rPr>
              <w:t>自控系统</w:t>
            </w:r>
          </w:p>
        </w:tc>
        <w:tc>
          <w:tcPr>
            <w:tcW w:w="1861" w:type="dxa"/>
            <w:vAlign w:val="center"/>
          </w:tcPr>
          <w:p>
            <w:pPr>
              <w:snapToGrid w:val="0"/>
              <w:spacing w:before="52" w:line="240" w:lineRule="auto"/>
              <w:ind w:firstLine="91" w:firstLineChars="50"/>
              <w:rPr>
                <w:rFonts w:ascii="宋体" w:hAnsi="宋体"/>
                <w:sz w:val="18"/>
                <w:szCs w:val="18"/>
              </w:rPr>
            </w:pPr>
            <w:r>
              <w:rPr>
                <w:rFonts w:ascii="宋体" w:hAnsi="宋体"/>
                <w:spacing w:val="1"/>
                <w:position w:val="-2"/>
                <w:sz w:val="18"/>
                <w:szCs w:val="18"/>
              </w:rPr>
              <w:t>——</w:t>
            </w:r>
          </w:p>
        </w:tc>
        <w:tc>
          <w:tcPr>
            <w:tcW w:w="3270" w:type="dxa"/>
            <w:vAlign w:val="center"/>
          </w:tcPr>
          <w:p>
            <w:pPr>
              <w:snapToGrid w:val="0"/>
              <w:spacing w:line="240" w:lineRule="auto"/>
              <w:rPr>
                <w:rFonts w:ascii="宋体" w:hAnsi="宋体"/>
                <w:sz w:val="18"/>
                <w:szCs w:val="18"/>
              </w:rPr>
            </w:pPr>
          </w:p>
        </w:tc>
        <w:tc>
          <w:tcPr>
            <w:tcW w:w="1923" w:type="dxa"/>
            <w:vAlign w:val="center"/>
          </w:tcPr>
          <w:p>
            <w:pPr>
              <w:pStyle w:val="243"/>
              <w:snapToGrid w:val="0"/>
              <w:spacing w:before="148" w:line="240" w:lineRule="auto"/>
              <w:ind w:left="119"/>
            </w:pPr>
            <w:r>
              <w:rPr>
                <w:rFonts w:hint="eastAsia" w:cs="Times New Roman"/>
                <w:spacing w:val="-5"/>
                <w:lang w:eastAsia="zh-CN"/>
              </w:rPr>
              <w:t>□</w:t>
            </w:r>
            <w:r>
              <w:rPr>
                <w:spacing w:val="-5"/>
              </w:rPr>
              <w:t>改造</w:t>
            </w:r>
          </w:p>
          <w:p>
            <w:pPr>
              <w:pStyle w:val="243"/>
              <w:snapToGrid w:val="0"/>
              <w:spacing w:before="254" w:line="240" w:lineRule="auto"/>
              <w:ind w:left="119"/>
            </w:pPr>
            <w:r>
              <w:rPr>
                <w:rFonts w:hint="eastAsia" w:cs="Times New Roman"/>
                <w:spacing w:val="-4"/>
                <w:lang w:eastAsia="zh-CN"/>
              </w:rPr>
              <w:t>□</w:t>
            </w:r>
            <w:r>
              <w:rPr>
                <w:spacing w:val="-4"/>
              </w:rPr>
              <w:t>不改造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1" w:hRule="atLeast"/>
        </w:trPr>
        <w:tc>
          <w:tcPr>
            <w:tcW w:w="1642" w:type="dxa"/>
            <w:vAlign w:val="center"/>
          </w:tcPr>
          <w:p>
            <w:pPr>
              <w:pStyle w:val="243"/>
              <w:snapToGrid w:val="0"/>
              <w:spacing w:before="149" w:line="240" w:lineRule="auto"/>
              <w:ind w:left="113"/>
              <w:rPr>
                <w:lang w:eastAsia="zh-CN"/>
              </w:rPr>
            </w:pPr>
            <w:r>
              <w:rPr>
                <w:spacing w:val="21"/>
                <w:position w:val="22"/>
                <w:lang w:eastAsia="zh-CN"/>
              </w:rPr>
              <w:t>视频监控及数</w:t>
            </w:r>
          </w:p>
          <w:p>
            <w:pPr>
              <w:pStyle w:val="243"/>
              <w:snapToGrid w:val="0"/>
              <w:spacing w:line="240" w:lineRule="auto"/>
              <w:ind w:left="113"/>
              <w:rPr>
                <w:lang w:eastAsia="zh-CN"/>
              </w:rPr>
            </w:pPr>
            <w:r>
              <w:rPr>
                <w:spacing w:val="-2"/>
                <w:lang w:eastAsia="zh-CN"/>
              </w:rPr>
              <w:t>据采集系统</w:t>
            </w:r>
          </w:p>
        </w:tc>
        <w:tc>
          <w:tcPr>
            <w:tcW w:w="1861" w:type="dxa"/>
            <w:vAlign w:val="center"/>
          </w:tcPr>
          <w:p>
            <w:pPr>
              <w:snapToGrid w:val="0"/>
              <w:spacing w:before="51" w:line="240" w:lineRule="auto"/>
              <w:ind w:left="101"/>
              <w:rPr>
                <w:rFonts w:ascii="宋体" w:hAnsi="宋体"/>
                <w:sz w:val="18"/>
                <w:szCs w:val="18"/>
              </w:rPr>
            </w:pPr>
            <w:r>
              <w:rPr>
                <w:rFonts w:ascii="宋体" w:hAnsi="宋体"/>
                <w:spacing w:val="1"/>
                <w:position w:val="-2"/>
                <w:sz w:val="18"/>
                <w:szCs w:val="18"/>
              </w:rPr>
              <w:t>——</w:t>
            </w:r>
          </w:p>
        </w:tc>
        <w:tc>
          <w:tcPr>
            <w:tcW w:w="3270" w:type="dxa"/>
            <w:vAlign w:val="center"/>
          </w:tcPr>
          <w:p>
            <w:pPr>
              <w:snapToGrid w:val="0"/>
              <w:spacing w:line="240" w:lineRule="auto"/>
              <w:rPr>
                <w:rFonts w:ascii="宋体" w:hAnsi="宋体"/>
                <w:sz w:val="18"/>
                <w:szCs w:val="18"/>
              </w:rPr>
            </w:pPr>
          </w:p>
        </w:tc>
        <w:tc>
          <w:tcPr>
            <w:tcW w:w="1923" w:type="dxa"/>
            <w:vAlign w:val="center"/>
          </w:tcPr>
          <w:p>
            <w:pPr>
              <w:pStyle w:val="243"/>
              <w:snapToGrid w:val="0"/>
              <w:spacing w:before="149" w:line="240" w:lineRule="auto"/>
              <w:ind w:left="119"/>
            </w:pPr>
            <w:r>
              <w:rPr>
                <w:rFonts w:hint="eastAsia" w:cs="Times New Roman"/>
                <w:spacing w:val="-5"/>
                <w:lang w:eastAsia="zh-CN"/>
              </w:rPr>
              <w:t>□</w:t>
            </w:r>
            <w:r>
              <w:rPr>
                <w:spacing w:val="-5"/>
              </w:rPr>
              <w:t>改造</w:t>
            </w:r>
          </w:p>
          <w:p>
            <w:pPr>
              <w:pStyle w:val="243"/>
              <w:snapToGrid w:val="0"/>
              <w:spacing w:before="254" w:line="240" w:lineRule="auto"/>
              <w:ind w:left="119"/>
            </w:pPr>
            <w:r>
              <w:rPr>
                <w:rFonts w:hint="eastAsia" w:cs="Times New Roman"/>
                <w:spacing w:val="-4"/>
                <w:lang w:eastAsia="zh-CN"/>
              </w:rPr>
              <w:t>□</w:t>
            </w:r>
            <w:r>
              <w:rPr>
                <w:spacing w:val="-4"/>
              </w:rPr>
              <w:t>不改造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1" w:hRule="atLeast"/>
        </w:trPr>
        <w:tc>
          <w:tcPr>
            <w:tcW w:w="1642" w:type="dxa"/>
            <w:vAlign w:val="center"/>
          </w:tcPr>
          <w:p>
            <w:pPr>
              <w:pStyle w:val="243"/>
              <w:snapToGrid w:val="0"/>
              <w:spacing w:before="59" w:line="240" w:lineRule="auto"/>
            </w:pPr>
            <w:r>
              <w:rPr>
                <w:spacing w:val="-2"/>
              </w:rPr>
              <w:t>泵房环境</w:t>
            </w:r>
          </w:p>
        </w:tc>
        <w:tc>
          <w:tcPr>
            <w:tcW w:w="1861" w:type="dxa"/>
            <w:vAlign w:val="center"/>
          </w:tcPr>
          <w:p>
            <w:pPr>
              <w:snapToGrid w:val="0"/>
              <w:spacing w:before="52" w:line="240" w:lineRule="auto"/>
              <w:ind w:left="101"/>
              <w:rPr>
                <w:rFonts w:ascii="宋体" w:hAnsi="宋体"/>
                <w:sz w:val="18"/>
                <w:szCs w:val="18"/>
              </w:rPr>
            </w:pPr>
            <w:r>
              <w:rPr>
                <w:rFonts w:ascii="宋体" w:hAnsi="宋体"/>
                <w:spacing w:val="1"/>
                <w:position w:val="-2"/>
                <w:sz w:val="18"/>
                <w:szCs w:val="18"/>
              </w:rPr>
              <w:t>——</w:t>
            </w:r>
          </w:p>
        </w:tc>
        <w:tc>
          <w:tcPr>
            <w:tcW w:w="3270" w:type="dxa"/>
            <w:vAlign w:val="center"/>
          </w:tcPr>
          <w:p>
            <w:pPr>
              <w:snapToGrid w:val="0"/>
              <w:spacing w:line="240" w:lineRule="auto"/>
              <w:rPr>
                <w:rFonts w:ascii="宋体" w:hAnsi="宋体"/>
                <w:sz w:val="18"/>
                <w:szCs w:val="18"/>
              </w:rPr>
            </w:pPr>
          </w:p>
        </w:tc>
        <w:tc>
          <w:tcPr>
            <w:tcW w:w="1923" w:type="dxa"/>
            <w:vAlign w:val="center"/>
          </w:tcPr>
          <w:p>
            <w:pPr>
              <w:pStyle w:val="243"/>
              <w:snapToGrid w:val="0"/>
              <w:spacing w:before="149" w:line="240" w:lineRule="auto"/>
              <w:ind w:left="119"/>
            </w:pPr>
            <w:r>
              <w:rPr>
                <w:rFonts w:hint="eastAsia" w:cs="Times New Roman"/>
                <w:spacing w:val="-5"/>
                <w:lang w:eastAsia="zh-CN"/>
              </w:rPr>
              <w:t>□</w:t>
            </w:r>
            <w:r>
              <w:rPr>
                <w:spacing w:val="-5"/>
              </w:rPr>
              <w:t>改造</w:t>
            </w:r>
          </w:p>
          <w:p>
            <w:pPr>
              <w:pStyle w:val="243"/>
              <w:snapToGrid w:val="0"/>
              <w:spacing w:before="254" w:line="240" w:lineRule="auto"/>
              <w:ind w:left="119"/>
            </w:pPr>
            <w:r>
              <w:rPr>
                <w:rFonts w:hint="eastAsia" w:cs="Times New Roman"/>
                <w:spacing w:val="-4"/>
                <w:lang w:eastAsia="zh-CN"/>
              </w:rPr>
              <w:t>□</w:t>
            </w:r>
            <w:r>
              <w:rPr>
                <w:spacing w:val="-4"/>
              </w:rPr>
              <w:t>不改造</w:t>
            </w:r>
          </w:p>
        </w:tc>
      </w:tr>
    </w:tbl>
    <w:p>
      <w:pPr>
        <w:pStyle w:val="56"/>
        <w:ind w:firstLine="420"/>
      </w:pPr>
      <w:bookmarkStart w:id="96" w:name="脚注"/>
      <w:bookmarkEnd w:id="96"/>
    </w:p>
    <w:p>
      <w:pPr>
        <w:pStyle w:val="56"/>
        <w:ind w:firstLine="420"/>
      </w:pPr>
    </w:p>
    <w:p>
      <w:pPr>
        <w:pStyle w:val="56"/>
        <w:spacing w:before="156" w:beforeLines="50" w:after="156" w:afterLines="50"/>
        <w:ind w:firstLine="0" w:firstLineChars="0"/>
        <w:jc w:val="center"/>
        <w:rPr>
          <w:rFonts w:ascii="黑体" w:hAnsi="黑体" w:eastAsia="黑体"/>
        </w:rPr>
      </w:pPr>
      <w:r>
        <w:rPr>
          <w:rFonts w:hint="eastAsia" w:ascii="黑体" w:hAnsi="黑体" w:eastAsia="黑体"/>
        </w:rPr>
        <w:t>表B.1  二次供水设施提标改造评估记录表</w:t>
      </w:r>
      <w:r>
        <w:rPr>
          <w:rFonts w:hint="eastAsia" w:hAnsi="宋体"/>
        </w:rPr>
        <w:t>（续）</w:t>
      </w:r>
    </w:p>
    <w:tbl>
      <w:tblPr>
        <w:tblStyle w:val="244"/>
        <w:tblW w:w="8696" w:type="dxa"/>
        <w:tblInd w:w="3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2"/>
        <w:gridCol w:w="1861"/>
        <w:gridCol w:w="3270"/>
        <w:gridCol w:w="19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1642" w:type="dxa"/>
            <w:vAlign w:val="center"/>
          </w:tcPr>
          <w:p>
            <w:pPr>
              <w:pStyle w:val="243"/>
              <w:snapToGrid w:val="0"/>
              <w:spacing w:before="148" w:line="240" w:lineRule="auto"/>
              <w:jc w:val="center"/>
            </w:pPr>
            <w:r>
              <w:rPr>
                <w:spacing w:val="-5"/>
              </w:rPr>
              <w:t>指标</w:t>
            </w:r>
          </w:p>
        </w:tc>
        <w:tc>
          <w:tcPr>
            <w:tcW w:w="1861" w:type="dxa"/>
            <w:vAlign w:val="center"/>
          </w:tcPr>
          <w:p>
            <w:pPr>
              <w:pStyle w:val="243"/>
              <w:snapToGrid w:val="0"/>
              <w:spacing w:before="148" w:line="240" w:lineRule="auto"/>
              <w:jc w:val="center"/>
            </w:pPr>
            <w:r>
              <w:rPr>
                <w:spacing w:val="-3"/>
              </w:rPr>
              <w:t>定义描述</w:t>
            </w:r>
          </w:p>
        </w:tc>
        <w:tc>
          <w:tcPr>
            <w:tcW w:w="3270" w:type="dxa"/>
            <w:vAlign w:val="center"/>
          </w:tcPr>
          <w:p>
            <w:pPr>
              <w:pStyle w:val="243"/>
              <w:snapToGrid w:val="0"/>
              <w:spacing w:before="148" w:line="240" w:lineRule="auto"/>
              <w:ind w:left="894"/>
            </w:pPr>
            <w:r>
              <w:rPr>
                <w:spacing w:val="-2"/>
              </w:rPr>
              <w:t>存在问题</w:t>
            </w:r>
          </w:p>
        </w:tc>
        <w:tc>
          <w:tcPr>
            <w:tcW w:w="1923" w:type="dxa"/>
            <w:vAlign w:val="center"/>
          </w:tcPr>
          <w:p>
            <w:pPr>
              <w:pStyle w:val="243"/>
              <w:snapToGrid w:val="0"/>
              <w:spacing w:before="148" w:line="240" w:lineRule="auto"/>
              <w:ind w:left="853"/>
            </w:pPr>
            <w:r>
              <w:rPr>
                <w:spacing w:val="-3"/>
              </w:rPr>
              <w:t>是否改造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13" w:hRule="atLeast"/>
        </w:trPr>
        <w:tc>
          <w:tcPr>
            <w:tcW w:w="1642" w:type="dxa"/>
            <w:vAlign w:val="center"/>
          </w:tcPr>
          <w:p>
            <w:pPr>
              <w:pStyle w:val="243"/>
              <w:snapToGrid w:val="0"/>
              <w:spacing w:before="58" w:line="240" w:lineRule="auto"/>
            </w:pPr>
            <w:r>
              <w:rPr>
                <w:spacing w:val="21"/>
                <w:position w:val="22"/>
              </w:rPr>
              <w:t>设备设施维</w:t>
            </w:r>
            <w:r>
              <w:rPr>
                <w:rFonts w:hint="eastAsia"/>
                <w:spacing w:val="21"/>
                <w:position w:val="22"/>
                <w:lang w:eastAsia="zh-CN"/>
              </w:rPr>
              <w:t>次数</w:t>
            </w:r>
          </w:p>
        </w:tc>
        <w:tc>
          <w:tcPr>
            <w:tcW w:w="1861" w:type="dxa"/>
            <w:vAlign w:val="center"/>
          </w:tcPr>
          <w:p>
            <w:pPr>
              <w:pStyle w:val="243"/>
              <w:snapToGrid w:val="0"/>
              <w:spacing w:before="148" w:line="240" w:lineRule="auto"/>
              <w:ind w:left="111" w:right="107" w:firstLine="4"/>
              <w:rPr>
                <w:rFonts w:cs="Times New Roman"/>
                <w:lang w:eastAsia="zh-CN"/>
              </w:rPr>
            </w:pPr>
            <w:r>
              <w:rPr>
                <w:spacing w:val="13"/>
                <w:lang w:eastAsia="zh-CN"/>
              </w:rPr>
              <w:t>小区近三年管道维修年平</w:t>
            </w:r>
            <w:r>
              <w:rPr>
                <w:spacing w:val="2"/>
                <w:lang w:eastAsia="zh-CN"/>
              </w:rPr>
              <w:t xml:space="preserve"> </w:t>
            </w:r>
            <w:r>
              <w:rPr>
                <w:spacing w:val="13"/>
                <w:lang w:eastAsia="zh-CN"/>
              </w:rPr>
              <w:t>均次数与居民住户数比值</w:t>
            </w:r>
            <w:r>
              <w:rPr>
                <w:rFonts w:cs="Times New Roman"/>
                <w:spacing w:val="-1"/>
                <w:lang w:eastAsia="zh-CN"/>
              </w:rPr>
              <w:t>A(</w:t>
            </w:r>
            <w:r>
              <w:rPr>
                <w:spacing w:val="-1"/>
                <w:lang w:eastAsia="zh-CN"/>
              </w:rPr>
              <w:t>次</w:t>
            </w:r>
            <w:r>
              <w:rPr>
                <w:rFonts w:cs="Times New Roman"/>
                <w:spacing w:val="-1"/>
                <w:lang w:eastAsia="zh-CN"/>
              </w:rPr>
              <w:t>/</w:t>
            </w:r>
            <w:r>
              <w:rPr>
                <w:spacing w:val="-1"/>
                <w:lang w:eastAsia="zh-CN"/>
              </w:rPr>
              <w:t>户</w:t>
            </w:r>
            <w:r>
              <w:rPr>
                <w:rFonts w:cs="Times New Roman"/>
                <w:spacing w:val="-1"/>
                <w:lang w:eastAsia="zh-CN"/>
              </w:rPr>
              <w:t>)</w:t>
            </w:r>
          </w:p>
        </w:tc>
        <w:tc>
          <w:tcPr>
            <w:tcW w:w="3270" w:type="dxa"/>
            <w:vAlign w:val="center"/>
          </w:tcPr>
          <w:p>
            <w:pPr>
              <w:snapToGrid w:val="0"/>
              <w:spacing w:line="240" w:lineRule="auto"/>
              <w:rPr>
                <w:rFonts w:ascii="宋体" w:hAnsi="宋体"/>
                <w:sz w:val="18"/>
                <w:szCs w:val="18"/>
              </w:rPr>
            </w:pPr>
          </w:p>
        </w:tc>
        <w:tc>
          <w:tcPr>
            <w:tcW w:w="1923" w:type="dxa"/>
            <w:vAlign w:val="center"/>
          </w:tcPr>
          <w:p>
            <w:pPr>
              <w:pStyle w:val="243"/>
              <w:snapToGrid w:val="0"/>
              <w:spacing w:before="148" w:line="240" w:lineRule="auto"/>
              <w:ind w:left="107" w:right="97" w:firstLine="9"/>
            </w:pPr>
            <w:r>
              <w:rPr>
                <w:spacing w:val="-10"/>
              </w:rPr>
              <w:t>维</w:t>
            </w:r>
            <w:r>
              <w:rPr>
                <w:spacing w:val="-23"/>
              </w:rPr>
              <w:t xml:space="preserve"> </w:t>
            </w:r>
            <w:r>
              <w:rPr>
                <w:spacing w:val="-10"/>
              </w:rPr>
              <w:t>修</w:t>
            </w:r>
            <w:r>
              <w:rPr>
                <w:spacing w:val="-26"/>
              </w:rPr>
              <w:t xml:space="preserve"> </w:t>
            </w:r>
            <w:r>
              <w:rPr>
                <w:spacing w:val="-10"/>
              </w:rPr>
              <w:t>率</w:t>
            </w:r>
            <w:r>
              <w:rPr>
                <w:spacing w:val="-26"/>
              </w:rPr>
              <w:t xml:space="preserve"> </w:t>
            </w:r>
            <w:r>
              <w:rPr>
                <w:spacing w:val="-10"/>
              </w:rPr>
              <w:t>分</w:t>
            </w:r>
            <w:r>
              <w:rPr>
                <w:spacing w:val="-27"/>
              </w:rPr>
              <w:t xml:space="preserve"> </w:t>
            </w:r>
            <w:r>
              <w:rPr>
                <w:spacing w:val="-10"/>
              </w:rPr>
              <w:t>值</w:t>
            </w:r>
            <w:r>
              <w:rPr>
                <w:spacing w:val="-28"/>
              </w:rPr>
              <w:t xml:space="preserve"> </w:t>
            </w:r>
            <w:r>
              <w:rPr>
                <w:spacing w:val="-10"/>
              </w:rPr>
              <w:t>计</w:t>
            </w:r>
            <w:r>
              <w:rPr>
                <w:spacing w:val="-27"/>
              </w:rPr>
              <w:t xml:space="preserve"> </w:t>
            </w:r>
            <w:r>
              <w:rPr>
                <w:spacing w:val="-10"/>
              </w:rPr>
              <w:t>算 ：</w:t>
            </w:r>
            <w:r>
              <w:rPr>
                <w:spacing w:val="-28"/>
              </w:rPr>
              <w:t xml:space="preserve"> </w:t>
            </w:r>
            <w:r>
              <w:rPr>
                <w:rFonts w:cs="Times New Roman"/>
                <w:spacing w:val="-10"/>
              </w:rPr>
              <w:t>5</w:t>
            </w:r>
            <w:r>
              <w:rPr>
                <w:rFonts w:cs="Times New Roman"/>
                <w:spacing w:val="-29"/>
              </w:rPr>
              <w:t xml:space="preserve"> </w:t>
            </w:r>
            <w:r>
              <w:rPr>
                <w:rFonts w:cs="Times New Roman"/>
                <w:spacing w:val="-10"/>
              </w:rPr>
              <w:t>×A</w:t>
            </w:r>
            <w:r>
              <w:rPr>
                <w:rFonts w:cs="Times New Roman"/>
              </w:rPr>
              <w:t xml:space="preserve"> /MAX(A)</w:t>
            </w:r>
            <w:r>
              <w:rPr>
                <w:rFonts w:cs="Times New Roman"/>
                <w:spacing w:val="-8"/>
              </w:rPr>
              <w:t xml:space="preserve"> </w:t>
            </w:r>
            <w:r>
              <w:t>，如无法提供原始</w:t>
            </w:r>
            <w:r>
              <w:rPr>
                <w:spacing w:val="-1"/>
              </w:rPr>
              <w:t>基础数据，统一得</w:t>
            </w:r>
            <w:r>
              <w:rPr>
                <w:spacing w:val="-41"/>
              </w:rPr>
              <w:t xml:space="preserve"> </w:t>
            </w:r>
            <w:r>
              <w:rPr>
                <w:rFonts w:cs="Times New Roman"/>
                <w:spacing w:val="-1"/>
              </w:rPr>
              <w:t>2</w:t>
            </w:r>
            <w:r>
              <w:rPr>
                <w:spacing w:val="-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13" w:hRule="atLeast"/>
        </w:trPr>
        <w:tc>
          <w:tcPr>
            <w:tcW w:w="8696" w:type="dxa"/>
            <w:gridSpan w:val="4"/>
            <w:tcBorders>
              <w:top w:val="single" w:color="000000" w:sz="8" w:space="0"/>
              <w:bottom w:val="single" w:color="000000" w:sz="8" w:space="0"/>
            </w:tcBorders>
            <w:shd w:val="clear" w:color="auto" w:fill="auto"/>
            <w:vAlign w:val="center"/>
          </w:tcPr>
          <w:p>
            <w:pPr>
              <w:pStyle w:val="180"/>
              <w:numPr>
                <w:ilvl w:val="0"/>
                <w:numId w:val="62"/>
              </w:numPr>
            </w:pPr>
            <w:r>
              <w:t>建设年代是以房产证或建设(开发)单位售房合同时间为准；</w:t>
            </w:r>
          </w:p>
          <w:p>
            <w:pPr>
              <w:pStyle w:val="180"/>
            </w:pPr>
            <w:r>
              <w:t>小区户数是以小区房产证、购房合同等合法产权证明数量之和为准；</w:t>
            </w:r>
          </w:p>
          <w:p>
            <w:pPr>
              <w:pStyle w:val="180"/>
            </w:pPr>
            <w:r>
              <w:t>消防与生活供水系统合用情况包括管道和</w:t>
            </w:r>
            <w:r>
              <w:rPr>
                <w:rFonts w:hint="eastAsia"/>
              </w:rPr>
              <w:t>水池（箱）</w:t>
            </w:r>
            <w:r>
              <w:t>部分；</w:t>
            </w:r>
          </w:p>
          <w:p>
            <w:pPr>
              <w:pStyle w:val="180"/>
            </w:pPr>
            <w:r>
              <w:t>管道维修和水质水压投诉数据需核实原始规范记录。</w:t>
            </w:r>
          </w:p>
        </w:tc>
      </w:tr>
    </w:tbl>
    <w:p>
      <w:pPr>
        <w:pStyle w:val="56"/>
        <w:ind w:firstLine="420"/>
      </w:pPr>
    </w:p>
    <w:p>
      <w:pPr>
        <w:pStyle w:val="56"/>
        <w:ind w:firstLine="420"/>
      </w:pPr>
    </w:p>
    <w:p>
      <w:pPr>
        <w:pStyle w:val="56"/>
        <w:ind w:firstLine="420"/>
      </w:pPr>
    </w:p>
    <w:p>
      <w:pPr>
        <w:pStyle w:val="56"/>
        <w:ind w:firstLine="420"/>
      </w:pPr>
    </w:p>
    <w:p>
      <w:pPr>
        <w:pStyle w:val="199"/>
        <w:rPr>
          <w:vanish w:val="0"/>
        </w:rPr>
        <w:sectPr>
          <w:pgSz w:w="11906" w:h="16838"/>
          <w:pgMar w:top="1928" w:right="1134" w:bottom="1134" w:left="1134" w:header="1418" w:footer="1134" w:gutter="284"/>
          <w:cols w:space="425" w:num="1"/>
          <w:formProt w:val="0"/>
          <w:docGrid w:type="lines" w:linePitch="312" w:charSpace="0"/>
        </w:sectPr>
      </w:pPr>
    </w:p>
    <w:p>
      <w:pPr>
        <w:pStyle w:val="198"/>
        <w:rPr>
          <w:vanish w:val="0"/>
        </w:rPr>
      </w:pPr>
    </w:p>
    <w:p>
      <w:pPr>
        <w:pStyle w:val="198"/>
        <w:rPr>
          <w:vanish w:val="0"/>
        </w:rPr>
      </w:pPr>
    </w:p>
    <w:p>
      <w:pPr>
        <w:pStyle w:val="199"/>
        <w:rPr>
          <w:vanish w:val="0"/>
        </w:rPr>
      </w:pPr>
    </w:p>
    <w:p>
      <w:pPr>
        <w:pStyle w:val="76"/>
        <w:spacing w:after="156"/>
      </w:pPr>
      <w:r>
        <w:br w:type="textWrapping"/>
      </w:r>
      <w:bookmarkStart w:id="97" w:name="_Toc155974789"/>
      <w:r>
        <w:rPr>
          <w:rFonts w:hint="eastAsia"/>
        </w:rPr>
        <w:t>（资料性）</w:t>
      </w:r>
      <w:r>
        <w:br w:type="textWrapping"/>
      </w:r>
      <w:r>
        <w:rPr>
          <w:rFonts w:hint="eastAsia"/>
        </w:rPr>
        <w:t>二次供水设施提标改造申请资料</w:t>
      </w:r>
      <w:bookmarkEnd w:id="97"/>
    </w:p>
    <w:p>
      <w:pPr>
        <w:pStyle w:val="211"/>
      </w:pPr>
      <w:r>
        <w:rPr>
          <w:rFonts w:hint="eastAsia"/>
        </w:rPr>
        <w:t>产权单位或由其委托管理单位的书面申请书。</w:t>
      </w:r>
    </w:p>
    <w:p>
      <w:pPr>
        <w:pStyle w:val="211"/>
      </w:pPr>
      <w:r>
        <w:rPr>
          <w:rFonts w:hint="eastAsia"/>
        </w:rPr>
        <w:t>二次供水设施现状给排水、建筑、结构和电气等专业纸质图纸两份。</w:t>
      </w:r>
    </w:p>
    <w:p>
      <w:pPr>
        <w:pStyle w:val="211"/>
      </w:pPr>
      <w:r>
        <w:rPr>
          <w:rFonts w:hint="eastAsia"/>
        </w:rPr>
        <w:t>近三年居民小区二次供水设施清洗记录、水质检测报告、加压供水量及用电量数据等运行管理资料。</w:t>
      </w:r>
    </w:p>
    <w:p>
      <w:pPr>
        <w:pStyle w:val="211"/>
      </w:pPr>
      <w:r>
        <w:rPr>
          <w:rFonts w:hint="eastAsia"/>
        </w:rPr>
        <w:t>居民小区二次供水设施调查表，见表 C.</w:t>
      </w:r>
      <w:r>
        <w:t>1</w:t>
      </w:r>
      <w:r>
        <w:rPr>
          <w:rFonts w:hint="eastAsia"/>
        </w:rPr>
        <w:t>。</w:t>
      </w:r>
    </w:p>
    <w:p>
      <w:pPr>
        <w:pStyle w:val="77"/>
        <w:spacing w:before="156" w:after="156"/>
      </w:pPr>
      <w:r>
        <w:rPr>
          <w:rFonts w:hint="eastAsia"/>
        </w:rPr>
        <w:t>居民小区二次供水设施调查表</w:t>
      </w:r>
    </w:p>
    <w:tbl>
      <w:tblPr>
        <w:tblStyle w:val="244"/>
        <w:tblW w:w="936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49"/>
        <w:gridCol w:w="1778"/>
        <w:gridCol w:w="949"/>
        <w:gridCol w:w="837"/>
        <w:gridCol w:w="438"/>
        <w:gridCol w:w="425"/>
        <w:gridCol w:w="1137"/>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71" w:hRule="atLeast"/>
        </w:trPr>
        <w:tc>
          <w:tcPr>
            <w:tcW w:w="1249" w:type="dxa"/>
            <w:vAlign w:val="center"/>
          </w:tcPr>
          <w:p>
            <w:pPr>
              <w:pStyle w:val="243"/>
              <w:spacing w:before="58" w:line="219" w:lineRule="auto"/>
              <w:jc w:val="center"/>
            </w:pPr>
            <w:r>
              <w:rPr>
                <w:spacing w:val="-2"/>
              </w:rPr>
              <w:t>基本情况</w:t>
            </w:r>
          </w:p>
        </w:tc>
        <w:tc>
          <w:tcPr>
            <w:tcW w:w="4002" w:type="dxa"/>
            <w:gridSpan w:val="4"/>
          </w:tcPr>
          <w:p>
            <w:pPr>
              <w:pStyle w:val="243"/>
              <w:spacing w:before="148" w:line="480" w:lineRule="exact"/>
              <w:ind w:left="110"/>
              <w:rPr>
                <w:lang w:eastAsia="zh-CN"/>
              </w:rPr>
            </w:pPr>
            <w:r>
              <w:rPr>
                <w:spacing w:val="-2"/>
                <w:position w:val="23"/>
                <w:lang w:eastAsia="zh-CN"/>
              </w:rPr>
              <w:t>泵房名称：</w:t>
            </w:r>
          </w:p>
          <w:p>
            <w:pPr>
              <w:pStyle w:val="243"/>
              <w:spacing w:line="220" w:lineRule="auto"/>
              <w:ind w:left="111"/>
              <w:rPr>
                <w:lang w:eastAsia="zh-CN"/>
              </w:rPr>
            </w:pPr>
            <w:r>
              <w:rPr>
                <w:spacing w:val="-2"/>
                <w:lang w:eastAsia="zh-CN"/>
              </w:rPr>
              <w:t>详细地址：</w:t>
            </w:r>
          </w:p>
          <w:p>
            <w:pPr>
              <w:pStyle w:val="243"/>
              <w:spacing w:before="261" w:line="219" w:lineRule="auto"/>
              <w:ind w:left="109"/>
              <w:rPr>
                <w:lang w:eastAsia="zh-CN"/>
              </w:rPr>
            </w:pPr>
            <w:r>
              <w:rPr>
                <w:spacing w:val="-2"/>
                <w:lang w:eastAsia="zh-CN"/>
              </w:rPr>
              <w:t>供水户数：</w:t>
            </w:r>
          </w:p>
          <w:p>
            <w:pPr>
              <w:pStyle w:val="243"/>
              <w:spacing w:before="264" w:line="219" w:lineRule="auto"/>
              <w:ind w:left="110"/>
              <w:rPr>
                <w:lang w:eastAsia="zh-CN"/>
              </w:rPr>
            </w:pPr>
            <w:r>
              <w:rPr>
                <w:spacing w:val="-2"/>
                <w:lang w:eastAsia="zh-CN"/>
              </w:rPr>
              <w:t>年总供水量：</w:t>
            </w:r>
          </w:p>
          <w:p>
            <w:pPr>
              <w:pStyle w:val="243"/>
              <w:spacing w:before="264" w:line="478" w:lineRule="exact"/>
              <w:ind w:left="108"/>
              <w:rPr>
                <w:lang w:eastAsia="zh-CN"/>
              </w:rPr>
            </w:pPr>
            <w:r>
              <w:rPr>
                <w:spacing w:val="-1"/>
                <w:position w:val="23"/>
                <w:lang w:eastAsia="zh-CN"/>
              </w:rPr>
              <w:t>初次建设年月：</w:t>
            </w:r>
          </w:p>
          <w:p>
            <w:pPr>
              <w:pStyle w:val="243"/>
              <w:spacing w:line="219" w:lineRule="auto"/>
              <w:ind w:left="114"/>
              <w:rPr>
                <w:lang w:eastAsia="zh-CN"/>
              </w:rPr>
            </w:pPr>
            <w:r>
              <w:rPr>
                <w:spacing w:val="-2"/>
                <w:lang w:eastAsia="zh-CN"/>
              </w:rPr>
              <w:t>市政管管径：</w:t>
            </w:r>
          </w:p>
          <w:p>
            <w:pPr>
              <w:pStyle w:val="243"/>
              <w:spacing w:before="264" w:line="212" w:lineRule="auto"/>
              <w:ind w:left="114"/>
              <w:rPr>
                <w:rFonts w:cs="Times New Roman"/>
                <w:lang w:eastAsia="zh-CN"/>
              </w:rPr>
            </w:pPr>
            <w:r>
              <w:rPr>
                <w:spacing w:val="-1"/>
                <w:lang w:eastAsia="zh-CN"/>
              </w:rPr>
              <w:t>市政进水水质</w:t>
            </w:r>
            <w:r>
              <w:rPr>
                <w:rFonts w:cs="Times New Roman"/>
                <w:spacing w:val="-1"/>
                <w:lang w:eastAsia="zh-CN"/>
              </w:rPr>
              <w:t>(</w:t>
            </w:r>
            <w:r>
              <w:rPr>
                <w:spacing w:val="-1"/>
                <w:lang w:eastAsia="zh-CN"/>
              </w:rPr>
              <w:t>余氯、浊度</w:t>
            </w:r>
            <w:r>
              <w:rPr>
                <w:rFonts w:cs="Times New Roman"/>
                <w:spacing w:val="-1"/>
                <w:lang w:eastAsia="zh-CN"/>
              </w:rPr>
              <w:t>)</w:t>
            </w:r>
            <w:r>
              <w:rPr>
                <w:rFonts w:hint="eastAsia" w:cs="Times New Roman"/>
                <w:spacing w:val="-1"/>
                <w:lang w:eastAsia="zh-CN"/>
              </w:rPr>
              <w:t>：</w:t>
            </w:r>
          </w:p>
        </w:tc>
        <w:tc>
          <w:tcPr>
            <w:tcW w:w="4114" w:type="dxa"/>
            <w:gridSpan w:val="3"/>
          </w:tcPr>
          <w:p>
            <w:pPr>
              <w:pStyle w:val="243"/>
              <w:spacing w:before="148" w:line="219" w:lineRule="auto"/>
              <w:ind w:left="113"/>
              <w:rPr>
                <w:lang w:eastAsia="zh-CN"/>
              </w:rPr>
            </w:pPr>
            <w:r>
              <w:rPr>
                <w:spacing w:val="-2"/>
                <w:lang w:eastAsia="zh-CN"/>
              </w:rPr>
              <w:t>所属街道：</w:t>
            </w:r>
          </w:p>
          <w:p>
            <w:pPr>
              <w:pStyle w:val="243"/>
              <w:spacing w:before="266" w:line="477" w:lineRule="exact"/>
              <w:ind w:left="114"/>
              <w:rPr>
                <w:lang w:eastAsia="zh-CN"/>
              </w:rPr>
            </w:pPr>
            <w:r>
              <w:rPr>
                <w:spacing w:val="-2"/>
                <w:position w:val="23"/>
                <w:lang w:eastAsia="zh-CN"/>
              </w:rPr>
              <w:t>泵房地面标高：</w:t>
            </w:r>
          </w:p>
          <w:p>
            <w:pPr>
              <w:pStyle w:val="243"/>
              <w:spacing w:line="218" w:lineRule="auto"/>
              <w:ind w:left="113"/>
              <w:rPr>
                <w:lang w:eastAsia="zh-CN"/>
              </w:rPr>
            </w:pPr>
            <w:r>
              <w:rPr>
                <w:spacing w:val="-2"/>
                <w:lang w:eastAsia="zh-CN"/>
              </w:rPr>
              <w:t>供水楼层</w:t>
            </w:r>
            <w:r>
              <w:rPr>
                <w:rFonts w:hint="eastAsia"/>
                <w:spacing w:val="-2"/>
                <w:lang w:eastAsia="zh-CN"/>
              </w:rPr>
              <w:t>：</w:t>
            </w:r>
          </w:p>
          <w:p>
            <w:pPr>
              <w:pStyle w:val="243"/>
              <w:spacing w:before="264" w:line="219" w:lineRule="auto"/>
              <w:ind w:left="114"/>
              <w:rPr>
                <w:lang w:eastAsia="zh-CN"/>
              </w:rPr>
            </w:pPr>
            <w:r>
              <w:rPr>
                <w:spacing w:val="-2"/>
                <w:lang w:eastAsia="zh-CN"/>
              </w:rPr>
              <w:t>年总耗电量：</w:t>
            </w:r>
          </w:p>
          <w:p>
            <w:pPr>
              <w:pStyle w:val="243"/>
              <w:spacing w:before="264" w:line="478" w:lineRule="exact"/>
              <w:ind w:left="116"/>
              <w:rPr>
                <w:lang w:eastAsia="zh-CN"/>
              </w:rPr>
            </w:pPr>
            <w:r>
              <w:rPr>
                <w:spacing w:val="-2"/>
                <w:position w:val="23"/>
                <w:lang w:eastAsia="zh-CN"/>
              </w:rPr>
              <w:t>最后改造年月：</w:t>
            </w:r>
          </w:p>
          <w:p>
            <w:pPr>
              <w:pStyle w:val="243"/>
              <w:spacing w:line="219" w:lineRule="auto"/>
              <w:ind w:left="127"/>
              <w:rPr>
                <w:lang w:eastAsia="zh-CN"/>
              </w:rPr>
            </w:pPr>
            <w:r>
              <w:rPr>
                <w:spacing w:val="-4"/>
                <w:lang w:eastAsia="zh-CN"/>
              </w:rPr>
              <w:t>引入管管径：</w:t>
            </w:r>
          </w:p>
          <w:p>
            <w:pPr>
              <w:pStyle w:val="243"/>
              <w:spacing w:before="264" w:line="219" w:lineRule="auto"/>
              <w:ind w:left="129"/>
            </w:pPr>
            <w:r>
              <w:rPr>
                <w:spacing w:val="-5"/>
              </w:rPr>
              <w:t>出水压力：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7" w:hRule="atLeast"/>
        </w:trPr>
        <w:tc>
          <w:tcPr>
            <w:tcW w:w="1249" w:type="dxa"/>
            <w:vAlign w:val="center"/>
          </w:tcPr>
          <w:p>
            <w:pPr>
              <w:pStyle w:val="243"/>
              <w:snapToGrid w:val="0"/>
              <w:spacing w:before="58" w:line="240" w:lineRule="auto"/>
              <w:jc w:val="center"/>
            </w:pPr>
            <w:r>
              <w:rPr>
                <w:spacing w:val="-2"/>
              </w:rPr>
              <w:t>二次供水方式</w:t>
            </w:r>
          </w:p>
        </w:tc>
        <w:tc>
          <w:tcPr>
            <w:tcW w:w="8116" w:type="dxa"/>
            <w:gridSpan w:val="7"/>
          </w:tcPr>
          <w:p>
            <w:pPr>
              <w:pStyle w:val="243"/>
              <w:snapToGrid w:val="0"/>
              <w:spacing w:before="147" w:line="240" w:lineRule="auto"/>
              <w:ind w:left="115"/>
              <w:rPr>
                <w:lang w:eastAsia="zh-CN"/>
              </w:rPr>
            </w:pPr>
            <w:r>
              <w:rPr>
                <w:rFonts w:hint="eastAsia" w:cs="Times New Roman"/>
                <w:spacing w:val="-2"/>
                <w:lang w:eastAsia="zh-CN"/>
              </w:rPr>
              <w:t>□</w:t>
            </w:r>
            <w:r>
              <w:rPr>
                <w:spacing w:val="-2"/>
                <w:lang w:eastAsia="zh-CN"/>
              </w:rPr>
              <w:t>低位水池</w:t>
            </w:r>
            <w:r>
              <w:rPr>
                <w:rFonts w:cs="Times New Roman"/>
                <w:spacing w:val="-2"/>
                <w:lang w:eastAsia="zh-CN"/>
              </w:rPr>
              <w:t>+</w:t>
            </w:r>
            <w:r>
              <w:rPr>
                <w:spacing w:val="-2"/>
                <w:lang w:eastAsia="zh-CN"/>
              </w:rPr>
              <w:t>变频水泵</w:t>
            </w:r>
          </w:p>
          <w:p>
            <w:pPr>
              <w:pStyle w:val="243"/>
              <w:snapToGrid w:val="0"/>
              <w:spacing w:before="264" w:line="240" w:lineRule="auto"/>
              <w:ind w:left="115"/>
              <w:rPr>
                <w:lang w:eastAsia="zh-CN"/>
              </w:rPr>
            </w:pPr>
            <w:r>
              <w:rPr>
                <w:rFonts w:hint="eastAsia" w:cs="Times New Roman"/>
                <w:spacing w:val="-1"/>
                <w:lang w:eastAsia="zh-CN"/>
              </w:rPr>
              <w:t>□</w:t>
            </w:r>
            <w:r>
              <w:rPr>
                <w:spacing w:val="-1"/>
                <w:lang w:eastAsia="zh-CN"/>
              </w:rPr>
              <w:t>低位水池</w:t>
            </w:r>
            <w:r>
              <w:rPr>
                <w:rFonts w:cs="Times New Roman"/>
                <w:spacing w:val="-1"/>
                <w:lang w:eastAsia="zh-CN"/>
              </w:rPr>
              <w:t>+</w:t>
            </w:r>
            <w:r>
              <w:rPr>
                <w:spacing w:val="-1"/>
                <w:lang w:eastAsia="zh-CN"/>
              </w:rPr>
              <w:t>水泵</w:t>
            </w:r>
            <w:r>
              <w:rPr>
                <w:rFonts w:cs="Times New Roman"/>
                <w:spacing w:val="-1"/>
                <w:lang w:eastAsia="zh-CN"/>
              </w:rPr>
              <w:t>+</w:t>
            </w:r>
            <w:r>
              <w:rPr>
                <w:spacing w:val="-1"/>
                <w:lang w:eastAsia="zh-CN"/>
              </w:rPr>
              <w:t>屋顶水箱</w:t>
            </w:r>
          </w:p>
          <w:p>
            <w:pPr>
              <w:pStyle w:val="243"/>
              <w:snapToGrid w:val="0"/>
              <w:spacing w:before="264" w:line="240" w:lineRule="auto"/>
              <w:ind w:left="115"/>
              <w:rPr>
                <w:lang w:eastAsia="zh-CN"/>
              </w:rPr>
            </w:pPr>
            <w:r>
              <w:rPr>
                <w:rFonts w:hint="eastAsia" w:cs="Times New Roman"/>
                <w:spacing w:val="-2"/>
                <w:lang w:eastAsia="zh-CN"/>
              </w:rPr>
              <w:t>□</w:t>
            </w:r>
            <w:r>
              <w:rPr>
                <w:spacing w:val="-2"/>
                <w:lang w:eastAsia="zh-CN"/>
              </w:rPr>
              <w:t>水泵</w:t>
            </w:r>
            <w:r>
              <w:rPr>
                <w:rFonts w:cs="Times New Roman"/>
                <w:spacing w:val="-2"/>
                <w:lang w:eastAsia="zh-CN"/>
              </w:rPr>
              <w:t>+</w:t>
            </w:r>
            <w:r>
              <w:rPr>
                <w:spacing w:val="-2"/>
                <w:lang w:eastAsia="zh-CN"/>
              </w:rPr>
              <w:t>屋顶水箱</w:t>
            </w:r>
          </w:p>
          <w:p>
            <w:pPr>
              <w:pStyle w:val="243"/>
              <w:snapToGrid w:val="0"/>
              <w:spacing w:before="264" w:line="240" w:lineRule="auto"/>
              <w:ind w:left="115"/>
              <w:rPr>
                <w:lang w:eastAsia="zh-CN"/>
              </w:rPr>
            </w:pPr>
            <w:r>
              <w:rPr>
                <w:rFonts w:hint="eastAsia" w:cs="Times New Roman"/>
                <w:spacing w:val="-2"/>
                <w:lang w:eastAsia="zh-CN"/>
              </w:rPr>
              <w:t>□</w:t>
            </w:r>
            <w:r>
              <w:rPr>
                <w:spacing w:val="-2"/>
                <w:lang w:eastAsia="zh-CN"/>
              </w:rPr>
              <w:t>市政管网</w:t>
            </w:r>
            <w:r>
              <w:rPr>
                <w:rFonts w:cs="Times New Roman"/>
                <w:spacing w:val="-2"/>
                <w:lang w:eastAsia="zh-CN"/>
              </w:rPr>
              <w:t>+</w:t>
            </w:r>
            <w:r>
              <w:rPr>
                <w:spacing w:val="-2"/>
                <w:lang w:eastAsia="zh-CN"/>
              </w:rPr>
              <w:t>屋顶水箱</w:t>
            </w:r>
          </w:p>
          <w:p>
            <w:pPr>
              <w:pStyle w:val="243"/>
              <w:snapToGrid w:val="0"/>
              <w:spacing w:before="263" w:line="240" w:lineRule="auto"/>
              <w:ind w:left="115"/>
              <w:rPr>
                <w:lang w:eastAsia="zh-CN"/>
              </w:rPr>
            </w:pPr>
            <w:r>
              <w:rPr>
                <w:rFonts w:hint="eastAsia" w:cs="Times New Roman"/>
                <w:spacing w:val="-1"/>
                <w:lang w:eastAsia="zh-CN"/>
              </w:rPr>
              <w:t>□</w:t>
            </w:r>
            <w:r>
              <w:rPr>
                <w:spacing w:val="-1"/>
                <w:lang w:eastAsia="zh-CN"/>
              </w:rPr>
              <w:t>叠压设备</w:t>
            </w:r>
            <w:r>
              <w:rPr>
                <w:rFonts w:cs="Times New Roman"/>
                <w:spacing w:val="-1"/>
                <w:lang w:eastAsia="zh-CN"/>
              </w:rPr>
              <w:t>(</w:t>
            </w:r>
            <w:r>
              <w:rPr>
                <w:spacing w:val="-1"/>
                <w:lang w:eastAsia="zh-CN"/>
              </w:rPr>
              <w:t>工频</w:t>
            </w:r>
            <w:r>
              <w:rPr>
                <w:rFonts w:cs="Times New Roman"/>
                <w:spacing w:val="-1"/>
                <w:lang w:eastAsia="zh-CN"/>
              </w:rPr>
              <w:t>)+</w:t>
            </w:r>
            <w:r>
              <w:rPr>
                <w:spacing w:val="-1"/>
                <w:lang w:eastAsia="zh-CN"/>
              </w:rPr>
              <w:t>屋顶水箱</w:t>
            </w:r>
          </w:p>
          <w:p>
            <w:pPr>
              <w:pStyle w:val="243"/>
              <w:snapToGrid w:val="0"/>
              <w:spacing w:before="270" w:line="240" w:lineRule="auto"/>
              <w:ind w:left="115"/>
              <w:rPr>
                <w:rFonts w:cs="Times New Roman"/>
              </w:rPr>
            </w:pPr>
            <w:r>
              <w:rPr>
                <w:rFonts w:hint="eastAsia" w:cs="Times New Roman"/>
                <w:spacing w:val="-2"/>
                <w:lang w:eastAsia="zh-CN"/>
              </w:rPr>
              <w:t>□</w:t>
            </w:r>
            <w:r>
              <w:rPr>
                <w:spacing w:val="-2"/>
              </w:rPr>
              <w:t>叠压设备</w:t>
            </w:r>
            <w:r>
              <w:rPr>
                <w:rFonts w:cs="Times New Roman"/>
                <w:spacing w:val="-2"/>
              </w:rPr>
              <w:t>(</w:t>
            </w:r>
            <w:r>
              <w:rPr>
                <w:spacing w:val="-2"/>
              </w:rPr>
              <w:t>变频</w:t>
            </w:r>
            <w:r>
              <w:rPr>
                <w:rFonts w:cs="Times New Roman"/>
                <w:spacing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7" w:hRule="atLeast"/>
        </w:trPr>
        <w:tc>
          <w:tcPr>
            <w:tcW w:w="1249" w:type="dxa"/>
            <w:vMerge w:val="restart"/>
            <w:vAlign w:val="center"/>
          </w:tcPr>
          <w:p>
            <w:pPr>
              <w:pStyle w:val="243"/>
              <w:spacing w:before="58" w:line="219" w:lineRule="auto"/>
              <w:jc w:val="center"/>
              <w:rPr>
                <w:lang w:eastAsia="zh-CN"/>
              </w:rPr>
            </w:pPr>
            <w:r>
              <w:rPr>
                <w:rFonts w:hint="eastAsia"/>
                <w:spacing w:val="-2"/>
                <w:lang w:eastAsia="zh-CN"/>
              </w:rPr>
              <w:t>水池（箱）</w:t>
            </w:r>
          </w:p>
        </w:tc>
        <w:tc>
          <w:tcPr>
            <w:tcW w:w="1778" w:type="dxa"/>
            <w:vAlign w:val="center"/>
          </w:tcPr>
          <w:p>
            <w:pPr>
              <w:pStyle w:val="243"/>
              <w:spacing w:before="148" w:line="220" w:lineRule="auto"/>
              <w:jc w:val="center"/>
            </w:pPr>
            <w:r>
              <w:rPr>
                <w:spacing w:val="-2"/>
              </w:rPr>
              <w:t>生活与消防</w:t>
            </w:r>
            <w:r>
              <w:rPr>
                <w:spacing w:val="-3"/>
              </w:rPr>
              <w:t>是否独立</w:t>
            </w:r>
          </w:p>
        </w:tc>
        <w:tc>
          <w:tcPr>
            <w:tcW w:w="6338" w:type="dxa"/>
            <w:gridSpan w:val="6"/>
            <w:vAlign w:val="center"/>
          </w:tcPr>
          <w:p>
            <w:pPr>
              <w:pStyle w:val="243"/>
              <w:spacing w:before="59" w:line="220" w:lineRule="auto"/>
            </w:pPr>
            <w:r>
              <w:rPr>
                <w:rFonts w:hint="eastAsia" w:cs="Times New Roman"/>
                <w:spacing w:val="-4"/>
                <w:lang w:eastAsia="zh-CN"/>
              </w:rPr>
              <w:t>□</w:t>
            </w:r>
            <w:r>
              <w:rPr>
                <w:spacing w:val="-4"/>
              </w:rPr>
              <w:t>是</w:t>
            </w:r>
            <w:r>
              <w:rPr>
                <w:rFonts w:hint="eastAsia"/>
                <w:spacing w:val="-4"/>
                <w:lang w:eastAsia="zh-CN"/>
              </w:rPr>
              <w:t xml:space="preserve"> </w:t>
            </w:r>
            <w:r>
              <w:rPr>
                <w:rFonts w:hint="eastAsia" w:cs="Times New Roman"/>
                <w:spacing w:val="-4"/>
                <w:lang w:eastAsia="zh-CN"/>
              </w:rPr>
              <w:t>□</w:t>
            </w:r>
            <w:r>
              <w:rPr>
                <w:spacing w:val="-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3" w:hRule="atLeast"/>
        </w:trPr>
        <w:tc>
          <w:tcPr>
            <w:tcW w:w="1249" w:type="dxa"/>
            <w:vMerge w:val="continue"/>
            <w:vAlign w:val="center"/>
          </w:tcPr>
          <w:p>
            <w:pPr>
              <w:rPr>
                <w:rFonts w:ascii="宋体" w:hAnsi="宋体"/>
                <w:sz w:val="18"/>
                <w:szCs w:val="18"/>
              </w:rPr>
            </w:pPr>
          </w:p>
        </w:tc>
        <w:tc>
          <w:tcPr>
            <w:tcW w:w="1778" w:type="dxa"/>
            <w:vMerge w:val="restart"/>
            <w:vAlign w:val="center"/>
          </w:tcPr>
          <w:p>
            <w:pPr>
              <w:pStyle w:val="243"/>
              <w:spacing w:before="154" w:line="219" w:lineRule="auto"/>
              <w:jc w:val="center"/>
            </w:pPr>
            <w:r>
              <w:rPr>
                <w:spacing w:val="-2"/>
              </w:rPr>
              <w:t>生活水池个</w:t>
            </w:r>
            <w:r>
              <w:rPr>
                <w:spacing w:val="-3"/>
              </w:rPr>
              <w:t>数及容积</w:t>
            </w:r>
          </w:p>
        </w:tc>
        <w:tc>
          <w:tcPr>
            <w:tcW w:w="949" w:type="dxa"/>
          </w:tcPr>
          <w:p>
            <w:pPr>
              <w:pStyle w:val="243"/>
              <w:spacing w:before="149" w:line="219" w:lineRule="auto"/>
              <w:ind w:left="111"/>
            </w:pPr>
            <w:r>
              <w:rPr>
                <w:spacing w:val="-2"/>
              </w:rPr>
              <w:t>低位水池</w:t>
            </w:r>
          </w:p>
        </w:tc>
        <w:tc>
          <w:tcPr>
            <w:tcW w:w="1700" w:type="dxa"/>
            <w:gridSpan w:val="3"/>
          </w:tcPr>
          <w:p>
            <w:pPr>
              <w:pStyle w:val="243"/>
              <w:spacing w:before="149" w:line="219" w:lineRule="auto"/>
              <w:ind w:left="112"/>
            </w:pPr>
            <w:r>
              <w:rPr>
                <w:spacing w:val="-3"/>
              </w:rPr>
              <w:t>个数：</w:t>
            </w:r>
          </w:p>
        </w:tc>
        <w:tc>
          <w:tcPr>
            <w:tcW w:w="3689" w:type="dxa"/>
            <w:gridSpan w:val="2"/>
          </w:tcPr>
          <w:p>
            <w:pPr>
              <w:pStyle w:val="243"/>
              <w:spacing w:before="149" w:line="220" w:lineRule="auto"/>
              <w:ind w:left="115"/>
            </w:pPr>
            <w:r>
              <w:rPr>
                <w:spacing w:val="-4"/>
              </w:rPr>
              <w:t>容积：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3" w:hRule="atLeast"/>
        </w:trPr>
        <w:tc>
          <w:tcPr>
            <w:tcW w:w="1249" w:type="dxa"/>
            <w:vMerge w:val="continue"/>
            <w:vAlign w:val="center"/>
          </w:tcPr>
          <w:p>
            <w:pPr>
              <w:rPr>
                <w:rFonts w:ascii="宋体" w:hAnsi="宋体"/>
                <w:sz w:val="18"/>
                <w:szCs w:val="18"/>
              </w:rPr>
            </w:pPr>
          </w:p>
        </w:tc>
        <w:tc>
          <w:tcPr>
            <w:tcW w:w="1778" w:type="dxa"/>
            <w:vMerge w:val="continue"/>
          </w:tcPr>
          <w:p>
            <w:pPr>
              <w:rPr>
                <w:rFonts w:ascii="宋体" w:hAnsi="宋体"/>
                <w:sz w:val="18"/>
                <w:szCs w:val="18"/>
              </w:rPr>
            </w:pPr>
          </w:p>
        </w:tc>
        <w:tc>
          <w:tcPr>
            <w:tcW w:w="949" w:type="dxa"/>
          </w:tcPr>
          <w:p>
            <w:pPr>
              <w:pStyle w:val="243"/>
              <w:spacing w:before="148" w:line="219" w:lineRule="auto"/>
              <w:ind w:left="117"/>
            </w:pPr>
            <w:r>
              <w:rPr>
                <w:spacing w:val="-3"/>
              </w:rPr>
              <w:t>高位水箱</w:t>
            </w:r>
          </w:p>
        </w:tc>
        <w:tc>
          <w:tcPr>
            <w:tcW w:w="1700" w:type="dxa"/>
            <w:gridSpan w:val="3"/>
          </w:tcPr>
          <w:p>
            <w:pPr>
              <w:pStyle w:val="243"/>
              <w:spacing w:before="148" w:line="219" w:lineRule="auto"/>
              <w:ind w:left="112"/>
            </w:pPr>
            <w:r>
              <w:rPr>
                <w:spacing w:val="-3"/>
              </w:rPr>
              <w:t>个数：</w:t>
            </w:r>
          </w:p>
        </w:tc>
        <w:tc>
          <w:tcPr>
            <w:tcW w:w="3689" w:type="dxa"/>
            <w:gridSpan w:val="2"/>
          </w:tcPr>
          <w:p>
            <w:pPr>
              <w:pStyle w:val="243"/>
              <w:spacing w:before="148" w:line="220" w:lineRule="auto"/>
              <w:ind w:left="115"/>
            </w:pPr>
            <w:r>
              <w:rPr>
                <w:spacing w:val="-4"/>
              </w:rPr>
              <w:t>容积：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1" w:hRule="atLeast"/>
        </w:trPr>
        <w:tc>
          <w:tcPr>
            <w:tcW w:w="1249" w:type="dxa"/>
            <w:vMerge w:val="continue"/>
            <w:vAlign w:val="center"/>
          </w:tcPr>
          <w:p>
            <w:pPr>
              <w:rPr>
                <w:rFonts w:ascii="宋体" w:hAnsi="宋体"/>
                <w:sz w:val="18"/>
                <w:szCs w:val="18"/>
              </w:rPr>
            </w:pPr>
          </w:p>
        </w:tc>
        <w:tc>
          <w:tcPr>
            <w:tcW w:w="1778" w:type="dxa"/>
            <w:vMerge w:val="restart"/>
            <w:vAlign w:val="center"/>
          </w:tcPr>
          <w:p>
            <w:pPr>
              <w:pStyle w:val="243"/>
              <w:spacing w:line="218" w:lineRule="auto"/>
              <w:jc w:val="center"/>
              <w:rPr>
                <w:lang w:eastAsia="zh-CN"/>
              </w:rPr>
            </w:pPr>
            <w:r>
              <w:rPr>
                <w:rFonts w:hint="eastAsia"/>
                <w:lang w:eastAsia="zh-CN"/>
              </w:rPr>
              <w:t>生活水池壁面材料</w:t>
            </w:r>
          </w:p>
        </w:tc>
        <w:tc>
          <w:tcPr>
            <w:tcW w:w="6338" w:type="dxa"/>
            <w:gridSpan w:val="6"/>
          </w:tcPr>
          <w:p>
            <w:pPr>
              <w:pStyle w:val="243"/>
              <w:spacing w:before="148" w:line="219" w:lineRule="auto"/>
              <w:ind w:left="111"/>
              <w:rPr>
                <w:lang w:eastAsia="zh-CN"/>
              </w:rPr>
            </w:pPr>
            <w:r>
              <w:rPr>
                <w:spacing w:val="-1"/>
                <w:lang w:eastAsia="zh-CN"/>
              </w:rPr>
              <w:t>低位水池：</w:t>
            </w:r>
            <w:r>
              <w:rPr>
                <w:rFonts w:hint="eastAsia" w:cs="Times New Roman"/>
                <w:spacing w:val="-1"/>
                <w:lang w:eastAsia="zh-CN"/>
              </w:rPr>
              <w:t>□</w:t>
            </w:r>
            <w:r>
              <w:rPr>
                <w:spacing w:val="-1"/>
                <w:lang w:eastAsia="zh-CN"/>
              </w:rPr>
              <w:t xml:space="preserve">瓷砖 </w:t>
            </w:r>
            <w:r>
              <w:rPr>
                <w:rFonts w:hint="eastAsia" w:cs="Times New Roman"/>
                <w:spacing w:val="-1"/>
                <w:lang w:eastAsia="zh-CN"/>
              </w:rPr>
              <w:t>□</w:t>
            </w:r>
            <w:r>
              <w:rPr>
                <w:spacing w:val="-1"/>
                <w:lang w:eastAsia="zh-CN"/>
              </w:rPr>
              <w:t xml:space="preserve">涂料 </w:t>
            </w:r>
            <w:r>
              <w:rPr>
                <w:rFonts w:hint="eastAsia" w:cs="Times New Roman"/>
                <w:spacing w:val="-1"/>
                <w:lang w:eastAsia="zh-CN"/>
              </w:rPr>
              <w:t>□</w:t>
            </w:r>
            <w:r>
              <w:rPr>
                <w:spacing w:val="-1"/>
                <w:lang w:eastAsia="zh-CN"/>
              </w:rPr>
              <w:t xml:space="preserve">不锈钢内衬 </w:t>
            </w:r>
            <w:r>
              <w:rPr>
                <w:rFonts w:hint="eastAsia" w:cs="Times New Roman"/>
                <w:spacing w:val="-1"/>
                <w:lang w:eastAsia="zh-CN"/>
              </w:rPr>
              <w:t>□</w:t>
            </w:r>
            <w:r>
              <w:rPr>
                <w:spacing w:val="-1"/>
                <w:lang w:eastAsia="zh-CN"/>
              </w:rPr>
              <w:t>水泥</w:t>
            </w:r>
            <w:r>
              <w:rPr>
                <w:spacing w:val="20"/>
                <w:lang w:eastAsia="zh-CN"/>
              </w:rPr>
              <w:t xml:space="preserve"> </w:t>
            </w:r>
            <w:r>
              <w:rPr>
                <w:rFonts w:hint="eastAsia" w:cs="Times New Roman"/>
                <w:spacing w:val="-1"/>
                <w:lang w:eastAsia="zh-CN"/>
              </w:rPr>
              <w:t>□</w:t>
            </w:r>
            <w:r>
              <w:rPr>
                <w:spacing w:val="-1"/>
                <w:lang w:eastAsia="zh-CN"/>
              </w:rPr>
              <w:t>不锈钢水箱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8" w:hRule="atLeast"/>
        </w:trPr>
        <w:tc>
          <w:tcPr>
            <w:tcW w:w="1249" w:type="dxa"/>
            <w:vMerge w:val="continue"/>
            <w:vAlign w:val="center"/>
          </w:tcPr>
          <w:p>
            <w:pPr>
              <w:rPr>
                <w:rFonts w:ascii="宋体" w:hAnsi="宋体"/>
                <w:sz w:val="18"/>
                <w:szCs w:val="18"/>
              </w:rPr>
            </w:pPr>
          </w:p>
        </w:tc>
        <w:tc>
          <w:tcPr>
            <w:tcW w:w="1778" w:type="dxa"/>
            <w:vMerge w:val="continue"/>
          </w:tcPr>
          <w:p>
            <w:pPr>
              <w:rPr>
                <w:rFonts w:ascii="宋体" w:hAnsi="宋体"/>
                <w:sz w:val="18"/>
                <w:szCs w:val="18"/>
              </w:rPr>
            </w:pPr>
          </w:p>
        </w:tc>
        <w:tc>
          <w:tcPr>
            <w:tcW w:w="6338" w:type="dxa"/>
            <w:gridSpan w:val="6"/>
          </w:tcPr>
          <w:p>
            <w:pPr>
              <w:pStyle w:val="243"/>
              <w:spacing w:before="148" w:line="219" w:lineRule="auto"/>
              <w:ind w:left="117"/>
              <w:rPr>
                <w:lang w:eastAsia="zh-CN"/>
              </w:rPr>
            </w:pPr>
            <w:r>
              <w:rPr>
                <w:spacing w:val="-2"/>
                <w:lang w:eastAsia="zh-CN"/>
              </w:rPr>
              <w:t xml:space="preserve">高位水箱 </w:t>
            </w:r>
            <w:r>
              <w:rPr>
                <w:rFonts w:cs="Times New Roman"/>
                <w:spacing w:val="-2"/>
                <w:lang w:eastAsia="zh-CN"/>
              </w:rPr>
              <w:t>:</w:t>
            </w:r>
            <w:r>
              <w:rPr>
                <w:rFonts w:hint="eastAsia" w:cs="Times New Roman"/>
                <w:spacing w:val="-2"/>
                <w:lang w:eastAsia="zh-CN"/>
              </w:rPr>
              <w:t>□</w:t>
            </w:r>
            <w:r>
              <w:rPr>
                <w:spacing w:val="-2"/>
                <w:lang w:eastAsia="zh-CN"/>
              </w:rPr>
              <w:t xml:space="preserve">瓷砖 </w:t>
            </w:r>
            <w:r>
              <w:rPr>
                <w:rFonts w:hint="eastAsia" w:cs="Times New Roman"/>
                <w:spacing w:val="-2"/>
                <w:lang w:eastAsia="zh-CN"/>
              </w:rPr>
              <w:t>□</w:t>
            </w:r>
            <w:r>
              <w:rPr>
                <w:spacing w:val="-2"/>
                <w:lang w:eastAsia="zh-CN"/>
              </w:rPr>
              <w:t>涂料</w:t>
            </w:r>
            <w:r>
              <w:rPr>
                <w:spacing w:val="15"/>
                <w:lang w:eastAsia="zh-CN"/>
              </w:rPr>
              <w:t xml:space="preserve"> </w:t>
            </w:r>
            <w:r>
              <w:rPr>
                <w:rFonts w:hint="eastAsia" w:cs="Times New Roman"/>
                <w:spacing w:val="-2"/>
                <w:lang w:eastAsia="zh-CN"/>
              </w:rPr>
              <w:t>□</w:t>
            </w:r>
            <w:r>
              <w:rPr>
                <w:spacing w:val="-2"/>
                <w:lang w:eastAsia="zh-CN"/>
              </w:rPr>
              <w:t>不锈钢内衬</w:t>
            </w:r>
            <w:r>
              <w:rPr>
                <w:spacing w:val="12"/>
                <w:lang w:eastAsia="zh-CN"/>
              </w:rPr>
              <w:t xml:space="preserve"> </w:t>
            </w:r>
            <w:r>
              <w:rPr>
                <w:rFonts w:hint="eastAsia" w:cs="Times New Roman"/>
                <w:spacing w:val="-2"/>
                <w:lang w:eastAsia="zh-CN"/>
              </w:rPr>
              <w:t>□</w:t>
            </w:r>
            <w:r>
              <w:rPr>
                <w:spacing w:val="-2"/>
                <w:lang w:eastAsia="zh-CN"/>
              </w:rPr>
              <w:t>水泥</w:t>
            </w:r>
            <w:r>
              <w:rPr>
                <w:spacing w:val="14"/>
                <w:lang w:eastAsia="zh-CN"/>
              </w:rPr>
              <w:t xml:space="preserve"> </w:t>
            </w:r>
            <w:r>
              <w:rPr>
                <w:rFonts w:hint="eastAsia" w:cs="Times New Roman"/>
                <w:spacing w:val="-2"/>
                <w:lang w:eastAsia="zh-CN"/>
              </w:rPr>
              <w:t>□</w:t>
            </w:r>
            <w:r>
              <w:rPr>
                <w:spacing w:val="-2"/>
                <w:lang w:eastAsia="zh-CN"/>
              </w:rPr>
              <w:t>不锈钢水箱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2" w:hRule="atLeast"/>
        </w:trPr>
        <w:tc>
          <w:tcPr>
            <w:tcW w:w="1249" w:type="dxa"/>
            <w:vMerge w:val="restart"/>
            <w:vAlign w:val="center"/>
          </w:tcPr>
          <w:p>
            <w:pPr>
              <w:pStyle w:val="243"/>
              <w:spacing w:before="58" w:line="219" w:lineRule="auto"/>
              <w:jc w:val="center"/>
              <w:rPr>
                <w:lang w:eastAsia="zh-CN"/>
              </w:rPr>
            </w:pPr>
            <w:r>
              <w:rPr>
                <w:rFonts w:hint="eastAsia"/>
                <w:spacing w:val="-2"/>
                <w:lang w:eastAsia="zh-CN"/>
              </w:rPr>
              <w:t>水池（箱）</w:t>
            </w:r>
          </w:p>
        </w:tc>
        <w:tc>
          <w:tcPr>
            <w:tcW w:w="1778" w:type="dxa"/>
            <w:vMerge w:val="restart"/>
            <w:vAlign w:val="center"/>
          </w:tcPr>
          <w:p>
            <w:pPr>
              <w:pStyle w:val="243"/>
              <w:spacing w:before="152" w:line="468" w:lineRule="exact"/>
              <w:jc w:val="center"/>
              <w:rPr>
                <w:lang w:eastAsia="zh-CN"/>
              </w:rPr>
            </w:pPr>
            <w:r>
              <w:rPr>
                <w:rFonts w:hint="eastAsia"/>
                <w:lang w:eastAsia="zh-CN"/>
              </w:rPr>
              <w:t>消防水池个数及容积</w:t>
            </w:r>
          </w:p>
        </w:tc>
        <w:tc>
          <w:tcPr>
            <w:tcW w:w="6338" w:type="dxa"/>
            <w:gridSpan w:val="6"/>
          </w:tcPr>
          <w:p>
            <w:pPr>
              <w:pStyle w:val="243"/>
              <w:spacing w:before="147" w:line="219" w:lineRule="auto"/>
              <w:ind w:left="111"/>
              <w:rPr>
                <w:lang w:eastAsia="zh-CN"/>
              </w:rPr>
            </w:pPr>
            <w:r>
              <w:rPr>
                <w:spacing w:val="-1"/>
                <w:lang w:eastAsia="zh-CN"/>
              </w:rPr>
              <w:t>低位水池个数：</w:t>
            </w:r>
            <w:r>
              <w:rPr>
                <w:rFonts w:hint="eastAsia"/>
                <w:spacing w:val="-1"/>
                <w:lang w:eastAsia="zh-CN"/>
              </w:rPr>
              <w:t xml:space="preserve">          </w:t>
            </w:r>
            <w:r>
              <w:rPr>
                <w:spacing w:val="-1"/>
                <w:lang w:eastAsia="zh-CN"/>
              </w:rPr>
              <w:t>容积：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2" w:hRule="atLeast"/>
        </w:trPr>
        <w:tc>
          <w:tcPr>
            <w:tcW w:w="1249" w:type="dxa"/>
            <w:vMerge w:val="continue"/>
            <w:vAlign w:val="center"/>
          </w:tcPr>
          <w:p>
            <w:pPr>
              <w:rPr>
                <w:rFonts w:ascii="宋体" w:hAnsi="宋体"/>
                <w:sz w:val="18"/>
                <w:szCs w:val="18"/>
              </w:rPr>
            </w:pPr>
          </w:p>
        </w:tc>
        <w:tc>
          <w:tcPr>
            <w:tcW w:w="1778" w:type="dxa"/>
            <w:vMerge w:val="continue"/>
          </w:tcPr>
          <w:p>
            <w:pPr>
              <w:rPr>
                <w:rFonts w:ascii="宋体" w:hAnsi="宋体"/>
                <w:sz w:val="18"/>
                <w:szCs w:val="18"/>
              </w:rPr>
            </w:pPr>
          </w:p>
        </w:tc>
        <w:tc>
          <w:tcPr>
            <w:tcW w:w="6338" w:type="dxa"/>
            <w:gridSpan w:val="6"/>
          </w:tcPr>
          <w:p>
            <w:pPr>
              <w:pStyle w:val="243"/>
              <w:spacing w:before="150" w:line="219" w:lineRule="auto"/>
              <w:ind w:left="117"/>
              <w:rPr>
                <w:lang w:eastAsia="zh-CN"/>
              </w:rPr>
            </w:pPr>
            <w:r>
              <w:rPr>
                <w:spacing w:val="-2"/>
                <w:lang w:eastAsia="zh-CN"/>
              </w:rPr>
              <w:t>高位水箱个数：</w:t>
            </w:r>
            <w:r>
              <w:rPr>
                <w:rFonts w:hint="eastAsia"/>
                <w:spacing w:val="-2"/>
                <w:lang w:eastAsia="zh-CN"/>
              </w:rPr>
              <w:t xml:space="preserve">           </w:t>
            </w:r>
            <w:r>
              <w:rPr>
                <w:spacing w:val="-2"/>
                <w:lang w:eastAsia="zh-CN"/>
              </w:rPr>
              <w:t>容积：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1249" w:type="dxa"/>
            <w:vMerge w:val="continue"/>
            <w:vAlign w:val="center"/>
          </w:tcPr>
          <w:p>
            <w:pPr>
              <w:rPr>
                <w:rFonts w:ascii="宋体" w:hAnsi="宋体"/>
                <w:sz w:val="18"/>
                <w:szCs w:val="18"/>
              </w:rPr>
            </w:pPr>
          </w:p>
        </w:tc>
        <w:tc>
          <w:tcPr>
            <w:tcW w:w="1778" w:type="dxa"/>
            <w:vMerge w:val="restart"/>
            <w:vAlign w:val="center"/>
          </w:tcPr>
          <w:p>
            <w:pPr>
              <w:pStyle w:val="243"/>
              <w:spacing w:before="59" w:line="468" w:lineRule="exact"/>
              <w:jc w:val="center"/>
              <w:rPr>
                <w:lang w:eastAsia="zh-CN"/>
              </w:rPr>
            </w:pPr>
            <w:r>
              <w:rPr>
                <w:rFonts w:hint="eastAsia"/>
                <w:lang w:eastAsia="zh-CN"/>
              </w:rPr>
              <w:t>二次消毒装置</w:t>
            </w:r>
          </w:p>
        </w:tc>
        <w:tc>
          <w:tcPr>
            <w:tcW w:w="6338" w:type="dxa"/>
            <w:gridSpan w:val="6"/>
          </w:tcPr>
          <w:p>
            <w:pPr>
              <w:pStyle w:val="243"/>
              <w:spacing w:before="150" w:line="219" w:lineRule="auto"/>
              <w:ind w:left="116"/>
              <w:rPr>
                <w:lang w:eastAsia="zh-CN"/>
              </w:rPr>
            </w:pPr>
            <w:r>
              <w:rPr>
                <w:spacing w:val="-1"/>
                <w:lang w:eastAsia="zh-CN"/>
              </w:rPr>
              <w:t>安装位置：</w:t>
            </w:r>
            <w:r>
              <w:rPr>
                <w:rFonts w:hint="eastAsia" w:cs="Times New Roman"/>
                <w:spacing w:val="-1"/>
                <w:lang w:eastAsia="zh-CN"/>
              </w:rPr>
              <w:t>□</w:t>
            </w:r>
            <w:r>
              <w:rPr>
                <w:spacing w:val="-1"/>
                <w:lang w:eastAsia="zh-CN"/>
              </w:rPr>
              <w:t>低位水池</w:t>
            </w:r>
            <w:r>
              <w:rPr>
                <w:rFonts w:hint="eastAsia"/>
                <w:spacing w:val="-1"/>
                <w:lang w:eastAsia="zh-CN"/>
              </w:rPr>
              <w:t>；</w:t>
            </w:r>
            <w:r>
              <w:rPr>
                <w:rFonts w:hint="eastAsia" w:cs="Times New Roman"/>
                <w:spacing w:val="-1"/>
                <w:lang w:eastAsia="zh-CN"/>
              </w:rPr>
              <w:t>□</w:t>
            </w:r>
            <w:r>
              <w:rPr>
                <w:spacing w:val="-1"/>
                <w:lang w:eastAsia="zh-CN"/>
              </w:rPr>
              <w:t>高位水箱</w:t>
            </w:r>
            <w:r>
              <w:rPr>
                <w:rFonts w:hint="eastAsia"/>
                <w:spacing w:val="-1"/>
                <w:lang w:eastAsia="zh-CN"/>
              </w:rPr>
              <w:t>；</w:t>
            </w:r>
            <w:r>
              <w:rPr>
                <w:rFonts w:hint="eastAsia" w:cs="Times New Roman"/>
                <w:spacing w:val="-1"/>
                <w:lang w:eastAsia="zh-CN"/>
              </w:rPr>
              <w:t>□</w:t>
            </w:r>
            <w:r>
              <w:rPr>
                <w:spacing w:val="-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6" w:hRule="atLeast"/>
        </w:trPr>
        <w:tc>
          <w:tcPr>
            <w:tcW w:w="1249" w:type="dxa"/>
            <w:vMerge w:val="continue"/>
            <w:vAlign w:val="center"/>
          </w:tcPr>
          <w:p>
            <w:pPr>
              <w:rPr>
                <w:rFonts w:ascii="宋体" w:hAnsi="宋体"/>
                <w:sz w:val="18"/>
                <w:szCs w:val="18"/>
              </w:rPr>
            </w:pPr>
          </w:p>
        </w:tc>
        <w:tc>
          <w:tcPr>
            <w:tcW w:w="1778" w:type="dxa"/>
            <w:vMerge w:val="continue"/>
            <w:vAlign w:val="center"/>
          </w:tcPr>
          <w:p>
            <w:pPr>
              <w:jc w:val="center"/>
              <w:rPr>
                <w:rFonts w:ascii="宋体" w:hAnsi="宋体"/>
                <w:sz w:val="18"/>
                <w:szCs w:val="18"/>
              </w:rPr>
            </w:pPr>
          </w:p>
        </w:tc>
        <w:tc>
          <w:tcPr>
            <w:tcW w:w="6338" w:type="dxa"/>
            <w:gridSpan w:val="6"/>
          </w:tcPr>
          <w:p>
            <w:pPr>
              <w:pStyle w:val="243"/>
              <w:spacing w:before="149" w:line="219" w:lineRule="auto"/>
              <w:ind w:left="112"/>
            </w:pPr>
            <w:r>
              <w:rPr>
                <w:spacing w:val="-3"/>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3" w:hRule="atLeast"/>
        </w:trPr>
        <w:tc>
          <w:tcPr>
            <w:tcW w:w="1249" w:type="dxa"/>
            <w:vMerge w:val="continue"/>
            <w:vAlign w:val="center"/>
          </w:tcPr>
          <w:p>
            <w:pPr>
              <w:rPr>
                <w:rFonts w:ascii="宋体" w:hAnsi="宋体"/>
                <w:sz w:val="18"/>
                <w:szCs w:val="18"/>
              </w:rPr>
            </w:pPr>
          </w:p>
        </w:tc>
        <w:tc>
          <w:tcPr>
            <w:tcW w:w="1778" w:type="dxa"/>
            <w:vMerge w:val="continue"/>
            <w:vAlign w:val="center"/>
          </w:tcPr>
          <w:p>
            <w:pPr>
              <w:jc w:val="center"/>
              <w:rPr>
                <w:rFonts w:ascii="宋体" w:hAnsi="宋体"/>
                <w:sz w:val="18"/>
                <w:szCs w:val="18"/>
              </w:rPr>
            </w:pPr>
          </w:p>
        </w:tc>
        <w:tc>
          <w:tcPr>
            <w:tcW w:w="6338" w:type="dxa"/>
            <w:gridSpan w:val="6"/>
          </w:tcPr>
          <w:p>
            <w:pPr>
              <w:pStyle w:val="243"/>
              <w:spacing w:before="148" w:line="221" w:lineRule="auto"/>
              <w:ind w:left="118"/>
            </w:pPr>
            <w:r>
              <w:rPr>
                <w:spacing w:val="-5"/>
              </w:rPr>
              <w:t>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4" w:hRule="atLeast"/>
        </w:trPr>
        <w:tc>
          <w:tcPr>
            <w:tcW w:w="1249" w:type="dxa"/>
            <w:vMerge w:val="continue"/>
            <w:vAlign w:val="center"/>
          </w:tcPr>
          <w:p>
            <w:pPr>
              <w:rPr>
                <w:rFonts w:ascii="宋体" w:hAnsi="宋体"/>
                <w:sz w:val="18"/>
                <w:szCs w:val="18"/>
              </w:rPr>
            </w:pPr>
          </w:p>
        </w:tc>
        <w:tc>
          <w:tcPr>
            <w:tcW w:w="1778" w:type="dxa"/>
            <w:vMerge w:val="restart"/>
            <w:vAlign w:val="center"/>
          </w:tcPr>
          <w:p>
            <w:pPr>
              <w:pStyle w:val="243"/>
              <w:spacing w:before="59" w:line="219" w:lineRule="auto"/>
              <w:jc w:val="center"/>
            </w:pPr>
            <w:r>
              <w:rPr>
                <w:spacing w:val="-2"/>
              </w:rPr>
              <w:t>进水管</w:t>
            </w:r>
          </w:p>
        </w:tc>
        <w:tc>
          <w:tcPr>
            <w:tcW w:w="1786" w:type="dxa"/>
            <w:gridSpan w:val="2"/>
          </w:tcPr>
          <w:p>
            <w:pPr>
              <w:pStyle w:val="243"/>
              <w:spacing w:before="149" w:line="219" w:lineRule="auto"/>
              <w:ind w:left="111"/>
            </w:pPr>
            <w:r>
              <w:rPr>
                <w:spacing w:val="-2"/>
              </w:rPr>
              <w:t>低位水池：</w:t>
            </w:r>
          </w:p>
        </w:tc>
        <w:tc>
          <w:tcPr>
            <w:tcW w:w="2000" w:type="dxa"/>
            <w:gridSpan w:val="3"/>
          </w:tcPr>
          <w:p>
            <w:pPr>
              <w:pStyle w:val="243"/>
              <w:spacing w:before="149" w:line="219" w:lineRule="auto"/>
              <w:ind w:left="116"/>
            </w:pPr>
            <w:r>
              <w:rPr>
                <w:spacing w:val="-4"/>
              </w:rPr>
              <w:t>管径：</w:t>
            </w:r>
          </w:p>
        </w:tc>
        <w:tc>
          <w:tcPr>
            <w:tcW w:w="2552" w:type="dxa"/>
          </w:tcPr>
          <w:p>
            <w:pPr>
              <w:pStyle w:val="243"/>
              <w:spacing w:before="148" w:line="219" w:lineRule="auto"/>
              <w:ind w:left="117"/>
            </w:pPr>
            <w:r>
              <w:rPr>
                <w:spacing w:val="-4"/>
              </w:rPr>
              <w:t>管材：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3" w:hRule="atLeast"/>
        </w:trPr>
        <w:tc>
          <w:tcPr>
            <w:tcW w:w="1249" w:type="dxa"/>
            <w:vMerge w:val="continue"/>
            <w:vAlign w:val="center"/>
          </w:tcPr>
          <w:p>
            <w:pPr>
              <w:rPr>
                <w:rFonts w:ascii="宋体" w:hAnsi="宋体"/>
                <w:sz w:val="18"/>
                <w:szCs w:val="18"/>
              </w:rPr>
            </w:pPr>
          </w:p>
        </w:tc>
        <w:tc>
          <w:tcPr>
            <w:tcW w:w="1778" w:type="dxa"/>
            <w:vMerge w:val="continue"/>
            <w:vAlign w:val="center"/>
          </w:tcPr>
          <w:p>
            <w:pPr>
              <w:jc w:val="center"/>
              <w:rPr>
                <w:rFonts w:ascii="宋体" w:hAnsi="宋体"/>
                <w:sz w:val="18"/>
                <w:szCs w:val="18"/>
              </w:rPr>
            </w:pPr>
          </w:p>
        </w:tc>
        <w:tc>
          <w:tcPr>
            <w:tcW w:w="1786" w:type="dxa"/>
            <w:gridSpan w:val="2"/>
          </w:tcPr>
          <w:p>
            <w:pPr>
              <w:pStyle w:val="243"/>
              <w:spacing w:before="148" w:line="219" w:lineRule="auto"/>
              <w:ind w:left="117"/>
            </w:pPr>
            <w:r>
              <w:rPr>
                <w:spacing w:val="-3"/>
              </w:rPr>
              <w:t>高位水箱：</w:t>
            </w:r>
          </w:p>
        </w:tc>
        <w:tc>
          <w:tcPr>
            <w:tcW w:w="2000" w:type="dxa"/>
            <w:gridSpan w:val="3"/>
          </w:tcPr>
          <w:p>
            <w:pPr>
              <w:pStyle w:val="243"/>
              <w:spacing w:before="148" w:line="219" w:lineRule="auto"/>
              <w:ind w:left="116"/>
            </w:pPr>
            <w:r>
              <w:rPr>
                <w:spacing w:val="-4"/>
              </w:rPr>
              <w:t>管径：</w:t>
            </w:r>
          </w:p>
        </w:tc>
        <w:tc>
          <w:tcPr>
            <w:tcW w:w="2552" w:type="dxa"/>
          </w:tcPr>
          <w:p>
            <w:pPr>
              <w:pStyle w:val="243"/>
              <w:spacing w:before="148" w:line="219" w:lineRule="auto"/>
              <w:ind w:left="117"/>
            </w:pPr>
            <w:r>
              <w:rPr>
                <w:spacing w:val="-4"/>
              </w:rPr>
              <w:t>管材：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9" w:hRule="atLeast"/>
        </w:trPr>
        <w:tc>
          <w:tcPr>
            <w:tcW w:w="1249" w:type="dxa"/>
            <w:vMerge w:val="continue"/>
            <w:vAlign w:val="center"/>
          </w:tcPr>
          <w:p>
            <w:pPr>
              <w:rPr>
                <w:rFonts w:ascii="宋体" w:hAnsi="宋体"/>
                <w:sz w:val="18"/>
                <w:szCs w:val="18"/>
              </w:rPr>
            </w:pPr>
          </w:p>
        </w:tc>
        <w:tc>
          <w:tcPr>
            <w:tcW w:w="1778" w:type="dxa"/>
            <w:vMerge w:val="restart"/>
            <w:vAlign w:val="center"/>
          </w:tcPr>
          <w:p>
            <w:pPr>
              <w:pStyle w:val="243"/>
              <w:spacing w:before="58" w:line="219" w:lineRule="auto"/>
              <w:jc w:val="center"/>
            </w:pPr>
            <w:r>
              <w:rPr>
                <w:spacing w:val="-8"/>
              </w:rPr>
              <w:t>出水管</w:t>
            </w:r>
          </w:p>
        </w:tc>
        <w:tc>
          <w:tcPr>
            <w:tcW w:w="1786" w:type="dxa"/>
            <w:gridSpan w:val="2"/>
          </w:tcPr>
          <w:p>
            <w:pPr>
              <w:pStyle w:val="243"/>
              <w:spacing w:before="148" w:line="219" w:lineRule="auto"/>
              <w:ind w:left="111"/>
            </w:pPr>
            <w:r>
              <w:rPr>
                <w:spacing w:val="-2"/>
              </w:rPr>
              <w:t>低位水池：</w:t>
            </w:r>
          </w:p>
        </w:tc>
        <w:tc>
          <w:tcPr>
            <w:tcW w:w="2000" w:type="dxa"/>
            <w:gridSpan w:val="3"/>
          </w:tcPr>
          <w:p>
            <w:pPr>
              <w:pStyle w:val="243"/>
              <w:spacing w:before="148" w:line="219" w:lineRule="auto"/>
              <w:ind w:left="116"/>
            </w:pPr>
            <w:r>
              <w:rPr>
                <w:spacing w:val="-4"/>
              </w:rPr>
              <w:t>管径：</w:t>
            </w:r>
          </w:p>
        </w:tc>
        <w:tc>
          <w:tcPr>
            <w:tcW w:w="2552" w:type="dxa"/>
          </w:tcPr>
          <w:p>
            <w:pPr>
              <w:pStyle w:val="243"/>
              <w:spacing w:before="148" w:line="219" w:lineRule="auto"/>
              <w:ind w:left="117"/>
            </w:pPr>
            <w:r>
              <w:rPr>
                <w:spacing w:val="-4"/>
              </w:rPr>
              <w:t>管材：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7" w:hRule="atLeast"/>
        </w:trPr>
        <w:tc>
          <w:tcPr>
            <w:tcW w:w="1249" w:type="dxa"/>
            <w:vMerge w:val="continue"/>
            <w:vAlign w:val="center"/>
          </w:tcPr>
          <w:p>
            <w:pPr>
              <w:rPr>
                <w:rFonts w:ascii="宋体" w:hAnsi="宋体"/>
                <w:sz w:val="18"/>
                <w:szCs w:val="18"/>
              </w:rPr>
            </w:pPr>
          </w:p>
        </w:tc>
        <w:tc>
          <w:tcPr>
            <w:tcW w:w="1778" w:type="dxa"/>
            <w:vMerge w:val="continue"/>
            <w:vAlign w:val="center"/>
          </w:tcPr>
          <w:p>
            <w:pPr>
              <w:jc w:val="center"/>
              <w:rPr>
                <w:rFonts w:ascii="宋体" w:hAnsi="宋体"/>
                <w:sz w:val="18"/>
                <w:szCs w:val="18"/>
              </w:rPr>
            </w:pPr>
          </w:p>
        </w:tc>
        <w:tc>
          <w:tcPr>
            <w:tcW w:w="1786" w:type="dxa"/>
            <w:gridSpan w:val="2"/>
          </w:tcPr>
          <w:p>
            <w:pPr>
              <w:pStyle w:val="243"/>
              <w:spacing w:before="146" w:line="219" w:lineRule="auto"/>
              <w:ind w:left="117"/>
            </w:pPr>
            <w:r>
              <w:rPr>
                <w:spacing w:val="-3"/>
              </w:rPr>
              <w:t>高位水箱：</w:t>
            </w:r>
          </w:p>
        </w:tc>
        <w:tc>
          <w:tcPr>
            <w:tcW w:w="2000" w:type="dxa"/>
            <w:gridSpan w:val="3"/>
          </w:tcPr>
          <w:p>
            <w:pPr>
              <w:pStyle w:val="243"/>
              <w:spacing w:before="146" w:line="219" w:lineRule="auto"/>
              <w:ind w:left="116"/>
            </w:pPr>
            <w:r>
              <w:rPr>
                <w:spacing w:val="-4"/>
              </w:rPr>
              <w:t>管径：</w:t>
            </w:r>
          </w:p>
        </w:tc>
        <w:tc>
          <w:tcPr>
            <w:tcW w:w="2552" w:type="dxa"/>
          </w:tcPr>
          <w:p>
            <w:pPr>
              <w:pStyle w:val="243"/>
              <w:spacing w:before="146" w:line="219" w:lineRule="auto"/>
              <w:ind w:left="117"/>
            </w:pPr>
            <w:r>
              <w:rPr>
                <w:spacing w:val="-4"/>
              </w:rPr>
              <w:t>管材：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0" w:hRule="atLeast"/>
        </w:trPr>
        <w:tc>
          <w:tcPr>
            <w:tcW w:w="1249" w:type="dxa"/>
            <w:vMerge w:val="continue"/>
            <w:vAlign w:val="center"/>
          </w:tcPr>
          <w:p>
            <w:pPr>
              <w:rPr>
                <w:rFonts w:ascii="宋体" w:hAnsi="宋体"/>
                <w:sz w:val="18"/>
                <w:szCs w:val="18"/>
              </w:rPr>
            </w:pPr>
          </w:p>
        </w:tc>
        <w:tc>
          <w:tcPr>
            <w:tcW w:w="1778" w:type="dxa"/>
            <w:vMerge w:val="restart"/>
            <w:vAlign w:val="center"/>
          </w:tcPr>
          <w:p>
            <w:pPr>
              <w:pStyle w:val="243"/>
              <w:spacing w:before="58" w:line="219" w:lineRule="auto"/>
              <w:jc w:val="center"/>
            </w:pPr>
            <w:r>
              <w:rPr>
                <w:spacing w:val="-4"/>
              </w:rPr>
              <w:t>泄水管</w:t>
            </w:r>
          </w:p>
        </w:tc>
        <w:tc>
          <w:tcPr>
            <w:tcW w:w="1786" w:type="dxa"/>
            <w:gridSpan w:val="2"/>
          </w:tcPr>
          <w:p>
            <w:pPr>
              <w:pStyle w:val="243"/>
              <w:spacing w:before="147" w:line="219" w:lineRule="auto"/>
              <w:ind w:left="111"/>
            </w:pPr>
            <w:r>
              <w:rPr>
                <w:spacing w:val="-2"/>
              </w:rPr>
              <w:t>低位水池：</w:t>
            </w:r>
          </w:p>
        </w:tc>
        <w:tc>
          <w:tcPr>
            <w:tcW w:w="2000" w:type="dxa"/>
            <w:gridSpan w:val="3"/>
          </w:tcPr>
          <w:p>
            <w:pPr>
              <w:pStyle w:val="243"/>
              <w:spacing w:before="147" w:line="219" w:lineRule="auto"/>
              <w:ind w:left="116"/>
            </w:pPr>
            <w:r>
              <w:rPr>
                <w:spacing w:val="-4"/>
              </w:rPr>
              <w:t>管径：</w:t>
            </w:r>
          </w:p>
        </w:tc>
        <w:tc>
          <w:tcPr>
            <w:tcW w:w="2552" w:type="dxa"/>
          </w:tcPr>
          <w:p>
            <w:pPr>
              <w:pStyle w:val="243"/>
              <w:spacing w:before="146" w:line="219" w:lineRule="auto"/>
              <w:ind w:left="117"/>
            </w:pPr>
            <w:r>
              <w:rPr>
                <w:spacing w:val="-4"/>
              </w:rPr>
              <w:t>管材：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1249" w:type="dxa"/>
            <w:vMerge w:val="continue"/>
            <w:vAlign w:val="center"/>
          </w:tcPr>
          <w:p>
            <w:pPr>
              <w:rPr>
                <w:rFonts w:ascii="宋体" w:hAnsi="宋体"/>
                <w:sz w:val="18"/>
                <w:szCs w:val="18"/>
              </w:rPr>
            </w:pPr>
          </w:p>
        </w:tc>
        <w:tc>
          <w:tcPr>
            <w:tcW w:w="1778" w:type="dxa"/>
            <w:vMerge w:val="continue"/>
            <w:vAlign w:val="center"/>
          </w:tcPr>
          <w:p>
            <w:pPr>
              <w:jc w:val="center"/>
              <w:rPr>
                <w:rFonts w:ascii="宋体" w:hAnsi="宋体"/>
                <w:sz w:val="18"/>
                <w:szCs w:val="18"/>
              </w:rPr>
            </w:pPr>
          </w:p>
        </w:tc>
        <w:tc>
          <w:tcPr>
            <w:tcW w:w="1786" w:type="dxa"/>
            <w:gridSpan w:val="2"/>
          </w:tcPr>
          <w:p>
            <w:pPr>
              <w:pStyle w:val="243"/>
              <w:spacing w:before="146" w:line="219" w:lineRule="auto"/>
              <w:ind w:left="117"/>
            </w:pPr>
            <w:r>
              <w:rPr>
                <w:spacing w:val="-3"/>
              </w:rPr>
              <w:t>高位水箱：</w:t>
            </w:r>
          </w:p>
        </w:tc>
        <w:tc>
          <w:tcPr>
            <w:tcW w:w="2000" w:type="dxa"/>
            <w:gridSpan w:val="3"/>
          </w:tcPr>
          <w:p>
            <w:pPr>
              <w:pStyle w:val="243"/>
              <w:spacing w:before="146" w:line="219" w:lineRule="auto"/>
              <w:ind w:left="116"/>
            </w:pPr>
            <w:r>
              <w:rPr>
                <w:spacing w:val="-4"/>
              </w:rPr>
              <w:t>管径：</w:t>
            </w:r>
          </w:p>
        </w:tc>
        <w:tc>
          <w:tcPr>
            <w:tcW w:w="2552" w:type="dxa"/>
          </w:tcPr>
          <w:p>
            <w:pPr>
              <w:pStyle w:val="243"/>
              <w:spacing w:before="146" w:line="219" w:lineRule="auto"/>
              <w:ind w:left="117"/>
            </w:pPr>
            <w:r>
              <w:rPr>
                <w:spacing w:val="-4"/>
              </w:rPr>
              <w:t>管材：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9" w:hRule="atLeast"/>
        </w:trPr>
        <w:tc>
          <w:tcPr>
            <w:tcW w:w="1249" w:type="dxa"/>
            <w:vMerge w:val="continue"/>
            <w:vAlign w:val="center"/>
          </w:tcPr>
          <w:p>
            <w:pPr>
              <w:rPr>
                <w:rFonts w:ascii="宋体" w:hAnsi="宋体"/>
                <w:sz w:val="18"/>
                <w:szCs w:val="18"/>
              </w:rPr>
            </w:pPr>
          </w:p>
        </w:tc>
        <w:tc>
          <w:tcPr>
            <w:tcW w:w="1778" w:type="dxa"/>
            <w:vMerge w:val="restart"/>
            <w:vAlign w:val="center"/>
          </w:tcPr>
          <w:p>
            <w:pPr>
              <w:pStyle w:val="243"/>
              <w:spacing w:before="59" w:line="219" w:lineRule="auto"/>
              <w:jc w:val="center"/>
            </w:pPr>
            <w:r>
              <w:rPr>
                <w:spacing w:val="-3"/>
              </w:rPr>
              <w:t>溢流管</w:t>
            </w:r>
          </w:p>
        </w:tc>
        <w:tc>
          <w:tcPr>
            <w:tcW w:w="1786" w:type="dxa"/>
            <w:gridSpan w:val="2"/>
          </w:tcPr>
          <w:p>
            <w:pPr>
              <w:pStyle w:val="243"/>
              <w:spacing w:before="146" w:line="219" w:lineRule="auto"/>
              <w:ind w:left="111"/>
            </w:pPr>
            <w:r>
              <w:rPr>
                <w:spacing w:val="-2"/>
              </w:rPr>
              <w:t>低位水池：</w:t>
            </w:r>
          </w:p>
        </w:tc>
        <w:tc>
          <w:tcPr>
            <w:tcW w:w="2000" w:type="dxa"/>
            <w:gridSpan w:val="3"/>
          </w:tcPr>
          <w:p>
            <w:pPr>
              <w:pStyle w:val="243"/>
              <w:spacing w:before="146" w:line="219" w:lineRule="auto"/>
              <w:ind w:left="116"/>
            </w:pPr>
            <w:r>
              <w:rPr>
                <w:spacing w:val="-4"/>
              </w:rPr>
              <w:t>管径：</w:t>
            </w:r>
          </w:p>
        </w:tc>
        <w:tc>
          <w:tcPr>
            <w:tcW w:w="2552" w:type="dxa"/>
          </w:tcPr>
          <w:p>
            <w:pPr>
              <w:pStyle w:val="243"/>
              <w:spacing w:before="145" w:line="219" w:lineRule="auto"/>
              <w:ind w:left="117"/>
            </w:pPr>
            <w:r>
              <w:rPr>
                <w:spacing w:val="-4"/>
              </w:rPr>
              <w:t>管材：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6" w:hRule="atLeast"/>
        </w:trPr>
        <w:tc>
          <w:tcPr>
            <w:tcW w:w="1249" w:type="dxa"/>
            <w:vMerge w:val="continue"/>
            <w:vAlign w:val="center"/>
          </w:tcPr>
          <w:p>
            <w:pPr>
              <w:rPr>
                <w:rFonts w:ascii="宋体" w:hAnsi="宋体"/>
                <w:sz w:val="18"/>
                <w:szCs w:val="18"/>
              </w:rPr>
            </w:pPr>
          </w:p>
        </w:tc>
        <w:tc>
          <w:tcPr>
            <w:tcW w:w="1778" w:type="dxa"/>
            <w:vMerge w:val="continue"/>
            <w:vAlign w:val="center"/>
          </w:tcPr>
          <w:p>
            <w:pPr>
              <w:jc w:val="center"/>
              <w:rPr>
                <w:rFonts w:ascii="宋体" w:hAnsi="宋体"/>
                <w:sz w:val="18"/>
                <w:szCs w:val="18"/>
              </w:rPr>
            </w:pPr>
          </w:p>
        </w:tc>
        <w:tc>
          <w:tcPr>
            <w:tcW w:w="1786" w:type="dxa"/>
            <w:gridSpan w:val="2"/>
          </w:tcPr>
          <w:p>
            <w:pPr>
              <w:pStyle w:val="243"/>
              <w:spacing w:before="146" w:line="219" w:lineRule="auto"/>
              <w:ind w:left="117"/>
            </w:pPr>
            <w:r>
              <w:rPr>
                <w:spacing w:val="-3"/>
              </w:rPr>
              <w:t>高位水箱：</w:t>
            </w:r>
          </w:p>
        </w:tc>
        <w:tc>
          <w:tcPr>
            <w:tcW w:w="2000" w:type="dxa"/>
            <w:gridSpan w:val="3"/>
          </w:tcPr>
          <w:p>
            <w:pPr>
              <w:pStyle w:val="243"/>
              <w:spacing w:before="145" w:line="219" w:lineRule="auto"/>
              <w:ind w:left="116"/>
            </w:pPr>
            <w:r>
              <w:rPr>
                <w:spacing w:val="-4"/>
              </w:rPr>
              <w:t>管材：</w:t>
            </w:r>
          </w:p>
        </w:tc>
        <w:tc>
          <w:tcPr>
            <w:tcW w:w="2552" w:type="dxa"/>
          </w:tcPr>
          <w:p>
            <w:pPr>
              <w:pStyle w:val="243"/>
              <w:spacing w:before="145" w:line="219" w:lineRule="auto"/>
              <w:ind w:left="117"/>
            </w:pPr>
            <w:r>
              <w:rPr>
                <w:spacing w:val="-4"/>
              </w:rPr>
              <w:t>管材：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0" w:hRule="atLeast"/>
        </w:trPr>
        <w:tc>
          <w:tcPr>
            <w:tcW w:w="1249" w:type="dxa"/>
            <w:vMerge w:val="continue"/>
            <w:vAlign w:val="center"/>
          </w:tcPr>
          <w:p>
            <w:pPr>
              <w:rPr>
                <w:rFonts w:ascii="宋体" w:hAnsi="宋体"/>
                <w:sz w:val="18"/>
                <w:szCs w:val="18"/>
              </w:rPr>
            </w:pPr>
          </w:p>
        </w:tc>
        <w:tc>
          <w:tcPr>
            <w:tcW w:w="1778" w:type="dxa"/>
            <w:vMerge w:val="restart"/>
            <w:vAlign w:val="center"/>
          </w:tcPr>
          <w:p>
            <w:pPr>
              <w:pStyle w:val="243"/>
              <w:spacing w:before="58" w:line="219" w:lineRule="auto"/>
              <w:jc w:val="center"/>
            </w:pPr>
            <w:r>
              <w:rPr>
                <w:spacing w:val="-3"/>
              </w:rPr>
              <w:t>通气管</w:t>
            </w:r>
          </w:p>
        </w:tc>
        <w:tc>
          <w:tcPr>
            <w:tcW w:w="1786" w:type="dxa"/>
            <w:gridSpan w:val="2"/>
          </w:tcPr>
          <w:p>
            <w:pPr>
              <w:pStyle w:val="243"/>
              <w:spacing w:before="146" w:line="219" w:lineRule="auto"/>
              <w:ind w:left="111"/>
            </w:pPr>
            <w:r>
              <w:rPr>
                <w:spacing w:val="-2"/>
              </w:rPr>
              <w:t>低位水池：</w:t>
            </w:r>
          </w:p>
        </w:tc>
        <w:tc>
          <w:tcPr>
            <w:tcW w:w="2000" w:type="dxa"/>
            <w:gridSpan w:val="3"/>
          </w:tcPr>
          <w:p>
            <w:pPr>
              <w:pStyle w:val="243"/>
              <w:spacing w:before="146" w:line="219" w:lineRule="auto"/>
              <w:ind w:left="116"/>
            </w:pPr>
            <w:r>
              <w:rPr>
                <w:spacing w:val="-4"/>
              </w:rPr>
              <w:t>管径：</w:t>
            </w:r>
          </w:p>
        </w:tc>
        <w:tc>
          <w:tcPr>
            <w:tcW w:w="2552" w:type="dxa"/>
          </w:tcPr>
          <w:p>
            <w:pPr>
              <w:pStyle w:val="243"/>
              <w:spacing w:before="146" w:line="219" w:lineRule="auto"/>
              <w:ind w:left="117"/>
            </w:pPr>
            <w:r>
              <w:rPr>
                <w:spacing w:val="-4"/>
              </w:rPr>
              <w:t>管材：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0" w:hRule="atLeast"/>
        </w:trPr>
        <w:tc>
          <w:tcPr>
            <w:tcW w:w="1249" w:type="dxa"/>
            <w:vMerge w:val="continue"/>
            <w:vAlign w:val="center"/>
          </w:tcPr>
          <w:p>
            <w:pPr>
              <w:rPr>
                <w:rFonts w:ascii="宋体" w:hAnsi="宋体"/>
                <w:sz w:val="18"/>
                <w:szCs w:val="18"/>
              </w:rPr>
            </w:pPr>
          </w:p>
        </w:tc>
        <w:tc>
          <w:tcPr>
            <w:tcW w:w="1778" w:type="dxa"/>
            <w:vMerge w:val="continue"/>
            <w:vAlign w:val="center"/>
          </w:tcPr>
          <w:p>
            <w:pPr>
              <w:jc w:val="center"/>
              <w:rPr>
                <w:rFonts w:ascii="宋体" w:hAnsi="宋体"/>
                <w:sz w:val="18"/>
                <w:szCs w:val="18"/>
              </w:rPr>
            </w:pPr>
          </w:p>
        </w:tc>
        <w:tc>
          <w:tcPr>
            <w:tcW w:w="1786" w:type="dxa"/>
            <w:gridSpan w:val="2"/>
          </w:tcPr>
          <w:p>
            <w:pPr>
              <w:pStyle w:val="243"/>
              <w:spacing w:before="149" w:line="219" w:lineRule="auto"/>
              <w:ind w:left="117"/>
            </w:pPr>
            <w:r>
              <w:rPr>
                <w:spacing w:val="-3"/>
              </w:rPr>
              <w:t>高位水箱：</w:t>
            </w:r>
          </w:p>
        </w:tc>
        <w:tc>
          <w:tcPr>
            <w:tcW w:w="2000" w:type="dxa"/>
            <w:gridSpan w:val="3"/>
          </w:tcPr>
          <w:p>
            <w:pPr>
              <w:pStyle w:val="243"/>
              <w:spacing w:before="149" w:line="219" w:lineRule="auto"/>
              <w:ind w:left="116"/>
            </w:pPr>
            <w:r>
              <w:rPr>
                <w:spacing w:val="-4"/>
              </w:rPr>
              <w:t>管径：</w:t>
            </w:r>
          </w:p>
        </w:tc>
        <w:tc>
          <w:tcPr>
            <w:tcW w:w="2552" w:type="dxa"/>
          </w:tcPr>
          <w:p>
            <w:pPr>
              <w:pStyle w:val="243"/>
              <w:spacing w:before="149" w:line="219" w:lineRule="auto"/>
              <w:ind w:left="117"/>
            </w:pPr>
            <w:r>
              <w:rPr>
                <w:spacing w:val="-4"/>
              </w:rPr>
              <w:t>管材：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7" w:hRule="atLeast"/>
        </w:trPr>
        <w:tc>
          <w:tcPr>
            <w:tcW w:w="1249" w:type="dxa"/>
            <w:vMerge w:val="restart"/>
            <w:vAlign w:val="center"/>
          </w:tcPr>
          <w:p>
            <w:pPr>
              <w:jc w:val="center"/>
              <w:rPr>
                <w:rFonts w:ascii="宋体" w:hAnsi="宋体"/>
                <w:sz w:val="18"/>
                <w:szCs w:val="18"/>
              </w:rPr>
            </w:pPr>
            <w:r>
              <w:rPr>
                <w:rFonts w:hint="eastAsia" w:ascii="宋体" w:hAnsi="宋体"/>
                <w:spacing w:val="-2"/>
                <w:sz w:val="18"/>
                <w:szCs w:val="18"/>
              </w:rPr>
              <w:t>水池（箱）</w:t>
            </w:r>
          </w:p>
        </w:tc>
        <w:tc>
          <w:tcPr>
            <w:tcW w:w="1778" w:type="dxa"/>
            <w:vMerge w:val="restart"/>
            <w:vAlign w:val="center"/>
          </w:tcPr>
          <w:p>
            <w:pPr>
              <w:pStyle w:val="243"/>
              <w:spacing w:before="211" w:line="221" w:lineRule="auto"/>
              <w:jc w:val="center"/>
            </w:pPr>
            <w:r>
              <w:rPr>
                <w:spacing w:val="-5"/>
              </w:rPr>
              <w:t>人孔</w:t>
            </w:r>
          </w:p>
        </w:tc>
        <w:tc>
          <w:tcPr>
            <w:tcW w:w="1786" w:type="dxa"/>
            <w:gridSpan w:val="2"/>
          </w:tcPr>
          <w:p>
            <w:pPr>
              <w:pStyle w:val="243"/>
              <w:spacing w:before="31" w:line="219" w:lineRule="auto"/>
              <w:ind w:left="111"/>
            </w:pPr>
            <w:r>
              <w:rPr>
                <w:spacing w:val="-2"/>
              </w:rPr>
              <w:t>低位水池</w:t>
            </w:r>
          </w:p>
        </w:tc>
        <w:tc>
          <w:tcPr>
            <w:tcW w:w="2000" w:type="dxa"/>
            <w:gridSpan w:val="3"/>
          </w:tcPr>
          <w:p>
            <w:pPr>
              <w:pStyle w:val="243"/>
              <w:spacing w:before="31" w:line="219" w:lineRule="auto"/>
              <w:ind w:left="115"/>
              <w:rPr>
                <w:spacing w:val="-2"/>
                <w:lang w:eastAsia="zh-CN"/>
              </w:rPr>
            </w:pPr>
            <w:r>
              <w:rPr>
                <w:spacing w:val="-2"/>
                <w:lang w:eastAsia="zh-CN"/>
              </w:rPr>
              <w:t xml:space="preserve">是否加盖、带锁 </w:t>
            </w:r>
          </w:p>
          <w:p>
            <w:pPr>
              <w:pStyle w:val="243"/>
              <w:spacing w:before="31" w:line="219" w:lineRule="auto"/>
              <w:ind w:left="115"/>
              <w:rPr>
                <w:lang w:eastAsia="zh-CN"/>
              </w:rPr>
            </w:pPr>
            <w:r>
              <w:rPr>
                <w:rFonts w:hint="eastAsia" w:cs="Times New Roman"/>
                <w:spacing w:val="-2"/>
                <w:lang w:eastAsia="zh-CN"/>
              </w:rPr>
              <w:t>□</w:t>
            </w:r>
            <w:r>
              <w:rPr>
                <w:spacing w:val="-2"/>
                <w:lang w:eastAsia="zh-CN"/>
              </w:rPr>
              <w:t>是</w:t>
            </w:r>
            <w:r>
              <w:rPr>
                <w:spacing w:val="12"/>
                <w:lang w:eastAsia="zh-CN"/>
              </w:rPr>
              <w:t xml:space="preserve"> </w:t>
            </w:r>
            <w:r>
              <w:rPr>
                <w:rFonts w:hint="eastAsia" w:cs="Times New Roman"/>
                <w:spacing w:val="-2"/>
                <w:lang w:eastAsia="zh-CN"/>
              </w:rPr>
              <w:t>□</w:t>
            </w:r>
            <w:r>
              <w:rPr>
                <w:spacing w:val="-2"/>
                <w:lang w:eastAsia="zh-CN"/>
              </w:rPr>
              <w:t>否</w:t>
            </w:r>
          </w:p>
        </w:tc>
        <w:tc>
          <w:tcPr>
            <w:tcW w:w="2552" w:type="dxa"/>
          </w:tcPr>
          <w:p>
            <w:pPr>
              <w:pStyle w:val="243"/>
              <w:spacing w:before="31" w:line="219" w:lineRule="auto"/>
              <w:ind w:left="113"/>
            </w:pPr>
            <w:r>
              <w:rPr>
                <w:spacing w:val="-3"/>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7" w:hRule="atLeast"/>
        </w:trPr>
        <w:tc>
          <w:tcPr>
            <w:tcW w:w="1249" w:type="dxa"/>
            <w:vMerge w:val="continue"/>
            <w:vAlign w:val="center"/>
          </w:tcPr>
          <w:p>
            <w:pPr>
              <w:rPr>
                <w:rFonts w:ascii="宋体" w:hAnsi="宋体"/>
                <w:sz w:val="18"/>
                <w:szCs w:val="18"/>
              </w:rPr>
            </w:pPr>
          </w:p>
        </w:tc>
        <w:tc>
          <w:tcPr>
            <w:tcW w:w="1778" w:type="dxa"/>
            <w:vMerge w:val="continue"/>
          </w:tcPr>
          <w:p>
            <w:pPr>
              <w:rPr>
                <w:rFonts w:ascii="宋体" w:hAnsi="宋体"/>
                <w:sz w:val="18"/>
                <w:szCs w:val="18"/>
              </w:rPr>
            </w:pPr>
          </w:p>
        </w:tc>
        <w:tc>
          <w:tcPr>
            <w:tcW w:w="1786" w:type="dxa"/>
            <w:gridSpan w:val="2"/>
          </w:tcPr>
          <w:p>
            <w:pPr>
              <w:pStyle w:val="243"/>
              <w:spacing w:before="31" w:line="219" w:lineRule="auto"/>
              <w:ind w:left="117"/>
            </w:pPr>
            <w:r>
              <w:rPr>
                <w:spacing w:val="-3"/>
              </w:rPr>
              <w:t>高位水箱</w:t>
            </w:r>
          </w:p>
        </w:tc>
        <w:tc>
          <w:tcPr>
            <w:tcW w:w="2000" w:type="dxa"/>
            <w:gridSpan w:val="3"/>
          </w:tcPr>
          <w:p>
            <w:pPr>
              <w:pStyle w:val="243"/>
              <w:spacing w:before="31" w:line="219" w:lineRule="auto"/>
              <w:ind w:left="115"/>
              <w:rPr>
                <w:spacing w:val="-2"/>
                <w:lang w:eastAsia="zh-CN"/>
              </w:rPr>
            </w:pPr>
            <w:r>
              <w:rPr>
                <w:spacing w:val="-2"/>
                <w:lang w:eastAsia="zh-CN"/>
              </w:rPr>
              <w:t xml:space="preserve">是否加盖、带锁 </w:t>
            </w:r>
          </w:p>
          <w:p>
            <w:pPr>
              <w:pStyle w:val="243"/>
              <w:spacing w:before="31" w:line="219" w:lineRule="auto"/>
              <w:ind w:left="115"/>
              <w:rPr>
                <w:lang w:eastAsia="zh-CN"/>
              </w:rPr>
            </w:pPr>
            <w:r>
              <w:rPr>
                <w:rFonts w:hint="eastAsia" w:cs="Times New Roman"/>
                <w:spacing w:val="-2"/>
                <w:lang w:eastAsia="zh-CN"/>
              </w:rPr>
              <w:t>□</w:t>
            </w:r>
            <w:r>
              <w:rPr>
                <w:spacing w:val="-2"/>
                <w:lang w:eastAsia="zh-CN"/>
              </w:rPr>
              <w:t>是</w:t>
            </w:r>
            <w:r>
              <w:rPr>
                <w:spacing w:val="12"/>
                <w:lang w:eastAsia="zh-CN"/>
              </w:rPr>
              <w:t xml:space="preserve"> </w:t>
            </w:r>
            <w:r>
              <w:rPr>
                <w:rFonts w:hint="eastAsia" w:cs="Times New Roman"/>
                <w:spacing w:val="-2"/>
                <w:lang w:eastAsia="zh-CN"/>
              </w:rPr>
              <w:t>□</w:t>
            </w:r>
            <w:r>
              <w:rPr>
                <w:spacing w:val="-2"/>
                <w:lang w:eastAsia="zh-CN"/>
              </w:rPr>
              <w:t>否</w:t>
            </w:r>
          </w:p>
        </w:tc>
        <w:tc>
          <w:tcPr>
            <w:tcW w:w="2552" w:type="dxa"/>
          </w:tcPr>
          <w:p>
            <w:pPr>
              <w:pStyle w:val="243"/>
              <w:spacing w:before="31" w:line="219" w:lineRule="auto"/>
              <w:ind w:left="113"/>
            </w:pPr>
            <w:r>
              <w:rPr>
                <w:spacing w:val="-3"/>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7" w:hRule="atLeast"/>
        </w:trPr>
        <w:tc>
          <w:tcPr>
            <w:tcW w:w="1249" w:type="dxa"/>
            <w:vMerge w:val="restart"/>
            <w:vAlign w:val="center"/>
          </w:tcPr>
          <w:p>
            <w:pPr>
              <w:pStyle w:val="243"/>
              <w:spacing w:before="58" w:line="219" w:lineRule="auto"/>
              <w:jc w:val="center"/>
            </w:pPr>
            <w:r>
              <w:rPr>
                <w:spacing w:val="-3"/>
              </w:rPr>
              <w:t>生活水泵</w:t>
            </w:r>
          </w:p>
        </w:tc>
        <w:tc>
          <w:tcPr>
            <w:tcW w:w="1778" w:type="dxa"/>
          </w:tcPr>
          <w:p>
            <w:pPr>
              <w:pStyle w:val="243"/>
              <w:spacing w:before="148" w:line="210" w:lineRule="auto"/>
              <w:ind w:left="232"/>
              <w:rPr>
                <w:rFonts w:cs="Times New Roman"/>
              </w:rPr>
            </w:pPr>
            <w:r>
              <w:rPr>
                <w:spacing w:val="-1"/>
              </w:rPr>
              <w:t>流量</w:t>
            </w:r>
            <w:r>
              <w:rPr>
                <w:rFonts w:cs="Times New Roman"/>
                <w:spacing w:val="-1"/>
              </w:rPr>
              <w:t>(m</w:t>
            </w:r>
            <w:r>
              <w:rPr>
                <w:rFonts w:cs="Times New Roman"/>
                <w:spacing w:val="-1"/>
                <w:position w:val="5"/>
              </w:rPr>
              <w:t>3</w:t>
            </w:r>
            <w:r>
              <w:rPr>
                <w:rFonts w:cs="Times New Roman"/>
                <w:spacing w:val="-1"/>
              </w:rPr>
              <w:t>/h)</w:t>
            </w:r>
          </w:p>
        </w:tc>
        <w:tc>
          <w:tcPr>
            <w:tcW w:w="1786" w:type="dxa"/>
            <w:gridSpan w:val="2"/>
          </w:tcPr>
          <w:p>
            <w:pPr>
              <w:pStyle w:val="243"/>
              <w:spacing w:before="148" w:line="210" w:lineRule="auto"/>
              <w:ind w:left="351"/>
              <w:rPr>
                <w:rFonts w:cs="Times New Roman"/>
              </w:rPr>
            </w:pPr>
            <w:r>
              <w:rPr>
                <w:spacing w:val="-2"/>
              </w:rPr>
              <w:t>扬程</w:t>
            </w:r>
            <w:r>
              <w:rPr>
                <w:rFonts w:cs="Times New Roman"/>
                <w:spacing w:val="-2"/>
              </w:rPr>
              <w:t>(m)</w:t>
            </w:r>
          </w:p>
        </w:tc>
        <w:tc>
          <w:tcPr>
            <w:tcW w:w="2000" w:type="dxa"/>
            <w:gridSpan w:val="3"/>
          </w:tcPr>
          <w:p>
            <w:pPr>
              <w:pStyle w:val="243"/>
              <w:spacing w:before="148" w:line="210" w:lineRule="auto"/>
              <w:ind w:left="449"/>
              <w:rPr>
                <w:rFonts w:cs="Times New Roman"/>
              </w:rPr>
            </w:pPr>
            <w:r>
              <w:rPr>
                <w:spacing w:val="-2"/>
              </w:rPr>
              <w:t>功率</w:t>
            </w:r>
            <w:r>
              <w:rPr>
                <w:rFonts w:cs="Times New Roman"/>
                <w:spacing w:val="-2"/>
              </w:rPr>
              <w:t>(KW)</w:t>
            </w:r>
          </w:p>
        </w:tc>
        <w:tc>
          <w:tcPr>
            <w:tcW w:w="2552" w:type="dxa"/>
          </w:tcPr>
          <w:p>
            <w:pPr>
              <w:pStyle w:val="243"/>
              <w:spacing w:before="148" w:line="210" w:lineRule="auto"/>
              <w:jc w:val="center"/>
              <w:rPr>
                <w:rFonts w:cs="Times New Roman"/>
              </w:rPr>
            </w:pPr>
            <w:r>
              <w:rPr>
                <w:spacing w:val="-2"/>
              </w:rPr>
              <w:t>数量</w:t>
            </w:r>
            <w:r>
              <w:rPr>
                <w:rFonts w:cs="Times New Roman"/>
                <w:spacing w:val="-2"/>
              </w:rPr>
              <w:t>(</w:t>
            </w:r>
            <w:r>
              <w:rPr>
                <w:spacing w:val="-2"/>
              </w:rPr>
              <w:t>备用情况</w:t>
            </w:r>
            <w:r>
              <w:rPr>
                <w:rFonts w:cs="Times New Roman"/>
                <w:spacing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7" w:hRule="atLeast"/>
        </w:trPr>
        <w:tc>
          <w:tcPr>
            <w:tcW w:w="1249" w:type="dxa"/>
            <w:vMerge w:val="continue"/>
            <w:vAlign w:val="center"/>
          </w:tcPr>
          <w:p>
            <w:pPr>
              <w:jc w:val="center"/>
              <w:rPr>
                <w:rFonts w:ascii="宋体" w:hAnsi="宋体"/>
                <w:sz w:val="18"/>
                <w:szCs w:val="18"/>
              </w:rPr>
            </w:pPr>
          </w:p>
        </w:tc>
        <w:tc>
          <w:tcPr>
            <w:tcW w:w="1778" w:type="dxa"/>
          </w:tcPr>
          <w:p>
            <w:pPr>
              <w:rPr>
                <w:rFonts w:ascii="宋体" w:hAnsi="宋体"/>
                <w:sz w:val="18"/>
                <w:szCs w:val="18"/>
              </w:rPr>
            </w:pPr>
          </w:p>
        </w:tc>
        <w:tc>
          <w:tcPr>
            <w:tcW w:w="1786" w:type="dxa"/>
            <w:gridSpan w:val="2"/>
          </w:tcPr>
          <w:p>
            <w:pPr>
              <w:rPr>
                <w:rFonts w:ascii="宋体" w:hAnsi="宋体"/>
                <w:sz w:val="18"/>
                <w:szCs w:val="18"/>
              </w:rPr>
            </w:pPr>
          </w:p>
        </w:tc>
        <w:tc>
          <w:tcPr>
            <w:tcW w:w="2000" w:type="dxa"/>
            <w:gridSpan w:val="3"/>
          </w:tcPr>
          <w:p>
            <w:pPr>
              <w:rPr>
                <w:rFonts w:ascii="宋体" w:hAnsi="宋体"/>
                <w:sz w:val="18"/>
                <w:szCs w:val="18"/>
              </w:rPr>
            </w:pPr>
          </w:p>
        </w:tc>
        <w:tc>
          <w:tcPr>
            <w:tcW w:w="25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7" w:hRule="atLeast"/>
        </w:trPr>
        <w:tc>
          <w:tcPr>
            <w:tcW w:w="1249" w:type="dxa"/>
            <w:vMerge w:val="continue"/>
            <w:vAlign w:val="center"/>
          </w:tcPr>
          <w:p>
            <w:pPr>
              <w:jc w:val="center"/>
              <w:rPr>
                <w:rFonts w:ascii="宋体" w:hAnsi="宋体"/>
                <w:sz w:val="18"/>
                <w:szCs w:val="18"/>
              </w:rPr>
            </w:pPr>
          </w:p>
        </w:tc>
        <w:tc>
          <w:tcPr>
            <w:tcW w:w="1778" w:type="dxa"/>
          </w:tcPr>
          <w:p>
            <w:pPr>
              <w:rPr>
                <w:rFonts w:ascii="宋体" w:hAnsi="宋体"/>
                <w:sz w:val="18"/>
                <w:szCs w:val="18"/>
              </w:rPr>
            </w:pPr>
          </w:p>
        </w:tc>
        <w:tc>
          <w:tcPr>
            <w:tcW w:w="1786" w:type="dxa"/>
            <w:gridSpan w:val="2"/>
          </w:tcPr>
          <w:p>
            <w:pPr>
              <w:rPr>
                <w:rFonts w:ascii="宋体" w:hAnsi="宋体"/>
                <w:sz w:val="18"/>
                <w:szCs w:val="18"/>
              </w:rPr>
            </w:pPr>
          </w:p>
        </w:tc>
        <w:tc>
          <w:tcPr>
            <w:tcW w:w="2000" w:type="dxa"/>
            <w:gridSpan w:val="3"/>
          </w:tcPr>
          <w:p>
            <w:pPr>
              <w:rPr>
                <w:rFonts w:ascii="宋体" w:hAnsi="宋体"/>
                <w:sz w:val="18"/>
                <w:szCs w:val="18"/>
              </w:rPr>
            </w:pPr>
          </w:p>
        </w:tc>
        <w:tc>
          <w:tcPr>
            <w:tcW w:w="25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7" w:hRule="atLeast"/>
        </w:trPr>
        <w:tc>
          <w:tcPr>
            <w:tcW w:w="1249" w:type="dxa"/>
            <w:vMerge w:val="continue"/>
            <w:vAlign w:val="center"/>
          </w:tcPr>
          <w:p>
            <w:pPr>
              <w:jc w:val="center"/>
              <w:rPr>
                <w:rFonts w:ascii="宋体" w:hAnsi="宋体"/>
                <w:sz w:val="18"/>
                <w:szCs w:val="18"/>
              </w:rPr>
            </w:pPr>
          </w:p>
        </w:tc>
        <w:tc>
          <w:tcPr>
            <w:tcW w:w="1778" w:type="dxa"/>
          </w:tcPr>
          <w:p>
            <w:pPr>
              <w:rPr>
                <w:rFonts w:ascii="宋体" w:hAnsi="宋体"/>
                <w:sz w:val="18"/>
                <w:szCs w:val="18"/>
              </w:rPr>
            </w:pPr>
          </w:p>
        </w:tc>
        <w:tc>
          <w:tcPr>
            <w:tcW w:w="1786" w:type="dxa"/>
            <w:gridSpan w:val="2"/>
          </w:tcPr>
          <w:p>
            <w:pPr>
              <w:rPr>
                <w:rFonts w:ascii="宋体" w:hAnsi="宋体"/>
                <w:sz w:val="18"/>
                <w:szCs w:val="18"/>
              </w:rPr>
            </w:pPr>
          </w:p>
        </w:tc>
        <w:tc>
          <w:tcPr>
            <w:tcW w:w="2000" w:type="dxa"/>
            <w:gridSpan w:val="3"/>
          </w:tcPr>
          <w:p>
            <w:pPr>
              <w:rPr>
                <w:rFonts w:ascii="宋体" w:hAnsi="宋体"/>
                <w:sz w:val="18"/>
                <w:szCs w:val="18"/>
              </w:rPr>
            </w:pPr>
          </w:p>
        </w:tc>
        <w:tc>
          <w:tcPr>
            <w:tcW w:w="25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7" w:hRule="atLeast"/>
        </w:trPr>
        <w:tc>
          <w:tcPr>
            <w:tcW w:w="1249" w:type="dxa"/>
            <w:vMerge w:val="restart"/>
            <w:vAlign w:val="center"/>
          </w:tcPr>
          <w:p>
            <w:pPr>
              <w:pStyle w:val="243"/>
              <w:spacing w:before="59" w:line="219" w:lineRule="auto"/>
              <w:jc w:val="center"/>
            </w:pPr>
            <w:r>
              <w:rPr>
                <w:spacing w:val="-2"/>
              </w:rPr>
              <w:t>室内消防泵</w:t>
            </w:r>
          </w:p>
        </w:tc>
        <w:tc>
          <w:tcPr>
            <w:tcW w:w="1778" w:type="dxa"/>
          </w:tcPr>
          <w:p>
            <w:pPr>
              <w:pStyle w:val="243"/>
              <w:spacing w:before="147" w:line="212" w:lineRule="auto"/>
              <w:ind w:left="232"/>
              <w:rPr>
                <w:rFonts w:cs="Times New Roman"/>
              </w:rPr>
            </w:pPr>
            <w:r>
              <w:rPr>
                <w:spacing w:val="-1"/>
              </w:rPr>
              <w:t>流量</w:t>
            </w:r>
            <w:r>
              <w:rPr>
                <w:rFonts w:cs="Times New Roman"/>
                <w:spacing w:val="-1"/>
              </w:rPr>
              <w:t>(m</w:t>
            </w:r>
            <w:r>
              <w:rPr>
                <w:rFonts w:cs="Times New Roman"/>
                <w:spacing w:val="-1"/>
                <w:position w:val="5"/>
              </w:rPr>
              <w:t>3</w:t>
            </w:r>
            <w:r>
              <w:rPr>
                <w:rFonts w:cs="Times New Roman"/>
                <w:spacing w:val="-1"/>
              </w:rPr>
              <w:t>/h)</w:t>
            </w:r>
          </w:p>
        </w:tc>
        <w:tc>
          <w:tcPr>
            <w:tcW w:w="1786" w:type="dxa"/>
            <w:gridSpan w:val="2"/>
          </w:tcPr>
          <w:p>
            <w:pPr>
              <w:pStyle w:val="243"/>
              <w:spacing w:before="147" w:line="212" w:lineRule="auto"/>
              <w:ind w:left="351"/>
              <w:rPr>
                <w:rFonts w:cs="Times New Roman"/>
              </w:rPr>
            </w:pPr>
            <w:r>
              <w:rPr>
                <w:spacing w:val="-2"/>
              </w:rPr>
              <w:t>扬程</w:t>
            </w:r>
            <w:r>
              <w:rPr>
                <w:rFonts w:cs="Times New Roman"/>
                <w:spacing w:val="-2"/>
              </w:rPr>
              <w:t>(m)</w:t>
            </w:r>
          </w:p>
        </w:tc>
        <w:tc>
          <w:tcPr>
            <w:tcW w:w="2000" w:type="dxa"/>
            <w:gridSpan w:val="3"/>
          </w:tcPr>
          <w:p>
            <w:pPr>
              <w:pStyle w:val="243"/>
              <w:spacing w:before="147" w:line="212" w:lineRule="auto"/>
              <w:ind w:left="449"/>
              <w:rPr>
                <w:rFonts w:cs="Times New Roman"/>
              </w:rPr>
            </w:pPr>
            <w:r>
              <w:rPr>
                <w:spacing w:val="-2"/>
              </w:rPr>
              <w:t>功率</w:t>
            </w:r>
            <w:r>
              <w:rPr>
                <w:rFonts w:cs="Times New Roman"/>
                <w:spacing w:val="-2"/>
              </w:rPr>
              <w:t>(KW)</w:t>
            </w:r>
          </w:p>
        </w:tc>
        <w:tc>
          <w:tcPr>
            <w:tcW w:w="2552" w:type="dxa"/>
            <w:vAlign w:val="center"/>
          </w:tcPr>
          <w:p>
            <w:pPr>
              <w:pStyle w:val="243"/>
              <w:spacing w:before="147" w:line="212" w:lineRule="auto"/>
              <w:jc w:val="center"/>
              <w:rPr>
                <w:rFonts w:cs="Times New Roman"/>
              </w:rPr>
            </w:pPr>
            <w:r>
              <w:rPr>
                <w:spacing w:val="-2"/>
              </w:rPr>
              <w:t>数量</w:t>
            </w:r>
            <w:r>
              <w:rPr>
                <w:rFonts w:cs="Times New Roman"/>
                <w:spacing w:val="-2"/>
              </w:rPr>
              <w:t>(</w:t>
            </w:r>
            <w:r>
              <w:rPr>
                <w:spacing w:val="-2"/>
              </w:rPr>
              <w:t>备用情况</w:t>
            </w:r>
            <w:r>
              <w:rPr>
                <w:rFonts w:cs="Times New Roman"/>
                <w:spacing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7" w:hRule="atLeast"/>
        </w:trPr>
        <w:tc>
          <w:tcPr>
            <w:tcW w:w="1249" w:type="dxa"/>
            <w:vMerge w:val="continue"/>
            <w:vAlign w:val="center"/>
          </w:tcPr>
          <w:p>
            <w:pPr>
              <w:jc w:val="center"/>
              <w:rPr>
                <w:rFonts w:ascii="宋体" w:hAnsi="宋体"/>
                <w:sz w:val="18"/>
                <w:szCs w:val="18"/>
              </w:rPr>
            </w:pPr>
          </w:p>
        </w:tc>
        <w:tc>
          <w:tcPr>
            <w:tcW w:w="1778" w:type="dxa"/>
          </w:tcPr>
          <w:p>
            <w:pPr>
              <w:rPr>
                <w:rFonts w:ascii="宋体" w:hAnsi="宋体"/>
                <w:sz w:val="18"/>
                <w:szCs w:val="18"/>
              </w:rPr>
            </w:pPr>
          </w:p>
        </w:tc>
        <w:tc>
          <w:tcPr>
            <w:tcW w:w="1786" w:type="dxa"/>
            <w:gridSpan w:val="2"/>
          </w:tcPr>
          <w:p>
            <w:pPr>
              <w:rPr>
                <w:rFonts w:ascii="宋体" w:hAnsi="宋体"/>
                <w:sz w:val="18"/>
                <w:szCs w:val="18"/>
              </w:rPr>
            </w:pPr>
          </w:p>
        </w:tc>
        <w:tc>
          <w:tcPr>
            <w:tcW w:w="2000" w:type="dxa"/>
            <w:gridSpan w:val="3"/>
          </w:tcPr>
          <w:p>
            <w:pPr>
              <w:rPr>
                <w:rFonts w:ascii="宋体" w:hAnsi="宋体"/>
                <w:sz w:val="18"/>
                <w:szCs w:val="18"/>
              </w:rPr>
            </w:pPr>
          </w:p>
        </w:tc>
        <w:tc>
          <w:tcPr>
            <w:tcW w:w="25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7" w:hRule="atLeast"/>
        </w:trPr>
        <w:tc>
          <w:tcPr>
            <w:tcW w:w="1249" w:type="dxa"/>
            <w:vMerge w:val="continue"/>
            <w:vAlign w:val="center"/>
          </w:tcPr>
          <w:p>
            <w:pPr>
              <w:jc w:val="center"/>
              <w:rPr>
                <w:rFonts w:ascii="宋体" w:hAnsi="宋体"/>
                <w:sz w:val="18"/>
                <w:szCs w:val="18"/>
              </w:rPr>
            </w:pPr>
          </w:p>
        </w:tc>
        <w:tc>
          <w:tcPr>
            <w:tcW w:w="1778" w:type="dxa"/>
          </w:tcPr>
          <w:p>
            <w:pPr>
              <w:rPr>
                <w:rFonts w:ascii="宋体" w:hAnsi="宋体"/>
                <w:sz w:val="18"/>
                <w:szCs w:val="18"/>
              </w:rPr>
            </w:pPr>
          </w:p>
        </w:tc>
        <w:tc>
          <w:tcPr>
            <w:tcW w:w="1786" w:type="dxa"/>
            <w:gridSpan w:val="2"/>
          </w:tcPr>
          <w:p>
            <w:pPr>
              <w:rPr>
                <w:rFonts w:ascii="宋体" w:hAnsi="宋体"/>
                <w:sz w:val="18"/>
                <w:szCs w:val="18"/>
              </w:rPr>
            </w:pPr>
          </w:p>
        </w:tc>
        <w:tc>
          <w:tcPr>
            <w:tcW w:w="2000" w:type="dxa"/>
            <w:gridSpan w:val="3"/>
          </w:tcPr>
          <w:p>
            <w:pPr>
              <w:rPr>
                <w:rFonts w:ascii="宋体" w:hAnsi="宋体"/>
                <w:sz w:val="18"/>
                <w:szCs w:val="18"/>
              </w:rPr>
            </w:pPr>
          </w:p>
        </w:tc>
        <w:tc>
          <w:tcPr>
            <w:tcW w:w="25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7" w:hRule="atLeast"/>
        </w:trPr>
        <w:tc>
          <w:tcPr>
            <w:tcW w:w="1249" w:type="dxa"/>
            <w:vMerge w:val="continue"/>
            <w:vAlign w:val="center"/>
          </w:tcPr>
          <w:p>
            <w:pPr>
              <w:jc w:val="center"/>
              <w:rPr>
                <w:rFonts w:ascii="宋体" w:hAnsi="宋体"/>
                <w:sz w:val="18"/>
                <w:szCs w:val="18"/>
              </w:rPr>
            </w:pPr>
          </w:p>
        </w:tc>
        <w:tc>
          <w:tcPr>
            <w:tcW w:w="1778" w:type="dxa"/>
          </w:tcPr>
          <w:p>
            <w:pPr>
              <w:rPr>
                <w:rFonts w:ascii="宋体" w:hAnsi="宋体"/>
                <w:sz w:val="18"/>
                <w:szCs w:val="18"/>
              </w:rPr>
            </w:pPr>
          </w:p>
        </w:tc>
        <w:tc>
          <w:tcPr>
            <w:tcW w:w="1786" w:type="dxa"/>
            <w:gridSpan w:val="2"/>
          </w:tcPr>
          <w:p>
            <w:pPr>
              <w:rPr>
                <w:rFonts w:ascii="宋体" w:hAnsi="宋体"/>
                <w:sz w:val="18"/>
                <w:szCs w:val="18"/>
              </w:rPr>
            </w:pPr>
          </w:p>
        </w:tc>
        <w:tc>
          <w:tcPr>
            <w:tcW w:w="2000" w:type="dxa"/>
            <w:gridSpan w:val="3"/>
          </w:tcPr>
          <w:p>
            <w:pPr>
              <w:rPr>
                <w:rFonts w:ascii="宋体" w:hAnsi="宋体"/>
                <w:sz w:val="18"/>
                <w:szCs w:val="18"/>
              </w:rPr>
            </w:pPr>
          </w:p>
        </w:tc>
        <w:tc>
          <w:tcPr>
            <w:tcW w:w="25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7" w:hRule="atLeast"/>
        </w:trPr>
        <w:tc>
          <w:tcPr>
            <w:tcW w:w="1249" w:type="dxa"/>
            <w:vMerge w:val="restart"/>
            <w:vAlign w:val="center"/>
          </w:tcPr>
          <w:p>
            <w:pPr>
              <w:pStyle w:val="243"/>
              <w:spacing w:before="58" w:line="218" w:lineRule="auto"/>
              <w:jc w:val="center"/>
            </w:pPr>
            <w:r>
              <w:rPr>
                <w:spacing w:val="-5"/>
              </w:rPr>
              <w:t>喷淋泵</w:t>
            </w:r>
          </w:p>
        </w:tc>
        <w:tc>
          <w:tcPr>
            <w:tcW w:w="1778" w:type="dxa"/>
          </w:tcPr>
          <w:p>
            <w:pPr>
              <w:pStyle w:val="243"/>
              <w:spacing w:before="148" w:line="212" w:lineRule="auto"/>
              <w:ind w:left="232"/>
              <w:rPr>
                <w:rFonts w:cs="Times New Roman"/>
              </w:rPr>
            </w:pPr>
            <w:r>
              <w:rPr>
                <w:spacing w:val="-1"/>
              </w:rPr>
              <w:t>流量</w:t>
            </w:r>
            <w:r>
              <w:rPr>
                <w:rFonts w:cs="Times New Roman"/>
                <w:spacing w:val="-1"/>
              </w:rPr>
              <w:t>(m</w:t>
            </w:r>
            <w:r>
              <w:rPr>
                <w:rFonts w:cs="Times New Roman"/>
                <w:spacing w:val="-1"/>
                <w:position w:val="5"/>
              </w:rPr>
              <w:t>3</w:t>
            </w:r>
            <w:r>
              <w:rPr>
                <w:rFonts w:cs="Times New Roman"/>
                <w:spacing w:val="-1"/>
              </w:rPr>
              <w:t>/h)</w:t>
            </w:r>
          </w:p>
        </w:tc>
        <w:tc>
          <w:tcPr>
            <w:tcW w:w="1786" w:type="dxa"/>
            <w:gridSpan w:val="2"/>
          </w:tcPr>
          <w:p>
            <w:pPr>
              <w:pStyle w:val="243"/>
              <w:spacing w:before="148" w:line="212" w:lineRule="auto"/>
              <w:ind w:left="351"/>
              <w:rPr>
                <w:rFonts w:cs="Times New Roman"/>
              </w:rPr>
            </w:pPr>
            <w:r>
              <w:rPr>
                <w:spacing w:val="-2"/>
              </w:rPr>
              <w:t>扬程</w:t>
            </w:r>
            <w:r>
              <w:rPr>
                <w:rFonts w:cs="Times New Roman"/>
                <w:spacing w:val="-2"/>
              </w:rPr>
              <w:t>(m)</w:t>
            </w:r>
          </w:p>
        </w:tc>
        <w:tc>
          <w:tcPr>
            <w:tcW w:w="2000" w:type="dxa"/>
            <w:gridSpan w:val="3"/>
          </w:tcPr>
          <w:p>
            <w:pPr>
              <w:pStyle w:val="243"/>
              <w:spacing w:before="148" w:line="212" w:lineRule="auto"/>
              <w:ind w:left="449"/>
              <w:rPr>
                <w:rFonts w:cs="Times New Roman"/>
              </w:rPr>
            </w:pPr>
            <w:r>
              <w:rPr>
                <w:spacing w:val="-2"/>
              </w:rPr>
              <w:t>功率</w:t>
            </w:r>
            <w:r>
              <w:rPr>
                <w:rFonts w:cs="Times New Roman"/>
                <w:spacing w:val="-2"/>
              </w:rPr>
              <w:t>(KW)</w:t>
            </w:r>
          </w:p>
        </w:tc>
        <w:tc>
          <w:tcPr>
            <w:tcW w:w="2552" w:type="dxa"/>
            <w:vAlign w:val="center"/>
          </w:tcPr>
          <w:p>
            <w:pPr>
              <w:pStyle w:val="243"/>
              <w:spacing w:before="148" w:line="212" w:lineRule="auto"/>
              <w:jc w:val="center"/>
              <w:rPr>
                <w:rFonts w:cs="Times New Roman"/>
              </w:rPr>
            </w:pPr>
            <w:r>
              <w:rPr>
                <w:spacing w:val="-2"/>
              </w:rPr>
              <w:t>数量</w:t>
            </w:r>
            <w:r>
              <w:rPr>
                <w:rFonts w:cs="Times New Roman"/>
                <w:spacing w:val="-2"/>
              </w:rPr>
              <w:t>(</w:t>
            </w:r>
            <w:r>
              <w:rPr>
                <w:spacing w:val="-2"/>
              </w:rPr>
              <w:t>备用情况</w:t>
            </w:r>
            <w:r>
              <w:rPr>
                <w:rFonts w:cs="Times New Roman"/>
                <w:spacing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7" w:hRule="atLeast"/>
        </w:trPr>
        <w:tc>
          <w:tcPr>
            <w:tcW w:w="1249" w:type="dxa"/>
            <w:vMerge w:val="continue"/>
            <w:vAlign w:val="center"/>
          </w:tcPr>
          <w:p>
            <w:pPr>
              <w:jc w:val="center"/>
              <w:rPr>
                <w:rFonts w:ascii="宋体" w:hAnsi="宋体"/>
                <w:sz w:val="18"/>
                <w:szCs w:val="18"/>
              </w:rPr>
            </w:pPr>
          </w:p>
        </w:tc>
        <w:tc>
          <w:tcPr>
            <w:tcW w:w="1778" w:type="dxa"/>
          </w:tcPr>
          <w:p>
            <w:pPr>
              <w:rPr>
                <w:rFonts w:ascii="宋体" w:hAnsi="宋体"/>
                <w:sz w:val="18"/>
                <w:szCs w:val="18"/>
              </w:rPr>
            </w:pPr>
          </w:p>
        </w:tc>
        <w:tc>
          <w:tcPr>
            <w:tcW w:w="1786" w:type="dxa"/>
            <w:gridSpan w:val="2"/>
          </w:tcPr>
          <w:p>
            <w:pPr>
              <w:rPr>
                <w:rFonts w:ascii="宋体" w:hAnsi="宋体"/>
                <w:sz w:val="18"/>
                <w:szCs w:val="18"/>
              </w:rPr>
            </w:pPr>
          </w:p>
        </w:tc>
        <w:tc>
          <w:tcPr>
            <w:tcW w:w="2000" w:type="dxa"/>
            <w:gridSpan w:val="3"/>
          </w:tcPr>
          <w:p>
            <w:pPr>
              <w:rPr>
                <w:rFonts w:ascii="宋体" w:hAnsi="宋体"/>
                <w:sz w:val="18"/>
                <w:szCs w:val="18"/>
              </w:rPr>
            </w:pPr>
          </w:p>
        </w:tc>
        <w:tc>
          <w:tcPr>
            <w:tcW w:w="25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7" w:hRule="atLeast"/>
        </w:trPr>
        <w:tc>
          <w:tcPr>
            <w:tcW w:w="1249" w:type="dxa"/>
            <w:vMerge w:val="continue"/>
            <w:vAlign w:val="center"/>
          </w:tcPr>
          <w:p>
            <w:pPr>
              <w:jc w:val="center"/>
              <w:rPr>
                <w:rFonts w:ascii="宋体" w:hAnsi="宋体"/>
                <w:sz w:val="18"/>
                <w:szCs w:val="18"/>
              </w:rPr>
            </w:pPr>
          </w:p>
        </w:tc>
        <w:tc>
          <w:tcPr>
            <w:tcW w:w="1778" w:type="dxa"/>
          </w:tcPr>
          <w:p>
            <w:pPr>
              <w:rPr>
                <w:rFonts w:ascii="宋体" w:hAnsi="宋体"/>
                <w:sz w:val="18"/>
                <w:szCs w:val="18"/>
              </w:rPr>
            </w:pPr>
          </w:p>
        </w:tc>
        <w:tc>
          <w:tcPr>
            <w:tcW w:w="1786" w:type="dxa"/>
            <w:gridSpan w:val="2"/>
          </w:tcPr>
          <w:p>
            <w:pPr>
              <w:rPr>
                <w:rFonts w:ascii="宋体" w:hAnsi="宋体"/>
                <w:sz w:val="18"/>
                <w:szCs w:val="18"/>
              </w:rPr>
            </w:pPr>
          </w:p>
        </w:tc>
        <w:tc>
          <w:tcPr>
            <w:tcW w:w="2000" w:type="dxa"/>
            <w:gridSpan w:val="3"/>
          </w:tcPr>
          <w:p>
            <w:pPr>
              <w:rPr>
                <w:rFonts w:ascii="宋体" w:hAnsi="宋体"/>
                <w:sz w:val="18"/>
                <w:szCs w:val="18"/>
              </w:rPr>
            </w:pPr>
          </w:p>
        </w:tc>
        <w:tc>
          <w:tcPr>
            <w:tcW w:w="25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2" w:hRule="atLeast"/>
        </w:trPr>
        <w:tc>
          <w:tcPr>
            <w:tcW w:w="1249" w:type="dxa"/>
            <w:vMerge w:val="continue"/>
            <w:vAlign w:val="center"/>
          </w:tcPr>
          <w:p>
            <w:pPr>
              <w:jc w:val="center"/>
              <w:rPr>
                <w:rFonts w:ascii="宋体" w:hAnsi="宋体"/>
                <w:sz w:val="18"/>
                <w:szCs w:val="18"/>
              </w:rPr>
            </w:pPr>
          </w:p>
        </w:tc>
        <w:tc>
          <w:tcPr>
            <w:tcW w:w="1778" w:type="dxa"/>
          </w:tcPr>
          <w:p>
            <w:pPr>
              <w:rPr>
                <w:rFonts w:ascii="宋体" w:hAnsi="宋体"/>
                <w:sz w:val="18"/>
                <w:szCs w:val="18"/>
              </w:rPr>
            </w:pPr>
          </w:p>
        </w:tc>
        <w:tc>
          <w:tcPr>
            <w:tcW w:w="1786" w:type="dxa"/>
            <w:gridSpan w:val="2"/>
          </w:tcPr>
          <w:p>
            <w:pPr>
              <w:rPr>
                <w:rFonts w:ascii="宋体" w:hAnsi="宋体"/>
                <w:sz w:val="18"/>
                <w:szCs w:val="18"/>
              </w:rPr>
            </w:pPr>
          </w:p>
        </w:tc>
        <w:tc>
          <w:tcPr>
            <w:tcW w:w="2000" w:type="dxa"/>
            <w:gridSpan w:val="3"/>
          </w:tcPr>
          <w:p>
            <w:pPr>
              <w:rPr>
                <w:rFonts w:ascii="宋体" w:hAnsi="宋体"/>
                <w:sz w:val="18"/>
                <w:szCs w:val="18"/>
              </w:rPr>
            </w:pPr>
          </w:p>
        </w:tc>
        <w:tc>
          <w:tcPr>
            <w:tcW w:w="25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7" w:hRule="atLeast"/>
        </w:trPr>
        <w:tc>
          <w:tcPr>
            <w:tcW w:w="1249" w:type="dxa"/>
            <w:vAlign w:val="center"/>
          </w:tcPr>
          <w:p>
            <w:pPr>
              <w:pStyle w:val="243"/>
              <w:spacing w:before="150" w:line="219" w:lineRule="auto"/>
              <w:jc w:val="center"/>
            </w:pPr>
            <w:r>
              <w:rPr>
                <w:spacing w:val="-3"/>
              </w:rPr>
              <w:t>管道及阀门</w:t>
            </w:r>
          </w:p>
        </w:tc>
        <w:tc>
          <w:tcPr>
            <w:tcW w:w="1778" w:type="dxa"/>
          </w:tcPr>
          <w:p>
            <w:pPr>
              <w:pStyle w:val="243"/>
              <w:spacing w:before="149" w:line="219" w:lineRule="auto"/>
              <w:ind w:left="113"/>
              <w:rPr>
                <w:spacing w:val="-2"/>
                <w:lang w:eastAsia="zh-CN"/>
              </w:rPr>
            </w:pPr>
            <w:r>
              <w:rPr>
                <w:spacing w:val="-2"/>
                <w:lang w:eastAsia="zh-CN"/>
              </w:rPr>
              <w:t>管道材质：</w:t>
            </w:r>
          </w:p>
          <w:p>
            <w:pPr>
              <w:pStyle w:val="243"/>
              <w:spacing w:before="149" w:line="219" w:lineRule="auto"/>
              <w:ind w:left="113"/>
              <w:rPr>
                <w:lang w:eastAsia="zh-CN"/>
              </w:rPr>
            </w:pPr>
            <w:r>
              <w:rPr>
                <w:spacing w:val="-2"/>
                <w:lang w:eastAsia="zh-CN"/>
              </w:rPr>
              <w:t>阀门材质：</w:t>
            </w:r>
          </w:p>
        </w:tc>
        <w:tc>
          <w:tcPr>
            <w:tcW w:w="1786" w:type="dxa"/>
            <w:gridSpan w:val="2"/>
          </w:tcPr>
          <w:p>
            <w:pPr>
              <w:pStyle w:val="243"/>
              <w:spacing w:before="31" w:line="219" w:lineRule="auto"/>
              <w:ind w:left="117"/>
              <w:rPr>
                <w:spacing w:val="-3"/>
                <w:lang w:eastAsia="zh-CN"/>
              </w:rPr>
            </w:pPr>
          </w:p>
        </w:tc>
        <w:tc>
          <w:tcPr>
            <w:tcW w:w="2000" w:type="dxa"/>
            <w:gridSpan w:val="3"/>
          </w:tcPr>
          <w:p>
            <w:pPr>
              <w:pStyle w:val="243"/>
              <w:spacing w:before="31" w:line="219" w:lineRule="auto"/>
              <w:ind w:left="115"/>
              <w:rPr>
                <w:spacing w:val="-2"/>
                <w:lang w:eastAsia="zh-CN"/>
              </w:rPr>
            </w:pPr>
          </w:p>
        </w:tc>
        <w:tc>
          <w:tcPr>
            <w:tcW w:w="2552" w:type="dxa"/>
          </w:tcPr>
          <w:p>
            <w:pPr>
              <w:pStyle w:val="243"/>
              <w:spacing w:before="31" w:line="219" w:lineRule="auto"/>
              <w:ind w:left="113"/>
              <w:rPr>
                <w:spacing w:val="-3"/>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7" w:hRule="atLeast"/>
        </w:trPr>
        <w:tc>
          <w:tcPr>
            <w:tcW w:w="1249" w:type="dxa"/>
            <w:vMerge w:val="restart"/>
            <w:vAlign w:val="center"/>
          </w:tcPr>
          <w:p>
            <w:pPr>
              <w:pStyle w:val="243"/>
              <w:spacing w:before="58" w:line="219" w:lineRule="auto"/>
              <w:jc w:val="center"/>
            </w:pPr>
            <w:r>
              <w:rPr>
                <w:spacing w:val="-4"/>
              </w:rPr>
              <w:t>泵房</w:t>
            </w:r>
          </w:p>
        </w:tc>
        <w:tc>
          <w:tcPr>
            <w:tcW w:w="1778" w:type="dxa"/>
          </w:tcPr>
          <w:p>
            <w:pPr>
              <w:pStyle w:val="243"/>
              <w:spacing w:before="149" w:line="219" w:lineRule="auto"/>
              <w:ind w:left="109"/>
              <w:rPr>
                <w:spacing w:val="-1"/>
                <w:lang w:eastAsia="zh-CN"/>
              </w:rPr>
            </w:pPr>
            <w:r>
              <w:rPr>
                <w:spacing w:val="-1"/>
                <w:lang w:eastAsia="zh-CN"/>
              </w:rPr>
              <w:t>装饰装修材料：</w:t>
            </w:r>
          </w:p>
          <w:p>
            <w:pPr>
              <w:pStyle w:val="243"/>
              <w:spacing w:before="149" w:line="219" w:lineRule="auto"/>
              <w:ind w:left="109"/>
              <w:rPr>
                <w:spacing w:val="-1"/>
                <w:lang w:eastAsia="zh-CN"/>
              </w:rPr>
            </w:pPr>
            <w:r>
              <w:rPr>
                <w:spacing w:val="-1"/>
                <w:lang w:eastAsia="zh-CN"/>
              </w:rPr>
              <w:t>地面：</w:t>
            </w:r>
          </w:p>
          <w:p>
            <w:pPr>
              <w:pStyle w:val="243"/>
              <w:spacing w:before="149" w:line="219" w:lineRule="auto"/>
              <w:ind w:left="109"/>
              <w:rPr>
                <w:lang w:eastAsia="zh-CN"/>
              </w:rPr>
            </w:pPr>
            <w:r>
              <w:rPr>
                <w:spacing w:val="-1"/>
                <w:lang w:eastAsia="zh-CN"/>
              </w:rPr>
              <w:t>墙面：</w:t>
            </w:r>
          </w:p>
        </w:tc>
        <w:tc>
          <w:tcPr>
            <w:tcW w:w="1786" w:type="dxa"/>
            <w:gridSpan w:val="2"/>
          </w:tcPr>
          <w:p>
            <w:pPr>
              <w:pStyle w:val="243"/>
              <w:spacing w:before="31" w:line="219" w:lineRule="auto"/>
              <w:ind w:left="117"/>
              <w:rPr>
                <w:spacing w:val="-3"/>
                <w:lang w:eastAsia="zh-CN"/>
              </w:rPr>
            </w:pPr>
          </w:p>
        </w:tc>
        <w:tc>
          <w:tcPr>
            <w:tcW w:w="2000" w:type="dxa"/>
            <w:gridSpan w:val="3"/>
          </w:tcPr>
          <w:p>
            <w:pPr>
              <w:pStyle w:val="243"/>
              <w:spacing w:before="31" w:line="219" w:lineRule="auto"/>
              <w:ind w:left="115"/>
              <w:rPr>
                <w:spacing w:val="-2"/>
                <w:lang w:eastAsia="zh-CN"/>
              </w:rPr>
            </w:pPr>
          </w:p>
        </w:tc>
        <w:tc>
          <w:tcPr>
            <w:tcW w:w="2552" w:type="dxa"/>
          </w:tcPr>
          <w:p>
            <w:pPr>
              <w:pStyle w:val="243"/>
              <w:spacing w:before="31" w:line="219" w:lineRule="auto"/>
              <w:ind w:left="113"/>
              <w:rPr>
                <w:spacing w:val="-3"/>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7" w:hRule="atLeast"/>
        </w:trPr>
        <w:tc>
          <w:tcPr>
            <w:tcW w:w="1249" w:type="dxa"/>
            <w:vMerge w:val="continue"/>
          </w:tcPr>
          <w:p>
            <w:pPr>
              <w:rPr>
                <w:rFonts w:ascii="宋体" w:hAnsi="宋体"/>
                <w:sz w:val="18"/>
                <w:szCs w:val="18"/>
              </w:rPr>
            </w:pPr>
          </w:p>
        </w:tc>
        <w:tc>
          <w:tcPr>
            <w:tcW w:w="1778" w:type="dxa"/>
          </w:tcPr>
          <w:p>
            <w:pPr>
              <w:pStyle w:val="243"/>
              <w:spacing w:before="148" w:line="219" w:lineRule="auto"/>
              <w:ind w:left="120"/>
            </w:pPr>
            <w:r>
              <w:rPr>
                <w:spacing w:val="-4"/>
              </w:rPr>
              <w:t>隔音材料：</w:t>
            </w:r>
          </w:p>
        </w:tc>
        <w:tc>
          <w:tcPr>
            <w:tcW w:w="1786" w:type="dxa"/>
            <w:gridSpan w:val="2"/>
          </w:tcPr>
          <w:p>
            <w:pPr>
              <w:rPr>
                <w:rFonts w:ascii="宋体" w:hAnsi="宋体"/>
                <w:sz w:val="18"/>
                <w:szCs w:val="18"/>
              </w:rPr>
            </w:pPr>
          </w:p>
        </w:tc>
        <w:tc>
          <w:tcPr>
            <w:tcW w:w="2000" w:type="dxa"/>
            <w:gridSpan w:val="3"/>
          </w:tcPr>
          <w:p>
            <w:pPr>
              <w:rPr>
                <w:rFonts w:ascii="宋体" w:hAnsi="宋体"/>
                <w:sz w:val="18"/>
                <w:szCs w:val="18"/>
              </w:rPr>
            </w:pPr>
          </w:p>
        </w:tc>
        <w:tc>
          <w:tcPr>
            <w:tcW w:w="2552" w:type="dxa"/>
          </w:tcPr>
          <w:p>
            <w:pPr>
              <w:pStyle w:val="243"/>
              <w:spacing w:before="31" w:line="219" w:lineRule="auto"/>
              <w:ind w:left="113"/>
              <w:rPr>
                <w:spacing w:val="-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7" w:hRule="atLeast"/>
        </w:trPr>
        <w:tc>
          <w:tcPr>
            <w:tcW w:w="1249" w:type="dxa"/>
            <w:vMerge w:val="continue"/>
          </w:tcPr>
          <w:p>
            <w:pPr>
              <w:rPr>
                <w:rFonts w:ascii="宋体" w:hAnsi="宋体"/>
                <w:sz w:val="18"/>
                <w:szCs w:val="18"/>
              </w:rPr>
            </w:pPr>
          </w:p>
        </w:tc>
        <w:tc>
          <w:tcPr>
            <w:tcW w:w="1778" w:type="dxa"/>
          </w:tcPr>
          <w:p>
            <w:pPr>
              <w:pStyle w:val="243"/>
              <w:spacing w:before="148" w:line="220" w:lineRule="auto"/>
              <w:ind w:left="112"/>
              <w:rPr>
                <w:lang w:eastAsia="zh-CN"/>
              </w:rPr>
            </w:pPr>
            <w:r>
              <w:rPr>
                <w:spacing w:val="-1"/>
                <w:lang w:eastAsia="zh-CN"/>
              </w:rPr>
              <w:t>是否安装视频安防系统：</w:t>
            </w:r>
          </w:p>
        </w:tc>
        <w:tc>
          <w:tcPr>
            <w:tcW w:w="1786" w:type="dxa"/>
            <w:gridSpan w:val="2"/>
          </w:tcPr>
          <w:p>
            <w:pPr>
              <w:pStyle w:val="243"/>
              <w:spacing w:before="148" w:line="220" w:lineRule="auto"/>
              <w:ind w:left="118"/>
            </w:pPr>
            <w:r>
              <w:rPr>
                <w:rFonts w:hint="eastAsia" w:cs="Times New Roman"/>
                <w:spacing w:val="-4"/>
                <w:lang w:eastAsia="zh-CN"/>
              </w:rPr>
              <w:t>□</w:t>
            </w:r>
            <w:r>
              <w:rPr>
                <w:spacing w:val="-4"/>
              </w:rPr>
              <w:t>是</w:t>
            </w:r>
            <w:r>
              <w:rPr>
                <w:rFonts w:hint="eastAsia"/>
                <w:spacing w:val="-4"/>
                <w:lang w:eastAsia="zh-CN"/>
              </w:rPr>
              <w:t xml:space="preserve"> </w:t>
            </w:r>
            <w:r>
              <w:rPr>
                <w:rFonts w:hint="eastAsia" w:cs="Times New Roman"/>
                <w:spacing w:val="-4"/>
                <w:lang w:eastAsia="zh-CN"/>
              </w:rPr>
              <w:t>□</w:t>
            </w:r>
            <w:r>
              <w:rPr>
                <w:spacing w:val="-4"/>
              </w:rPr>
              <w:t>否</w:t>
            </w:r>
          </w:p>
        </w:tc>
        <w:tc>
          <w:tcPr>
            <w:tcW w:w="2000" w:type="dxa"/>
            <w:gridSpan w:val="3"/>
          </w:tcPr>
          <w:p>
            <w:pPr>
              <w:pStyle w:val="243"/>
              <w:spacing w:before="31" w:line="219" w:lineRule="auto"/>
              <w:ind w:left="115"/>
              <w:rPr>
                <w:spacing w:val="-2"/>
              </w:rPr>
            </w:pPr>
          </w:p>
        </w:tc>
        <w:tc>
          <w:tcPr>
            <w:tcW w:w="2552" w:type="dxa"/>
          </w:tcPr>
          <w:p>
            <w:pPr>
              <w:pStyle w:val="243"/>
              <w:spacing w:before="31" w:line="219" w:lineRule="auto"/>
              <w:ind w:left="113"/>
              <w:rPr>
                <w:spacing w:val="-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7" w:hRule="atLeast"/>
        </w:trPr>
        <w:tc>
          <w:tcPr>
            <w:tcW w:w="1249" w:type="dxa"/>
            <w:vMerge w:val="continue"/>
          </w:tcPr>
          <w:p>
            <w:pPr>
              <w:rPr>
                <w:rFonts w:ascii="宋体" w:hAnsi="宋体"/>
                <w:sz w:val="18"/>
                <w:szCs w:val="18"/>
              </w:rPr>
            </w:pPr>
          </w:p>
        </w:tc>
        <w:tc>
          <w:tcPr>
            <w:tcW w:w="1778" w:type="dxa"/>
          </w:tcPr>
          <w:p>
            <w:pPr>
              <w:pStyle w:val="243"/>
              <w:spacing w:before="148" w:line="219" w:lineRule="auto"/>
              <w:ind w:left="112"/>
              <w:rPr>
                <w:lang w:eastAsia="zh-CN"/>
              </w:rPr>
            </w:pPr>
            <w:r>
              <w:rPr>
                <w:spacing w:val="-1"/>
                <w:lang w:eastAsia="zh-CN"/>
              </w:rPr>
              <w:t>是否安装水质在线监测系统</w:t>
            </w:r>
          </w:p>
        </w:tc>
        <w:tc>
          <w:tcPr>
            <w:tcW w:w="1786" w:type="dxa"/>
            <w:gridSpan w:val="2"/>
          </w:tcPr>
          <w:p>
            <w:pPr>
              <w:pStyle w:val="243"/>
              <w:spacing w:before="148" w:line="220" w:lineRule="auto"/>
              <w:ind w:left="118"/>
            </w:pPr>
            <w:r>
              <w:rPr>
                <w:rFonts w:hint="eastAsia" w:cs="Times New Roman"/>
                <w:spacing w:val="-4"/>
                <w:lang w:eastAsia="zh-CN"/>
              </w:rPr>
              <w:t>□</w:t>
            </w:r>
            <w:r>
              <w:rPr>
                <w:spacing w:val="-4"/>
              </w:rPr>
              <w:t>是</w:t>
            </w:r>
            <w:r>
              <w:rPr>
                <w:rFonts w:hint="eastAsia"/>
                <w:spacing w:val="-4"/>
                <w:lang w:eastAsia="zh-CN"/>
              </w:rPr>
              <w:t xml:space="preserve"> </w:t>
            </w:r>
            <w:r>
              <w:rPr>
                <w:rFonts w:hint="eastAsia" w:cs="Times New Roman"/>
                <w:spacing w:val="-4"/>
                <w:lang w:eastAsia="zh-CN"/>
              </w:rPr>
              <w:t>□</w:t>
            </w:r>
            <w:r>
              <w:rPr>
                <w:spacing w:val="-4"/>
              </w:rPr>
              <w:t>否</w:t>
            </w:r>
          </w:p>
        </w:tc>
        <w:tc>
          <w:tcPr>
            <w:tcW w:w="2000" w:type="dxa"/>
            <w:gridSpan w:val="3"/>
          </w:tcPr>
          <w:p>
            <w:pPr>
              <w:pStyle w:val="243"/>
              <w:spacing w:before="31" w:line="219" w:lineRule="auto"/>
              <w:ind w:left="115"/>
              <w:rPr>
                <w:spacing w:val="-2"/>
              </w:rPr>
            </w:pPr>
          </w:p>
        </w:tc>
        <w:tc>
          <w:tcPr>
            <w:tcW w:w="2552" w:type="dxa"/>
          </w:tcPr>
          <w:p>
            <w:pPr>
              <w:pStyle w:val="243"/>
              <w:spacing w:before="31" w:line="219" w:lineRule="auto"/>
              <w:ind w:left="113"/>
              <w:rPr>
                <w:spacing w:val="-3"/>
              </w:rPr>
            </w:pPr>
          </w:p>
        </w:tc>
      </w:tr>
    </w:tbl>
    <w:p>
      <w:pPr>
        <w:pStyle w:val="56"/>
        <w:ind w:firstLine="420"/>
      </w:pPr>
    </w:p>
    <w:p>
      <w:pPr>
        <w:pStyle w:val="56"/>
        <w:ind w:firstLine="420"/>
      </w:pPr>
    </w:p>
    <w:p>
      <w:pPr>
        <w:pStyle w:val="56"/>
        <w:ind w:firstLine="420"/>
      </w:pPr>
    </w:p>
    <w:p>
      <w:pPr>
        <w:pStyle w:val="56"/>
        <w:ind w:firstLine="420"/>
      </w:pPr>
    </w:p>
    <w:p>
      <w:pPr>
        <w:pStyle w:val="56"/>
        <w:ind w:firstLine="420"/>
        <w:sectPr>
          <w:pgSz w:w="11906" w:h="16838"/>
          <w:pgMar w:top="1928" w:right="1134" w:bottom="1134" w:left="1134" w:header="1418" w:footer="1134" w:gutter="284"/>
          <w:cols w:space="425" w:num="1"/>
          <w:formProt w:val="0"/>
          <w:docGrid w:type="lines" w:linePitch="312" w:charSpace="0"/>
        </w:sectPr>
      </w:pPr>
    </w:p>
    <w:p>
      <w:pPr>
        <w:pStyle w:val="198"/>
        <w:rPr>
          <w:vanish w:val="0"/>
        </w:rPr>
      </w:pPr>
    </w:p>
    <w:p>
      <w:pPr>
        <w:pStyle w:val="199"/>
        <w:rPr>
          <w:vanish w:val="0"/>
        </w:rPr>
      </w:pPr>
    </w:p>
    <w:p>
      <w:pPr>
        <w:pStyle w:val="198"/>
        <w:rPr>
          <w:vanish w:val="0"/>
        </w:rPr>
      </w:pPr>
    </w:p>
    <w:p>
      <w:pPr>
        <w:pStyle w:val="199"/>
        <w:rPr>
          <w:vanish w:val="0"/>
        </w:rPr>
      </w:pPr>
    </w:p>
    <w:p>
      <w:pPr>
        <w:pStyle w:val="198"/>
        <w:rPr>
          <w:vanish w:val="0"/>
        </w:rPr>
      </w:pPr>
    </w:p>
    <w:p>
      <w:pPr>
        <w:pStyle w:val="199"/>
        <w:rPr>
          <w:vanish w:val="0"/>
        </w:rPr>
      </w:pPr>
    </w:p>
    <w:p>
      <w:pPr>
        <w:pStyle w:val="76"/>
        <w:spacing w:after="158"/>
      </w:pPr>
      <w:r>
        <w:br w:type="textWrapping"/>
      </w:r>
      <w:bookmarkStart w:id="98" w:name="_Toc155974790"/>
      <w:r>
        <w:rPr>
          <w:rFonts w:hint="eastAsia"/>
        </w:rPr>
        <w:t>（资料性）</w:t>
      </w:r>
      <w:r>
        <w:br w:type="textWrapping"/>
      </w:r>
      <w:r>
        <w:rPr>
          <w:rFonts w:hint="eastAsia"/>
        </w:rPr>
        <w:t>二次供水设施提标改造移交验收记录表</w:t>
      </w:r>
      <w:bookmarkEnd w:id="98"/>
    </w:p>
    <w:p>
      <w:pPr>
        <w:pStyle w:val="77"/>
        <w:numPr>
          <w:ilvl w:val="0"/>
          <w:numId w:val="0"/>
        </w:numPr>
        <w:spacing w:before="158" w:after="158"/>
      </w:pPr>
      <w:r>
        <w:rPr>
          <w:rFonts w:hint="eastAsia"/>
        </w:rPr>
        <w:t>表</w:t>
      </w:r>
      <w:r>
        <w:t xml:space="preserve">D.1 </w:t>
      </w:r>
      <w:r>
        <w:rPr>
          <w:rFonts w:hint="eastAsia"/>
        </w:rPr>
        <w:t>二次供水设施提标改造移交验收记录表</w:t>
      </w:r>
    </w:p>
    <w:p>
      <w:pPr>
        <w:pStyle w:val="199"/>
      </w:pPr>
      <w:r>
        <w:t>填表时间：月日填表人：填表人电话：</w:t>
      </w:r>
    </w:p>
    <w:tbl>
      <w:tblPr>
        <w:tblStyle w:val="244"/>
        <w:tblW w:w="2064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7"/>
        <w:gridCol w:w="1459"/>
        <w:gridCol w:w="249"/>
        <w:gridCol w:w="249"/>
        <w:gridCol w:w="369"/>
        <w:gridCol w:w="373"/>
        <w:gridCol w:w="794"/>
        <w:gridCol w:w="905"/>
        <w:gridCol w:w="777"/>
        <w:gridCol w:w="318"/>
        <w:gridCol w:w="438"/>
        <w:gridCol w:w="851"/>
        <w:gridCol w:w="1462"/>
        <w:gridCol w:w="1247"/>
        <w:gridCol w:w="363"/>
        <w:gridCol w:w="1288"/>
        <w:gridCol w:w="1123"/>
        <w:gridCol w:w="652"/>
        <w:gridCol w:w="727"/>
        <w:gridCol w:w="607"/>
        <w:gridCol w:w="326"/>
        <w:gridCol w:w="1094"/>
        <w:gridCol w:w="1115"/>
        <w:gridCol w:w="1070"/>
        <w:gridCol w:w="190"/>
        <w:gridCol w:w="58"/>
        <w:gridCol w:w="954"/>
        <w:gridCol w:w="11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6" w:hRule="atLeast"/>
        </w:trPr>
        <w:tc>
          <w:tcPr>
            <w:tcW w:w="2354" w:type="dxa"/>
            <w:gridSpan w:val="4"/>
          </w:tcPr>
          <w:p>
            <w:pPr>
              <w:pStyle w:val="243"/>
              <w:spacing w:before="148" w:line="221" w:lineRule="auto"/>
              <w:ind w:left="120"/>
              <w:rPr>
                <w:rFonts w:ascii="Times New Roman" w:hAnsi="Times New Roman" w:eastAsia="Times New Roman" w:cs="Times New Roman"/>
              </w:rPr>
            </w:pPr>
            <w:r>
              <w:rPr>
                <w:spacing w:val="-2"/>
                <w14:textOutline w14:w="3263" w14:cap="sq" w14:cmpd="sng" w14:algn="ctr">
                  <w14:solidFill>
                    <w14:srgbClr w14:val="000000"/>
                  </w14:solidFill>
                  <w14:prstDash w14:val="solid"/>
                  <w14:bevel/>
                </w14:textOutline>
              </w:rPr>
              <w:t>小区名称</w:t>
            </w:r>
            <w:r>
              <w:rPr>
                <w:rFonts w:ascii="Times New Roman" w:hAnsi="Times New Roman" w:eastAsia="Times New Roman" w:cs="Times New Roman"/>
                <w:b/>
                <w:bCs/>
                <w:spacing w:val="-2"/>
              </w:rPr>
              <w:t>:</w:t>
            </w:r>
          </w:p>
        </w:tc>
        <w:tc>
          <w:tcPr>
            <w:tcW w:w="3536" w:type="dxa"/>
            <w:gridSpan w:val="6"/>
          </w:tcPr>
          <w:p>
            <w:pPr>
              <w:pStyle w:val="243"/>
              <w:spacing w:before="148" w:line="219" w:lineRule="auto"/>
              <w:ind w:left="111"/>
            </w:pPr>
            <w:r>
              <w:rPr>
                <w:spacing w:val="-2"/>
                <w14:textOutline w14:w="3263" w14:cap="sq" w14:cmpd="sng" w14:algn="ctr">
                  <w14:solidFill>
                    <w14:srgbClr w14:val="000000"/>
                  </w14:solidFill>
                  <w14:prstDash w14:val="solid"/>
                  <w14:bevel/>
                </w14:textOutline>
              </w:rPr>
              <w:t>泵房名称：</w:t>
            </w:r>
          </w:p>
        </w:tc>
        <w:tc>
          <w:tcPr>
            <w:tcW w:w="3998" w:type="dxa"/>
            <w:gridSpan w:val="4"/>
          </w:tcPr>
          <w:p>
            <w:pPr>
              <w:pStyle w:val="243"/>
              <w:spacing w:before="148" w:line="219" w:lineRule="auto"/>
              <w:ind w:left="113"/>
            </w:pPr>
            <w:r>
              <w:rPr>
                <w:spacing w:val="-1"/>
                <w14:textOutline w14:w="3263" w14:cap="sq" w14:cmpd="sng" w14:algn="ctr">
                  <w14:solidFill>
                    <w14:srgbClr w14:val="000000"/>
                  </w14:solidFill>
                  <w14:prstDash w14:val="solid"/>
                  <w14:bevel/>
                </w14:textOutline>
              </w:rPr>
              <w:t>所属街道：</w:t>
            </w:r>
          </w:p>
        </w:tc>
        <w:tc>
          <w:tcPr>
            <w:tcW w:w="4153" w:type="dxa"/>
            <w:gridSpan w:val="5"/>
          </w:tcPr>
          <w:p>
            <w:pPr>
              <w:pStyle w:val="243"/>
              <w:spacing w:before="148" w:line="220" w:lineRule="auto"/>
              <w:ind w:left="111"/>
            </w:pPr>
            <w:r>
              <w:rPr>
                <w:spacing w:val="-1"/>
                <w14:textOutline w14:w="3263" w14:cap="sq" w14:cmpd="sng" w14:algn="ctr">
                  <w14:solidFill>
                    <w14:srgbClr w14:val="000000"/>
                  </w14:solidFill>
                  <w14:prstDash w14:val="solid"/>
                  <w14:bevel/>
                </w14:textOutline>
              </w:rPr>
              <w:t>物业单位：</w:t>
            </w:r>
          </w:p>
        </w:tc>
        <w:tc>
          <w:tcPr>
            <w:tcW w:w="933" w:type="dxa"/>
            <w:gridSpan w:val="2"/>
          </w:tcPr>
          <w:p>
            <w:pPr>
              <w:pStyle w:val="243"/>
              <w:spacing w:before="148" w:line="221" w:lineRule="auto"/>
              <w:ind w:left="114"/>
            </w:pPr>
            <w:r>
              <w:rPr>
                <w:spacing w:val="-2"/>
                <w14:textOutline w14:w="3263" w14:cap="sq" w14:cmpd="sng" w14:algn="ctr">
                  <w14:solidFill>
                    <w14:srgbClr w14:val="000000"/>
                  </w14:solidFill>
                  <w14:prstDash w14:val="solid"/>
                  <w14:bevel/>
                </w14:textOutline>
              </w:rPr>
              <w:t>联系人：</w:t>
            </w:r>
          </w:p>
        </w:tc>
        <w:tc>
          <w:tcPr>
            <w:tcW w:w="1094" w:type="dxa"/>
          </w:tcPr>
          <w:p>
            <w:pPr>
              <w:rPr>
                <w:rFonts w:ascii="Arial"/>
              </w:rPr>
            </w:pPr>
          </w:p>
        </w:tc>
        <w:tc>
          <w:tcPr>
            <w:tcW w:w="1115" w:type="dxa"/>
          </w:tcPr>
          <w:p>
            <w:pPr>
              <w:pStyle w:val="243"/>
              <w:spacing w:before="148" w:line="221" w:lineRule="auto"/>
              <w:ind w:left="113"/>
            </w:pPr>
            <w:r>
              <w:rPr>
                <w:spacing w:val="-2"/>
                <w14:textOutline w14:w="3263" w14:cap="sq" w14:cmpd="sng" w14:algn="ctr">
                  <w14:solidFill>
                    <w14:srgbClr w14:val="000000"/>
                  </w14:solidFill>
                  <w14:prstDash w14:val="solid"/>
                  <w14:bevel/>
                </w14:textOutline>
              </w:rPr>
              <w:t>联系电话：</w:t>
            </w:r>
          </w:p>
        </w:tc>
        <w:tc>
          <w:tcPr>
            <w:tcW w:w="1318" w:type="dxa"/>
            <w:gridSpan w:val="3"/>
          </w:tcPr>
          <w:p>
            <w:pPr>
              <w:rPr>
                <w:rFonts w:ascii="Arial"/>
              </w:rPr>
            </w:pPr>
          </w:p>
        </w:tc>
        <w:tc>
          <w:tcPr>
            <w:tcW w:w="954" w:type="dxa"/>
          </w:tcPr>
          <w:p>
            <w:pPr>
              <w:pStyle w:val="243"/>
              <w:spacing w:before="148" w:line="219" w:lineRule="auto"/>
              <w:ind w:left="119"/>
            </w:pPr>
            <w:r>
              <w:rPr>
                <w:spacing w:val="-3"/>
                <w14:textOutline w14:w="3263" w14:cap="sq" w14:cmpd="sng" w14:algn="ctr">
                  <w14:solidFill>
                    <w14:srgbClr w14:val="000000"/>
                  </w14:solidFill>
                  <w14:prstDash w14:val="solid"/>
                  <w14:bevel/>
                </w14:textOutline>
              </w:rPr>
              <w:t>改造时间</w:t>
            </w:r>
          </w:p>
        </w:tc>
        <w:tc>
          <w:tcPr>
            <w:tcW w:w="1193"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5" w:hRule="atLeast"/>
        </w:trPr>
        <w:tc>
          <w:tcPr>
            <w:tcW w:w="397" w:type="dxa"/>
            <w:vMerge w:val="restart"/>
            <w:tcBorders>
              <w:bottom w:val="nil"/>
            </w:tcBorders>
            <w:textDirection w:val="tbRlV"/>
            <w:vAlign w:val="bottom"/>
          </w:tcPr>
          <w:p>
            <w:pPr>
              <w:pStyle w:val="243"/>
              <w:spacing w:before="134" w:line="209" w:lineRule="auto"/>
              <w:ind w:left="1833"/>
            </w:pPr>
            <w:r>
              <w:rPr>
                <w:spacing w:val="-1"/>
                <w14:textOutline w14:w="3263" w14:cap="sq" w14:cmpd="sng" w14:algn="ctr">
                  <w14:solidFill>
                    <w14:srgbClr w14:val="000000"/>
                  </w14:solidFill>
                  <w14:prstDash w14:val="solid"/>
                  <w14:bevel/>
                </w14:textOutline>
              </w:rPr>
              <w:t>泵</w:t>
            </w:r>
            <w:r>
              <w:rPr>
                <w:spacing w:val="7"/>
              </w:rPr>
              <w:t xml:space="preserve">   </w:t>
            </w:r>
            <w:r>
              <w:rPr>
                <w:spacing w:val="-1"/>
                <w14:textOutline w14:w="3263" w14:cap="sq" w14:cmpd="sng" w14:algn="ctr">
                  <w14:solidFill>
                    <w14:srgbClr w14:val="000000"/>
                  </w14:solidFill>
                  <w14:prstDash w14:val="solid"/>
                  <w14:bevel/>
                </w14:textOutline>
              </w:rPr>
              <w:t>站</w:t>
            </w:r>
            <w:r>
              <w:rPr>
                <w:spacing w:val="6"/>
              </w:rPr>
              <w:t xml:space="preserve">   </w:t>
            </w:r>
            <w:r>
              <w:rPr>
                <w:spacing w:val="-1"/>
                <w14:textOutline w14:w="3263" w14:cap="sq" w14:cmpd="sng" w14:algn="ctr">
                  <w14:solidFill>
                    <w14:srgbClr w14:val="000000"/>
                  </w14:solidFill>
                  <w14:prstDash w14:val="solid"/>
                  <w14:bevel/>
                </w14:textOutline>
              </w:rPr>
              <w:t>基</w:t>
            </w:r>
            <w:r>
              <w:rPr>
                <w:spacing w:val="6"/>
              </w:rPr>
              <w:t xml:space="preserve">   </w:t>
            </w:r>
            <w:r>
              <w:rPr>
                <w:spacing w:val="-1"/>
                <w14:textOutline w14:w="3263" w14:cap="sq" w14:cmpd="sng" w14:algn="ctr">
                  <w14:solidFill>
                    <w14:srgbClr w14:val="000000"/>
                  </w14:solidFill>
                  <w14:prstDash w14:val="solid"/>
                  <w14:bevel/>
                </w14:textOutline>
              </w:rPr>
              <w:t>础</w:t>
            </w:r>
            <w:r>
              <w:rPr>
                <w:spacing w:val="6"/>
              </w:rPr>
              <w:t xml:space="preserve">   </w:t>
            </w:r>
            <w:r>
              <w:rPr>
                <w:spacing w:val="-1"/>
                <w14:textOutline w14:w="3263" w14:cap="sq" w14:cmpd="sng" w14:algn="ctr">
                  <w14:solidFill>
                    <w14:srgbClr w14:val="000000"/>
                  </w14:solidFill>
                  <w14:prstDash w14:val="solid"/>
                  <w14:bevel/>
                </w14:textOutline>
              </w:rPr>
              <w:t>资</w:t>
            </w:r>
            <w:r>
              <w:rPr>
                <w:spacing w:val="6"/>
              </w:rPr>
              <w:t xml:space="preserve">   </w:t>
            </w:r>
            <w:r>
              <w:rPr>
                <w:spacing w:val="-1"/>
                <w14:textOutline w14:w="3263" w14:cap="sq" w14:cmpd="sng" w14:algn="ctr">
                  <w14:solidFill>
                    <w14:srgbClr w14:val="000000"/>
                  </w14:solidFill>
                  <w14:prstDash w14:val="solid"/>
                  <w14:bevel/>
                </w14:textOutline>
              </w:rPr>
              <w:t>料</w:t>
            </w:r>
          </w:p>
        </w:tc>
        <w:tc>
          <w:tcPr>
            <w:tcW w:w="6782" w:type="dxa"/>
            <w:gridSpan w:val="11"/>
          </w:tcPr>
          <w:p>
            <w:pPr>
              <w:pStyle w:val="243"/>
              <w:spacing w:before="146" w:line="219" w:lineRule="auto"/>
              <w:ind w:left="113"/>
              <w:rPr>
                <w:lang w:eastAsia="zh-CN"/>
              </w:rPr>
            </w:pPr>
            <w:r>
              <w:rPr>
                <w:spacing w:val="-1"/>
                <w:lang w:eastAsia="zh-CN"/>
              </w:rPr>
              <w:t>小区市政路进水，分别是由路与路进水</w:t>
            </w:r>
          </w:p>
        </w:tc>
        <w:tc>
          <w:tcPr>
            <w:tcW w:w="3072" w:type="dxa"/>
            <w:gridSpan w:val="3"/>
          </w:tcPr>
          <w:p>
            <w:pPr>
              <w:pStyle w:val="243"/>
              <w:spacing w:before="146" w:line="219" w:lineRule="auto"/>
              <w:ind w:left="839"/>
            </w:pPr>
            <w:r>
              <w:rPr>
                <w:spacing w:val="-2"/>
                <w14:textOutline w14:w="3263" w14:cap="sq" w14:cmpd="sng" w14:algn="ctr">
                  <w14:solidFill>
                    <w14:srgbClr w14:val="000000"/>
                  </w14:solidFill>
                  <w14:prstDash w14:val="solid"/>
                  <w14:bevel/>
                </w14:textOutline>
              </w:rPr>
              <w:t>小区总层数</w:t>
            </w:r>
          </w:p>
        </w:tc>
        <w:tc>
          <w:tcPr>
            <w:tcW w:w="6932" w:type="dxa"/>
            <w:gridSpan w:val="8"/>
          </w:tcPr>
          <w:p>
            <w:pPr>
              <w:pStyle w:val="243"/>
              <w:spacing w:before="146" w:line="219" w:lineRule="auto"/>
              <w:ind w:left="112"/>
            </w:pPr>
            <w:r>
              <w:rPr>
                <w:spacing w:val="-3"/>
              </w:rPr>
              <w:t>共栋层</w:t>
            </w:r>
          </w:p>
        </w:tc>
        <w:tc>
          <w:tcPr>
            <w:tcW w:w="3465" w:type="dxa"/>
            <w:gridSpan w:val="5"/>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9" w:hRule="atLeast"/>
        </w:trPr>
        <w:tc>
          <w:tcPr>
            <w:tcW w:w="397" w:type="dxa"/>
            <w:vMerge w:val="continue"/>
            <w:tcBorders>
              <w:top w:val="nil"/>
              <w:bottom w:val="nil"/>
            </w:tcBorders>
            <w:textDirection w:val="tbRlV"/>
            <w:vAlign w:val="bottom"/>
          </w:tcPr>
          <w:p>
            <w:pPr>
              <w:rPr>
                <w:rFonts w:ascii="Arial"/>
              </w:rPr>
            </w:pPr>
          </w:p>
        </w:tc>
        <w:tc>
          <w:tcPr>
            <w:tcW w:w="1708" w:type="dxa"/>
            <w:gridSpan w:val="2"/>
            <w:vMerge w:val="restart"/>
            <w:tcBorders>
              <w:bottom w:val="nil"/>
            </w:tcBorders>
            <w:vAlign w:val="center"/>
          </w:tcPr>
          <w:p>
            <w:pPr>
              <w:pStyle w:val="243"/>
              <w:spacing w:before="59" w:line="219" w:lineRule="auto"/>
              <w:jc w:val="center"/>
            </w:pPr>
            <w:r>
              <w:rPr>
                <w:spacing w:val="-1"/>
                <w14:textOutline w14:w="3263" w14:cap="sq" w14:cmpd="sng" w14:algn="ctr">
                  <w14:solidFill>
                    <w14:srgbClr w14:val="000000"/>
                  </w14:solidFill>
                  <w14:prstDash w14:val="solid"/>
                  <w14:bevel/>
                </w14:textOutline>
              </w:rPr>
              <w:t>泵房供水方式</w:t>
            </w:r>
          </w:p>
        </w:tc>
        <w:tc>
          <w:tcPr>
            <w:tcW w:w="1785" w:type="dxa"/>
            <w:gridSpan w:val="4"/>
            <w:vAlign w:val="center"/>
          </w:tcPr>
          <w:p>
            <w:pPr>
              <w:pStyle w:val="243"/>
              <w:spacing w:before="147" w:line="219" w:lineRule="auto"/>
            </w:pPr>
            <w:r>
              <w:rPr>
                <w:rFonts w:hint="eastAsia" w:ascii="Times New Roman" w:hAnsi="Times New Roman" w:cs="Times New Roman"/>
                <w:spacing w:val="-2"/>
                <w:lang w:eastAsia="zh-CN"/>
              </w:rPr>
              <w:t>□</w:t>
            </w:r>
            <w:r>
              <w:rPr>
                <w:spacing w:val="-2"/>
              </w:rPr>
              <w:t>低位水池</w:t>
            </w:r>
            <w:r>
              <w:rPr>
                <w:rFonts w:ascii="Times New Roman" w:hAnsi="Times New Roman" w:eastAsia="Times New Roman" w:cs="Times New Roman"/>
                <w:spacing w:val="-2"/>
              </w:rPr>
              <w:t>+</w:t>
            </w:r>
            <w:r>
              <w:rPr>
                <w:spacing w:val="-2"/>
              </w:rPr>
              <w:t>常规变频</w:t>
            </w:r>
          </w:p>
        </w:tc>
        <w:tc>
          <w:tcPr>
            <w:tcW w:w="905" w:type="dxa"/>
            <w:vMerge w:val="restart"/>
            <w:tcBorders>
              <w:bottom w:val="nil"/>
            </w:tcBorders>
            <w:vAlign w:val="center"/>
          </w:tcPr>
          <w:p>
            <w:pPr>
              <w:pStyle w:val="243"/>
              <w:spacing w:before="58" w:line="468" w:lineRule="exact"/>
              <w:jc w:val="center"/>
            </w:pPr>
            <w:r>
              <w:rPr>
                <w:spacing w:val="-5"/>
                <w:position w:val="22"/>
                <w14:textOutline w14:w="3263" w14:cap="sq" w14:cmpd="sng" w14:algn="ctr">
                  <w14:solidFill>
                    <w14:srgbClr w14:val="000000"/>
                  </w14:solidFill>
                  <w14:prstDash w14:val="solid"/>
                  <w14:bevel/>
                </w14:textOutline>
              </w:rPr>
              <w:t>生活</w:t>
            </w:r>
          </w:p>
          <w:p>
            <w:pPr>
              <w:pStyle w:val="243"/>
              <w:spacing w:line="220" w:lineRule="auto"/>
              <w:jc w:val="center"/>
            </w:pPr>
            <w:r>
              <w:rPr>
                <w:spacing w:val="-6"/>
                <w14:textOutline w14:w="3263" w14:cap="sq" w14:cmpd="sng" w14:algn="ctr">
                  <w14:solidFill>
                    <w14:srgbClr w14:val="000000"/>
                  </w14:solidFill>
                  <w14:prstDash w14:val="solid"/>
                  <w14:bevel/>
                </w14:textOutline>
              </w:rPr>
              <w:t>消防</w:t>
            </w:r>
          </w:p>
          <w:p>
            <w:pPr>
              <w:pStyle w:val="243"/>
              <w:spacing w:before="253" w:line="219" w:lineRule="auto"/>
              <w:jc w:val="center"/>
            </w:pPr>
            <w:r>
              <w:rPr>
                <w:spacing w:val="-4"/>
                <w14:textOutline w14:w="3263" w14:cap="sq" w14:cmpd="sng" w14:algn="ctr">
                  <w14:solidFill>
                    <w14:srgbClr w14:val="000000"/>
                  </w14:solidFill>
                  <w14:prstDash w14:val="solid"/>
                  <w14:bevel/>
                </w14:textOutline>
              </w:rPr>
              <w:t>共用</w:t>
            </w:r>
          </w:p>
          <w:p>
            <w:pPr>
              <w:pStyle w:val="243"/>
              <w:spacing w:before="254" w:line="220" w:lineRule="auto"/>
              <w:jc w:val="center"/>
            </w:pPr>
            <w:r>
              <w:rPr>
                <w:spacing w:val="-4"/>
                <w14:textOutline w14:w="3263" w14:cap="sq" w14:cmpd="sng" w14:algn="ctr">
                  <w14:solidFill>
                    <w14:srgbClr w14:val="000000"/>
                  </w14:solidFill>
                  <w14:prstDash w14:val="solid"/>
                  <w14:bevel/>
                </w14:textOutline>
              </w:rPr>
              <w:t>情况</w:t>
            </w:r>
          </w:p>
        </w:tc>
        <w:tc>
          <w:tcPr>
            <w:tcW w:w="1095" w:type="dxa"/>
            <w:gridSpan w:val="2"/>
            <w:vMerge w:val="restart"/>
            <w:tcBorders>
              <w:bottom w:val="nil"/>
            </w:tcBorders>
            <w:vAlign w:val="center"/>
          </w:tcPr>
          <w:p>
            <w:pPr>
              <w:pStyle w:val="243"/>
              <w:spacing w:before="58" w:line="219" w:lineRule="auto"/>
              <w:jc w:val="center"/>
              <w:rPr>
                <w:lang w:eastAsia="zh-CN"/>
              </w:rPr>
            </w:pPr>
            <w:r>
              <w:rPr>
                <w:rFonts w:hint="eastAsia"/>
                <w:spacing w:val="-2"/>
                <w:lang w:eastAsia="zh-CN"/>
                <w14:textOutline w14:w="3263" w14:cap="sq" w14:cmpd="sng" w14:algn="ctr">
                  <w14:solidFill>
                    <w14:srgbClr w14:val="000000"/>
                  </w14:solidFill>
                  <w14:prstDash w14:val="solid"/>
                  <w14:bevel/>
                </w14:textOutline>
              </w:rPr>
              <w:t>水池（箱）</w:t>
            </w:r>
          </w:p>
        </w:tc>
        <w:tc>
          <w:tcPr>
            <w:tcW w:w="1289" w:type="dxa"/>
            <w:gridSpan w:val="2"/>
            <w:vMerge w:val="restart"/>
            <w:tcBorders>
              <w:bottom w:val="nil"/>
            </w:tcBorders>
            <w:vAlign w:val="center"/>
          </w:tcPr>
          <w:p>
            <w:pPr>
              <w:pStyle w:val="243"/>
              <w:spacing w:before="152" w:line="219" w:lineRule="auto"/>
              <w:ind w:left="119"/>
              <w:rPr>
                <w:lang w:eastAsia="zh-CN"/>
              </w:rPr>
            </w:pPr>
            <w:r>
              <w:rPr>
                <w:rFonts w:hint="eastAsia" w:ascii="Times New Roman" w:hAnsi="Times New Roman" w:cs="Times New Roman"/>
                <w:spacing w:val="-3"/>
                <w:lang w:eastAsia="zh-CN"/>
              </w:rPr>
              <w:t>□</w:t>
            </w:r>
            <w:r>
              <w:rPr>
                <w:spacing w:val="-3"/>
                <w:lang w:eastAsia="zh-CN"/>
              </w:rPr>
              <w:t>完全分离</w:t>
            </w:r>
          </w:p>
          <w:p>
            <w:pPr>
              <w:pStyle w:val="243"/>
              <w:spacing w:before="254" w:line="220" w:lineRule="auto"/>
              <w:ind w:left="119"/>
              <w:rPr>
                <w:lang w:eastAsia="zh-CN"/>
              </w:rPr>
            </w:pPr>
            <w:r>
              <w:rPr>
                <w:rFonts w:hint="eastAsia" w:ascii="Times New Roman" w:hAnsi="Times New Roman" w:cs="Times New Roman"/>
                <w:spacing w:val="-8"/>
                <w:lang w:eastAsia="zh-CN"/>
              </w:rPr>
              <w:t>□</w:t>
            </w:r>
            <w:r>
              <w:rPr>
                <w:rFonts w:ascii="Times New Roman" w:hAnsi="Times New Roman" w:eastAsia="Times New Roman" w:cs="Times New Roman"/>
                <w:spacing w:val="-20"/>
                <w:lang w:eastAsia="zh-CN"/>
              </w:rPr>
              <w:t xml:space="preserve"> </w:t>
            </w:r>
            <w:r>
              <w:rPr>
                <w:spacing w:val="-8"/>
                <w:lang w:eastAsia="zh-CN"/>
              </w:rPr>
              <w:t>中间分隔</w:t>
            </w:r>
          </w:p>
        </w:tc>
        <w:tc>
          <w:tcPr>
            <w:tcW w:w="3072" w:type="dxa"/>
            <w:gridSpan w:val="3"/>
          </w:tcPr>
          <w:p>
            <w:pPr>
              <w:pStyle w:val="243"/>
              <w:spacing w:before="147" w:line="219" w:lineRule="auto"/>
              <w:ind w:left="746"/>
            </w:pPr>
            <w:r>
              <w:rPr>
                <w:spacing w:val="-1"/>
                <w14:textOutline w14:w="3263" w14:cap="sq" w14:cmpd="sng" w14:algn="ctr">
                  <w14:solidFill>
                    <w14:srgbClr w14:val="000000"/>
                  </w14:solidFill>
                  <w14:prstDash w14:val="solid"/>
                  <w14:bevel/>
                </w14:textOutline>
              </w:rPr>
              <w:t>泵房所处楼层</w:t>
            </w:r>
          </w:p>
        </w:tc>
        <w:tc>
          <w:tcPr>
            <w:tcW w:w="4397" w:type="dxa"/>
            <w:gridSpan w:val="5"/>
          </w:tcPr>
          <w:p>
            <w:pPr>
              <w:pStyle w:val="243"/>
              <w:spacing w:before="112" w:line="242" w:lineRule="exact"/>
              <w:ind w:left="662"/>
              <w:rPr>
                <w:lang w:eastAsia="zh-CN"/>
              </w:rPr>
            </w:pPr>
            <w:r>
              <w:rPr>
                <w:rFonts w:hint="eastAsia" w:ascii="Times New Roman" w:hAnsi="Times New Roman" w:cs="Times New Roman"/>
                <w:b/>
                <w:bCs/>
                <w:spacing w:val="-3"/>
                <w:lang w:eastAsia="zh-CN"/>
              </w:rPr>
              <w:t>□</w:t>
            </w:r>
            <w:r>
              <w:rPr>
                <w:rFonts w:ascii="Times New Roman" w:hAnsi="Times New Roman" w:eastAsia="Times New Roman" w:cs="Times New Roman"/>
                <w:b/>
                <w:bCs/>
                <w:spacing w:val="-26"/>
                <w:lang w:eastAsia="zh-CN"/>
              </w:rPr>
              <w:t xml:space="preserve"> </w:t>
            </w:r>
            <w:r>
              <w:rPr>
                <w:spacing w:val="-3"/>
                <w:lang w:eastAsia="zh-CN"/>
                <w14:textOutline w14:w="3263" w14:cap="sq" w14:cmpd="sng" w14:algn="ctr">
                  <w14:solidFill>
                    <w14:srgbClr w14:val="000000"/>
                  </w14:solidFill>
                  <w14:prstDash w14:val="solid"/>
                  <w14:bevel/>
                </w14:textOutline>
              </w:rPr>
              <w:t>负一层</w:t>
            </w:r>
            <w:r>
              <w:rPr>
                <w:spacing w:val="-3"/>
                <w:lang w:eastAsia="zh-CN"/>
              </w:rPr>
              <w:t xml:space="preserve"> </w:t>
            </w:r>
            <w:r>
              <w:rPr>
                <w:rFonts w:hint="eastAsia" w:ascii="Times New Roman" w:hAnsi="Times New Roman" w:cs="Times New Roman"/>
                <w:b/>
                <w:bCs/>
                <w:spacing w:val="-3"/>
                <w:lang w:eastAsia="zh-CN"/>
              </w:rPr>
              <w:t>□</w:t>
            </w:r>
            <w:r>
              <w:rPr>
                <w:rFonts w:ascii="Times New Roman" w:hAnsi="Times New Roman" w:eastAsia="Times New Roman" w:cs="Times New Roman"/>
                <w:b/>
                <w:bCs/>
                <w:spacing w:val="-29"/>
                <w:lang w:eastAsia="zh-CN"/>
              </w:rPr>
              <w:t xml:space="preserve"> </w:t>
            </w:r>
            <w:r>
              <w:rPr>
                <w:spacing w:val="-3"/>
                <w:lang w:eastAsia="zh-CN"/>
                <w14:textOutline w14:w="3263" w14:cap="sq" w14:cmpd="sng" w14:algn="ctr">
                  <w14:solidFill>
                    <w14:srgbClr w14:val="000000"/>
                  </w14:solidFill>
                  <w14:prstDash w14:val="solid"/>
                  <w14:bevel/>
                </w14:textOutline>
              </w:rPr>
              <w:t>负二层</w:t>
            </w:r>
            <w:r>
              <w:rPr>
                <w:spacing w:val="5"/>
                <w:lang w:eastAsia="zh-CN"/>
              </w:rPr>
              <w:t xml:space="preserve">  </w:t>
            </w:r>
            <w:r>
              <w:rPr>
                <w:rFonts w:hint="eastAsia" w:ascii="Times New Roman" w:hAnsi="Times New Roman" w:cs="Times New Roman"/>
                <w:b/>
                <w:bCs/>
                <w:spacing w:val="-3"/>
                <w:lang w:eastAsia="zh-CN"/>
              </w:rPr>
              <w:t>□</w:t>
            </w:r>
            <w:r>
              <w:rPr>
                <w:spacing w:val="-3"/>
                <w:lang w:eastAsia="zh-CN"/>
                <w14:textOutline w14:w="3263" w14:cap="sq" w14:cmpd="sng" w14:algn="ctr">
                  <w14:solidFill>
                    <w14:srgbClr w14:val="000000"/>
                  </w14:solidFill>
                  <w14:prstDash w14:val="solid"/>
                  <w14:bevel/>
                </w14:textOutline>
              </w:rPr>
              <w:t>地下车库旁</w:t>
            </w:r>
          </w:p>
        </w:tc>
        <w:tc>
          <w:tcPr>
            <w:tcW w:w="1420" w:type="dxa"/>
            <w:gridSpan w:val="2"/>
            <w:vMerge w:val="restart"/>
            <w:tcBorders>
              <w:bottom w:val="nil"/>
            </w:tcBorders>
            <w:vAlign w:val="center"/>
          </w:tcPr>
          <w:p>
            <w:pPr>
              <w:pStyle w:val="243"/>
              <w:spacing w:before="58" w:line="219" w:lineRule="auto"/>
              <w:jc w:val="center"/>
            </w:pPr>
            <w:r>
              <w:rPr>
                <w:spacing w:val="-2"/>
                <w14:textOutline w14:w="3263" w14:cap="sq" w14:cmpd="sng" w14:algn="ctr">
                  <w14:solidFill>
                    <w14:srgbClr w14:val="000000"/>
                  </w14:solidFill>
                  <w14:prstDash w14:val="solid"/>
                  <w14:bevel/>
                </w14:textOutline>
              </w:rPr>
              <w:t>建筑分类</w:t>
            </w:r>
          </w:p>
        </w:tc>
        <w:tc>
          <w:tcPr>
            <w:tcW w:w="1115" w:type="dxa"/>
          </w:tcPr>
          <w:p>
            <w:pPr>
              <w:pStyle w:val="243"/>
              <w:spacing w:before="147" w:line="219" w:lineRule="auto"/>
              <w:ind w:left="120"/>
            </w:pPr>
            <w:r>
              <w:rPr>
                <w:rFonts w:hint="eastAsia" w:ascii="Times New Roman" w:hAnsi="Times New Roman" w:cs="Times New Roman"/>
                <w:spacing w:val="-5"/>
                <w:lang w:eastAsia="zh-CN"/>
              </w:rPr>
              <w:t>□</w:t>
            </w:r>
            <w:r>
              <w:rPr>
                <w:spacing w:val="-5"/>
              </w:rPr>
              <w:t>多层</w:t>
            </w:r>
          </w:p>
        </w:tc>
        <w:tc>
          <w:tcPr>
            <w:tcW w:w="2272" w:type="dxa"/>
            <w:gridSpan w:val="4"/>
            <w:vMerge w:val="restart"/>
            <w:tcBorders>
              <w:bottom w:val="nil"/>
            </w:tcBorders>
            <w:vAlign w:val="center"/>
          </w:tcPr>
          <w:p>
            <w:pPr>
              <w:pStyle w:val="243"/>
              <w:spacing w:before="58" w:line="212" w:lineRule="auto"/>
              <w:jc w:val="center"/>
              <w:rPr>
                <w:rFonts w:ascii="Times New Roman" w:hAnsi="Times New Roman" w:eastAsia="Times New Roman" w:cs="Times New Roman"/>
              </w:rPr>
            </w:pPr>
            <w:r>
              <w:rPr>
                <w:spacing w:val="-1"/>
                <w14:textOutline w14:w="3263" w14:cap="sq" w14:cmpd="sng" w14:algn="ctr">
                  <w14:solidFill>
                    <w14:srgbClr w14:val="000000"/>
                  </w14:solidFill>
                  <w14:prstDash w14:val="solid"/>
                  <w14:bevel/>
                </w14:textOutline>
              </w:rPr>
              <w:t>月最大供水量</w:t>
            </w:r>
            <w:r>
              <w:rPr>
                <w:rFonts w:ascii="Times New Roman" w:hAnsi="Times New Roman" w:eastAsia="Times New Roman" w:cs="Times New Roman"/>
                <w:b/>
                <w:bCs/>
                <w:spacing w:val="-1"/>
              </w:rPr>
              <w:t>(m</w:t>
            </w:r>
            <w:r>
              <w:rPr>
                <w:rFonts w:ascii="Times New Roman" w:hAnsi="Times New Roman" w:eastAsia="Times New Roman" w:cs="Times New Roman"/>
                <w:b/>
                <w:bCs/>
                <w:spacing w:val="-1"/>
                <w:position w:val="5"/>
                <w:sz w:val="11"/>
                <w:szCs w:val="11"/>
              </w:rPr>
              <w:t>3</w:t>
            </w:r>
            <w:r>
              <w:rPr>
                <w:rFonts w:ascii="Times New Roman" w:hAnsi="Times New Roman" w:eastAsia="Times New Roman" w:cs="Times New Roman"/>
                <w:b/>
                <w:bCs/>
                <w:spacing w:val="-1"/>
              </w:rPr>
              <w:t>)</w:t>
            </w:r>
          </w:p>
        </w:tc>
        <w:tc>
          <w:tcPr>
            <w:tcW w:w="1193" w:type="dxa"/>
            <w:vMerge w:val="restart"/>
            <w:tcBorders>
              <w:bottom w:val="nil"/>
            </w:tcBorders>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8" w:hRule="atLeast"/>
        </w:trPr>
        <w:tc>
          <w:tcPr>
            <w:tcW w:w="397" w:type="dxa"/>
            <w:vMerge w:val="continue"/>
            <w:tcBorders>
              <w:top w:val="nil"/>
              <w:bottom w:val="nil"/>
            </w:tcBorders>
            <w:textDirection w:val="tbRlV"/>
            <w:vAlign w:val="bottom"/>
          </w:tcPr>
          <w:p>
            <w:pPr>
              <w:rPr>
                <w:rFonts w:ascii="Arial"/>
              </w:rPr>
            </w:pPr>
          </w:p>
        </w:tc>
        <w:tc>
          <w:tcPr>
            <w:tcW w:w="1708" w:type="dxa"/>
            <w:gridSpan w:val="2"/>
            <w:vMerge w:val="continue"/>
            <w:tcBorders>
              <w:top w:val="nil"/>
              <w:bottom w:val="nil"/>
            </w:tcBorders>
          </w:tcPr>
          <w:p>
            <w:pPr>
              <w:rPr>
                <w:rFonts w:ascii="Arial"/>
              </w:rPr>
            </w:pPr>
          </w:p>
        </w:tc>
        <w:tc>
          <w:tcPr>
            <w:tcW w:w="1785" w:type="dxa"/>
            <w:gridSpan w:val="4"/>
            <w:vAlign w:val="center"/>
          </w:tcPr>
          <w:p>
            <w:pPr>
              <w:pStyle w:val="243"/>
              <w:spacing w:before="146" w:line="219" w:lineRule="auto"/>
            </w:pPr>
            <w:r>
              <w:rPr>
                <w:rFonts w:hint="eastAsia" w:ascii="Times New Roman" w:hAnsi="Times New Roman" w:cs="Times New Roman"/>
                <w:spacing w:val="-2"/>
                <w:lang w:eastAsia="zh-CN"/>
              </w:rPr>
              <w:t>□</w:t>
            </w:r>
            <w:r>
              <w:rPr>
                <w:spacing w:val="-2"/>
              </w:rPr>
              <w:t>低位水池</w:t>
            </w:r>
            <w:r>
              <w:rPr>
                <w:rFonts w:ascii="Times New Roman" w:hAnsi="Times New Roman" w:eastAsia="Times New Roman" w:cs="Times New Roman"/>
                <w:spacing w:val="-2"/>
              </w:rPr>
              <w:t>+</w:t>
            </w:r>
            <w:r>
              <w:rPr>
                <w:spacing w:val="-2"/>
              </w:rPr>
              <w:t>高位水池</w:t>
            </w:r>
          </w:p>
        </w:tc>
        <w:tc>
          <w:tcPr>
            <w:tcW w:w="905" w:type="dxa"/>
            <w:vMerge w:val="continue"/>
            <w:tcBorders>
              <w:top w:val="nil"/>
              <w:bottom w:val="nil"/>
            </w:tcBorders>
            <w:vAlign w:val="center"/>
          </w:tcPr>
          <w:p>
            <w:pPr>
              <w:jc w:val="center"/>
              <w:rPr>
                <w:rFonts w:ascii="Arial"/>
              </w:rPr>
            </w:pPr>
          </w:p>
        </w:tc>
        <w:tc>
          <w:tcPr>
            <w:tcW w:w="1095" w:type="dxa"/>
            <w:gridSpan w:val="2"/>
            <w:vMerge w:val="continue"/>
            <w:tcBorders>
              <w:top w:val="nil"/>
            </w:tcBorders>
            <w:vAlign w:val="center"/>
          </w:tcPr>
          <w:p>
            <w:pPr>
              <w:jc w:val="center"/>
              <w:rPr>
                <w:rFonts w:ascii="Arial"/>
              </w:rPr>
            </w:pPr>
          </w:p>
        </w:tc>
        <w:tc>
          <w:tcPr>
            <w:tcW w:w="1289" w:type="dxa"/>
            <w:gridSpan w:val="2"/>
            <w:vMerge w:val="continue"/>
            <w:tcBorders>
              <w:top w:val="nil"/>
            </w:tcBorders>
            <w:vAlign w:val="center"/>
          </w:tcPr>
          <w:p>
            <w:pPr>
              <w:jc w:val="center"/>
              <w:rPr>
                <w:rFonts w:ascii="Arial"/>
              </w:rPr>
            </w:pPr>
          </w:p>
        </w:tc>
        <w:tc>
          <w:tcPr>
            <w:tcW w:w="4360" w:type="dxa"/>
            <w:gridSpan w:val="4"/>
          </w:tcPr>
          <w:p>
            <w:pPr>
              <w:pStyle w:val="243"/>
              <w:spacing w:before="146" w:line="210" w:lineRule="auto"/>
              <w:ind w:left="1057"/>
              <w:rPr>
                <w:rFonts w:ascii="Times New Roman" w:hAnsi="Times New Roman" w:eastAsia="Times New Roman" w:cs="Times New Roman"/>
              </w:rPr>
            </w:pPr>
            <w:r>
              <w:rPr>
                <w:spacing w:val="-1"/>
                <w14:textOutline w14:w="3263" w14:cap="sq" w14:cmpd="sng" w14:algn="ctr">
                  <w14:solidFill>
                    <w14:srgbClr w14:val="000000"/>
                  </w14:solidFill>
                  <w14:prstDash w14:val="solid"/>
                  <w14:bevel/>
                </w14:textOutline>
              </w:rPr>
              <w:t>市政管网直供层数</w:t>
            </w:r>
            <w:r>
              <w:rPr>
                <w:rFonts w:ascii="Times New Roman" w:hAnsi="Times New Roman" w:eastAsia="Times New Roman" w:cs="Times New Roman"/>
                <w:b/>
                <w:bCs/>
                <w:spacing w:val="-1"/>
              </w:rPr>
              <w:t>(</w:t>
            </w:r>
            <w:r>
              <w:rPr>
                <w:spacing w:val="-1"/>
                <w14:textOutline w14:w="3263" w14:cap="sq" w14:cmpd="sng" w14:algn="ctr">
                  <w14:solidFill>
                    <w14:srgbClr w14:val="000000"/>
                  </w14:solidFill>
                  <w14:prstDash w14:val="solid"/>
                  <w14:bevel/>
                </w14:textOutline>
              </w:rPr>
              <w:t>层</w:t>
            </w:r>
            <w:r>
              <w:rPr>
                <w:rFonts w:ascii="Times New Roman" w:hAnsi="Times New Roman" w:eastAsia="Times New Roman" w:cs="Times New Roman"/>
                <w:b/>
                <w:bCs/>
                <w:spacing w:val="-1"/>
              </w:rPr>
              <w:t>)</w:t>
            </w:r>
          </w:p>
        </w:tc>
        <w:tc>
          <w:tcPr>
            <w:tcW w:w="3109" w:type="dxa"/>
            <w:gridSpan w:val="4"/>
          </w:tcPr>
          <w:p>
            <w:pPr>
              <w:pStyle w:val="243"/>
              <w:spacing w:before="146" w:line="219" w:lineRule="auto"/>
              <w:ind w:left="116"/>
            </w:pPr>
            <w:r>
              <w:rPr>
                <w:spacing w:val="-2"/>
              </w:rPr>
              <w:t>从层至层，共层</w:t>
            </w:r>
          </w:p>
        </w:tc>
        <w:tc>
          <w:tcPr>
            <w:tcW w:w="1420" w:type="dxa"/>
            <w:gridSpan w:val="2"/>
            <w:vMerge w:val="continue"/>
            <w:tcBorders>
              <w:top w:val="nil"/>
              <w:bottom w:val="nil"/>
            </w:tcBorders>
          </w:tcPr>
          <w:p>
            <w:pPr>
              <w:rPr>
                <w:rFonts w:ascii="Arial"/>
              </w:rPr>
            </w:pPr>
          </w:p>
        </w:tc>
        <w:tc>
          <w:tcPr>
            <w:tcW w:w="1115" w:type="dxa"/>
          </w:tcPr>
          <w:p>
            <w:pPr>
              <w:pStyle w:val="243"/>
              <w:spacing w:before="146" w:line="219" w:lineRule="auto"/>
              <w:ind w:left="120"/>
            </w:pPr>
            <w:r>
              <w:rPr>
                <w:rFonts w:hint="eastAsia" w:ascii="Times New Roman" w:hAnsi="Times New Roman" w:cs="Times New Roman"/>
                <w:spacing w:val="-5"/>
                <w:lang w:eastAsia="zh-CN"/>
              </w:rPr>
              <w:t>□</w:t>
            </w:r>
            <w:r>
              <w:rPr>
                <w:spacing w:val="-5"/>
              </w:rPr>
              <w:t>高层</w:t>
            </w:r>
          </w:p>
        </w:tc>
        <w:tc>
          <w:tcPr>
            <w:tcW w:w="2272" w:type="dxa"/>
            <w:gridSpan w:val="4"/>
            <w:vMerge w:val="continue"/>
            <w:tcBorders>
              <w:top w:val="nil"/>
            </w:tcBorders>
          </w:tcPr>
          <w:p>
            <w:pPr>
              <w:rPr>
                <w:rFonts w:ascii="Arial"/>
              </w:rPr>
            </w:pPr>
          </w:p>
        </w:tc>
        <w:tc>
          <w:tcPr>
            <w:tcW w:w="1193" w:type="dxa"/>
            <w:vMerge w:val="continue"/>
            <w:tcBorders>
              <w:top w:val="nil"/>
            </w:tcBorders>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8" w:hRule="atLeast"/>
        </w:trPr>
        <w:tc>
          <w:tcPr>
            <w:tcW w:w="397" w:type="dxa"/>
            <w:vMerge w:val="continue"/>
            <w:tcBorders>
              <w:top w:val="nil"/>
              <w:bottom w:val="nil"/>
            </w:tcBorders>
            <w:textDirection w:val="tbRlV"/>
            <w:vAlign w:val="bottom"/>
          </w:tcPr>
          <w:p>
            <w:pPr>
              <w:rPr>
                <w:rFonts w:ascii="Arial"/>
              </w:rPr>
            </w:pPr>
          </w:p>
        </w:tc>
        <w:tc>
          <w:tcPr>
            <w:tcW w:w="1708" w:type="dxa"/>
            <w:gridSpan w:val="2"/>
            <w:vMerge w:val="continue"/>
            <w:tcBorders>
              <w:top w:val="nil"/>
              <w:bottom w:val="nil"/>
            </w:tcBorders>
          </w:tcPr>
          <w:p>
            <w:pPr>
              <w:rPr>
                <w:rFonts w:ascii="Arial"/>
              </w:rPr>
            </w:pPr>
          </w:p>
        </w:tc>
        <w:tc>
          <w:tcPr>
            <w:tcW w:w="1785" w:type="dxa"/>
            <w:gridSpan w:val="4"/>
            <w:vAlign w:val="center"/>
          </w:tcPr>
          <w:p>
            <w:pPr>
              <w:pStyle w:val="243"/>
              <w:spacing w:before="146" w:line="219" w:lineRule="auto"/>
            </w:pPr>
            <w:r>
              <w:rPr>
                <w:rFonts w:hint="eastAsia" w:ascii="Times New Roman" w:hAnsi="Times New Roman" w:cs="Times New Roman"/>
                <w:spacing w:val="-2"/>
                <w:lang w:eastAsia="zh-CN"/>
              </w:rPr>
              <w:t>□</w:t>
            </w:r>
            <w:r>
              <w:rPr>
                <w:spacing w:val="-2"/>
              </w:rPr>
              <w:t>市政常压</w:t>
            </w:r>
            <w:r>
              <w:rPr>
                <w:rFonts w:ascii="Times New Roman" w:hAnsi="Times New Roman" w:eastAsia="Times New Roman" w:cs="Times New Roman"/>
                <w:spacing w:val="-2"/>
              </w:rPr>
              <w:t>+</w:t>
            </w:r>
            <w:r>
              <w:rPr>
                <w:spacing w:val="-2"/>
              </w:rPr>
              <w:t>高位水池</w:t>
            </w:r>
          </w:p>
        </w:tc>
        <w:tc>
          <w:tcPr>
            <w:tcW w:w="905" w:type="dxa"/>
            <w:vMerge w:val="continue"/>
            <w:tcBorders>
              <w:top w:val="nil"/>
              <w:bottom w:val="nil"/>
            </w:tcBorders>
            <w:vAlign w:val="center"/>
          </w:tcPr>
          <w:p>
            <w:pPr>
              <w:jc w:val="center"/>
              <w:rPr>
                <w:rFonts w:ascii="Arial"/>
              </w:rPr>
            </w:pPr>
          </w:p>
        </w:tc>
        <w:tc>
          <w:tcPr>
            <w:tcW w:w="1095" w:type="dxa"/>
            <w:gridSpan w:val="2"/>
            <w:vMerge w:val="restart"/>
            <w:tcBorders>
              <w:bottom w:val="nil"/>
            </w:tcBorders>
            <w:vAlign w:val="center"/>
          </w:tcPr>
          <w:p>
            <w:pPr>
              <w:pStyle w:val="243"/>
              <w:spacing w:before="59" w:line="219" w:lineRule="auto"/>
              <w:jc w:val="center"/>
            </w:pPr>
            <w:r>
              <w:rPr>
                <w:spacing w:val="-3"/>
                <w14:textOutline w14:w="3263" w14:cap="sq" w14:cmpd="sng" w14:algn="ctr">
                  <w14:solidFill>
                    <w14:srgbClr w14:val="000000"/>
                  </w14:solidFill>
                  <w14:prstDash w14:val="solid"/>
                  <w14:bevel/>
                </w14:textOutline>
              </w:rPr>
              <w:t>管路系统</w:t>
            </w:r>
          </w:p>
        </w:tc>
        <w:tc>
          <w:tcPr>
            <w:tcW w:w="1289" w:type="dxa"/>
            <w:gridSpan w:val="2"/>
            <w:vMerge w:val="restart"/>
            <w:tcBorders>
              <w:bottom w:val="nil"/>
            </w:tcBorders>
            <w:vAlign w:val="center"/>
          </w:tcPr>
          <w:p>
            <w:pPr>
              <w:pStyle w:val="243"/>
              <w:spacing w:before="151" w:line="219" w:lineRule="auto"/>
              <w:ind w:left="119"/>
              <w:rPr>
                <w:lang w:eastAsia="zh-CN"/>
              </w:rPr>
            </w:pPr>
            <w:r>
              <w:rPr>
                <w:rFonts w:hint="eastAsia" w:ascii="Times New Roman" w:hAnsi="Times New Roman" w:cs="Times New Roman"/>
                <w:spacing w:val="-3"/>
                <w:lang w:eastAsia="zh-CN"/>
              </w:rPr>
              <w:t>□</w:t>
            </w:r>
            <w:r>
              <w:rPr>
                <w:spacing w:val="-3"/>
                <w:lang w:eastAsia="zh-CN"/>
              </w:rPr>
              <w:t>完全分离</w:t>
            </w:r>
          </w:p>
          <w:p>
            <w:pPr>
              <w:pStyle w:val="243"/>
              <w:spacing w:before="254" w:line="220" w:lineRule="auto"/>
              <w:ind w:left="119"/>
              <w:rPr>
                <w:lang w:eastAsia="zh-CN"/>
              </w:rPr>
            </w:pPr>
            <w:r>
              <w:rPr>
                <w:rFonts w:hint="eastAsia" w:ascii="Times New Roman" w:hAnsi="Times New Roman" w:cs="Times New Roman"/>
                <w:spacing w:val="-8"/>
                <w:lang w:eastAsia="zh-CN"/>
              </w:rPr>
              <w:t>□</w:t>
            </w:r>
            <w:r>
              <w:rPr>
                <w:rFonts w:ascii="Times New Roman" w:hAnsi="Times New Roman" w:eastAsia="Times New Roman" w:cs="Times New Roman"/>
                <w:spacing w:val="-20"/>
                <w:lang w:eastAsia="zh-CN"/>
              </w:rPr>
              <w:t xml:space="preserve"> </w:t>
            </w:r>
            <w:r>
              <w:rPr>
                <w:spacing w:val="-8"/>
                <w:lang w:eastAsia="zh-CN"/>
              </w:rPr>
              <w:t>中间分隔</w:t>
            </w:r>
          </w:p>
        </w:tc>
        <w:tc>
          <w:tcPr>
            <w:tcW w:w="4360" w:type="dxa"/>
            <w:gridSpan w:val="4"/>
            <w:vMerge w:val="restart"/>
            <w:tcBorders>
              <w:bottom w:val="nil"/>
            </w:tcBorders>
            <w:vAlign w:val="center"/>
          </w:tcPr>
          <w:p>
            <w:pPr>
              <w:pStyle w:val="243"/>
              <w:spacing w:before="58" w:line="210" w:lineRule="auto"/>
              <w:jc w:val="center"/>
              <w:rPr>
                <w:rFonts w:ascii="Times New Roman" w:hAnsi="Times New Roman" w:eastAsia="Times New Roman" w:cs="Times New Roman"/>
              </w:rPr>
            </w:pPr>
            <w:r>
              <w:rPr>
                <w:spacing w:val="-1"/>
                <w14:textOutline w14:w="3263" w14:cap="sq" w14:cmpd="sng" w14:algn="ctr">
                  <w14:solidFill>
                    <w14:srgbClr w14:val="000000"/>
                  </w14:solidFill>
                  <w14:prstDash w14:val="solid"/>
                  <w14:bevel/>
                </w14:textOutline>
              </w:rPr>
              <w:t>二次加压供水层数</w:t>
            </w:r>
            <w:r>
              <w:rPr>
                <w:rFonts w:ascii="Times New Roman" w:hAnsi="Times New Roman" w:eastAsia="Times New Roman" w:cs="Times New Roman"/>
                <w:b/>
                <w:bCs/>
                <w:spacing w:val="-1"/>
              </w:rPr>
              <w:t>(</w:t>
            </w:r>
            <w:r>
              <w:rPr>
                <w:spacing w:val="-1"/>
                <w14:textOutline w14:w="3263" w14:cap="sq" w14:cmpd="sng" w14:algn="ctr">
                  <w14:solidFill>
                    <w14:srgbClr w14:val="000000"/>
                  </w14:solidFill>
                  <w14:prstDash w14:val="solid"/>
                  <w14:bevel/>
                </w14:textOutline>
              </w:rPr>
              <w:t>层</w:t>
            </w:r>
            <w:r>
              <w:rPr>
                <w:rFonts w:ascii="Times New Roman" w:hAnsi="Times New Roman" w:eastAsia="Times New Roman" w:cs="Times New Roman"/>
                <w:b/>
                <w:bCs/>
                <w:spacing w:val="-1"/>
              </w:rPr>
              <w:t>)</w:t>
            </w:r>
          </w:p>
        </w:tc>
        <w:tc>
          <w:tcPr>
            <w:tcW w:w="3109" w:type="dxa"/>
            <w:gridSpan w:val="4"/>
            <w:vMerge w:val="restart"/>
            <w:tcBorders>
              <w:bottom w:val="nil"/>
            </w:tcBorders>
          </w:tcPr>
          <w:p>
            <w:pPr>
              <w:pStyle w:val="243"/>
              <w:spacing w:before="151" w:line="219" w:lineRule="auto"/>
              <w:ind w:left="116"/>
            </w:pPr>
            <w:r>
              <w:rPr>
                <w:spacing w:val="-3"/>
              </w:rPr>
              <w:t>从层至层</w:t>
            </w:r>
          </w:p>
          <w:p>
            <w:pPr>
              <w:pStyle w:val="243"/>
              <w:spacing w:before="254" w:line="219" w:lineRule="auto"/>
              <w:ind w:left="116"/>
            </w:pPr>
            <w:r>
              <w:rPr>
                <w:spacing w:val="-2"/>
              </w:rPr>
              <w:t>无层，共层</w:t>
            </w:r>
          </w:p>
        </w:tc>
        <w:tc>
          <w:tcPr>
            <w:tcW w:w="1420" w:type="dxa"/>
            <w:gridSpan w:val="2"/>
            <w:vMerge w:val="continue"/>
            <w:tcBorders>
              <w:top w:val="nil"/>
              <w:bottom w:val="nil"/>
            </w:tcBorders>
          </w:tcPr>
          <w:p>
            <w:pPr>
              <w:rPr>
                <w:rFonts w:ascii="Arial"/>
              </w:rPr>
            </w:pPr>
          </w:p>
        </w:tc>
        <w:tc>
          <w:tcPr>
            <w:tcW w:w="1115" w:type="dxa"/>
            <w:vMerge w:val="restart"/>
            <w:tcBorders>
              <w:bottom w:val="nil"/>
            </w:tcBorders>
            <w:vAlign w:val="center"/>
          </w:tcPr>
          <w:p>
            <w:pPr>
              <w:pStyle w:val="243"/>
              <w:spacing w:before="59" w:line="219" w:lineRule="auto"/>
              <w:jc w:val="center"/>
            </w:pPr>
            <w:r>
              <w:rPr>
                <w:rFonts w:hint="eastAsia" w:ascii="Times New Roman" w:hAnsi="Times New Roman" w:cs="Times New Roman"/>
                <w:spacing w:val="-3"/>
                <w:lang w:eastAsia="zh-CN"/>
              </w:rPr>
              <w:t>□</w:t>
            </w:r>
            <w:r>
              <w:rPr>
                <w:spacing w:val="-3"/>
              </w:rPr>
              <w:t>多层</w:t>
            </w:r>
            <w:r>
              <w:rPr>
                <w:rFonts w:ascii="Times New Roman" w:hAnsi="Times New Roman" w:eastAsia="Times New Roman" w:cs="Times New Roman"/>
                <w:spacing w:val="-3"/>
              </w:rPr>
              <w:t>+</w:t>
            </w:r>
            <w:r>
              <w:rPr>
                <w:spacing w:val="-3"/>
              </w:rPr>
              <w:t>高层</w:t>
            </w:r>
          </w:p>
        </w:tc>
        <w:tc>
          <w:tcPr>
            <w:tcW w:w="2272" w:type="dxa"/>
            <w:gridSpan w:val="4"/>
            <w:vMerge w:val="restart"/>
            <w:tcBorders>
              <w:bottom w:val="nil"/>
            </w:tcBorders>
            <w:vAlign w:val="center"/>
          </w:tcPr>
          <w:p>
            <w:pPr>
              <w:pStyle w:val="243"/>
              <w:spacing w:before="58" w:line="210" w:lineRule="auto"/>
              <w:ind w:left="117"/>
              <w:jc w:val="center"/>
              <w:rPr>
                <w:rFonts w:ascii="Times New Roman" w:hAnsi="Times New Roman" w:eastAsia="Times New Roman" w:cs="Times New Roman"/>
              </w:rPr>
            </w:pPr>
            <w:r>
              <w:rPr>
                <w:spacing w:val="-1"/>
                <w14:textOutline w14:w="3263" w14:cap="sq" w14:cmpd="sng" w14:algn="ctr">
                  <w14:solidFill>
                    <w14:srgbClr w14:val="000000"/>
                  </w14:solidFill>
                  <w14:prstDash w14:val="solid"/>
                  <w14:bevel/>
                </w14:textOutline>
              </w:rPr>
              <w:t>月最大用电量</w:t>
            </w:r>
            <w:r>
              <w:rPr>
                <w:rFonts w:ascii="Times New Roman" w:hAnsi="Times New Roman" w:eastAsia="Times New Roman" w:cs="Times New Roman"/>
                <w:b/>
                <w:bCs/>
                <w:spacing w:val="-1"/>
              </w:rPr>
              <w:t>(KWh)</w:t>
            </w:r>
          </w:p>
        </w:tc>
        <w:tc>
          <w:tcPr>
            <w:tcW w:w="1193" w:type="dxa"/>
            <w:vMerge w:val="restart"/>
            <w:tcBorders>
              <w:bottom w:val="nil"/>
            </w:tcBorders>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8" w:hRule="atLeast"/>
        </w:trPr>
        <w:tc>
          <w:tcPr>
            <w:tcW w:w="397" w:type="dxa"/>
            <w:vMerge w:val="continue"/>
            <w:tcBorders>
              <w:top w:val="nil"/>
              <w:bottom w:val="nil"/>
            </w:tcBorders>
            <w:textDirection w:val="tbRlV"/>
            <w:vAlign w:val="bottom"/>
          </w:tcPr>
          <w:p>
            <w:pPr>
              <w:rPr>
                <w:rFonts w:ascii="Arial"/>
              </w:rPr>
            </w:pPr>
          </w:p>
        </w:tc>
        <w:tc>
          <w:tcPr>
            <w:tcW w:w="1708" w:type="dxa"/>
            <w:gridSpan w:val="2"/>
            <w:vMerge w:val="continue"/>
            <w:tcBorders>
              <w:top w:val="nil"/>
              <w:bottom w:val="nil"/>
            </w:tcBorders>
          </w:tcPr>
          <w:p>
            <w:pPr>
              <w:rPr>
                <w:rFonts w:ascii="Arial"/>
              </w:rPr>
            </w:pPr>
          </w:p>
        </w:tc>
        <w:tc>
          <w:tcPr>
            <w:tcW w:w="1785" w:type="dxa"/>
            <w:gridSpan w:val="4"/>
            <w:vAlign w:val="center"/>
          </w:tcPr>
          <w:p>
            <w:pPr>
              <w:pStyle w:val="243"/>
              <w:spacing w:before="146" w:line="219" w:lineRule="auto"/>
            </w:pPr>
            <w:r>
              <w:rPr>
                <w:rFonts w:hint="eastAsia" w:ascii="Times New Roman" w:hAnsi="Times New Roman" w:cs="Times New Roman"/>
                <w:spacing w:val="-2"/>
                <w:lang w:eastAsia="zh-CN"/>
              </w:rPr>
              <w:t>□</w:t>
            </w:r>
            <w:r>
              <w:rPr>
                <w:spacing w:val="-2"/>
              </w:rPr>
              <w:t>市政直抽</w:t>
            </w:r>
            <w:r>
              <w:rPr>
                <w:rFonts w:ascii="Times New Roman" w:hAnsi="Times New Roman" w:eastAsia="Times New Roman" w:cs="Times New Roman"/>
                <w:spacing w:val="-2"/>
              </w:rPr>
              <w:t>+</w:t>
            </w:r>
            <w:r>
              <w:rPr>
                <w:spacing w:val="-2"/>
              </w:rPr>
              <w:t>高位水池</w:t>
            </w:r>
          </w:p>
        </w:tc>
        <w:tc>
          <w:tcPr>
            <w:tcW w:w="905" w:type="dxa"/>
            <w:vMerge w:val="continue"/>
            <w:tcBorders>
              <w:top w:val="nil"/>
              <w:bottom w:val="nil"/>
            </w:tcBorders>
            <w:vAlign w:val="center"/>
          </w:tcPr>
          <w:p>
            <w:pPr>
              <w:jc w:val="center"/>
              <w:rPr>
                <w:rFonts w:ascii="Arial"/>
              </w:rPr>
            </w:pPr>
          </w:p>
        </w:tc>
        <w:tc>
          <w:tcPr>
            <w:tcW w:w="1095" w:type="dxa"/>
            <w:gridSpan w:val="2"/>
            <w:vMerge w:val="continue"/>
            <w:tcBorders>
              <w:top w:val="nil"/>
            </w:tcBorders>
            <w:vAlign w:val="center"/>
          </w:tcPr>
          <w:p>
            <w:pPr>
              <w:jc w:val="center"/>
              <w:rPr>
                <w:rFonts w:ascii="Arial"/>
              </w:rPr>
            </w:pPr>
          </w:p>
        </w:tc>
        <w:tc>
          <w:tcPr>
            <w:tcW w:w="1289" w:type="dxa"/>
            <w:gridSpan w:val="2"/>
            <w:vMerge w:val="continue"/>
            <w:tcBorders>
              <w:top w:val="nil"/>
            </w:tcBorders>
            <w:vAlign w:val="center"/>
          </w:tcPr>
          <w:p>
            <w:pPr>
              <w:jc w:val="center"/>
              <w:rPr>
                <w:rFonts w:ascii="Arial"/>
              </w:rPr>
            </w:pPr>
          </w:p>
        </w:tc>
        <w:tc>
          <w:tcPr>
            <w:tcW w:w="4360" w:type="dxa"/>
            <w:gridSpan w:val="4"/>
            <w:vMerge w:val="continue"/>
            <w:tcBorders>
              <w:top w:val="nil"/>
            </w:tcBorders>
          </w:tcPr>
          <w:p>
            <w:pPr>
              <w:rPr>
                <w:rFonts w:ascii="Arial"/>
              </w:rPr>
            </w:pPr>
          </w:p>
        </w:tc>
        <w:tc>
          <w:tcPr>
            <w:tcW w:w="3109" w:type="dxa"/>
            <w:gridSpan w:val="4"/>
            <w:vMerge w:val="continue"/>
            <w:tcBorders>
              <w:top w:val="nil"/>
            </w:tcBorders>
          </w:tcPr>
          <w:p>
            <w:pPr>
              <w:rPr>
                <w:rFonts w:ascii="Arial"/>
              </w:rPr>
            </w:pPr>
          </w:p>
        </w:tc>
        <w:tc>
          <w:tcPr>
            <w:tcW w:w="1420" w:type="dxa"/>
            <w:gridSpan w:val="2"/>
            <w:vMerge w:val="continue"/>
            <w:tcBorders>
              <w:top w:val="nil"/>
            </w:tcBorders>
          </w:tcPr>
          <w:p>
            <w:pPr>
              <w:rPr>
                <w:rFonts w:ascii="Arial"/>
              </w:rPr>
            </w:pPr>
          </w:p>
        </w:tc>
        <w:tc>
          <w:tcPr>
            <w:tcW w:w="1115" w:type="dxa"/>
            <w:vMerge w:val="continue"/>
            <w:tcBorders>
              <w:top w:val="nil"/>
            </w:tcBorders>
          </w:tcPr>
          <w:p>
            <w:pPr>
              <w:rPr>
                <w:rFonts w:ascii="Arial"/>
              </w:rPr>
            </w:pPr>
          </w:p>
        </w:tc>
        <w:tc>
          <w:tcPr>
            <w:tcW w:w="2272" w:type="dxa"/>
            <w:gridSpan w:val="4"/>
            <w:vMerge w:val="continue"/>
            <w:tcBorders>
              <w:top w:val="nil"/>
            </w:tcBorders>
          </w:tcPr>
          <w:p>
            <w:pPr>
              <w:rPr>
                <w:rFonts w:ascii="Arial"/>
              </w:rPr>
            </w:pPr>
          </w:p>
        </w:tc>
        <w:tc>
          <w:tcPr>
            <w:tcW w:w="1193" w:type="dxa"/>
            <w:vMerge w:val="continue"/>
            <w:tcBorders>
              <w:top w:val="nil"/>
            </w:tcBorders>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2" w:hRule="atLeast"/>
        </w:trPr>
        <w:tc>
          <w:tcPr>
            <w:tcW w:w="397" w:type="dxa"/>
            <w:vMerge w:val="continue"/>
            <w:tcBorders>
              <w:top w:val="nil"/>
              <w:bottom w:val="nil"/>
            </w:tcBorders>
            <w:textDirection w:val="tbRlV"/>
            <w:vAlign w:val="bottom"/>
          </w:tcPr>
          <w:p>
            <w:pPr>
              <w:rPr>
                <w:rFonts w:ascii="Arial"/>
              </w:rPr>
            </w:pPr>
          </w:p>
        </w:tc>
        <w:tc>
          <w:tcPr>
            <w:tcW w:w="1708" w:type="dxa"/>
            <w:gridSpan w:val="2"/>
            <w:vMerge w:val="continue"/>
            <w:tcBorders>
              <w:top w:val="nil"/>
              <w:bottom w:val="nil"/>
            </w:tcBorders>
          </w:tcPr>
          <w:p>
            <w:pPr>
              <w:rPr>
                <w:rFonts w:ascii="Arial"/>
              </w:rPr>
            </w:pPr>
          </w:p>
        </w:tc>
        <w:tc>
          <w:tcPr>
            <w:tcW w:w="1785" w:type="dxa"/>
            <w:gridSpan w:val="4"/>
            <w:vAlign w:val="center"/>
          </w:tcPr>
          <w:p>
            <w:pPr>
              <w:pStyle w:val="243"/>
              <w:spacing w:before="59" w:line="219" w:lineRule="auto"/>
            </w:pPr>
            <w:r>
              <w:rPr>
                <w:rFonts w:hint="eastAsia" w:ascii="Times New Roman" w:hAnsi="Times New Roman" w:cs="Times New Roman"/>
                <w:spacing w:val="-3"/>
                <w:lang w:eastAsia="zh-CN"/>
              </w:rPr>
              <w:t>□</w:t>
            </w:r>
            <w:r>
              <w:rPr>
                <w:spacing w:val="-3"/>
              </w:rPr>
              <w:t>叠压供水</w:t>
            </w:r>
          </w:p>
        </w:tc>
        <w:tc>
          <w:tcPr>
            <w:tcW w:w="905" w:type="dxa"/>
            <w:vMerge w:val="continue"/>
            <w:tcBorders>
              <w:top w:val="nil"/>
              <w:bottom w:val="nil"/>
            </w:tcBorders>
            <w:vAlign w:val="center"/>
          </w:tcPr>
          <w:p>
            <w:pPr>
              <w:jc w:val="center"/>
              <w:rPr>
                <w:rFonts w:ascii="Arial"/>
              </w:rPr>
            </w:pPr>
          </w:p>
        </w:tc>
        <w:tc>
          <w:tcPr>
            <w:tcW w:w="1095" w:type="dxa"/>
            <w:gridSpan w:val="2"/>
            <w:vMerge w:val="restart"/>
            <w:tcBorders>
              <w:bottom w:val="nil"/>
            </w:tcBorders>
            <w:vAlign w:val="center"/>
          </w:tcPr>
          <w:p>
            <w:pPr>
              <w:pStyle w:val="243"/>
              <w:spacing w:before="58" w:line="212" w:lineRule="auto"/>
              <w:ind w:left="112"/>
              <w:jc w:val="center"/>
              <w:rPr>
                <w:rFonts w:ascii="Times New Roman" w:hAnsi="Times New Roman" w:eastAsia="Times New Roman" w:cs="Times New Roman"/>
              </w:rPr>
            </w:pPr>
            <w:r>
              <w:rPr>
                <w:spacing w:val="-2"/>
                <w14:textOutline w14:w="3263" w14:cap="sq" w14:cmpd="sng" w14:algn="ctr">
                  <w14:solidFill>
                    <w14:srgbClr w14:val="000000"/>
                  </w14:solidFill>
                  <w14:prstDash w14:val="solid"/>
                  <w14:bevel/>
                </w14:textOutline>
              </w:rPr>
              <w:t>泵房</w:t>
            </w:r>
            <w:r>
              <w:rPr>
                <w:rFonts w:ascii="Times New Roman" w:hAnsi="Times New Roman" w:eastAsia="Times New Roman" w:cs="Times New Roman"/>
                <w:b/>
                <w:bCs/>
                <w:spacing w:val="-2"/>
              </w:rPr>
              <w:t>(</w:t>
            </w:r>
            <w:r>
              <w:rPr>
                <w:spacing w:val="-2"/>
                <w14:textOutline w14:w="3263" w14:cap="sq" w14:cmpd="sng" w14:algn="ctr">
                  <w14:solidFill>
                    <w14:srgbClr w14:val="000000"/>
                  </w14:solidFill>
                  <w14:prstDash w14:val="solid"/>
                  <w14:bevel/>
                </w14:textOutline>
              </w:rPr>
              <w:t>间</w:t>
            </w:r>
            <w:r>
              <w:rPr>
                <w:rFonts w:ascii="Times New Roman" w:hAnsi="Times New Roman" w:eastAsia="Times New Roman" w:cs="Times New Roman"/>
                <w:b/>
                <w:bCs/>
                <w:spacing w:val="-2"/>
              </w:rPr>
              <w:t>)</w:t>
            </w:r>
          </w:p>
        </w:tc>
        <w:tc>
          <w:tcPr>
            <w:tcW w:w="1289" w:type="dxa"/>
            <w:gridSpan w:val="2"/>
            <w:vMerge w:val="restart"/>
            <w:tcBorders>
              <w:bottom w:val="nil"/>
            </w:tcBorders>
            <w:vAlign w:val="center"/>
          </w:tcPr>
          <w:p>
            <w:pPr>
              <w:pStyle w:val="243"/>
              <w:spacing w:before="59" w:line="219" w:lineRule="auto"/>
              <w:ind w:left="119"/>
              <w:rPr>
                <w:lang w:eastAsia="zh-CN"/>
              </w:rPr>
            </w:pPr>
            <w:r>
              <w:rPr>
                <w:rFonts w:hint="eastAsia" w:ascii="Times New Roman" w:hAnsi="Times New Roman" w:cs="Times New Roman"/>
                <w:spacing w:val="-3"/>
                <w:lang w:eastAsia="zh-CN"/>
              </w:rPr>
              <w:t>□</w:t>
            </w:r>
            <w:r>
              <w:rPr>
                <w:spacing w:val="-3"/>
                <w:lang w:eastAsia="zh-CN"/>
              </w:rPr>
              <w:t>完全分离</w:t>
            </w:r>
          </w:p>
          <w:p>
            <w:pPr>
              <w:pStyle w:val="243"/>
              <w:spacing w:before="254" w:line="220" w:lineRule="auto"/>
              <w:ind w:left="119"/>
              <w:rPr>
                <w:lang w:eastAsia="zh-CN"/>
              </w:rPr>
            </w:pPr>
            <w:r>
              <w:rPr>
                <w:rFonts w:hint="eastAsia" w:ascii="Times New Roman" w:hAnsi="Times New Roman" w:cs="Times New Roman"/>
                <w:spacing w:val="-8"/>
                <w:lang w:eastAsia="zh-CN"/>
              </w:rPr>
              <w:t>□</w:t>
            </w:r>
            <w:r>
              <w:rPr>
                <w:rFonts w:ascii="Times New Roman" w:hAnsi="Times New Roman" w:eastAsia="Times New Roman" w:cs="Times New Roman"/>
                <w:spacing w:val="-20"/>
                <w:lang w:eastAsia="zh-CN"/>
              </w:rPr>
              <w:t xml:space="preserve"> </w:t>
            </w:r>
            <w:r>
              <w:rPr>
                <w:spacing w:val="-8"/>
                <w:lang w:eastAsia="zh-CN"/>
              </w:rPr>
              <w:t>中间分隔</w:t>
            </w:r>
          </w:p>
        </w:tc>
        <w:tc>
          <w:tcPr>
            <w:tcW w:w="1462" w:type="dxa"/>
            <w:vMerge w:val="restart"/>
            <w:tcBorders>
              <w:bottom w:val="nil"/>
            </w:tcBorders>
            <w:vAlign w:val="center"/>
          </w:tcPr>
          <w:p>
            <w:pPr>
              <w:pStyle w:val="243"/>
              <w:spacing w:before="59" w:line="219" w:lineRule="auto"/>
              <w:jc w:val="center"/>
            </w:pPr>
            <w:r>
              <w:rPr>
                <w:spacing w:val="-2"/>
                <w14:textOutline w14:w="3263" w14:cap="sq" w14:cmpd="sng" w14:algn="ctr">
                  <w14:solidFill>
                    <w14:srgbClr w14:val="000000"/>
                  </w14:solidFill>
                  <w14:prstDash w14:val="solid"/>
                  <w14:bevel/>
                </w14:textOutline>
              </w:rPr>
              <w:t>供水户数</w:t>
            </w:r>
          </w:p>
        </w:tc>
        <w:tc>
          <w:tcPr>
            <w:tcW w:w="1610" w:type="dxa"/>
            <w:gridSpan w:val="2"/>
            <w:vAlign w:val="center"/>
          </w:tcPr>
          <w:p>
            <w:pPr>
              <w:pStyle w:val="243"/>
              <w:spacing w:before="59" w:line="210" w:lineRule="auto"/>
              <w:jc w:val="center"/>
              <w:rPr>
                <w:rFonts w:ascii="Times New Roman" w:hAnsi="Times New Roman" w:eastAsia="Times New Roman" w:cs="Times New Roman"/>
              </w:rPr>
            </w:pPr>
            <w:r>
              <w:rPr>
                <w:spacing w:val="-2"/>
              </w:rPr>
              <w:t>栋</w:t>
            </w:r>
            <w:r>
              <w:rPr>
                <w:rFonts w:ascii="Times New Roman" w:hAnsi="Times New Roman" w:eastAsia="Times New Roman" w:cs="Times New Roman"/>
                <w:spacing w:val="-2"/>
              </w:rPr>
              <w:t>(</w:t>
            </w:r>
            <w:r>
              <w:rPr>
                <w:spacing w:val="-2"/>
              </w:rPr>
              <w:t>阁</w:t>
            </w:r>
            <w:r>
              <w:rPr>
                <w:rFonts w:ascii="Times New Roman" w:hAnsi="Times New Roman" w:eastAsia="Times New Roman" w:cs="Times New Roman"/>
                <w:spacing w:val="-2"/>
              </w:rPr>
              <w:t>)</w:t>
            </w:r>
          </w:p>
        </w:tc>
        <w:tc>
          <w:tcPr>
            <w:tcW w:w="1288" w:type="dxa"/>
            <w:vAlign w:val="center"/>
          </w:tcPr>
          <w:p>
            <w:pPr>
              <w:pStyle w:val="243"/>
              <w:spacing w:before="59" w:line="210" w:lineRule="auto"/>
              <w:jc w:val="center"/>
              <w:rPr>
                <w:rFonts w:ascii="Times New Roman" w:hAnsi="Times New Roman" w:eastAsia="Times New Roman" w:cs="Times New Roman"/>
              </w:rPr>
            </w:pPr>
            <w:r>
              <w:rPr>
                <w:spacing w:val="-3"/>
              </w:rPr>
              <w:t>栋</w:t>
            </w:r>
            <w:r>
              <w:rPr>
                <w:rFonts w:ascii="Times New Roman" w:hAnsi="Times New Roman" w:eastAsia="Times New Roman" w:cs="Times New Roman"/>
                <w:spacing w:val="-3"/>
              </w:rPr>
              <w:t>(</w:t>
            </w:r>
            <w:r>
              <w:rPr>
                <w:spacing w:val="-3"/>
              </w:rPr>
              <w:t>阁</w:t>
            </w:r>
            <w:r>
              <w:rPr>
                <w:rFonts w:ascii="Times New Roman" w:hAnsi="Times New Roman" w:eastAsia="Times New Roman" w:cs="Times New Roman"/>
                <w:spacing w:val="-3"/>
              </w:rPr>
              <w:t>)</w:t>
            </w:r>
          </w:p>
        </w:tc>
        <w:tc>
          <w:tcPr>
            <w:tcW w:w="1123" w:type="dxa"/>
            <w:vAlign w:val="center"/>
          </w:tcPr>
          <w:p>
            <w:pPr>
              <w:pStyle w:val="243"/>
              <w:spacing w:before="59" w:line="210" w:lineRule="auto"/>
              <w:jc w:val="center"/>
              <w:rPr>
                <w:rFonts w:ascii="Times New Roman" w:hAnsi="Times New Roman" w:eastAsia="Times New Roman" w:cs="Times New Roman"/>
              </w:rPr>
            </w:pPr>
            <w:r>
              <w:rPr>
                <w:spacing w:val="-3"/>
              </w:rPr>
              <w:t>栋</w:t>
            </w:r>
            <w:r>
              <w:rPr>
                <w:rFonts w:ascii="Times New Roman" w:hAnsi="Times New Roman" w:eastAsia="Times New Roman" w:cs="Times New Roman"/>
                <w:spacing w:val="-3"/>
              </w:rPr>
              <w:t>(</w:t>
            </w:r>
            <w:r>
              <w:rPr>
                <w:spacing w:val="-3"/>
              </w:rPr>
              <w:t>阁</w:t>
            </w:r>
            <w:r>
              <w:rPr>
                <w:rFonts w:ascii="Times New Roman" w:hAnsi="Times New Roman" w:eastAsia="Times New Roman" w:cs="Times New Roman"/>
                <w:spacing w:val="-3"/>
              </w:rPr>
              <w:t>)</w:t>
            </w:r>
          </w:p>
        </w:tc>
        <w:tc>
          <w:tcPr>
            <w:tcW w:w="1986" w:type="dxa"/>
            <w:gridSpan w:val="3"/>
            <w:vMerge w:val="restart"/>
            <w:tcBorders>
              <w:bottom w:val="nil"/>
            </w:tcBorders>
          </w:tcPr>
          <w:p>
            <w:pPr>
              <w:rPr>
                <w:rFonts w:ascii="Arial"/>
              </w:rPr>
            </w:pPr>
          </w:p>
        </w:tc>
        <w:tc>
          <w:tcPr>
            <w:tcW w:w="1420" w:type="dxa"/>
            <w:gridSpan w:val="2"/>
            <w:vAlign w:val="center"/>
          </w:tcPr>
          <w:p>
            <w:pPr>
              <w:pStyle w:val="243"/>
              <w:spacing w:before="58" w:line="219" w:lineRule="auto"/>
              <w:jc w:val="center"/>
              <w:rPr>
                <w:spacing w:val="-2"/>
                <w:lang w:eastAsia="zh-CN"/>
                <w14:textOutline w14:w="3263" w14:cap="sq" w14:cmpd="sng" w14:algn="ctr">
                  <w14:solidFill>
                    <w14:srgbClr w14:val="000000"/>
                  </w14:solidFill>
                  <w14:prstDash w14:val="solid"/>
                  <w14:bevel/>
                </w14:textOutline>
              </w:rPr>
            </w:pPr>
            <w:r>
              <w:rPr>
                <w:rFonts w:hint="eastAsia"/>
                <w:spacing w:val="-2"/>
                <w:lang w:eastAsia="zh-CN"/>
                <w14:textOutline w14:w="3263" w14:cap="sq" w14:cmpd="sng" w14:algn="ctr">
                  <w14:solidFill>
                    <w14:srgbClr w14:val="000000"/>
                  </w14:solidFill>
                  <w14:prstDash w14:val="solid"/>
                  <w14:bevel/>
                </w14:textOutline>
              </w:rPr>
              <w:t>供水性质分类</w:t>
            </w:r>
          </w:p>
        </w:tc>
        <w:tc>
          <w:tcPr>
            <w:tcW w:w="1115" w:type="dxa"/>
            <w:vAlign w:val="center"/>
          </w:tcPr>
          <w:p>
            <w:pPr>
              <w:pStyle w:val="243"/>
              <w:spacing w:before="58" w:line="220" w:lineRule="auto"/>
              <w:jc w:val="center"/>
            </w:pPr>
            <w:r>
              <w:rPr>
                <w:rFonts w:hint="eastAsia" w:ascii="Times New Roman" w:hAnsi="Times New Roman" w:cs="Times New Roman"/>
                <w:spacing w:val="-3"/>
                <w:lang w:eastAsia="zh-CN"/>
              </w:rPr>
              <w:t>□</w:t>
            </w:r>
            <w:r>
              <w:rPr>
                <w:spacing w:val="-3"/>
              </w:rPr>
              <w:t>商住结合</w:t>
            </w:r>
          </w:p>
        </w:tc>
        <w:tc>
          <w:tcPr>
            <w:tcW w:w="1260" w:type="dxa"/>
            <w:gridSpan w:val="2"/>
            <w:vAlign w:val="center"/>
          </w:tcPr>
          <w:p>
            <w:pPr>
              <w:pStyle w:val="243"/>
              <w:spacing w:before="59" w:line="221" w:lineRule="auto"/>
              <w:jc w:val="center"/>
            </w:pPr>
            <w:r>
              <w:rPr>
                <w:rFonts w:hint="eastAsia" w:ascii="Times New Roman" w:hAnsi="Times New Roman" w:cs="Times New Roman"/>
                <w:spacing w:val="-4"/>
                <w:lang w:eastAsia="zh-CN"/>
              </w:rPr>
              <w:t>□</w:t>
            </w:r>
            <w:r>
              <w:rPr>
                <w:spacing w:val="-4"/>
              </w:rPr>
              <w:t>住宅</w:t>
            </w:r>
          </w:p>
        </w:tc>
        <w:tc>
          <w:tcPr>
            <w:tcW w:w="1012" w:type="dxa"/>
            <w:gridSpan w:val="2"/>
            <w:vAlign w:val="center"/>
          </w:tcPr>
          <w:p>
            <w:pPr>
              <w:pStyle w:val="243"/>
              <w:spacing w:before="58" w:line="220" w:lineRule="auto"/>
              <w:ind w:left="119"/>
              <w:jc w:val="center"/>
            </w:pPr>
            <w:r>
              <w:rPr>
                <w:rFonts w:hint="eastAsia" w:ascii="Times New Roman" w:hAnsi="Times New Roman" w:cs="Times New Roman"/>
                <w:spacing w:val="-5"/>
                <w:lang w:eastAsia="zh-CN"/>
              </w:rPr>
              <w:t>□</w:t>
            </w:r>
            <w:r>
              <w:rPr>
                <w:spacing w:val="-5"/>
              </w:rPr>
              <w:t>商业</w:t>
            </w:r>
          </w:p>
        </w:tc>
        <w:tc>
          <w:tcPr>
            <w:tcW w:w="1193" w:type="dxa"/>
            <w:vAlign w:val="center"/>
          </w:tcPr>
          <w:p>
            <w:pPr>
              <w:pStyle w:val="243"/>
              <w:spacing w:before="59" w:line="219" w:lineRule="auto"/>
              <w:jc w:val="center"/>
            </w:pPr>
            <w:r>
              <w:rPr>
                <w:rFonts w:hint="eastAsia" w:ascii="Times New Roman" w:hAnsi="Times New Roman" w:cs="Times New Roman"/>
                <w:spacing w:val="-4"/>
                <w:lang w:eastAsia="zh-CN"/>
              </w:rPr>
              <w:t>□</w:t>
            </w:r>
            <w:r>
              <w:rPr>
                <w:spacing w:val="-4"/>
              </w:rPr>
              <w:t>城中村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1" w:hRule="atLeast"/>
        </w:trPr>
        <w:tc>
          <w:tcPr>
            <w:tcW w:w="397" w:type="dxa"/>
            <w:vMerge w:val="continue"/>
            <w:tcBorders>
              <w:top w:val="nil"/>
              <w:bottom w:val="nil"/>
            </w:tcBorders>
            <w:textDirection w:val="tbRlV"/>
            <w:vAlign w:val="bottom"/>
          </w:tcPr>
          <w:p>
            <w:pPr>
              <w:rPr>
                <w:rFonts w:ascii="Arial"/>
              </w:rPr>
            </w:pPr>
          </w:p>
        </w:tc>
        <w:tc>
          <w:tcPr>
            <w:tcW w:w="1708" w:type="dxa"/>
            <w:gridSpan w:val="2"/>
            <w:vMerge w:val="continue"/>
            <w:tcBorders>
              <w:top w:val="nil"/>
            </w:tcBorders>
          </w:tcPr>
          <w:p>
            <w:pPr>
              <w:rPr>
                <w:rFonts w:ascii="Arial"/>
              </w:rPr>
            </w:pPr>
          </w:p>
        </w:tc>
        <w:tc>
          <w:tcPr>
            <w:tcW w:w="1785" w:type="dxa"/>
            <w:gridSpan w:val="4"/>
            <w:vAlign w:val="center"/>
          </w:tcPr>
          <w:p>
            <w:pPr>
              <w:pStyle w:val="243"/>
              <w:spacing w:before="59" w:line="220" w:lineRule="auto"/>
            </w:pPr>
            <w:r>
              <w:rPr>
                <w:rFonts w:hint="eastAsia" w:ascii="Times New Roman" w:hAnsi="Times New Roman" w:cs="Times New Roman"/>
                <w:spacing w:val="-5"/>
                <w:lang w:eastAsia="zh-CN"/>
              </w:rPr>
              <w:t>□</w:t>
            </w:r>
            <w:r>
              <w:rPr>
                <w:spacing w:val="-5"/>
              </w:rPr>
              <w:t>其他</w:t>
            </w:r>
          </w:p>
        </w:tc>
        <w:tc>
          <w:tcPr>
            <w:tcW w:w="905" w:type="dxa"/>
            <w:vMerge w:val="continue"/>
            <w:tcBorders>
              <w:top w:val="nil"/>
            </w:tcBorders>
          </w:tcPr>
          <w:p>
            <w:pPr>
              <w:rPr>
                <w:rFonts w:ascii="Arial"/>
              </w:rPr>
            </w:pPr>
          </w:p>
        </w:tc>
        <w:tc>
          <w:tcPr>
            <w:tcW w:w="1095" w:type="dxa"/>
            <w:gridSpan w:val="2"/>
            <w:vMerge w:val="continue"/>
            <w:tcBorders>
              <w:top w:val="nil"/>
            </w:tcBorders>
          </w:tcPr>
          <w:p>
            <w:pPr>
              <w:rPr>
                <w:rFonts w:ascii="Arial"/>
              </w:rPr>
            </w:pPr>
          </w:p>
        </w:tc>
        <w:tc>
          <w:tcPr>
            <w:tcW w:w="1289" w:type="dxa"/>
            <w:gridSpan w:val="2"/>
            <w:vMerge w:val="continue"/>
            <w:tcBorders>
              <w:top w:val="nil"/>
            </w:tcBorders>
          </w:tcPr>
          <w:p>
            <w:pPr>
              <w:rPr>
                <w:rFonts w:ascii="Arial"/>
              </w:rPr>
            </w:pPr>
          </w:p>
        </w:tc>
        <w:tc>
          <w:tcPr>
            <w:tcW w:w="1462" w:type="dxa"/>
            <w:vMerge w:val="continue"/>
            <w:tcBorders>
              <w:top w:val="nil"/>
            </w:tcBorders>
          </w:tcPr>
          <w:p>
            <w:pPr>
              <w:rPr>
                <w:rFonts w:ascii="Arial"/>
              </w:rPr>
            </w:pPr>
          </w:p>
        </w:tc>
        <w:tc>
          <w:tcPr>
            <w:tcW w:w="1610" w:type="dxa"/>
            <w:gridSpan w:val="2"/>
            <w:vAlign w:val="center"/>
          </w:tcPr>
          <w:p>
            <w:pPr>
              <w:pStyle w:val="243"/>
              <w:spacing w:before="58" w:line="219" w:lineRule="auto"/>
              <w:jc w:val="center"/>
            </w:pPr>
            <w:r>
              <w:rPr>
                <w:spacing w:val="-4"/>
              </w:rPr>
              <w:t>层户</w:t>
            </w:r>
          </w:p>
        </w:tc>
        <w:tc>
          <w:tcPr>
            <w:tcW w:w="1288" w:type="dxa"/>
            <w:vAlign w:val="center"/>
          </w:tcPr>
          <w:p>
            <w:pPr>
              <w:pStyle w:val="243"/>
              <w:spacing w:before="58" w:line="219" w:lineRule="auto"/>
              <w:jc w:val="center"/>
            </w:pPr>
            <w:r>
              <w:rPr>
                <w:spacing w:val="-4"/>
              </w:rPr>
              <w:t>层户</w:t>
            </w:r>
          </w:p>
        </w:tc>
        <w:tc>
          <w:tcPr>
            <w:tcW w:w="1123" w:type="dxa"/>
            <w:vAlign w:val="center"/>
          </w:tcPr>
          <w:p>
            <w:pPr>
              <w:pStyle w:val="243"/>
              <w:spacing w:before="58" w:line="219" w:lineRule="auto"/>
              <w:jc w:val="center"/>
            </w:pPr>
            <w:r>
              <w:rPr>
                <w:spacing w:val="-4"/>
              </w:rPr>
              <w:t>层户</w:t>
            </w:r>
          </w:p>
        </w:tc>
        <w:tc>
          <w:tcPr>
            <w:tcW w:w="1986" w:type="dxa"/>
            <w:gridSpan w:val="3"/>
            <w:vMerge w:val="continue"/>
            <w:tcBorders>
              <w:top w:val="nil"/>
            </w:tcBorders>
          </w:tcPr>
          <w:p>
            <w:pPr>
              <w:rPr>
                <w:rFonts w:ascii="Arial"/>
              </w:rPr>
            </w:pPr>
          </w:p>
        </w:tc>
        <w:tc>
          <w:tcPr>
            <w:tcW w:w="1420" w:type="dxa"/>
            <w:gridSpan w:val="2"/>
            <w:vAlign w:val="center"/>
          </w:tcPr>
          <w:p>
            <w:pPr>
              <w:pStyle w:val="243"/>
              <w:spacing w:before="58" w:line="219" w:lineRule="auto"/>
              <w:jc w:val="center"/>
              <w:rPr>
                <w:spacing w:val="-2"/>
                <w:lang w:eastAsia="zh-CN"/>
                <w14:textOutline w14:w="3263" w14:cap="sq" w14:cmpd="sng" w14:algn="ctr">
                  <w14:solidFill>
                    <w14:srgbClr w14:val="000000"/>
                  </w14:solidFill>
                  <w14:prstDash w14:val="solid"/>
                  <w14:bevel/>
                </w14:textOutline>
              </w:rPr>
            </w:pPr>
            <w:r>
              <w:rPr>
                <w:rFonts w:hint="eastAsia"/>
                <w:spacing w:val="-2"/>
                <w:lang w:eastAsia="zh-CN"/>
                <w14:textOutline w14:w="3263" w14:cap="sq" w14:cmpd="sng" w14:algn="ctr">
                  <w14:solidFill>
                    <w14:srgbClr w14:val="000000"/>
                  </w14:solidFill>
                  <w14:prstDash w14:val="solid"/>
                  <w14:bevel/>
                </w14:textOutline>
              </w:rPr>
              <w:t>泵房内有无计量</w:t>
            </w:r>
          </w:p>
        </w:tc>
        <w:tc>
          <w:tcPr>
            <w:tcW w:w="1115" w:type="dxa"/>
            <w:vAlign w:val="center"/>
          </w:tcPr>
          <w:p>
            <w:pPr>
              <w:pStyle w:val="243"/>
              <w:spacing w:before="59" w:line="220" w:lineRule="auto"/>
              <w:jc w:val="center"/>
            </w:pPr>
            <w:r>
              <w:rPr>
                <w:rFonts w:hint="eastAsia" w:ascii="Times New Roman" w:hAnsi="Times New Roman" w:cs="Times New Roman"/>
                <w:spacing w:val="-4"/>
                <w:lang w:eastAsia="zh-CN"/>
              </w:rPr>
              <w:t>□</w:t>
            </w:r>
            <w:r>
              <w:rPr>
                <w:spacing w:val="-4"/>
              </w:rPr>
              <w:t>有</w:t>
            </w:r>
            <w:r>
              <w:rPr>
                <w:rFonts w:hint="eastAsia" w:ascii="Times New Roman" w:hAnsi="Times New Roman" w:cs="Times New Roman"/>
                <w:spacing w:val="-4"/>
                <w:lang w:eastAsia="zh-CN"/>
              </w:rPr>
              <w:t>□</w:t>
            </w:r>
            <w:r>
              <w:rPr>
                <w:spacing w:val="-4"/>
              </w:rPr>
              <w:t>无</w:t>
            </w:r>
          </w:p>
        </w:tc>
        <w:tc>
          <w:tcPr>
            <w:tcW w:w="2272" w:type="dxa"/>
            <w:gridSpan w:val="4"/>
            <w:vMerge w:val="restart"/>
            <w:tcBorders>
              <w:bottom w:val="nil"/>
            </w:tcBorders>
            <w:vAlign w:val="center"/>
          </w:tcPr>
          <w:p>
            <w:pPr>
              <w:pStyle w:val="243"/>
              <w:spacing w:before="58" w:line="219" w:lineRule="auto"/>
              <w:ind w:left="112"/>
              <w:jc w:val="center"/>
            </w:pPr>
            <w:r>
              <w:rPr>
                <w:spacing w:val="-1"/>
                <w14:textOutline w14:w="3263" w14:cap="sq" w14:cmpd="sng" w14:algn="ctr">
                  <w14:solidFill>
                    <w14:srgbClr w14:val="000000"/>
                  </w14:solidFill>
                  <w14:prstDash w14:val="solid"/>
                  <w14:bevel/>
                </w14:textOutline>
              </w:rPr>
              <w:t>环境保持系统</w:t>
            </w:r>
          </w:p>
        </w:tc>
        <w:tc>
          <w:tcPr>
            <w:tcW w:w="1193" w:type="dxa"/>
            <w:vAlign w:val="center"/>
          </w:tcPr>
          <w:p>
            <w:pPr>
              <w:pStyle w:val="243"/>
              <w:spacing w:before="59" w:line="220" w:lineRule="auto"/>
            </w:pPr>
            <w:r>
              <w:rPr>
                <w:rFonts w:hint="eastAsia" w:ascii="Times New Roman" w:hAnsi="Times New Roman" w:cs="Times New Roman"/>
                <w:spacing w:val="-7"/>
                <w:lang w:eastAsia="zh-CN"/>
              </w:rPr>
              <w:t>□</w:t>
            </w:r>
            <w:r>
              <w:rPr>
                <w:spacing w:val="-7"/>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7" w:hRule="atLeast"/>
        </w:trPr>
        <w:tc>
          <w:tcPr>
            <w:tcW w:w="397" w:type="dxa"/>
            <w:vMerge w:val="continue"/>
            <w:tcBorders>
              <w:top w:val="nil"/>
              <w:bottom w:val="nil"/>
            </w:tcBorders>
            <w:textDirection w:val="tbRlV"/>
            <w:vAlign w:val="bottom"/>
          </w:tcPr>
          <w:p>
            <w:pPr>
              <w:rPr>
                <w:rFonts w:ascii="Arial"/>
              </w:rPr>
            </w:pPr>
          </w:p>
        </w:tc>
        <w:tc>
          <w:tcPr>
            <w:tcW w:w="2699" w:type="dxa"/>
            <w:gridSpan w:val="5"/>
          </w:tcPr>
          <w:p>
            <w:pPr>
              <w:pStyle w:val="243"/>
              <w:spacing w:before="149" w:line="219" w:lineRule="auto"/>
              <w:ind w:left="113"/>
            </w:pPr>
            <w:r>
              <w:rPr>
                <w:spacing w:val="-1"/>
                <w14:textOutline w14:w="3263" w14:cap="sq" w14:cmpd="sng" w14:algn="ctr">
                  <w14:solidFill>
                    <w14:srgbClr w14:val="000000"/>
                  </w14:solidFill>
                  <w14:prstDash w14:val="solid"/>
                  <w14:bevel/>
                </w14:textOutline>
              </w:rPr>
              <w:t>小区泵房前市政压力</w:t>
            </w:r>
          </w:p>
        </w:tc>
        <w:tc>
          <w:tcPr>
            <w:tcW w:w="1699" w:type="dxa"/>
            <w:gridSpan w:val="2"/>
          </w:tcPr>
          <w:p>
            <w:pPr>
              <w:rPr>
                <w:rFonts w:ascii="Arial"/>
              </w:rPr>
            </w:pPr>
          </w:p>
        </w:tc>
        <w:tc>
          <w:tcPr>
            <w:tcW w:w="1095" w:type="dxa"/>
            <w:gridSpan w:val="2"/>
            <w:vMerge w:val="restart"/>
            <w:tcBorders>
              <w:bottom w:val="nil"/>
            </w:tcBorders>
            <w:vAlign w:val="center"/>
          </w:tcPr>
          <w:p>
            <w:pPr>
              <w:pStyle w:val="243"/>
              <w:spacing w:before="59" w:line="468" w:lineRule="exact"/>
              <w:ind w:left="118"/>
              <w:jc w:val="center"/>
            </w:pPr>
            <w:r>
              <w:rPr>
                <w:spacing w:val="-3"/>
                <w:position w:val="22"/>
                <w14:textOutline w14:w="3263" w14:cap="sq" w14:cmpd="sng" w14:algn="ctr">
                  <w14:solidFill>
                    <w14:srgbClr w14:val="000000"/>
                  </w14:solidFill>
                  <w14:prstDash w14:val="solid"/>
                  <w14:bevel/>
                </w14:textOutline>
              </w:rPr>
              <w:t>管道是否</w:t>
            </w:r>
          </w:p>
          <w:p>
            <w:pPr>
              <w:pStyle w:val="243"/>
              <w:spacing w:line="220" w:lineRule="auto"/>
              <w:ind w:left="117"/>
              <w:jc w:val="center"/>
            </w:pPr>
            <w:r>
              <w:rPr>
                <w:spacing w:val="-3"/>
                <w14:textOutline w14:w="3263" w14:cap="sq" w14:cmpd="sng" w14:algn="ctr">
                  <w14:solidFill>
                    <w14:srgbClr w14:val="000000"/>
                  </w14:solidFill>
                  <w14:prstDash w14:val="solid"/>
                  <w14:bevel/>
                </w14:textOutline>
              </w:rPr>
              <w:t>安装止回</w:t>
            </w:r>
          </w:p>
          <w:p>
            <w:pPr>
              <w:pStyle w:val="243"/>
              <w:spacing w:before="253" w:line="221" w:lineRule="auto"/>
              <w:ind w:left="130"/>
              <w:jc w:val="center"/>
            </w:pPr>
            <w:r>
              <w:rPr>
                <w14:textOutline w14:w="3263" w14:cap="sq" w14:cmpd="sng" w14:algn="ctr">
                  <w14:solidFill>
                    <w14:srgbClr w14:val="000000"/>
                  </w14:solidFill>
                  <w14:prstDash w14:val="solid"/>
                  <w14:bevel/>
                </w14:textOutline>
              </w:rPr>
              <w:t>阀</w:t>
            </w:r>
          </w:p>
        </w:tc>
        <w:tc>
          <w:tcPr>
            <w:tcW w:w="1289" w:type="dxa"/>
            <w:gridSpan w:val="2"/>
          </w:tcPr>
          <w:p>
            <w:pPr>
              <w:pStyle w:val="243"/>
              <w:spacing w:before="149" w:line="219" w:lineRule="auto"/>
              <w:ind w:left="119"/>
            </w:pPr>
            <w:r>
              <w:rPr>
                <w:rFonts w:hint="eastAsia" w:ascii="Times New Roman" w:hAnsi="Times New Roman" w:cs="Times New Roman"/>
                <w:spacing w:val="-5"/>
                <w:lang w:eastAsia="zh-CN"/>
              </w:rPr>
              <w:t>□</w:t>
            </w:r>
            <w:r>
              <w:rPr>
                <w:spacing w:val="-5"/>
              </w:rPr>
              <w:t>泵前</w:t>
            </w:r>
          </w:p>
        </w:tc>
        <w:tc>
          <w:tcPr>
            <w:tcW w:w="4360" w:type="dxa"/>
            <w:gridSpan w:val="4"/>
            <w:vMerge w:val="restart"/>
            <w:tcBorders>
              <w:bottom w:val="nil"/>
            </w:tcBorders>
            <w:vAlign w:val="center"/>
          </w:tcPr>
          <w:p>
            <w:pPr>
              <w:pStyle w:val="243"/>
              <w:spacing w:before="58" w:line="219" w:lineRule="auto"/>
              <w:jc w:val="center"/>
            </w:pPr>
            <w:r>
              <w:rPr>
                <w:spacing w:val="-1"/>
                <w14:textOutline w14:w="3263" w14:cap="sq" w14:cmpd="sng" w14:algn="ctr">
                  <w14:solidFill>
                    <w14:srgbClr w14:val="000000"/>
                  </w14:solidFill>
                  <w14:prstDash w14:val="solid"/>
                  <w14:bevel/>
                </w14:textOutline>
              </w:rPr>
              <w:t>水质在线监测系统</w:t>
            </w:r>
          </w:p>
        </w:tc>
        <w:tc>
          <w:tcPr>
            <w:tcW w:w="3109" w:type="dxa"/>
            <w:gridSpan w:val="4"/>
          </w:tcPr>
          <w:p>
            <w:pPr>
              <w:pStyle w:val="243"/>
              <w:spacing w:before="149" w:line="220" w:lineRule="auto"/>
              <w:ind w:left="120"/>
            </w:pPr>
            <w:r>
              <w:rPr>
                <w:rFonts w:ascii="Times New Roman" w:hAnsi="Times New Roman" w:eastAsia="Times New Roman" w:cs="Times New Roman"/>
                <w:spacing w:val="-6"/>
              </w:rPr>
              <w:t>□</w:t>
            </w:r>
            <w:r>
              <w:rPr>
                <w:spacing w:val="-6"/>
              </w:rPr>
              <w:t>无</w:t>
            </w:r>
            <w:r>
              <w:rPr>
                <w:spacing w:val="4"/>
              </w:rPr>
              <w:t xml:space="preserve">   </w:t>
            </w:r>
            <w:r>
              <w:rPr>
                <w:rFonts w:ascii="Times New Roman" w:hAnsi="Times New Roman" w:eastAsia="Times New Roman" w:cs="Times New Roman"/>
                <w:spacing w:val="-6"/>
              </w:rPr>
              <w:t>□</w:t>
            </w:r>
            <w:r>
              <w:rPr>
                <w:spacing w:val="-6"/>
              </w:rPr>
              <w:t>其他</w:t>
            </w:r>
          </w:p>
        </w:tc>
        <w:tc>
          <w:tcPr>
            <w:tcW w:w="1420" w:type="dxa"/>
            <w:gridSpan w:val="2"/>
            <w:vMerge w:val="restart"/>
            <w:tcBorders>
              <w:bottom w:val="nil"/>
            </w:tcBorders>
            <w:vAlign w:val="center"/>
          </w:tcPr>
          <w:p>
            <w:pPr>
              <w:pStyle w:val="243"/>
              <w:spacing w:before="58" w:line="219" w:lineRule="auto"/>
              <w:jc w:val="center"/>
              <w:rPr>
                <w:spacing w:val="-2"/>
                <w:lang w:eastAsia="zh-CN"/>
                <w14:textOutline w14:w="3263" w14:cap="sq" w14:cmpd="sng" w14:algn="ctr">
                  <w14:solidFill>
                    <w14:srgbClr w14:val="000000"/>
                  </w14:solidFill>
                  <w14:prstDash w14:val="solid"/>
                  <w14:bevel/>
                </w14:textOutline>
              </w:rPr>
            </w:pPr>
            <w:r>
              <w:rPr>
                <w:rFonts w:hint="eastAsia"/>
                <w:spacing w:val="-2"/>
                <w:lang w:eastAsia="zh-CN"/>
                <w14:textOutline w14:w="3263" w14:cap="sq" w14:cmpd="sng" w14:algn="ctr">
                  <w14:solidFill>
                    <w14:srgbClr w14:val="000000"/>
                  </w14:solidFill>
                  <w14:prstDash w14:val="solid"/>
                  <w14:bevel/>
                </w14:textOutline>
              </w:rPr>
              <w:t>视频安防系统</w:t>
            </w:r>
          </w:p>
        </w:tc>
        <w:tc>
          <w:tcPr>
            <w:tcW w:w="1115" w:type="dxa"/>
          </w:tcPr>
          <w:p>
            <w:pPr>
              <w:pStyle w:val="243"/>
              <w:spacing w:before="149" w:line="220" w:lineRule="auto"/>
              <w:ind w:left="120"/>
            </w:pPr>
            <w:r>
              <w:rPr>
                <w:rFonts w:hint="eastAsia" w:ascii="Times New Roman" w:hAnsi="Times New Roman" w:cs="Times New Roman"/>
                <w:spacing w:val="-7"/>
                <w:lang w:eastAsia="zh-CN"/>
              </w:rPr>
              <w:t>□</w:t>
            </w:r>
            <w:r>
              <w:rPr>
                <w:spacing w:val="-7"/>
              </w:rPr>
              <w:t>无</w:t>
            </w:r>
          </w:p>
        </w:tc>
        <w:tc>
          <w:tcPr>
            <w:tcW w:w="2272" w:type="dxa"/>
            <w:gridSpan w:val="4"/>
            <w:vMerge w:val="continue"/>
            <w:tcBorders>
              <w:top w:val="nil"/>
              <w:bottom w:val="nil"/>
            </w:tcBorders>
          </w:tcPr>
          <w:p>
            <w:pPr>
              <w:rPr>
                <w:rFonts w:ascii="Arial"/>
              </w:rPr>
            </w:pPr>
          </w:p>
        </w:tc>
        <w:tc>
          <w:tcPr>
            <w:tcW w:w="1193" w:type="dxa"/>
          </w:tcPr>
          <w:p>
            <w:pPr>
              <w:pStyle w:val="243"/>
              <w:spacing w:before="149" w:line="220" w:lineRule="auto"/>
            </w:pPr>
            <w:r>
              <w:rPr>
                <w:rFonts w:hint="eastAsia" w:ascii="Times New Roman" w:hAnsi="Times New Roman" w:cs="Times New Roman"/>
                <w:spacing w:val="-5"/>
                <w:lang w:eastAsia="zh-CN"/>
              </w:rPr>
              <w:t>□</w:t>
            </w:r>
            <w:r>
              <w:rPr>
                <w:spacing w:val="-5"/>
              </w:rPr>
              <w:t>温度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6" w:hRule="atLeast"/>
        </w:trPr>
        <w:tc>
          <w:tcPr>
            <w:tcW w:w="397" w:type="dxa"/>
            <w:vMerge w:val="continue"/>
            <w:tcBorders>
              <w:top w:val="nil"/>
              <w:bottom w:val="nil"/>
            </w:tcBorders>
            <w:textDirection w:val="tbRlV"/>
            <w:vAlign w:val="bottom"/>
          </w:tcPr>
          <w:p>
            <w:pPr>
              <w:rPr>
                <w:rFonts w:ascii="Arial"/>
              </w:rPr>
            </w:pPr>
          </w:p>
        </w:tc>
        <w:tc>
          <w:tcPr>
            <w:tcW w:w="2699" w:type="dxa"/>
            <w:gridSpan w:val="5"/>
          </w:tcPr>
          <w:p>
            <w:pPr>
              <w:pStyle w:val="243"/>
              <w:spacing w:before="148" w:line="219" w:lineRule="auto"/>
              <w:ind w:left="110"/>
              <w:rPr>
                <w:lang w:eastAsia="zh-CN"/>
              </w:rPr>
            </w:pPr>
            <w:r>
              <w:rPr>
                <w:spacing w:val="-1"/>
                <w:lang w:eastAsia="zh-CN"/>
                <w14:textOutline w14:w="3263" w14:cap="sq" w14:cmpd="sng" w14:algn="ctr">
                  <w14:solidFill>
                    <w14:srgbClr w14:val="000000"/>
                  </w14:solidFill>
                  <w14:prstDash w14:val="solid"/>
                  <w14:bevel/>
                </w14:textOutline>
              </w:rPr>
              <w:t>符合叠压供水技术要求</w:t>
            </w:r>
          </w:p>
        </w:tc>
        <w:tc>
          <w:tcPr>
            <w:tcW w:w="1699" w:type="dxa"/>
            <w:gridSpan w:val="2"/>
          </w:tcPr>
          <w:p>
            <w:pPr>
              <w:pStyle w:val="243"/>
              <w:spacing w:before="148" w:line="220" w:lineRule="auto"/>
              <w:ind w:left="115"/>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1095" w:type="dxa"/>
            <w:gridSpan w:val="2"/>
            <w:vMerge w:val="continue"/>
            <w:tcBorders>
              <w:top w:val="nil"/>
              <w:bottom w:val="nil"/>
            </w:tcBorders>
          </w:tcPr>
          <w:p>
            <w:pPr>
              <w:rPr>
                <w:rFonts w:ascii="Arial"/>
              </w:rPr>
            </w:pPr>
          </w:p>
        </w:tc>
        <w:tc>
          <w:tcPr>
            <w:tcW w:w="1289" w:type="dxa"/>
            <w:gridSpan w:val="2"/>
          </w:tcPr>
          <w:p>
            <w:pPr>
              <w:pStyle w:val="243"/>
              <w:spacing w:before="148" w:line="219" w:lineRule="auto"/>
              <w:ind w:left="119"/>
            </w:pPr>
            <w:r>
              <w:rPr>
                <w:rFonts w:hint="eastAsia" w:ascii="Times New Roman" w:hAnsi="Times New Roman" w:cs="Times New Roman"/>
                <w:spacing w:val="-5"/>
                <w:lang w:eastAsia="zh-CN"/>
              </w:rPr>
              <w:t>□</w:t>
            </w:r>
            <w:r>
              <w:rPr>
                <w:spacing w:val="-5"/>
              </w:rPr>
              <w:t>泵后</w:t>
            </w:r>
          </w:p>
        </w:tc>
        <w:tc>
          <w:tcPr>
            <w:tcW w:w="4360" w:type="dxa"/>
            <w:gridSpan w:val="4"/>
            <w:vMerge w:val="continue"/>
            <w:tcBorders>
              <w:top w:val="nil"/>
              <w:bottom w:val="nil"/>
            </w:tcBorders>
          </w:tcPr>
          <w:p>
            <w:pPr>
              <w:rPr>
                <w:rFonts w:ascii="Arial"/>
              </w:rPr>
            </w:pPr>
          </w:p>
        </w:tc>
        <w:tc>
          <w:tcPr>
            <w:tcW w:w="3109" w:type="dxa"/>
            <w:gridSpan w:val="4"/>
          </w:tcPr>
          <w:p>
            <w:pPr>
              <w:pStyle w:val="243"/>
              <w:spacing w:before="148" w:line="220" w:lineRule="auto"/>
              <w:ind w:left="120"/>
            </w:pPr>
            <w:r>
              <w:rPr>
                <w:rFonts w:ascii="Times New Roman" w:hAnsi="Times New Roman" w:eastAsia="Times New Roman" w:cs="Times New Roman"/>
                <w:spacing w:val="-5"/>
              </w:rPr>
              <w:t>□pH</w:t>
            </w:r>
            <w:r>
              <w:rPr>
                <w:rFonts w:ascii="Times New Roman" w:hAnsi="Times New Roman" w:eastAsia="Times New Roman" w:cs="Times New Roman"/>
                <w:spacing w:val="2"/>
              </w:rPr>
              <w:t xml:space="preserve">      </w:t>
            </w:r>
            <w:r>
              <w:rPr>
                <w:rFonts w:ascii="Times New Roman" w:hAnsi="Times New Roman" w:eastAsia="Times New Roman" w:cs="Times New Roman"/>
                <w:spacing w:val="-5"/>
              </w:rPr>
              <w:t>□</w:t>
            </w:r>
            <w:r>
              <w:rPr>
                <w:spacing w:val="-5"/>
              </w:rPr>
              <w:t>浊度</w:t>
            </w:r>
          </w:p>
        </w:tc>
        <w:tc>
          <w:tcPr>
            <w:tcW w:w="1420" w:type="dxa"/>
            <w:gridSpan w:val="2"/>
            <w:vMerge w:val="continue"/>
            <w:tcBorders>
              <w:top w:val="nil"/>
              <w:bottom w:val="nil"/>
            </w:tcBorders>
          </w:tcPr>
          <w:p>
            <w:pPr>
              <w:rPr>
                <w:rFonts w:ascii="Arial"/>
              </w:rPr>
            </w:pPr>
          </w:p>
        </w:tc>
        <w:tc>
          <w:tcPr>
            <w:tcW w:w="1115" w:type="dxa"/>
          </w:tcPr>
          <w:p>
            <w:pPr>
              <w:pStyle w:val="243"/>
              <w:spacing w:before="148" w:line="219" w:lineRule="auto"/>
              <w:ind w:left="120"/>
            </w:pPr>
            <w:r>
              <w:rPr>
                <w:rFonts w:hint="eastAsia" w:ascii="Times New Roman" w:hAnsi="Times New Roman" w:cs="Times New Roman"/>
                <w:spacing w:val="-14"/>
                <w:lang w:eastAsia="zh-CN"/>
              </w:rPr>
              <w:t>□</w:t>
            </w:r>
            <w:r>
              <w:rPr>
                <w:rFonts w:ascii="Times New Roman" w:hAnsi="Times New Roman" w:eastAsia="Times New Roman" w:cs="Times New Roman"/>
                <w:spacing w:val="-18"/>
              </w:rPr>
              <w:t xml:space="preserve"> </w:t>
            </w:r>
            <w:r>
              <w:rPr>
                <w:spacing w:val="-14"/>
              </w:rPr>
              <w:t>门禁</w:t>
            </w:r>
          </w:p>
        </w:tc>
        <w:tc>
          <w:tcPr>
            <w:tcW w:w="2272" w:type="dxa"/>
            <w:gridSpan w:val="4"/>
            <w:vMerge w:val="continue"/>
            <w:tcBorders>
              <w:top w:val="nil"/>
              <w:bottom w:val="nil"/>
            </w:tcBorders>
          </w:tcPr>
          <w:p>
            <w:pPr>
              <w:rPr>
                <w:rFonts w:ascii="Arial"/>
              </w:rPr>
            </w:pPr>
          </w:p>
        </w:tc>
        <w:tc>
          <w:tcPr>
            <w:tcW w:w="1193" w:type="dxa"/>
          </w:tcPr>
          <w:p>
            <w:pPr>
              <w:pStyle w:val="243"/>
              <w:spacing w:before="148" w:line="220" w:lineRule="auto"/>
            </w:pPr>
            <w:r>
              <w:rPr>
                <w:rFonts w:hint="eastAsia" w:ascii="Times New Roman" w:hAnsi="Times New Roman" w:cs="Times New Roman"/>
                <w:spacing w:val="-5"/>
                <w:lang w:eastAsia="zh-CN"/>
              </w:rPr>
              <w:t>□</w:t>
            </w:r>
            <w:r>
              <w:rPr>
                <w:spacing w:val="-5"/>
              </w:rPr>
              <w:t>湿度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6" w:hRule="atLeast"/>
        </w:trPr>
        <w:tc>
          <w:tcPr>
            <w:tcW w:w="397" w:type="dxa"/>
            <w:vMerge w:val="continue"/>
            <w:tcBorders>
              <w:top w:val="nil"/>
              <w:bottom w:val="nil"/>
            </w:tcBorders>
            <w:textDirection w:val="tbRlV"/>
            <w:vAlign w:val="bottom"/>
          </w:tcPr>
          <w:p>
            <w:pPr>
              <w:rPr>
                <w:rFonts w:ascii="Arial"/>
              </w:rPr>
            </w:pPr>
          </w:p>
        </w:tc>
        <w:tc>
          <w:tcPr>
            <w:tcW w:w="2699" w:type="dxa"/>
            <w:gridSpan w:val="5"/>
          </w:tcPr>
          <w:p>
            <w:pPr>
              <w:pStyle w:val="243"/>
              <w:spacing w:before="147" w:line="219" w:lineRule="auto"/>
              <w:ind w:left="109"/>
            </w:pPr>
            <w:r>
              <w:rPr>
                <w:spacing w:val="-1"/>
                <w14:textOutline w14:w="3263" w14:cap="sq" w14:cmpd="sng" w14:algn="ctr">
                  <w14:solidFill>
                    <w14:srgbClr w14:val="000000"/>
                  </w14:solidFill>
                  <w14:prstDash w14:val="solid"/>
                  <w14:bevel/>
                </w14:textOutline>
              </w:rPr>
              <w:t>泵房管材材质</w:t>
            </w:r>
          </w:p>
        </w:tc>
        <w:tc>
          <w:tcPr>
            <w:tcW w:w="1699" w:type="dxa"/>
            <w:gridSpan w:val="2"/>
          </w:tcPr>
          <w:p>
            <w:pPr>
              <w:pStyle w:val="243"/>
              <w:spacing w:before="115" w:line="242" w:lineRule="exact"/>
              <w:ind w:left="115"/>
            </w:pPr>
            <w:r>
              <w:rPr>
                <w:rFonts w:hint="eastAsia" w:ascii="Times New Roman" w:hAnsi="Times New Roman" w:cs="Times New Roman"/>
                <w:spacing w:val="-2"/>
                <w:lang w:eastAsia="zh-CN"/>
              </w:rPr>
              <w:t>□</w:t>
            </w:r>
            <w:r>
              <w:rPr>
                <w:spacing w:val="-2"/>
              </w:rPr>
              <w:t>不锈钢</w:t>
            </w:r>
            <w:r>
              <w:rPr>
                <w:rFonts w:hint="eastAsia"/>
                <w:spacing w:val="-2"/>
                <w:lang w:eastAsia="zh-CN"/>
              </w:rPr>
              <w:t xml:space="preserve"> </w:t>
            </w:r>
            <w:r>
              <w:rPr>
                <w:rFonts w:hint="eastAsia" w:ascii="Times New Roman" w:hAnsi="Times New Roman" w:cs="Times New Roman"/>
                <w:spacing w:val="-2"/>
                <w:lang w:eastAsia="zh-CN"/>
              </w:rPr>
              <w:t>□</w:t>
            </w:r>
            <w:r>
              <w:rPr>
                <w:spacing w:val="-2"/>
              </w:rPr>
              <w:t>其它</w:t>
            </w:r>
          </w:p>
        </w:tc>
        <w:tc>
          <w:tcPr>
            <w:tcW w:w="1095" w:type="dxa"/>
            <w:gridSpan w:val="2"/>
            <w:vMerge w:val="continue"/>
            <w:tcBorders>
              <w:top w:val="nil"/>
              <w:bottom w:val="nil"/>
            </w:tcBorders>
          </w:tcPr>
          <w:p>
            <w:pPr>
              <w:rPr>
                <w:rFonts w:ascii="Arial"/>
              </w:rPr>
            </w:pPr>
          </w:p>
        </w:tc>
        <w:tc>
          <w:tcPr>
            <w:tcW w:w="1289" w:type="dxa"/>
            <w:gridSpan w:val="2"/>
          </w:tcPr>
          <w:p>
            <w:pPr>
              <w:pStyle w:val="243"/>
              <w:spacing w:before="148" w:line="220" w:lineRule="auto"/>
              <w:ind w:left="119"/>
            </w:pPr>
            <w:r>
              <w:rPr>
                <w:rFonts w:hint="eastAsia" w:ascii="Times New Roman" w:hAnsi="Times New Roman" w:cs="Times New Roman"/>
                <w:spacing w:val="-7"/>
                <w:lang w:eastAsia="zh-CN"/>
              </w:rPr>
              <w:t>□</w:t>
            </w:r>
            <w:r>
              <w:rPr>
                <w:spacing w:val="-7"/>
              </w:rPr>
              <w:t>无</w:t>
            </w:r>
          </w:p>
        </w:tc>
        <w:tc>
          <w:tcPr>
            <w:tcW w:w="4360" w:type="dxa"/>
            <w:gridSpan w:val="4"/>
            <w:vMerge w:val="continue"/>
            <w:tcBorders>
              <w:top w:val="nil"/>
              <w:bottom w:val="nil"/>
            </w:tcBorders>
          </w:tcPr>
          <w:p>
            <w:pPr>
              <w:rPr>
                <w:rFonts w:ascii="Arial"/>
              </w:rPr>
            </w:pPr>
          </w:p>
        </w:tc>
        <w:tc>
          <w:tcPr>
            <w:tcW w:w="3109" w:type="dxa"/>
            <w:gridSpan w:val="4"/>
          </w:tcPr>
          <w:p>
            <w:pPr>
              <w:pStyle w:val="243"/>
              <w:spacing w:before="148" w:line="219" w:lineRule="auto"/>
              <w:ind w:left="120"/>
            </w:pPr>
            <w:r>
              <w:rPr>
                <w:rFonts w:ascii="Times New Roman" w:hAnsi="Times New Roman" w:eastAsia="Times New Roman" w:cs="Times New Roman"/>
                <w:spacing w:val="-8"/>
              </w:rPr>
              <w:t>□</w:t>
            </w:r>
            <w:r>
              <w:rPr>
                <w:spacing w:val="-8"/>
              </w:rPr>
              <w:t>余氯</w:t>
            </w:r>
            <w:r>
              <w:rPr>
                <w:spacing w:val="6"/>
              </w:rPr>
              <w:t xml:space="preserve">  </w:t>
            </w:r>
            <w:r>
              <w:rPr>
                <w:rFonts w:ascii="Times New Roman" w:hAnsi="Times New Roman" w:eastAsia="Times New Roman" w:cs="Times New Roman"/>
                <w:spacing w:val="-8"/>
              </w:rPr>
              <w:t>□</w:t>
            </w:r>
            <w:r>
              <w:rPr>
                <w:rFonts w:ascii="Times New Roman" w:hAnsi="Times New Roman" w:eastAsia="Times New Roman" w:cs="Times New Roman"/>
                <w:spacing w:val="-17"/>
              </w:rPr>
              <w:t xml:space="preserve"> </w:t>
            </w:r>
            <w:r>
              <w:rPr>
                <w:spacing w:val="-8"/>
              </w:rPr>
              <w:t>电导率</w:t>
            </w:r>
          </w:p>
        </w:tc>
        <w:tc>
          <w:tcPr>
            <w:tcW w:w="1420" w:type="dxa"/>
            <w:gridSpan w:val="2"/>
            <w:vMerge w:val="continue"/>
            <w:tcBorders>
              <w:top w:val="nil"/>
              <w:bottom w:val="nil"/>
            </w:tcBorders>
          </w:tcPr>
          <w:p>
            <w:pPr>
              <w:rPr>
                <w:rFonts w:ascii="Arial"/>
              </w:rPr>
            </w:pPr>
          </w:p>
        </w:tc>
        <w:tc>
          <w:tcPr>
            <w:tcW w:w="1115" w:type="dxa"/>
          </w:tcPr>
          <w:p>
            <w:pPr>
              <w:pStyle w:val="243"/>
              <w:spacing w:before="148" w:line="220" w:lineRule="auto"/>
              <w:ind w:left="120"/>
            </w:pPr>
            <w:r>
              <w:rPr>
                <w:rFonts w:hint="eastAsia" w:ascii="Times New Roman" w:hAnsi="Times New Roman" w:cs="Times New Roman"/>
                <w:spacing w:val="-3"/>
                <w:lang w:eastAsia="zh-CN"/>
              </w:rPr>
              <w:t>□</w:t>
            </w:r>
            <w:r>
              <w:rPr>
                <w:spacing w:val="-3"/>
              </w:rPr>
              <w:t>视频监控</w:t>
            </w:r>
          </w:p>
        </w:tc>
        <w:tc>
          <w:tcPr>
            <w:tcW w:w="2272" w:type="dxa"/>
            <w:gridSpan w:val="4"/>
            <w:vMerge w:val="continue"/>
            <w:tcBorders>
              <w:top w:val="nil"/>
              <w:bottom w:val="nil"/>
            </w:tcBorders>
          </w:tcPr>
          <w:p>
            <w:pPr>
              <w:rPr>
                <w:rFonts w:ascii="Arial"/>
              </w:rPr>
            </w:pPr>
          </w:p>
        </w:tc>
        <w:tc>
          <w:tcPr>
            <w:tcW w:w="1193" w:type="dxa"/>
          </w:tcPr>
          <w:p>
            <w:pPr>
              <w:pStyle w:val="243"/>
              <w:spacing w:before="148" w:line="219" w:lineRule="auto"/>
            </w:pPr>
            <w:r>
              <w:rPr>
                <w:rFonts w:hint="eastAsia" w:ascii="Times New Roman" w:hAnsi="Times New Roman" w:cs="Times New Roman"/>
                <w:spacing w:val="-7"/>
                <w:lang w:eastAsia="zh-CN"/>
              </w:rPr>
              <w:t>□</w:t>
            </w:r>
            <w:r>
              <w:rPr>
                <w:rFonts w:ascii="Times New Roman" w:hAnsi="Times New Roman" w:eastAsia="Times New Roman" w:cs="Times New Roman"/>
                <w:spacing w:val="-25"/>
              </w:rPr>
              <w:t xml:space="preserve"> </w:t>
            </w:r>
            <w:r>
              <w:rPr>
                <w:spacing w:val="-7"/>
              </w:rPr>
              <w:t>防洪排涝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9" w:hRule="atLeast"/>
        </w:trPr>
        <w:tc>
          <w:tcPr>
            <w:tcW w:w="397" w:type="dxa"/>
            <w:vMerge w:val="continue"/>
            <w:tcBorders>
              <w:top w:val="nil"/>
            </w:tcBorders>
            <w:textDirection w:val="tbRlV"/>
            <w:vAlign w:val="bottom"/>
          </w:tcPr>
          <w:p>
            <w:pPr>
              <w:rPr>
                <w:rFonts w:ascii="Arial"/>
              </w:rPr>
            </w:pPr>
          </w:p>
        </w:tc>
        <w:tc>
          <w:tcPr>
            <w:tcW w:w="2699" w:type="dxa"/>
            <w:gridSpan w:val="5"/>
          </w:tcPr>
          <w:p>
            <w:pPr>
              <w:pStyle w:val="243"/>
              <w:spacing w:before="147" w:line="212" w:lineRule="auto"/>
              <w:ind w:left="111"/>
              <w:rPr>
                <w:rFonts w:ascii="Times New Roman" w:hAnsi="Times New Roman" w:eastAsia="Times New Roman" w:cs="Times New Roman"/>
                <w:lang w:eastAsia="zh-CN"/>
              </w:rPr>
            </w:pPr>
            <w:r>
              <w:rPr>
                <w:spacing w:val="-1"/>
                <w:lang w:eastAsia="zh-CN"/>
                <w14:textOutline w14:w="3263" w14:cap="sq" w14:cmpd="sng" w14:algn="ctr">
                  <w14:solidFill>
                    <w14:srgbClr w14:val="000000"/>
                  </w14:solidFill>
                  <w14:prstDash w14:val="solid"/>
                  <w14:bevel/>
                </w14:textOutline>
              </w:rPr>
              <w:t>设施有无自行节能改造</w:t>
            </w:r>
            <w:r>
              <w:rPr>
                <w:rFonts w:ascii="Times New Roman" w:hAnsi="Times New Roman" w:eastAsia="Times New Roman" w:cs="Times New Roman"/>
                <w:b/>
                <w:bCs/>
                <w:spacing w:val="-1"/>
                <w:lang w:eastAsia="zh-CN"/>
              </w:rPr>
              <w:t>(</w:t>
            </w:r>
            <w:r>
              <w:rPr>
                <w:spacing w:val="-1"/>
                <w:lang w:eastAsia="zh-CN"/>
                <w14:textOutline w14:w="3263" w14:cap="sq" w14:cmpd="sng" w14:algn="ctr">
                  <w14:solidFill>
                    <w14:srgbClr w14:val="000000"/>
                  </w14:solidFill>
                  <w14:prstDash w14:val="solid"/>
                  <w14:bevel/>
                </w14:textOutline>
              </w:rPr>
              <w:t>管道泵式</w:t>
            </w:r>
            <w:r>
              <w:rPr>
                <w:rFonts w:ascii="Times New Roman" w:hAnsi="Times New Roman" w:eastAsia="Times New Roman" w:cs="Times New Roman"/>
                <w:b/>
                <w:bCs/>
                <w:spacing w:val="-1"/>
                <w:lang w:eastAsia="zh-CN"/>
              </w:rPr>
              <w:t>)</w:t>
            </w:r>
          </w:p>
        </w:tc>
        <w:tc>
          <w:tcPr>
            <w:tcW w:w="1699" w:type="dxa"/>
            <w:gridSpan w:val="2"/>
          </w:tcPr>
          <w:p>
            <w:pPr>
              <w:pStyle w:val="243"/>
              <w:spacing w:before="115" w:line="242" w:lineRule="exact"/>
              <w:ind w:left="110"/>
            </w:pPr>
            <w:r>
              <w:rPr>
                <w:rFonts w:hint="eastAsia" w:ascii="Times New Roman" w:hAnsi="Times New Roman" w:cs="Times New Roman"/>
                <w:spacing w:val="-4"/>
                <w:lang w:eastAsia="zh-CN"/>
              </w:rPr>
              <w:t>□</w:t>
            </w:r>
            <w:r>
              <w:rPr>
                <w:spacing w:val="-4"/>
              </w:rPr>
              <w:t>是</w:t>
            </w:r>
            <w:r>
              <w:rPr>
                <w:spacing w:val="6"/>
              </w:rPr>
              <w:t xml:space="preserve">  </w:t>
            </w:r>
            <w:r>
              <w:rPr>
                <w:rFonts w:hint="eastAsia" w:ascii="Times New Roman" w:hAnsi="Times New Roman" w:cs="Times New Roman"/>
                <w:spacing w:val="-4"/>
                <w:lang w:eastAsia="zh-CN"/>
              </w:rPr>
              <w:t>□</w:t>
            </w:r>
            <w:r>
              <w:rPr>
                <w:spacing w:val="-4"/>
              </w:rPr>
              <w:t>否</w:t>
            </w:r>
          </w:p>
        </w:tc>
        <w:tc>
          <w:tcPr>
            <w:tcW w:w="1095" w:type="dxa"/>
            <w:gridSpan w:val="2"/>
            <w:vMerge w:val="continue"/>
            <w:tcBorders>
              <w:top w:val="nil"/>
            </w:tcBorders>
          </w:tcPr>
          <w:p>
            <w:pPr>
              <w:rPr>
                <w:rFonts w:ascii="Arial"/>
              </w:rPr>
            </w:pPr>
          </w:p>
        </w:tc>
        <w:tc>
          <w:tcPr>
            <w:tcW w:w="1289" w:type="dxa"/>
            <w:gridSpan w:val="2"/>
          </w:tcPr>
          <w:p>
            <w:pPr>
              <w:pStyle w:val="243"/>
              <w:spacing w:before="147" w:line="221" w:lineRule="auto"/>
              <w:ind w:left="119"/>
            </w:pPr>
            <w:r>
              <w:rPr>
                <w:rFonts w:hint="eastAsia" w:ascii="Times New Roman" w:hAnsi="Times New Roman" w:cs="Times New Roman"/>
                <w:spacing w:val="-4"/>
                <w:lang w:eastAsia="zh-CN"/>
              </w:rPr>
              <w:t>□</w:t>
            </w:r>
            <w:r>
              <w:rPr>
                <w:spacing w:val="-4"/>
              </w:rPr>
              <w:t>其它：</w:t>
            </w:r>
          </w:p>
        </w:tc>
        <w:tc>
          <w:tcPr>
            <w:tcW w:w="4360" w:type="dxa"/>
            <w:gridSpan w:val="4"/>
            <w:vMerge w:val="continue"/>
            <w:tcBorders>
              <w:top w:val="nil"/>
            </w:tcBorders>
          </w:tcPr>
          <w:p>
            <w:pPr>
              <w:rPr>
                <w:rFonts w:ascii="Arial"/>
              </w:rPr>
            </w:pPr>
          </w:p>
        </w:tc>
        <w:tc>
          <w:tcPr>
            <w:tcW w:w="3109" w:type="dxa"/>
            <w:gridSpan w:val="4"/>
          </w:tcPr>
          <w:p>
            <w:pPr>
              <w:pStyle w:val="243"/>
              <w:spacing w:before="148" w:line="219" w:lineRule="auto"/>
              <w:ind w:left="129"/>
            </w:pPr>
            <w:r>
              <w:rPr>
                <w:spacing w:val="-8"/>
              </w:rPr>
              <w:t>品牌：</w:t>
            </w:r>
          </w:p>
        </w:tc>
        <w:tc>
          <w:tcPr>
            <w:tcW w:w="1420" w:type="dxa"/>
            <w:gridSpan w:val="2"/>
            <w:vMerge w:val="continue"/>
            <w:tcBorders>
              <w:top w:val="nil"/>
            </w:tcBorders>
          </w:tcPr>
          <w:p>
            <w:pPr>
              <w:rPr>
                <w:rFonts w:ascii="Arial"/>
              </w:rPr>
            </w:pPr>
          </w:p>
        </w:tc>
        <w:tc>
          <w:tcPr>
            <w:tcW w:w="1115" w:type="dxa"/>
          </w:tcPr>
          <w:p>
            <w:pPr>
              <w:pStyle w:val="243"/>
              <w:spacing w:before="148" w:line="219" w:lineRule="auto"/>
              <w:ind w:left="129"/>
            </w:pPr>
            <w:r>
              <w:rPr>
                <w:spacing w:val="-8"/>
              </w:rPr>
              <w:t>品牌：</w:t>
            </w:r>
          </w:p>
        </w:tc>
        <w:tc>
          <w:tcPr>
            <w:tcW w:w="2272" w:type="dxa"/>
            <w:gridSpan w:val="4"/>
            <w:vMerge w:val="continue"/>
            <w:tcBorders>
              <w:top w:val="nil"/>
            </w:tcBorders>
          </w:tcPr>
          <w:p>
            <w:pPr>
              <w:rPr>
                <w:rFonts w:ascii="Arial"/>
              </w:rPr>
            </w:pPr>
          </w:p>
        </w:tc>
        <w:tc>
          <w:tcPr>
            <w:tcW w:w="1193" w:type="dxa"/>
          </w:tcPr>
          <w:p>
            <w:pPr>
              <w:pStyle w:val="243"/>
              <w:spacing w:before="148" w:line="219" w:lineRule="auto"/>
            </w:pPr>
            <w:r>
              <w:rPr>
                <w:rFonts w:hint="eastAsia" w:ascii="Times New Roman" w:hAnsi="Times New Roman" w:cs="Times New Roman"/>
                <w:spacing w:val="-7"/>
                <w:lang w:eastAsia="zh-CN"/>
              </w:rPr>
              <w:t>□</w:t>
            </w:r>
            <w:r>
              <w:rPr>
                <w:rFonts w:ascii="Times New Roman" w:hAnsi="Times New Roman" w:eastAsia="Times New Roman" w:cs="Times New Roman"/>
                <w:spacing w:val="-25"/>
              </w:rPr>
              <w:t xml:space="preserve"> </w:t>
            </w:r>
            <w:r>
              <w:rPr>
                <w:spacing w:val="-7"/>
              </w:rPr>
              <w:t>防火烟感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3" w:hRule="atLeast"/>
        </w:trPr>
        <w:tc>
          <w:tcPr>
            <w:tcW w:w="397" w:type="dxa"/>
            <w:vMerge w:val="restart"/>
            <w:tcBorders>
              <w:bottom w:val="nil"/>
            </w:tcBorders>
            <w:textDirection w:val="tbRlV"/>
            <w:vAlign w:val="bottom"/>
          </w:tcPr>
          <w:p>
            <w:pPr>
              <w:pStyle w:val="243"/>
              <w:spacing w:before="135" w:line="207" w:lineRule="auto"/>
              <w:ind w:left="1114"/>
            </w:pPr>
            <w:r>
              <w:rPr>
                <w:spacing w:val="-1"/>
                <w14:textOutline w14:w="3263" w14:cap="sq" w14:cmpd="sng" w14:algn="ctr">
                  <w14:solidFill>
                    <w14:srgbClr w14:val="000000"/>
                  </w14:solidFill>
                  <w14:prstDash w14:val="solid"/>
                  <w14:bevel/>
                </w14:textOutline>
              </w:rPr>
              <w:t>水</w:t>
            </w:r>
            <w:r>
              <w:rPr>
                <w:spacing w:val="6"/>
              </w:rPr>
              <w:t xml:space="preserve">   </w:t>
            </w:r>
            <w:r>
              <w:rPr>
                <w:spacing w:val="-1"/>
                <w14:textOutline w14:w="3263" w14:cap="sq" w14:cmpd="sng" w14:algn="ctr">
                  <w14:solidFill>
                    <w14:srgbClr w14:val="000000"/>
                  </w14:solidFill>
                  <w14:prstDash w14:val="solid"/>
                  <w14:bevel/>
                </w14:textOutline>
              </w:rPr>
              <w:t>泵</w:t>
            </w:r>
            <w:r>
              <w:rPr>
                <w:spacing w:val="6"/>
              </w:rPr>
              <w:t xml:space="preserve">   </w:t>
            </w:r>
            <w:r>
              <w:rPr>
                <w:spacing w:val="-1"/>
                <w14:textOutline w14:w="3263" w14:cap="sq" w14:cmpd="sng" w14:algn="ctr">
                  <w14:solidFill>
                    <w14:srgbClr w14:val="000000"/>
                  </w14:solidFill>
                  <w14:prstDash w14:val="solid"/>
                  <w14:bevel/>
                </w14:textOutline>
              </w:rPr>
              <w:t>参</w:t>
            </w:r>
            <w:r>
              <w:rPr>
                <w:spacing w:val="6"/>
              </w:rPr>
              <w:t xml:space="preserve">   </w:t>
            </w:r>
            <w:r>
              <w:rPr>
                <w:spacing w:val="-1"/>
                <w14:textOutline w14:w="3263" w14:cap="sq" w14:cmpd="sng" w14:algn="ctr">
                  <w14:solidFill>
                    <w14:srgbClr w14:val="000000"/>
                  </w14:solidFill>
                  <w14:prstDash w14:val="solid"/>
                  <w14:bevel/>
                </w14:textOutline>
              </w:rPr>
              <w:t>数</w:t>
            </w:r>
          </w:p>
        </w:tc>
        <w:tc>
          <w:tcPr>
            <w:tcW w:w="1708" w:type="dxa"/>
            <w:gridSpan w:val="2"/>
            <w:vAlign w:val="center"/>
          </w:tcPr>
          <w:p>
            <w:pPr>
              <w:pStyle w:val="243"/>
              <w:spacing w:before="59" w:line="210" w:lineRule="auto"/>
              <w:jc w:val="center"/>
              <w:rPr>
                <w:rFonts w:ascii="Times New Roman" w:hAnsi="Times New Roman" w:eastAsia="Times New Roman" w:cs="Times New Roman"/>
              </w:rPr>
            </w:pPr>
            <w:r>
              <w:rPr>
                <w:spacing w:val="-1"/>
                <w14:textOutline w14:w="3263" w14:cap="sq" w14:cmpd="sng" w14:algn="ctr">
                  <w14:solidFill>
                    <w14:srgbClr w14:val="000000"/>
                  </w14:solidFill>
                  <w14:prstDash w14:val="solid"/>
                  <w14:bevel/>
                </w14:textOutline>
              </w:rPr>
              <w:t>供水区域</w:t>
            </w:r>
            <w:r>
              <w:rPr>
                <w:rFonts w:ascii="Times New Roman" w:hAnsi="Times New Roman" w:eastAsia="Times New Roman" w:cs="Times New Roman"/>
                <w:b/>
                <w:bCs/>
                <w:spacing w:val="-1"/>
              </w:rPr>
              <w:t>(</w:t>
            </w:r>
            <w:r>
              <w:rPr>
                <w:spacing w:val="-1"/>
                <w14:textOutline w14:w="3263" w14:cap="sq" w14:cmpd="sng" w14:algn="ctr">
                  <w14:solidFill>
                    <w14:srgbClr w14:val="000000"/>
                  </w14:solidFill>
                  <w14:prstDash w14:val="solid"/>
                  <w14:bevel/>
                </w14:textOutline>
              </w:rPr>
              <w:t>范围</w:t>
            </w:r>
            <w:r>
              <w:rPr>
                <w:rFonts w:ascii="Times New Roman" w:hAnsi="Times New Roman" w:eastAsia="Times New Roman" w:cs="Times New Roman"/>
                <w:b/>
                <w:bCs/>
                <w:spacing w:val="-1"/>
              </w:rPr>
              <w:t>)</w:t>
            </w:r>
          </w:p>
        </w:tc>
        <w:tc>
          <w:tcPr>
            <w:tcW w:w="1785" w:type="dxa"/>
            <w:gridSpan w:val="4"/>
            <w:vAlign w:val="center"/>
          </w:tcPr>
          <w:p>
            <w:pPr>
              <w:pStyle w:val="243"/>
              <w:spacing w:before="59" w:line="221" w:lineRule="auto"/>
              <w:jc w:val="center"/>
            </w:pPr>
            <w:r>
              <w:rPr>
                <w:spacing w:val="-7"/>
                <w14:textOutline w14:w="3263" w14:cap="sq" w14:cmpd="sng" w14:algn="ctr">
                  <w14:solidFill>
                    <w14:srgbClr w14:val="000000"/>
                  </w14:solidFill>
                  <w14:prstDash w14:val="solid"/>
                  <w14:bevel/>
                </w14:textOutline>
              </w:rPr>
              <w:t>型号</w:t>
            </w:r>
          </w:p>
        </w:tc>
        <w:tc>
          <w:tcPr>
            <w:tcW w:w="905" w:type="dxa"/>
            <w:vAlign w:val="center"/>
          </w:tcPr>
          <w:p>
            <w:pPr>
              <w:pStyle w:val="243"/>
              <w:spacing w:before="58" w:line="219" w:lineRule="auto"/>
              <w:jc w:val="center"/>
            </w:pPr>
            <w:r>
              <w:rPr>
                <w:spacing w:val="-5"/>
                <w14:textOutline w14:w="3263" w14:cap="sq" w14:cmpd="sng" w14:algn="ctr">
                  <w14:solidFill>
                    <w14:srgbClr w14:val="000000"/>
                  </w14:solidFill>
                  <w14:prstDash w14:val="solid"/>
                  <w14:bevel/>
                </w14:textOutline>
              </w:rPr>
              <w:t>数量</w:t>
            </w:r>
          </w:p>
        </w:tc>
        <w:tc>
          <w:tcPr>
            <w:tcW w:w="777" w:type="dxa"/>
            <w:vAlign w:val="center"/>
          </w:tcPr>
          <w:p>
            <w:pPr>
              <w:pStyle w:val="243"/>
              <w:spacing w:before="58" w:line="219" w:lineRule="auto"/>
              <w:jc w:val="center"/>
            </w:pPr>
            <w:r>
              <w:rPr>
                <w:spacing w:val="-5"/>
                <w14:textOutline w14:w="3263" w14:cap="sq" w14:cmpd="sng" w14:algn="ctr">
                  <w14:solidFill>
                    <w14:srgbClr w14:val="000000"/>
                  </w14:solidFill>
                  <w14:prstDash w14:val="solid"/>
                  <w14:bevel/>
                </w14:textOutline>
              </w:rPr>
              <w:t>功率</w:t>
            </w:r>
          </w:p>
        </w:tc>
        <w:tc>
          <w:tcPr>
            <w:tcW w:w="756" w:type="dxa"/>
            <w:gridSpan w:val="2"/>
            <w:vAlign w:val="center"/>
          </w:tcPr>
          <w:p>
            <w:pPr>
              <w:pStyle w:val="243"/>
              <w:spacing w:before="58" w:line="220" w:lineRule="auto"/>
              <w:jc w:val="center"/>
            </w:pPr>
            <w:r>
              <w:rPr>
                <w:spacing w:val="-4"/>
                <w14:textOutline w14:w="3263" w14:cap="sq" w14:cmpd="sng" w14:algn="ctr">
                  <w14:solidFill>
                    <w14:srgbClr w14:val="000000"/>
                  </w14:solidFill>
                  <w14:prstDash w14:val="solid"/>
                  <w14:bevel/>
                </w14:textOutline>
              </w:rPr>
              <w:t>扬程</w:t>
            </w:r>
          </w:p>
        </w:tc>
        <w:tc>
          <w:tcPr>
            <w:tcW w:w="851" w:type="dxa"/>
            <w:vAlign w:val="center"/>
          </w:tcPr>
          <w:p>
            <w:pPr>
              <w:pStyle w:val="243"/>
              <w:spacing w:before="58" w:line="223" w:lineRule="auto"/>
              <w:jc w:val="center"/>
            </w:pPr>
            <w:r>
              <w:rPr>
                <w:spacing w:val="-4"/>
                <w14:textOutline w14:w="3263" w14:cap="sq" w14:cmpd="sng" w14:algn="ctr">
                  <w14:solidFill>
                    <w14:srgbClr w14:val="000000"/>
                  </w14:solidFill>
                  <w14:prstDash w14:val="solid"/>
                  <w14:bevel/>
                </w14:textOutline>
              </w:rPr>
              <w:t>流量</w:t>
            </w:r>
          </w:p>
        </w:tc>
        <w:tc>
          <w:tcPr>
            <w:tcW w:w="1462" w:type="dxa"/>
            <w:vAlign w:val="center"/>
          </w:tcPr>
          <w:p>
            <w:pPr>
              <w:pStyle w:val="243"/>
              <w:spacing w:before="58" w:line="219" w:lineRule="auto"/>
              <w:jc w:val="center"/>
            </w:pPr>
            <w:r>
              <w:rPr>
                <w:spacing w:val="-5"/>
                <w14:textOutline w14:w="3263" w14:cap="sq" w14:cmpd="sng" w14:algn="ctr">
                  <w14:solidFill>
                    <w14:srgbClr w14:val="000000"/>
                  </w14:solidFill>
                  <w14:prstDash w14:val="solid"/>
                  <w14:bevel/>
                </w14:textOutline>
              </w:rPr>
              <w:t>品牌厂家</w:t>
            </w:r>
          </w:p>
        </w:tc>
        <w:tc>
          <w:tcPr>
            <w:tcW w:w="1610" w:type="dxa"/>
            <w:gridSpan w:val="2"/>
            <w:vAlign w:val="center"/>
          </w:tcPr>
          <w:p>
            <w:pPr>
              <w:pStyle w:val="243"/>
              <w:spacing w:before="58" w:line="220" w:lineRule="auto"/>
              <w:jc w:val="center"/>
            </w:pPr>
            <w:r>
              <w:rPr>
                <w:spacing w:val="-6"/>
                <w14:textOutline w14:w="3263" w14:cap="sq" w14:cmpd="sng" w14:algn="ctr">
                  <w14:solidFill>
                    <w14:srgbClr w14:val="000000"/>
                  </w14:solidFill>
                  <w14:prstDash w14:val="solid"/>
                  <w14:bevel/>
                </w14:textOutline>
              </w:rPr>
              <w:t>出厂日期</w:t>
            </w:r>
          </w:p>
        </w:tc>
        <w:tc>
          <w:tcPr>
            <w:tcW w:w="1288" w:type="dxa"/>
            <w:vAlign w:val="center"/>
          </w:tcPr>
          <w:p>
            <w:pPr>
              <w:pStyle w:val="243"/>
              <w:spacing w:before="58" w:line="219" w:lineRule="auto"/>
              <w:jc w:val="center"/>
            </w:pPr>
            <w:r>
              <w:rPr>
                <w:spacing w:val="-2"/>
                <w14:textOutline w14:w="3263" w14:cap="sq" w14:cmpd="sng" w14:algn="ctr">
                  <w14:solidFill>
                    <w14:srgbClr w14:val="000000"/>
                  </w14:solidFill>
                  <w14:prstDash w14:val="solid"/>
                  <w14:bevel/>
                </w14:textOutline>
              </w:rPr>
              <w:t>泵前管径</w:t>
            </w:r>
          </w:p>
        </w:tc>
        <w:tc>
          <w:tcPr>
            <w:tcW w:w="1123" w:type="dxa"/>
            <w:vAlign w:val="center"/>
          </w:tcPr>
          <w:p>
            <w:pPr>
              <w:pStyle w:val="243"/>
              <w:spacing w:before="58" w:line="219" w:lineRule="auto"/>
              <w:jc w:val="center"/>
            </w:pPr>
            <w:r>
              <w:rPr>
                <w:spacing w:val="-2"/>
                <w14:textOutline w14:w="3263" w14:cap="sq" w14:cmpd="sng" w14:algn="ctr">
                  <w14:solidFill>
                    <w14:srgbClr w14:val="000000"/>
                  </w14:solidFill>
                  <w14:prstDash w14:val="solid"/>
                  <w14:bevel/>
                </w14:textOutline>
              </w:rPr>
              <w:t>泵后管径</w:t>
            </w:r>
          </w:p>
        </w:tc>
        <w:tc>
          <w:tcPr>
            <w:tcW w:w="652" w:type="dxa"/>
            <w:vMerge w:val="restart"/>
            <w:tcBorders>
              <w:bottom w:val="nil"/>
            </w:tcBorders>
            <w:textDirection w:val="tbRlV"/>
          </w:tcPr>
          <w:p>
            <w:pPr>
              <w:pStyle w:val="243"/>
              <w:spacing w:before="116" w:line="209" w:lineRule="auto"/>
              <w:ind w:left="1124"/>
            </w:pPr>
            <w:r>
              <w:rPr>
                <w:spacing w:val="-1"/>
                <w14:textOutline w14:w="3263" w14:cap="sq" w14:cmpd="sng" w14:algn="ctr">
                  <w14:solidFill>
                    <w14:srgbClr w14:val="000000"/>
                  </w14:solidFill>
                  <w14:prstDash w14:val="solid"/>
                  <w14:bevel/>
                </w14:textOutline>
              </w:rPr>
              <w:t>水</w:t>
            </w:r>
            <w:r>
              <w:rPr>
                <w:spacing w:val="7"/>
              </w:rPr>
              <w:t xml:space="preserve">   </w:t>
            </w:r>
            <w:r>
              <w:rPr>
                <w:spacing w:val="-1"/>
                <w14:textOutline w14:w="3263" w14:cap="sq" w14:cmpd="sng" w14:algn="ctr">
                  <w14:solidFill>
                    <w14:srgbClr w14:val="000000"/>
                  </w14:solidFill>
                  <w14:prstDash w14:val="solid"/>
                  <w14:bevel/>
                </w14:textOutline>
              </w:rPr>
              <w:t>泵</w:t>
            </w:r>
            <w:r>
              <w:rPr>
                <w:spacing w:val="6"/>
              </w:rPr>
              <w:t xml:space="preserve">   </w:t>
            </w:r>
            <w:r>
              <w:rPr>
                <w:spacing w:val="-1"/>
                <w14:textOutline w14:w="3263" w14:cap="sq" w14:cmpd="sng" w14:algn="ctr">
                  <w14:solidFill>
                    <w14:srgbClr w14:val="000000"/>
                  </w14:solidFill>
                  <w14:prstDash w14:val="solid"/>
                  <w14:bevel/>
                </w14:textOutline>
              </w:rPr>
              <w:t>电</w:t>
            </w:r>
            <w:r>
              <w:rPr>
                <w:spacing w:val="6"/>
              </w:rPr>
              <w:t xml:space="preserve">   </w:t>
            </w:r>
            <w:r>
              <w:rPr>
                <w:spacing w:val="-1"/>
                <w14:textOutline w14:w="3263" w14:cap="sq" w14:cmpd="sng" w14:algn="ctr">
                  <w14:solidFill>
                    <w14:srgbClr w14:val="000000"/>
                  </w14:solidFill>
                  <w14:prstDash w14:val="solid"/>
                  <w14:bevel/>
                </w14:textOutline>
              </w:rPr>
              <w:t>气</w:t>
            </w:r>
            <w:r>
              <w:rPr>
                <w:spacing w:val="6"/>
              </w:rPr>
              <w:t xml:space="preserve">   </w:t>
            </w:r>
            <w:r>
              <w:rPr>
                <w:spacing w:val="-1"/>
                <w14:textOutline w14:w="3263" w14:cap="sq" w14:cmpd="sng" w14:algn="ctr">
                  <w14:solidFill>
                    <w14:srgbClr w14:val="000000"/>
                  </w14:solidFill>
                  <w14:prstDash w14:val="solid"/>
                  <w14:bevel/>
                </w14:textOutline>
              </w:rPr>
              <w:t>控</w:t>
            </w:r>
            <w:r>
              <w:rPr>
                <w:spacing w:val="6"/>
              </w:rPr>
              <w:t xml:space="preserve">   </w:t>
            </w:r>
            <w:r>
              <w:rPr>
                <w:spacing w:val="-1"/>
                <w14:textOutline w14:w="3263" w14:cap="sq" w14:cmpd="sng" w14:algn="ctr">
                  <w14:solidFill>
                    <w14:srgbClr w14:val="000000"/>
                  </w14:solidFill>
                  <w14:prstDash w14:val="solid"/>
                  <w14:bevel/>
                </w14:textOutline>
              </w:rPr>
              <w:t>制</w:t>
            </w:r>
          </w:p>
        </w:tc>
        <w:tc>
          <w:tcPr>
            <w:tcW w:w="1334" w:type="dxa"/>
            <w:gridSpan w:val="2"/>
            <w:vAlign w:val="center"/>
          </w:tcPr>
          <w:p>
            <w:pPr>
              <w:pStyle w:val="243"/>
              <w:spacing w:before="58" w:line="220" w:lineRule="auto"/>
              <w:jc w:val="center"/>
              <w:rPr>
                <w:spacing w:val="-1"/>
                <w14:textOutline w14:w="3263" w14:cap="sq" w14:cmpd="sng" w14:algn="ctr">
                  <w14:solidFill>
                    <w14:srgbClr w14:val="000000"/>
                  </w14:solidFill>
                  <w14:prstDash w14:val="solid"/>
                  <w14:bevel/>
                </w14:textOutline>
              </w:rPr>
            </w:pPr>
            <w:r>
              <w:rPr>
                <w:spacing w:val="-1"/>
                <w14:textOutline w14:w="3263" w14:cap="sq" w14:cmpd="sng" w14:algn="ctr">
                  <w14:solidFill>
                    <w14:srgbClr w14:val="000000"/>
                  </w14:solidFill>
                  <w14:prstDash w14:val="solid"/>
                  <w14:bevel/>
                </w14:textOutline>
              </w:rPr>
              <w:t>出水压力</w:t>
            </w:r>
          </w:p>
        </w:tc>
        <w:tc>
          <w:tcPr>
            <w:tcW w:w="1420" w:type="dxa"/>
            <w:gridSpan w:val="2"/>
            <w:vAlign w:val="center"/>
          </w:tcPr>
          <w:p>
            <w:pPr>
              <w:pStyle w:val="243"/>
              <w:spacing w:before="58" w:line="220" w:lineRule="auto"/>
              <w:jc w:val="center"/>
              <w:rPr>
                <w:spacing w:val="-1"/>
                <w:lang w:eastAsia="zh-CN"/>
                <w14:textOutline w14:w="3263" w14:cap="sq" w14:cmpd="sng" w14:algn="ctr">
                  <w14:solidFill>
                    <w14:srgbClr w14:val="000000"/>
                  </w14:solidFill>
                  <w14:prstDash w14:val="solid"/>
                  <w14:bevel/>
                </w14:textOutline>
              </w:rPr>
            </w:pPr>
            <w:r>
              <w:rPr>
                <w:rFonts w:hint="eastAsia"/>
                <w:spacing w:val="-1"/>
                <w:lang w:eastAsia="zh-CN"/>
                <w14:textOutline w14:w="3263" w14:cap="sq" w14:cmpd="sng" w14:algn="ctr">
                  <w14:solidFill>
                    <w14:srgbClr w14:val="000000"/>
                  </w14:solidFill>
                  <w14:prstDash w14:val="solid"/>
                  <w14:bevel/>
                </w14:textOutline>
              </w:rPr>
              <w:t>变频器型号</w:t>
            </w:r>
          </w:p>
        </w:tc>
        <w:tc>
          <w:tcPr>
            <w:tcW w:w="1115" w:type="dxa"/>
            <w:vAlign w:val="center"/>
          </w:tcPr>
          <w:p>
            <w:pPr>
              <w:pStyle w:val="243"/>
              <w:spacing w:before="58" w:line="220" w:lineRule="auto"/>
              <w:jc w:val="center"/>
            </w:pPr>
            <w:r>
              <w:rPr>
                <w:spacing w:val="-1"/>
                <w14:textOutline w14:w="3263" w14:cap="sq" w14:cmpd="sng" w14:algn="ctr">
                  <w14:solidFill>
                    <w14:srgbClr w14:val="000000"/>
                  </w14:solidFill>
                  <w14:prstDash w14:val="solid"/>
                  <w14:bevel/>
                </w14:textOutline>
              </w:rPr>
              <w:t>控制柜厂家</w:t>
            </w:r>
          </w:p>
        </w:tc>
        <w:tc>
          <w:tcPr>
            <w:tcW w:w="1070" w:type="dxa"/>
            <w:vAlign w:val="center"/>
          </w:tcPr>
          <w:p>
            <w:pPr>
              <w:pStyle w:val="243"/>
              <w:spacing w:before="58" w:line="220" w:lineRule="auto"/>
              <w:jc w:val="center"/>
            </w:pPr>
            <w:r>
              <w:rPr>
                <w:spacing w:val="-2"/>
                <w14:textOutline w14:w="3263" w14:cap="sq" w14:cmpd="sng" w14:algn="ctr">
                  <w14:solidFill>
                    <w14:srgbClr w14:val="000000"/>
                  </w14:solidFill>
                  <w14:prstDash w14:val="solid"/>
                  <w14:bevel/>
                </w14:textOutline>
              </w:rPr>
              <w:t>安装是否合理</w:t>
            </w:r>
          </w:p>
        </w:tc>
        <w:tc>
          <w:tcPr>
            <w:tcW w:w="1202" w:type="dxa"/>
            <w:gridSpan w:val="3"/>
            <w:vAlign w:val="center"/>
          </w:tcPr>
          <w:p>
            <w:pPr>
              <w:pStyle w:val="243"/>
              <w:spacing w:before="58" w:line="220" w:lineRule="auto"/>
              <w:jc w:val="center"/>
            </w:pPr>
            <w:r>
              <w:rPr>
                <w:spacing w:val="-1"/>
                <w14:textOutline w14:w="3263" w14:cap="sq" w14:cmpd="sng" w14:algn="ctr">
                  <w14:solidFill>
                    <w14:srgbClr w14:val="000000"/>
                  </w14:solidFill>
                  <w14:prstDash w14:val="solid"/>
                  <w14:bevel/>
                </w14:textOutline>
              </w:rPr>
              <w:t>运转是否正常</w:t>
            </w:r>
          </w:p>
        </w:tc>
        <w:tc>
          <w:tcPr>
            <w:tcW w:w="1193" w:type="dxa"/>
            <w:vAlign w:val="center"/>
          </w:tcPr>
          <w:p>
            <w:pPr>
              <w:pStyle w:val="243"/>
              <w:spacing w:before="58" w:line="220" w:lineRule="auto"/>
              <w:jc w:val="center"/>
            </w:pPr>
            <w:r>
              <w:rPr>
                <w:spacing w:val="-5"/>
                <w14:textOutline w14:w="3263" w14:cap="sq" w14:cmpd="sng" w14:algn="ctr">
                  <w14:solidFill>
                    <w14:srgbClr w14:val="000000"/>
                  </w14:solidFill>
                  <w14:prstDash w14:val="solid"/>
                  <w14:bevel/>
                </w14:textOutline>
              </w:rPr>
              <w:t>电器是否正常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1" w:hRule="atLeast"/>
        </w:trPr>
        <w:tc>
          <w:tcPr>
            <w:tcW w:w="397" w:type="dxa"/>
            <w:vMerge w:val="continue"/>
            <w:tcBorders>
              <w:top w:val="nil"/>
              <w:bottom w:val="nil"/>
            </w:tcBorders>
            <w:textDirection w:val="tbRlV"/>
          </w:tcPr>
          <w:p>
            <w:pPr>
              <w:rPr>
                <w:rFonts w:ascii="Arial"/>
              </w:rPr>
            </w:pPr>
          </w:p>
        </w:tc>
        <w:tc>
          <w:tcPr>
            <w:tcW w:w="1708" w:type="dxa"/>
            <w:gridSpan w:val="2"/>
            <w:vMerge w:val="restart"/>
            <w:tcBorders>
              <w:bottom w:val="nil"/>
            </w:tcBorders>
          </w:tcPr>
          <w:p>
            <w:pPr>
              <w:widowControl/>
              <w:jc w:val="left"/>
              <w:rPr>
                <w:rFonts w:ascii="Times New Roman" w:hAnsi="Times New Roman" w:eastAsia="Times New Roman"/>
              </w:rPr>
            </w:pPr>
            <w:r>
              <w:rPr>
                <w:rFonts w:hint="eastAsia" w:ascii="Times New Roman" w:hAnsi="Times New Roman"/>
                <w:color w:val="000000"/>
                <w:kern w:val="0"/>
                <w:sz w:val="18"/>
                <w:szCs w:val="18"/>
                <w:lang w:bidi="ar"/>
              </w:rPr>
              <w:t>□</w:t>
            </w:r>
            <w:r>
              <w:rPr>
                <w:rFonts w:hint="eastAsia" w:ascii="宋体" w:hAnsi="宋体" w:cs="宋体"/>
                <w:b/>
                <w:bCs/>
                <w:color w:val="000000"/>
                <w:kern w:val="0"/>
                <w:sz w:val="18"/>
                <w:szCs w:val="18"/>
                <w:lang w:bidi="ar"/>
              </w:rPr>
              <w:t>高区</w:t>
            </w:r>
            <w:r>
              <w:rPr>
                <w:rFonts w:hint="eastAsia" w:ascii="宋体" w:hAnsi="宋体" w:cs="宋体"/>
                <w:color w:val="000000"/>
                <w:kern w:val="0"/>
                <w:sz w:val="18"/>
                <w:szCs w:val="18"/>
                <w:lang w:bidi="ar"/>
              </w:rPr>
              <w:t>从层至层</w:t>
            </w:r>
            <w:r>
              <w:rPr>
                <w:rFonts w:hint="eastAsia" w:ascii="Times New Roman" w:hAnsi="Times New Roman"/>
                <w:color w:val="000000"/>
                <w:kern w:val="0"/>
                <w:sz w:val="18"/>
                <w:szCs w:val="18"/>
                <w:lang w:bidi="ar"/>
              </w:rPr>
              <w:t>□</w:t>
            </w:r>
            <w:r>
              <w:rPr>
                <w:rFonts w:hint="eastAsia" w:ascii="宋体" w:hAnsi="宋体" w:cs="宋体"/>
                <w:color w:val="000000"/>
                <w:kern w:val="0"/>
                <w:sz w:val="18"/>
                <w:szCs w:val="18"/>
                <w:lang w:bidi="ar"/>
              </w:rPr>
              <w:t>阁</w:t>
            </w:r>
            <w:r>
              <w:rPr>
                <w:rFonts w:ascii="Times New Roman" w:hAnsi="Times New Roman"/>
                <w:color w:val="000000"/>
                <w:kern w:val="0"/>
                <w:sz w:val="18"/>
                <w:szCs w:val="18"/>
                <w:lang w:bidi="ar"/>
              </w:rPr>
              <w:t>(</w:t>
            </w:r>
            <w:r>
              <w:rPr>
                <w:rFonts w:hint="eastAsia" w:ascii="宋体" w:hAnsi="宋体" w:cs="宋体"/>
                <w:color w:val="000000"/>
                <w:kern w:val="0"/>
                <w:sz w:val="18"/>
                <w:szCs w:val="18"/>
                <w:lang w:bidi="ar"/>
              </w:rPr>
              <w:t>栋</w:t>
            </w:r>
            <w:r>
              <w:rPr>
                <w:rFonts w:ascii="Times New Roman" w:hAnsi="Times New Roman"/>
                <w:color w:val="000000"/>
                <w:kern w:val="0"/>
                <w:sz w:val="18"/>
                <w:szCs w:val="18"/>
                <w:lang w:bidi="ar"/>
              </w:rPr>
              <w:t>)</w:t>
            </w:r>
          </w:p>
        </w:tc>
        <w:tc>
          <w:tcPr>
            <w:tcW w:w="1785" w:type="dxa"/>
            <w:gridSpan w:val="4"/>
          </w:tcPr>
          <w:p>
            <w:pPr>
              <w:pStyle w:val="243"/>
              <w:spacing w:before="150" w:line="235" w:lineRule="auto"/>
              <w:ind w:left="115"/>
            </w:pPr>
            <w:r>
              <w:rPr>
                <w:rFonts w:ascii="Times New Roman" w:hAnsi="Times New Roman" w:eastAsia="Times New Roman" w:cs="Times New Roman"/>
                <w:b/>
                <w:bCs/>
                <w:spacing w:val="-6"/>
              </w:rPr>
              <w:t>1</w:t>
            </w:r>
            <w:r>
              <w:rPr>
                <w:spacing w:val="-6"/>
                <w14:textOutline w14:w="3263" w14:cap="sq" w14:cmpd="sng" w14:algn="ctr">
                  <w14:solidFill>
                    <w14:srgbClr w14:val="000000"/>
                  </w14:solidFill>
                  <w14:prstDash w14:val="solid"/>
                  <w14:bevel/>
                </w14:textOutline>
              </w:rPr>
              <w:t>：</w:t>
            </w:r>
          </w:p>
        </w:tc>
        <w:tc>
          <w:tcPr>
            <w:tcW w:w="905" w:type="dxa"/>
          </w:tcPr>
          <w:p>
            <w:pPr>
              <w:rPr>
                <w:rFonts w:ascii="Arial"/>
              </w:rPr>
            </w:pPr>
          </w:p>
        </w:tc>
        <w:tc>
          <w:tcPr>
            <w:tcW w:w="777" w:type="dxa"/>
          </w:tcPr>
          <w:p>
            <w:pPr>
              <w:rPr>
                <w:rFonts w:ascii="Arial"/>
              </w:rPr>
            </w:pPr>
          </w:p>
        </w:tc>
        <w:tc>
          <w:tcPr>
            <w:tcW w:w="756" w:type="dxa"/>
            <w:gridSpan w:val="2"/>
          </w:tcPr>
          <w:p>
            <w:pPr>
              <w:rPr>
                <w:rFonts w:ascii="Arial"/>
              </w:rPr>
            </w:pPr>
          </w:p>
        </w:tc>
        <w:tc>
          <w:tcPr>
            <w:tcW w:w="851" w:type="dxa"/>
          </w:tcPr>
          <w:p>
            <w:pPr>
              <w:rPr>
                <w:rFonts w:ascii="Arial"/>
              </w:rPr>
            </w:pPr>
          </w:p>
        </w:tc>
        <w:tc>
          <w:tcPr>
            <w:tcW w:w="1462" w:type="dxa"/>
          </w:tcPr>
          <w:p>
            <w:pPr>
              <w:rPr>
                <w:rFonts w:ascii="Arial"/>
              </w:rPr>
            </w:pPr>
          </w:p>
        </w:tc>
        <w:tc>
          <w:tcPr>
            <w:tcW w:w="1610" w:type="dxa"/>
            <w:gridSpan w:val="2"/>
          </w:tcPr>
          <w:p>
            <w:pPr>
              <w:rPr>
                <w:rFonts w:ascii="Arial"/>
              </w:rPr>
            </w:pPr>
          </w:p>
        </w:tc>
        <w:tc>
          <w:tcPr>
            <w:tcW w:w="1288" w:type="dxa"/>
          </w:tcPr>
          <w:p>
            <w:pPr>
              <w:rPr>
                <w:rFonts w:ascii="Arial"/>
              </w:rPr>
            </w:pPr>
          </w:p>
        </w:tc>
        <w:tc>
          <w:tcPr>
            <w:tcW w:w="1123" w:type="dxa"/>
          </w:tcPr>
          <w:p>
            <w:pPr>
              <w:rPr>
                <w:rFonts w:ascii="Arial"/>
              </w:rPr>
            </w:pPr>
          </w:p>
        </w:tc>
        <w:tc>
          <w:tcPr>
            <w:tcW w:w="652" w:type="dxa"/>
            <w:vMerge w:val="continue"/>
            <w:tcBorders>
              <w:top w:val="nil"/>
              <w:bottom w:val="nil"/>
            </w:tcBorders>
            <w:textDirection w:val="tbRlV"/>
          </w:tcPr>
          <w:p>
            <w:pPr>
              <w:rPr>
                <w:rFonts w:ascii="Arial"/>
              </w:rPr>
            </w:pPr>
          </w:p>
        </w:tc>
        <w:tc>
          <w:tcPr>
            <w:tcW w:w="1334" w:type="dxa"/>
            <w:gridSpan w:val="2"/>
            <w:vAlign w:val="center"/>
          </w:tcPr>
          <w:p>
            <w:pPr>
              <w:spacing w:before="181" w:line="185" w:lineRule="auto"/>
              <w:ind w:left="116"/>
              <w:rPr>
                <w:rFonts w:ascii="Times New Roman" w:hAnsi="Times New Roman" w:eastAsia="Times New Roman"/>
                <w:sz w:val="18"/>
                <w:szCs w:val="18"/>
              </w:rPr>
            </w:pPr>
            <w:r>
              <w:rPr>
                <w:rFonts w:ascii="Times New Roman" w:hAnsi="Times New Roman" w:eastAsia="Times New Roman"/>
                <w:b/>
                <w:bCs/>
                <w:spacing w:val="-2"/>
                <w:sz w:val="18"/>
                <w:szCs w:val="18"/>
              </w:rPr>
              <w:t>Mpa</w:t>
            </w:r>
          </w:p>
        </w:tc>
        <w:tc>
          <w:tcPr>
            <w:tcW w:w="1420" w:type="dxa"/>
            <w:gridSpan w:val="2"/>
          </w:tcPr>
          <w:p>
            <w:pPr>
              <w:rPr>
                <w:rFonts w:ascii="Arial"/>
              </w:rPr>
            </w:pPr>
          </w:p>
        </w:tc>
        <w:tc>
          <w:tcPr>
            <w:tcW w:w="1115" w:type="dxa"/>
          </w:tcPr>
          <w:p>
            <w:pPr>
              <w:rPr>
                <w:rFonts w:ascii="Arial"/>
              </w:rPr>
            </w:pPr>
          </w:p>
        </w:tc>
        <w:tc>
          <w:tcPr>
            <w:tcW w:w="1070" w:type="dxa"/>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1202" w:type="dxa"/>
            <w:gridSpan w:val="3"/>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1193" w:type="dxa"/>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1" w:hRule="atLeast"/>
        </w:trPr>
        <w:tc>
          <w:tcPr>
            <w:tcW w:w="397" w:type="dxa"/>
            <w:vMerge w:val="continue"/>
            <w:tcBorders>
              <w:top w:val="nil"/>
              <w:bottom w:val="nil"/>
            </w:tcBorders>
            <w:textDirection w:val="tbRlV"/>
          </w:tcPr>
          <w:p>
            <w:pPr>
              <w:rPr>
                <w:rFonts w:ascii="Arial"/>
              </w:rPr>
            </w:pPr>
          </w:p>
        </w:tc>
        <w:tc>
          <w:tcPr>
            <w:tcW w:w="1708" w:type="dxa"/>
            <w:gridSpan w:val="2"/>
            <w:vMerge w:val="continue"/>
            <w:tcBorders>
              <w:top w:val="nil"/>
            </w:tcBorders>
          </w:tcPr>
          <w:p>
            <w:pPr>
              <w:rPr>
                <w:rFonts w:ascii="Arial"/>
              </w:rPr>
            </w:pPr>
          </w:p>
        </w:tc>
        <w:tc>
          <w:tcPr>
            <w:tcW w:w="1785" w:type="dxa"/>
            <w:gridSpan w:val="4"/>
          </w:tcPr>
          <w:p>
            <w:pPr>
              <w:pStyle w:val="243"/>
              <w:spacing w:before="150" w:line="235" w:lineRule="auto"/>
              <w:ind w:left="107"/>
            </w:pPr>
            <w:r>
              <w:rPr>
                <w:rFonts w:ascii="Times New Roman" w:hAnsi="Times New Roman" w:eastAsia="Times New Roman" w:cs="Times New Roman"/>
                <w:b/>
                <w:bCs/>
                <w:spacing w:val="-3"/>
              </w:rPr>
              <w:t>2</w:t>
            </w:r>
            <w:r>
              <w:rPr>
                <w:spacing w:val="-3"/>
                <w14:textOutline w14:w="3263" w14:cap="sq" w14:cmpd="sng" w14:algn="ctr">
                  <w14:solidFill>
                    <w14:srgbClr w14:val="000000"/>
                  </w14:solidFill>
                  <w14:prstDash w14:val="solid"/>
                  <w14:bevel/>
                </w14:textOutline>
              </w:rPr>
              <w:t>：</w:t>
            </w:r>
          </w:p>
        </w:tc>
        <w:tc>
          <w:tcPr>
            <w:tcW w:w="905" w:type="dxa"/>
          </w:tcPr>
          <w:p>
            <w:pPr>
              <w:rPr>
                <w:rFonts w:ascii="Arial"/>
              </w:rPr>
            </w:pPr>
          </w:p>
        </w:tc>
        <w:tc>
          <w:tcPr>
            <w:tcW w:w="777" w:type="dxa"/>
          </w:tcPr>
          <w:p>
            <w:pPr>
              <w:rPr>
                <w:rFonts w:ascii="Arial"/>
              </w:rPr>
            </w:pPr>
          </w:p>
        </w:tc>
        <w:tc>
          <w:tcPr>
            <w:tcW w:w="756" w:type="dxa"/>
            <w:gridSpan w:val="2"/>
          </w:tcPr>
          <w:p>
            <w:pPr>
              <w:rPr>
                <w:rFonts w:ascii="Arial"/>
              </w:rPr>
            </w:pPr>
          </w:p>
        </w:tc>
        <w:tc>
          <w:tcPr>
            <w:tcW w:w="851" w:type="dxa"/>
          </w:tcPr>
          <w:p>
            <w:pPr>
              <w:rPr>
                <w:rFonts w:ascii="Arial"/>
              </w:rPr>
            </w:pPr>
          </w:p>
        </w:tc>
        <w:tc>
          <w:tcPr>
            <w:tcW w:w="1462" w:type="dxa"/>
          </w:tcPr>
          <w:p>
            <w:pPr>
              <w:rPr>
                <w:rFonts w:ascii="Arial"/>
              </w:rPr>
            </w:pPr>
          </w:p>
        </w:tc>
        <w:tc>
          <w:tcPr>
            <w:tcW w:w="1610" w:type="dxa"/>
            <w:gridSpan w:val="2"/>
          </w:tcPr>
          <w:p>
            <w:pPr>
              <w:rPr>
                <w:rFonts w:ascii="Arial"/>
              </w:rPr>
            </w:pPr>
          </w:p>
        </w:tc>
        <w:tc>
          <w:tcPr>
            <w:tcW w:w="1288" w:type="dxa"/>
          </w:tcPr>
          <w:p>
            <w:pPr>
              <w:rPr>
                <w:rFonts w:ascii="Arial"/>
              </w:rPr>
            </w:pPr>
          </w:p>
        </w:tc>
        <w:tc>
          <w:tcPr>
            <w:tcW w:w="1123" w:type="dxa"/>
          </w:tcPr>
          <w:p>
            <w:pPr>
              <w:rPr>
                <w:rFonts w:ascii="Arial"/>
              </w:rPr>
            </w:pPr>
          </w:p>
        </w:tc>
        <w:tc>
          <w:tcPr>
            <w:tcW w:w="652" w:type="dxa"/>
            <w:vMerge w:val="continue"/>
            <w:tcBorders>
              <w:top w:val="nil"/>
              <w:bottom w:val="nil"/>
            </w:tcBorders>
            <w:textDirection w:val="tbRlV"/>
          </w:tcPr>
          <w:p>
            <w:pPr>
              <w:rPr>
                <w:rFonts w:ascii="Arial"/>
              </w:rPr>
            </w:pPr>
          </w:p>
        </w:tc>
        <w:tc>
          <w:tcPr>
            <w:tcW w:w="1334" w:type="dxa"/>
            <w:gridSpan w:val="2"/>
            <w:vAlign w:val="center"/>
          </w:tcPr>
          <w:p>
            <w:pPr>
              <w:spacing w:before="181" w:line="185" w:lineRule="auto"/>
              <w:ind w:left="116"/>
              <w:rPr>
                <w:rFonts w:ascii="Times New Roman" w:hAnsi="Times New Roman" w:eastAsia="Times New Roman"/>
                <w:sz w:val="18"/>
                <w:szCs w:val="18"/>
              </w:rPr>
            </w:pPr>
            <w:r>
              <w:rPr>
                <w:rFonts w:ascii="Times New Roman" w:hAnsi="Times New Roman" w:eastAsia="Times New Roman"/>
                <w:b/>
                <w:bCs/>
                <w:spacing w:val="-2"/>
                <w:sz w:val="18"/>
                <w:szCs w:val="18"/>
              </w:rPr>
              <w:t>Mpa</w:t>
            </w:r>
          </w:p>
        </w:tc>
        <w:tc>
          <w:tcPr>
            <w:tcW w:w="1420" w:type="dxa"/>
            <w:gridSpan w:val="2"/>
          </w:tcPr>
          <w:p>
            <w:pPr>
              <w:rPr>
                <w:rFonts w:ascii="Arial"/>
              </w:rPr>
            </w:pPr>
          </w:p>
        </w:tc>
        <w:tc>
          <w:tcPr>
            <w:tcW w:w="1115" w:type="dxa"/>
          </w:tcPr>
          <w:p>
            <w:pPr>
              <w:rPr>
                <w:rFonts w:ascii="Arial"/>
              </w:rPr>
            </w:pPr>
          </w:p>
        </w:tc>
        <w:tc>
          <w:tcPr>
            <w:tcW w:w="1070" w:type="dxa"/>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1202" w:type="dxa"/>
            <w:gridSpan w:val="3"/>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1193" w:type="dxa"/>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1" w:hRule="atLeast"/>
        </w:trPr>
        <w:tc>
          <w:tcPr>
            <w:tcW w:w="397" w:type="dxa"/>
            <w:vMerge w:val="continue"/>
            <w:tcBorders>
              <w:top w:val="nil"/>
              <w:bottom w:val="nil"/>
            </w:tcBorders>
            <w:textDirection w:val="tbRlV"/>
          </w:tcPr>
          <w:p>
            <w:pPr>
              <w:rPr>
                <w:rFonts w:ascii="Arial"/>
              </w:rPr>
            </w:pPr>
          </w:p>
        </w:tc>
        <w:tc>
          <w:tcPr>
            <w:tcW w:w="1708" w:type="dxa"/>
            <w:gridSpan w:val="2"/>
            <w:vMerge w:val="restart"/>
            <w:tcBorders>
              <w:bottom w:val="nil"/>
            </w:tcBorders>
          </w:tcPr>
          <w:p>
            <w:pPr>
              <w:widowControl/>
              <w:jc w:val="left"/>
              <w:rPr>
                <w:rFonts w:ascii="Times New Roman" w:hAnsi="Times New Roman" w:eastAsia="Times New Roman"/>
              </w:rPr>
            </w:pPr>
            <w:r>
              <w:rPr>
                <w:rFonts w:hint="eastAsia" w:ascii="Times New Roman" w:hAnsi="Times New Roman"/>
                <w:color w:val="000000"/>
                <w:kern w:val="0"/>
                <w:sz w:val="18"/>
                <w:szCs w:val="18"/>
                <w:lang w:bidi="ar"/>
              </w:rPr>
              <w:t>□</w:t>
            </w:r>
            <w:r>
              <w:rPr>
                <w:rFonts w:hint="eastAsia" w:ascii="宋体" w:hAnsi="宋体" w:cs="宋体"/>
                <w:b/>
                <w:bCs/>
                <w:color w:val="000000"/>
                <w:kern w:val="0"/>
                <w:sz w:val="18"/>
                <w:szCs w:val="18"/>
                <w:lang w:bidi="ar"/>
              </w:rPr>
              <w:t>中区</w:t>
            </w:r>
            <w:r>
              <w:rPr>
                <w:rFonts w:hint="eastAsia" w:ascii="宋体" w:hAnsi="宋体" w:cs="宋体"/>
                <w:color w:val="000000"/>
                <w:kern w:val="0"/>
                <w:sz w:val="18"/>
                <w:szCs w:val="18"/>
                <w:lang w:bidi="ar"/>
              </w:rPr>
              <w:t>从层至层</w:t>
            </w:r>
            <w:r>
              <w:rPr>
                <w:rFonts w:hint="eastAsia" w:ascii="Times New Roman" w:hAnsi="Times New Roman"/>
                <w:color w:val="000000"/>
                <w:kern w:val="0"/>
                <w:sz w:val="18"/>
                <w:szCs w:val="18"/>
                <w:lang w:bidi="ar"/>
              </w:rPr>
              <w:t>□</w:t>
            </w:r>
            <w:r>
              <w:rPr>
                <w:rFonts w:hint="eastAsia" w:ascii="宋体" w:hAnsi="宋体" w:cs="宋体"/>
                <w:color w:val="000000"/>
                <w:kern w:val="0"/>
                <w:sz w:val="18"/>
                <w:szCs w:val="18"/>
                <w:lang w:bidi="ar"/>
              </w:rPr>
              <w:t xml:space="preserve">阁 </w:t>
            </w:r>
            <w:r>
              <w:rPr>
                <w:rFonts w:ascii="Times New Roman" w:hAnsi="Times New Roman"/>
                <w:color w:val="000000"/>
                <w:kern w:val="0"/>
                <w:sz w:val="18"/>
                <w:szCs w:val="18"/>
                <w:lang w:bidi="ar"/>
              </w:rPr>
              <w:t>(</w:t>
            </w:r>
            <w:r>
              <w:rPr>
                <w:rFonts w:hint="eastAsia" w:ascii="宋体" w:hAnsi="宋体" w:cs="宋体"/>
                <w:color w:val="000000"/>
                <w:kern w:val="0"/>
                <w:sz w:val="18"/>
                <w:szCs w:val="18"/>
                <w:lang w:bidi="ar"/>
              </w:rPr>
              <w:t>栋</w:t>
            </w:r>
            <w:r>
              <w:rPr>
                <w:rFonts w:ascii="Times New Roman" w:hAnsi="Times New Roman"/>
                <w:color w:val="000000"/>
                <w:kern w:val="0"/>
                <w:sz w:val="18"/>
                <w:szCs w:val="18"/>
                <w:lang w:bidi="ar"/>
              </w:rPr>
              <w:t>)</w:t>
            </w:r>
          </w:p>
        </w:tc>
        <w:tc>
          <w:tcPr>
            <w:tcW w:w="1785" w:type="dxa"/>
            <w:gridSpan w:val="4"/>
          </w:tcPr>
          <w:p>
            <w:pPr>
              <w:pStyle w:val="243"/>
              <w:spacing w:before="149" w:line="235" w:lineRule="auto"/>
              <w:ind w:left="115"/>
            </w:pPr>
            <w:r>
              <w:rPr>
                <w:rFonts w:ascii="Times New Roman" w:hAnsi="Times New Roman" w:eastAsia="Times New Roman" w:cs="Times New Roman"/>
                <w:b/>
                <w:bCs/>
                <w:spacing w:val="-6"/>
              </w:rPr>
              <w:t>1</w:t>
            </w:r>
            <w:r>
              <w:rPr>
                <w:spacing w:val="-6"/>
                <w14:textOutline w14:w="3263" w14:cap="sq" w14:cmpd="sng" w14:algn="ctr">
                  <w14:solidFill>
                    <w14:srgbClr w14:val="000000"/>
                  </w14:solidFill>
                  <w14:prstDash w14:val="solid"/>
                  <w14:bevel/>
                </w14:textOutline>
              </w:rPr>
              <w:t>：</w:t>
            </w:r>
          </w:p>
        </w:tc>
        <w:tc>
          <w:tcPr>
            <w:tcW w:w="905" w:type="dxa"/>
          </w:tcPr>
          <w:p>
            <w:pPr>
              <w:rPr>
                <w:rFonts w:ascii="Arial"/>
              </w:rPr>
            </w:pPr>
          </w:p>
        </w:tc>
        <w:tc>
          <w:tcPr>
            <w:tcW w:w="777" w:type="dxa"/>
          </w:tcPr>
          <w:p>
            <w:pPr>
              <w:rPr>
                <w:rFonts w:ascii="Arial"/>
              </w:rPr>
            </w:pPr>
          </w:p>
        </w:tc>
        <w:tc>
          <w:tcPr>
            <w:tcW w:w="756" w:type="dxa"/>
            <w:gridSpan w:val="2"/>
          </w:tcPr>
          <w:p>
            <w:pPr>
              <w:rPr>
                <w:rFonts w:ascii="Arial"/>
              </w:rPr>
            </w:pPr>
          </w:p>
        </w:tc>
        <w:tc>
          <w:tcPr>
            <w:tcW w:w="851" w:type="dxa"/>
          </w:tcPr>
          <w:p>
            <w:pPr>
              <w:rPr>
                <w:rFonts w:ascii="Arial"/>
              </w:rPr>
            </w:pPr>
          </w:p>
        </w:tc>
        <w:tc>
          <w:tcPr>
            <w:tcW w:w="1462" w:type="dxa"/>
          </w:tcPr>
          <w:p>
            <w:pPr>
              <w:rPr>
                <w:rFonts w:ascii="Arial"/>
              </w:rPr>
            </w:pPr>
          </w:p>
        </w:tc>
        <w:tc>
          <w:tcPr>
            <w:tcW w:w="1610" w:type="dxa"/>
            <w:gridSpan w:val="2"/>
          </w:tcPr>
          <w:p>
            <w:pPr>
              <w:rPr>
                <w:rFonts w:ascii="Arial"/>
              </w:rPr>
            </w:pPr>
          </w:p>
        </w:tc>
        <w:tc>
          <w:tcPr>
            <w:tcW w:w="1288" w:type="dxa"/>
          </w:tcPr>
          <w:p>
            <w:pPr>
              <w:rPr>
                <w:rFonts w:ascii="Arial"/>
              </w:rPr>
            </w:pPr>
          </w:p>
        </w:tc>
        <w:tc>
          <w:tcPr>
            <w:tcW w:w="1123" w:type="dxa"/>
          </w:tcPr>
          <w:p>
            <w:pPr>
              <w:rPr>
                <w:rFonts w:ascii="Arial"/>
              </w:rPr>
            </w:pPr>
          </w:p>
        </w:tc>
        <w:tc>
          <w:tcPr>
            <w:tcW w:w="652" w:type="dxa"/>
            <w:vMerge w:val="continue"/>
            <w:tcBorders>
              <w:top w:val="nil"/>
              <w:bottom w:val="nil"/>
            </w:tcBorders>
            <w:textDirection w:val="tbRlV"/>
          </w:tcPr>
          <w:p>
            <w:pPr>
              <w:rPr>
                <w:rFonts w:ascii="Arial"/>
              </w:rPr>
            </w:pPr>
          </w:p>
        </w:tc>
        <w:tc>
          <w:tcPr>
            <w:tcW w:w="1334" w:type="dxa"/>
            <w:gridSpan w:val="2"/>
            <w:vAlign w:val="center"/>
          </w:tcPr>
          <w:p>
            <w:pPr>
              <w:spacing w:before="181" w:line="185" w:lineRule="auto"/>
              <w:ind w:left="116"/>
              <w:rPr>
                <w:rFonts w:ascii="Times New Roman" w:hAnsi="Times New Roman" w:eastAsia="Times New Roman"/>
                <w:sz w:val="18"/>
                <w:szCs w:val="18"/>
              </w:rPr>
            </w:pPr>
            <w:r>
              <w:rPr>
                <w:rFonts w:ascii="Times New Roman" w:hAnsi="Times New Roman" w:eastAsia="Times New Roman"/>
                <w:b/>
                <w:bCs/>
                <w:spacing w:val="-2"/>
                <w:sz w:val="18"/>
                <w:szCs w:val="18"/>
              </w:rPr>
              <w:t>Mpa</w:t>
            </w:r>
          </w:p>
        </w:tc>
        <w:tc>
          <w:tcPr>
            <w:tcW w:w="1420" w:type="dxa"/>
            <w:gridSpan w:val="2"/>
          </w:tcPr>
          <w:p>
            <w:pPr>
              <w:rPr>
                <w:rFonts w:ascii="Arial"/>
              </w:rPr>
            </w:pPr>
          </w:p>
        </w:tc>
        <w:tc>
          <w:tcPr>
            <w:tcW w:w="1115" w:type="dxa"/>
          </w:tcPr>
          <w:p>
            <w:pPr>
              <w:rPr>
                <w:rFonts w:ascii="Arial"/>
              </w:rPr>
            </w:pPr>
          </w:p>
        </w:tc>
        <w:tc>
          <w:tcPr>
            <w:tcW w:w="1070" w:type="dxa"/>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1202" w:type="dxa"/>
            <w:gridSpan w:val="3"/>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1193" w:type="dxa"/>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2" w:hRule="atLeast"/>
        </w:trPr>
        <w:tc>
          <w:tcPr>
            <w:tcW w:w="397" w:type="dxa"/>
            <w:vMerge w:val="continue"/>
            <w:tcBorders>
              <w:top w:val="nil"/>
              <w:bottom w:val="nil"/>
            </w:tcBorders>
            <w:textDirection w:val="tbRlV"/>
          </w:tcPr>
          <w:p>
            <w:pPr>
              <w:rPr>
                <w:rFonts w:ascii="Arial"/>
              </w:rPr>
            </w:pPr>
          </w:p>
        </w:tc>
        <w:tc>
          <w:tcPr>
            <w:tcW w:w="1708" w:type="dxa"/>
            <w:gridSpan w:val="2"/>
            <w:vMerge w:val="continue"/>
            <w:tcBorders>
              <w:top w:val="nil"/>
            </w:tcBorders>
          </w:tcPr>
          <w:p>
            <w:pPr>
              <w:rPr>
                <w:rFonts w:ascii="Arial"/>
              </w:rPr>
            </w:pPr>
          </w:p>
        </w:tc>
        <w:tc>
          <w:tcPr>
            <w:tcW w:w="1785" w:type="dxa"/>
            <w:gridSpan w:val="4"/>
          </w:tcPr>
          <w:p>
            <w:pPr>
              <w:pStyle w:val="243"/>
              <w:spacing w:before="149" w:line="235" w:lineRule="auto"/>
              <w:ind w:left="107"/>
            </w:pPr>
            <w:r>
              <w:rPr>
                <w:rFonts w:ascii="Times New Roman" w:hAnsi="Times New Roman" w:eastAsia="Times New Roman" w:cs="Times New Roman"/>
                <w:b/>
                <w:bCs/>
                <w:spacing w:val="-3"/>
              </w:rPr>
              <w:t>2</w:t>
            </w:r>
            <w:r>
              <w:rPr>
                <w:spacing w:val="-3"/>
                <w14:textOutline w14:w="3263" w14:cap="sq" w14:cmpd="sng" w14:algn="ctr">
                  <w14:solidFill>
                    <w14:srgbClr w14:val="000000"/>
                  </w14:solidFill>
                  <w14:prstDash w14:val="solid"/>
                  <w14:bevel/>
                </w14:textOutline>
              </w:rPr>
              <w:t>：</w:t>
            </w:r>
          </w:p>
        </w:tc>
        <w:tc>
          <w:tcPr>
            <w:tcW w:w="905" w:type="dxa"/>
          </w:tcPr>
          <w:p>
            <w:pPr>
              <w:rPr>
                <w:rFonts w:ascii="Arial"/>
              </w:rPr>
            </w:pPr>
          </w:p>
        </w:tc>
        <w:tc>
          <w:tcPr>
            <w:tcW w:w="777" w:type="dxa"/>
          </w:tcPr>
          <w:p>
            <w:pPr>
              <w:rPr>
                <w:rFonts w:ascii="Arial"/>
              </w:rPr>
            </w:pPr>
          </w:p>
        </w:tc>
        <w:tc>
          <w:tcPr>
            <w:tcW w:w="756" w:type="dxa"/>
            <w:gridSpan w:val="2"/>
          </w:tcPr>
          <w:p>
            <w:pPr>
              <w:rPr>
                <w:rFonts w:ascii="Arial"/>
              </w:rPr>
            </w:pPr>
          </w:p>
        </w:tc>
        <w:tc>
          <w:tcPr>
            <w:tcW w:w="851" w:type="dxa"/>
          </w:tcPr>
          <w:p>
            <w:pPr>
              <w:rPr>
                <w:rFonts w:ascii="Arial"/>
              </w:rPr>
            </w:pPr>
          </w:p>
        </w:tc>
        <w:tc>
          <w:tcPr>
            <w:tcW w:w="1462" w:type="dxa"/>
          </w:tcPr>
          <w:p>
            <w:pPr>
              <w:rPr>
                <w:rFonts w:ascii="Arial"/>
              </w:rPr>
            </w:pPr>
          </w:p>
        </w:tc>
        <w:tc>
          <w:tcPr>
            <w:tcW w:w="1610" w:type="dxa"/>
            <w:gridSpan w:val="2"/>
          </w:tcPr>
          <w:p>
            <w:pPr>
              <w:rPr>
                <w:rFonts w:ascii="Arial"/>
              </w:rPr>
            </w:pPr>
          </w:p>
        </w:tc>
        <w:tc>
          <w:tcPr>
            <w:tcW w:w="1288" w:type="dxa"/>
          </w:tcPr>
          <w:p>
            <w:pPr>
              <w:rPr>
                <w:rFonts w:ascii="Arial"/>
              </w:rPr>
            </w:pPr>
          </w:p>
        </w:tc>
        <w:tc>
          <w:tcPr>
            <w:tcW w:w="1123" w:type="dxa"/>
          </w:tcPr>
          <w:p>
            <w:pPr>
              <w:rPr>
                <w:rFonts w:ascii="Arial"/>
              </w:rPr>
            </w:pPr>
          </w:p>
        </w:tc>
        <w:tc>
          <w:tcPr>
            <w:tcW w:w="652" w:type="dxa"/>
            <w:vMerge w:val="continue"/>
            <w:tcBorders>
              <w:top w:val="nil"/>
              <w:bottom w:val="nil"/>
            </w:tcBorders>
            <w:textDirection w:val="tbRlV"/>
          </w:tcPr>
          <w:p>
            <w:pPr>
              <w:rPr>
                <w:rFonts w:ascii="Arial"/>
              </w:rPr>
            </w:pPr>
          </w:p>
        </w:tc>
        <w:tc>
          <w:tcPr>
            <w:tcW w:w="1334" w:type="dxa"/>
            <w:gridSpan w:val="2"/>
            <w:vAlign w:val="center"/>
          </w:tcPr>
          <w:p>
            <w:pPr>
              <w:spacing w:before="183" w:line="185" w:lineRule="auto"/>
              <w:ind w:left="116"/>
              <w:rPr>
                <w:rFonts w:ascii="Times New Roman" w:hAnsi="Times New Roman" w:eastAsia="Times New Roman"/>
                <w:sz w:val="18"/>
                <w:szCs w:val="18"/>
              </w:rPr>
            </w:pPr>
            <w:r>
              <w:rPr>
                <w:rFonts w:ascii="Times New Roman" w:hAnsi="Times New Roman" w:eastAsia="Times New Roman"/>
                <w:b/>
                <w:bCs/>
                <w:spacing w:val="-2"/>
                <w:sz w:val="18"/>
                <w:szCs w:val="18"/>
              </w:rPr>
              <w:t>Mpa</w:t>
            </w:r>
          </w:p>
        </w:tc>
        <w:tc>
          <w:tcPr>
            <w:tcW w:w="1420" w:type="dxa"/>
            <w:gridSpan w:val="2"/>
          </w:tcPr>
          <w:p>
            <w:pPr>
              <w:rPr>
                <w:rFonts w:ascii="Arial"/>
              </w:rPr>
            </w:pPr>
          </w:p>
        </w:tc>
        <w:tc>
          <w:tcPr>
            <w:tcW w:w="1115" w:type="dxa"/>
          </w:tcPr>
          <w:p>
            <w:pPr>
              <w:rPr>
                <w:rFonts w:ascii="Arial"/>
              </w:rPr>
            </w:pPr>
          </w:p>
        </w:tc>
        <w:tc>
          <w:tcPr>
            <w:tcW w:w="1070" w:type="dxa"/>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1202" w:type="dxa"/>
            <w:gridSpan w:val="3"/>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1193" w:type="dxa"/>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2" w:hRule="atLeast"/>
        </w:trPr>
        <w:tc>
          <w:tcPr>
            <w:tcW w:w="397" w:type="dxa"/>
            <w:vMerge w:val="continue"/>
            <w:tcBorders>
              <w:top w:val="nil"/>
              <w:bottom w:val="nil"/>
            </w:tcBorders>
            <w:textDirection w:val="tbRlV"/>
          </w:tcPr>
          <w:p>
            <w:pPr>
              <w:rPr>
                <w:rFonts w:ascii="Arial"/>
              </w:rPr>
            </w:pPr>
          </w:p>
        </w:tc>
        <w:tc>
          <w:tcPr>
            <w:tcW w:w="1708" w:type="dxa"/>
            <w:gridSpan w:val="2"/>
            <w:vMerge w:val="restart"/>
            <w:tcBorders>
              <w:bottom w:val="nil"/>
            </w:tcBorders>
          </w:tcPr>
          <w:p>
            <w:pPr>
              <w:widowControl/>
              <w:jc w:val="left"/>
              <w:rPr>
                <w:rFonts w:ascii="Times New Roman" w:hAnsi="Times New Roman" w:eastAsia="Times New Roman"/>
              </w:rPr>
            </w:pPr>
            <w:r>
              <w:rPr>
                <w:rFonts w:hint="eastAsia" w:ascii="Times New Roman" w:hAnsi="Times New Roman"/>
                <w:color w:val="000000"/>
                <w:kern w:val="0"/>
                <w:sz w:val="18"/>
                <w:szCs w:val="18"/>
                <w:lang w:bidi="ar"/>
              </w:rPr>
              <w:t>□</w:t>
            </w:r>
            <w:r>
              <w:rPr>
                <w:rFonts w:hint="eastAsia" w:ascii="宋体" w:hAnsi="宋体" w:cs="宋体"/>
                <w:b/>
                <w:bCs/>
                <w:color w:val="000000"/>
                <w:kern w:val="0"/>
                <w:sz w:val="18"/>
                <w:szCs w:val="18"/>
                <w:lang w:bidi="ar"/>
              </w:rPr>
              <w:t>低区</w:t>
            </w:r>
            <w:r>
              <w:rPr>
                <w:rFonts w:hint="eastAsia" w:ascii="宋体" w:hAnsi="宋体" w:cs="宋体"/>
                <w:color w:val="000000"/>
                <w:kern w:val="0"/>
                <w:sz w:val="18"/>
                <w:szCs w:val="18"/>
                <w:lang w:bidi="ar"/>
              </w:rPr>
              <w:t>从层至层</w:t>
            </w:r>
            <w:r>
              <w:rPr>
                <w:rFonts w:hint="eastAsia" w:ascii="Times New Roman" w:hAnsi="Times New Roman"/>
                <w:color w:val="000000"/>
                <w:kern w:val="0"/>
                <w:sz w:val="18"/>
                <w:szCs w:val="18"/>
                <w:lang w:bidi="ar"/>
              </w:rPr>
              <w:t>□</w:t>
            </w:r>
            <w:r>
              <w:rPr>
                <w:rFonts w:hint="eastAsia" w:ascii="宋体" w:hAnsi="宋体" w:cs="宋体"/>
                <w:color w:val="000000"/>
                <w:kern w:val="0"/>
                <w:sz w:val="18"/>
                <w:szCs w:val="18"/>
                <w:lang w:bidi="ar"/>
              </w:rPr>
              <w:t xml:space="preserve">阁 </w:t>
            </w:r>
            <w:r>
              <w:rPr>
                <w:rFonts w:ascii="Times New Roman" w:hAnsi="Times New Roman"/>
                <w:color w:val="000000"/>
                <w:kern w:val="0"/>
                <w:sz w:val="18"/>
                <w:szCs w:val="18"/>
                <w:lang w:bidi="ar"/>
              </w:rPr>
              <w:t>(</w:t>
            </w:r>
            <w:r>
              <w:rPr>
                <w:rFonts w:hint="eastAsia" w:ascii="宋体" w:hAnsi="宋体" w:cs="宋体"/>
                <w:color w:val="000000"/>
                <w:kern w:val="0"/>
                <w:sz w:val="18"/>
                <w:szCs w:val="18"/>
                <w:lang w:bidi="ar"/>
              </w:rPr>
              <w:t>栋</w:t>
            </w:r>
            <w:r>
              <w:rPr>
                <w:rFonts w:ascii="Times New Roman" w:hAnsi="Times New Roman"/>
                <w:color w:val="000000"/>
                <w:kern w:val="0"/>
                <w:sz w:val="18"/>
                <w:szCs w:val="18"/>
                <w:lang w:bidi="ar"/>
              </w:rPr>
              <w:t>)</w:t>
            </w:r>
          </w:p>
        </w:tc>
        <w:tc>
          <w:tcPr>
            <w:tcW w:w="1785" w:type="dxa"/>
            <w:gridSpan w:val="4"/>
          </w:tcPr>
          <w:p>
            <w:pPr>
              <w:pStyle w:val="243"/>
              <w:spacing w:before="148" w:line="235" w:lineRule="auto"/>
              <w:ind w:left="115"/>
            </w:pPr>
            <w:r>
              <w:rPr>
                <w:rFonts w:ascii="Times New Roman" w:hAnsi="Times New Roman" w:eastAsia="Times New Roman" w:cs="Times New Roman"/>
                <w:b/>
                <w:bCs/>
                <w:spacing w:val="-6"/>
              </w:rPr>
              <w:t>1</w:t>
            </w:r>
            <w:r>
              <w:rPr>
                <w:spacing w:val="-6"/>
                <w14:textOutline w14:w="3263" w14:cap="sq" w14:cmpd="sng" w14:algn="ctr">
                  <w14:solidFill>
                    <w14:srgbClr w14:val="000000"/>
                  </w14:solidFill>
                  <w14:prstDash w14:val="solid"/>
                  <w14:bevel/>
                </w14:textOutline>
              </w:rPr>
              <w:t>：</w:t>
            </w:r>
          </w:p>
        </w:tc>
        <w:tc>
          <w:tcPr>
            <w:tcW w:w="905" w:type="dxa"/>
          </w:tcPr>
          <w:p>
            <w:pPr>
              <w:rPr>
                <w:rFonts w:ascii="Arial"/>
              </w:rPr>
            </w:pPr>
          </w:p>
        </w:tc>
        <w:tc>
          <w:tcPr>
            <w:tcW w:w="777" w:type="dxa"/>
          </w:tcPr>
          <w:p>
            <w:pPr>
              <w:rPr>
                <w:rFonts w:ascii="Arial"/>
              </w:rPr>
            </w:pPr>
          </w:p>
        </w:tc>
        <w:tc>
          <w:tcPr>
            <w:tcW w:w="756" w:type="dxa"/>
            <w:gridSpan w:val="2"/>
          </w:tcPr>
          <w:p>
            <w:pPr>
              <w:rPr>
                <w:rFonts w:ascii="Arial"/>
              </w:rPr>
            </w:pPr>
          </w:p>
        </w:tc>
        <w:tc>
          <w:tcPr>
            <w:tcW w:w="851" w:type="dxa"/>
          </w:tcPr>
          <w:p>
            <w:pPr>
              <w:rPr>
                <w:rFonts w:ascii="Arial"/>
              </w:rPr>
            </w:pPr>
          </w:p>
        </w:tc>
        <w:tc>
          <w:tcPr>
            <w:tcW w:w="1462" w:type="dxa"/>
          </w:tcPr>
          <w:p>
            <w:pPr>
              <w:rPr>
                <w:rFonts w:ascii="Arial"/>
              </w:rPr>
            </w:pPr>
          </w:p>
        </w:tc>
        <w:tc>
          <w:tcPr>
            <w:tcW w:w="1610" w:type="dxa"/>
            <w:gridSpan w:val="2"/>
          </w:tcPr>
          <w:p>
            <w:pPr>
              <w:rPr>
                <w:rFonts w:ascii="Arial"/>
              </w:rPr>
            </w:pPr>
          </w:p>
        </w:tc>
        <w:tc>
          <w:tcPr>
            <w:tcW w:w="1288" w:type="dxa"/>
          </w:tcPr>
          <w:p>
            <w:pPr>
              <w:rPr>
                <w:rFonts w:ascii="Arial"/>
              </w:rPr>
            </w:pPr>
          </w:p>
        </w:tc>
        <w:tc>
          <w:tcPr>
            <w:tcW w:w="1123" w:type="dxa"/>
          </w:tcPr>
          <w:p>
            <w:pPr>
              <w:rPr>
                <w:rFonts w:ascii="Arial"/>
              </w:rPr>
            </w:pPr>
          </w:p>
        </w:tc>
        <w:tc>
          <w:tcPr>
            <w:tcW w:w="652" w:type="dxa"/>
            <w:vMerge w:val="continue"/>
            <w:tcBorders>
              <w:top w:val="nil"/>
              <w:bottom w:val="nil"/>
            </w:tcBorders>
            <w:textDirection w:val="tbRlV"/>
          </w:tcPr>
          <w:p>
            <w:pPr>
              <w:rPr>
                <w:rFonts w:ascii="Arial"/>
              </w:rPr>
            </w:pPr>
          </w:p>
        </w:tc>
        <w:tc>
          <w:tcPr>
            <w:tcW w:w="1334" w:type="dxa"/>
            <w:gridSpan w:val="2"/>
            <w:vAlign w:val="center"/>
          </w:tcPr>
          <w:p>
            <w:pPr>
              <w:spacing w:before="182" w:line="185" w:lineRule="auto"/>
              <w:ind w:left="116"/>
              <w:rPr>
                <w:rFonts w:ascii="Times New Roman" w:hAnsi="Times New Roman" w:eastAsia="Times New Roman"/>
                <w:sz w:val="18"/>
                <w:szCs w:val="18"/>
              </w:rPr>
            </w:pPr>
            <w:r>
              <w:rPr>
                <w:rFonts w:ascii="Times New Roman" w:hAnsi="Times New Roman" w:eastAsia="Times New Roman"/>
                <w:b/>
                <w:bCs/>
                <w:spacing w:val="-2"/>
                <w:sz w:val="18"/>
                <w:szCs w:val="18"/>
              </w:rPr>
              <w:t>Mpa</w:t>
            </w:r>
          </w:p>
        </w:tc>
        <w:tc>
          <w:tcPr>
            <w:tcW w:w="1420" w:type="dxa"/>
            <w:gridSpan w:val="2"/>
          </w:tcPr>
          <w:p>
            <w:pPr>
              <w:rPr>
                <w:rFonts w:ascii="Arial"/>
              </w:rPr>
            </w:pPr>
          </w:p>
        </w:tc>
        <w:tc>
          <w:tcPr>
            <w:tcW w:w="1115" w:type="dxa"/>
          </w:tcPr>
          <w:p>
            <w:pPr>
              <w:rPr>
                <w:rFonts w:ascii="Arial"/>
              </w:rPr>
            </w:pPr>
          </w:p>
        </w:tc>
        <w:tc>
          <w:tcPr>
            <w:tcW w:w="1070" w:type="dxa"/>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1202" w:type="dxa"/>
            <w:gridSpan w:val="3"/>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1193" w:type="dxa"/>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2" w:hRule="atLeast"/>
        </w:trPr>
        <w:tc>
          <w:tcPr>
            <w:tcW w:w="397" w:type="dxa"/>
            <w:vMerge w:val="continue"/>
            <w:tcBorders>
              <w:top w:val="nil"/>
            </w:tcBorders>
            <w:textDirection w:val="tbRlV"/>
          </w:tcPr>
          <w:p>
            <w:pPr>
              <w:rPr>
                <w:rFonts w:ascii="Arial"/>
              </w:rPr>
            </w:pPr>
          </w:p>
        </w:tc>
        <w:tc>
          <w:tcPr>
            <w:tcW w:w="1708" w:type="dxa"/>
            <w:gridSpan w:val="2"/>
            <w:vMerge w:val="continue"/>
            <w:tcBorders>
              <w:top w:val="nil"/>
            </w:tcBorders>
          </w:tcPr>
          <w:p>
            <w:pPr>
              <w:rPr>
                <w:rFonts w:ascii="Arial"/>
              </w:rPr>
            </w:pPr>
          </w:p>
        </w:tc>
        <w:tc>
          <w:tcPr>
            <w:tcW w:w="1785" w:type="dxa"/>
            <w:gridSpan w:val="4"/>
          </w:tcPr>
          <w:p>
            <w:pPr>
              <w:pStyle w:val="243"/>
              <w:spacing w:before="148" w:line="235" w:lineRule="auto"/>
              <w:ind w:left="107"/>
            </w:pPr>
            <w:r>
              <w:rPr>
                <w:rFonts w:ascii="Times New Roman" w:hAnsi="Times New Roman" w:eastAsia="Times New Roman" w:cs="Times New Roman"/>
                <w:b/>
                <w:bCs/>
                <w:spacing w:val="-3"/>
              </w:rPr>
              <w:t>2</w:t>
            </w:r>
            <w:r>
              <w:rPr>
                <w:spacing w:val="-3"/>
                <w14:textOutline w14:w="3263" w14:cap="sq" w14:cmpd="sng" w14:algn="ctr">
                  <w14:solidFill>
                    <w14:srgbClr w14:val="000000"/>
                  </w14:solidFill>
                  <w14:prstDash w14:val="solid"/>
                  <w14:bevel/>
                </w14:textOutline>
              </w:rPr>
              <w:t>：</w:t>
            </w:r>
          </w:p>
        </w:tc>
        <w:tc>
          <w:tcPr>
            <w:tcW w:w="905" w:type="dxa"/>
          </w:tcPr>
          <w:p>
            <w:pPr>
              <w:rPr>
                <w:rFonts w:ascii="Arial"/>
              </w:rPr>
            </w:pPr>
          </w:p>
        </w:tc>
        <w:tc>
          <w:tcPr>
            <w:tcW w:w="777" w:type="dxa"/>
          </w:tcPr>
          <w:p>
            <w:pPr>
              <w:rPr>
                <w:rFonts w:ascii="Arial"/>
              </w:rPr>
            </w:pPr>
          </w:p>
        </w:tc>
        <w:tc>
          <w:tcPr>
            <w:tcW w:w="756" w:type="dxa"/>
            <w:gridSpan w:val="2"/>
          </w:tcPr>
          <w:p>
            <w:pPr>
              <w:rPr>
                <w:rFonts w:ascii="Arial"/>
              </w:rPr>
            </w:pPr>
          </w:p>
        </w:tc>
        <w:tc>
          <w:tcPr>
            <w:tcW w:w="851" w:type="dxa"/>
          </w:tcPr>
          <w:p>
            <w:pPr>
              <w:rPr>
                <w:rFonts w:ascii="Arial"/>
              </w:rPr>
            </w:pPr>
          </w:p>
        </w:tc>
        <w:tc>
          <w:tcPr>
            <w:tcW w:w="1462" w:type="dxa"/>
          </w:tcPr>
          <w:p>
            <w:pPr>
              <w:rPr>
                <w:rFonts w:ascii="Arial"/>
              </w:rPr>
            </w:pPr>
          </w:p>
        </w:tc>
        <w:tc>
          <w:tcPr>
            <w:tcW w:w="1610" w:type="dxa"/>
            <w:gridSpan w:val="2"/>
          </w:tcPr>
          <w:p>
            <w:pPr>
              <w:rPr>
                <w:rFonts w:ascii="Arial"/>
              </w:rPr>
            </w:pPr>
          </w:p>
        </w:tc>
        <w:tc>
          <w:tcPr>
            <w:tcW w:w="1288" w:type="dxa"/>
          </w:tcPr>
          <w:p>
            <w:pPr>
              <w:rPr>
                <w:rFonts w:ascii="Arial"/>
              </w:rPr>
            </w:pPr>
          </w:p>
        </w:tc>
        <w:tc>
          <w:tcPr>
            <w:tcW w:w="1123" w:type="dxa"/>
          </w:tcPr>
          <w:p>
            <w:pPr>
              <w:rPr>
                <w:rFonts w:ascii="Arial"/>
              </w:rPr>
            </w:pPr>
          </w:p>
        </w:tc>
        <w:tc>
          <w:tcPr>
            <w:tcW w:w="652" w:type="dxa"/>
            <w:vMerge w:val="continue"/>
            <w:tcBorders>
              <w:top w:val="nil"/>
              <w:bottom w:val="nil"/>
            </w:tcBorders>
            <w:textDirection w:val="tbRlV"/>
          </w:tcPr>
          <w:p>
            <w:pPr>
              <w:rPr>
                <w:rFonts w:ascii="Arial"/>
              </w:rPr>
            </w:pPr>
          </w:p>
        </w:tc>
        <w:tc>
          <w:tcPr>
            <w:tcW w:w="1334" w:type="dxa"/>
            <w:gridSpan w:val="2"/>
            <w:vAlign w:val="center"/>
          </w:tcPr>
          <w:p>
            <w:pPr>
              <w:spacing w:before="182" w:line="185" w:lineRule="auto"/>
              <w:ind w:left="116"/>
              <w:rPr>
                <w:rFonts w:ascii="Times New Roman" w:hAnsi="Times New Roman" w:eastAsia="Times New Roman"/>
                <w:sz w:val="18"/>
                <w:szCs w:val="18"/>
              </w:rPr>
            </w:pPr>
            <w:r>
              <w:rPr>
                <w:rFonts w:ascii="Times New Roman" w:hAnsi="Times New Roman" w:eastAsia="Times New Roman"/>
                <w:b/>
                <w:bCs/>
                <w:spacing w:val="-2"/>
                <w:sz w:val="18"/>
                <w:szCs w:val="18"/>
              </w:rPr>
              <w:t>Mpa</w:t>
            </w:r>
          </w:p>
        </w:tc>
        <w:tc>
          <w:tcPr>
            <w:tcW w:w="1420" w:type="dxa"/>
            <w:gridSpan w:val="2"/>
          </w:tcPr>
          <w:p>
            <w:pPr>
              <w:rPr>
                <w:rFonts w:ascii="Arial"/>
              </w:rPr>
            </w:pPr>
          </w:p>
        </w:tc>
        <w:tc>
          <w:tcPr>
            <w:tcW w:w="1115" w:type="dxa"/>
          </w:tcPr>
          <w:p>
            <w:pPr>
              <w:rPr>
                <w:rFonts w:ascii="Arial"/>
              </w:rPr>
            </w:pPr>
          </w:p>
        </w:tc>
        <w:tc>
          <w:tcPr>
            <w:tcW w:w="1070" w:type="dxa"/>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1202" w:type="dxa"/>
            <w:gridSpan w:val="3"/>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1193" w:type="dxa"/>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1" w:hRule="atLeast"/>
        </w:trPr>
        <w:tc>
          <w:tcPr>
            <w:tcW w:w="1856" w:type="dxa"/>
            <w:gridSpan w:val="2"/>
            <w:vMerge w:val="restart"/>
          </w:tcPr>
          <w:p>
            <w:pPr>
              <w:pStyle w:val="243"/>
              <w:spacing w:before="59" w:line="219" w:lineRule="auto"/>
              <w:rPr>
                <w:lang w:eastAsia="zh-CN"/>
              </w:rPr>
            </w:pPr>
            <w:r>
              <w:rPr>
                <w:spacing w:val="-3"/>
                <w:lang w:eastAsia="zh-CN"/>
                <w14:textOutline w14:w="3263" w14:cap="sq" w14:cmpd="sng" w14:algn="ctr">
                  <w14:solidFill>
                    <w14:srgbClr w14:val="000000"/>
                  </w14:solidFill>
                  <w14:prstDash w14:val="solid"/>
                  <w14:bevel/>
                </w14:textOutline>
              </w:rPr>
              <w:t>自行节能改造后的设施</w:t>
            </w:r>
          </w:p>
        </w:tc>
        <w:tc>
          <w:tcPr>
            <w:tcW w:w="867" w:type="dxa"/>
            <w:gridSpan w:val="3"/>
          </w:tcPr>
          <w:p>
            <w:pPr>
              <w:pStyle w:val="243"/>
              <w:spacing w:before="150" w:line="219" w:lineRule="auto"/>
              <w:ind w:left="116"/>
            </w:pPr>
            <w:r>
              <w:rPr>
                <w:rFonts w:ascii="Times New Roman" w:hAnsi="Times New Roman" w:eastAsia="Times New Roman" w:cs="Times New Roman"/>
                <w:spacing w:val="-5"/>
              </w:rPr>
              <w:t>□</w:t>
            </w:r>
            <w:r>
              <w:rPr>
                <w:spacing w:val="-5"/>
                <w14:textOutline w14:w="3263" w14:cap="sq" w14:cmpd="sng" w14:algn="ctr">
                  <w14:solidFill>
                    <w14:srgbClr w14:val="000000"/>
                  </w14:solidFill>
                  <w14:prstDash w14:val="solid"/>
                  <w14:bevel/>
                </w14:textOutline>
              </w:rPr>
              <w:t>高区</w:t>
            </w:r>
          </w:p>
        </w:tc>
        <w:tc>
          <w:tcPr>
            <w:tcW w:w="1167" w:type="dxa"/>
            <w:gridSpan w:val="2"/>
          </w:tcPr>
          <w:p>
            <w:pPr>
              <w:rPr>
                <w:rFonts w:ascii="Arial"/>
              </w:rPr>
            </w:pPr>
          </w:p>
        </w:tc>
        <w:tc>
          <w:tcPr>
            <w:tcW w:w="905" w:type="dxa"/>
          </w:tcPr>
          <w:p>
            <w:pPr>
              <w:rPr>
                <w:rFonts w:ascii="Arial"/>
              </w:rPr>
            </w:pPr>
          </w:p>
        </w:tc>
        <w:tc>
          <w:tcPr>
            <w:tcW w:w="777" w:type="dxa"/>
          </w:tcPr>
          <w:p>
            <w:pPr>
              <w:rPr>
                <w:rFonts w:ascii="Arial"/>
              </w:rPr>
            </w:pPr>
          </w:p>
        </w:tc>
        <w:tc>
          <w:tcPr>
            <w:tcW w:w="756" w:type="dxa"/>
            <w:gridSpan w:val="2"/>
          </w:tcPr>
          <w:p>
            <w:pPr>
              <w:rPr>
                <w:rFonts w:ascii="Arial"/>
              </w:rPr>
            </w:pPr>
          </w:p>
        </w:tc>
        <w:tc>
          <w:tcPr>
            <w:tcW w:w="851" w:type="dxa"/>
          </w:tcPr>
          <w:p>
            <w:pPr>
              <w:rPr>
                <w:rFonts w:ascii="Arial"/>
              </w:rPr>
            </w:pPr>
          </w:p>
        </w:tc>
        <w:tc>
          <w:tcPr>
            <w:tcW w:w="1462" w:type="dxa"/>
          </w:tcPr>
          <w:p>
            <w:pPr>
              <w:rPr>
                <w:rFonts w:ascii="Arial"/>
              </w:rPr>
            </w:pPr>
          </w:p>
        </w:tc>
        <w:tc>
          <w:tcPr>
            <w:tcW w:w="1610" w:type="dxa"/>
            <w:gridSpan w:val="2"/>
          </w:tcPr>
          <w:p>
            <w:pPr>
              <w:rPr>
                <w:rFonts w:ascii="Arial"/>
              </w:rPr>
            </w:pPr>
          </w:p>
        </w:tc>
        <w:tc>
          <w:tcPr>
            <w:tcW w:w="1288" w:type="dxa"/>
          </w:tcPr>
          <w:p>
            <w:pPr>
              <w:rPr>
                <w:rFonts w:ascii="Arial"/>
              </w:rPr>
            </w:pPr>
          </w:p>
        </w:tc>
        <w:tc>
          <w:tcPr>
            <w:tcW w:w="1123" w:type="dxa"/>
          </w:tcPr>
          <w:p>
            <w:pPr>
              <w:rPr>
                <w:rFonts w:ascii="Arial"/>
              </w:rPr>
            </w:pPr>
          </w:p>
        </w:tc>
        <w:tc>
          <w:tcPr>
            <w:tcW w:w="652" w:type="dxa"/>
            <w:vMerge w:val="continue"/>
            <w:tcBorders>
              <w:top w:val="nil"/>
              <w:bottom w:val="nil"/>
            </w:tcBorders>
            <w:textDirection w:val="tbRlV"/>
          </w:tcPr>
          <w:p>
            <w:pPr>
              <w:rPr>
                <w:rFonts w:ascii="Arial"/>
              </w:rPr>
            </w:pPr>
          </w:p>
        </w:tc>
        <w:tc>
          <w:tcPr>
            <w:tcW w:w="1334" w:type="dxa"/>
            <w:gridSpan w:val="2"/>
            <w:vAlign w:val="center"/>
          </w:tcPr>
          <w:p>
            <w:pPr>
              <w:spacing w:before="181" w:line="185" w:lineRule="auto"/>
              <w:ind w:left="116"/>
              <w:rPr>
                <w:rFonts w:ascii="Times New Roman" w:hAnsi="Times New Roman" w:eastAsia="Times New Roman"/>
                <w:sz w:val="18"/>
                <w:szCs w:val="18"/>
              </w:rPr>
            </w:pPr>
            <w:r>
              <w:rPr>
                <w:rFonts w:ascii="Times New Roman" w:hAnsi="Times New Roman" w:eastAsia="Times New Roman"/>
                <w:b/>
                <w:bCs/>
                <w:spacing w:val="-2"/>
                <w:sz w:val="18"/>
                <w:szCs w:val="18"/>
              </w:rPr>
              <w:t>Mpa</w:t>
            </w:r>
          </w:p>
        </w:tc>
        <w:tc>
          <w:tcPr>
            <w:tcW w:w="1420" w:type="dxa"/>
            <w:gridSpan w:val="2"/>
          </w:tcPr>
          <w:p>
            <w:pPr>
              <w:rPr>
                <w:rFonts w:ascii="Arial"/>
              </w:rPr>
            </w:pPr>
          </w:p>
        </w:tc>
        <w:tc>
          <w:tcPr>
            <w:tcW w:w="1115" w:type="dxa"/>
          </w:tcPr>
          <w:p>
            <w:pPr>
              <w:rPr>
                <w:rFonts w:ascii="Arial"/>
              </w:rPr>
            </w:pPr>
          </w:p>
        </w:tc>
        <w:tc>
          <w:tcPr>
            <w:tcW w:w="1070" w:type="dxa"/>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1202" w:type="dxa"/>
            <w:gridSpan w:val="3"/>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1193" w:type="dxa"/>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4" w:hRule="atLeast"/>
        </w:trPr>
        <w:tc>
          <w:tcPr>
            <w:tcW w:w="1856" w:type="dxa"/>
            <w:gridSpan w:val="2"/>
            <w:vMerge w:val="continue"/>
          </w:tcPr>
          <w:p>
            <w:pPr>
              <w:rPr>
                <w:rFonts w:ascii="Arial"/>
              </w:rPr>
            </w:pPr>
          </w:p>
        </w:tc>
        <w:tc>
          <w:tcPr>
            <w:tcW w:w="867" w:type="dxa"/>
            <w:gridSpan w:val="3"/>
          </w:tcPr>
          <w:p>
            <w:pPr>
              <w:pStyle w:val="243"/>
              <w:spacing w:before="149" w:line="221" w:lineRule="auto"/>
              <w:ind w:left="116"/>
            </w:pPr>
            <w:r>
              <w:rPr>
                <w:rFonts w:ascii="Times New Roman" w:hAnsi="Times New Roman" w:eastAsia="Times New Roman" w:cs="Times New Roman"/>
                <w:spacing w:val="-5"/>
              </w:rPr>
              <w:t>□</w:t>
            </w:r>
            <w:r>
              <w:rPr>
                <w:spacing w:val="-5"/>
                <w14:textOutline w14:w="3263" w14:cap="sq" w14:cmpd="sng" w14:algn="ctr">
                  <w14:solidFill>
                    <w14:srgbClr w14:val="000000"/>
                  </w14:solidFill>
                  <w14:prstDash w14:val="solid"/>
                  <w14:bevel/>
                </w14:textOutline>
              </w:rPr>
              <w:t>低区</w:t>
            </w:r>
          </w:p>
        </w:tc>
        <w:tc>
          <w:tcPr>
            <w:tcW w:w="1167" w:type="dxa"/>
            <w:gridSpan w:val="2"/>
          </w:tcPr>
          <w:p>
            <w:pPr>
              <w:rPr>
                <w:rFonts w:ascii="Arial"/>
              </w:rPr>
            </w:pPr>
          </w:p>
        </w:tc>
        <w:tc>
          <w:tcPr>
            <w:tcW w:w="905" w:type="dxa"/>
          </w:tcPr>
          <w:p>
            <w:pPr>
              <w:rPr>
                <w:rFonts w:ascii="Arial"/>
              </w:rPr>
            </w:pPr>
          </w:p>
        </w:tc>
        <w:tc>
          <w:tcPr>
            <w:tcW w:w="777" w:type="dxa"/>
          </w:tcPr>
          <w:p>
            <w:pPr>
              <w:rPr>
                <w:rFonts w:ascii="Arial"/>
              </w:rPr>
            </w:pPr>
          </w:p>
        </w:tc>
        <w:tc>
          <w:tcPr>
            <w:tcW w:w="756" w:type="dxa"/>
            <w:gridSpan w:val="2"/>
          </w:tcPr>
          <w:p>
            <w:pPr>
              <w:rPr>
                <w:rFonts w:ascii="Arial"/>
              </w:rPr>
            </w:pPr>
          </w:p>
        </w:tc>
        <w:tc>
          <w:tcPr>
            <w:tcW w:w="851" w:type="dxa"/>
          </w:tcPr>
          <w:p>
            <w:pPr>
              <w:rPr>
                <w:rFonts w:ascii="Arial"/>
              </w:rPr>
            </w:pPr>
          </w:p>
        </w:tc>
        <w:tc>
          <w:tcPr>
            <w:tcW w:w="1462" w:type="dxa"/>
          </w:tcPr>
          <w:p>
            <w:pPr>
              <w:rPr>
                <w:rFonts w:ascii="Arial"/>
              </w:rPr>
            </w:pPr>
          </w:p>
        </w:tc>
        <w:tc>
          <w:tcPr>
            <w:tcW w:w="1610" w:type="dxa"/>
            <w:gridSpan w:val="2"/>
          </w:tcPr>
          <w:p>
            <w:pPr>
              <w:rPr>
                <w:rFonts w:ascii="Arial"/>
              </w:rPr>
            </w:pPr>
          </w:p>
        </w:tc>
        <w:tc>
          <w:tcPr>
            <w:tcW w:w="1288" w:type="dxa"/>
          </w:tcPr>
          <w:p>
            <w:pPr>
              <w:rPr>
                <w:rFonts w:ascii="Arial"/>
              </w:rPr>
            </w:pPr>
          </w:p>
        </w:tc>
        <w:tc>
          <w:tcPr>
            <w:tcW w:w="1123" w:type="dxa"/>
          </w:tcPr>
          <w:p>
            <w:pPr>
              <w:rPr>
                <w:rFonts w:ascii="Arial"/>
              </w:rPr>
            </w:pPr>
          </w:p>
        </w:tc>
        <w:tc>
          <w:tcPr>
            <w:tcW w:w="652" w:type="dxa"/>
            <w:vMerge w:val="continue"/>
            <w:tcBorders>
              <w:top w:val="nil"/>
            </w:tcBorders>
            <w:textDirection w:val="tbRlV"/>
          </w:tcPr>
          <w:p>
            <w:pPr>
              <w:rPr>
                <w:rFonts w:ascii="Arial"/>
              </w:rPr>
            </w:pPr>
          </w:p>
        </w:tc>
        <w:tc>
          <w:tcPr>
            <w:tcW w:w="1334" w:type="dxa"/>
            <w:gridSpan w:val="2"/>
            <w:vAlign w:val="center"/>
          </w:tcPr>
          <w:p>
            <w:pPr>
              <w:spacing w:before="181" w:line="185" w:lineRule="auto"/>
              <w:ind w:left="116"/>
              <w:rPr>
                <w:rFonts w:ascii="Times New Roman" w:hAnsi="Times New Roman" w:eastAsia="Times New Roman"/>
                <w:sz w:val="18"/>
                <w:szCs w:val="18"/>
              </w:rPr>
            </w:pPr>
            <w:r>
              <w:rPr>
                <w:rFonts w:ascii="Times New Roman" w:hAnsi="Times New Roman" w:eastAsia="Times New Roman"/>
                <w:b/>
                <w:bCs/>
                <w:spacing w:val="-2"/>
                <w:sz w:val="18"/>
                <w:szCs w:val="18"/>
              </w:rPr>
              <w:t>Mpa</w:t>
            </w:r>
          </w:p>
        </w:tc>
        <w:tc>
          <w:tcPr>
            <w:tcW w:w="1420" w:type="dxa"/>
            <w:gridSpan w:val="2"/>
          </w:tcPr>
          <w:p>
            <w:pPr>
              <w:rPr>
                <w:rFonts w:ascii="Arial"/>
              </w:rPr>
            </w:pPr>
          </w:p>
        </w:tc>
        <w:tc>
          <w:tcPr>
            <w:tcW w:w="1115" w:type="dxa"/>
          </w:tcPr>
          <w:p>
            <w:pPr>
              <w:rPr>
                <w:rFonts w:ascii="Arial"/>
              </w:rPr>
            </w:pPr>
          </w:p>
        </w:tc>
        <w:tc>
          <w:tcPr>
            <w:tcW w:w="1070" w:type="dxa"/>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1202" w:type="dxa"/>
            <w:gridSpan w:val="3"/>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1193" w:type="dxa"/>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r>
    </w:tbl>
    <w:p>
      <w:pPr>
        <w:pStyle w:val="199"/>
      </w:pPr>
    </w:p>
    <w:p>
      <w:pPr>
        <w:pStyle w:val="199"/>
      </w:pPr>
    </w:p>
    <w:tbl>
      <w:tblPr>
        <w:tblStyle w:val="244"/>
        <w:tblW w:w="2074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8"/>
        <w:gridCol w:w="1549"/>
        <w:gridCol w:w="636"/>
        <w:gridCol w:w="1545"/>
        <w:gridCol w:w="983"/>
        <w:gridCol w:w="992"/>
        <w:gridCol w:w="743"/>
        <w:gridCol w:w="1037"/>
        <w:gridCol w:w="3506"/>
        <w:gridCol w:w="2000"/>
        <w:gridCol w:w="1485"/>
        <w:gridCol w:w="1303"/>
        <w:gridCol w:w="1299"/>
        <w:gridCol w:w="635"/>
        <w:gridCol w:w="1336"/>
        <w:gridCol w:w="11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528" w:type="dxa"/>
            <w:vMerge w:val="restart"/>
            <w:tcBorders>
              <w:bottom w:val="nil"/>
            </w:tcBorders>
            <w:textDirection w:val="tbRlV"/>
            <w:vAlign w:val="center"/>
          </w:tcPr>
          <w:p>
            <w:pPr>
              <w:pStyle w:val="243"/>
              <w:spacing w:before="135" w:line="208" w:lineRule="auto"/>
              <w:ind w:left="1329"/>
              <w:jc w:val="center"/>
            </w:pPr>
            <w:r>
              <w:rPr>
                <w:spacing w:val="-1"/>
                <w14:textOutline w14:w="3263" w14:cap="sq" w14:cmpd="sng" w14:algn="ctr">
                  <w14:solidFill>
                    <w14:srgbClr w14:val="000000"/>
                  </w14:solidFill>
                  <w14:prstDash w14:val="solid"/>
                  <w14:bevel/>
                </w14:textOutline>
              </w:rPr>
              <w:t>水</w:t>
            </w:r>
            <w:r>
              <w:rPr>
                <w:spacing w:val="6"/>
              </w:rPr>
              <w:t xml:space="preserve">   </w:t>
            </w:r>
            <w:r>
              <w:rPr>
                <w:spacing w:val="-1"/>
                <w14:textOutline w14:w="3263" w14:cap="sq" w14:cmpd="sng" w14:algn="ctr">
                  <w14:solidFill>
                    <w14:srgbClr w14:val="000000"/>
                  </w14:solidFill>
                  <w14:prstDash w14:val="solid"/>
                  <w14:bevel/>
                </w14:textOutline>
              </w:rPr>
              <w:t>池</w:t>
            </w:r>
            <w:r>
              <w:rPr>
                <w:spacing w:val="6"/>
              </w:rPr>
              <w:t xml:space="preserve">   </w:t>
            </w:r>
            <w:r>
              <w:rPr>
                <w:spacing w:val="-1"/>
                <w14:textOutline w14:w="3263" w14:cap="sq" w14:cmpd="sng" w14:algn="ctr">
                  <w14:solidFill>
                    <w14:srgbClr w14:val="000000"/>
                  </w14:solidFill>
                  <w14:prstDash w14:val="solid"/>
                  <w14:bevel/>
                </w14:textOutline>
              </w:rPr>
              <w:t>属</w:t>
            </w:r>
            <w:r>
              <w:rPr>
                <w:spacing w:val="7"/>
              </w:rPr>
              <w:t xml:space="preserve">   </w:t>
            </w:r>
            <w:r>
              <w:rPr>
                <w:spacing w:val="-1"/>
                <w14:textOutline w14:w="3263" w14:cap="sq" w14:cmpd="sng" w14:algn="ctr">
                  <w14:solidFill>
                    <w14:srgbClr w14:val="000000"/>
                  </w14:solidFill>
                  <w14:prstDash w14:val="solid"/>
                  <w14:bevel/>
                </w14:textOutline>
              </w:rPr>
              <w:t>性</w:t>
            </w:r>
          </w:p>
        </w:tc>
        <w:tc>
          <w:tcPr>
            <w:tcW w:w="1549" w:type="dxa"/>
            <w:vAlign w:val="center"/>
          </w:tcPr>
          <w:p>
            <w:pPr>
              <w:pStyle w:val="243"/>
              <w:spacing w:before="148" w:line="219" w:lineRule="auto"/>
              <w:jc w:val="center"/>
            </w:pPr>
            <w:r>
              <w:rPr>
                <w:spacing w:val="-2"/>
                <w14:textOutline w14:w="3263" w14:cap="sq" w14:cmpd="sng" w14:algn="ctr">
                  <w14:solidFill>
                    <w14:srgbClr w14:val="000000"/>
                  </w14:solidFill>
                  <w14:prstDash w14:val="solid"/>
                  <w14:bevel/>
                </w14:textOutline>
              </w:rPr>
              <w:t>水池位置</w:t>
            </w:r>
          </w:p>
        </w:tc>
        <w:tc>
          <w:tcPr>
            <w:tcW w:w="636" w:type="dxa"/>
            <w:vAlign w:val="center"/>
          </w:tcPr>
          <w:p>
            <w:pPr>
              <w:pStyle w:val="243"/>
              <w:spacing w:before="148" w:line="219" w:lineRule="auto"/>
              <w:jc w:val="center"/>
            </w:pPr>
            <w:r>
              <w:rPr>
                <w:spacing w:val="-5"/>
                <w14:textOutline w14:w="3263" w14:cap="sq" w14:cmpd="sng" w14:algn="ctr">
                  <w14:solidFill>
                    <w14:srgbClr w14:val="000000"/>
                  </w14:solidFill>
                  <w14:prstDash w14:val="solid"/>
                  <w14:bevel/>
                </w14:textOutline>
              </w:rPr>
              <w:t>数量</w:t>
            </w:r>
          </w:p>
        </w:tc>
        <w:tc>
          <w:tcPr>
            <w:tcW w:w="1545" w:type="dxa"/>
            <w:vAlign w:val="center"/>
          </w:tcPr>
          <w:p>
            <w:pPr>
              <w:pStyle w:val="243"/>
              <w:spacing w:before="148" w:line="219" w:lineRule="auto"/>
              <w:jc w:val="center"/>
            </w:pPr>
            <w:r>
              <w:rPr>
                <w:spacing w:val="-1"/>
                <w14:textOutline w14:w="3263" w14:cap="sq" w14:cmpd="sng" w14:algn="ctr">
                  <w14:solidFill>
                    <w14:srgbClr w14:val="000000"/>
                  </w14:solidFill>
                  <w14:prstDash w14:val="solid"/>
                  <w14:bevel/>
                </w14:textOutline>
              </w:rPr>
              <w:t>进出水管径</w:t>
            </w:r>
          </w:p>
        </w:tc>
        <w:tc>
          <w:tcPr>
            <w:tcW w:w="983" w:type="dxa"/>
            <w:vAlign w:val="center"/>
          </w:tcPr>
          <w:p>
            <w:pPr>
              <w:pStyle w:val="243"/>
              <w:spacing w:before="148" w:line="219" w:lineRule="auto"/>
              <w:jc w:val="center"/>
            </w:pPr>
            <w:r>
              <w:rPr>
                <w:spacing w:val="-2"/>
                <w14:textOutline w14:w="3263" w14:cap="sq" w14:cmpd="sng" w14:algn="ctr">
                  <w14:solidFill>
                    <w14:srgbClr w14:val="000000"/>
                  </w14:solidFill>
                  <w14:prstDash w14:val="solid"/>
                  <w14:bevel/>
                </w14:textOutline>
              </w:rPr>
              <w:t>进水阀</w:t>
            </w:r>
          </w:p>
        </w:tc>
        <w:tc>
          <w:tcPr>
            <w:tcW w:w="1735" w:type="dxa"/>
            <w:gridSpan w:val="2"/>
            <w:vAlign w:val="center"/>
          </w:tcPr>
          <w:p>
            <w:pPr>
              <w:pStyle w:val="243"/>
              <w:spacing w:before="148" w:line="212" w:lineRule="auto"/>
              <w:jc w:val="center"/>
              <w:rPr>
                <w:rFonts w:ascii="Times New Roman" w:hAnsi="Times New Roman" w:eastAsia="Times New Roman" w:cs="Times New Roman"/>
              </w:rPr>
            </w:pPr>
            <w:r>
              <w:rPr>
                <w:spacing w:val="-3"/>
                <w14:textOutline w14:w="3263" w14:cap="sq" w14:cmpd="sng" w14:algn="ctr">
                  <w14:solidFill>
                    <w14:srgbClr w14:val="000000"/>
                  </w14:solidFill>
                  <w14:prstDash w14:val="solid"/>
                  <w14:bevel/>
                </w14:textOutline>
              </w:rPr>
              <w:t>长</w:t>
            </w:r>
            <w:r>
              <w:rPr>
                <w:rFonts w:ascii="Times New Roman" w:hAnsi="Times New Roman" w:eastAsia="Times New Roman" w:cs="Times New Roman"/>
                <w:b/>
                <w:bCs/>
                <w:spacing w:val="-3"/>
              </w:rPr>
              <w:t>×</w:t>
            </w:r>
            <w:r>
              <w:rPr>
                <w:rFonts w:ascii="Times New Roman" w:hAnsi="Times New Roman" w:eastAsia="Times New Roman" w:cs="Times New Roman"/>
                <w:b/>
                <w:bCs/>
                <w:spacing w:val="-28"/>
              </w:rPr>
              <w:t xml:space="preserve"> </w:t>
            </w:r>
            <w:r>
              <w:rPr>
                <w:spacing w:val="-3"/>
                <w14:textOutline w14:w="3263" w14:cap="sq" w14:cmpd="sng" w14:algn="ctr">
                  <w14:solidFill>
                    <w14:srgbClr w14:val="000000"/>
                  </w14:solidFill>
                  <w14:prstDash w14:val="solid"/>
                  <w14:bevel/>
                </w14:textOutline>
              </w:rPr>
              <w:t>宽</w:t>
            </w:r>
            <w:r>
              <w:rPr>
                <w:rFonts w:ascii="Times New Roman" w:hAnsi="Times New Roman" w:eastAsia="Times New Roman" w:cs="Times New Roman"/>
                <w:b/>
                <w:bCs/>
                <w:spacing w:val="-3"/>
              </w:rPr>
              <w:t>×</w:t>
            </w:r>
            <w:r>
              <w:rPr>
                <w:spacing w:val="-3"/>
                <w14:textOutline w14:w="3263" w14:cap="sq" w14:cmpd="sng" w14:algn="ctr">
                  <w14:solidFill>
                    <w14:srgbClr w14:val="000000"/>
                  </w14:solidFill>
                  <w14:prstDash w14:val="solid"/>
                  <w14:bevel/>
                </w14:textOutline>
              </w:rPr>
              <w:t>高</w:t>
            </w:r>
            <w:r>
              <w:rPr>
                <w:rFonts w:ascii="Times New Roman" w:hAnsi="Times New Roman" w:eastAsia="Times New Roman" w:cs="Times New Roman"/>
                <w:b/>
                <w:bCs/>
                <w:spacing w:val="-3"/>
              </w:rPr>
              <w:t>(m)</w:t>
            </w:r>
          </w:p>
        </w:tc>
        <w:tc>
          <w:tcPr>
            <w:tcW w:w="1037" w:type="dxa"/>
            <w:vAlign w:val="center"/>
          </w:tcPr>
          <w:p>
            <w:pPr>
              <w:pStyle w:val="243"/>
              <w:spacing w:before="148" w:line="212" w:lineRule="auto"/>
              <w:jc w:val="center"/>
              <w:rPr>
                <w:rFonts w:ascii="Times New Roman" w:hAnsi="Times New Roman" w:eastAsia="Times New Roman" w:cs="Times New Roman"/>
              </w:rPr>
            </w:pPr>
            <w:r>
              <w:rPr>
                <w:spacing w:val="-2"/>
                <w14:textOutline w14:w="3263" w14:cap="sq" w14:cmpd="sng" w14:algn="ctr">
                  <w14:solidFill>
                    <w14:srgbClr w14:val="000000"/>
                  </w14:solidFill>
                  <w14:prstDash w14:val="solid"/>
                  <w14:bevel/>
                </w14:textOutline>
              </w:rPr>
              <w:t>容积</w:t>
            </w:r>
            <w:r>
              <w:rPr>
                <w:rFonts w:ascii="Times New Roman" w:hAnsi="Times New Roman" w:eastAsia="Times New Roman" w:cs="Times New Roman"/>
                <w:b/>
                <w:bCs/>
                <w:spacing w:val="-2"/>
              </w:rPr>
              <w:t>(m3)</w:t>
            </w:r>
          </w:p>
        </w:tc>
        <w:tc>
          <w:tcPr>
            <w:tcW w:w="3506" w:type="dxa"/>
            <w:vAlign w:val="center"/>
          </w:tcPr>
          <w:p>
            <w:pPr>
              <w:pStyle w:val="243"/>
              <w:spacing w:before="148" w:line="219" w:lineRule="auto"/>
              <w:jc w:val="center"/>
            </w:pPr>
            <w:r>
              <w:rPr>
                <w:spacing w:val="-2"/>
                <w14:textOutline w14:w="3263" w14:cap="sq" w14:cmpd="sng" w14:algn="ctr">
                  <w14:solidFill>
                    <w14:srgbClr w14:val="000000"/>
                  </w14:solidFill>
                  <w14:prstDash w14:val="solid"/>
                  <w14:bevel/>
                </w14:textOutline>
              </w:rPr>
              <w:t>池壁材质</w:t>
            </w:r>
          </w:p>
        </w:tc>
        <w:tc>
          <w:tcPr>
            <w:tcW w:w="2000" w:type="dxa"/>
            <w:vAlign w:val="center"/>
          </w:tcPr>
          <w:p>
            <w:pPr>
              <w:pStyle w:val="243"/>
              <w:spacing w:before="148" w:line="219" w:lineRule="auto"/>
              <w:jc w:val="center"/>
            </w:pPr>
            <w:r>
              <w:rPr>
                <w:spacing w:val="-5"/>
                <w14:textOutline w14:w="3263" w14:cap="sq" w14:cmpd="sng" w14:algn="ctr">
                  <w14:solidFill>
                    <w14:srgbClr w14:val="000000"/>
                  </w14:solidFill>
                  <w14:prstDash w14:val="solid"/>
                  <w14:bevel/>
                </w14:textOutline>
              </w:rPr>
              <w:t>附属设施</w:t>
            </w:r>
          </w:p>
        </w:tc>
        <w:tc>
          <w:tcPr>
            <w:tcW w:w="2788" w:type="dxa"/>
            <w:gridSpan w:val="2"/>
            <w:vAlign w:val="center"/>
          </w:tcPr>
          <w:p>
            <w:pPr>
              <w:pStyle w:val="243"/>
              <w:spacing w:before="148" w:line="219" w:lineRule="auto"/>
              <w:jc w:val="center"/>
            </w:pPr>
            <w:r>
              <w:rPr>
                <w:spacing w:val="-2"/>
                <w14:textOutline w14:w="3263" w14:cap="sq" w14:cmpd="sng" w14:algn="ctr">
                  <w14:solidFill>
                    <w14:srgbClr w14:val="000000"/>
                  </w14:solidFill>
                  <w14:prstDash w14:val="solid"/>
                  <w14:bevel/>
                </w14:textOutline>
              </w:rPr>
              <w:t>泵房隔音</w:t>
            </w:r>
          </w:p>
        </w:tc>
        <w:tc>
          <w:tcPr>
            <w:tcW w:w="1934" w:type="dxa"/>
            <w:gridSpan w:val="2"/>
            <w:vAlign w:val="center"/>
          </w:tcPr>
          <w:p>
            <w:pPr>
              <w:pStyle w:val="243"/>
              <w:spacing w:before="148" w:line="219" w:lineRule="auto"/>
              <w:jc w:val="center"/>
            </w:pPr>
            <w:r>
              <w:rPr>
                <w:spacing w:val="-2"/>
                <w14:textOutline w14:w="3263" w14:cap="sq" w14:cmpd="sng" w14:algn="ctr">
                  <w14:solidFill>
                    <w14:srgbClr w14:val="000000"/>
                  </w14:solidFill>
                  <w14:prstDash w14:val="solid"/>
                  <w14:bevel/>
                </w14:textOutline>
              </w:rPr>
              <w:t>泵房尺寸</w:t>
            </w:r>
          </w:p>
        </w:tc>
        <w:tc>
          <w:tcPr>
            <w:tcW w:w="2506" w:type="dxa"/>
            <w:gridSpan w:val="2"/>
            <w:vAlign w:val="center"/>
          </w:tcPr>
          <w:p>
            <w:pPr>
              <w:pStyle w:val="243"/>
              <w:spacing w:before="148" w:line="219" w:lineRule="auto"/>
              <w:jc w:val="center"/>
            </w:pPr>
            <w:r>
              <w:rPr>
                <w:spacing w:val="-1"/>
                <w14:textOutline w14:w="3263" w14:cap="sq" w14:cmpd="sng" w14:algn="ctr">
                  <w14:solidFill>
                    <w14:srgbClr w14:val="000000"/>
                  </w14:solidFill>
                  <w14:prstDash w14:val="solid"/>
                  <w14:bevel/>
                </w14:textOutline>
              </w:rPr>
              <w:t>泵房内装饰情况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4" w:hRule="atLeast"/>
        </w:trPr>
        <w:tc>
          <w:tcPr>
            <w:tcW w:w="528" w:type="dxa"/>
            <w:vMerge w:val="continue"/>
            <w:tcBorders>
              <w:top w:val="nil"/>
              <w:bottom w:val="nil"/>
            </w:tcBorders>
            <w:textDirection w:val="tbRlV"/>
            <w:vAlign w:val="center"/>
          </w:tcPr>
          <w:p>
            <w:pPr>
              <w:jc w:val="center"/>
              <w:rPr>
                <w:rFonts w:ascii="Arial"/>
              </w:rPr>
            </w:pPr>
          </w:p>
        </w:tc>
        <w:tc>
          <w:tcPr>
            <w:tcW w:w="1549" w:type="dxa"/>
            <w:vMerge w:val="restart"/>
            <w:tcBorders>
              <w:bottom w:val="nil"/>
            </w:tcBorders>
            <w:vAlign w:val="center"/>
          </w:tcPr>
          <w:p>
            <w:pPr>
              <w:pStyle w:val="243"/>
              <w:spacing w:before="58" w:line="219" w:lineRule="auto"/>
              <w:rPr>
                <w:lang w:eastAsia="zh-CN"/>
              </w:rPr>
            </w:pPr>
            <w:r>
              <w:rPr>
                <w:spacing w:val="-1"/>
                <w14:textOutline w14:w="3263" w14:cap="sq" w14:cmpd="sng" w14:algn="ctr">
                  <w14:solidFill>
                    <w14:srgbClr w14:val="000000"/>
                  </w14:solidFill>
                  <w14:prstDash w14:val="solid"/>
                  <w14:bevel/>
                </w14:textOutline>
              </w:rPr>
              <w:t>泵前</w:t>
            </w:r>
            <w:r>
              <w:rPr>
                <w:rFonts w:hint="eastAsia"/>
                <w:spacing w:val="-1"/>
                <w:lang w:eastAsia="zh-CN"/>
                <w14:textOutline w14:w="3263" w14:cap="sq" w14:cmpd="sng" w14:algn="ctr">
                  <w14:solidFill>
                    <w14:srgbClr w14:val="000000"/>
                  </w14:solidFill>
                  <w14:prstDash w14:val="solid"/>
                  <w14:bevel/>
                </w14:textOutline>
              </w:rPr>
              <w:t>水池（箱）</w:t>
            </w:r>
          </w:p>
        </w:tc>
        <w:tc>
          <w:tcPr>
            <w:tcW w:w="636" w:type="dxa"/>
            <w:vMerge w:val="restart"/>
            <w:tcBorders>
              <w:bottom w:val="nil"/>
            </w:tcBorders>
            <w:vAlign w:val="center"/>
          </w:tcPr>
          <w:p>
            <w:pPr>
              <w:rPr>
                <w:rFonts w:ascii="Arial"/>
              </w:rPr>
            </w:pPr>
          </w:p>
        </w:tc>
        <w:tc>
          <w:tcPr>
            <w:tcW w:w="1545" w:type="dxa"/>
            <w:vAlign w:val="center"/>
          </w:tcPr>
          <w:p>
            <w:pPr>
              <w:pStyle w:val="243"/>
              <w:spacing w:before="146" w:line="219" w:lineRule="auto"/>
              <w:rPr>
                <w:rFonts w:ascii="Times New Roman" w:hAnsi="Times New Roman" w:cs="Times New Roman"/>
                <w:lang w:eastAsia="zh-CN"/>
              </w:rPr>
            </w:pPr>
            <w:r>
              <w:rPr>
                <w:spacing w:val="-1"/>
                <w14:textOutline w14:w="3263" w14:cap="sq" w14:cmpd="sng" w14:algn="ctr">
                  <w14:solidFill>
                    <w14:srgbClr w14:val="000000"/>
                  </w14:solidFill>
                  <w14:prstDash w14:val="solid"/>
                  <w14:bevel/>
                </w14:textOutline>
              </w:rPr>
              <w:t>进水</w:t>
            </w:r>
            <w:r>
              <w:rPr>
                <w:rFonts w:ascii="Times New Roman" w:hAnsi="Times New Roman" w:eastAsia="Times New Roman" w:cs="Times New Roman"/>
                <w:b/>
                <w:bCs/>
                <w:spacing w:val="-1"/>
              </w:rPr>
              <w:t>:</w:t>
            </w:r>
            <w:r>
              <w:rPr>
                <w:rFonts w:ascii="Times New Roman" w:hAnsi="Times New Roman" w:eastAsia="Times New Roman" w:cs="Times New Roman"/>
                <w:b/>
                <w:bCs/>
                <w:spacing w:val="-1"/>
                <w:u w:val="single"/>
              </w:rPr>
              <w:t xml:space="preserve"> </w:t>
            </w:r>
            <w:r>
              <w:rPr>
                <w:rFonts w:hint="eastAsia" w:ascii="Times New Roman" w:hAnsi="Times New Roman" w:cs="Times New Roman"/>
                <w:b/>
                <w:bCs/>
                <w:spacing w:val="-1"/>
                <w:u w:val="single"/>
                <w:lang w:eastAsia="zh-CN"/>
              </w:rPr>
              <w:t xml:space="preserve"> </w:t>
            </w:r>
            <w:r>
              <w:rPr>
                <w:spacing w:val="-1"/>
                <w14:textOutline w14:w="3263" w14:cap="sq" w14:cmpd="sng" w14:algn="ctr">
                  <w14:solidFill>
                    <w14:srgbClr w14:val="000000"/>
                  </w14:solidFill>
                  <w14:prstDash w14:val="solid"/>
                  <w14:bevel/>
                </w14:textOutline>
              </w:rPr>
              <w:t>路</w:t>
            </w:r>
          </w:p>
        </w:tc>
        <w:tc>
          <w:tcPr>
            <w:tcW w:w="983" w:type="dxa"/>
            <w:vMerge w:val="restart"/>
            <w:tcBorders>
              <w:bottom w:val="nil"/>
            </w:tcBorders>
            <w:vAlign w:val="center"/>
          </w:tcPr>
          <w:p>
            <w:pPr>
              <w:pStyle w:val="243"/>
              <w:spacing w:before="59" w:line="220" w:lineRule="auto"/>
              <w:rPr>
                <w:lang w:eastAsia="zh-CN"/>
              </w:rPr>
            </w:pPr>
            <w:r>
              <w:rPr>
                <w:rFonts w:hint="eastAsia" w:ascii="Times New Roman" w:hAnsi="Times New Roman" w:cs="Times New Roman"/>
                <w:b/>
                <w:bCs/>
                <w:spacing w:val="-7"/>
                <w:lang w:eastAsia="zh-CN"/>
              </w:rPr>
              <w:t>□</w:t>
            </w:r>
            <w:r>
              <w:rPr>
                <w:spacing w:val="-7"/>
                <w:lang w:eastAsia="zh-CN"/>
                <w14:textOutline w14:w="3263" w14:cap="sq" w14:cmpd="sng" w14:algn="ctr">
                  <w14:solidFill>
                    <w14:srgbClr w14:val="000000"/>
                  </w14:solidFill>
                  <w14:prstDash w14:val="solid"/>
                  <w14:bevel/>
                </w14:textOutline>
              </w:rPr>
              <w:t>无</w:t>
            </w:r>
          </w:p>
          <w:p>
            <w:pPr>
              <w:pStyle w:val="243"/>
              <w:spacing w:before="253" w:line="436" w:lineRule="exact"/>
              <w:rPr>
                <w:lang w:eastAsia="zh-CN"/>
              </w:rPr>
            </w:pPr>
            <w:r>
              <w:rPr>
                <w:rFonts w:hint="eastAsia" w:ascii="Times New Roman" w:hAnsi="Times New Roman" w:cs="Times New Roman"/>
                <w:b/>
                <w:bCs/>
                <w:spacing w:val="-3"/>
                <w:position w:val="19"/>
                <w:lang w:eastAsia="zh-CN"/>
              </w:rPr>
              <w:t>□</w:t>
            </w:r>
            <w:r>
              <w:rPr>
                <w:spacing w:val="-3"/>
                <w:position w:val="19"/>
                <w:lang w:eastAsia="zh-CN"/>
                <w14:textOutline w14:w="3263" w14:cap="sq" w14:cmpd="sng" w14:algn="ctr">
                  <w14:solidFill>
                    <w14:srgbClr w14:val="000000"/>
                  </w14:solidFill>
                  <w14:prstDash w14:val="solid"/>
                  <w14:bevel/>
                </w14:textOutline>
              </w:rPr>
              <w:t>液压阀</w:t>
            </w:r>
          </w:p>
          <w:p>
            <w:pPr>
              <w:pStyle w:val="243"/>
              <w:spacing w:line="242" w:lineRule="exact"/>
              <w:rPr>
                <w:lang w:eastAsia="zh-CN"/>
              </w:rPr>
            </w:pPr>
            <w:r>
              <w:rPr>
                <w:rFonts w:hint="eastAsia" w:ascii="Times New Roman" w:hAnsi="Times New Roman" w:cs="Times New Roman"/>
                <w:b/>
                <w:bCs/>
                <w:spacing w:val="-2"/>
                <w:lang w:eastAsia="zh-CN"/>
              </w:rPr>
              <w:t>□</w:t>
            </w:r>
            <w:r>
              <w:rPr>
                <w:spacing w:val="-2"/>
                <w:lang w:eastAsia="zh-CN"/>
                <w14:textOutline w14:w="3263" w14:cap="sq" w14:cmpd="sng" w14:algn="ctr">
                  <w14:solidFill>
                    <w14:srgbClr w14:val="000000"/>
                  </w14:solidFill>
                  <w14:prstDash w14:val="solid"/>
                  <w14:bevel/>
                </w14:textOutline>
              </w:rPr>
              <w:t>浮球阀</w:t>
            </w:r>
          </w:p>
        </w:tc>
        <w:tc>
          <w:tcPr>
            <w:tcW w:w="1735" w:type="dxa"/>
            <w:gridSpan w:val="2"/>
            <w:vMerge w:val="restart"/>
            <w:tcBorders>
              <w:bottom w:val="nil"/>
            </w:tcBorders>
            <w:vAlign w:val="center"/>
          </w:tcPr>
          <w:p>
            <w:pPr>
              <w:rPr>
                <w:rFonts w:ascii="Arial"/>
              </w:rPr>
            </w:pPr>
          </w:p>
        </w:tc>
        <w:tc>
          <w:tcPr>
            <w:tcW w:w="1037" w:type="dxa"/>
            <w:vMerge w:val="restart"/>
            <w:tcBorders>
              <w:bottom w:val="nil"/>
            </w:tcBorders>
            <w:vAlign w:val="center"/>
          </w:tcPr>
          <w:p>
            <w:pPr>
              <w:rPr>
                <w:rFonts w:ascii="Arial"/>
              </w:rPr>
            </w:pPr>
          </w:p>
        </w:tc>
        <w:tc>
          <w:tcPr>
            <w:tcW w:w="3506" w:type="dxa"/>
            <w:vMerge w:val="restart"/>
            <w:tcBorders>
              <w:bottom w:val="nil"/>
            </w:tcBorders>
            <w:vAlign w:val="center"/>
          </w:tcPr>
          <w:p>
            <w:pPr>
              <w:pStyle w:val="243"/>
              <w:spacing w:before="58" w:line="219" w:lineRule="auto"/>
              <w:rPr>
                <w:lang w:eastAsia="zh-CN"/>
              </w:rPr>
            </w:pPr>
            <w:r>
              <w:rPr>
                <w:rFonts w:hint="eastAsia" w:ascii="Times New Roman" w:hAnsi="Times New Roman" w:cs="Times New Roman"/>
                <w:b/>
                <w:bCs/>
                <w:spacing w:val="-1"/>
                <w:lang w:eastAsia="zh-CN"/>
              </w:rPr>
              <w:t>□</w:t>
            </w:r>
            <w:r>
              <w:rPr>
                <w:spacing w:val="-1"/>
                <w:lang w:eastAsia="zh-CN"/>
                <w14:textOutline w14:w="3263" w14:cap="sq" w14:cmpd="sng" w14:algn="ctr">
                  <w14:solidFill>
                    <w14:srgbClr w14:val="000000"/>
                  </w14:solidFill>
                  <w14:prstDash w14:val="solid"/>
                  <w14:bevel/>
                </w14:textOutline>
              </w:rPr>
              <w:t>瓷砖</w:t>
            </w:r>
            <w:r>
              <w:rPr>
                <w:spacing w:val="-1"/>
                <w:lang w:eastAsia="zh-CN"/>
              </w:rPr>
              <w:t xml:space="preserve"> </w:t>
            </w:r>
            <w:r>
              <w:rPr>
                <w:rFonts w:hint="eastAsia" w:ascii="Times New Roman" w:hAnsi="Times New Roman" w:cs="Times New Roman"/>
                <w:b/>
                <w:bCs/>
                <w:spacing w:val="-1"/>
                <w:lang w:eastAsia="zh-CN"/>
              </w:rPr>
              <w:t>□</w:t>
            </w:r>
            <w:r>
              <w:rPr>
                <w:spacing w:val="-1"/>
                <w:lang w:eastAsia="zh-CN"/>
                <w14:textOutline w14:w="3263" w14:cap="sq" w14:cmpd="sng" w14:algn="ctr">
                  <w14:solidFill>
                    <w14:srgbClr w14:val="000000"/>
                  </w14:solidFill>
                  <w14:prstDash w14:val="solid"/>
                  <w14:bevel/>
                </w14:textOutline>
              </w:rPr>
              <w:t>不锈钢内</w:t>
            </w:r>
            <w:r>
              <w:rPr>
                <w:b/>
                <w:spacing w:val="-1"/>
                <w:lang w:eastAsia="zh-CN"/>
                <w14:textOutline w14:w="3263" w14:cap="sq" w14:cmpd="sng" w14:algn="ctr">
                  <w14:solidFill>
                    <w14:srgbClr w14:val="000000"/>
                  </w14:solidFill>
                  <w14:prstDash w14:val="solid"/>
                  <w14:bevel/>
                </w14:textOutline>
              </w:rPr>
              <w:t>衬</w:t>
            </w:r>
            <w:r>
              <w:rPr>
                <w:rFonts w:hint="eastAsia"/>
                <w:b/>
                <w:spacing w:val="-1"/>
                <w:lang w:eastAsia="zh-CN"/>
                <w14:textOutline w14:w="3263" w14:cap="sq" w14:cmpd="sng" w14:algn="ctr">
                  <w14:solidFill>
                    <w14:srgbClr w14:val="000000"/>
                  </w14:solidFill>
                  <w14:prstDash w14:val="solid"/>
                  <w14:bevel/>
                </w14:textOutline>
              </w:rPr>
              <w:t xml:space="preserve"> </w:t>
            </w:r>
            <w:r>
              <w:rPr>
                <w:rFonts w:hint="eastAsia" w:ascii="Times New Roman" w:hAnsi="Times New Roman" w:cs="Times New Roman"/>
                <w:b/>
                <w:spacing w:val="-1"/>
                <w:lang w:eastAsia="zh-CN"/>
              </w:rPr>
              <w:t>□</w:t>
            </w:r>
            <w:r>
              <w:rPr>
                <w:b/>
                <w:spacing w:val="-1"/>
                <w:lang w:eastAsia="zh-CN"/>
              </w:rPr>
              <w:t>不锈钢水箱</w:t>
            </w:r>
          </w:p>
        </w:tc>
        <w:tc>
          <w:tcPr>
            <w:tcW w:w="2000" w:type="dxa"/>
            <w:vMerge w:val="restart"/>
            <w:tcBorders>
              <w:bottom w:val="nil"/>
            </w:tcBorders>
            <w:vAlign w:val="center"/>
          </w:tcPr>
          <w:p>
            <w:pPr>
              <w:pStyle w:val="243"/>
              <w:spacing w:before="59" w:line="220" w:lineRule="auto"/>
              <w:rPr>
                <w:lang w:eastAsia="zh-CN"/>
              </w:rPr>
            </w:pPr>
            <w:r>
              <w:rPr>
                <w:spacing w:val="-2"/>
                <w:lang w:eastAsia="zh-CN"/>
                <w14:textOutline w14:w="3263" w14:cap="sq" w14:cmpd="sng" w14:algn="ctr">
                  <w14:solidFill>
                    <w14:srgbClr w14:val="000000"/>
                  </w14:solidFill>
                  <w14:prstDash w14:val="solid"/>
                  <w14:bevel/>
                </w14:textOutline>
              </w:rPr>
              <w:t>透气孔：</w:t>
            </w:r>
            <w:r>
              <w:rPr>
                <w:rFonts w:hint="eastAsia" w:ascii="Times New Roman" w:hAnsi="Times New Roman" w:cs="Times New Roman"/>
                <w:spacing w:val="-2"/>
                <w:lang w:eastAsia="zh-CN"/>
              </w:rPr>
              <w:t>□</w:t>
            </w:r>
            <w:r>
              <w:rPr>
                <w:spacing w:val="-2"/>
                <w:lang w:eastAsia="zh-CN"/>
              </w:rPr>
              <w:t>无</w:t>
            </w:r>
            <w:r>
              <w:rPr>
                <w:spacing w:val="11"/>
                <w:lang w:eastAsia="zh-CN"/>
              </w:rPr>
              <w:t xml:space="preserve"> </w:t>
            </w:r>
            <w:r>
              <w:rPr>
                <w:rFonts w:hint="eastAsia" w:ascii="Times New Roman" w:hAnsi="Times New Roman" w:cs="Times New Roman"/>
                <w:spacing w:val="-2"/>
                <w:lang w:eastAsia="zh-CN"/>
              </w:rPr>
              <w:t>□</w:t>
            </w:r>
            <w:r>
              <w:rPr>
                <w:spacing w:val="-2"/>
                <w:lang w:eastAsia="zh-CN"/>
              </w:rPr>
              <w:t>有</w:t>
            </w:r>
          </w:p>
          <w:p>
            <w:pPr>
              <w:pStyle w:val="243"/>
              <w:spacing w:before="253" w:line="220" w:lineRule="auto"/>
              <w:rPr>
                <w:lang w:eastAsia="zh-CN"/>
              </w:rPr>
            </w:pPr>
            <w:r>
              <w:rPr>
                <w:spacing w:val="-5"/>
                <w:lang w:eastAsia="zh-CN"/>
                <w14:textOutline w14:w="3263" w14:cap="sq" w14:cmpd="sng" w14:algn="ctr">
                  <w14:solidFill>
                    <w14:srgbClr w14:val="000000"/>
                  </w14:solidFill>
                  <w14:prstDash w14:val="solid"/>
                  <w14:bevel/>
                </w14:textOutline>
              </w:rPr>
              <w:t>溢流孔：</w:t>
            </w:r>
            <w:r>
              <w:rPr>
                <w:spacing w:val="18"/>
                <w:lang w:eastAsia="zh-CN"/>
              </w:rPr>
              <w:t xml:space="preserve"> </w:t>
            </w:r>
            <w:r>
              <w:rPr>
                <w:rFonts w:hint="eastAsia" w:ascii="Times New Roman" w:hAnsi="Times New Roman" w:cs="Times New Roman"/>
                <w:spacing w:val="-5"/>
                <w:lang w:eastAsia="zh-CN"/>
              </w:rPr>
              <w:t>□</w:t>
            </w:r>
            <w:r>
              <w:rPr>
                <w:spacing w:val="-5"/>
                <w:lang w:eastAsia="zh-CN"/>
              </w:rPr>
              <w:t>无</w:t>
            </w:r>
            <w:r>
              <w:rPr>
                <w:spacing w:val="14"/>
                <w:lang w:eastAsia="zh-CN"/>
              </w:rPr>
              <w:t xml:space="preserve"> </w:t>
            </w:r>
            <w:r>
              <w:rPr>
                <w:rFonts w:hint="eastAsia" w:ascii="Times New Roman" w:hAnsi="Times New Roman" w:cs="Times New Roman"/>
                <w:spacing w:val="-5"/>
                <w:lang w:eastAsia="zh-CN"/>
              </w:rPr>
              <w:t>□</w:t>
            </w:r>
            <w:r>
              <w:rPr>
                <w:spacing w:val="-5"/>
                <w:lang w:eastAsia="zh-CN"/>
              </w:rPr>
              <w:t>有</w:t>
            </w:r>
          </w:p>
          <w:p>
            <w:pPr>
              <w:pStyle w:val="243"/>
              <w:spacing w:before="253" w:line="219" w:lineRule="auto"/>
            </w:pPr>
            <w:r>
              <w:rPr>
                <w:spacing w:val="-3"/>
                <w14:textOutline w14:w="3263" w14:cap="sq" w14:cmpd="sng" w14:algn="ctr">
                  <w14:solidFill>
                    <w14:srgbClr w14:val="000000"/>
                  </w14:solidFill>
                  <w14:prstDash w14:val="solid"/>
                  <w14:bevel/>
                </w14:textOutline>
              </w:rPr>
              <w:t>排水孔：</w:t>
            </w:r>
            <w:r>
              <w:rPr>
                <w:rFonts w:hint="eastAsia" w:ascii="Times New Roman" w:hAnsi="Times New Roman" w:cs="Times New Roman"/>
                <w:spacing w:val="-3"/>
                <w:lang w:eastAsia="zh-CN"/>
              </w:rPr>
              <w:t>□</w:t>
            </w:r>
            <w:r>
              <w:rPr>
                <w:spacing w:val="-3"/>
              </w:rPr>
              <w:t>无</w:t>
            </w:r>
            <w:r>
              <w:rPr>
                <w:spacing w:val="18"/>
              </w:rPr>
              <w:t xml:space="preserve"> </w:t>
            </w:r>
            <w:r>
              <w:rPr>
                <w:rFonts w:hint="eastAsia" w:ascii="Times New Roman" w:hAnsi="Times New Roman" w:cs="Times New Roman"/>
                <w:spacing w:val="-3"/>
                <w:lang w:eastAsia="zh-CN"/>
              </w:rPr>
              <w:t>□</w:t>
            </w:r>
            <w:r>
              <w:rPr>
                <w:spacing w:val="-3"/>
              </w:rPr>
              <w:t>有</w:t>
            </w:r>
          </w:p>
        </w:tc>
        <w:tc>
          <w:tcPr>
            <w:tcW w:w="2788" w:type="dxa"/>
            <w:gridSpan w:val="2"/>
            <w:vMerge w:val="restart"/>
            <w:tcBorders>
              <w:bottom w:val="nil"/>
            </w:tcBorders>
            <w:vAlign w:val="center"/>
          </w:tcPr>
          <w:p>
            <w:pPr>
              <w:pStyle w:val="243"/>
              <w:spacing w:before="59" w:line="219" w:lineRule="auto"/>
              <w:rPr>
                <w:rFonts w:ascii="Arial"/>
                <w:sz w:val="21"/>
              </w:rPr>
            </w:pPr>
            <w:r>
              <w:rPr>
                <w:rFonts w:ascii="Times New Roman" w:hAnsi="Times New Roman" w:eastAsia="Times New Roman" w:cs="Times New Roman"/>
                <w:b/>
                <w:bCs/>
                <w:spacing w:val="-7"/>
              </w:rPr>
              <w:t>□</w:t>
            </w:r>
            <w:r>
              <w:rPr>
                <w:spacing w:val="-7"/>
                <w14:textOutline w14:w="3263" w14:cap="sq" w14:cmpd="sng" w14:algn="ctr">
                  <w14:solidFill>
                    <w14:srgbClr w14:val="000000"/>
                  </w14:solidFill>
                  <w14:prstDash w14:val="solid"/>
                  <w14:bevel/>
                </w14:textOutline>
              </w:rPr>
              <w:t>优</w:t>
            </w:r>
          </w:p>
          <w:p>
            <w:pPr>
              <w:pStyle w:val="243"/>
              <w:spacing w:before="58" w:line="221" w:lineRule="auto"/>
              <w:rPr>
                <w:rFonts w:ascii="Arial"/>
                <w:sz w:val="21"/>
              </w:rPr>
            </w:pPr>
            <w:r>
              <w:rPr>
                <w:rFonts w:ascii="Times New Roman" w:hAnsi="Times New Roman" w:eastAsia="Times New Roman" w:cs="Times New Roman"/>
                <w:b/>
                <w:bCs/>
                <w:spacing w:val="-3"/>
              </w:rPr>
              <w:t>□</w:t>
            </w:r>
            <w:r>
              <w:rPr>
                <w:spacing w:val="-3"/>
                <w14:textOutline w14:w="3263" w14:cap="sq" w14:cmpd="sng" w14:algn="ctr">
                  <w14:solidFill>
                    <w14:srgbClr w14:val="000000"/>
                  </w14:solidFill>
                  <w14:prstDash w14:val="solid"/>
                  <w14:bevel/>
                </w14:textOutline>
              </w:rPr>
              <w:t>一般</w:t>
            </w:r>
          </w:p>
          <w:p>
            <w:pPr>
              <w:pStyle w:val="243"/>
              <w:spacing w:before="59" w:line="227" w:lineRule="auto"/>
            </w:pPr>
            <w:r>
              <w:rPr>
                <w:rFonts w:ascii="Times New Roman" w:hAnsi="Times New Roman" w:eastAsia="Times New Roman" w:cs="Times New Roman"/>
                <w:b/>
                <w:bCs/>
                <w:spacing w:val="-7"/>
              </w:rPr>
              <w:t>□</w:t>
            </w:r>
            <w:r>
              <w:rPr>
                <w:spacing w:val="-7"/>
                <w14:textOutline w14:w="3263" w14:cap="sq" w14:cmpd="sng" w14:algn="ctr">
                  <w14:solidFill>
                    <w14:srgbClr w14:val="000000"/>
                  </w14:solidFill>
                  <w14:prstDash w14:val="solid"/>
                  <w14:bevel/>
                </w14:textOutline>
              </w:rPr>
              <w:t>差</w:t>
            </w:r>
          </w:p>
        </w:tc>
        <w:tc>
          <w:tcPr>
            <w:tcW w:w="1299" w:type="dxa"/>
            <w:vMerge w:val="restart"/>
            <w:tcBorders>
              <w:bottom w:val="nil"/>
            </w:tcBorders>
            <w:vAlign w:val="center"/>
          </w:tcPr>
          <w:p>
            <w:pPr>
              <w:pStyle w:val="243"/>
              <w:spacing w:before="58" w:line="219" w:lineRule="auto"/>
            </w:pPr>
            <w:r>
              <w:rPr>
                <w:spacing w:val="-5"/>
                <w14:textOutline w14:w="3263" w14:cap="sq" w14:cmpd="sng" w14:algn="ctr">
                  <w14:solidFill>
                    <w14:srgbClr w14:val="000000"/>
                  </w14:solidFill>
                  <w14:prstDash w14:val="solid"/>
                  <w14:bevel/>
                </w14:textOutline>
              </w:rPr>
              <w:t>长</w:t>
            </w:r>
            <w:r>
              <w:rPr>
                <w:rFonts w:ascii="Times New Roman" w:hAnsi="Times New Roman" w:eastAsia="Times New Roman" w:cs="Times New Roman"/>
                <w:b/>
                <w:bCs/>
                <w:spacing w:val="-5"/>
              </w:rPr>
              <w:t>×</w:t>
            </w:r>
            <w:r>
              <w:rPr>
                <w:rFonts w:ascii="Times New Roman" w:hAnsi="Times New Roman" w:eastAsia="Times New Roman" w:cs="Times New Roman"/>
                <w:b/>
                <w:bCs/>
                <w:spacing w:val="-28"/>
              </w:rPr>
              <w:t xml:space="preserve"> </w:t>
            </w:r>
            <w:r>
              <w:rPr>
                <w:spacing w:val="-5"/>
                <w14:textOutline w14:w="3263" w14:cap="sq" w14:cmpd="sng" w14:algn="ctr">
                  <w14:solidFill>
                    <w14:srgbClr w14:val="000000"/>
                  </w14:solidFill>
                  <w14:prstDash w14:val="solid"/>
                  <w14:bevel/>
                </w14:textOutline>
              </w:rPr>
              <w:t>宽</w:t>
            </w:r>
            <w:r>
              <w:rPr>
                <w:rFonts w:ascii="Times New Roman" w:hAnsi="Times New Roman" w:eastAsia="Times New Roman" w:cs="Times New Roman"/>
                <w:b/>
                <w:bCs/>
                <w:spacing w:val="-5"/>
              </w:rPr>
              <w:t>×</w:t>
            </w:r>
            <w:r>
              <w:rPr>
                <w:spacing w:val="-5"/>
                <w14:textOutline w14:w="3263" w14:cap="sq" w14:cmpd="sng" w14:algn="ctr">
                  <w14:solidFill>
                    <w14:srgbClr w14:val="000000"/>
                  </w14:solidFill>
                  <w14:prstDash w14:val="solid"/>
                  <w14:bevel/>
                </w14:textOutline>
              </w:rPr>
              <w:t>高</w:t>
            </w:r>
          </w:p>
        </w:tc>
        <w:tc>
          <w:tcPr>
            <w:tcW w:w="635" w:type="dxa"/>
            <w:vMerge w:val="restart"/>
            <w:tcBorders>
              <w:bottom w:val="nil"/>
            </w:tcBorders>
            <w:vAlign w:val="center"/>
          </w:tcPr>
          <w:p>
            <w:pPr>
              <w:pStyle w:val="243"/>
              <w:spacing w:before="59" w:line="220" w:lineRule="auto"/>
            </w:pPr>
            <w:r>
              <w:rPr>
                <w:spacing w:val="-4"/>
                <w14:textOutline w14:w="3263" w14:cap="sq" w14:cmpd="sng" w14:algn="ctr">
                  <w14:solidFill>
                    <w14:srgbClr w14:val="000000"/>
                  </w14:solidFill>
                  <w14:prstDash w14:val="solid"/>
                  <w14:bevel/>
                </w14:textOutline>
              </w:rPr>
              <w:t>面积</w:t>
            </w:r>
          </w:p>
        </w:tc>
        <w:tc>
          <w:tcPr>
            <w:tcW w:w="1336" w:type="dxa"/>
            <w:vMerge w:val="restart"/>
            <w:tcBorders>
              <w:bottom w:val="nil"/>
            </w:tcBorders>
            <w:vAlign w:val="center"/>
          </w:tcPr>
          <w:p>
            <w:pPr>
              <w:pStyle w:val="243"/>
              <w:spacing w:before="146" w:line="468" w:lineRule="exact"/>
              <w:rPr>
                <w:lang w:eastAsia="zh-CN"/>
              </w:rPr>
            </w:pPr>
            <w:r>
              <w:rPr>
                <w:spacing w:val="-3"/>
                <w:position w:val="22"/>
                <w:lang w:eastAsia="zh-CN"/>
                <w14:textOutline w14:w="3263" w14:cap="sq" w14:cmpd="sng" w14:algn="ctr">
                  <w14:solidFill>
                    <w14:srgbClr w14:val="000000"/>
                  </w14:solidFill>
                  <w14:prstDash w14:val="solid"/>
                  <w14:bevel/>
                </w14:textOutline>
              </w:rPr>
              <w:t>墙体：</w:t>
            </w:r>
          </w:p>
          <w:p>
            <w:pPr>
              <w:pStyle w:val="243"/>
              <w:spacing w:line="221" w:lineRule="auto"/>
              <w:rPr>
                <w:lang w:eastAsia="zh-CN"/>
              </w:rPr>
            </w:pPr>
            <w:r>
              <w:rPr>
                <w:rFonts w:hint="eastAsia" w:ascii="Times New Roman" w:hAnsi="Times New Roman" w:cs="Times New Roman"/>
                <w:bCs/>
                <w:spacing w:val="-5"/>
                <w:lang w:eastAsia="zh-CN"/>
              </w:rPr>
              <w:t>□</w:t>
            </w:r>
            <w:r>
              <w:rPr>
                <w:spacing w:val="-5"/>
                <w:lang w:eastAsia="zh-CN"/>
                <w14:textOutline w14:w="3263" w14:cap="sq" w14:cmpd="sng" w14:algn="ctr">
                  <w14:solidFill>
                    <w14:srgbClr w14:val="000000"/>
                  </w14:solidFill>
                  <w14:prstDash w14:val="solid"/>
                  <w14:bevel/>
                </w14:textOutline>
              </w:rPr>
              <w:t>整洁</w:t>
            </w:r>
          </w:p>
          <w:p>
            <w:pPr>
              <w:pStyle w:val="243"/>
              <w:spacing w:before="251" w:line="221" w:lineRule="auto"/>
              <w:rPr>
                <w:lang w:eastAsia="zh-CN"/>
              </w:rPr>
            </w:pPr>
            <w:r>
              <w:rPr>
                <w:rFonts w:hint="eastAsia" w:ascii="Times New Roman" w:hAnsi="Times New Roman" w:cs="Times New Roman"/>
                <w:bCs/>
                <w:spacing w:val="-3"/>
                <w:lang w:eastAsia="zh-CN"/>
              </w:rPr>
              <w:t>□</w:t>
            </w:r>
            <w:r>
              <w:rPr>
                <w:spacing w:val="-3"/>
                <w:lang w:eastAsia="zh-CN"/>
                <w14:textOutline w14:w="3263" w14:cap="sq" w14:cmpd="sng" w14:algn="ctr">
                  <w14:solidFill>
                    <w14:srgbClr w14:val="000000"/>
                  </w14:solidFill>
                  <w14:prstDash w14:val="solid"/>
                  <w14:bevel/>
                </w14:textOutline>
              </w:rPr>
              <w:t>墙漆剥落</w:t>
            </w:r>
          </w:p>
          <w:p>
            <w:pPr>
              <w:pStyle w:val="243"/>
              <w:spacing w:before="253" w:line="219" w:lineRule="auto"/>
            </w:pPr>
            <w:r>
              <w:rPr>
                <w:rFonts w:hint="eastAsia" w:ascii="Times New Roman" w:hAnsi="Times New Roman" w:cs="Times New Roman"/>
                <w:bCs/>
                <w:spacing w:val="-3"/>
                <w:lang w:eastAsia="zh-CN"/>
              </w:rPr>
              <w:t>□</w:t>
            </w:r>
            <w:r>
              <w:rPr>
                <w:spacing w:val="-3"/>
                <w14:textOutline w14:w="3263" w14:cap="sq" w14:cmpd="sng" w14:algn="ctr">
                  <w14:solidFill>
                    <w14:srgbClr w14:val="000000"/>
                  </w14:solidFill>
                  <w14:prstDash w14:val="solid"/>
                  <w14:bevel/>
                </w14:textOutline>
              </w:rPr>
              <w:t>墙面渗水</w:t>
            </w:r>
          </w:p>
        </w:tc>
        <w:tc>
          <w:tcPr>
            <w:tcW w:w="1170" w:type="dxa"/>
            <w:vMerge w:val="restart"/>
            <w:tcBorders>
              <w:bottom w:val="nil"/>
            </w:tcBorders>
            <w:vAlign w:val="center"/>
          </w:tcPr>
          <w:p>
            <w:pPr>
              <w:widowControl/>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照明：</w:t>
            </w:r>
          </w:p>
          <w:p>
            <w:pPr>
              <w:widowControl/>
              <w:jc w:val="left"/>
            </w:pPr>
            <w:r>
              <w:rPr>
                <w:rFonts w:hint="eastAsia" w:ascii="Times New Roman" w:hAnsi="Times New Roman"/>
                <w:bCs/>
                <w:color w:val="000000"/>
                <w:kern w:val="0"/>
                <w:sz w:val="18"/>
                <w:szCs w:val="18"/>
                <w:lang w:bidi="ar"/>
              </w:rPr>
              <w:t>□</w:t>
            </w:r>
            <w:r>
              <w:rPr>
                <w:rFonts w:ascii="Times New Roman" w:hAnsi="Times New Roman"/>
                <w:bCs/>
                <w:color w:val="000000"/>
                <w:kern w:val="0"/>
                <w:sz w:val="18"/>
                <w:szCs w:val="18"/>
                <w:lang w:bidi="ar"/>
              </w:rPr>
              <w:t xml:space="preserve"> </w:t>
            </w:r>
            <w:r>
              <w:rPr>
                <w:rFonts w:hint="eastAsia" w:ascii="宋体" w:hAnsi="宋体" w:cs="宋体"/>
                <w:bCs/>
                <w:color w:val="000000"/>
                <w:kern w:val="0"/>
                <w:sz w:val="18"/>
                <w:szCs w:val="18"/>
                <w:lang w:bidi="ar"/>
              </w:rPr>
              <w:t xml:space="preserve">差 </w:t>
            </w:r>
          </w:p>
          <w:p>
            <w:pPr>
              <w:widowControl/>
              <w:jc w:val="left"/>
            </w:pPr>
            <w:r>
              <w:rPr>
                <w:rFonts w:hint="eastAsia" w:ascii="Times New Roman" w:hAnsi="Times New Roman"/>
                <w:color w:val="000000"/>
                <w:kern w:val="0"/>
                <w:sz w:val="18"/>
                <w:szCs w:val="18"/>
                <w:lang w:bidi="ar"/>
              </w:rPr>
              <w:t>□</w:t>
            </w:r>
            <w:r>
              <w:rPr>
                <w:rFonts w:hint="eastAsia" w:ascii="宋体" w:hAnsi="宋体" w:cs="宋体"/>
                <w:color w:val="000000"/>
                <w:kern w:val="0"/>
                <w:sz w:val="18"/>
                <w:szCs w:val="18"/>
                <w:lang w:bidi="ar"/>
              </w:rPr>
              <w:t>良好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9" w:hRule="atLeast"/>
        </w:trPr>
        <w:tc>
          <w:tcPr>
            <w:tcW w:w="528" w:type="dxa"/>
            <w:vMerge w:val="continue"/>
            <w:tcBorders>
              <w:top w:val="nil"/>
              <w:bottom w:val="nil"/>
            </w:tcBorders>
            <w:textDirection w:val="tbRlV"/>
            <w:vAlign w:val="center"/>
          </w:tcPr>
          <w:p>
            <w:pPr>
              <w:jc w:val="center"/>
              <w:rPr>
                <w:rFonts w:ascii="Arial"/>
              </w:rPr>
            </w:pPr>
          </w:p>
        </w:tc>
        <w:tc>
          <w:tcPr>
            <w:tcW w:w="1549" w:type="dxa"/>
            <w:vMerge w:val="continue"/>
            <w:tcBorders>
              <w:top w:val="nil"/>
            </w:tcBorders>
            <w:vAlign w:val="center"/>
          </w:tcPr>
          <w:p>
            <w:pPr>
              <w:rPr>
                <w:rFonts w:ascii="Arial"/>
              </w:rPr>
            </w:pPr>
          </w:p>
        </w:tc>
        <w:tc>
          <w:tcPr>
            <w:tcW w:w="636" w:type="dxa"/>
            <w:vMerge w:val="continue"/>
            <w:tcBorders>
              <w:top w:val="nil"/>
            </w:tcBorders>
            <w:vAlign w:val="center"/>
          </w:tcPr>
          <w:p>
            <w:pPr>
              <w:rPr>
                <w:rFonts w:ascii="Arial"/>
              </w:rPr>
            </w:pPr>
          </w:p>
        </w:tc>
        <w:tc>
          <w:tcPr>
            <w:tcW w:w="1545" w:type="dxa"/>
            <w:vAlign w:val="center"/>
          </w:tcPr>
          <w:p>
            <w:pPr>
              <w:pStyle w:val="243"/>
              <w:spacing w:before="59" w:line="219" w:lineRule="auto"/>
              <w:rPr>
                <w:rFonts w:ascii="Times New Roman" w:hAnsi="Times New Roman" w:cs="Times New Roman"/>
                <w:lang w:eastAsia="zh-CN"/>
              </w:rPr>
            </w:pPr>
            <w:r>
              <w:rPr>
                <w:spacing w:val="-2"/>
                <w14:textOutline w14:w="3263" w14:cap="sq" w14:cmpd="sng" w14:algn="ctr">
                  <w14:solidFill>
                    <w14:srgbClr w14:val="000000"/>
                  </w14:solidFill>
                  <w14:prstDash w14:val="solid"/>
                  <w14:bevel/>
                </w14:textOutline>
              </w:rPr>
              <w:t>出水</w:t>
            </w:r>
            <w:r>
              <w:rPr>
                <w:rFonts w:ascii="Times New Roman" w:hAnsi="Times New Roman" w:eastAsia="Times New Roman" w:cs="Times New Roman"/>
                <w:b/>
                <w:bCs/>
                <w:spacing w:val="-2"/>
              </w:rPr>
              <w:t>:</w:t>
            </w:r>
            <w:r>
              <w:rPr>
                <w:rFonts w:ascii="Times New Roman" w:hAnsi="Times New Roman" w:eastAsia="Times New Roman" w:cs="Times New Roman"/>
                <w:b/>
                <w:bCs/>
                <w:spacing w:val="-1"/>
                <w:u w:val="single"/>
              </w:rPr>
              <w:t xml:space="preserve"> </w:t>
            </w:r>
            <w:r>
              <w:rPr>
                <w:rFonts w:hint="eastAsia" w:ascii="Times New Roman" w:hAnsi="Times New Roman" w:cs="Times New Roman"/>
                <w:b/>
                <w:bCs/>
                <w:spacing w:val="-1"/>
                <w:u w:val="single"/>
                <w:lang w:eastAsia="zh-CN"/>
              </w:rPr>
              <w:t xml:space="preserve"> </w:t>
            </w:r>
            <w:r>
              <w:rPr>
                <w:spacing w:val="-2"/>
                <w14:textOutline w14:w="3263" w14:cap="sq" w14:cmpd="sng" w14:algn="ctr">
                  <w14:solidFill>
                    <w14:srgbClr w14:val="000000"/>
                  </w14:solidFill>
                  <w14:prstDash w14:val="solid"/>
                  <w14:bevel/>
                </w14:textOutline>
              </w:rPr>
              <w:t>路</w:t>
            </w:r>
          </w:p>
        </w:tc>
        <w:tc>
          <w:tcPr>
            <w:tcW w:w="983" w:type="dxa"/>
            <w:vMerge w:val="continue"/>
            <w:tcBorders>
              <w:top w:val="nil"/>
            </w:tcBorders>
            <w:vAlign w:val="center"/>
          </w:tcPr>
          <w:p>
            <w:pPr>
              <w:rPr>
                <w:rFonts w:ascii="Arial"/>
              </w:rPr>
            </w:pPr>
          </w:p>
        </w:tc>
        <w:tc>
          <w:tcPr>
            <w:tcW w:w="1735" w:type="dxa"/>
            <w:gridSpan w:val="2"/>
            <w:vMerge w:val="continue"/>
            <w:tcBorders>
              <w:top w:val="nil"/>
            </w:tcBorders>
            <w:vAlign w:val="center"/>
          </w:tcPr>
          <w:p>
            <w:pPr>
              <w:rPr>
                <w:rFonts w:ascii="Arial"/>
              </w:rPr>
            </w:pPr>
          </w:p>
        </w:tc>
        <w:tc>
          <w:tcPr>
            <w:tcW w:w="1037" w:type="dxa"/>
            <w:vMerge w:val="continue"/>
            <w:tcBorders>
              <w:top w:val="nil"/>
            </w:tcBorders>
            <w:vAlign w:val="center"/>
          </w:tcPr>
          <w:p>
            <w:pPr>
              <w:rPr>
                <w:rFonts w:ascii="Arial"/>
              </w:rPr>
            </w:pPr>
          </w:p>
        </w:tc>
        <w:tc>
          <w:tcPr>
            <w:tcW w:w="3506" w:type="dxa"/>
            <w:vMerge w:val="continue"/>
            <w:tcBorders>
              <w:top w:val="nil"/>
            </w:tcBorders>
            <w:vAlign w:val="center"/>
          </w:tcPr>
          <w:p>
            <w:pPr>
              <w:rPr>
                <w:rFonts w:ascii="Arial"/>
              </w:rPr>
            </w:pPr>
          </w:p>
        </w:tc>
        <w:tc>
          <w:tcPr>
            <w:tcW w:w="2000" w:type="dxa"/>
            <w:vMerge w:val="continue"/>
            <w:tcBorders>
              <w:top w:val="nil"/>
            </w:tcBorders>
            <w:vAlign w:val="center"/>
          </w:tcPr>
          <w:p>
            <w:pPr>
              <w:rPr>
                <w:rFonts w:ascii="Arial"/>
              </w:rPr>
            </w:pPr>
          </w:p>
        </w:tc>
        <w:tc>
          <w:tcPr>
            <w:tcW w:w="2788" w:type="dxa"/>
            <w:gridSpan w:val="2"/>
            <w:vMerge w:val="continue"/>
            <w:tcBorders>
              <w:top w:val="nil"/>
              <w:bottom w:val="nil"/>
            </w:tcBorders>
            <w:vAlign w:val="center"/>
          </w:tcPr>
          <w:p>
            <w:pPr>
              <w:rPr>
                <w:rFonts w:ascii="Arial"/>
              </w:rPr>
            </w:pPr>
          </w:p>
        </w:tc>
        <w:tc>
          <w:tcPr>
            <w:tcW w:w="1299" w:type="dxa"/>
            <w:vMerge w:val="continue"/>
            <w:tcBorders>
              <w:top w:val="nil"/>
            </w:tcBorders>
            <w:vAlign w:val="center"/>
          </w:tcPr>
          <w:p>
            <w:pPr>
              <w:rPr>
                <w:rFonts w:ascii="Arial"/>
              </w:rPr>
            </w:pPr>
          </w:p>
        </w:tc>
        <w:tc>
          <w:tcPr>
            <w:tcW w:w="635" w:type="dxa"/>
            <w:vMerge w:val="continue"/>
            <w:tcBorders>
              <w:top w:val="nil"/>
            </w:tcBorders>
            <w:vAlign w:val="center"/>
          </w:tcPr>
          <w:p>
            <w:pPr>
              <w:rPr>
                <w:rFonts w:ascii="Arial"/>
              </w:rPr>
            </w:pPr>
          </w:p>
        </w:tc>
        <w:tc>
          <w:tcPr>
            <w:tcW w:w="1336" w:type="dxa"/>
            <w:vMerge w:val="continue"/>
            <w:tcBorders>
              <w:top w:val="nil"/>
            </w:tcBorders>
            <w:vAlign w:val="center"/>
          </w:tcPr>
          <w:p>
            <w:pPr>
              <w:rPr>
                <w:rFonts w:ascii="Arial"/>
              </w:rPr>
            </w:pPr>
          </w:p>
        </w:tc>
        <w:tc>
          <w:tcPr>
            <w:tcW w:w="1170" w:type="dxa"/>
            <w:vMerge w:val="continue"/>
            <w:tcBorders>
              <w:top w:val="nil"/>
            </w:tcBorders>
            <w:vAlign w:val="center"/>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876" w:hRule="atLeast"/>
        </w:trPr>
        <w:tc>
          <w:tcPr>
            <w:tcW w:w="528" w:type="dxa"/>
            <w:vMerge w:val="continue"/>
            <w:tcBorders>
              <w:top w:val="nil"/>
            </w:tcBorders>
            <w:textDirection w:val="tbRlV"/>
            <w:vAlign w:val="center"/>
          </w:tcPr>
          <w:p>
            <w:pPr>
              <w:jc w:val="center"/>
              <w:rPr>
                <w:rFonts w:ascii="Arial"/>
              </w:rPr>
            </w:pPr>
          </w:p>
        </w:tc>
        <w:tc>
          <w:tcPr>
            <w:tcW w:w="1549" w:type="dxa"/>
            <w:vAlign w:val="center"/>
          </w:tcPr>
          <w:p>
            <w:pPr>
              <w:pStyle w:val="243"/>
              <w:spacing w:before="59" w:line="219" w:lineRule="auto"/>
              <w:rPr>
                <w:lang w:eastAsia="zh-CN"/>
              </w:rPr>
            </w:pPr>
            <w:r>
              <w:rPr>
                <w:spacing w:val="-2"/>
                <w14:textOutline w14:w="3263" w14:cap="sq" w14:cmpd="sng" w14:algn="ctr">
                  <w14:solidFill>
                    <w14:srgbClr w14:val="000000"/>
                  </w14:solidFill>
                  <w14:prstDash w14:val="solid"/>
                  <w14:bevel/>
                </w14:textOutline>
              </w:rPr>
              <w:t>高位</w:t>
            </w:r>
            <w:r>
              <w:rPr>
                <w:rFonts w:hint="eastAsia"/>
                <w:spacing w:val="-2"/>
                <w:lang w:eastAsia="zh-CN"/>
                <w14:textOutline w14:w="3263" w14:cap="sq" w14:cmpd="sng" w14:algn="ctr">
                  <w14:solidFill>
                    <w14:srgbClr w14:val="000000"/>
                  </w14:solidFill>
                  <w14:prstDash w14:val="solid"/>
                  <w14:bevel/>
                </w14:textOutline>
              </w:rPr>
              <w:t>水池（箱）</w:t>
            </w:r>
          </w:p>
        </w:tc>
        <w:tc>
          <w:tcPr>
            <w:tcW w:w="636" w:type="dxa"/>
            <w:vAlign w:val="center"/>
          </w:tcPr>
          <w:p>
            <w:pPr>
              <w:rPr>
                <w:rFonts w:ascii="Arial"/>
              </w:rPr>
            </w:pPr>
          </w:p>
        </w:tc>
        <w:tc>
          <w:tcPr>
            <w:tcW w:w="1545" w:type="dxa"/>
            <w:vAlign w:val="center"/>
          </w:tcPr>
          <w:p>
            <w:pPr>
              <w:pStyle w:val="243"/>
              <w:spacing w:before="59" w:line="219" w:lineRule="auto"/>
              <w:rPr>
                <w:rFonts w:ascii="Times New Roman" w:hAnsi="Times New Roman" w:eastAsia="Times New Roman" w:cs="Times New Roman"/>
              </w:rPr>
            </w:pPr>
            <w:r>
              <w:rPr>
                <w:spacing w:val="-4"/>
                <w14:textOutline w14:w="3263" w14:cap="sq" w14:cmpd="sng" w14:algn="ctr">
                  <w14:solidFill>
                    <w14:srgbClr w14:val="000000"/>
                  </w14:solidFill>
                  <w14:prstDash w14:val="solid"/>
                  <w14:bevel/>
                </w14:textOutline>
              </w:rPr>
              <w:t>进水</w:t>
            </w:r>
            <w:r>
              <w:rPr>
                <w:rFonts w:hint="eastAsia"/>
                <w:spacing w:val="-4"/>
                <w:lang w:eastAsia="zh-CN"/>
                <w14:textOutline w14:w="3263" w14:cap="sq" w14:cmpd="sng" w14:algn="ctr">
                  <w14:solidFill>
                    <w14:srgbClr w14:val="000000"/>
                  </w14:solidFill>
                  <w14:prstDash w14:val="solid"/>
                  <w14:bevel/>
                </w14:textOutline>
              </w:rPr>
              <w:t>：</w:t>
            </w:r>
            <w:r>
              <w:rPr>
                <w:spacing w:val="-29"/>
              </w:rPr>
              <w:t xml:space="preserve"> </w:t>
            </w:r>
            <w:r>
              <w:rPr>
                <w:rFonts w:ascii="Times New Roman" w:hAnsi="Times New Roman" w:eastAsia="Times New Roman" w:cs="Times New Roman"/>
                <w:b/>
                <w:bCs/>
                <w:spacing w:val="-1"/>
                <w:u w:val="single"/>
              </w:rPr>
              <w:t xml:space="preserve"> </w:t>
            </w:r>
            <w:r>
              <w:rPr>
                <w:rFonts w:hint="eastAsia" w:ascii="Times New Roman" w:hAnsi="Times New Roman" w:cs="Times New Roman"/>
                <w:b/>
                <w:bCs/>
                <w:spacing w:val="-1"/>
                <w:u w:val="single"/>
                <w:lang w:eastAsia="zh-CN"/>
              </w:rPr>
              <w:t xml:space="preserve"> </w:t>
            </w:r>
            <w:r>
              <w:rPr>
                <w:spacing w:val="-2"/>
                <w14:textOutline w14:w="3263" w14:cap="sq" w14:cmpd="sng" w14:algn="ctr">
                  <w14:solidFill>
                    <w14:srgbClr w14:val="000000"/>
                  </w14:solidFill>
                  <w14:prstDash w14:val="solid"/>
                  <w14:bevel/>
                </w14:textOutline>
              </w:rPr>
              <w:t>路</w:t>
            </w:r>
          </w:p>
        </w:tc>
        <w:tc>
          <w:tcPr>
            <w:tcW w:w="983" w:type="dxa"/>
            <w:vAlign w:val="center"/>
          </w:tcPr>
          <w:p>
            <w:pPr>
              <w:pStyle w:val="243"/>
              <w:spacing w:before="58" w:line="220" w:lineRule="auto"/>
              <w:rPr>
                <w:lang w:eastAsia="zh-CN"/>
              </w:rPr>
            </w:pPr>
            <w:r>
              <w:rPr>
                <w:rFonts w:hint="eastAsia" w:ascii="Times New Roman" w:hAnsi="Times New Roman" w:cs="Times New Roman"/>
                <w:b/>
                <w:bCs/>
                <w:spacing w:val="-7"/>
                <w:lang w:eastAsia="zh-CN"/>
              </w:rPr>
              <w:t>□</w:t>
            </w:r>
            <w:r>
              <w:rPr>
                <w:spacing w:val="-7"/>
                <w:lang w:eastAsia="zh-CN"/>
                <w14:textOutline w14:w="3263" w14:cap="sq" w14:cmpd="sng" w14:algn="ctr">
                  <w14:solidFill>
                    <w14:srgbClr w14:val="000000"/>
                  </w14:solidFill>
                  <w14:prstDash w14:val="solid"/>
                  <w14:bevel/>
                </w14:textOutline>
              </w:rPr>
              <w:t>无</w:t>
            </w:r>
          </w:p>
          <w:p>
            <w:pPr>
              <w:pStyle w:val="243"/>
              <w:spacing w:before="253" w:line="436" w:lineRule="exact"/>
              <w:rPr>
                <w:lang w:eastAsia="zh-CN"/>
              </w:rPr>
            </w:pPr>
            <w:r>
              <w:rPr>
                <w:rFonts w:hint="eastAsia" w:ascii="Times New Roman" w:hAnsi="Times New Roman" w:cs="Times New Roman"/>
                <w:b/>
                <w:bCs/>
                <w:spacing w:val="-3"/>
                <w:position w:val="19"/>
                <w:lang w:eastAsia="zh-CN"/>
              </w:rPr>
              <w:t>□</w:t>
            </w:r>
            <w:r>
              <w:rPr>
                <w:spacing w:val="-3"/>
                <w:position w:val="19"/>
                <w:lang w:eastAsia="zh-CN"/>
                <w14:textOutline w14:w="3263" w14:cap="sq" w14:cmpd="sng" w14:algn="ctr">
                  <w14:solidFill>
                    <w14:srgbClr w14:val="000000"/>
                  </w14:solidFill>
                  <w14:prstDash w14:val="solid"/>
                  <w14:bevel/>
                </w14:textOutline>
              </w:rPr>
              <w:t>液压阀</w:t>
            </w:r>
          </w:p>
          <w:p>
            <w:pPr>
              <w:pStyle w:val="243"/>
              <w:spacing w:line="242" w:lineRule="exact"/>
              <w:rPr>
                <w:lang w:eastAsia="zh-CN"/>
              </w:rPr>
            </w:pPr>
            <w:r>
              <w:rPr>
                <w:rFonts w:hint="eastAsia" w:ascii="Times New Roman" w:hAnsi="Times New Roman" w:cs="Times New Roman"/>
                <w:b/>
                <w:bCs/>
                <w:spacing w:val="-2"/>
                <w:lang w:eastAsia="zh-CN"/>
              </w:rPr>
              <w:t>□</w:t>
            </w:r>
            <w:r>
              <w:rPr>
                <w:spacing w:val="-2"/>
                <w:lang w:eastAsia="zh-CN"/>
                <w14:textOutline w14:w="3263" w14:cap="sq" w14:cmpd="sng" w14:algn="ctr">
                  <w14:solidFill>
                    <w14:srgbClr w14:val="000000"/>
                  </w14:solidFill>
                  <w14:prstDash w14:val="solid"/>
                  <w14:bevel/>
                </w14:textOutline>
              </w:rPr>
              <w:t>浮球阀</w:t>
            </w:r>
          </w:p>
        </w:tc>
        <w:tc>
          <w:tcPr>
            <w:tcW w:w="1735" w:type="dxa"/>
            <w:gridSpan w:val="2"/>
            <w:vAlign w:val="center"/>
          </w:tcPr>
          <w:p>
            <w:pPr>
              <w:spacing w:before="51" w:line="188" w:lineRule="auto"/>
              <w:rPr>
                <w:rFonts w:ascii="Times New Roman" w:hAnsi="Times New Roman" w:eastAsia="Times New Roman"/>
                <w:sz w:val="18"/>
                <w:szCs w:val="18"/>
              </w:rPr>
            </w:pPr>
          </w:p>
        </w:tc>
        <w:tc>
          <w:tcPr>
            <w:tcW w:w="1037" w:type="dxa"/>
            <w:vAlign w:val="center"/>
          </w:tcPr>
          <w:p>
            <w:pPr>
              <w:rPr>
                <w:rFonts w:ascii="Arial"/>
              </w:rPr>
            </w:pPr>
          </w:p>
        </w:tc>
        <w:tc>
          <w:tcPr>
            <w:tcW w:w="3506" w:type="dxa"/>
            <w:vAlign w:val="center"/>
          </w:tcPr>
          <w:p>
            <w:pPr>
              <w:pStyle w:val="243"/>
              <w:spacing w:before="58" w:line="243" w:lineRule="exact"/>
              <w:rPr>
                <w:lang w:eastAsia="zh-CN"/>
              </w:rPr>
            </w:pPr>
            <w:r>
              <w:rPr>
                <w:rFonts w:hint="eastAsia" w:ascii="Times New Roman" w:hAnsi="Times New Roman" w:cs="Times New Roman"/>
                <w:b/>
                <w:bCs/>
                <w:spacing w:val="-1"/>
                <w:lang w:eastAsia="zh-CN"/>
              </w:rPr>
              <w:t>□</w:t>
            </w:r>
            <w:r>
              <w:rPr>
                <w:spacing w:val="-1"/>
                <w:lang w:eastAsia="zh-CN"/>
                <w14:textOutline w14:w="3263" w14:cap="sq" w14:cmpd="sng" w14:algn="ctr">
                  <w14:solidFill>
                    <w14:srgbClr w14:val="000000"/>
                  </w14:solidFill>
                  <w14:prstDash w14:val="solid"/>
                  <w14:bevel/>
                </w14:textOutline>
              </w:rPr>
              <w:t>瓷砖</w:t>
            </w:r>
            <w:r>
              <w:rPr>
                <w:rFonts w:hint="eastAsia"/>
                <w:spacing w:val="-1"/>
                <w:lang w:eastAsia="zh-CN"/>
                <w14:textOutline w14:w="3263" w14:cap="sq" w14:cmpd="sng" w14:algn="ctr">
                  <w14:solidFill>
                    <w14:srgbClr w14:val="000000"/>
                  </w14:solidFill>
                  <w14:prstDash w14:val="solid"/>
                  <w14:bevel/>
                </w14:textOutline>
              </w:rPr>
              <w:t xml:space="preserve"> </w:t>
            </w:r>
            <w:r>
              <w:rPr>
                <w:rFonts w:hint="eastAsia" w:ascii="Times New Roman" w:hAnsi="Times New Roman" w:cs="Times New Roman"/>
                <w:b/>
                <w:bCs/>
                <w:spacing w:val="-1"/>
                <w:lang w:eastAsia="zh-CN"/>
              </w:rPr>
              <w:t>□</w:t>
            </w:r>
            <w:r>
              <w:rPr>
                <w:spacing w:val="-1"/>
                <w:lang w:eastAsia="zh-CN"/>
                <w14:textOutline w14:w="3263" w14:cap="sq" w14:cmpd="sng" w14:algn="ctr">
                  <w14:solidFill>
                    <w14:srgbClr w14:val="000000"/>
                  </w14:solidFill>
                  <w14:prstDash w14:val="solid"/>
                  <w14:bevel/>
                </w14:textOutline>
              </w:rPr>
              <w:t>涂料</w:t>
            </w:r>
            <w:r>
              <w:rPr>
                <w:spacing w:val="-1"/>
                <w:lang w:eastAsia="zh-CN"/>
              </w:rPr>
              <w:t xml:space="preserve"> </w:t>
            </w:r>
            <w:r>
              <w:rPr>
                <w:rFonts w:hint="eastAsia" w:ascii="Times New Roman" w:hAnsi="Times New Roman" w:cs="Times New Roman"/>
                <w:b/>
                <w:bCs/>
                <w:spacing w:val="-1"/>
                <w:lang w:eastAsia="zh-CN"/>
              </w:rPr>
              <w:t>□</w:t>
            </w:r>
            <w:r>
              <w:rPr>
                <w:spacing w:val="-1"/>
                <w:lang w:eastAsia="zh-CN"/>
                <w14:textOutline w14:w="3263" w14:cap="sq" w14:cmpd="sng" w14:algn="ctr">
                  <w14:solidFill>
                    <w14:srgbClr w14:val="000000"/>
                  </w14:solidFill>
                  <w14:prstDash w14:val="solid"/>
                  <w14:bevel/>
                </w14:textOutline>
              </w:rPr>
              <w:t>不锈钢内衬</w:t>
            </w:r>
          </w:p>
          <w:p>
            <w:pPr>
              <w:pStyle w:val="243"/>
              <w:spacing w:before="261" w:line="219" w:lineRule="auto"/>
              <w:ind w:left="119"/>
            </w:pPr>
            <w:r>
              <w:rPr>
                <w:rFonts w:hint="eastAsia" w:ascii="Times New Roman" w:hAnsi="Times New Roman" w:cs="Times New Roman"/>
                <w:b/>
                <w:bCs/>
                <w:spacing w:val="-3"/>
                <w:lang w:eastAsia="zh-CN"/>
              </w:rPr>
              <w:t>□</w:t>
            </w:r>
            <w:r>
              <w:rPr>
                <w:spacing w:val="-3"/>
                <w14:textOutline w14:w="3263" w14:cap="sq" w14:cmpd="sng" w14:algn="ctr">
                  <w14:solidFill>
                    <w14:srgbClr w14:val="000000"/>
                  </w14:solidFill>
                  <w14:prstDash w14:val="solid"/>
                  <w14:bevel/>
                </w14:textOutline>
              </w:rPr>
              <w:t>水泥</w:t>
            </w:r>
            <w:r>
              <w:rPr>
                <w:spacing w:val="17"/>
              </w:rPr>
              <w:t xml:space="preserve"> </w:t>
            </w:r>
            <w:r>
              <w:rPr>
                <w:rFonts w:hint="eastAsia" w:ascii="Times New Roman" w:hAnsi="Times New Roman" w:cs="Times New Roman"/>
                <w:b/>
                <w:bCs/>
                <w:spacing w:val="-3"/>
                <w:lang w:eastAsia="zh-CN"/>
              </w:rPr>
              <w:t>□</w:t>
            </w:r>
            <w:r>
              <w:rPr>
                <w:spacing w:val="-3"/>
                <w14:textOutline w14:w="3263" w14:cap="sq" w14:cmpd="sng" w14:algn="ctr">
                  <w14:solidFill>
                    <w14:srgbClr w14:val="000000"/>
                  </w14:solidFill>
                  <w14:prstDash w14:val="solid"/>
                  <w14:bevel/>
                </w14:textOutline>
              </w:rPr>
              <w:t>不锈钢水箱</w:t>
            </w:r>
          </w:p>
        </w:tc>
        <w:tc>
          <w:tcPr>
            <w:tcW w:w="2000" w:type="dxa"/>
            <w:vAlign w:val="center"/>
          </w:tcPr>
          <w:p>
            <w:pPr>
              <w:pStyle w:val="243"/>
              <w:spacing w:before="58" w:line="220" w:lineRule="auto"/>
              <w:rPr>
                <w:lang w:eastAsia="zh-CN"/>
              </w:rPr>
            </w:pPr>
            <w:r>
              <w:rPr>
                <w:spacing w:val="-3"/>
                <w:lang w:eastAsia="zh-CN"/>
                <w14:textOutline w14:w="3263" w14:cap="sq" w14:cmpd="sng" w14:algn="ctr">
                  <w14:solidFill>
                    <w14:srgbClr w14:val="000000"/>
                  </w14:solidFill>
                  <w14:prstDash w14:val="solid"/>
                  <w14:bevel/>
                </w14:textOutline>
              </w:rPr>
              <w:t>透气孔：</w:t>
            </w:r>
            <w:r>
              <w:rPr>
                <w:rFonts w:hint="eastAsia" w:ascii="Times New Roman" w:hAnsi="Times New Roman" w:cs="Times New Roman"/>
                <w:spacing w:val="-3"/>
                <w:lang w:eastAsia="zh-CN"/>
              </w:rPr>
              <w:t>□</w:t>
            </w:r>
            <w:r>
              <w:rPr>
                <w:spacing w:val="-3"/>
                <w:lang w:eastAsia="zh-CN"/>
              </w:rPr>
              <w:t>无</w:t>
            </w:r>
            <w:r>
              <w:rPr>
                <w:spacing w:val="9"/>
                <w:lang w:eastAsia="zh-CN"/>
              </w:rPr>
              <w:t xml:space="preserve">  </w:t>
            </w:r>
            <w:r>
              <w:rPr>
                <w:rFonts w:hint="eastAsia" w:ascii="Times New Roman" w:hAnsi="Times New Roman" w:cs="Times New Roman"/>
                <w:spacing w:val="-3"/>
                <w:lang w:eastAsia="zh-CN"/>
              </w:rPr>
              <w:t>□</w:t>
            </w:r>
            <w:r>
              <w:rPr>
                <w:spacing w:val="-3"/>
                <w:lang w:eastAsia="zh-CN"/>
              </w:rPr>
              <w:t>有</w:t>
            </w:r>
          </w:p>
          <w:p>
            <w:pPr>
              <w:pStyle w:val="243"/>
              <w:spacing w:before="253" w:line="220" w:lineRule="auto"/>
              <w:rPr>
                <w:lang w:eastAsia="zh-CN"/>
              </w:rPr>
            </w:pPr>
            <w:r>
              <w:rPr>
                <w:spacing w:val="-3"/>
                <w:lang w:eastAsia="zh-CN"/>
                <w14:textOutline w14:w="3263" w14:cap="sq" w14:cmpd="sng" w14:algn="ctr">
                  <w14:solidFill>
                    <w14:srgbClr w14:val="000000"/>
                  </w14:solidFill>
                  <w14:prstDash w14:val="solid"/>
                  <w14:bevel/>
                </w14:textOutline>
              </w:rPr>
              <w:t>溢流孔：</w:t>
            </w:r>
            <w:r>
              <w:rPr>
                <w:rFonts w:hint="eastAsia" w:ascii="Times New Roman" w:hAnsi="Times New Roman" w:cs="Times New Roman"/>
                <w:spacing w:val="-3"/>
                <w:lang w:eastAsia="zh-CN"/>
              </w:rPr>
              <w:t>□</w:t>
            </w:r>
            <w:r>
              <w:rPr>
                <w:spacing w:val="-3"/>
                <w:lang w:eastAsia="zh-CN"/>
              </w:rPr>
              <w:t>无</w:t>
            </w:r>
            <w:r>
              <w:rPr>
                <w:spacing w:val="8"/>
                <w:lang w:eastAsia="zh-CN"/>
              </w:rPr>
              <w:t xml:space="preserve">  </w:t>
            </w:r>
            <w:r>
              <w:rPr>
                <w:rFonts w:hint="eastAsia" w:ascii="Times New Roman" w:hAnsi="Times New Roman" w:cs="Times New Roman"/>
                <w:spacing w:val="-3"/>
                <w:lang w:eastAsia="zh-CN"/>
              </w:rPr>
              <w:t>□</w:t>
            </w:r>
            <w:r>
              <w:rPr>
                <w:spacing w:val="-3"/>
                <w:lang w:eastAsia="zh-CN"/>
              </w:rPr>
              <w:t>有</w:t>
            </w:r>
          </w:p>
          <w:p>
            <w:pPr>
              <w:pStyle w:val="243"/>
              <w:spacing w:before="253" w:line="219" w:lineRule="auto"/>
            </w:pPr>
            <w:r>
              <w:rPr>
                <w:spacing w:val="-3"/>
                <w14:textOutline w14:w="3263" w14:cap="sq" w14:cmpd="sng" w14:algn="ctr">
                  <w14:solidFill>
                    <w14:srgbClr w14:val="000000"/>
                  </w14:solidFill>
                  <w14:prstDash w14:val="solid"/>
                  <w14:bevel/>
                </w14:textOutline>
              </w:rPr>
              <w:t>排水孔：</w:t>
            </w:r>
            <w:r>
              <w:rPr>
                <w:rFonts w:hint="eastAsia" w:ascii="Times New Roman" w:hAnsi="Times New Roman" w:cs="Times New Roman"/>
                <w:spacing w:val="-3"/>
                <w:lang w:eastAsia="zh-CN"/>
              </w:rPr>
              <w:t>□</w:t>
            </w:r>
            <w:r>
              <w:rPr>
                <w:spacing w:val="-3"/>
              </w:rPr>
              <w:t>无</w:t>
            </w:r>
            <w:r>
              <w:rPr>
                <w:spacing w:val="18"/>
              </w:rPr>
              <w:t xml:space="preserve"> </w:t>
            </w:r>
            <w:r>
              <w:rPr>
                <w:rFonts w:hint="eastAsia" w:ascii="Times New Roman" w:hAnsi="Times New Roman" w:cs="Times New Roman"/>
                <w:spacing w:val="-3"/>
                <w:lang w:eastAsia="zh-CN"/>
              </w:rPr>
              <w:t>□</w:t>
            </w:r>
            <w:r>
              <w:rPr>
                <w:spacing w:val="-3"/>
              </w:rPr>
              <w:t>有</w:t>
            </w:r>
          </w:p>
        </w:tc>
        <w:tc>
          <w:tcPr>
            <w:tcW w:w="2788" w:type="dxa"/>
            <w:gridSpan w:val="2"/>
            <w:vMerge w:val="continue"/>
            <w:tcBorders>
              <w:top w:val="nil"/>
            </w:tcBorders>
            <w:vAlign w:val="center"/>
          </w:tcPr>
          <w:p>
            <w:pPr>
              <w:rPr>
                <w:rFonts w:ascii="Arial"/>
              </w:rPr>
            </w:pPr>
          </w:p>
        </w:tc>
        <w:tc>
          <w:tcPr>
            <w:tcW w:w="1299" w:type="dxa"/>
            <w:vAlign w:val="center"/>
          </w:tcPr>
          <w:p>
            <w:pPr>
              <w:rPr>
                <w:rFonts w:ascii="Arial"/>
              </w:rPr>
            </w:pPr>
          </w:p>
        </w:tc>
        <w:tc>
          <w:tcPr>
            <w:tcW w:w="635" w:type="dxa"/>
            <w:vAlign w:val="center"/>
          </w:tcPr>
          <w:p>
            <w:pPr>
              <w:spacing w:before="52" w:line="206" w:lineRule="auto"/>
              <w:rPr>
                <w:rFonts w:ascii="Times New Roman" w:hAnsi="Times New Roman" w:eastAsia="Times New Roman"/>
                <w:sz w:val="11"/>
                <w:szCs w:val="11"/>
              </w:rPr>
            </w:pPr>
            <w:r>
              <w:rPr>
                <w:rFonts w:ascii="Times New Roman" w:hAnsi="Times New Roman" w:eastAsia="Times New Roman"/>
                <w:b/>
                <w:bCs/>
                <w:spacing w:val="-2"/>
                <w:position w:val="-2"/>
                <w:sz w:val="18"/>
                <w:szCs w:val="18"/>
              </w:rPr>
              <w:t>m</w:t>
            </w:r>
            <w:r>
              <w:rPr>
                <w:rFonts w:ascii="Times New Roman" w:hAnsi="Times New Roman" w:eastAsia="Times New Roman"/>
                <w:b/>
                <w:bCs/>
                <w:spacing w:val="-2"/>
                <w:position w:val="3"/>
                <w:sz w:val="11"/>
                <w:szCs w:val="11"/>
              </w:rPr>
              <w:t>2</w:t>
            </w:r>
          </w:p>
        </w:tc>
        <w:tc>
          <w:tcPr>
            <w:tcW w:w="1336" w:type="dxa"/>
            <w:vAlign w:val="center"/>
          </w:tcPr>
          <w:p>
            <w:pPr>
              <w:pStyle w:val="243"/>
              <w:spacing w:before="146" w:line="221" w:lineRule="auto"/>
              <w:rPr>
                <w:rFonts w:ascii="Times New Roman" w:hAnsi="Times New Roman" w:eastAsia="Times New Roman" w:cs="Times New Roman"/>
                <w:lang w:eastAsia="zh-CN"/>
              </w:rPr>
            </w:pPr>
            <w:r>
              <w:rPr>
                <w:spacing w:val="-2"/>
                <w:lang w:eastAsia="zh-CN"/>
                <w14:textOutline w14:w="3263" w14:cap="sq" w14:cmpd="sng" w14:algn="ctr">
                  <w14:solidFill>
                    <w14:srgbClr w14:val="000000"/>
                  </w14:solidFill>
                  <w14:prstDash w14:val="solid"/>
                  <w14:bevel/>
                </w14:textOutline>
              </w:rPr>
              <w:t>地面</w:t>
            </w:r>
            <w:r>
              <w:rPr>
                <w:rFonts w:ascii="Times New Roman" w:hAnsi="Times New Roman" w:eastAsia="Times New Roman" w:cs="Times New Roman"/>
                <w:b/>
                <w:bCs/>
                <w:spacing w:val="-2"/>
                <w:lang w:eastAsia="zh-CN"/>
              </w:rPr>
              <w:t>:</w:t>
            </w:r>
          </w:p>
          <w:p>
            <w:pPr>
              <w:pStyle w:val="243"/>
              <w:spacing w:before="253" w:line="221" w:lineRule="auto"/>
              <w:rPr>
                <w:lang w:eastAsia="zh-CN"/>
              </w:rPr>
            </w:pPr>
            <w:r>
              <w:rPr>
                <w:rFonts w:hint="eastAsia" w:ascii="Times New Roman" w:hAnsi="Times New Roman" w:cs="Times New Roman"/>
                <w:bCs/>
                <w:spacing w:val="-5"/>
                <w:lang w:eastAsia="zh-CN"/>
              </w:rPr>
              <w:t>□</w:t>
            </w:r>
            <w:r>
              <w:rPr>
                <w:spacing w:val="-5"/>
                <w:lang w:eastAsia="zh-CN"/>
                <w14:textOutline w14:w="3263" w14:cap="sq" w14:cmpd="sng" w14:algn="ctr">
                  <w14:solidFill>
                    <w14:srgbClr w14:val="000000"/>
                  </w14:solidFill>
                  <w14:prstDash w14:val="solid"/>
                  <w14:bevel/>
                </w14:textOutline>
              </w:rPr>
              <w:t>磁砖</w:t>
            </w:r>
          </w:p>
          <w:p>
            <w:pPr>
              <w:pStyle w:val="243"/>
              <w:spacing w:before="252" w:line="219" w:lineRule="auto"/>
              <w:rPr>
                <w:lang w:eastAsia="zh-CN"/>
              </w:rPr>
            </w:pPr>
            <w:r>
              <w:rPr>
                <w:rFonts w:hint="eastAsia" w:ascii="Times New Roman" w:hAnsi="Times New Roman" w:cs="Times New Roman"/>
                <w:spacing w:val="-5"/>
                <w:lang w:eastAsia="zh-CN"/>
              </w:rPr>
              <w:t>□</w:t>
            </w:r>
            <w:r>
              <w:rPr>
                <w:spacing w:val="-5"/>
                <w:lang w:eastAsia="zh-CN"/>
                <w14:textOutline w14:w="3263" w14:cap="sq" w14:cmpd="sng" w14:algn="ctr">
                  <w14:solidFill>
                    <w14:srgbClr w14:val="000000"/>
                  </w14:solidFill>
                  <w14:prstDash w14:val="solid"/>
                  <w14:bevel/>
                </w14:textOutline>
              </w:rPr>
              <w:t>水泥</w:t>
            </w:r>
          </w:p>
          <w:p>
            <w:pPr>
              <w:pStyle w:val="243"/>
              <w:spacing w:before="254" w:line="219" w:lineRule="auto"/>
              <w:rPr>
                <w:lang w:eastAsia="zh-CN"/>
              </w:rPr>
            </w:pPr>
            <w:r>
              <w:rPr>
                <w:rFonts w:hint="eastAsia" w:ascii="Times New Roman" w:hAnsi="Times New Roman" w:cs="Times New Roman"/>
                <w:spacing w:val="-3"/>
                <w:lang w:eastAsia="zh-CN"/>
              </w:rPr>
              <w:t>□</w:t>
            </w:r>
            <w:r>
              <w:rPr>
                <w:spacing w:val="-3"/>
                <w:lang w:eastAsia="zh-CN"/>
                <w14:textOutline w14:w="3263" w14:cap="sq" w14:cmpd="sng" w14:algn="ctr">
                  <w14:solidFill>
                    <w14:srgbClr w14:val="000000"/>
                  </w14:solidFill>
                  <w14:prstDash w14:val="solid"/>
                  <w14:bevel/>
                </w14:textOutline>
              </w:rPr>
              <w:t>有积水</w:t>
            </w:r>
          </w:p>
        </w:tc>
        <w:tc>
          <w:tcPr>
            <w:tcW w:w="1170" w:type="dxa"/>
            <w:vAlign w:val="center"/>
          </w:tcPr>
          <w:p>
            <w:pPr>
              <w:pStyle w:val="243"/>
              <w:spacing w:before="58" w:line="468" w:lineRule="exact"/>
            </w:pPr>
            <w:r>
              <w:rPr>
                <w:spacing w:val="-3"/>
                <w:position w:val="22"/>
                <w14:textOutline w14:w="3263" w14:cap="sq" w14:cmpd="sng" w14:algn="ctr">
                  <w14:solidFill>
                    <w14:srgbClr w14:val="000000"/>
                  </w14:solidFill>
                  <w14:prstDash w14:val="solid"/>
                  <w14:bevel/>
                </w14:textOutline>
              </w:rPr>
              <w:t>通风：</w:t>
            </w:r>
          </w:p>
          <w:p>
            <w:pPr>
              <w:pStyle w:val="243"/>
              <w:spacing w:line="220" w:lineRule="auto"/>
            </w:pPr>
            <w:r>
              <w:rPr>
                <w:rFonts w:hint="eastAsia" w:ascii="Times New Roman" w:hAnsi="Times New Roman" w:cs="Times New Roman"/>
                <w:bCs/>
                <w:spacing w:val="-7"/>
                <w:lang w:eastAsia="zh-CN"/>
              </w:rPr>
              <w:t>□</w:t>
            </w:r>
            <w:r>
              <w:rPr>
                <w:spacing w:val="-7"/>
                <w14:textOutline w14:w="3263" w14:cap="sq" w14:cmpd="sng" w14:algn="ctr">
                  <w14:solidFill>
                    <w14:srgbClr w14:val="000000"/>
                  </w14:solidFill>
                  <w14:prstDash w14:val="solid"/>
                  <w14:bevel/>
                </w14:textOutline>
              </w:rPr>
              <w:t>无</w:t>
            </w:r>
          </w:p>
          <w:p>
            <w:pPr>
              <w:pStyle w:val="243"/>
              <w:spacing w:before="253" w:line="220" w:lineRule="auto"/>
            </w:pPr>
            <w:r>
              <w:rPr>
                <w:rFonts w:hint="eastAsia" w:ascii="Times New Roman" w:hAnsi="Times New Roman" w:cs="Times New Roman"/>
                <w:spacing w:val="-7"/>
                <w:lang w:eastAsia="zh-CN"/>
              </w:rPr>
              <w:t>□</w:t>
            </w:r>
            <w:r>
              <w:rPr>
                <w:spacing w:val="-7"/>
                <w14:textOutline w14:w="3263" w14:cap="sq" w14:cmpd="sng" w14:algn="ctr">
                  <w14:solidFill>
                    <w14:srgbClr w14:val="000000"/>
                  </w14:solidFill>
                  <w14:prstDash w14:val="solid"/>
                  <w14:bevel/>
                </w14:textOutline>
              </w:rPr>
              <w:t>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08" w:hRule="atLeast"/>
        </w:trPr>
        <w:tc>
          <w:tcPr>
            <w:tcW w:w="2077" w:type="dxa"/>
            <w:gridSpan w:val="2"/>
            <w:vMerge w:val="restart"/>
            <w:tcBorders>
              <w:bottom w:val="nil"/>
            </w:tcBorders>
            <w:vAlign w:val="center"/>
          </w:tcPr>
          <w:p>
            <w:pPr>
              <w:pStyle w:val="243"/>
              <w:spacing w:before="59" w:line="468" w:lineRule="exact"/>
              <w:jc w:val="center"/>
              <w:rPr>
                <w:lang w:eastAsia="zh-CN"/>
              </w:rPr>
            </w:pPr>
            <w:r>
              <w:rPr>
                <w:rFonts w:hint="eastAsia"/>
                <w:spacing w:val="-1"/>
                <w:position w:val="22"/>
                <w:lang w:eastAsia="zh-CN"/>
                <w14:textOutline w14:w="3263" w14:cap="sq" w14:cmpd="sng" w14:algn="ctr">
                  <w14:solidFill>
                    <w14:srgbClr w14:val="000000"/>
                  </w14:solidFill>
                  <w14:prstDash w14:val="solid"/>
                  <w14:bevel/>
                </w14:textOutline>
              </w:rPr>
              <w:t>水池（箱）</w:t>
            </w:r>
            <w:r>
              <w:rPr>
                <w:spacing w:val="-1"/>
                <w:position w:val="22"/>
                <w:lang w:eastAsia="zh-CN"/>
                <w14:textOutline w14:w="3263" w14:cap="sq" w14:cmpd="sng" w14:algn="ctr">
                  <w14:solidFill>
                    <w14:srgbClr w14:val="000000"/>
                  </w14:solidFill>
                  <w14:prstDash w14:val="solid"/>
                  <w14:bevel/>
                </w14:textOutline>
              </w:rPr>
              <w:t>及附属设施现</w:t>
            </w:r>
            <w:r>
              <w:rPr>
                <w:rFonts w:hint="eastAsia"/>
                <w:spacing w:val="-1"/>
                <w:position w:val="22"/>
                <w:lang w:eastAsia="zh-CN"/>
                <w14:textOutline w14:w="3263" w14:cap="sq" w14:cmpd="sng" w14:algn="ctr">
                  <w14:solidFill>
                    <w14:srgbClr w14:val="000000"/>
                  </w14:solidFill>
                  <w14:prstDash w14:val="solid"/>
                  <w14:bevel/>
                </w14:textOutline>
              </w:rPr>
              <w:t>状</w:t>
            </w:r>
          </w:p>
        </w:tc>
        <w:tc>
          <w:tcPr>
            <w:tcW w:w="2181" w:type="dxa"/>
            <w:gridSpan w:val="2"/>
            <w:vAlign w:val="center"/>
          </w:tcPr>
          <w:p>
            <w:pPr>
              <w:pStyle w:val="243"/>
              <w:spacing w:before="59" w:line="468" w:lineRule="exact"/>
              <w:jc w:val="center"/>
              <w:rPr>
                <w:lang w:eastAsia="zh-CN"/>
              </w:rPr>
            </w:pPr>
            <w:r>
              <w:rPr>
                <w:spacing w:val="-1"/>
                <w:position w:val="22"/>
                <w:lang w:eastAsia="zh-CN"/>
                <w14:textOutline w14:w="3263" w14:cap="sq" w14:cmpd="sng" w14:algn="ctr">
                  <w14:solidFill>
                    <w14:srgbClr w14:val="000000"/>
                  </w14:solidFill>
                  <w14:prstDash w14:val="solid"/>
                  <w14:bevel/>
                </w14:textOutline>
              </w:rPr>
              <w:t>池</w:t>
            </w:r>
            <w:r>
              <w:rPr>
                <w:rFonts w:ascii="Times New Roman" w:hAnsi="Times New Roman" w:eastAsia="Times New Roman" w:cs="Times New Roman"/>
                <w:b/>
                <w:bCs/>
                <w:spacing w:val="-1"/>
                <w:position w:val="22"/>
                <w:lang w:eastAsia="zh-CN"/>
              </w:rPr>
              <w:t>(</w:t>
            </w:r>
            <w:r>
              <w:rPr>
                <w:spacing w:val="-1"/>
                <w:position w:val="22"/>
                <w:lang w:eastAsia="zh-CN"/>
                <w14:textOutline w14:w="3263" w14:cap="sq" w14:cmpd="sng" w14:algn="ctr">
                  <w14:solidFill>
                    <w14:srgbClr w14:val="000000"/>
                  </w14:solidFill>
                  <w14:prstDash w14:val="solid"/>
                  <w14:bevel/>
                </w14:textOutline>
              </w:rPr>
              <w:t>箱</w:t>
            </w:r>
            <w:r>
              <w:rPr>
                <w:rFonts w:ascii="Times New Roman" w:hAnsi="Times New Roman" w:eastAsia="Times New Roman" w:cs="Times New Roman"/>
                <w:b/>
                <w:bCs/>
                <w:spacing w:val="-1"/>
                <w:position w:val="22"/>
                <w:lang w:eastAsia="zh-CN"/>
              </w:rPr>
              <w:t>)</w:t>
            </w:r>
            <w:r>
              <w:rPr>
                <w:spacing w:val="-1"/>
                <w:position w:val="22"/>
                <w:lang w:eastAsia="zh-CN"/>
                <w14:textOutline w14:w="3263" w14:cap="sq" w14:cmpd="sng" w14:algn="ctr">
                  <w14:solidFill>
                    <w14:srgbClr w14:val="000000"/>
                  </w14:solidFill>
                  <w14:prstDash w14:val="solid"/>
                  <w14:bevel/>
                </w14:textOutline>
              </w:rPr>
              <w:t>容积及管道口径是否</w:t>
            </w:r>
            <w:r>
              <w:rPr>
                <w:spacing w:val="-1"/>
                <w:lang w:eastAsia="zh-CN"/>
                <w14:textOutline w14:w="3263" w14:cap="sq" w14:cmpd="sng" w14:algn="ctr">
                  <w14:solidFill>
                    <w14:srgbClr w14:val="000000"/>
                  </w14:solidFill>
                  <w14:prstDash w14:val="solid"/>
                  <w14:bevel/>
                </w14:textOutline>
              </w:rPr>
              <w:t>满足用水要求</w:t>
            </w:r>
          </w:p>
        </w:tc>
        <w:tc>
          <w:tcPr>
            <w:tcW w:w="1975" w:type="dxa"/>
            <w:gridSpan w:val="2"/>
            <w:vAlign w:val="center"/>
          </w:tcPr>
          <w:p>
            <w:pPr>
              <w:pStyle w:val="243"/>
              <w:spacing w:before="59" w:line="468" w:lineRule="exact"/>
              <w:jc w:val="center"/>
              <w:rPr>
                <w:lang w:eastAsia="zh-CN"/>
              </w:rPr>
            </w:pPr>
            <w:r>
              <w:rPr>
                <w:spacing w:val="-1"/>
                <w:position w:val="22"/>
                <w:lang w:eastAsia="zh-CN"/>
                <w14:textOutline w14:w="3263" w14:cap="sq" w14:cmpd="sng" w14:algn="ctr">
                  <w14:solidFill>
                    <w14:srgbClr w14:val="000000"/>
                  </w14:solidFill>
                  <w14:prstDash w14:val="solid"/>
                  <w14:bevel/>
                </w14:textOutline>
              </w:rPr>
              <w:t>高位水箱是否设置专用</w:t>
            </w:r>
          </w:p>
          <w:p>
            <w:pPr>
              <w:pStyle w:val="243"/>
              <w:spacing w:line="218" w:lineRule="auto"/>
              <w:jc w:val="center"/>
              <w:rPr>
                <w:lang w:eastAsia="zh-CN"/>
              </w:rPr>
            </w:pPr>
            <w:r>
              <w:rPr>
                <w:spacing w:val="-1"/>
                <w:lang w:eastAsia="zh-CN"/>
                <w14:textOutline w14:w="3263" w14:cap="sq" w14:cmpd="sng" w14:algn="ctr">
                  <w14:solidFill>
                    <w14:srgbClr w14:val="000000"/>
                  </w14:solidFill>
                  <w14:prstDash w14:val="solid"/>
                  <w14:bevel/>
                </w14:textOutline>
              </w:rPr>
              <w:t>房间或与电梯机房共用</w:t>
            </w:r>
          </w:p>
        </w:tc>
        <w:tc>
          <w:tcPr>
            <w:tcW w:w="1780" w:type="dxa"/>
            <w:gridSpan w:val="2"/>
            <w:vAlign w:val="center"/>
          </w:tcPr>
          <w:p>
            <w:pPr>
              <w:pStyle w:val="243"/>
              <w:spacing w:before="147" w:line="219" w:lineRule="auto"/>
              <w:ind w:left="126"/>
              <w:jc w:val="center"/>
              <w:rPr>
                <w:lang w:eastAsia="zh-CN"/>
              </w:rPr>
            </w:pPr>
            <w:r>
              <w:rPr>
                <w:lang w:eastAsia="zh-CN"/>
                <w14:textOutline w14:w="3263" w14:cap="sq" w14:cmpd="sng" w14:algn="ctr">
                  <w14:solidFill>
                    <w14:srgbClr w14:val="000000"/>
                  </w14:solidFill>
                  <w14:prstDash w14:val="solid"/>
                  <w14:bevel/>
                </w14:textOutline>
              </w:rPr>
              <w:t>设施周围</w:t>
            </w:r>
            <w:r>
              <w:rPr>
                <w:spacing w:val="-43"/>
                <w:lang w:eastAsia="zh-CN"/>
              </w:rPr>
              <w:t xml:space="preserve"> </w:t>
            </w:r>
            <w:r>
              <w:rPr>
                <w:rFonts w:ascii="Times New Roman" w:hAnsi="Times New Roman" w:eastAsia="Times New Roman" w:cs="Times New Roman"/>
                <w:b/>
                <w:bCs/>
                <w:lang w:eastAsia="zh-CN"/>
              </w:rPr>
              <w:t xml:space="preserve">30 </w:t>
            </w:r>
            <w:r>
              <w:rPr>
                <w:rFonts w:hint="eastAsia"/>
                <w:lang w:eastAsia="zh-CN"/>
                <w14:textOutline w14:w="3263" w14:cap="sq" w14:cmpd="sng" w14:algn="ctr">
                  <w14:solidFill>
                    <w14:srgbClr w14:val="000000"/>
                  </w14:solidFill>
                  <w14:prstDash w14:val="solid"/>
                  <w14:bevel/>
                </w14:textOutline>
              </w:rPr>
              <w:t>m</w:t>
            </w:r>
            <w:r>
              <w:rPr>
                <w:lang w:eastAsia="zh-CN"/>
                <w14:textOutline w14:w="3263" w14:cap="sq" w14:cmpd="sng" w14:algn="ctr">
                  <w14:solidFill>
                    <w14:srgbClr w14:val="000000"/>
                  </w14:solidFill>
                  <w14:prstDash w14:val="solid"/>
                  <w14:bevel/>
                </w14:textOutline>
              </w:rPr>
              <w:t>内，是</w:t>
            </w:r>
            <w:r>
              <w:rPr>
                <w:spacing w:val="-1"/>
                <w:lang w:eastAsia="zh-CN"/>
                <w14:textOutline w14:w="3263" w14:cap="sq" w14:cmpd="sng" w14:algn="ctr">
                  <w14:solidFill>
                    <w14:srgbClr w14:val="000000"/>
                  </w14:solidFill>
                  <w14:prstDash w14:val="solid"/>
                  <w14:bevel/>
                </w14:textOutline>
              </w:rPr>
              <w:t>否设置旱厕和开放性</w:t>
            </w:r>
            <w:r>
              <w:rPr>
                <w:spacing w:val="-3"/>
                <w:lang w:eastAsia="zh-CN"/>
                <w14:textOutline w14:w="3263" w14:cap="sq" w14:cmpd="sng" w14:algn="ctr">
                  <w14:solidFill>
                    <w14:srgbClr w14:val="000000"/>
                  </w14:solidFill>
                  <w14:prstDash w14:val="solid"/>
                  <w14:bevel/>
                </w14:textOutline>
              </w:rPr>
              <w:t>垃圾堆</w:t>
            </w:r>
          </w:p>
        </w:tc>
        <w:tc>
          <w:tcPr>
            <w:tcW w:w="3506" w:type="dxa"/>
            <w:vAlign w:val="center"/>
          </w:tcPr>
          <w:p>
            <w:pPr>
              <w:widowControl/>
              <w:jc w:val="center"/>
            </w:pPr>
            <w:r>
              <w:rPr>
                <w:rFonts w:hint="eastAsia" w:ascii="宋体" w:hAnsi="宋体" w:cs="宋体"/>
                <w:b/>
                <w:bCs/>
                <w:color w:val="000000"/>
                <w:kern w:val="0"/>
                <w:sz w:val="18"/>
                <w:szCs w:val="18"/>
                <w:lang w:bidi="ar"/>
              </w:rPr>
              <w:t>有无建立二次供水的运行、清洗、消毒和安全保障制度</w:t>
            </w:r>
          </w:p>
        </w:tc>
        <w:tc>
          <w:tcPr>
            <w:tcW w:w="2000" w:type="dxa"/>
            <w:vAlign w:val="center"/>
          </w:tcPr>
          <w:p>
            <w:pPr>
              <w:jc w:val="center"/>
              <w:rPr>
                <w:rFonts w:ascii="Arial"/>
              </w:rPr>
            </w:pPr>
          </w:p>
        </w:tc>
        <w:tc>
          <w:tcPr>
            <w:tcW w:w="1485" w:type="dxa"/>
            <w:vAlign w:val="center"/>
          </w:tcPr>
          <w:p>
            <w:pPr>
              <w:pStyle w:val="243"/>
              <w:spacing w:before="147" w:line="219" w:lineRule="auto"/>
              <w:ind w:left="202"/>
              <w:jc w:val="center"/>
            </w:pPr>
            <w:r>
              <w:rPr>
                <w:spacing w:val="-2"/>
                <w14:textOutline w14:w="3263" w14:cap="sq" w14:cmpd="sng" w14:algn="ctr">
                  <w14:solidFill>
                    <w14:srgbClr w14:val="000000"/>
                  </w14:solidFill>
                  <w14:prstDash w14:val="solid"/>
                  <w14:bevel/>
                </w14:textOutline>
              </w:rPr>
              <w:t>是否有水质检验报</w:t>
            </w:r>
            <w:r>
              <w:rPr>
                <w14:textOutline w14:w="3263" w14:cap="sq" w14:cmpd="sng" w14:algn="ctr">
                  <w14:solidFill>
                    <w14:srgbClr w14:val="000000"/>
                  </w14:solidFill>
                  <w14:prstDash w14:val="solid"/>
                  <w14:bevel/>
                </w14:textOutline>
              </w:rPr>
              <w:t>告</w:t>
            </w:r>
          </w:p>
        </w:tc>
        <w:tc>
          <w:tcPr>
            <w:tcW w:w="1303" w:type="dxa"/>
            <w:vAlign w:val="center"/>
          </w:tcPr>
          <w:p>
            <w:pPr>
              <w:widowControl/>
              <w:jc w:val="center"/>
            </w:pPr>
            <w:r>
              <w:rPr>
                <w:rFonts w:hint="eastAsia" w:ascii="宋体" w:hAnsi="宋体" w:cs="宋体"/>
                <w:b/>
                <w:bCs/>
                <w:color w:val="000000"/>
                <w:kern w:val="0"/>
                <w:sz w:val="18"/>
                <w:szCs w:val="18"/>
                <w:lang w:bidi="ar"/>
              </w:rPr>
              <w:t>泵站内积水坑</w:t>
            </w:r>
          </w:p>
          <w:p>
            <w:pPr>
              <w:widowControl/>
              <w:jc w:val="center"/>
            </w:pPr>
            <w:r>
              <w:rPr>
                <w:rFonts w:hint="eastAsia" w:ascii="宋体" w:hAnsi="宋体" w:cs="宋体"/>
                <w:b/>
                <w:bCs/>
                <w:color w:val="000000"/>
                <w:kern w:val="0"/>
                <w:sz w:val="18"/>
                <w:szCs w:val="18"/>
                <w:lang w:bidi="ar"/>
              </w:rPr>
              <w:t>有无防护措施</w:t>
            </w:r>
          </w:p>
        </w:tc>
        <w:tc>
          <w:tcPr>
            <w:tcW w:w="1934" w:type="dxa"/>
            <w:gridSpan w:val="2"/>
            <w:vAlign w:val="center"/>
          </w:tcPr>
          <w:p>
            <w:pPr>
              <w:widowControl/>
              <w:jc w:val="center"/>
            </w:pPr>
            <w:r>
              <w:rPr>
                <w:rFonts w:hint="eastAsia" w:ascii="宋体" w:hAnsi="宋体" w:cs="宋体"/>
                <w:b/>
                <w:bCs/>
                <w:color w:val="000000"/>
                <w:kern w:val="0"/>
                <w:sz w:val="18"/>
                <w:szCs w:val="18"/>
                <w:lang w:bidi="ar"/>
              </w:rPr>
              <w:t>溢流管、排水</w:t>
            </w:r>
            <w:r>
              <w:rPr>
                <w:rFonts w:ascii="Times New Roman" w:hAnsi="Times New Roman"/>
                <w:b/>
                <w:bCs/>
                <w:color w:val="000000"/>
                <w:kern w:val="0"/>
                <w:sz w:val="18"/>
                <w:szCs w:val="18"/>
                <w:lang w:bidi="ar"/>
              </w:rPr>
              <w:t>(</w:t>
            </w:r>
            <w:r>
              <w:rPr>
                <w:rFonts w:hint="eastAsia" w:ascii="宋体" w:hAnsi="宋体" w:cs="宋体"/>
                <w:b/>
                <w:bCs/>
                <w:color w:val="000000"/>
                <w:kern w:val="0"/>
                <w:sz w:val="18"/>
                <w:szCs w:val="18"/>
                <w:lang w:bidi="ar"/>
              </w:rPr>
              <w:t>污</w:t>
            </w:r>
            <w:r>
              <w:rPr>
                <w:rFonts w:ascii="Times New Roman" w:hAnsi="Times New Roman"/>
                <w:b/>
                <w:bCs/>
                <w:color w:val="000000"/>
                <w:kern w:val="0"/>
                <w:sz w:val="18"/>
                <w:szCs w:val="18"/>
                <w:lang w:bidi="ar"/>
              </w:rPr>
              <w:t>)</w:t>
            </w:r>
            <w:r>
              <w:rPr>
                <w:rFonts w:hint="eastAsia" w:ascii="宋体" w:hAnsi="宋体" w:cs="宋体"/>
                <w:b/>
                <w:bCs/>
                <w:color w:val="000000"/>
                <w:kern w:val="0"/>
                <w:sz w:val="18"/>
                <w:szCs w:val="18"/>
                <w:lang w:bidi="ar"/>
              </w:rPr>
              <w:t>管是否</w:t>
            </w:r>
          </w:p>
          <w:p>
            <w:pPr>
              <w:widowControl/>
              <w:jc w:val="center"/>
            </w:pPr>
            <w:r>
              <w:rPr>
                <w:rFonts w:hint="eastAsia" w:ascii="宋体" w:hAnsi="宋体" w:cs="宋体"/>
                <w:b/>
                <w:bCs/>
                <w:color w:val="000000"/>
                <w:kern w:val="0"/>
                <w:sz w:val="18"/>
                <w:szCs w:val="18"/>
                <w:lang w:bidi="ar"/>
              </w:rPr>
              <w:t>与下水道直接相连</w:t>
            </w:r>
          </w:p>
        </w:tc>
        <w:tc>
          <w:tcPr>
            <w:tcW w:w="2506" w:type="dxa"/>
            <w:gridSpan w:val="2"/>
            <w:vAlign w:val="center"/>
          </w:tcPr>
          <w:p>
            <w:pPr>
              <w:widowControl/>
              <w:jc w:val="center"/>
            </w:pPr>
            <w:r>
              <w:rPr>
                <w:rFonts w:hint="eastAsia" w:ascii="宋体" w:hAnsi="宋体" w:cs="宋体"/>
                <w:b/>
                <w:bCs/>
                <w:color w:val="000000"/>
                <w:kern w:val="0"/>
                <w:sz w:val="18"/>
                <w:szCs w:val="18"/>
                <w:lang w:bidi="ar"/>
              </w:rPr>
              <w:t>通气孔是否有防蚊虫、异物进入池</w:t>
            </w:r>
            <w:r>
              <w:rPr>
                <w:rFonts w:ascii="Times New Roman" w:hAnsi="Times New Roman"/>
                <w:b/>
                <w:bCs/>
                <w:color w:val="000000"/>
                <w:kern w:val="0"/>
                <w:sz w:val="18"/>
                <w:szCs w:val="18"/>
                <w:lang w:bidi="ar"/>
              </w:rPr>
              <w:t>(</w:t>
            </w:r>
            <w:r>
              <w:rPr>
                <w:rFonts w:hint="eastAsia" w:ascii="宋体" w:hAnsi="宋体" w:cs="宋体"/>
                <w:b/>
                <w:bCs/>
                <w:color w:val="000000"/>
                <w:kern w:val="0"/>
                <w:sz w:val="18"/>
                <w:szCs w:val="18"/>
                <w:lang w:bidi="ar"/>
              </w:rPr>
              <w:t>箱</w:t>
            </w:r>
            <w:r>
              <w:rPr>
                <w:rFonts w:ascii="Times New Roman" w:hAnsi="Times New Roman"/>
                <w:b/>
                <w:bCs/>
                <w:color w:val="000000"/>
                <w:kern w:val="0"/>
                <w:sz w:val="18"/>
                <w:szCs w:val="18"/>
                <w:lang w:bidi="ar"/>
              </w:rPr>
              <w:t>)</w:t>
            </w:r>
            <w:r>
              <w:rPr>
                <w:rFonts w:hint="eastAsia" w:ascii="宋体" w:hAnsi="宋体" w:cs="宋体"/>
                <w:b/>
                <w:bCs/>
                <w:color w:val="000000"/>
                <w:kern w:val="0"/>
                <w:sz w:val="18"/>
                <w:szCs w:val="18"/>
                <w:lang w:bidi="ar"/>
              </w:rPr>
              <w:t>的装置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0" w:hRule="atLeast"/>
        </w:trPr>
        <w:tc>
          <w:tcPr>
            <w:tcW w:w="2077" w:type="dxa"/>
            <w:gridSpan w:val="2"/>
            <w:vMerge w:val="continue"/>
            <w:tcBorders>
              <w:top w:val="nil"/>
            </w:tcBorders>
            <w:vAlign w:val="center"/>
          </w:tcPr>
          <w:p>
            <w:pPr>
              <w:jc w:val="center"/>
              <w:rPr>
                <w:rFonts w:ascii="Arial"/>
              </w:rPr>
            </w:pPr>
          </w:p>
        </w:tc>
        <w:tc>
          <w:tcPr>
            <w:tcW w:w="2181" w:type="dxa"/>
            <w:gridSpan w:val="2"/>
            <w:vAlign w:val="center"/>
          </w:tcPr>
          <w:p>
            <w:pPr>
              <w:pStyle w:val="243"/>
              <w:spacing w:before="59" w:line="220" w:lineRule="auto"/>
              <w:jc w:val="center"/>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1975" w:type="dxa"/>
            <w:gridSpan w:val="2"/>
            <w:vAlign w:val="center"/>
          </w:tcPr>
          <w:p>
            <w:pPr>
              <w:pStyle w:val="243"/>
              <w:spacing w:before="148" w:line="468" w:lineRule="exact"/>
              <w:ind w:left="114"/>
              <w:jc w:val="center"/>
              <w:rPr>
                <w:lang w:eastAsia="zh-CN"/>
              </w:rPr>
            </w:pPr>
            <w:r>
              <w:rPr>
                <w:rFonts w:hint="eastAsia"/>
                <w:lang w:eastAsia="zh-CN"/>
              </w:rPr>
              <w:t xml:space="preserve">□专用 □与电梯房共用 </w:t>
            </w:r>
            <w:r>
              <w:rPr>
                <w:lang w:eastAsia="zh-CN"/>
              </w:rPr>
              <w:t xml:space="preserve"> </w:t>
            </w:r>
            <w:r>
              <w:rPr>
                <w:rFonts w:hint="eastAsia"/>
                <w:lang w:eastAsia="zh-CN"/>
              </w:rPr>
              <w:t>□被占用作宿舍</w:t>
            </w:r>
          </w:p>
        </w:tc>
        <w:tc>
          <w:tcPr>
            <w:tcW w:w="1780" w:type="dxa"/>
            <w:gridSpan w:val="2"/>
            <w:vAlign w:val="center"/>
          </w:tcPr>
          <w:p>
            <w:pPr>
              <w:pStyle w:val="243"/>
              <w:spacing w:before="59" w:line="223" w:lineRule="auto"/>
              <w:jc w:val="center"/>
              <w:rPr>
                <w:lang w:eastAsia="zh-CN"/>
              </w:rPr>
            </w:pPr>
            <w:r>
              <w:rPr>
                <w:rFonts w:hint="eastAsia" w:ascii="Times New Roman" w:hAnsi="Times New Roman" w:cs="Times New Roman"/>
                <w:spacing w:val="-7"/>
                <w:lang w:eastAsia="zh-CN"/>
              </w:rPr>
              <w:t>□</w:t>
            </w:r>
            <w:r>
              <w:rPr>
                <w:spacing w:val="-7"/>
              </w:rPr>
              <w:t>是</w:t>
            </w:r>
            <w:r>
              <w:rPr>
                <w:rFonts w:hint="eastAsia"/>
                <w:spacing w:val="-7"/>
                <w:lang w:eastAsia="zh-CN"/>
              </w:rPr>
              <w:t xml:space="preserve">  </w:t>
            </w:r>
            <w:r>
              <w:rPr>
                <w:rFonts w:hint="eastAsia" w:ascii="Times New Roman" w:hAnsi="Times New Roman" w:cs="Times New Roman"/>
                <w:spacing w:val="-7"/>
                <w:lang w:eastAsia="zh-CN"/>
              </w:rPr>
              <w:t>□</w:t>
            </w:r>
            <w:r>
              <w:rPr>
                <w:spacing w:val="-7"/>
              </w:rPr>
              <w:t>否</w:t>
            </w:r>
          </w:p>
        </w:tc>
        <w:tc>
          <w:tcPr>
            <w:tcW w:w="3506" w:type="dxa"/>
            <w:vAlign w:val="center"/>
          </w:tcPr>
          <w:p>
            <w:pPr>
              <w:pStyle w:val="243"/>
              <w:spacing w:before="59" w:line="220" w:lineRule="auto"/>
              <w:jc w:val="center"/>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2000" w:type="dxa"/>
            <w:vAlign w:val="center"/>
          </w:tcPr>
          <w:p>
            <w:pPr>
              <w:jc w:val="center"/>
              <w:rPr>
                <w:rFonts w:ascii="Arial"/>
              </w:rPr>
            </w:pPr>
          </w:p>
        </w:tc>
        <w:tc>
          <w:tcPr>
            <w:tcW w:w="1485" w:type="dxa"/>
            <w:vAlign w:val="center"/>
          </w:tcPr>
          <w:p>
            <w:pPr>
              <w:pStyle w:val="243"/>
              <w:spacing w:before="59" w:line="220" w:lineRule="auto"/>
              <w:jc w:val="center"/>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1303" w:type="dxa"/>
            <w:vAlign w:val="center"/>
          </w:tcPr>
          <w:p>
            <w:pPr>
              <w:pStyle w:val="243"/>
              <w:spacing w:before="59" w:line="220" w:lineRule="auto"/>
              <w:jc w:val="center"/>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1934" w:type="dxa"/>
            <w:gridSpan w:val="2"/>
            <w:vAlign w:val="center"/>
          </w:tcPr>
          <w:p>
            <w:pPr>
              <w:pStyle w:val="243"/>
              <w:spacing w:before="59" w:line="220" w:lineRule="auto"/>
              <w:jc w:val="center"/>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2506" w:type="dxa"/>
            <w:gridSpan w:val="2"/>
            <w:vAlign w:val="center"/>
          </w:tcPr>
          <w:p>
            <w:pPr>
              <w:pStyle w:val="243"/>
              <w:spacing w:before="59" w:line="220" w:lineRule="auto"/>
              <w:jc w:val="center"/>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2077" w:type="dxa"/>
            <w:gridSpan w:val="2"/>
            <w:vAlign w:val="center"/>
          </w:tcPr>
          <w:p>
            <w:pPr>
              <w:pStyle w:val="243"/>
              <w:spacing w:before="148" w:line="221" w:lineRule="auto"/>
              <w:ind w:left="117"/>
              <w:jc w:val="center"/>
            </w:pPr>
            <w:r>
              <w:rPr>
                <w:spacing w:val="-4"/>
                <w14:textOutline w14:w="3263" w14:cap="sq" w14:cmpd="sng" w14:algn="ctr">
                  <w14:solidFill>
                    <w14:srgbClr w14:val="000000"/>
                  </w14:solidFill>
                  <w14:prstDash w14:val="solid"/>
                  <w14:bevel/>
                </w14:textOutline>
              </w:rPr>
              <w:t>备注：</w:t>
            </w:r>
          </w:p>
        </w:tc>
        <w:tc>
          <w:tcPr>
            <w:tcW w:w="18670" w:type="dxa"/>
            <w:gridSpan w:val="14"/>
            <w:vAlign w:val="center"/>
          </w:tcPr>
          <w:p>
            <w:pPr>
              <w:jc w:val="center"/>
              <w:rPr>
                <w:rFonts w:ascii="Arial"/>
              </w:rPr>
            </w:pPr>
          </w:p>
        </w:tc>
      </w:tr>
    </w:tbl>
    <w:p>
      <w:pPr>
        <w:pStyle w:val="56"/>
        <w:ind w:firstLine="420"/>
      </w:pPr>
    </w:p>
    <w:p>
      <w:pPr>
        <w:pStyle w:val="56"/>
        <w:ind w:firstLine="420"/>
      </w:pPr>
    </w:p>
    <w:p>
      <w:pPr>
        <w:pStyle w:val="56"/>
        <w:ind w:firstLine="420"/>
      </w:pPr>
    </w:p>
    <w:p>
      <w:pPr>
        <w:pStyle w:val="56"/>
        <w:ind w:firstLine="420"/>
      </w:pPr>
    </w:p>
    <w:p>
      <w:pPr>
        <w:pStyle w:val="56"/>
        <w:ind w:firstLine="420"/>
        <w:sectPr>
          <w:pgSz w:w="23811" w:h="16838" w:orient="landscape"/>
          <w:pgMar w:top="1134" w:right="1928" w:bottom="1134" w:left="1134" w:header="1418" w:footer="1134" w:gutter="283"/>
          <w:cols w:space="0" w:num="1"/>
          <w:formProt w:val="0"/>
          <w:docGrid w:type="lines" w:linePitch="316" w:charSpace="0"/>
        </w:sectPr>
      </w:pPr>
    </w:p>
    <w:p>
      <w:pPr>
        <w:pStyle w:val="198"/>
        <w:rPr>
          <w:vanish w:val="0"/>
        </w:rPr>
      </w:pPr>
    </w:p>
    <w:p>
      <w:pPr>
        <w:pStyle w:val="199"/>
        <w:rPr>
          <w:vanish w:val="0"/>
        </w:rPr>
      </w:pPr>
    </w:p>
    <w:p>
      <w:pPr>
        <w:pStyle w:val="198"/>
        <w:rPr>
          <w:vanish w:val="0"/>
        </w:rPr>
      </w:pPr>
    </w:p>
    <w:p>
      <w:pPr>
        <w:pStyle w:val="199"/>
        <w:rPr>
          <w:vanish w:val="0"/>
        </w:rPr>
      </w:pPr>
    </w:p>
    <w:p>
      <w:pPr>
        <w:pStyle w:val="76"/>
        <w:spacing w:after="156"/>
      </w:pPr>
      <w:r>
        <w:br w:type="textWrapping"/>
      </w:r>
      <w:bookmarkStart w:id="99" w:name="_Toc155974791"/>
      <w:r>
        <w:rPr>
          <w:rFonts w:hint="eastAsia"/>
        </w:rPr>
        <w:t>（资料性）</w:t>
      </w:r>
      <w:r>
        <w:br w:type="textWrapping"/>
      </w:r>
      <w:r>
        <w:rPr>
          <w:rFonts w:hint="eastAsia"/>
        </w:rPr>
        <w:t>二次供水设施验收意见表</w:t>
      </w:r>
      <w:bookmarkEnd w:id="99"/>
    </w:p>
    <w:p>
      <w:pPr>
        <w:pStyle w:val="56"/>
        <w:ind w:firstLine="420"/>
        <w:jc w:val="center"/>
        <w:rPr>
          <w:rFonts w:ascii="黑体" w:hAnsi="黑体" w:eastAsia="黑体"/>
        </w:rPr>
      </w:pPr>
      <w:r>
        <w:rPr>
          <w:rFonts w:hint="eastAsia" w:ascii="黑体" w:hAnsi="黑体" w:eastAsia="黑体"/>
        </w:rPr>
        <w:t>表</w:t>
      </w:r>
      <w:r>
        <w:rPr>
          <w:rFonts w:ascii="黑体" w:hAnsi="黑体" w:eastAsia="黑体"/>
        </w:rPr>
        <w:t xml:space="preserve">E.1 </w:t>
      </w:r>
      <w:r>
        <w:rPr>
          <w:rFonts w:hint="eastAsia" w:ascii="黑体" w:hAnsi="黑体" w:eastAsia="黑体"/>
        </w:rPr>
        <w:t>二次供水设施验收意见表</w:t>
      </w:r>
    </w:p>
    <w:tbl>
      <w:tblPr>
        <w:tblStyle w:val="244"/>
        <w:tblW w:w="93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2"/>
        <w:gridCol w:w="2556"/>
        <w:gridCol w:w="1562"/>
        <w:gridCol w:w="35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0" w:hRule="atLeast"/>
        </w:trPr>
        <w:tc>
          <w:tcPr>
            <w:tcW w:w="1682" w:type="dxa"/>
          </w:tcPr>
          <w:p>
            <w:pPr>
              <w:pStyle w:val="243"/>
              <w:spacing w:before="33" w:line="219" w:lineRule="auto"/>
              <w:ind w:left="483"/>
            </w:pPr>
            <w:r>
              <w:rPr>
                <w:spacing w:val="-2"/>
              </w:rPr>
              <w:t>泵房名称</w:t>
            </w:r>
          </w:p>
        </w:tc>
        <w:tc>
          <w:tcPr>
            <w:tcW w:w="7677" w:type="dxa"/>
            <w:gridSpan w:val="3"/>
          </w:tcPr>
          <w:p>
            <w:pPr>
              <w:rPr>
                <w:rFonts w:ascii="宋体" w:hAns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0" w:hRule="atLeast"/>
        </w:trPr>
        <w:tc>
          <w:tcPr>
            <w:tcW w:w="1682" w:type="dxa"/>
          </w:tcPr>
          <w:p>
            <w:pPr>
              <w:pStyle w:val="243"/>
              <w:spacing w:before="28" w:line="221" w:lineRule="auto"/>
              <w:ind w:left="487"/>
            </w:pPr>
            <w:r>
              <w:rPr>
                <w:spacing w:val="-3"/>
              </w:rPr>
              <w:t>小区地址</w:t>
            </w:r>
          </w:p>
        </w:tc>
        <w:tc>
          <w:tcPr>
            <w:tcW w:w="7677" w:type="dxa"/>
            <w:gridSpan w:val="3"/>
          </w:tcPr>
          <w:p>
            <w:pPr>
              <w:rPr>
                <w:rFonts w:ascii="宋体" w:hAns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40" w:hRule="atLeast"/>
        </w:trPr>
        <w:tc>
          <w:tcPr>
            <w:tcW w:w="1682" w:type="dxa"/>
            <w:vAlign w:val="center"/>
          </w:tcPr>
          <w:p>
            <w:pPr>
              <w:pStyle w:val="243"/>
              <w:spacing w:before="58" w:line="219" w:lineRule="auto"/>
              <w:jc w:val="center"/>
            </w:pPr>
            <w:r>
              <w:rPr>
                <w:spacing w:val="-2"/>
              </w:rPr>
              <w:t>主要检查项目</w:t>
            </w:r>
          </w:p>
        </w:tc>
        <w:tc>
          <w:tcPr>
            <w:tcW w:w="7677" w:type="dxa"/>
            <w:gridSpan w:val="3"/>
          </w:tcPr>
          <w:p>
            <w:pPr>
              <w:widowControl/>
              <w:spacing w:line="360" w:lineRule="auto"/>
              <w:jc w:val="left"/>
              <w:rPr>
                <w:rFonts w:ascii="宋体" w:hAnsi="宋体"/>
              </w:rPr>
            </w:pPr>
            <w:r>
              <w:rPr>
                <w:rFonts w:ascii="宋体" w:hAnsi="宋体"/>
                <w:color w:val="000000"/>
                <w:kern w:val="0"/>
                <w:sz w:val="18"/>
                <w:szCs w:val="18"/>
                <w:lang w:bidi="ar"/>
              </w:rPr>
              <w:t xml:space="preserve">1 </w:t>
            </w:r>
            <w:r>
              <w:rPr>
                <w:rFonts w:hint="eastAsia" w:ascii="宋体" w:hAnsi="宋体" w:cs="宋体"/>
                <w:color w:val="000000"/>
                <w:kern w:val="0"/>
                <w:sz w:val="18"/>
                <w:szCs w:val="18"/>
                <w:lang w:bidi="ar"/>
              </w:rPr>
              <w:t xml:space="preserve">电源可靠性； </w:t>
            </w:r>
          </w:p>
          <w:p>
            <w:pPr>
              <w:widowControl/>
              <w:spacing w:line="360" w:lineRule="auto"/>
              <w:jc w:val="left"/>
              <w:rPr>
                <w:rFonts w:ascii="宋体" w:hAnsi="宋体"/>
              </w:rPr>
            </w:pPr>
            <w:r>
              <w:rPr>
                <w:rFonts w:ascii="宋体" w:hAnsi="宋体"/>
                <w:color w:val="000000"/>
                <w:kern w:val="0"/>
                <w:sz w:val="18"/>
                <w:szCs w:val="18"/>
                <w:lang w:bidi="ar"/>
              </w:rPr>
              <w:t xml:space="preserve">2 </w:t>
            </w:r>
            <w:r>
              <w:rPr>
                <w:rFonts w:hint="eastAsia" w:ascii="宋体" w:hAnsi="宋体" w:cs="宋体"/>
                <w:color w:val="000000"/>
                <w:kern w:val="0"/>
                <w:sz w:val="18"/>
                <w:szCs w:val="18"/>
                <w:lang w:bidi="ar"/>
              </w:rPr>
              <w:t xml:space="preserve">水泵机组运行状况和扬程、流量等参数； </w:t>
            </w:r>
          </w:p>
          <w:p>
            <w:pPr>
              <w:widowControl/>
              <w:spacing w:line="360" w:lineRule="auto"/>
              <w:jc w:val="left"/>
              <w:rPr>
                <w:rFonts w:ascii="宋体" w:hAnsi="宋体"/>
              </w:rPr>
            </w:pPr>
            <w:r>
              <w:rPr>
                <w:rFonts w:ascii="宋体" w:hAnsi="宋体"/>
                <w:color w:val="000000"/>
                <w:kern w:val="0"/>
                <w:sz w:val="18"/>
                <w:szCs w:val="18"/>
                <w:lang w:bidi="ar"/>
              </w:rPr>
              <w:t xml:space="preserve">3 </w:t>
            </w:r>
            <w:r>
              <w:rPr>
                <w:rFonts w:hint="eastAsia" w:ascii="宋体" w:hAnsi="宋体" w:cs="宋体"/>
                <w:color w:val="000000"/>
                <w:kern w:val="0"/>
                <w:sz w:val="18"/>
                <w:szCs w:val="18"/>
                <w:lang w:bidi="ar"/>
              </w:rPr>
              <w:t xml:space="preserve">供水管网水压达到设定值时，系统的可靠性； </w:t>
            </w:r>
          </w:p>
          <w:p>
            <w:pPr>
              <w:widowControl/>
              <w:spacing w:line="360" w:lineRule="auto"/>
              <w:jc w:val="left"/>
              <w:rPr>
                <w:rFonts w:ascii="宋体" w:hAnsi="宋体"/>
              </w:rPr>
            </w:pPr>
            <w:r>
              <w:rPr>
                <w:rFonts w:ascii="宋体" w:hAnsi="宋体"/>
                <w:color w:val="000000"/>
                <w:kern w:val="0"/>
                <w:sz w:val="18"/>
                <w:szCs w:val="18"/>
                <w:lang w:bidi="ar"/>
              </w:rPr>
              <w:t xml:space="preserve">4 </w:t>
            </w:r>
            <w:r>
              <w:rPr>
                <w:rFonts w:hint="eastAsia" w:ascii="宋体" w:hAnsi="宋体" w:cs="宋体"/>
                <w:color w:val="000000"/>
                <w:kern w:val="0"/>
                <w:sz w:val="18"/>
                <w:szCs w:val="18"/>
                <w:lang w:bidi="ar"/>
              </w:rPr>
              <w:t xml:space="preserve">管道、管件、设备的材质与设计要求的一致性； </w:t>
            </w:r>
          </w:p>
          <w:p>
            <w:pPr>
              <w:widowControl/>
              <w:spacing w:line="360" w:lineRule="auto"/>
              <w:jc w:val="left"/>
              <w:rPr>
                <w:rFonts w:ascii="宋体" w:hAnsi="宋体"/>
              </w:rPr>
            </w:pPr>
            <w:r>
              <w:rPr>
                <w:rFonts w:ascii="宋体" w:hAnsi="宋体"/>
                <w:color w:val="000000"/>
                <w:kern w:val="0"/>
                <w:sz w:val="18"/>
                <w:szCs w:val="18"/>
                <w:lang w:bidi="ar"/>
              </w:rPr>
              <w:t xml:space="preserve">5 </w:t>
            </w:r>
            <w:r>
              <w:rPr>
                <w:rFonts w:hint="eastAsia" w:ascii="宋体" w:hAnsi="宋体" w:cs="宋体"/>
                <w:color w:val="000000"/>
                <w:kern w:val="0"/>
                <w:sz w:val="18"/>
                <w:szCs w:val="18"/>
                <w:lang w:bidi="ar"/>
              </w:rPr>
              <w:t xml:space="preserve">设备显示仪表的准确度； </w:t>
            </w:r>
          </w:p>
          <w:p>
            <w:pPr>
              <w:widowControl/>
              <w:spacing w:line="360" w:lineRule="auto"/>
              <w:jc w:val="left"/>
              <w:rPr>
                <w:rFonts w:ascii="宋体" w:hAnsi="宋体"/>
              </w:rPr>
            </w:pPr>
            <w:r>
              <w:rPr>
                <w:rFonts w:ascii="宋体" w:hAnsi="宋体"/>
                <w:color w:val="000000"/>
                <w:kern w:val="0"/>
                <w:sz w:val="18"/>
                <w:szCs w:val="18"/>
                <w:lang w:bidi="ar"/>
              </w:rPr>
              <w:t xml:space="preserve">6 </w:t>
            </w:r>
            <w:r>
              <w:rPr>
                <w:rFonts w:hint="eastAsia" w:ascii="宋体" w:hAnsi="宋体" w:cs="宋体"/>
                <w:color w:val="000000"/>
                <w:kern w:val="0"/>
                <w:sz w:val="18"/>
                <w:szCs w:val="18"/>
                <w:lang w:bidi="ar"/>
              </w:rPr>
              <w:t xml:space="preserve">设备控制的功能，数据传输的质量，接入信息管理系统的数据格式是否符合要求； </w:t>
            </w:r>
          </w:p>
          <w:p>
            <w:pPr>
              <w:widowControl/>
              <w:spacing w:line="360" w:lineRule="auto"/>
              <w:jc w:val="left"/>
              <w:rPr>
                <w:rFonts w:ascii="宋体" w:hAnsi="宋体"/>
              </w:rPr>
            </w:pPr>
            <w:r>
              <w:rPr>
                <w:rFonts w:ascii="宋体" w:hAnsi="宋体"/>
                <w:color w:val="000000"/>
                <w:kern w:val="0"/>
                <w:sz w:val="18"/>
                <w:szCs w:val="18"/>
                <w:lang w:bidi="ar"/>
              </w:rPr>
              <w:t xml:space="preserve">7 </w:t>
            </w:r>
            <w:r>
              <w:rPr>
                <w:rFonts w:hint="eastAsia" w:ascii="宋体" w:hAnsi="宋体" w:cs="宋体"/>
                <w:color w:val="000000"/>
                <w:kern w:val="0"/>
                <w:sz w:val="18"/>
                <w:szCs w:val="18"/>
                <w:lang w:bidi="ar"/>
              </w:rPr>
              <w:t xml:space="preserve">设备接地、防雷等保护功能； </w:t>
            </w:r>
          </w:p>
          <w:p>
            <w:pPr>
              <w:widowControl/>
              <w:spacing w:line="360" w:lineRule="auto"/>
              <w:jc w:val="left"/>
              <w:rPr>
                <w:rFonts w:ascii="宋体" w:hAnsi="宋体"/>
              </w:rPr>
            </w:pPr>
            <w:r>
              <w:rPr>
                <w:rFonts w:ascii="宋体" w:hAnsi="宋体"/>
                <w:color w:val="000000"/>
                <w:kern w:val="0"/>
                <w:sz w:val="18"/>
                <w:szCs w:val="18"/>
                <w:lang w:bidi="ar"/>
              </w:rPr>
              <w:t xml:space="preserve">8 </w:t>
            </w:r>
            <w:r>
              <w:rPr>
                <w:rFonts w:hint="eastAsia" w:ascii="宋体" w:hAnsi="宋体" w:cs="宋体"/>
                <w:color w:val="000000"/>
                <w:kern w:val="0"/>
                <w:sz w:val="18"/>
                <w:szCs w:val="18"/>
                <w:lang w:bidi="ar"/>
              </w:rPr>
              <w:t xml:space="preserve">水池（箱）的材质与设置； </w:t>
            </w:r>
          </w:p>
          <w:p>
            <w:pPr>
              <w:widowControl/>
              <w:spacing w:line="360" w:lineRule="auto"/>
              <w:jc w:val="left"/>
              <w:rPr>
                <w:rFonts w:ascii="宋体" w:hAnsi="宋体"/>
              </w:rPr>
            </w:pPr>
            <w:r>
              <w:rPr>
                <w:rFonts w:ascii="宋体" w:hAnsi="宋体"/>
                <w:color w:val="000000"/>
                <w:kern w:val="0"/>
                <w:sz w:val="18"/>
                <w:szCs w:val="18"/>
                <w:lang w:bidi="ar"/>
              </w:rPr>
              <w:t xml:space="preserve">9 </w:t>
            </w:r>
            <w:r>
              <w:rPr>
                <w:rFonts w:hint="eastAsia" w:ascii="宋体" w:hAnsi="宋体" w:cs="宋体"/>
                <w:color w:val="000000"/>
                <w:kern w:val="0"/>
                <w:sz w:val="18"/>
                <w:szCs w:val="18"/>
                <w:lang w:bidi="ar"/>
              </w:rPr>
              <w:t xml:space="preserve">供水设备的排水、通风、保温等环境状况。 </w:t>
            </w:r>
          </w:p>
          <w:p>
            <w:pPr>
              <w:widowControl/>
              <w:spacing w:line="360" w:lineRule="auto"/>
              <w:jc w:val="left"/>
              <w:rPr>
                <w:rFonts w:ascii="宋体" w:hAnsi="宋体"/>
              </w:rPr>
            </w:pPr>
            <w:r>
              <w:rPr>
                <w:rFonts w:ascii="宋体" w:hAnsi="宋体"/>
                <w:color w:val="000000"/>
                <w:kern w:val="0"/>
                <w:sz w:val="18"/>
                <w:szCs w:val="18"/>
                <w:lang w:bidi="ar"/>
              </w:rPr>
              <w:t xml:space="preserve">10 </w:t>
            </w:r>
            <w:r>
              <w:rPr>
                <w:rFonts w:hint="eastAsia" w:ascii="宋体" w:hAnsi="宋体" w:cs="宋体"/>
                <w:color w:val="000000"/>
                <w:kern w:val="0"/>
                <w:sz w:val="18"/>
                <w:szCs w:val="18"/>
                <w:lang w:bidi="ar"/>
              </w:rPr>
              <w:t xml:space="preserve">防回流污染设施的安全性； </w:t>
            </w:r>
          </w:p>
          <w:p>
            <w:pPr>
              <w:widowControl/>
              <w:spacing w:line="360" w:lineRule="auto"/>
              <w:jc w:val="left"/>
              <w:rPr>
                <w:rFonts w:ascii="宋体" w:hAnsi="宋体"/>
              </w:rPr>
            </w:pPr>
            <w:r>
              <w:rPr>
                <w:rFonts w:ascii="宋体" w:hAnsi="宋体"/>
                <w:color w:val="000000"/>
                <w:kern w:val="0"/>
                <w:sz w:val="18"/>
                <w:szCs w:val="18"/>
                <w:lang w:bidi="ar"/>
              </w:rPr>
              <w:t xml:space="preserve">11 </w:t>
            </w:r>
            <w:r>
              <w:rPr>
                <w:rFonts w:hint="eastAsia" w:ascii="宋体" w:hAnsi="宋体" w:cs="宋体"/>
                <w:color w:val="000000"/>
                <w:kern w:val="0"/>
                <w:sz w:val="18"/>
                <w:szCs w:val="18"/>
                <w:lang w:bidi="ar"/>
              </w:rPr>
              <w:t xml:space="preserve">供水设备的减振措施及环境噪声的控制； </w:t>
            </w:r>
          </w:p>
          <w:p>
            <w:pPr>
              <w:widowControl/>
              <w:spacing w:line="360" w:lineRule="auto"/>
              <w:jc w:val="left"/>
              <w:rPr>
                <w:rFonts w:ascii="宋体" w:hAnsi="宋体"/>
              </w:rPr>
            </w:pPr>
            <w:r>
              <w:rPr>
                <w:rFonts w:ascii="宋体" w:hAnsi="宋体"/>
                <w:color w:val="000000"/>
                <w:kern w:val="0"/>
                <w:sz w:val="18"/>
                <w:szCs w:val="18"/>
                <w:lang w:bidi="ar"/>
              </w:rPr>
              <w:t xml:space="preserve">12 </w:t>
            </w:r>
            <w:r>
              <w:rPr>
                <w:rFonts w:hint="eastAsia" w:ascii="宋体" w:hAnsi="宋体" w:cs="宋体"/>
                <w:color w:val="000000"/>
                <w:kern w:val="0"/>
                <w:sz w:val="18"/>
                <w:szCs w:val="18"/>
                <w:lang w:bidi="ar"/>
              </w:rPr>
              <w:t>消毒设备的安全运行。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531" w:hRule="atLeast"/>
        </w:trPr>
        <w:tc>
          <w:tcPr>
            <w:tcW w:w="1682" w:type="dxa"/>
            <w:vMerge w:val="restart"/>
            <w:tcBorders>
              <w:bottom w:val="nil"/>
            </w:tcBorders>
            <w:vAlign w:val="center"/>
          </w:tcPr>
          <w:p>
            <w:pPr>
              <w:pStyle w:val="243"/>
              <w:spacing w:before="59" w:line="219" w:lineRule="auto"/>
              <w:jc w:val="center"/>
            </w:pPr>
            <w:r>
              <w:rPr>
                <w:spacing w:val="-2"/>
              </w:rPr>
              <w:t>验收意见</w:t>
            </w:r>
          </w:p>
        </w:tc>
        <w:tc>
          <w:tcPr>
            <w:tcW w:w="7677" w:type="dxa"/>
            <w:gridSpan w:val="3"/>
          </w:tcPr>
          <w:p>
            <w:pPr>
              <w:pStyle w:val="243"/>
              <w:spacing w:before="145" w:line="219" w:lineRule="auto"/>
              <w:ind w:left="117"/>
            </w:pPr>
            <w:r>
              <w:rPr>
                <w:rFonts w:hint="eastAsia" w:cs="Times New Roman"/>
                <w:spacing w:val="-3"/>
                <w:lang w:eastAsia="zh-CN"/>
              </w:rPr>
              <w:t>□</w:t>
            </w:r>
            <w:r>
              <w:rPr>
                <w:spacing w:val="-3"/>
              </w:rPr>
              <w:t>验收合格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71" w:hRule="atLeast"/>
        </w:trPr>
        <w:tc>
          <w:tcPr>
            <w:tcW w:w="1682" w:type="dxa"/>
            <w:vMerge w:val="continue"/>
            <w:tcBorders>
              <w:top w:val="nil"/>
            </w:tcBorders>
            <w:vAlign w:val="center"/>
          </w:tcPr>
          <w:p>
            <w:pPr>
              <w:rPr>
                <w:rFonts w:ascii="宋体" w:hAnsi="宋体"/>
              </w:rPr>
            </w:pPr>
          </w:p>
        </w:tc>
        <w:tc>
          <w:tcPr>
            <w:tcW w:w="7677" w:type="dxa"/>
            <w:gridSpan w:val="3"/>
          </w:tcPr>
          <w:p>
            <w:pPr>
              <w:pStyle w:val="243"/>
              <w:spacing w:before="147" w:line="219" w:lineRule="auto"/>
              <w:ind w:left="117"/>
              <w:rPr>
                <w:lang w:eastAsia="zh-CN"/>
              </w:rPr>
            </w:pPr>
            <w:r>
              <w:rPr>
                <w:rFonts w:hint="eastAsia" w:cs="Times New Roman"/>
                <w:spacing w:val="-1"/>
                <w:lang w:eastAsia="zh-CN"/>
              </w:rPr>
              <w:t>□</w:t>
            </w:r>
            <w:r>
              <w:rPr>
                <w:spacing w:val="-1"/>
                <w:lang w:eastAsia="zh-CN"/>
              </w:rPr>
              <w:t>验收不合格，存在的主要问题如下：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32" w:hRule="atLeast"/>
        </w:trPr>
        <w:tc>
          <w:tcPr>
            <w:tcW w:w="1682" w:type="dxa"/>
            <w:vAlign w:val="center"/>
          </w:tcPr>
          <w:p>
            <w:pPr>
              <w:widowControl/>
              <w:spacing w:line="360" w:lineRule="auto"/>
              <w:ind w:firstLine="180" w:firstLineChars="100"/>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验收参与人员</w:t>
            </w:r>
          </w:p>
        </w:tc>
        <w:tc>
          <w:tcPr>
            <w:tcW w:w="7677" w:type="dxa"/>
            <w:gridSpan w:val="3"/>
            <w:vAlign w:val="center"/>
          </w:tcPr>
          <w:p>
            <w:pPr>
              <w:pStyle w:val="243"/>
              <w:spacing w:before="59" w:line="210" w:lineRule="auto"/>
              <w:ind w:left="111"/>
              <w:rPr>
                <w:rFonts w:cs="Times New Roman"/>
                <w:spacing w:val="-1"/>
              </w:rPr>
            </w:pPr>
          </w:p>
          <w:p>
            <w:pPr>
              <w:pStyle w:val="243"/>
              <w:spacing w:before="59" w:line="210" w:lineRule="auto"/>
              <w:rPr>
                <w:rFonts w:cs="Times New Roman"/>
                <w:spacing w:val="-1"/>
              </w:rPr>
            </w:pPr>
          </w:p>
          <w:p>
            <w:pPr>
              <w:pStyle w:val="243"/>
              <w:spacing w:before="59" w:line="210" w:lineRule="auto"/>
              <w:ind w:left="111"/>
              <w:rPr>
                <w:rFonts w:cs="Times New Roman"/>
              </w:rPr>
            </w:pPr>
            <w:r>
              <w:rPr>
                <w:rFonts w:cs="Times New Roman"/>
                <w:spacing w:val="-1"/>
              </w:rPr>
              <w:t>(</w:t>
            </w:r>
            <w:r>
              <w:rPr>
                <w:spacing w:val="-1"/>
              </w:rPr>
              <w:t>请用</w:t>
            </w:r>
            <w:r>
              <w:rPr>
                <w:spacing w:val="-1"/>
                <w14:textOutline w14:w="3263" w14:cap="sq" w14:cmpd="sng" w14:algn="ctr">
                  <w14:solidFill>
                    <w14:srgbClr w14:val="000000"/>
                  </w14:solidFill>
                  <w14:prstDash w14:val="solid"/>
                  <w14:bevel/>
                </w14:textOutline>
              </w:rPr>
              <w:t>正楷字</w:t>
            </w:r>
            <w:r>
              <w:rPr>
                <w:spacing w:val="-1"/>
              </w:rPr>
              <w:t>签名</w:t>
            </w:r>
            <w:r>
              <w:rPr>
                <w:rFonts w:cs="Times New Roman"/>
                <w:spacing w:val="-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50" w:hRule="atLeast"/>
        </w:trPr>
        <w:tc>
          <w:tcPr>
            <w:tcW w:w="1682" w:type="dxa"/>
            <w:vAlign w:val="center"/>
          </w:tcPr>
          <w:p>
            <w:pPr>
              <w:pStyle w:val="243"/>
              <w:spacing w:before="58" w:line="219" w:lineRule="auto"/>
            </w:pPr>
            <w:r>
              <w:rPr>
                <w:spacing w:val="-2"/>
              </w:rPr>
              <w:t>施工单位意见</w:t>
            </w:r>
          </w:p>
        </w:tc>
        <w:tc>
          <w:tcPr>
            <w:tcW w:w="2556" w:type="dxa"/>
          </w:tcPr>
          <w:p>
            <w:pPr>
              <w:rPr>
                <w:rFonts w:ascii="宋体" w:hAnsi="宋体"/>
              </w:rPr>
            </w:pPr>
          </w:p>
        </w:tc>
        <w:tc>
          <w:tcPr>
            <w:tcW w:w="1562" w:type="dxa"/>
          </w:tcPr>
          <w:p>
            <w:pPr>
              <w:widowControl/>
              <w:jc w:val="center"/>
              <w:rPr>
                <w:rFonts w:ascii="宋体" w:hAnsi="宋体"/>
              </w:rPr>
            </w:pPr>
            <w:r>
              <w:rPr>
                <w:rFonts w:hint="eastAsia" w:ascii="宋体" w:hAnsi="宋体" w:cs="宋体"/>
                <w:color w:val="000000"/>
                <w:kern w:val="0"/>
                <w:sz w:val="18"/>
                <w:szCs w:val="18"/>
                <w:lang w:bidi="ar"/>
              </w:rPr>
              <w:t>监理单位</w:t>
            </w:r>
          </w:p>
          <w:p>
            <w:pPr>
              <w:widowControl/>
              <w:jc w:val="center"/>
              <w:rPr>
                <w:rFonts w:ascii="宋体" w:hAnsi="宋体"/>
              </w:rPr>
            </w:pPr>
            <w:r>
              <w:rPr>
                <w:rFonts w:hint="eastAsia" w:ascii="宋体" w:hAnsi="宋体" w:cs="宋体"/>
                <w:color w:val="000000"/>
                <w:kern w:val="0"/>
                <w:sz w:val="18"/>
                <w:szCs w:val="18"/>
                <w:lang w:bidi="ar"/>
              </w:rPr>
              <w:t>意见</w:t>
            </w:r>
          </w:p>
        </w:tc>
        <w:tc>
          <w:tcPr>
            <w:tcW w:w="3559" w:type="dxa"/>
          </w:tcPr>
          <w:p>
            <w:pPr>
              <w:rPr>
                <w:rFonts w:ascii="宋体" w:hAns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1" w:hRule="atLeast"/>
        </w:trPr>
        <w:tc>
          <w:tcPr>
            <w:tcW w:w="1682" w:type="dxa"/>
            <w:vAlign w:val="center"/>
          </w:tcPr>
          <w:p>
            <w:pPr>
              <w:pStyle w:val="243"/>
              <w:spacing w:before="58" w:line="219" w:lineRule="auto"/>
            </w:pPr>
            <w:r>
              <w:rPr>
                <w:spacing w:val="-2"/>
              </w:rPr>
              <w:t>建设单位意见</w:t>
            </w:r>
          </w:p>
        </w:tc>
        <w:tc>
          <w:tcPr>
            <w:tcW w:w="2556" w:type="dxa"/>
          </w:tcPr>
          <w:p>
            <w:pPr>
              <w:rPr>
                <w:rFonts w:ascii="宋体" w:hAnsi="宋体"/>
              </w:rPr>
            </w:pPr>
          </w:p>
        </w:tc>
        <w:tc>
          <w:tcPr>
            <w:tcW w:w="1562" w:type="dxa"/>
          </w:tcPr>
          <w:p>
            <w:pPr>
              <w:widowControl/>
              <w:jc w:val="center"/>
              <w:rPr>
                <w:rFonts w:ascii="宋体" w:hAnsi="宋体"/>
              </w:rPr>
            </w:pPr>
            <w:r>
              <w:rPr>
                <w:rFonts w:hint="eastAsia" w:ascii="宋体" w:hAnsi="宋体" w:cs="宋体"/>
                <w:color w:val="000000"/>
                <w:kern w:val="0"/>
                <w:sz w:val="18"/>
                <w:szCs w:val="18"/>
                <w:lang w:bidi="ar"/>
              </w:rPr>
              <w:t>运营单位</w:t>
            </w:r>
          </w:p>
          <w:p>
            <w:pPr>
              <w:widowControl/>
              <w:jc w:val="center"/>
              <w:rPr>
                <w:rFonts w:ascii="宋体" w:hAnsi="宋体"/>
              </w:rPr>
            </w:pPr>
            <w:r>
              <w:rPr>
                <w:rFonts w:hint="eastAsia" w:ascii="宋体" w:hAnsi="宋体" w:cs="宋体"/>
                <w:color w:val="000000"/>
                <w:kern w:val="0"/>
                <w:sz w:val="18"/>
                <w:szCs w:val="18"/>
                <w:lang w:bidi="ar"/>
              </w:rPr>
              <w:t>意见</w:t>
            </w:r>
          </w:p>
        </w:tc>
        <w:tc>
          <w:tcPr>
            <w:tcW w:w="3559" w:type="dxa"/>
          </w:tcPr>
          <w:p>
            <w:pPr>
              <w:rPr>
                <w:rFonts w:ascii="宋体" w:hAnsi="宋体"/>
              </w:rPr>
            </w:pPr>
          </w:p>
        </w:tc>
      </w:tr>
    </w:tbl>
    <w:p>
      <w:pPr>
        <w:pStyle w:val="56"/>
        <w:ind w:firstLine="0" w:firstLineChars="0"/>
        <w:sectPr>
          <w:pgSz w:w="11906" w:h="16838"/>
          <w:pgMar w:top="1928" w:right="1134" w:bottom="1134" w:left="1134" w:header="1418" w:footer="1134" w:gutter="284"/>
          <w:cols w:space="425" w:num="1"/>
          <w:formProt w:val="0"/>
          <w:docGrid w:type="lines" w:linePitch="312" w:charSpace="0"/>
        </w:sectPr>
      </w:pPr>
    </w:p>
    <w:p>
      <w:pPr>
        <w:pStyle w:val="198"/>
        <w:rPr>
          <w:vanish w:val="0"/>
        </w:rPr>
      </w:pPr>
    </w:p>
    <w:p>
      <w:pPr>
        <w:pStyle w:val="199"/>
        <w:rPr>
          <w:vanish w:val="0"/>
        </w:rPr>
      </w:pPr>
    </w:p>
    <w:p>
      <w:pPr>
        <w:pStyle w:val="198"/>
        <w:rPr>
          <w:vanish w:val="0"/>
        </w:rPr>
      </w:pPr>
    </w:p>
    <w:p>
      <w:pPr>
        <w:pStyle w:val="199"/>
        <w:rPr>
          <w:vanish w:val="0"/>
        </w:rPr>
      </w:pPr>
    </w:p>
    <w:p>
      <w:pPr>
        <w:pStyle w:val="76"/>
        <w:spacing w:after="156"/>
      </w:pPr>
      <w:r>
        <w:br w:type="textWrapping"/>
      </w:r>
      <w:bookmarkStart w:id="100" w:name="_Toc155974792"/>
      <w:r>
        <w:rPr>
          <w:rFonts w:hint="eastAsia"/>
        </w:rPr>
        <w:t>（资料性）</w:t>
      </w:r>
      <w:r>
        <w:br w:type="textWrapping"/>
      </w:r>
      <w:r>
        <w:rPr>
          <w:rFonts w:hint="eastAsia"/>
        </w:rPr>
        <w:t>泵房工程质量保修书（范本）</w:t>
      </w:r>
      <w:bookmarkEnd w:id="100"/>
    </w:p>
    <w:p>
      <w:pPr>
        <w:pStyle w:val="56"/>
        <w:spacing w:line="360" w:lineRule="auto"/>
        <w:ind w:firstLine="420"/>
      </w:pPr>
      <w:r>
        <w:rPr>
          <w:rFonts w:hint="eastAsia"/>
        </w:rPr>
        <w:t>下面</w:t>
      </w:r>
      <w:r>
        <w:t>给出了</w:t>
      </w:r>
      <w:r>
        <w:rPr>
          <w:rFonts w:hint="eastAsia"/>
        </w:rPr>
        <w:t>泵房工程质量保修书</w:t>
      </w:r>
      <w:r>
        <w:t>范本</w:t>
      </w:r>
      <w:r>
        <w:rPr>
          <w:rFonts w:hint="eastAsia"/>
        </w:rPr>
        <w:t>的</w:t>
      </w:r>
      <w:r>
        <w:t>示例。</w:t>
      </w:r>
    </w:p>
    <w:p>
      <w:pPr>
        <w:pStyle w:val="181"/>
        <w:numPr>
          <w:ilvl w:val="0"/>
          <w:numId w:val="0"/>
        </w:numPr>
        <w:ind w:left="363"/>
      </w:pPr>
      <w:r>
        <w:rPr>
          <w:rFonts w:hint="eastAsia"/>
        </w:rPr>
        <w:t>示例</w:t>
      </w:r>
      <w:r>
        <w:t>：</w:t>
      </w:r>
    </w:p>
    <w:p>
      <w:pPr>
        <w:pStyle w:val="56"/>
        <w:spacing w:line="300" w:lineRule="auto"/>
        <w:ind w:firstLine="420"/>
      </w:pPr>
      <w:r>
        <w:rPr>
          <w:rFonts w:hint="eastAsia"/>
        </w:rPr>
        <w:t>施工单位：</w:t>
      </w:r>
    </w:p>
    <w:p>
      <w:pPr>
        <w:pStyle w:val="56"/>
        <w:spacing w:line="300" w:lineRule="auto"/>
        <w:ind w:firstLine="420"/>
      </w:pPr>
      <w:r>
        <w:rPr>
          <w:rFonts w:hint="eastAsia"/>
        </w:rPr>
        <w:t>运营单位：</w:t>
      </w:r>
    </w:p>
    <w:p>
      <w:pPr>
        <w:pStyle w:val="56"/>
        <w:spacing w:line="300" w:lineRule="auto"/>
        <w:ind w:firstLine="420"/>
      </w:pPr>
      <w:r>
        <w:rPr>
          <w:rFonts w:hint="eastAsia"/>
        </w:rPr>
        <w:t>为保证</w:t>
      </w:r>
      <w:r>
        <w:rPr>
          <w:rFonts w:hint="eastAsia"/>
          <w:u w:val="single"/>
        </w:rPr>
        <w:t xml:space="preserve">            </w:t>
      </w:r>
      <w:r>
        <w:rPr>
          <w:rFonts w:hint="eastAsia"/>
        </w:rPr>
        <w:t>二次供水设施提标改造工程（工程名称）的施工质量，运营单位和施工单位根据《中华人民共和国建筑法》、《建设工程质量管理条例》，经协商一致，签订工程质量保修书。施工单位在质量保修期内按照有关规定及双方约定承担工程质量缺陷保修责任。</w:t>
      </w:r>
    </w:p>
    <w:p>
      <w:pPr>
        <w:pStyle w:val="56"/>
        <w:spacing w:line="300" w:lineRule="auto"/>
        <w:ind w:firstLine="420"/>
      </w:pPr>
      <w:r>
        <w:rPr>
          <w:rFonts w:hint="eastAsia"/>
        </w:rPr>
        <w:t>一、工程质量缺陷保修范围</w:t>
      </w:r>
    </w:p>
    <w:p>
      <w:pPr>
        <w:pStyle w:val="56"/>
        <w:spacing w:line="300" w:lineRule="auto"/>
        <w:ind w:firstLine="420"/>
      </w:pPr>
      <w:r>
        <w:rPr>
          <w:rFonts w:hint="eastAsia"/>
        </w:rPr>
        <w:t>质量缺陷保修范围包括给排水管道工程、设备安装工程、电气管线工程、装饰装修工程以及双方约定的其他项目。</w:t>
      </w:r>
    </w:p>
    <w:p>
      <w:pPr>
        <w:pStyle w:val="56"/>
        <w:spacing w:line="300" w:lineRule="auto"/>
        <w:ind w:firstLine="420"/>
      </w:pPr>
      <w:r>
        <w:rPr>
          <w:rFonts w:hint="eastAsia"/>
        </w:rPr>
        <w:t>二、工程质量缺陷保修期</w:t>
      </w:r>
    </w:p>
    <w:p>
      <w:pPr>
        <w:pStyle w:val="56"/>
        <w:spacing w:line="300" w:lineRule="auto"/>
        <w:ind w:firstLine="420"/>
      </w:pPr>
      <w:r>
        <w:rPr>
          <w:rFonts w:hint="eastAsia"/>
        </w:rPr>
        <w:t>质量保修期从单体泵房验收合格之日起计，按单体泵房计算工程质量保修期。双方约定本工程质量缺陷保修期如下：</w:t>
      </w:r>
    </w:p>
    <w:p>
      <w:pPr>
        <w:pStyle w:val="56"/>
        <w:spacing w:line="300" w:lineRule="auto"/>
        <w:ind w:firstLine="420"/>
      </w:pPr>
      <w:r>
        <w:rPr>
          <w:rFonts w:hint="eastAsia"/>
        </w:rPr>
        <w:t>电气管线工程、给排水管道工程、设备安装工程为</w:t>
      </w:r>
      <w:r>
        <w:rPr>
          <w:rFonts w:hint="eastAsia"/>
          <w:u w:val="single"/>
        </w:rPr>
        <w:t xml:space="preserve">   </w:t>
      </w:r>
      <w:r>
        <w:rPr>
          <w:rFonts w:hint="eastAsia"/>
        </w:rPr>
        <w:t>年；装饰装修工程为</w:t>
      </w:r>
      <w:r>
        <w:rPr>
          <w:rFonts w:hint="eastAsia"/>
          <w:u w:val="single"/>
        </w:rPr>
        <w:t xml:space="preserve">   </w:t>
      </w:r>
      <w:r>
        <w:rPr>
          <w:rFonts w:hint="eastAsia"/>
        </w:rPr>
        <w:t>年；主要设备保修期按照设备厂家或供应商承诺的保修期，但不得低于</w:t>
      </w:r>
      <w:r>
        <w:rPr>
          <w:rFonts w:hint="eastAsia"/>
          <w:u w:val="single"/>
        </w:rPr>
        <w:t xml:space="preserve">   </w:t>
      </w:r>
      <w:r>
        <w:rPr>
          <w:rFonts w:hint="eastAsia"/>
        </w:rPr>
        <w:t>年；其他项目保修期约定为：</w:t>
      </w:r>
      <w:r>
        <w:rPr>
          <w:rFonts w:hint="eastAsia"/>
          <w:u w:val="single"/>
        </w:rPr>
        <w:t xml:space="preserve">   </w:t>
      </w:r>
      <w:r>
        <w:rPr>
          <w:rFonts w:hint="eastAsia"/>
        </w:rPr>
        <w:t>年。</w:t>
      </w:r>
    </w:p>
    <w:p>
      <w:pPr>
        <w:pStyle w:val="56"/>
        <w:spacing w:line="300" w:lineRule="auto"/>
        <w:ind w:firstLine="420"/>
      </w:pPr>
      <w:r>
        <w:rPr>
          <w:rFonts w:hint="eastAsia"/>
        </w:rPr>
        <w:t>三、工程质量缺陷保修责任</w:t>
      </w:r>
    </w:p>
    <w:p>
      <w:pPr>
        <w:pStyle w:val="56"/>
        <w:spacing w:line="300" w:lineRule="auto"/>
        <w:ind w:firstLine="420"/>
      </w:pPr>
      <w:r>
        <w:rPr>
          <w:rFonts w:hint="eastAsia"/>
        </w:rPr>
        <w:t>1.对于保修范围内的项目，在保修期内，施工单位提供7*24小时电话支持服务，发生故障后接到通知需0.5小时内响应，6小时内上门维修并恢复正常；影响正常供水的，应于1小时内到达现场维修。施工单位未在约定期限内派人处理，运营单位可自行组织维修，修复费用由施工单位负责，并于7个工作日内支付。</w:t>
      </w:r>
    </w:p>
    <w:p>
      <w:pPr>
        <w:pStyle w:val="56"/>
        <w:spacing w:line="300" w:lineRule="auto"/>
        <w:ind w:firstLine="420"/>
      </w:pPr>
      <w:r>
        <w:rPr>
          <w:rFonts w:hint="eastAsia"/>
        </w:rPr>
        <w:t>2.发生紧急抢修事故的，施工单位接到事故通知后，应于1小时内赶到事故现场进行抢修。</w:t>
      </w:r>
    </w:p>
    <w:p>
      <w:pPr>
        <w:pStyle w:val="56"/>
        <w:spacing w:line="300" w:lineRule="auto"/>
        <w:ind w:firstLine="420"/>
      </w:pPr>
      <w:r>
        <w:rPr>
          <w:rFonts w:hint="eastAsia"/>
        </w:rPr>
        <w:t>四、工程质量缺陷保修费用</w:t>
      </w:r>
    </w:p>
    <w:p>
      <w:pPr>
        <w:pStyle w:val="56"/>
        <w:spacing w:line="300" w:lineRule="auto"/>
        <w:ind w:firstLine="420"/>
      </w:pPr>
      <w:r>
        <w:rPr>
          <w:rFonts w:hint="eastAsia"/>
        </w:rPr>
        <w:t>工程质量保修费用及相关的损害赔偿责任由造成质量缺陷的责任方承担，并由施工单位负责缴纳。</w:t>
      </w:r>
    </w:p>
    <w:p>
      <w:pPr>
        <w:pStyle w:val="56"/>
        <w:spacing w:line="300" w:lineRule="auto"/>
        <w:ind w:firstLine="420"/>
      </w:pPr>
    </w:p>
    <w:p>
      <w:pPr>
        <w:pStyle w:val="56"/>
        <w:spacing w:line="300" w:lineRule="auto"/>
        <w:ind w:firstLine="420"/>
      </w:pPr>
      <w:r>
        <w:rPr>
          <w:rFonts w:hint="eastAsia"/>
        </w:rPr>
        <w:t xml:space="preserve">施工单位 (公章) ：   </w:t>
      </w:r>
      <w:r>
        <w:t xml:space="preserve">                    </w:t>
      </w:r>
      <w:r>
        <w:rPr>
          <w:rFonts w:hint="eastAsia"/>
        </w:rPr>
        <w:t>运营单位(公章)：</w:t>
      </w:r>
    </w:p>
    <w:p>
      <w:pPr>
        <w:pStyle w:val="56"/>
        <w:spacing w:line="300" w:lineRule="auto"/>
        <w:ind w:firstLine="420"/>
      </w:pPr>
      <w:r>
        <w:rPr>
          <w:rFonts w:hint="eastAsia"/>
        </w:rPr>
        <w:t xml:space="preserve">法定代表人(签字) ：   </w:t>
      </w:r>
      <w:r>
        <w:t xml:space="preserve">                   </w:t>
      </w:r>
      <w:r>
        <w:rPr>
          <w:rFonts w:hint="eastAsia"/>
        </w:rPr>
        <w:t>法定代表人(签字)：</w:t>
      </w:r>
    </w:p>
    <w:p>
      <w:pPr>
        <w:pStyle w:val="56"/>
        <w:spacing w:line="300" w:lineRule="auto"/>
        <w:ind w:firstLine="735" w:firstLineChars="350"/>
      </w:pPr>
      <w:r>
        <w:rPr>
          <w:rFonts w:hint="eastAsia"/>
        </w:rPr>
        <w:t xml:space="preserve">年  月  日              </w:t>
      </w:r>
      <w:r>
        <w:t xml:space="preserve">                   </w:t>
      </w:r>
      <w:r>
        <w:rPr>
          <w:rFonts w:hint="eastAsia"/>
        </w:rPr>
        <w:t>年  月  日</w:t>
      </w:r>
    </w:p>
    <w:p>
      <w:pPr>
        <w:pStyle w:val="56"/>
        <w:ind w:firstLine="420"/>
        <w:sectPr>
          <w:pgSz w:w="11906" w:h="16838"/>
          <w:pgMar w:top="1928" w:right="1134" w:bottom="1134" w:left="1134" w:header="1418" w:footer="1134" w:gutter="284"/>
          <w:cols w:space="425" w:num="1"/>
          <w:formProt w:val="0"/>
          <w:docGrid w:type="lines" w:linePitch="312" w:charSpace="0"/>
        </w:sectPr>
      </w:pPr>
    </w:p>
    <w:p>
      <w:pPr>
        <w:pStyle w:val="198"/>
        <w:rPr>
          <w:vanish w:val="0"/>
        </w:rPr>
      </w:pPr>
    </w:p>
    <w:p>
      <w:pPr>
        <w:pStyle w:val="199"/>
        <w:rPr>
          <w:vanish w:val="0"/>
        </w:rPr>
      </w:pPr>
    </w:p>
    <w:p>
      <w:pPr>
        <w:pStyle w:val="198"/>
        <w:rPr>
          <w:vanish w:val="0"/>
        </w:rPr>
      </w:pPr>
    </w:p>
    <w:p>
      <w:pPr>
        <w:pStyle w:val="199"/>
        <w:rPr>
          <w:vanish w:val="0"/>
        </w:rPr>
      </w:pPr>
    </w:p>
    <w:p>
      <w:pPr>
        <w:pStyle w:val="76"/>
        <w:spacing w:after="156"/>
      </w:pPr>
      <w:r>
        <w:br w:type="textWrapping"/>
      </w:r>
      <w:bookmarkStart w:id="101" w:name="_Toc155974793"/>
      <w:r>
        <w:rPr>
          <w:rFonts w:hint="eastAsia"/>
        </w:rPr>
        <w:t>（资料性）</w:t>
      </w:r>
      <w:r>
        <w:br w:type="textWrapping"/>
      </w:r>
      <w:r>
        <w:rPr>
          <w:rFonts w:hint="eastAsia"/>
        </w:rPr>
        <w:t>二次供水设施委托运营协议（范本）</w:t>
      </w:r>
      <w:bookmarkEnd w:id="101"/>
    </w:p>
    <w:p>
      <w:pPr>
        <w:pStyle w:val="56"/>
        <w:spacing w:line="360" w:lineRule="auto"/>
        <w:ind w:firstLine="420"/>
      </w:pPr>
      <w:r>
        <w:rPr>
          <w:rFonts w:hint="eastAsia"/>
        </w:rPr>
        <w:t>甲方（业委会）：</w:t>
      </w:r>
    </w:p>
    <w:p>
      <w:pPr>
        <w:pStyle w:val="56"/>
        <w:spacing w:line="360" w:lineRule="auto"/>
        <w:ind w:firstLine="420"/>
      </w:pPr>
      <w:r>
        <w:rPr>
          <w:rFonts w:hint="eastAsia"/>
        </w:rPr>
        <w:t>（物业管理机构）：</w:t>
      </w:r>
    </w:p>
    <w:p>
      <w:pPr>
        <w:pStyle w:val="56"/>
        <w:spacing w:line="360" w:lineRule="auto"/>
        <w:ind w:firstLine="420"/>
      </w:pPr>
      <w:r>
        <w:rPr>
          <w:rFonts w:hint="eastAsia"/>
        </w:rPr>
        <w:t>乙方（供水企业）：</w:t>
      </w:r>
    </w:p>
    <w:p>
      <w:pPr>
        <w:pStyle w:val="56"/>
        <w:spacing w:line="360" w:lineRule="auto"/>
        <w:ind w:firstLine="420"/>
      </w:pPr>
      <w:r>
        <w:rPr>
          <w:rFonts w:hint="eastAsia"/>
        </w:rPr>
        <w:t>丙方（建设单位）：</w:t>
      </w:r>
    </w:p>
    <w:p>
      <w:pPr>
        <w:pStyle w:val="56"/>
        <w:spacing w:line="360" w:lineRule="auto"/>
        <w:ind w:firstLine="420"/>
      </w:pPr>
      <w:r>
        <w:rPr>
          <w:rFonts w:hint="eastAsia"/>
        </w:rPr>
        <w:t>居民小区的生活二次供水设施经提标改造验收合格后，可移交供水企业统一维护管理。甲方将小区生活二次供水设施移交给乙方维护管理，甲、乙、丙三方就移交运营维护管理等事宜达成如下一致意见，签订本协议。</w:t>
      </w:r>
    </w:p>
    <w:p>
      <w:pPr>
        <w:pStyle w:val="56"/>
        <w:spacing w:line="360" w:lineRule="auto"/>
        <w:ind w:firstLine="422"/>
        <w:rPr>
          <w:b/>
          <w:bCs/>
        </w:rPr>
      </w:pPr>
      <w:r>
        <w:rPr>
          <w:rFonts w:hint="eastAsia"/>
          <w:b/>
          <w:bCs/>
        </w:rPr>
        <w:t>第一条 移交</w:t>
      </w:r>
    </w:p>
    <w:p>
      <w:pPr>
        <w:pStyle w:val="56"/>
        <w:spacing w:line="360" w:lineRule="auto"/>
        <w:ind w:firstLine="422"/>
      </w:pPr>
      <w:r>
        <w:rPr>
          <w:rFonts w:hint="eastAsia"/>
          <w:b/>
          <w:bCs/>
        </w:rPr>
        <w:t>1.1</w:t>
      </w:r>
      <w:r>
        <w:rPr>
          <w:rFonts w:hint="eastAsia"/>
        </w:rPr>
        <w:t xml:space="preserve"> 移交时间：甲、乙、丙三方应在提标改造工程验收合格三个月内完成移交。</w:t>
      </w:r>
    </w:p>
    <w:p>
      <w:pPr>
        <w:pStyle w:val="56"/>
        <w:spacing w:line="360" w:lineRule="auto"/>
        <w:ind w:firstLine="422"/>
      </w:pPr>
      <w:r>
        <w:rPr>
          <w:rFonts w:hint="eastAsia"/>
          <w:b/>
          <w:bCs/>
        </w:rPr>
        <w:t>1.2</w:t>
      </w:r>
      <w:r>
        <w:rPr>
          <w:rFonts w:hint="eastAsia"/>
        </w:rPr>
        <w:t xml:space="preserve"> 移交内容：本协议生效之日起，甲方将</w:t>
      </w:r>
      <w:r>
        <w:rPr>
          <w:rFonts w:hint="eastAsia"/>
          <w:u w:val="single"/>
        </w:rPr>
        <w:t xml:space="preserve">  </w:t>
      </w:r>
      <w:r>
        <w:rPr>
          <w:u w:val="single"/>
        </w:rPr>
        <w:t xml:space="preserve">     </w:t>
      </w:r>
      <w:r>
        <w:rPr>
          <w:rFonts w:hint="eastAsia"/>
          <w:u w:val="single"/>
        </w:rPr>
        <w:t xml:space="preserve">     </w:t>
      </w:r>
      <w:r>
        <w:rPr>
          <w:rFonts w:hint="eastAsia"/>
        </w:rPr>
        <w:t>小区管理范围区内的生活二次供水设施移交给乙方实施统一的维护管理，移交范围包括：生活泵房建筑物内墙及内部空间（单体泵房则包括生活泵房建筑物整体）、生活水池（箱）、泵房内生活供水管道及附属设施、生活水泵机电设备、生活泵房内供电线路、仪器仪表及网络设备等。生活与消防不能有效分离的二次供水设施不移交。</w:t>
      </w:r>
    </w:p>
    <w:p>
      <w:pPr>
        <w:pStyle w:val="56"/>
        <w:spacing w:line="360" w:lineRule="auto"/>
        <w:ind w:firstLine="422"/>
      </w:pPr>
      <w:r>
        <w:rPr>
          <w:rFonts w:hint="eastAsia"/>
          <w:b/>
          <w:bCs/>
        </w:rPr>
        <w:t>1.3</w:t>
      </w:r>
      <w:r>
        <w:rPr>
          <w:rFonts w:hint="eastAsia"/>
        </w:rPr>
        <w:t xml:space="preserve"> 甲方保证移交供水企业维护管理的生活二次供水设施不存在任何权益纠纷。否则，甲方将承但一切责任。</w:t>
      </w:r>
    </w:p>
    <w:p>
      <w:pPr>
        <w:pStyle w:val="56"/>
        <w:spacing w:line="360" w:lineRule="auto"/>
        <w:ind w:firstLine="422"/>
      </w:pPr>
      <w:r>
        <w:rPr>
          <w:rFonts w:hint="eastAsia"/>
          <w:b/>
          <w:bCs/>
        </w:rPr>
        <w:t>1.4</w:t>
      </w:r>
      <w:r>
        <w:rPr>
          <w:rFonts w:hint="eastAsia"/>
        </w:rPr>
        <w:t xml:space="preserve"> 消防泵房、消防设施设备、消防专用管网和附属设施、消防仪表及供电线路等不移交。整个消防系统、生活与消防不能有效分离的二次供水设施由甲方负责运行维护并保证其完好性，产生的相关费用由甲方承担。</w:t>
      </w:r>
    </w:p>
    <w:p>
      <w:pPr>
        <w:pStyle w:val="56"/>
        <w:spacing w:line="360" w:lineRule="auto"/>
        <w:ind w:firstLine="422"/>
      </w:pPr>
      <w:r>
        <w:rPr>
          <w:rFonts w:hint="eastAsia"/>
          <w:b/>
          <w:bCs/>
        </w:rPr>
        <w:t>1.5</w:t>
      </w:r>
      <w:r>
        <w:rPr>
          <w:rFonts w:hint="eastAsia"/>
        </w:rPr>
        <w:t xml:space="preserve"> 甲方不得以任何名义向乙方索要租金、物业管理费等。</w:t>
      </w:r>
    </w:p>
    <w:p>
      <w:pPr>
        <w:pStyle w:val="56"/>
        <w:spacing w:line="360" w:lineRule="auto"/>
        <w:ind w:firstLine="422"/>
      </w:pPr>
      <w:r>
        <w:rPr>
          <w:rFonts w:hint="eastAsia"/>
          <w:b/>
          <w:bCs/>
        </w:rPr>
        <w:t>1.6</w:t>
      </w:r>
      <w:r>
        <w:rPr>
          <w:rFonts w:hint="eastAsia"/>
        </w:rPr>
        <w:t xml:space="preserve"> 本协议生效后，除市政规划外,任何单位不得就生活二次供水设施提出搬迁、拆除要求。</w:t>
      </w:r>
    </w:p>
    <w:p>
      <w:pPr>
        <w:pStyle w:val="56"/>
        <w:spacing w:line="360" w:lineRule="auto"/>
        <w:ind w:firstLine="422"/>
      </w:pPr>
      <w:r>
        <w:rPr>
          <w:rFonts w:hint="eastAsia"/>
          <w:b/>
        </w:rPr>
        <w:t>第二条</w:t>
      </w:r>
      <w:r>
        <w:rPr>
          <w:rFonts w:hint="eastAsia"/>
        </w:rPr>
        <w:t xml:space="preserve"> 提标改造验收合格后，质保期内，乙方仅负责生活二次供水设施日常的运营管理，因设施、设备质量问题导致故障由丙方负责处理；质保期结束后，乙方负责生活二次供水设施的维修维护及日常管理工作。质保期自生活二次供水设施提标改造验收合格并经乙方、丙方与建设单位签字盖章之日起算，为期两年。</w:t>
      </w:r>
    </w:p>
    <w:p>
      <w:pPr>
        <w:pStyle w:val="56"/>
        <w:spacing w:line="360" w:lineRule="auto"/>
        <w:ind w:firstLine="422"/>
      </w:pPr>
      <w:r>
        <w:rPr>
          <w:rFonts w:hint="eastAsia"/>
          <w:b/>
          <w:bCs/>
        </w:rPr>
        <w:t>第三条</w:t>
      </w:r>
      <w:r>
        <w:rPr>
          <w:rFonts w:hint="eastAsia"/>
        </w:rPr>
        <w:t xml:space="preserve"> 质保期内，丙方不能及时进行二次供水设施质量问题维修时，为保障居民生活供水，由乙方负责组织维修，所产生的费用由丙方承担，或由丙方在提标改造工程质保金中予以扣除。</w:t>
      </w:r>
    </w:p>
    <w:p>
      <w:pPr>
        <w:pStyle w:val="56"/>
        <w:spacing w:line="360" w:lineRule="auto"/>
        <w:ind w:firstLine="422"/>
      </w:pPr>
      <w:r>
        <w:rPr>
          <w:rFonts w:hint="eastAsia"/>
          <w:b/>
          <w:bCs/>
        </w:rPr>
        <w:t>第四条</w:t>
      </w:r>
      <w:r>
        <w:rPr>
          <w:rFonts w:hint="eastAsia"/>
        </w:rPr>
        <w:t xml:space="preserve"> 生活二次供水设施运行所产生的电费按原渠道从物业管理费中直接向供电部门支付。</w:t>
      </w:r>
    </w:p>
    <w:p>
      <w:pPr>
        <w:pStyle w:val="56"/>
        <w:spacing w:line="360" w:lineRule="auto"/>
        <w:ind w:firstLine="422"/>
      </w:pPr>
      <w:r>
        <w:rPr>
          <w:rFonts w:hint="eastAsia"/>
          <w:b/>
          <w:bCs/>
        </w:rPr>
        <w:t>第五条</w:t>
      </w:r>
      <w:r>
        <w:rPr>
          <w:rFonts w:hint="eastAsia"/>
        </w:rPr>
        <w:t xml:space="preserve"> 甲方应保证已依法取得向乙方移交生活二次供水设施的维护管理所需的授权，确保所在小区业主同意本协议各项条款。</w:t>
      </w:r>
    </w:p>
    <w:p>
      <w:pPr>
        <w:pStyle w:val="56"/>
        <w:spacing w:line="360" w:lineRule="auto"/>
        <w:ind w:firstLine="422"/>
        <w:rPr>
          <w:b/>
          <w:bCs/>
        </w:rPr>
      </w:pPr>
      <w:r>
        <w:rPr>
          <w:rFonts w:hint="eastAsia"/>
          <w:b/>
          <w:bCs/>
        </w:rPr>
        <w:t>第六条 各方职责和权利</w:t>
      </w:r>
    </w:p>
    <w:p>
      <w:pPr>
        <w:pStyle w:val="56"/>
        <w:spacing w:line="360" w:lineRule="auto"/>
        <w:ind w:firstLine="422"/>
        <w:rPr>
          <w:b/>
          <w:bCs/>
        </w:rPr>
      </w:pPr>
      <w:r>
        <w:rPr>
          <w:rFonts w:hint="eastAsia"/>
          <w:b/>
          <w:bCs/>
        </w:rPr>
        <w:t>5.1 甲方职责</w:t>
      </w:r>
    </w:p>
    <w:p>
      <w:pPr>
        <w:pStyle w:val="56"/>
        <w:spacing w:line="360" w:lineRule="auto"/>
        <w:ind w:firstLine="420"/>
      </w:pPr>
      <w:r>
        <w:rPr>
          <w:rFonts w:hint="eastAsia"/>
        </w:rPr>
        <w:t>5.1.1 依法主动开展生活二次供水设施移交工作，并协助乙方与小区内用户签订用水扣费协议；</w:t>
      </w:r>
    </w:p>
    <w:p>
      <w:pPr>
        <w:pStyle w:val="56"/>
        <w:spacing w:line="360" w:lineRule="auto"/>
        <w:ind w:firstLine="420"/>
      </w:pPr>
      <w:r>
        <w:rPr>
          <w:rFonts w:hint="eastAsia"/>
        </w:rPr>
        <w:t>5.1.2 负责小区内消防系统的管理、维护，保证消防系统安全稳定运行并处于完好状态；</w:t>
      </w:r>
    </w:p>
    <w:p>
      <w:pPr>
        <w:pStyle w:val="56"/>
        <w:spacing w:line="360" w:lineRule="auto"/>
        <w:ind w:firstLine="420"/>
      </w:pPr>
      <w:r>
        <w:rPr>
          <w:rFonts w:hint="eastAsia"/>
        </w:rPr>
        <w:t>5.1.3 二次供水运行电费按原渠道从物业管理费中直接向供电部门支付；</w:t>
      </w:r>
    </w:p>
    <w:p>
      <w:pPr>
        <w:pStyle w:val="56"/>
        <w:spacing w:line="360" w:lineRule="auto"/>
        <w:ind w:firstLine="420"/>
      </w:pPr>
      <w:r>
        <w:rPr>
          <w:rFonts w:hint="eastAsia"/>
        </w:rPr>
        <w:t>5.1.4 将泵房及周边纳入小区物业正常的安全巡查范畴，确保泵房及水池周边无堆放杂物、垃圾、及排放污水等行为；确保泵房大门口出入畅通，无杂物堆放；发现二次供水异常应立即通知乙方；发现人为故意破坏等违法行为，应立即通知乙方并拨打110报警。</w:t>
      </w:r>
    </w:p>
    <w:p>
      <w:pPr>
        <w:pStyle w:val="56"/>
        <w:spacing w:line="360" w:lineRule="auto"/>
        <w:ind w:firstLine="420"/>
      </w:pPr>
      <w:r>
        <w:rPr>
          <w:rFonts w:hint="eastAsia"/>
        </w:rPr>
        <w:t>5.1.5 配合乙方做好二次供水设施的维护管理和事故抢修工作，配合丙方做好质保期内二次供水设施的维修工作，提供必要的支持。</w:t>
      </w:r>
    </w:p>
    <w:p>
      <w:pPr>
        <w:pStyle w:val="56"/>
        <w:spacing w:line="360" w:lineRule="auto"/>
        <w:ind w:firstLine="420"/>
      </w:pPr>
      <w:r>
        <w:rPr>
          <w:rFonts w:hint="eastAsia"/>
        </w:rPr>
        <w:t>5.1.6 不向乙方、丙方进入小区的巡查和维修车辆收取停车费。</w:t>
      </w:r>
    </w:p>
    <w:p>
      <w:pPr>
        <w:pStyle w:val="56"/>
        <w:spacing w:line="360" w:lineRule="auto"/>
        <w:ind w:firstLine="422"/>
        <w:rPr>
          <w:b/>
          <w:bCs/>
        </w:rPr>
      </w:pPr>
      <w:r>
        <w:rPr>
          <w:rFonts w:hint="eastAsia"/>
          <w:b/>
          <w:bCs/>
        </w:rPr>
        <w:t>5.2 甲方权利</w:t>
      </w:r>
    </w:p>
    <w:p>
      <w:pPr>
        <w:pStyle w:val="56"/>
        <w:spacing w:line="360" w:lineRule="auto"/>
        <w:ind w:firstLine="420"/>
      </w:pPr>
      <w:r>
        <w:rPr>
          <w:rFonts w:hint="eastAsia"/>
        </w:rPr>
        <w:t>5.2.1 使用安全优质自来水的权利；</w:t>
      </w:r>
    </w:p>
    <w:p>
      <w:pPr>
        <w:pStyle w:val="56"/>
        <w:spacing w:line="360" w:lineRule="auto"/>
        <w:ind w:firstLine="420"/>
      </w:pPr>
      <w:r>
        <w:rPr>
          <w:rFonts w:hint="eastAsia"/>
        </w:rPr>
        <w:t>5.2.2 监督乙方履行二次供水设施日常维护管理的权利；</w:t>
      </w:r>
    </w:p>
    <w:p>
      <w:pPr>
        <w:pStyle w:val="56"/>
        <w:spacing w:line="360" w:lineRule="auto"/>
        <w:ind w:firstLine="420"/>
      </w:pPr>
      <w:r>
        <w:rPr>
          <w:rFonts w:hint="eastAsia"/>
        </w:rPr>
        <w:t>5.2.3 检查二次供水设施安全稳定运行和完好性的权利。</w:t>
      </w:r>
    </w:p>
    <w:p>
      <w:pPr>
        <w:pStyle w:val="56"/>
        <w:spacing w:line="360" w:lineRule="auto"/>
        <w:ind w:firstLine="422"/>
        <w:rPr>
          <w:b/>
          <w:bCs/>
        </w:rPr>
      </w:pPr>
      <w:r>
        <w:rPr>
          <w:rFonts w:hint="eastAsia"/>
          <w:b/>
          <w:bCs/>
        </w:rPr>
        <w:t>5.3 乙方职责</w:t>
      </w:r>
    </w:p>
    <w:p>
      <w:pPr>
        <w:pStyle w:val="56"/>
        <w:spacing w:line="360" w:lineRule="auto"/>
        <w:ind w:firstLine="420"/>
      </w:pPr>
      <w:r>
        <w:rPr>
          <w:rFonts w:hint="eastAsia"/>
        </w:rPr>
        <w:t>5.3.1 负责生活二次供水设施巡检、维护、维修、更新，保障设施安全稳定运行和完好性；</w:t>
      </w:r>
    </w:p>
    <w:p>
      <w:pPr>
        <w:pStyle w:val="56"/>
        <w:spacing w:line="360" w:lineRule="auto"/>
        <w:ind w:firstLine="420"/>
      </w:pPr>
      <w:r>
        <w:rPr>
          <w:rFonts w:hint="eastAsia"/>
        </w:rPr>
        <w:t>5.3.2 保障小区供水水质和供水安全。</w:t>
      </w:r>
    </w:p>
    <w:p>
      <w:pPr>
        <w:pStyle w:val="56"/>
        <w:spacing w:line="360" w:lineRule="auto"/>
        <w:ind w:firstLine="420"/>
      </w:pPr>
      <w:r>
        <w:rPr>
          <w:rFonts w:hint="eastAsia"/>
        </w:rPr>
        <w:t>5.3.3 对生活二次供水设施实施计划停水维修应提前24小时通知甲方和用户，故障抢修停水应及时通知甲方和用户；</w:t>
      </w:r>
    </w:p>
    <w:p>
      <w:pPr>
        <w:pStyle w:val="56"/>
        <w:spacing w:line="360" w:lineRule="auto"/>
        <w:ind w:firstLine="420"/>
      </w:pPr>
      <w:r>
        <w:rPr>
          <w:rFonts w:hint="eastAsia"/>
        </w:rPr>
        <w:t>5.3.4 定期组织生活水池（箱）清洗消毒并取得水质检查合格报告；</w:t>
      </w:r>
    </w:p>
    <w:p>
      <w:pPr>
        <w:pStyle w:val="56"/>
        <w:spacing w:line="360" w:lineRule="auto"/>
        <w:ind w:firstLine="420"/>
      </w:pPr>
      <w:r>
        <w:rPr>
          <w:rFonts w:hint="eastAsia"/>
        </w:rPr>
        <w:t>5.3.5 承担生活二次供水设施的日常维修维护和更新改造等费用的支出(消防系统除外)；</w:t>
      </w:r>
    </w:p>
    <w:p>
      <w:pPr>
        <w:pStyle w:val="56"/>
        <w:spacing w:line="360" w:lineRule="auto"/>
        <w:ind w:firstLine="420"/>
      </w:pPr>
      <w:r>
        <w:rPr>
          <w:rFonts w:hint="eastAsia"/>
        </w:rPr>
        <w:t>5.3.6 质保期内，丙方或设备供应商未及时履行维修职责，为保障居民生活供水，乙方应先行组织维修并向丙方要求相关费用。</w:t>
      </w:r>
    </w:p>
    <w:p>
      <w:pPr>
        <w:pStyle w:val="56"/>
        <w:spacing w:line="360" w:lineRule="auto"/>
        <w:ind w:firstLine="420"/>
      </w:pPr>
      <w:r>
        <w:rPr>
          <w:rFonts w:hint="eastAsia"/>
        </w:rPr>
        <w:t>5.3.7 接到甲方的投诉或合理诉求后，于供水服务承诺的时间内予以处理并给予及时反馈；</w:t>
      </w:r>
    </w:p>
    <w:p>
      <w:pPr>
        <w:pStyle w:val="56"/>
        <w:spacing w:line="360" w:lineRule="auto"/>
        <w:ind w:firstLine="420"/>
      </w:pPr>
      <w:r>
        <w:rPr>
          <w:rFonts w:hint="eastAsia"/>
        </w:rPr>
        <w:t>5.3.8 通过不断改进技术措施和管理措施，提升供水保障能力和服务水平。</w:t>
      </w:r>
    </w:p>
    <w:p>
      <w:pPr>
        <w:pStyle w:val="56"/>
        <w:spacing w:line="360" w:lineRule="auto"/>
        <w:ind w:firstLine="422"/>
        <w:rPr>
          <w:b/>
          <w:bCs/>
        </w:rPr>
      </w:pPr>
      <w:r>
        <w:rPr>
          <w:rFonts w:hint="eastAsia"/>
          <w:b/>
          <w:bCs/>
        </w:rPr>
        <w:t>5.4 乙方权利</w:t>
      </w:r>
    </w:p>
    <w:p>
      <w:pPr>
        <w:pStyle w:val="56"/>
        <w:spacing w:line="360" w:lineRule="auto"/>
        <w:ind w:firstLine="420"/>
      </w:pPr>
      <w:r>
        <w:rPr>
          <w:rFonts w:hint="eastAsia"/>
        </w:rPr>
        <w:t>5.4.1 对接收移交的二次供水设施具有使用、维护、管理及更新重置的权利；</w:t>
      </w:r>
    </w:p>
    <w:p>
      <w:pPr>
        <w:pStyle w:val="56"/>
        <w:spacing w:line="360" w:lineRule="auto"/>
        <w:ind w:firstLine="420"/>
      </w:pPr>
      <w:r>
        <w:rPr>
          <w:rFonts w:hint="eastAsia"/>
        </w:rPr>
        <w:t>5.4.2 日常维护管理和抢修抢险过程中，取得甲方配合的权利。</w:t>
      </w:r>
    </w:p>
    <w:p>
      <w:pPr>
        <w:pStyle w:val="56"/>
        <w:spacing w:line="360" w:lineRule="auto"/>
        <w:ind w:firstLine="420"/>
      </w:pPr>
      <w:r>
        <w:rPr>
          <w:rFonts w:hint="eastAsia"/>
        </w:rPr>
        <w:t>5.4.3 乙方按5.3.6规定先行组织维修，丙方拒不支付相关费用的，乙方可要求建设单位在提标改造工程质保金中予以扣除。</w:t>
      </w:r>
    </w:p>
    <w:p>
      <w:pPr>
        <w:pStyle w:val="56"/>
        <w:spacing w:line="360" w:lineRule="auto"/>
        <w:ind w:firstLine="422"/>
        <w:rPr>
          <w:b/>
          <w:bCs/>
        </w:rPr>
      </w:pPr>
      <w:r>
        <w:rPr>
          <w:rFonts w:hint="eastAsia"/>
          <w:b/>
          <w:bCs/>
        </w:rPr>
        <w:t>5.5 丙方职责</w:t>
      </w:r>
    </w:p>
    <w:p>
      <w:pPr>
        <w:pStyle w:val="56"/>
        <w:spacing w:line="360" w:lineRule="auto"/>
        <w:ind w:firstLine="420"/>
      </w:pPr>
      <w:r>
        <w:rPr>
          <w:rFonts w:hint="eastAsia"/>
        </w:rPr>
        <w:t>5.5.1 按照建设单位组织的现场验收和竣工验收意见限期整改，确保生活二次供水设施符合相关标准和规程要求，具备移交条件；</w:t>
      </w:r>
    </w:p>
    <w:p>
      <w:pPr>
        <w:pStyle w:val="56"/>
        <w:spacing w:line="360" w:lineRule="auto"/>
        <w:ind w:firstLine="420"/>
      </w:pPr>
      <w:r>
        <w:rPr>
          <w:rFonts w:hint="eastAsia"/>
        </w:rPr>
        <w:t>5.5.2 将提标改造工程有关的设计、施工、验收文件以及电子版文件完整归档，移交乙方保管；</w:t>
      </w:r>
    </w:p>
    <w:p>
      <w:pPr>
        <w:pStyle w:val="56"/>
        <w:spacing w:line="360" w:lineRule="auto"/>
        <w:ind w:firstLine="420"/>
      </w:pPr>
      <w:r>
        <w:rPr>
          <w:rFonts w:hint="eastAsia"/>
        </w:rPr>
        <w:t>5.5.3 积极协助甲、乙双方完成移交；</w:t>
      </w:r>
    </w:p>
    <w:p>
      <w:pPr>
        <w:pStyle w:val="56"/>
        <w:spacing w:line="360" w:lineRule="auto"/>
        <w:ind w:firstLine="420"/>
      </w:pPr>
      <w:r>
        <w:rPr>
          <w:rFonts w:hint="eastAsia"/>
        </w:rPr>
        <w:t>5.5.4 质保期内，负责或要求设备供应商对二次供水设施质量问题及时进行维修整改，承担维修费用。</w:t>
      </w:r>
    </w:p>
    <w:p>
      <w:pPr>
        <w:pStyle w:val="56"/>
        <w:spacing w:line="360" w:lineRule="auto"/>
        <w:ind w:firstLine="422"/>
        <w:rPr>
          <w:b/>
          <w:bCs/>
        </w:rPr>
      </w:pPr>
      <w:r>
        <w:rPr>
          <w:rFonts w:hint="eastAsia"/>
          <w:b/>
          <w:bCs/>
        </w:rPr>
        <w:t>5.6 丙方权利</w:t>
      </w:r>
    </w:p>
    <w:p>
      <w:pPr>
        <w:pStyle w:val="56"/>
        <w:spacing w:line="360" w:lineRule="auto"/>
        <w:ind w:firstLine="420"/>
      </w:pPr>
      <w:r>
        <w:rPr>
          <w:rFonts w:hint="eastAsia"/>
        </w:rPr>
        <w:t>5.6.1 质保期结束后，依法取得剩余的工程质保金。</w:t>
      </w:r>
    </w:p>
    <w:p>
      <w:pPr>
        <w:pStyle w:val="56"/>
        <w:spacing w:line="360" w:lineRule="auto"/>
        <w:ind w:firstLine="422"/>
      </w:pPr>
      <w:r>
        <w:rPr>
          <w:rFonts w:hint="eastAsia"/>
          <w:b/>
          <w:bCs/>
        </w:rPr>
        <w:t xml:space="preserve">第六条 </w:t>
      </w:r>
      <w:r>
        <w:rPr>
          <w:rFonts w:hint="eastAsia"/>
        </w:rPr>
        <w:t>政府水务主管部门和建设主管部门负责协调移交过程中政策问题，检查移交工作进展，督促甲、乙、丙三方依法进行移交。</w:t>
      </w:r>
    </w:p>
    <w:p>
      <w:pPr>
        <w:pStyle w:val="56"/>
        <w:spacing w:line="360" w:lineRule="auto"/>
        <w:ind w:firstLine="422"/>
      </w:pPr>
      <w:r>
        <w:rPr>
          <w:rFonts w:hint="eastAsia"/>
          <w:b/>
          <w:bCs/>
        </w:rPr>
        <w:t>第七条</w:t>
      </w:r>
      <w:r>
        <w:rPr>
          <w:rFonts w:hint="eastAsia"/>
        </w:rPr>
        <w:t xml:space="preserve"> 关于二次供水设施移交之前的一切债务纠纷由甲方承担。</w:t>
      </w:r>
    </w:p>
    <w:p>
      <w:pPr>
        <w:pStyle w:val="56"/>
        <w:spacing w:line="360" w:lineRule="auto"/>
        <w:ind w:firstLine="422"/>
      </w:pPr>
      <w:r>
        <w:rPr>
          <w:rFonts w:hint="eastAsia"/>
          <w:b/>
          <w:bCs/>
        </w:rPr>
        <w:t>第八条</w:t>
      </w:r>
      <w:r>
        <w:rPr>
          <w:rFonts w:hint="eastAsia"/>
        </w:rPr>
        <w:t xml:space="preserve"> 因本协议引起的一切纠纷，三方应协商解决，协商不成时，应将纠纷提交甲方所在</w:t>
      </w:r>
    </w:p>
    <w:p>
      <w:pPr>
        <w:pStyle w:val="56"/>
        <w:spacing w:line="360" w:lineRule="auto"/>
        <w:ind w:firstLine="420"/>
      </w:pPr>
      <w:r>
        <w:rPr>
          <w:rFonts w:hint="eastAsia"/>
        </w:rPr>
        <w:t>地人民法院。</w:t>
      </w:r>
    </w:p>
    <w:p>
      <w:pPr>
        <w:pStyle w:val="56"/>
        <w:spacing w:line="360" w:lineRule="auto"/>
        <w:ind w:firstLine="422"/>
      </w:pPr>
      <w:r>
        <w:rPr>
          <w:rFonts w:hint="eastAsia"/>
          <w:b/>
          <w:bCs/>
        </w:rPr>
        <w:t>第九条</w:t>
      </w:r>
      <w:r>
        <w:rPr>
          <w:rFonts w:hint="eastAsia"/>
        </w:rPr>
        <w:t xml:space="preserve"> 本协议一式六份，甲、乙、丙三方各两份，每份都具同等法律效力。</w:t>
      </w:r>
    </w:p>
    <w:p>
      <w:pPr>
        <w:pStyle w:val="56"/>
        <w:spacing w:line="360" w:lineRule="auto"/>
        <w:ind w:firstLine="422"/>
      </w:pPr>
      <w:r>
        <w:rPr>
          <w:rFonts w:hint="eastAsia"/>
          <w:b/>
          <w:bCs/>
        </w:rPr>
        <w:t xml:space="preserve">第十条 </w:t>
      </w:r>
      <w:r>
        <w:rPr>
          <w:rFonts w:hint="eastAsia"/>
        </w:rPr>
        <w:t>本协议自甲、乙、丙三方签字盖章之日起生效。</w:t>
      </w:r>
    </w:p>
    <w:p>
      <w:pPr>
        <w:pStyle w:val="56"/>
        <w:spacing w:line="360" w:lineRule="auto"/>
        <w:ind w:firstLine="420"/>
      </w:pPr>
    </w:p>
    <w:p>
      <w:pPr>
        <w:pStyle w:val="56"/>
        <w:spacing w:line="360" w:lineRule="auto"/>
        <w:ind w:firstLine="420"/>
      </w:pPr>
      <w:r>
        <w:rPr>
          <w:rFonts w:hint="eastAsia"/>
        </w:rPr>
        <w:t>甲方：(盖章)</w:t>
      </w:r>
    </w:p>
    <w:p>
      <w:pPr>
        <w:pStyle w:val="56"/>
        <w:spacing w:line="360" w:lineRule="auto"/>
        <w:ind w:firstLine="420"/>
      </w:pPr>
      <w:r>
        <w:rPr>
          <w:rFonts w:hint="eastAsia"/>
        </w:rPr>
        <w:t>经办人：</w:t>
      </w:r>
    </w:p>
    <w:p>
      <w:pPr>
        <w:pStyle w:val="56"/>
        <w:spacing w:line="360" w:lineRule="auto"/>
        <w:ind w:firstLine="420"/>
      </w:pPr>
      <w:r>
        <w:rPr>
          <w:rFonts w:hint="eastAsia"/>
        </w:rPr>
        <w:t>代表：</w:t>
      </w:r>
    </w:p>
    <w:p>
      <w:pPr>
        <w:pStyle w:val="56"/>
        <w:spacing w:line="360" w:lineRule="auto"/>
        <w:ind w:firstLine="420"/>
      </w:pPr>
      <w:r>
        <w:rPr>
          <w:rFonts w:hint="eastAsia"/>
        </w:rPr>
        <w:t>日期：</w:t>
      </w:r>
    </w:p>
    <w:p>
      <w:pPr>
        <w:pStyle w:val="56"/>
        <w:spacing w:line="360" w:lineRule="auto"/>
        <w:ind w:firstLine="420"/>
      </w:pPr>
    </w:p>
    <w:p>
      <w:pPr>
        <w:pStyle w:val="56"/>
        <w:spacing w:line="360" w:lineRule="auto"/>
        <w:ind w:firstLine="420"/>
      </w:pPr>
      <w:r>
        <w:rPr>
          <w:rFonts w:hint="eastAsia"/>
        </w:rPr>
        <w:t>乙方：(盖章)</w:t>
      </w:r>
    </w:p>
    <w:p>
      <w:pPr>
        <w:pStyle w:val="56"/>
        <w:spacing w:line="360" w:lineRule="auto"/>
        <w:ind w:firstLine="420"/>
      </w:pPr>
      <w:r>
        <w:rPr>
          <w:rFonts w:hint="eastAsia"/>
        </w:rPr>
        <w:t>经办人：</w:t>
      </w:r>
    </w:p>
    <w:p>
      <w:pPr>
        <w:pStyle w:val="56"/>
        <w:spacing w:line="360" w:lineRule="auto"/>
        <w:ind w:firstLine="420"/>
      </w:pPr>
      <w:r>
        <w:rPr>
          <w:rFonts w:hint="eastAsia"/>
        </w:rPr>
        <w:t>代表：</w:t>
      </w:r>
    </w:p>
    <w:p>
      <w:pPr>
        <w:pStyle w:val="56"/>
        <w:spacing w:line="360" w:lineRule="auto"/>
        <w:ind w:firstLine="420"/>
      </w:pPr>
      <w:r>
        <w:rPr>
          <w:rFonts w:hint="eastAsia"/>
        </w:rPr>
        <w:t>日期：</w:t>
      </w:r>
    </w:p>
    <w:p>
      <w:pPr>
        <w:pStyle w:val="56"/>
        <w:spacing w:line="360" w:lineRule="auto"/>
        <w:ind w:firstLine="420"/>
      </w:pPr>
    </w:p>
    <w:p>
      <w:pPr>
        <w:pStyle w:val="56"/>
        <w:spacing w:line="360" w:lineRule="auto"/>
        <w:ind w:firstLine="420"/>
      </w:pPr>
      <w:r>
        <w:rPr>
          <w:rFonts w:hint="eastAsia"/>
        </w:rPr>
        <w:t>丙方：(盖章)</w:t>
      </w:r>
    </w:p>
    <w:p>
      <w:pPr>
        <w:pStyle w:val="56"/>
        <w:spacing w:line="360" w:lineRule="auto"/>
        <w:ind w:firstLine="420"/>
      </w:pPr>
      <w:r>
        <w:rPr>
          <w:rFonts w:hint="eastAsia"/>
        </w:rPr>
        <w:t>经办人：</w:t>
      </w:r>
    </w:p>
    <w:p>
      <w:pPr>
        <w:pStyle w:val="56"/>
        <w:spacing w:line="360" w:lineRule="auto"/>
        <w:ind w:firstLine="420"/>
      </w:pPr>
      <w:r>
        <w:rPr>
          <w:rFonts w:hint="eastAsia"/>
        </w:rPr>
        <w:t>代表：</w:t>
      </w:r>
    </w:p>
    <w:p>
      <w:pPr>
        <w:pStyle w:val="56"/>
        <w:spacing w:line="360" w:lineRule="auto"/>
        <w:ind w:firstLine="420"/>
      </w:pPr>
      <w:r>
        <w:rPr>
          <w:rFonts w:hint="eastAsia"/>
        </w:rPr>
        <w:t>日期</w:t>
      </w:r>
    </w:p>
    <w:p>
      <w:pPr>
        <w:pStyle w:val="56"/>
        <w:ind w:firstLine="420"/>
      </w:pPr>
    </w:p>
    <w:p>
      <w:pPr>
        <w:pStyle w:val="56"/>
        <w:ind w:firstLine="420"/>
        <w:sectPr>
          <w:pgSz w:w="11906" w:h="16838"/>
          <w:pgMar w:top="1928" w:right="1134" w:bottom="1134" w:left="1134" w:header="1418" w:footer="1134" w:gutter="284"/>
          <w:cols w:space="425" w:num="1"/>
          <w:formProt w:val="0"/>
          <w:docGrid w:type="lines" w:linePitch="312" w:charSpace="0"/>
        </w:sectPr>
      </w:pPr>
    </w:p>
    <w:p>
      <w:pPr>
        <w:pStyle w:val="198"/>
        <w:rPr>
          <w:vanish w:val="0"/>
        </w:rPr>
      </w:pPr>
    </w:p>
    <w:p>
      <w:pPr>
        <w:pStyle w:val="199"/>
        <w:rPr>
          <w:vanish w:val="0"/>
        </w:rPr>
      </w:pPr>
    </w:p>
    <w:p>
      <w:pPr>
        <w:pStyle w:val="76"/>
        <w:spacing w:after="156"/>
      </w:pPr>
      <w:r>
        <w:br w:type="textWrapping"/>
      </w:r>
      <w:bookmarkStart w:id="102" w:name="_Toc155974794"/>
      <w:r>
        <w:rPr>
          <w:rFonts w:hint="eastAsia"/>
        </w:rPr>
        <w:t>（资料性）</w:t>
      </w:r>
      <w:r>
        <w:br w:type="textWrapping"/>
      </w:r>
      <w:r>
        <w:rPr>
          <w:rFonts w:hint="eastAsia"/>
        </w:rPr>
        <w:t>技术档案送审表</w:t>
      </w:r>
      <w:bookmarkEnd w:id="102"/>
    </w:p>
    <w:p>
      <w:pPr>
        <w:pStyle w:val="77"/>
        <w:numPr>
          <w:ilvl w:val="0"/>
          <w:numId w:val="0"/>
        </w:numPr>
        <w:spacing w:before="156" w:after="156"/>
      </w:pPr>
      <w:r>
        <w:rPr>
          <w:rFonts w:hint="eastAsia"/>
        </w:rPr>
        <w:t>表</w:t>
      </w:r>
      <w:r>
        <w:t xml:space="preserve">H.1 </w:t>
      </w:r>
      <w:r>
        <w:rPr>
          <w:rFonts w:hint="eastAsia"/>
        </w:rPr>
        <w:t>技术档案送审表</w:t>
      </w:r>
    </w:p>
    <w:tbl>
      <w:tblPr>
        <w:tblStyle w:val="244"/>
        <w:tblpPr w:leftFromText="180" w:rightFromText="180" w:vertAnchor="text" w:horzAnchor="page" w:tblpX="1285" w:tblpY="73"/>
        <w:tblOverlap w:val="never"/>
        <w:tblW w:w="932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05"/>
        <w:gridCol w:w="66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477" w:hRule="atLeast"/>
        </w:trPr>
        <w:tc>
          <w:tcPr>
            <w:tcW w:w="2705" w:type="dxa"/>
          </w:tcPr>
          <w:p>
            <w:pPr>
              <w:pStyle w:val="243"/>
              <w:spacing w:before="148" w:line="220" w:lineRule="auto"/>
              <w:ind w:left="1000"/>
            </w:pPr>
            <w:r>
              <w:rPr>
                <w:spacing w:val="-3"/>
              </w:rPr>
              <w:t>项目名称</w:t>
            </w:r>
          </w:p>
        </w:tc>
        <w:tc>
          <w:tcPr>
            <w:tcW w:w="6621"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473" w:hRule="atLeast"/>
        </w:trPr>
        <w:tc>
          <w:tcPr>
            <w:tcW w:w="2705" w:type="dxa"/>
          </w:tcPr>
          <w:p>
            <w:pPr>
              <w:pStyle w:val="243"/>
              <w:spacing w:before="144" w:line="212" w:lineRule="auto"/>
              <w:ind w:left="758"/>
              <w:rPr>
                <w:rFonts w:ascii="Times New Roman" w:hAnsi="Times New Roman" w:eastAsia="Times New Roman" w:cs="Times New Roman"/>
              </w:rPr>
            </w:pPr>
            <w:r>
              <w:rPr>
                <w:spacing w:val="-1"/>
              </w:rPr>
              <w:t>送审单位</w:t>
            </w:r>
            <w:r>
              <w:rPr>
                <w:rFonts w:ascii="Times New Roman" w:hAnsi="Times New Roman" w:eastAsia="Times New Roman" w:cs="Times New Roman"/>
                <w:spacing w:val="-1"/>
              </w:rPr>
              <w:t>(</w:t>
            </w:r>
            <w:r>
              <w:rPr>
                <w:spacing w:val="-1"/>
              </w:rPr>
              <w:t>部门</w:t>
            </w:r>
            <w:r>
              <w:rPr>
                <w:rFonts w:ascii="Times New Roman" w:hAnsi="Times New Roman" w:eastAsia="Times New Roman" w:cs="Times New Roman"/>
                <w:spacing w:val="-1"/>
              </w:rPr>
              <w:t>)</w:t>
            </w:r>
          </w:p>
        </w:tc>
        <w:tc>
          <w:tcPr>
            <w:tcW w:w="6621"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0" w:hRule="atLeast"/>
        </w:trPr>
        <w:tc>
          <w:tcPr>
            <w:tcW w:w="2705" w:type="dxa"/>
          </w:tcPr>
          <w:p>
            <w:pPr>
              <w:pStyle w:val="243"/>
              <w:spacing w:before="146" w:line="468" w:lineRule="exact"/>
              <w:ind w:left="915"/>
              <w:rPr>
                <w:lang w:eastAsia="zh-CN"/>
              </w:rPr>
            </w:pPr>
            <w:r>
              <w:rPr>
                <w:spacing w:val="-3"/>
                <w:position w:val="22"/>
                <w:lang w:eastAsia="zh-CN"/>
              </w:rPr>
              <w:t>归档责任人</w:t>
            </w:r>
          </w:p>
          <w:p>
            <w:pPr>
              <w:pStyle w:val="243"/>
              <w:spacing w:line="221" w:lineRule="auto"/>
              <w:ind w:left="907"/>
              <w:rPr>
                <w:lang w:eastAsia="zh-CN"/>
              </w:rPr>
            </w:pPr>
            <w:r>
              <w:rPr>
                <w:spacing w:val="-2"/>
                <w:lang w:eastAsia="zh-CN"/>
              </w:rPr>
              <w:t>及联系电话</w:t>
            </w:r>
          </w:p>
        </w:tc>
        <w:tc>
          <w:tcPr>
            <w:tcW w:w="6621"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3" w:hRule="atLeast"/>
        </w:trPr>
        <w:tc>
          <w:tcPr>
            <w:tcW w:w="2705" w:type="dxa"/>
          </w:tcPr>
          <w:p>
            <w:pPr>
              <w:pStyle w:val="243"/>
              <w:spacing w:before="146" w:line="220" w:lineRule="auto"/>
              <w:ind w:left="995"/>
            </w:pPr>
            <w:r>
              <w:rPr>
                <w:spacing w:val="-2"/>
              </w:rPr>
              <w:t>送审时间</w:t>
            </w:r>
          </w:p>
        </w:tc>
        <w:tc>
          <w:tcPr>
            <w:tcW w:w="6621"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11" w:hRule="atLeast"/>
        </w:trPr>
        <w:tc>
          <w:tcPr>
            <w:tcW w:w="2705" w:type="dxa"/>
          </w:tcPr>
          <w:p>
            <w:pPr>
              <w:spacing w:line="249"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pStyle w:val="243"/>
              <w:spacing w:before="58" w:line="219" w:lineRule="auto"/>
              <w:ind w:left="815"/>
            </w:pPr>
            <w:r>
              <w:rPr>
                <w:spacing w:val="-1"/>
              </w:rPr>
              <w:t>送审档案情况</w:t>
            </w:r>
          </w:p>
        </w:tc>
        <w:tc>
          <w:tcPr>
            <w:tcW w:w="6621" w:type="dxa"/>
          </w:tcPr>
          <w:p>
            <w:pPr>
              <w:spacing w:line="276" w:lineRule="auto"/>
              <w:rPr>
                <w:rFonts w:ascii="Arial"/>
              </w:rPr>
            </w:pPr>
          </w:p>
          <w:p>
            <w:pPr>
              <w:spacing w:line="276" w:lineRule="auto"/>
              <w:rPr>
                <w:rFonts w:ascii="Arial"/>
              </w:rPr>
            </w:pPr>
          </w:p>
          <w:p>
            <w:pPr>
              <w:pStyle w:val="243"/>
              <w:spacing w:before="58" w:line="219" w:lineRule="auto"/>
              <w:ind w:left="116"/>
              <w:rPr>
                <w:lang w:eastAsia="zh-CN"/>
              </w:rPr>
            </w:pPr>
            <w:r>
              <w:rPr>
                <w:spacing w:val="-1"/>
                <w:lang w:eastAsia="zh-CN"/>
              </w:rPr>
              <w:t>总卷数卷；其中：文字材料卷，</w:t>
            </w:r>
          </w:p>
          <w:p>
            <w:pPr>
              <w:spacing w:line="330" w:lineRule="auto"/>
              <w:rPr>
                <w:rFonts w:ascii="Arial"/>
              </w:rPr>
            </w:pPr>
          </w:p>
          <w:p>
            <w:pPr>
              <w:spacing w:line="330" w:lineRule="auto"/>
              <w:rPr>
                <w:rFonts w:ascii="Arial"/>
              </w:rPr>
            </w:pPr>
          </w:p>
          <w:p>
            <w:pPr>
              <w:pStyle w:val="243"/>
              <w:spacing w:before="58" w:line="212" w:lineRule="auto"/>
              <w:ind w:left="112"/>
              <w:rPr>
                <w:lang w:eastAsia="zh-CN"/>
              </w:rPr>
            </w:pPr>
            <w:r>
              <w:rPr>
                <w:spacing w:val="-2"/>
                <w:lang w:eastAsia="zh-CN"/>
              </w:rPr>
              <w:t>竣工图卷</w:t>
            </w:r>
            <w:r>
              <w:rPr>
                <w:rFonts w:ascii="Times New Roman" w:hAnsi="Times New Roman" w:eastAsia="Times New Roman" w:cs="Times New Roman"/>
                <w:spacing w:val="-2"/>
                <w:lang w:eastAsia="zh-CN"/>
              </w:rPr>
              <w:t>(</w:t>
            </w:r>
            <w:r>
              <w:rPr>
                <w:spacing w:val="-2"/>
                <w:lang w:eastAsia="zh-CN"/>
              </w:rPr>
              <w:t>张</w:t>
            </w:r>
            <w:r>
              <w:rPr>
                <w:rFonts w:ascii="Times New Roman" w:hAnsi="Times New Roman" w:eastAsia="Times New Roman" w:cs="Times New Roman"/>
                <w:spacing w:val="-2"/>
                <w:lang w:eastAsia="zh-CN"/>
              </w:rPr>
              <w:t>)</w:t>
            </w:r>
            <w:r>
              <w:rPr>
                <w:rFonts w:ascii="Times New Roman" w:hAnsi="Times New Roman" w:eastAsia="Times New Roman" w:cs="Times New Roman"/>
                <w:spacing w:val="-24"/>
                <w:lang w:eastAsia="zh-CN"/>
              </w:rPr>
              <w:t xml:space="preserve"> </w:t>
            </w:r>
            <w:r>
              <w:rPr>
                <w:spacing w:val="-2"/>
                <w:lang w:eastAsia="zh-CN"/>
              </w:rPr>
              <w:t>，光</w:t>
            </w:r>
            <w:r>
              <w:rPr>
                <w:rFonts w:ascii="Times New Roman" w:hAnsi="Times New Roman" w:eastAsia="Times New Roman" w:cs="Times New Roman"/>
                <w:spacing w:val="-2"/>
                <w:lang w:eastAsia="zh-CN"/>
              </w:rPr>
              <w:t>(</w:t>
            </w:r>
            <w:r>
              <w:rPr>
                <w:spacing w:val="-2"/>
                <w:lang w:eastAsia="zh-CN"/>
              </w:rPr>
              <w:t>磁</w:t>
            </w:r>
            <w:r>
              <w:rPr>
                <w:rFonts w:ascii="Times New Roman" w:hAnsi="Times New Roman" w:eastAsia="Times New Roman" w:cs="Times New Roman"/>
                <w:spacing w:val="-2"/>
                <w:lang w:eastAsia="zh-CN"/>
              </w:rPr>
              <w:t>)</w:t>
            </w:r>
            <w:r>
              <w:rPr>
                <w:spacing w:val="-2"/>
                <w:lang w:eastAsia="zh-CN"/>
              </w:rPr>
              <w:t>盘张，</w:t>
            </w:r>
          </w:p>
          <w:p>
            <w:pPr>
              <w:spacing w:line="333" w:lineRule="auto"/>
              <w:rPr>
                <w:rFonts w:ascii="Arial"/>
              </w:rPr>
            </w:pPr>
          </w:p>
          <w:p>
            <w:pPr>
              <w:spacing w:line="333" w:lineRule="auto"/>
              <w:rPr>
                <w:rFonts w:ascii="Arial"/>
              </w:rPr>
            </w:pPr>
          </w:p>
          <w:p>
            <w:pPr>
              <w:pStyle w:val="243"/>
              <w:spacing w:before="59" w:line="220" w:lineRule="auto"/>
              <w:ind w:left="117"/>
            </w:pPr>
            <w:r>
              <w:rPr>
                <w:spacing w:val="-4"/>
              </w:rPr>
              <w:t>照片张。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876" w:hRule="atLeast"/>
        </w:trPr>
        <w:tc>
          <w:tcPr>
            <w:tcW w:w="2705" w:type="dxa"/>
          </w:tcPr>
          <w:p>
            <w:pPr>
              <w:spacing w:line="277" w:lineRule="auto"/>
              <w:rPr>
                <w:rFonts w:ascii="Arial"/>
              </w:rPr>
            </w:pPr>
          </w:p>
          <w:p>
            <w:pPr>
              <w:spacing w:line="277" w:lineRule="auto"/>
              <w:rPr>
                <w:rFonts w:ascii="Arial"/>
              </w:rPr>
            </w:pPr>
          </w:p>
          <w:p>
            <w:pPr>
              <w:pStyle w:val="243"/>
              <w:spacing w:before="58" w:line="468" w:lineRule="exact"/>
              <w:ind w:left="758"/>
              <w:rPr>
                <w:rFonts w:ascii="Times New Roman" w:hAnsi="Times New Roman" w:eastAsia="Times New Roman" w:cs="Times New Roman"/>
              </w:rPr>
            </w:pPr>
            <w:r>
              <w:rPr>
                <w:spacing w:val="-1"/>
                <w:position w:val="22"/>
              </w:rPr>
              <w:t>送审单位</w:t>
            </w:r>
            <w:r>
              <w:rPr>
                <w:rFonts w:ascii="Times New Roman" w:hAnsi="Times New Roman" w:eastAsia="Times New Roman" w:cs="Times New Roman"/>
                <w:spacing w:val="-1"/>
                <w:position w:val="22"/>
              </w:rPr>
              <w:t>(</w:t>
            </w:r>
            <w:r>
              <w:rPr>
                <w:spacing w:val="-1"/>
                <w:position w:val="22"/>
              </w:rPr>
              <w:t>部门</w:t>
            </w:r>
            <w:r>
              <w:rPr>
                <w:rFonts w:ascii="Times New Roman" w:hAnsi="Times New Roman" w:eastAsia="Times New Roman" w:cs="Times New Roman"/>
                <w:spacing w:val="-1"/>
                <w:position w:val="22"/>
              </w:rPr>
              <w:t>)</w:t>
            </w:r>
          </w:p>
          <w:p>
            <w:pPr>
              <w:pStyle w:val="243"/>
              <w:spacing w:line="219" w:lineRule="auto"/>
              <w:ind w:left="1182"/>
            </w:pPr>
            <w:r>
              <w:rPr>
                <w:spacing w:val="-6"/>
              </w:rPr>
              <w:t>意见</w:t>
            </w:r>
          </w:p>
        </w:tc>
        <w:tc>
          <w:tcPr>
            <w:tcW w:w="6621"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3" w:hRule="atLeast"/>
        </w:trPr>
        <w:tc>
          <w:tcPr>
            <w:tcW w:w="2705" w:type="dxa"/>
          </w:tcPr>
          <w:p>
            <w:pPr>
              <w:pStyle w:val="243"/>
              <w:spacing w:before="148" w:line="219" w:lineRule="auto"/>
              <w:ind w:left="729"/>
            </w:pPr>
            <w:r>
              <w:rPr>
                <w:spacing w:val="-2"/>
              </w:rPr>
              <w:t>技术档案室意见</w:t>
            </w:r>
          </w:p>
        </w:tc>
        <w:tc>
          <w:tcPr>
            <w:tcW w:w="6621"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9326" w:type="dxa"/>
            <w:gridSpan w:val="2"/>
          </w:tcPr>
          <w:p>
            <w:pPr>
              <w:pStyle w:val="243"/>
              <w:spacing w:before="148" w:line="219" w:lineRule="auto"/>
              <w:ind w:left="116"/>
              <w:rPr>
                <w:lang w:eastAsia="zh-CN"/>
              </w:rPr>
            </w:pPr>
            <w:r>
              <w:rPr>
                <w:spacing w:val="-1"/>
                <w:lang w:eastAsia="zh-CN"/>
              </w:rPr>
              <w:t>备注：送审部门应对送审档案的完整性及竣工图的准确性负责。</w:t>
            </w:r>
          </w:p>
        </w:tc>
      </w:tr>
    </w:tbl>
    <w:p>
      <w:pPr>
        <w:pStyle w:val="56"/>
        <w:ind w:firstLine="420"/>
      </w:pPr>
    </w:p>
    <w:p>
      <w:pPr>
        <w:pStyle w:val="56"/>
        <w:ind w:firstLine="420"/>
      </w:pPr>
    </w:p>
    <w:p>
      <w:pPr>
        <w:pStyle w:val="56"/>
        <w:ind w:firstLine="420"/>
      </w:pPr>
    </w:p>
    <w:p>
      <w:pPr>
        <w:pStyle w:val="56"/>
        <w:ind w:firstLine="420"/>
      </w:pPr>
    </w:p>
    <w:p>
      <w:pPr>
        <w:pStyle w:val="56"/>
        <w:ind w:firstLine="420"/>
        <w:sectPr>
          <w:pgSz w:w="11906" w:h="16838"/>
          <w:pgMar w:top="1928" w:right="1134" w:bottom="1134" w:left="1134" w:header="1418" w:footer="1134" w:gutter="284"/>
          <w:cols w:space="425" w:num="1"/>
          <w:formProt w:val="0"/>
          <w:docGrid w:type="lines" w:linePitch="312" w:charSpace="0"/>
        </w:sectPr>
      </w:pPr>
    </w:p>
    <w:p>
      <w:pPr>
        <w:pStyle w:val="198"/>
        <w:rPr>
          <w:vanish w:val="0"/>
        </w:rPr>
      </w:pPr>
    </w:p>
    <w:p>
      <w:pPr>
        <w:pStyle w:val="199"/>
        <w:rPr>
          <w:vanish w:val="0"/>
        </w:rPr>
      </w:pPr>
    </w:p>
    <w:p>
      <w:pPr>
        <w:pStyle w:val="198"/>
        <w:rPr>
          <w:vanish w:val="0"/>
        </w:rPr>
      </w:pPr>
    </w:p>
    <w:p>
      <w:pPr>
        <w:pStyle w:val="199"/>
        <w:rPr>
          <w:vanish w:val="0"/>
        </w:rPr>
      </w:pPr>
    </w:p>
    <w:p>
      <w:pPr>
        <w:pStyle w:val="76"/>
        <w:spacing w:after="156"/>
      </w:pPr>
      <w:r>
        <w:br w:type="textWrapping"/>
      </w:r>
      <w:bookmarkStart w:id="103" w:name="_Toc155974795"/>
      <w:r>
        <w:rPr>
          <w:rFonts w:hint="eastAsia"/>
        </w:rPr>
        <w:t>（资料性）</w:t>
      </w:r>
      <w:r>
        <w:br w:type="textWrapping"/>
      </w:r>
      <w:r>
        <w:rPr>
          <w:rFonts w:hint="eastAsia"/>
        </w:rPr>
        <w:t>技术档案移交书</w:t>
      </w:r>
      <w:bookmarkEnd w:id="103"/>
    </w:p>
    <w:p>
      <w:pPr>
        <w:pStyle w:val="56"/>
        <w:ind w:firstLine="420"/>
      </w:pPr>
      <w:r>
        <w:rPr>
          <w:rFonts w:hint="eastAsia"/>
        </w:rPr>
        <w:t>下面</w:t>
      </w:r>
      <w:r>
        <w:t>给出了技术档案移交书的示例</w:t>
      </w:r>
      <w:r>
        <w:rPr>
          <w:rFonts w:hint="eastAsia"/>
        </w:rPr>
        <w:t>。</w:t>
      </w:r>
    </w:p>
    <w:p>
      <w:pPr>
        <w:pStyle w:val="181"/>
      </w:pPr>
    </w:p>
    <w:p>
      <w:pPr>
        <w:pStyle w:val="56"/>
        <w:ind w:firstLine="420"/>
      </w:pPr>
    </w:p>
    <w:p>
      <w:pPr>
        <w:pStyle w:val="56"/>
        <w:ind w:firstLine="420"/>
      </w:pPr>
      <w:r>
        <w:rPr>
          <w:rFonts w:hint="eastAsia"/>
        </w:rPr>
        <w:t>项目名称：</w:t>
      </w:r>
    </w:p>
    <w:p>
      <w:pPr>
        <w:pStyle w:val="56"/>
        <w:ind w:firstLine="420"/>
      </w:pPr>
    </w:p>
    <w:p>
      <w:pPr>
        <w:pStyle w:val="56"/>
        <w:ind w:firstLine="420"/>
      </w:pPr>
    </w:p>
    <w:p>
      <w:pPr>
        <w:pStyle w:val="56"/>
        <w:ind w:firstLine="420"/>
      </w:pPr>
      <w:r>
        <w:rPr>
          <w:rFonts w:hint="eastAsia"/>
        </w:rPr>
        <w:t>兹向___________________移交技术档案共计__</w:t>
      </w:r>
      <w:r>
        <w:t>_</w:t>
      </w:r>
      <w:r>
        <w:rPr>
          <w:rFonts w:hint="eastAsia"/>
        </w:rPr>
        <w:t>卷，其中文字材料__</w:t>
      </w:r>
      <w:r>
        <w:softHyphen/>
      </w:r>
      <w:r>
        <w:rPr>
          <w:rFonts w:hint="eastAsia"/>
        </w:rPr>
        <w:t>_卷，计张；竣工图纸___卷，计___张；相片____张；光(磁)盘___张。</w:t>
      </w:r>
    </w:p>
    <w:p>
      <w:pPr>
        <w:pStyle w:val="56"/>
        <w:ind w:firstLine="420"/>
      </w:pPr>
    </w:p>
    <w:p>
      <w:pPr>
        <w:pStyle w:val="56"/>
        <w:ind w:firstLine="420"/>
      </w:pPr>
    </w:p>
    <w:p>
      <w:pPr>
        <w:pStyle w:val="56"/>
        <w:ind w:firstLine="420"/>
      </w:pPr>
    </w:p>
    <w:p>
      <w:pPr>
        <w:pStyle w:val="56"/>
        <w:ind w:firstLine="420"/>
      </w:pPr>
    </w:p>
    <w:p>
      <w:pPr>
        <w:pStyle w:val="56"/>
        <w:ind w:firstLine="420"/>
      </w:pPr>
      <w:r>
        <w:rPr>
          <w:rFonts w:hint="eastAsia"/>
        </w:rPr>
        <w:t xml:space="preserve">移交单位(盖章)：           </w:t>
      </w:r>
      <w:r>
        <w:t xml:space="preserve">    </w:t>
      </w:r>
      <w:r>
        <w:rPr>
          <w:rFonts w:hint="eastAsia"/>
        </w:rPr>
        <w:t xml:space="preserve">  接收单位(盖章)：</w:t>
      </w:r>
    </w:p>
    <w:p>
      <w:pPr>
        <w:pStyle w:val="56"/>
        <w:ind w:firstLine="420"/>
      </w:pPr>
      <w:r>
        <w:rPr>
          <w:rFonts w:hint="eastAsia"/>
        </w:rPr>
        <w:t xml:space="preserve">移交人(签名)：              </w:t>
      </w:r>
      <w:r>
        <w:t xml:space="preserve">    </w:t>
      </w:r>
      <w:r>
        <w:rPr>
          <w:rFonts w:hint="eastAsia"/>
        </w:rPr>
        <w:t xml:space="preserve"> 接收人(签名)：</w:t>
      </w:r>
    </w:p>
    <w:p>
      <w:pPr>
        <w:pStyle w:val="56"/>
        <w:ind w:firstLine="420"/>
      </w:pPr>
      <w:r>
        <w:rPr>
          <w:rFonts w:hint="eastAsia"/>
        </w:rPr>
        <w:t xml:space="preserve">移交日期：                  </w:t>
      </w:r>
      <w:r>
        <w:t xml:space="preserve">    </w:t>
      </w:r>
      <w:r>
        <w:rPr>
          <w:rFonts w:hint="eastAsia"/>
        </w:rPr>
        <w:t xml:space="preserve"> 接收日期：</w:t>
      </w:r>
    </w:p>
    <w:p>
      <w:pPr>
        <w:pStyle w:val="56"/>
        <w:ind w:firstLine="420"/>
      </w:pPr>
    </w:p>
    <w:p>
      <w:pPr>
        <w:pStyle w:val="199"/>
        <w:rPr>
          <w:vanish w:val="0"/>
        </w:rPr>
      </w:pPr>
    </w:p>
    <w:bookmarkEnd w:id="91"/>
    <w:p>
      <w:pPr>
        <w:pStyle w:val="56"/>
        <w:ind w:firstLine="0" w:firstLineChars="0"/>
        <w:jc w:val="center"/>
      </w:pPr>
      <w:bookmarkStart w:id="104" w:name="BookMark8"/>
      <w:r>
        <w:drawing>
          <wp:inline distT="0" distB="0" distL="0" distR="0">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4"/>
    </w:p>
    <w:sectPr>
      <w:pgSz w:w="11906" w:h="16838"/>
      <w:pgMar w:top="1928" w:right="1134" w:bottom="1134" w:left="1134" w:header="1418"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I</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4408/T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4408/T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2"/>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37"/>
      <w:suff w:val="nothing"/>
      <w:lvlText w:val="%1.%2.%3　"/>
      <w:lvlJc w:val="left"/>
      <w:pPr>
        <w:ind w:left="0" w:firstLine="0"/>
      </w:pPr>
      <w:rPr>
        <w:rFonts w:hint="eastAsia" w:ascii="黑体" w:hAnsi="Times New Roman" w:eastAsia="黑体"/>
        <w:b w:val="0"/>
        <w:i w:val="0"/>
        <w:sz w:val="21"/>
      </w:rPr>
    </w:lvl>
    <w:lvl w:ilvl="3" w:tentative="0">
      <w:start w:val="1"/>
      <w:numFmt w:val="decimal"/>
      <w:pStyle w:val="236"/>
      <w:suff w:val="nothing"/>
      <w:lvlText w:val="%1.%2.%3.%4　"/>
      <w:lvlJc w:val="left"/>
      <w:pPr>
        <w:ind w:left="0" w:firstLine="0"/>
      </w:pPr>
      <w:rPr>
        <w:rFonts w:hint="eastAsia" w:ascii="黑体" w:hAnsi="Times New Roman" w:eastAsia="黑体"/>
        <w:b w:val="0"/>
        <w:i w:val="0"/>
        <w:sz w:val="21"/>
      </w:rPr>
    </w:lvl>
    <w:lvl w:ilvl="4" w:tentative="0">
      <w:start w:val="1"/>
      <w:numFmt w:val="decimal"/>
      <w:pStyle w:val="235"/>
      <w:suff w:val="nothing"/>
      <w:lvlText w:val="%1.%2.%3.%4.%5　"/>
      <w:lvlJc w:val="left"/>
      <w:pPr>
        <w:ind w:left="0" w:firstLine="0"/>
      </w:pPr>
      <w:rPr>
        <w:rFonts w:hint="eastAsia" w:ascii="黑体" w:hAnsi="Times New Roman" w:eastAsia="黑体"/>
        <w:b w:val="0"/>
        <w:i w:val="0"/>
        <w:sz w:val="21"/>
      </w:rPr>
    </w:lvl>
    <w:lvl w:ilvl="5" w:tentative="0">
      <w:start w:val="1"/>
      <w:numFmt w:val="decimal"/>
      <w:pStyle w:val="24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10065"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6522"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1844"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1277"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dit="forms" w:enforcement="0"/>
  <w:defaultTabStop w:val="420"/>
  <w:drawingGridHorizontalSpacing w:val="105"/>
  <w:drawingGridVerticalSpacing w:val="158"/>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yY2MyNDEzMGI1MDQ0NzYxNWNhMzhmMGRkYzQyMzcifQ=="/>
  </w:docVars>
  <w:rsids>
    <w:rsidRoot w:val="00C742F1"/>
    <w:rsid w:val="0000040A"/>
    <w:rsid w:val="00000A94"/>
    <w:rsid w:val="0000118B"/>
    <w:rsid w:val="00001972"/>
    <w:rsid w:val="00001D9A"/>
    <w:rsid w:val="000031EE"/>
    <w:rsid w:val="00007B3A"/>
    <w:rsid w:val="000107E0"/>
    <w:rsid w:val="00011FDE"/>
    <w:rsid w:val="0001204C"/>
    <w:rsid w:val="00012FFD"/>
    <w:rsid w:val="00014162"/>
    <w:rsid w:val="00014340"/>
    <w:rsid w:val="0001488A"/>
    <w:rsid w:val="00016A9C"/>
    <w:rsid w:val="0002018C"/>
    <w:rsid w:val="00022184"/>
    <w:rsid w:val="00022762"/>
    <w:rsid w:val="000238E0"/>
    <w:rsid w:val="000249DB"/>
    <w:rsid w:val="0002595E"/>
    <w:rsid w:val="000270BD"/>
    <w:rsid w:val="000303C3"/>
    <w:rsid w:val="000331D3"/>
    <w:rsid w:val="000346A5"/>
    <w:rsid w:val="000359C3"/>
    <w:rsid w:val="00035A7D"/>
    <w:rsid w:val="000365ED"/>
    <w:rsid w:val="0004249A"/>
    <w:rsid w:val="00043282"/>
    <w:rsid w:val="00044286"/>
    <w:rsid w:val="00044578"/>
    <w:rsid w:val="00047F28"/>
    <w:rsid w:val="000503AA"/>
    <w:rsid w:val="000506A1"/>
    <w:rsid w:val="00051461"/>
    <w:rsid w:val="000515DD"/>
    <w:rsid w:val="0005265A"/>
    <w:rsid w:val="000539DD"/>
    <w:rsid w:val="00053BD3"/>
    <w:rsid w:val="000556ED"/>
    <w:rsid w:val="00055FE2"/>
    <w:rsid w:val="0005616F"/>
    <w:rsid w:val="000572EF"/>
    <w:rsid w:val="000573A1"/>
    <w:rsid w:val="00060C2E"/>
    <w:rsid w:val="00061033"/>
    <w:rsid w:val="000619E9"/>
    <w:rsid w:val="000622D4"/>
    <w:rsid w:val="0006357D"/>
    <w:rsid w:val="00067127"/>
    <w:rsid w:val="00067F1E"/>
    <w:rsid w:val="00071CC0"/>
    <w:rsid w:val="00073C8C"/>
    <w:rsid w:val="00074B9C"/>
    <w:rsid w:val="00075230"/>
    <w:rsid w:val="00077B64"/>
    <w:rsid w:val="00080A1C"/>
    <w:rsid w:val="00082317"/>
    <w:rsid w:val="00083D2C"/>
    <w:rsid w:val="00086AA1"/>
    <w:rsid w:val="00087A77"/>
    <w:rsid w:val="000903B9"/>
    <w:rsid w:val="00090CA6"/>
    <w:rsid w:val="00091C7E"/>
    <w:rsid w:val="00092B8A"/>
    <w:rsid w:val="00092FB0"/>
    <w:rsid w:val="000934C5"/>
    <w:rsid w:val="00093D25"/>
    <w:rsid w:val="00093DAB"/>
    <w:rsid w:val="00094D73"/>
    <w:rsid w:val="00095B66"/>
    <w:rsid w:val="00096D63"/>
    <w:rsid w:val="000972FD"/>
    <w:rsid w:val="000A0B60"/>
    <w:rsid w:val="000A0EB8"/>
    <w:rsid w:val="000A19FC"/>
    <w:rsid w:val="000A296B"/>
    <w:rsid w:val="000A7311"/>
    <w:rsid w:val="000B060F"/>
    <w:rsid w:val="000B0E8C"/>
    <w:rsid w:val="000B1592"/>
    <w:rsid w:val="000B1FF2"/>
    <w:rsid w:val="000B3CDA"/>
    <w:rsid w:val="000B6090"/>
    <w:rsid w:val="000B6A0B"/>
    <w:rsid w:val="000C0F0F"/>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D77FA"/>
    <w:rsid w:val="000E1EA2"/>
    <w:rsid w:val="000E4C9E"/>
    <w:rsid w:val="000E6FD7"/>
    <w:rsid w:val="000F06E1"/>
    <w:rsid w:val="000F0E3C"/>
    <w:rsid w:val="000F19D5"/>
    <w:rsid w:val="000F4AEA"/>
    <w:rsid w:val="000F633F"/>
    <w:rsid w:val="000F67E9"/>
    <w:rsid w:val="00104926"/>
    <w:rsid w:val="00113B1E"/>
    <w:rsid w:val="0011711C"/>
    <w:rsid w:val="0012059C"/>
    <w:rsid w:val="00121C86"/>
    <w:rsid w:val="00124E4F"/>
    <w:rsid w:val="001260B7"/>
    <w:rsid w:val="001265CB"/>
    <w:rsid w:val="00130623"/>
    <w:rsid w:val="001321C6"/>
    <w:rsid w:val="001325C4"/>
    <w:rsid w:val="00133010"/>
    <w:rsid w:val="001338EE"/>
    <w:rsid w:val="00133AAE"/>
    <w:rsid w:val="00135323"/>
    <w:rsid w:val="001356C4"/>
    <w:rsid w:val="00137092"/>
    <w:rsid w:val="00141114"/>
    <w:rsid w:val="00142218"/>
    <w:rsid w:val="00142969"/>
    <w:rsid w:val="0014469D"/>
    <w:rsid w:val="001446C2"/>
    <w:rsid w:val="001457E7"/>
    <w:rsid w:val="00145D9D"/>
    <w:rsid w:val="00146388"/>
    <w:rsid w:val="001501E7"/>
    <w:rsid w:val="00151F51"/>
    <w:rsid w:val="001529E5"/>
    <w:rsid w:val="00153C7E"/>
    <w:rsid w:val="00155081"/>
    <w:rsid w:val="00156B25"/>
    <w:rsid w:val="00156E1A"/>
    <w:rsid w:val="00157894"/>
    <w:rsid w:val="00157B55"/>
    <w:rsid w:val="001642FA"/>
    <w:rsid w:val="001649EB"/>
    <w:rsid w:val="00164BAF"/>
    <w:rsid w:val="00164FA8"/>
    <w:rsid w:val="00165065"/>
    <w:rsid w:val="00165434"/>
    <w:rsid w:val="0016580B"/>
    <w:rsid w:val="00165F49"/>
    <w:rsid w:val="00166B88"/>
    <w:rsid w:val="001676BD"/>
    <w:rsid w:val="0016770A"/>
    <w:rsid w:val="00170804"/>
    <w:rsid w:val="001708E9"/>
    <w:rsid w:val="0017340B"/>
    <w:rsid w:val="0017366D"/>
    <w:rsid w:val="00173891"/>
    <w:rsid w:val="00173FB1"/>
    <w:rsid w:val="00176792"/>
    <w:rsid w:val="00176DFD"/>
    <w:rsid w:val="00181A95"/>
    <w:rsid w:val="001839DF"/>
    <w:rsid w:val="00184655"/>
    <w:rsid w:val="001852C9"/>
    <w:rsid w:val="0018589E"/>
    <w:rsid w:val="00190087"/>
    <w:rsid w:val="001913C4"/>
    <w:rsid w:val="0019348F"/>
    <w:rsid w:val="00193A07"/>
    <w:rsid w:val="00194C95"/>
    <w:rsid w:val="00195C34"/>
    <w:rsid w:val="00196EF5"/>
    <w:rsid w:val="001A1A53"/>
    <w:rsid w:val="001A234A"/>
    <w:rsid w:val="001A4CF3"/>
    <w:rsid w:val="001B06E8"/>
    <w:rsid w:val="001B07DC"/>
    <w:rsid w:val="001B2C3A"/>
    <w:rsid w:val="001B2EE3"/>
    <w:rsid w:val="001B71D0"/>
    <w:rsid w:val="001B71EE"/>
    <w:rsid w:val="001C04A8"/>
    <w:rsid w:val="001C2794"/>
    <w:rsid w:val="001C2C03"/>
    <w:rsid w:val="001C3338"/>
    <w:rsid w:val="001C42F7"/>
    <w:rsid w:val="001C49E5"/>
    <w:rsid w:val="001C680C"/>
    <w:rsid w:val="001C6D16"/>
    <w:rsid w:val="001C7043"/>
    <w:rsid w:val="001C7FEA"/>
    <w:rsid w:val="001D0499"/>
    <w:rsid w:val="001D0BBE"/>
    <w:rsid w:val="001D0ED4"/>
    <w:rsid w:val="001D212F"/>
    <w:rsid w:val="001D29D7"/>
    <w:rsid w:val="001D2DE7"/>
    <w:rsid w:val="001D31C1"/>
    <w:rsid w:val="001D3731"/>
    <w:rsid w:val="001D411C"/>
    <w:rsid w:val="001D4D2B"/>
    <w:rsid w:val="001E1519"/>
    <w:rsid w:val="001E1B6A"/>
    <w:rsid w:val="001E2484"/>
    <w:rsid w:val="001E3B2A"/>
    <w:rsid w:val="001E3CC4"/>
    <w:rsid w:val="001E4882"/>
    <w:rsid w:val="001E60E0"/>
    <w:rsid w:val="001E73AB"/>
    <w:rsid w:val="001F092D"/>
    <w:rsid w:val="001F0984"/>
    <w:rsid w:val="001F143A"/>
    <w:rsid w:val="001F1605"/>
    <w:rsid w:val="001F2508"/>
    <w:rsid w:val="001F3A7D"/>
    <w:rsid w:val="001F45EF"/>
    <w:rsid w:val="001F4816"/>
    <w:rsid w:val="001F4EE9"/>
    <w:rsid w:val="001F69B4"/>
    <w:rsid w:val="001F77C7"/>
    <w:rsid w:val="00200183"/>
    <w:rsid w:val="00200333"/>
    <w:rsid w:val="0020107D"/>
    <w:rsid w:val="00202AA4"/>
    <w:rsid w:val="002031F7"/>
    <w:rsid w:val="002040E6"/>
    <w:rsid w:val="0020527B"/>
    <w:rsid w:val="00205482"/>
    <w:rsid w:val="00205F2C"/>
    <w:rsid w:val="00206FCC"/>
    <w:rsid w:val="00210B15"/>
    <w:rsid w:val="00211E1E"/>
    <w:rsid w:val="0021281B"/>
    <w:rsid w:val="002142EA"/>
    <w:rsid w:val="002204BB"/>
    <w:rsid w:val="00221B79"/>
    <w:rsid w:val="00221C6B"/>
    <w:rsid w:val="0022391D"/>
    <w:rsid w:val="002253A1"/>
    <w:rsid w:val="00225CF8"/>
    <w:rsid w:val="0022794E"/>
    <w:rsid w:val="00233CC1"/>
    <w:rsid w:val="00233D64"/>
    <w:rsid w:val="0023482A"/>
    <w:rsid w:val="002359CB"/>
    <w:rsid w:val="0024140B"/>
    <w:rsid w:val="00243540"/>
    <w:rsid w:val="0024497B"/>
    <w:rsid w:val="0024515B"/>
    <w:rsid w:val="00246021"/>
    <w:rsid w:val="0024666E"/>
    <w:rsid w:val="00246698"/>
    <w:rsid w:val="00247F52"/>
    <w:rsid w:val="00250B25"/>
    <w:rsid w:val="00250BBE"/>
    <w:rsid w:val="002515C2"/>
    <w:rsid w:val="0025194F"/>
    <w:rsid w:val="0026148A"/>
    <w:rsid w:val="00262696"/>
    <w:rsid w:val="00263D25"/>
    <w:rsid w:val="002643C3"/>
    <w:rsid w:val="00264A0C"/>
    <w:rsid w:val="00266DF4"/>
    <w:rsid w:val="00266EEB"/>
    <w:rsid w:val="00267EF4"/>
    <w:rsid w:val="00270CB8"/>
    <w:rsid w:val="00272B08"/>
    <w:rsid w:val="002748B9"/>
    <w:rsid w:val="0027587D"/>
    <w:rsid w:val="00276D05"/>
    <w:rsid w:val="002771AC"/>
    <w:rsid w:val="00281753"/>
    <w:rsid w:val="00281BB8"/>
    <w:rsid w:val="00281E9E"/>
    <w:rsid w:val="00282405"/>
    <w:rsid w:val="00285170"/>
    <w:rsid w:val="00285361"/>
    <w:rsid w:val="00292D60"/>
    <w:rsid w:val="00293B30"/>
    <w:rsid w:val="00294D34"/>
    <w:rsid w:val="00294D80"/>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147"/>
    <w:rsid w:val="002B0255"/>
    <w:rsid w:val="002B0C40"/>
    <w:rsid w:val="002B1966"/>
    <w:rsid w:val="002B20C1"/>
    <w:rsid w:val="002B4508"/>
    <w:rsid w:val="002B5779"/>
    <w:rsid w:val="002B7332"/>
    <w:rsid w:val="002B7F51"/>
    <w:rsid w:val="002C09E7"/>
    <w:rsid w:val="002C1E06"/>
    <w:rsid w:val="002C1E1C"/>
    <w:rsid w:val="002C35CC"/>
    <w:rsid w:val="002C3F07"/>
    <w:rsid w:val="002C5278"/>
    <w:rsid w:val="002C7EBB"/>
    <w:rsid w:val="002D06C1"/>
    <w:rsid w:val="002D3B64"/>
    <w:rsid w:val="002D42B5"/>
    <w:rsid w:val="002D4F1A"/>
    <w:rsid w:val="002D68B2"/>
    <w:rsid w:val="002D6EC6"/>
    <w:rsid w:val="002D79AC"/>
    <w:rsid w:val="002E039D"/>
    <w:rsid w:val="002E1737"/>
    <w:rsid w:val="002E4D5A"/>
    <w:rsid w:val="002E6326"/>
    <w:rsid w:val="002E74F4"/>
    <w:rsid w:val="002F2BC6"/>
    <w:rsid w:val="002F30E0"/>
    <w:rsid w:val="002F35E4"/>
    <w:rsid w:val="002F3730"/>
    <w:rsid w:val="002F38E1"/>
    <w:rsid w:val="002F7AF6"/>
    <w:rsid w:val="00300E63"/>
    <w:rsid w:val="0030177B"/>
    <w:rsid w:val="00302F5F"/>
    <w:rsid w:val="0030441D"/>
    <w:rsid w:val="00306063"/>
    <w:rsid w:val="00313B85"/>
    <w:rsid w:val="00317988"/>
    <w:rsid w:val="003218B8"/>
    <w:rsid w:val="003221B4"/>
    <w:rsid w:val="0032258D"/>
    <w:rsid w:val="00322E62"/>
    <w:rsid w:val="00324D13"/>
    <w:rsid w:val="00324D2A"/>
    <w:rsid w:val="00324EDD"/>
    <w:rsid w:val="003331E4"/>
    <w:rsid w:val="00336AC7"/>
    <w:rsid w:val="00336C64"/>
    <w:rsid w:val="00337162"/>
    <w:rsid w:val="00337A90"/>
    <w:rsid w:val="003411BF"/>
    <w:rsid w:val="0034194F"/>
    <w:rsid w:val="0034322A"/>
    <w:rsid w:val="003435F6"/>
    <w:rsid w:val="00344605"/>
    <w:rsid w:val="003474AA"/>
    <w:rsid w:val="00350D1D"/>
    <w:rsid w:val="00352C83"/>
    <w:rsid w:val="00354EB5"/>
    <w:rsid w:val="003615D2"/>
    <w:rsid w:val="0036266C"/>
    <w:rsid w:val="00363D9E"/>
    <w:rsid w:val="0036429C"/>
    <w:rsid w:val="00364A53"/>
    <w:rsid w:val="003654CB"/>
    <w:rsid w:val="00365AA9"/>
    <w:rsid w:val="00365F86"/>
    <w:rsid w:val="00365F87"/>
    <w:rsid w:val="00366E89"/>
    <w:rsid w:val="003705F4"/>
    <w:rsid w:val="00370D58"/>
    <w:rsid w:val="00371316"/>
    <w:rsid w:val="003761BE"/>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3D06"/>
    <w:rsid w:val="00393F42"/>
    <w:rsid w:val="00394376"/>
    <w:rsid w:val="003943FF"/>
    <w:rsid w:val="00395700"/>
    <w:rsid w:val="00396E71"/>
    <w:rsid w:val="003974EB"/>
    <w:rsid w:val="00397CC5"/>
    <w:rsid w:val="003A1582"/>
    <w:rsid w:val="003A4077"/>
    <w:rsid w:val="003A7C68"/>
    <w:rsid w:val="003B09AD"/>
    <w:rsid w:val="003B1F18"/>
    <w:rsid w:val="003B2121"/>
    <w:rsid w:val="003B5BF0"/>
    <w:rsid w:val="003B60BF"/>
    <w:rsid w:val="003B6BE3"/>
    <w:rsid w:val="003C010C"/>
    <w:rsid w:val="003C0A6C"/>
    <w:rsid w:val="003C14F8"/>
    <w:rsid w:val="003C5A43"/>
    <w:rsid w:val="003D0519"/>
    <w:rsid w:val="003D0FF6"/>
    <w:rsid w:val="003D262C"/>
    <w:rsid w:val="003D6D61"/>
    <w:rsid w:val="003D6D88"/>
    <w:rsid w:val="003D79C6"/>
    <w:rsid w:val="003E047A"/>
    <w:rsid w:val="003E091D"/>
    <w:rsid w:val="003E1AC5"/>
    <w:rsid w:val="003E1C53"/>
    <w:rsid w:val="003E239D"/>
    <w:rsid w:val="003E27F8"/>
    <w:rsid w:val="003E2A69"/>
    <w:rsid w:val="003E2D49"/>
    <w:rsid w:val="003E2FD4"/>
    <w:rsid w:val="003E49F6"/>
    <w:rsid w:val="003E660F"/>
    <w:rsid w:val="003E7929"/>
    <w:rsid w:val="003F0841"/>
    <w:rsid w:val="003F18DC"/>
    <w:rsid w:val="003F1CF3"/>
    <w:rsid w:val="003F23D3"/>
    <w:rsid w:val="003F3F08"/>
    <w:rsid w:val="003F49F1"/>
    <w:rsid w:val="003F6272"/>
    <w:rsid w:val="00400E72"/>
    <w:rsid w:val="00401400"/>
    <w:rsid w:val="0040484C"/>
    <w:rsid w:val="00404869"/>
    <w:rsid w:val="00405884"/>
    <w:rsid w:val="00407D39"/>
    <w:rsid w:val="00411678"/>
    <w:rsid w:val="0041477A"/>
    <w:rsid w:val="004167A3"/>
    <w:rsid w:val="00432DAA"/>
    <w:rsid w:val="00434305"/>
    <w:rsid w:val="00435588"/>
    <w:rsid w:val="00435DF7"/>
    <w:rsid w:val="0043638F"/>
    <w:rsid w:val="0044083F"/>
    <w:rsid w:val="00441AE7"/>
    <w:rsid w:val="004437CD"/>
    <w:rsid w:val="00445574"/>
    <w:rsid w:val="004467FB"/>
    <w:rsid w:val="00452D6B"/>
    <w:rsid w:val="00453AFA"/>
    <w:rsid w:val="00454484"/>
    <w:rsid w:val="0045517B"/>
    <w:rsid w:val="00461E7A"/>
    <w:rsid w:val="00463B77"/>
    <w:rsid w:val="00463C7B"/>
    <w:rsid w:val="004644A6"/>
    <w:rsid w:val="004659BD"/>
    <w:rsid w:val="00466026"/>
    <w:rsid w:val="0047072F"/>
    <w:rsid w:val="00470775"/>
    <w:rsid w:val="00472953"/>
    <w:rsid w:val="004746B1"/>
    <w:rsid w:val="0047583F"/>
    <w:rsid w:val="00475DE8"/>
    <w:rsid w:val="00477219"/>
    <w:rsid w:val="00481C44"/>
    <w:rsid w:val="00482485"/>
    <w:rsid w:val="00484936"/>
    <w:rsid w:val="00485C89"/>
    <w:rsid w:val="00486018"/>
    <w:rsid w:val="00486BE3"/>
    <w:rsid w:val="00487AEC"/>
    <w:rsid w:val="004905E4"/>
    <w:rsid w:val="00490A89"/>
    <w:rsid w:val="00490AB4"/>
    <w:rsid w:val="004912C2"/>
    <w:rsid w:val="00492030"/>
    <w:rsid w:val="00492F02"/>
    <w:rsid w:val="004939AE"/>
    <w:rsid w:val="00494F49"/>
    <w:rsid w:val="004950DE"/>
    <w:rsid w:val="004977BE"/>
    <w:rsid w:val="00497D57"/>
    <w:rsid w:val="004A12DF"/>
    <w:rsid w:val="004A17E6"/>
    <w:rsid w:val="004A1BA8"/>
    <w:rsid w:val="004A2EB3"/>
    <w:rsid w:val="004A38E2"/>
    <w:rsid w:val="004A4B57"/>
    <w:rsid w:val="004A63FA"/>
    <w:rsid w:val="004B0272"/>
    <w:rsid w:val="004B2701"/>
    <w:rsid w:val="004B2E1B"/>
    <w:rsid w:val="004B3A6D"/>
    <w:rsid w:val="004B3AA8"/>
    <w:rsid w:val="004B3E93"/>
    <w:rsid w:val="004B3EFE"/>
    <w:rsid w:val="004B4753"/>
    <w:rsid w:val="004B48C3"/>
    <w:rsid w:val="004C017C"/>
    <w:rsid w:val="004C1FBC"/>
    <w:rsid w:val="004C3F1D"/>
    <w:rsid w:val="004C458D"/>
    <w:rsid w:val="004C7556"/>
    <w:rsid w:val="004C7E8B"/>
    <w:rsid w:val="004C7E9D"/>
    <w:rsid w:val="004C7F67"/>
    <w:rsid w:val="004D076D"/>
    <w:rsid w:val="004D0EF1"/>
    <w:rsid w:val="004D2253"/>
    <w:rsid w:val="004D338A"/>
    <w:rsid w:val="004D4406"/>
    <w:rsid w:val="004D60AA"/>
    <w:rsid w:val="004D7C42"/>
    <w:rsid w:val="004E0465"/>
    <w:rsid w:val="004E127B"/>
    <w:rsid w:val="004E1C0A"/>
    <w:rsid w:val="004E247A"/>
    <w:rsid w:val="004E277C"/>
    <w:rsid w:val="004E2B06"/>
    <w:rsid w:val="004E30C5"/>
    <w:rsid w:val="004E3995"/>
    <w:rsid w:val="004E4AA5"/>
    <w:rsid w:val="004E4AEE"/>
    <w:rsid w:val="004E59E3"/>
    <w:rsid w:val="004E67C0"/>
    <w:rsid w:val="004F391A"/>
    <w:rsid w:val="004F3CFB"/>
    <w:rsid w:val="004F50A7"/>
    <w:rsid w:val="004F6456"/>
    <w:rsid w:val="004F696E"/>
    <w:rsid w:val="004F6C71"/>
    <w:rsid w:val="00500612"/>
    <w:rsid w:val="00501139"/>
    <w:rsid w:val="00501DAA"/>
    <w:rsid w:val="0050363E"/>
    <w:rsid w:val="005039BC"/>
    <w:rsid w:val="005040EC"/>
    <w:rsid w:val="005043BB"/>
    <w:rsid w:val="00504A3D"/>
    <w:rsid w:val="00505767"/>
    <w:rsid w:val="005073F0"/>
    <w:rsid w:val="00510A7B"/>
    <w:rsid w:val="00512F6E"/>
    <w:rsid w:val="00513038"/>
    <w:rsid w:val="00513A80"/>
    <w:rsid w:val="00514174"/>
    <w:rsid w:val="00516088"/>
    <w:rsid w:val="00516B0B"/>
    <w:rsid w:val="005220EC"/>
    <w:rsid w:val="00523F95"/>
    <w:rsid w:val="00524D65"/>
    <w:rsid w:val="00525AB5"/>
    <w:rsid w:val="00525B16"/>
    <w:rsid w:val="00527709"/>
    <w:rsid w:val="00533657"/>
    <w:rsid w:val="00533949"/>
    <w:rsid w:val="00533D04"/>
    <w:rsid w:val="00534804"/>
    <w:rsid w:val="00534BDF"/>
    <w:rsid w:val="005354EA"/>
    <w:rsid w:val="0053585F"/>
    <w:rsid w:val="00535EC4"/>
    <w:rsid w:val="00535ED9"/>
    <w:rsid w:val="0053692B"/>
    <w:rsid w:val="00537572"/>
    <w:rsid w:val="00541853"/>
    <w:rsid w:val="00543BDA"/>
    <w:rsid w:val="005441CC"/>
    <w:rsid w:val="005479DA"/>
    <w:rsid w:val="00547BCC"/>
    <w:rsid w:val="0055013B"/>
    <w:rsid w:val="00551F6F"/>
    <w:rsid w:val="00553D67"/>
    <w:rsid w:val="00555044"/>
    <w:rsid w:val="00561475"/>
    <w:rsid w:val="005631BA"/>
    <w:rsid w:val="0056487B"/>
    <w:rsid w:val="00564FB9"/>
    <w:rsid w:val="00565B43"/>
    <w:rsid w:val="005711C4"/>
    <w:rsid w:val="00573D9E"/>
    <w:rsid w:val="00577F35"/>
    <w:rsid w:val="005801E3"/>
    <w:rsid w:val="005805BE"/>
    <w:rsid w:val="005814DF"/>
    <w:rsid w:val="00581802"/>
    <w:rsid w:val="005836A8"/>
    <w:rsid w:val="0058409C"/>
    <w:rsid w:val="00584262"/>
    <w:rsid w:val="00586630"/>
    <w:rsid w:val="00587ADD"/>
    <w:rsid w:val="00590C30"/>
    <w:rsid w:val="00591E27"/>
    <w:rsid w:val="00591E67"/>
    <w:rsid w:val="00595498"/>
    <w:rsid w:val="00596160"/>
    <w:rsid w:val="005966E2"/>
    <w:rsid w:val="00597007"/>
    <w:rsid w:val="005A0966"/>
    <w:rsid w:val="005A11B7"/>
    <w:rsid w:val="005A260B"/>
    <w:rsid w:val="005A4A1B"/>
    <w:rsid w:val="005A7830"/>
    <w:rsid w:val="005A7FCE"/>
    <w:rsid w:val="005B040A"/>
    <w:rsid w:val="005B0F3F"/>
    <w:rsid w:val="005B478C"/>
    <w:rsid w:val="005B4903"/>
    <w:rsid w:val="005B51CE"/>
    <w:rsid w:val="005B5885"/>
    <w:rsid w:val="005B5CD7"/>
    <w:rsid w:val="005B6CF6"/>
    <w:rsid w:val="005B7422"/>
    <w:rsid w:val="005C29B8"/>
    <w:rsid w:val="005C2AC5"/>
    <w:rsid w:val="005C302A"/>
    <w:rsid w:val="005C5F21"/>
    <w:rsid w:val="005C7156"/>
    <w:rsid w:val="005D012E"/>
    <w:rsid w:val="005D0C75"/>
    <w:rsid w:val="005D1345"/>
    <w:rsid w:val="005D247E"/>
    <w:rsid w:val="005D4171"/>
    <w:rsid w:val="005D6A95"/>
    <w:rsid w:val="005D6B2C"/>
    <w:rsid w:val="005D6D9C"/>
    <w:rsid w:val="005E2335"/>
    <w:rsid w:val="005E34CA"/>
    <w:rsid w:val="005E3C18"/>
    <w:rsid w:val="005E6812"/>
    <w:rsid w:val="005E7881"/>
    <w:rsid w:val="005E78E0"/>
    <w:rsid w:val="005F0D9C"/>
    <w:rsid w:val="005F277F"/>
    <w:rsid w:val="005F284E"/>
    <w:rsid w:val="005F4712"/>
    <w:rsid w:val="005F6612"/>
    <w:rsid w:val="006015CE"/>
    <w:rsid w:val="00604784"/>
    <w:rsid w:val="006053AC"/>
    <w:rsid w:val="00606419"/>
    <w:rsid w:val="00607D29"/>
    <w:rsid w:val="00612952"/>
    <w:rsid w:val="00614CC1"/>
    <w:rsid w:val="00615A9D"/>
    <w:rsid w:val="00617387"/>
    <w:rsid w:val="006205D6"/>
    <w:rsid w:val="006252D8"/>
    <w:rsid w:val="006259BC"/>
    <w:rsid w:val="0062636B"/>
    <w:rsid w:val="00631C92"/>
    <w:rsid w:val="00632182"/>
    <w:rsid w:val="00632AE0"/>
    <w:rsid w:val="00633C17"/>
    <w:rsid w:val="00634D9E"/>
    <w:rsid w:val="00636E3E"/>
    <w:rsid w:val="006379F7"/>
    <w:rsid w:val="00637D2E"/>
    <w:rsid w:val="00637DA4"/>
    <w:rsid w:val="00637E4D"/>
    <w:rsid w:val="00640620"/>
    <w:rsid w:val="00641A1F"/>
    <w:rsid w:val="0064303B"/>
    <w:rsid w:val="00645904"/>
    <w:rsid w:val="00647930"/>
    <w:rsid w:val="00651ACB"/>
    <w:rsid w:val="00651C47"/>
    <w:rsid w:val="00652AB2"/>
    <w:rsid w:val="00653FED"/>
    <w:rsid w:val="00654EC0"/>
    <w:rsid w:val="0065525B"/>
    <w:rsid w:val="00655D4F"/>
    <w:rsid w:val="00656D29"/>
    <w:rsid w:val="00657BB3"/>
    <w:rsid w:val="00661E4F"/>
    <w:rsid w:val="0066401B"/>
    <w:rsid w:val="006640E5"/>
    <w:rsid w:val="006646F1"/>
    <w:rsid w:val="00664929"/>
    <w:rsid w:val="00664F62"/>
    <w:rsid w:val="006655E1"/>
    <w:rsid w:val="00671817"/>
    <w:rsid w:val="00672060"/>
    <w:rsid w:val="00672BFD"/>
    <w:rsid w:val="006770F4"/>
    <w:rsid w:val="00677A84"/>
    <w:rsid w:val="0068026D"/>
    <w:rsid w:val="00680A27"/>
    <w:rsid w:val="006816A4"/>
    <w:rsid w:val="006819B8"/>
    <w:rsid w:val="006840A6"/>
    <w:rsid w:val="006850CD"/>
    <w:rsid w:val="00685AAB"/>
    <w:rsid w:val="006860CD"/>
    <w:rsid w:val="00695D22"/>
    <w:rsid w:val="006A07AA"/>
    <w:rsid w:val="006A25E5"/>
    <w:rsid w:val="006A2B46"/>
    <w:rsid w:val="006A336D"/>
    <w:rsid w:val="006A37B9"/>
    <w:rsid w:val="006B2672"/>
    <w:rsid w:val="006B54BF"/>
    <w:rsid w:val="006B5F44"/>
    <w:rsid w:val="006B5F90"/>
    <w:rsid w:val="006B62E4"/>
    <w:rsid w:val="006C1BBA"/>
    <w:rsid w:val="006C2079"/>
    <w:rsid w:val="006C3637"/>
    <w:rsid w:val="006C473B"/>
    <w:rsid w:val="006C5A62"/>
    <w:rsid w:val="006C5D68"/>
    <w:rsid w:val="006C6976"/>
    <w:rsid w:val="006C6DD0"/>
    <w:rsid w:val="006C778F"/>
    <w:rsid w:val="006D04EA"/>
    <w:rsid w:val="006D0917"/>
    <w:rsid w:val="006D0AB7"/>
    <w:rsid w:val="006D16C4"/>
    <w:rsid w:val="006D3E96"/>
    <w:rsid w:val="006D4515"/>
    <w:rsid w:val="006D4BB1"/>
    <w:rsid w:val="006D6593"/>
    <w:rsid w:val="006D6693"/>
    <w:rsid w:val="006D6CB0"/>
    <w:rsid w:val="006D7FA3"/>
    <w:rsid w:val="006E23EA"/>
    <w:rsid w:val="006E6E57"/>
    <w:rsid w:val="006E7D65"/>
    <w:rsid w:val="006F03A8"/>
    <w:rsid w:val="006F2ACA"/>
    <w:rsid w:val="006F2ADC"/>
    <w:rsid w:val="006F2BFE"/>
    <w:rsid w:val="006F31E9"/>
    <w:rsid w:val="006F5DC4"/>
    <w:rsid w:val="006F6284"/>
    <w:rsid w:val="007002C5"/>
    <w:rsid w:val="00704387"/>
    <w:rsid w:val="007067A8"/>
    <w:rsid w:val="00707669"/>
    <w:rsid w:val="00707926"/>
    <w:rsid w:val="00711CBA"/>
    <w:rsid w:val="00711FB5"/>
    <w:rsid w:val="00712A01"/>
    <w:rsid w:val="00714F58"/>
    <w:rsid w:val="00717148"/>
    <w:rsid w:val="00722FBF"/>
    <w:rsid w:val="00722FC2"/>
    <w:rsid w:val="00724494"/>
    <w:rsid w:val="00724879"/>
    <w:rsid w:val="00724E1B"/>
    <w:rsid w:val="00725949"/>
    <w:rsid w:val="00727FA2"/>
    <w:rsid w:val="007322D9"/>
    <w:rsid w:val="00732BC0"/>
    <w:rsid w:val="00734A40"/>
    <w:rsid w:val="00734B9D"/>
    <w:rsid w:val="0073720F"/>
    <w:rsid w:val="00737796"/>
    <w:rsid w:val="00737B94"/>
    <w:rsid w:val="0074165C"/>
    <w:rsid w:val="00742C35"/>
    <w:rsid w:val="007432CA"/>
    <w:rsid w:val="007439EB"/>
    <w:rsid w:val="00743CB4"/>
    <w:rsid w:val="00743F0A"/>
    <w:rsid w:val="0074426B"/>
    <w:rsid w:val="007444E8"/>
    <w:rsid w:val="0074548E"/>
    <w:rsid w:val="00745773"/>
    <w:rsid w:val="00746800"/>
    <w:rsid w:val="00747964"/>
    <w:rsid w:val="007501A8"/>
    <w:rsid w:val="00750D61"/>
    <w:rsid w:val="00750EE1"/>
    <w:rsid w:val="00752B4D"/>
    <w:rsid w:val="007536D7"/>
    <w:rsid w:val="00755402"/>
    <w:rsid w:val="00756B26"/>
    <w:rsid w:val="00756EDF"/>
    <w:rsid w:val="007600E3"/>
    <w:rsid w:val="00760D67"/>
    <w:rsid w:val="00764B0A"/>
    <w:rsid w:val="00765C43"/>
    <w:rsid w:val="00765EFB"/>
    <w:rsid w:val="00767128"/>
    <w:rsid w:val="007671CA"/>
    <w:rsid w:val="00767C61"/>
    <w:rsid w:val="0077008A"/>
    <w:rsid w:val="007729B7"/>
    <w:rsid w:val="00773A6B"/>
    <w:rsid w:val="00773C1F"/>
    <w:rsid w:val="00774DA4"/>
    <w:rsid w:val="0077614B"/>
    <w:rsid w:val="00776599"/>
    <w:rsid w:val="0078114B"/>
    <w:rsid w:val="00781DD2"/>
    <w:rsid w:val="00783ECF"/>
    <w:rsid w:val="0078413A"/>
    <w:rsid w:val="00785611"/>
    <w:rsid w:val="0079049E"/>
    <w:rsid w:val="00793769"/>
    <w:rsid w:val="007959E8"/>
    <w:rsid w:val="00795E9C"/>
    <w:rsid w:val="00796F58"/>
    <w:rsid w:val="007A0521"/>
    <w:rsid w:val="007A2E12"/>
    <w:rsid w:val="007A3475"/>
    <w:rsid w:val="007A41C8"/>
    <w:rsid w:val="007A4BBD"/>
    <w:rsid w:val="007A54CE"/>
    <w:rsid w:val="007A6FD9"/>
    <w:rsid w:val="007A79FC"/>
    <w:rsid w:val="007A7FFA"/>
    <w:rsid w:val="007B04EB"/>
    <w:rsid w:val="007B0D4F"/>
    <w:rsid w:val="007B5271"/>
    <w:rsid w:val="007B5A3D"/>
    <w:rsid w:val="007B5B95"/>
    <w:rsid w:val="007B68EA"/>
    <w:rsid w:val="007B71BF"/>
    <w:rsid w:val="007B7453"/>
    <w:rsid w:val="007C10C5"/>
    <w:rsid w:val="007C1E8B"/>
    <w:rsid w:val="007C2D89"/>
    <w:rsid w:val="007C4593"/>
    <w:rsid w:val="007C5309"/>
    <w:rsid w:val="007C6069"/>
    <w:rsid w:val="007D06C4"/>
    <w:rsid w:val="007D1352"/>
    <w:rsid w:val="007D2508"/>
    <w:rsid w:val="007D346A"/>
    <w:rsid w:val="007D6518"/>
    <w:rsid w:val="007D76BD"/>
    <w:rsid w:val="007E0BF1"/>
    <w:rsid w:val="007E4659"/>
    <w:rsid w:val="007F0ED8"/>
    <w:rsid w:val="007F0F63"/>
    <w:rsid w:val="007F73C9"/>
    <w:rsid w:val="007F75CE"/>
    <w:rsid w:val="007F7817"/>
    <w:rsid w:val="007F7E15"/>
    <w:rsid w:val="008013A4"/>
    <w:rsid w:val="008027CE"/>
    <w:rsid w:val="00802F42"/>
    <w:rsid w:val="00804383"/>
    <w:rsid w:val="00804BB7"/>
    <w:rsid w:val="00804D41"/>
    <w:rsid w:val="00810257"/>
    <w:rsid w:val="008104F5"/>
    <w:rsid w:val="00811072"/>
    <w:rsid w:val="00811369"/>
    <w:rsid w:val="00812945"/>
    <w:rsid w:val="00813934"/>
    <w:rsid w:val="00815419"/>
    <w:rsid w:val="008163C8"/>
    <w:rsid w:val="008164A1"/>
    <w:rsid w:val="00817325"/>
    <w:rsid w:val="00817B53"/>
    <w:rsid w:val="008209E6"/>
    <w:rsid w:val="00823303"/>
    <w:rsid w:val="008233B2"/>
    <w:rsid w:val="00823A9F"/>
    <w:rsid w:val="00823C85"/>
    <w:rsid w:val="00825138"/>
    <w:rsid w:val="008269DD"/>
    <w:rsid w:val="00830621"/>
    <w:rsid w:val="0083348C"/>
    <w:rsid w:val="00834905"/>
    <w:rsid w:val="008373D3"/>
    <w:rsid w:val="00840617"/>
    <w:rsid w:val="00840F84"/>
    <w:rsid w:val="00842A47"/>
    <w:rsid w:val="00843C13"/>
    <w:rsid w:val="008454F8"/>
    <w:rsid w:val="00846A1E"/>
    <w:rsid w:val="0085173A"/>
    <w:rsid w:val="00856316"/>
    <w:rsid w:val="008579C7"/>
    <w:rsid w:val="008603CE"/>
    <w:rsid w:val="008620FC"/>
    <w:rsid w:val="008627A5"/>
    <w:rsid w:val="00863E05"/>
    <w:rsid w:val="00865ACA"/>
    <w:rsid w:val="00865D28"/>
    <w:rsid w:val="00865F85"/>
    <w:rsid w:val="00867C10"/>
    <w:rsid w:val="00870439"/>
    <w:rsid w:val="00870DA1"/>
    <w:rsid w:val="00874D29"/>
    <w:rsid w:val="00881205"/>
    <w:rsid w:val="00882775"/>
    <w:rsid w:val="00883F93"/>
    <w:rsid w:val="00884DB3"/>
    <w:rsid w:val="00885A9D"/>
    <w:rsid w:val="008864F6"/>
    <w:rsid w:val="00886D88"/>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6C7"/>
    <w:rsid w:val="008B17F4"/>
    <w:rsid w:val="008B3615"/>
    <w:rsid w:val="008B4AC4"/>
    <w:rsid w:val="008B50C8"/>
    <w:rsid w:val="008B5281"/>
    <w:rsid w:val="008B5A59"/>
    <w:rsid w:val="008B77C2"/>
    <w:rsid w:val="008B7E05"/>
    <w:rsid w:val="008C12B6"/>
    <w:rsid w:val="008C1797"/>
    <w:rsid w:val="008C219C"/>
    <w:rsid w:val="008C475E"/>
    <w:rsid w:val="008C619A"/>
    <w:rsid w:val="008D0CE8"/>
    <w:rsid w:val="008D1373"/>
    <w:rsid w:val="008D2D1D"/>
    <w:rsid w:val="008D453D"/>
    <w:rsid w:val="008D53AD"/>
    <w:rsid w:val="008D562B"/>
    <w:rsid w:val="008D5733"/>
    <w:rsid w:val="008D622B"/>
    <w:rsid w:val="008D6639"/>
    <w:rsid w:val="008D666C"/>
    <w:rsid w:val="008D74BD"/>
    <w:rsid w:val="008D7B54"/>
    <w:rsid w:val="008E0C9D"/>
    <w:rsid w:val="008E1648"/>
    <w:rsid w:val="008E1B3E"/>
    <w:rsid w:val="008E2319"/>
    <w:rsid w:val="008E4BB6"/>
    <w:rsid w:val="008E5518"/>
    <w:rsid w:val="008E6A84"/>
    <w:rsid w:val="008F0161"/>
    <w:rsid w:val="008F0CDC"/>
    <w:rsid w:val="008F17A3"/>
    <w:rsid w:val="008F1ED3"/>
    <w:rsid w:val="008F23A5"/>
    <w:rsid w:val="008F2524"/>
    <w:rsid w:val="008F2CB3"/>
    <w:rsid w:val="008F4C29"/>
    <w:rsid w:val="008F70BD"/>
    <w:rsid w:val="008F788F"/>
    <w:rsid w:val="008F7EA2"/>
    <w:rsid w:val="00902722"/>
    <w:rsid w:val="009027B2"/>
    <w:rsid w:val="009027BC"/>
    <w:rsid w:val="00904C4A"/>
    <w:rsid w:val="009062E6"/>
    <w:rsid w:val="00907E8C"/>
    <w:rsid w:val="00911399"/>
    <w:rsid w:val="00911BE5"/>
    <w:rsid w:val="00913CA9"/>
    <w:rsid w:val="009145AE"/>
    <w:rsid w:val="009146CE"/>
    <w:rsid w:val="00914CA7"/>
    <w:rsid w:val="00915C3E"/>
    <w:rsid w:val="009161A8"/>
    <w:rsid w:val="00920F65"/>
    <w:rsid w:val="009225A8"/>
    <w:rsid w:val="009245F5"/>
    <w:rsid w:val="009249EC"/>
    <w:rsid w:val="0092640C"/>
    <w:rsid w:val="009273B3"/>
    <w:rsid w:val="009305B5"/>
    <w:rsid w:val="00930D64"/>
    <w:rsid w:val="009429D5"/>
    <w:rsid w:val="00942BF1"/>
    <w:rsid w:val="00944DD0"/>
    <w:rsid w:val="00944F7B"/>
    <w:rsid w:val="00945180"/>
    <w:rsid w:val="00945428"/>
    <w:rsid w:val="0094607B"/>
    <w:rsid w:val="00953604"/>
    <w:rsid w:val="0095496B"/>
    <w:rsid w:val="009610DC"/>
    <w:rsid w:val="00961490"/>
    <w:rsid w:val="00962F52"/>
    <w:rsid w:val="0096374B"/>
    <w:rsid w:val="0096381A"/>
    <w:rsid w:val="00963C4D"/>
    <w:rsid w:val="00963C93"/>
    <w:rsid w:val="00963D00"/>
    <w:rsid w:val="00965E04"/>
    <w:rsid w:val="009674AD"/>
    <w:rsid w:val="00967E9C"/>
    <w:rsid w:val="00970CDC"/>
    <w:rsid w:val="00973291"/>
    <w:rsid w:val="00977010"/>
    <w:rsid w:val="00977D02"/>
    <w:rsid w:val="009809BB"/>
    <w:rsid w:val="0098364B"/>
    <w:rsid w:val="00986A7F"/>
    <w:rsid w:val="00990036"/>
    <w:rsid w:val="009911AF"/>
    <w:rsid w:val="00991875"/>
    <w:rsid w:val="00991F92"/>
    <w:rsid w:val="00992985"/>
    <w:rsid w:val="00993889"/>
    <w:rsid w:val="009939D3"/>
    <w:rsid w:val="0099551B"/>
    <w:rsid w:val="00997BF1"/>
    <w:rsid w:val="009A05CD"/>
    <w:rsid w:val="009A089C"/>
    <w:rsid w:val="009A0AD6"/>
    <w:rsid w:val="009A118E"/>
    <w:rsid w:val="009A21CD"/>
    <w:rsid w:val="009A278C"/>
    <w:rsid w:val="009A2BC2"/>
    <w:rsid w:val="009A42C1"/>
    <w:rsid w:val="009A46D0"/>
    <w:rsid w:val="009A5429"/>
    <w:rsid w:val="009A72AD"/>
    <w:rsid w:val="009B09E0"/>
    <w:rsid w:val="009B0BC5"/>
    <w:rsid w:val="009B1247"/>
    <w:rsid w:val="009B1493"/>
    <w:rsid w:val="009B14AD"/>
    <w:rsid w:val="009B23F4"/>
    <w:rsid w:val="009B46F9"/>
    <w:rsid w:val="009B5E75"/>
    <w:rsid w:val="009B6029"/>
    <w:rsid w:val="009B6971"/>
    <w:rsid w:val="009B7D1E"/>
    <w:rsid w:val="009C03E2"/>
    <w:rsid w:val="009C1799"/>
    <w:rsid w:val="009C27F1"/>
    <w:rsid w:val="009C3152"/>
    <w:rsid w:val="009C4CFA"/>
    <w:rsid w:val="009C5070"/>
    <w:rsid w:val="009C5FC3"/>
    <w:rsid w:val="009D112C"/>
    <w:rsid w:val="009D20E1"/>
    <w:rsid w:val="009D47FA"/>
    <w:rsid w:val="009D4C5B"/>
    <w:rsid w:val="009D50D2"/>
    <w:rsid w:val="009D6BCA"/>
    <w:rsid w:val="009E0F62"/>
    <w:rsid w:val="009E4A58"/>
    <w:rsid w:val="009E5A2D"/>
    <w:rsid w:val="009E5AB2"/>
    <w:rsid w:val="009E6219"/>
    <w:rsid w:val="009E79B5"/>
    <w:rsid w:val="009F03B3"/>
    <w:rsid w:val="009F2976"/>
    <w:rsid w:val="00A0096C"/>
    <w:rsid w:val="00A01757"/>
    <w:rsid w:val="00A028C0"/>
    <w:rsid w:val="00A02BAE"/>
    <w:rsid w:val="00A04EA3"/>
    <w:rsid w:val="00A06A6B"/>
    <w:rsid w:val="00A070B7"/>
    <w:rsid w:val="00A078CA"/>
    <w:rsid w:val="00A07E47"/>
    <w:rsid w:val="00A129D0"/>
    <w:rsid w:val="00A12C33"/>
    <w:rsid w:val="00A138BA"/>
    <w:rsid w:val="00A14C8E"/>
    <w:rsid w:val="00A153D9"/>
    <w:rsid w:val="00A15F09"/>
    <w:rsid w:val="00A169B6"/>
    <w:rsid w:val="00A2271D"/>
    <w:rsid w:val="00A237BD"/>
    <w:rsid w:val="00A237D5"/>
    <w:rsid w:val="00A30EFC"/>
    <w:rsid w:val="00A31984"/>
    <w:rsid w:val="00A32D73"/>
    <w:rsid w:val="00A3367B"/>
    <w:rsid w:val="00A3597D"/>
    <w:rsid w:val="00A36DD1"/>
    <w:rsid w:val="00A37C1F"/>
    <w:rsid w:val="00A4006C"/>
    <w:rsid w:val="00A40091"/>
    <w:rsid w:val="00A4030F"/>
    <w:rsid w:val="00A41C79"/>
    <w:rsid w:val="00A41CB5"/>
    <w:rsid w:val="00A42A6E"/>
    <w:rsid w:val="00A42CDF"/>
    <w:rsid w:val="00A42E07"/>
    <w:rsid w:val="00A43D67"/>
    <w:rsid w:val="00A4452E"/>
    <w:rsid w:val="00A4472C"/>
    <w:rsid w:val="00A44E69"/>
    <w:rsid w:val="00A4661E"/>
    <w:rsid w:val="00A55BD6"/>
    <w:rsid w:val="00A55D50"/>
    <w:rsid w:val="00A57142"/>
    <w:rsid w:val="00A602F9"/>
    <w:rsid w:val="00A63250"/>
    <w:rsid w:val="00A648CD"/>
    <w:rsid w:val="00A6537A"/>
    <w:rsid w:val="00A67866"/>
    <w:rsid w:val="00A70B07"/>
    <w:rsid w:val="00A70C9B"/>
    <w:rsid w:val="00A71053"/>
    <w:rsid w:val="00A723F8"/>
    <w:rsid w:val="00A757CB"/>
    <w:rsid w:val="00A7671F"/>
    <w:rsid w:val="00A77CCB"/>
    <w:rsid w:val="00A77E3E"/>
    <w:rsid w:val="00A80291"/>
    <w:rsid w:val="00A82DDE"/>
    <w:rsid w:val="00A83D8D"/>
    <w:rsid w:val="00A8446B"/>
    <w:rsid w:val="00A8473F"/>
    <w:rsid w:val="00A862D6"/>
    <w:rsid w:val="00A8715E"/>
    <w:rsid w:val="00A9295B"/>
    <w:rsid w:val="00A92AFA"/>
    <w:rsid w:val="00A933EC"/>
    <w:rsid w:val="00A93B09"/>
    <w:rsid w:val="00A94247"/>
    <w:rsid w:val="00A952D7"/>
    <w:rsid w:val="00A963F7"/>
    <w:rsid w:val="00A9669B"/>
    <w:rsid w:val="00A96AD8"/>
    <w:rsid w:val="00AA052C"/>
    <w:rsid w:val="00AA141A"/>
    <w:rsid w:val="00AA1E45"/>
    <w:rsid w:val="00AA4286"/>
    <w:rsid w:val="00AA456B"/>
    <w:rsid w:val="00AA57F5"/>
    <w:rsid w:val="00AA672E"/>
    <w:rsid w:val="00AA6A49"/>
    <w:rsid w:val="00AA6EC9"/>
    <w:rsid w:val="00AB41D5"/>
    <w:rsid w:val="00AB50CF"/>
    <w:rsid w:val="00AB6309"/>
    <w:rsid w:val="00AB6C5F"/>
    <w:rsid w:val="00AB7129"/>
    <w:rsid w:val="00AC27A6"/>
    <w:rsid w:val="00AC30F7"/>
    <w:rsid w:val="00AC3A5A"/>
    <w:rsid w:val="00AC4D95"/>
    <w:rsid w:val="00AC4DA8"/>
    <w:rsid w:val="00AC5DF4"/>
    <w:rsid w:val="00AD0072"/>
    <w:rsid w:val="00AD0AEF"/>
    <w:rsid w:val="00AD11B7"/>
    <w:rsid w:val="00AD1A94"/>
    <w:rsid w:val="00AD1C05"/>
    <w:rsid w:val="00AD4126"/>
    <w:rsid w:val="00AD421C"/>
    <w:rsid w:val="00AD44FA"/>
    <w:rsid w:val="00AD6E27"/>
    <w:rsid w:val="00AD7AC3"/>
    <w:rsid w:val="00AE070A"/>
    <w:rsid w:val="00AE101C"/>
    <w:rsid w:val="00AE20D2"/>
    <w:rsid w:val="00AE2E8F"/>
    <w:rsid w:val="00AE37E5"/>
    <w:rsid w:val="00AE5EB4"/>
    <w:rsid w:val="00AF0C18"/>
    <w:rsid w:val="00AF40CA"/>
    <w:rsid w:val="00AF47C5"/>
    <w:rsid w:val="00AF5398"/>
    <w:rsid w:val="00AF64D9"/>
    <w:rsid w:val="00AF6A72"/>
    <w:rsid w:val="00B01054"/>
    <w:rsid w:val="00B049AF"/>
    <w:rsid w:val="00B06757"/>
    <w:rsid w:val="00B07242"/>
    <w:rsid w:val="00B10534"/>
    <w:rsid w:val="00B113DB"/>
    <w:rsid w:val="00B11D8A"/>
    <w:rsid w:val="00B12981"/>
    <w:rsid w:val="00B147DD"/>
    <w:rsid w:val="00B15605"/>
    <w:rsid w:val="00B156FD"/>
    <w:rsid w:val="00B21F61"/>
    <w:rsid w:val="00B25C86"/>
    <w:rsid w:val="00B261F1"/>
    <w:rsid w:val="00B265BC"/>
    <w:rsid w:val="00B30BDA"/>
    <w:rsid w:val="00B31FB1"/>
    <w:rsid w:val="00B33952"/>
    <w:rsid w:val="00B33C5E"/>
    <w:rsid w:val="00B342F4"/>
    <w:rsid w:val="00B34369"/>
    <w:rsid w:val="00B34DC2"/>
    <w:rsid w:val="00B378E5"/>
    <w:rsid w:val="00B41513"/>
    <w:rsid w:val="00B42989"/>
    <w:rsid w:val="00B4346D"/>
    <w:rsid w:val="00B440F4"/>
    <w:rsid w:val="00B447A5"/>
    <w:rsid w:val="00B45600"/>
    <w:rsid w:val="00B4654C"/>
    <w:rsid w:val="00B46AF0"/>
    <w:rsid w:val="00B471B4"/>
    <w:rsid w:val="00B47293"/>
    <w:rsid w:val="00B50E50"/>
    <w:rsid w:val="00B52120"/>
    <w:rsid w:val="00B5471E"/>
    <w:rsid w:val="00B54ABC"/>
    <w:rsid w:val="00B54DDE"/>
    <w:rsid w:val="00B561DD"/>
    <w:rsid w:val="00B56FBE"/>
    <w:rsid w:val="00B60ACF"/>
    <w:rsid w:val="00B61C10"/>
    <w:rsid w:val="00B62B58"/>
    <w:rsid w:val="00B65149"/>
    <w:rsid w:val="00B66567"/>
    <w:rsid w:val="00B66F52"/>
    <w:rsid w:val="00B66FE5"/>
    <w:rsid w:val="00B72880"/>
    <w:rsid w:val="00B7304E"/>
    <w:rsid w:val="00B74CD5"/>
    <w:rsid w:val="00B758BF"/>
    <w:rsid w:val="00B771BB"/>
    <w:rsid w:val="00B77EC8"/>
    <w:rsid w:val="00B80FC0"/>
    <w:rsid w:val="00B827A6"/>
    <w:rsid w:val="00B831CE"/>
    <w:rsid w:val="00B83672"/>
    <w:rsid w:val="00B850BC"/>
    <w:rsid w:val="00B86677"/>
    <w:rsid w:val="00B87131"/>
    <w:rsid w:val="00B939B1"/>
    <w:rsid w:val="00B9489B"/>
    <w:rsid w:val="00B95058"/>
    <w:rsid w:val="00B96D40"/>
    <w:rsid w:val="00B9727F"/>
    <w:rsid w:val="00B97386"/>
    <w:rsid w:val="00BA263B"/>
    <w:rsid w:val="00BA42B2"/>
    <w:rsid w:val="00BA58D4"/>
    <w:rsid w:val="00BA5B9E"/>
    <w:rsid w:val="00BA6826"/>
    <w:rsid w:val="00BA7C9A"/>
    <w:rsid w:val="00BB203B"/>
    <w:rsid w:val="00BB5F8F"/>
    <w:rsid w:val="00BB657A"/>
    <w:rsid w:val="00BC1A4E"/>
    <w:rsid w:val="00BC4790"/>
    <w:rsid w:val="00BC5DC7"/>
    <w:rsid w:val="00BC6B8B"/>
    <w:rsid w:val="00BC73D8"/>
    <w:rsid w:val="00BD52D7"/>
    <w:rsid w:val="00BD5AD2"/>
    <w:rsid w:val="00BD651B"/>
    <w:rsid w:val="00BE22F3"/>
    <w:rsid w:val="00BE2769"/>
    <w:rsid w:val="00BE3873"/>
    <w:rsid w:val="00BE5B52"/>
    <w:rsid w:val="00BE7B8D"/>
    <w:rsid w:val="00BF0993"/>
    <w:rsid w:val="00BF10A9"/>
    <w:rsid w:val="00BF1703"/>
    <w:rsid w:val="00BF231C"/>
    <w:rsid w:val="00BF51E5"/>
    <w:rsid w:val="00BF650F"/>
    <w:rsid w:val="00BF74A6"/>
    <w:rsid w:val="00C013AD"/>
    <w:rsid w:val="00C029C1"/>
    <w:rsid w:val="00C04904"/>
    <w:rsid w:val="00C056B3"/>
    <w:rsid w:val="00C05A36"/>
    <w:rsid w:val="00C103E5"/>
    <w:rsid w:val="00C13319"/>
    <w:rsid w:val="00C13EE9"/>
    <w:rsid w:val="00C203D1"/>
    <w:rsid w:val="00C20AED"/>
    <w:rsid w:val="00C21540"/>
    <w:rsid w:val="00C21906"/>
    <w:rsid w:val="00C21BFA"/>
    <w:rsid w:val="00C22148"/>
    <w:rsid w:val="00C24C8D"/>
    <w:rsid w:val="00C25FE2"/>
    <w:rsid w:val="00C26B53"/>
    <w:rsid w:val="00C279B2"/>
    <w:rsid w:val="00C3231C"/>
    <w:rsid w:val="00C33E50"/>
    <w:rsid w:val="00C34C20"/>
    <w:rsid w:val="00C35A3E"/>
    <w:rsid w:val="00C42130"/>
    <w:rsid w:val="00C423A4"/>
    <w:rsid w:val="00C44BF5"/>
    <w:rsid w:val="00C45A8C"/>
    <w:rsid w:val="00C46599"/>
    <w:rsid w:val="00C521D6"/>
    <w:rsid w:val="00C55232"/>
    <w:rsid w:val="00C553A4"/>
    <w:rsid w:val="00C55A06"/>
    <w:rsid w:val="00C55C2D"/>
    <w:rsid w:val="00C55D03"/>
    <w:rsid w:val="00C55DCE"/>
    <w:rsid w:val="00C57EAF"/>
    <w:rsid w:val="00C601BC"/>
    <w:rsid w:val="00C63121"/>
    <w:rsid w:val="00C6329F"/>
    <w:rsid w:val="00C63340"/>
    <w:rsid w:val="00C643F9"/>
    <w:rsid w:val="00C64E95"/>
    <w:rsid w:val="00C71372"/>
    <w:rsid w:val="00C72410"/>
    <w:rsid w:val="00C7287F"/>
    <w:rsid w:val="00C742F1"/>
    <w:rsid w:val="00C776D9"/>
    <w:rsid w:val="00C80CB8"/>
    <w:rsid w:val="00C819F8"/>
    <w:rsid w:val="00C8248C"/>
    <w:rsid w:val="00C84E33"/>
    <w:rsid w:val="00C86D6F"/>
    <w:rsid w:val="00C87869"/>
    <w:rsid w:val="00C905FC"/>
    <w:rsid w:val="00C92D03"/>
    <w:rsid w:val="00C92E0B"/>
    <w:rsid w:val="00C9319C"/>
    <w:rsid w:val="00C938DD"/>
    <w:rsid w:val="00C9435D"/>
    <w:rsid w:val="00C94DF2"/>
    <w:rsid w:val="00C96741"/>
    <w:rsid w:val="00CA2D1B"/>
    <w:rsid w:val="00CA356F"/>
    <w:rsid w:val="00CA375D"/>
    <w:rsid w:val="00CA44F0"/>
    <w:rsid w:val="00CA4839"/>
    <w:rsid w:val="00CA58EA"/>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2031"/>
    <w:rsid w:val="00CE30EA"/>
    <w:rsid w:val="00CE704C"/>
    <w:rsid w:val="00CF048A"/>
    <w:rsid w:val="00CF155A"/>
    <w:rsid w:val="00CF2947"/>
    <w:rsid w:val="00CF686F"/>
    <w:rsid w:val="00CF6E60"/>
    <w:rsid w:val="00CF7BCA"/>
    <w:rsid w:val="00D008FD"/>
    <w:rsid w:val="00D02802"/>
    <w:rsid w:val="00D0321C"/>
    <w:rsid w:val="00D035EC"/>
    <w:rsid w:val="00D06AB1"/>
    <w:rsid w:val="00D072ED"/>
    <w:rsid w:val="00D07A16"/>
    <w:rsid w:val="00D1067E"/>
    <w:rsid w:val="00D10F50"/>
    <w:rsid w:val="00D11272"/>
    <w:rsid w:val="00D126F5"/>
    <w:rsid w:val="00D1489E"/>
    <w:rsid w:val="00D20737"/>
    <w:rsid w:val="00D21E81"/>
    <w:rsid w:val="00D22245"/>
    <w:rsid w:val="00D223DE"/>
    <w:rsid w:val="00D25E37"/>
    <w:rsid w:val="00D2661A"/>
    <w:rsid w:val="00D26630"/>
    <w:rsid w:val="00D27582"/>
    <w:rsid w:val="00D27EC4"/>
    <w:rsid w:val="00D32719"/>
    <w:rsid w:val="00D33333"/>
    <w:rsid w:val="00D33457"/>
    <w:rsid w:val="00D352A2"/>
    <w:rsid w:val="00D36B18"/>
    <w:rsid w:val="00D4162B"/>
    <w:rsid w:val="00D4514F"/>
    <w:rsid w:val="00D451E2"/>
    <w:rsid w:val="00D45BB5"/>
    <w:rsid w:val="00D45E89"/>
    <w:rsid w:val="00D45E8D"/>
    <w:rsid w:val="00D466AE"/>
    <w:rsid w:val="00D4734F"/>
    <w:rsid w:val="00D51BF3"/>
    <w:rsid w:val="00D5569C"/>
    <w:rsid w:val="00D56ADB"/>
    <w:rsid w:val="00D62483"/>
    <w:rsid w:val="00D63987"/>
    <w:rsid w:val="00D66846"/>
    <w:rsid w:val="00D675FB"/>
    <w:rsid w:val="00D71F25"/>
    <w:rsid w:val="00D72A9C"/>
    <w:rsid w:val="00D77031"/>
    <w:rsid w:val="00D84941"/>
    <w:rsid w:val="00D84FA1"/>
    <w:rsid w:val="00D851F0"/>
    <w:rsid w:val="00D858D5"/>
    <w:rsid w:val="00D86DB7"/>
    <w:rsid w:val="00D90DA8"/>
    <w:rsid w:val="00D926D0"/>
    <w:rsid w:val="00D93030"/>
    <w:rsid w:val="00D950E1"/>
    <w:rsid w:val="00D952A6"/>
    <w:rsid w:val="00D97F99"/>
    <w:rsid w:val="00DA1E08"/>
    <w:rsid w:val="00DA24F8"/>
    <w:rsid w:val="00DA28E8"/>
    <w:rsid w:val="00DA38D3"/>
    <w:rsid w:val="00DA3932"/>
    <w:rsid w:val="00DA3AFC"/>
    <w:rsid w:val="00DA5191"/>
    <w:rsid w:val="00DA5793"/>
    <w:rsid w:val="00DA64F8"/>
    <w:rsid w:val="00DA6C15"/>
    <w:rsid w:val="00DB0258"/>
    <w:rsid w:val="00DB0BB4"/>
    <w:rsid w:val="00DB38EE"/>
    <w:rsid w:val="00DB3FF0"/>
    <w:rsid w:val="00DB498B"/>
    <w:rsid w:val="00DB66CA"/>
    <w:rsid w:val="00DB6745"/>
    <w:rsid w:val="00DB6BCA"/>
    <w:rsid w:val="00DB73F7"/>
    <w:rsid w:val="00DC0321"/>
    <w:rsid w:val="00DC0844"/>
    <w:rsid w:val="00DC3067"/>
    <w:rsid w:val="00DC370B"/>
    <w:rsid w:val="00DC4736"/>
    <w:rsid w:val="00DC5B90"/>
    <w:rsid w:val="00DD00FF"/>
    <w:rsid w:val="00DD0619"/>
    <w:rsid w:val="00DD07FB"/>
    <w:rsid w:val="00DD08DD"/>
    <w:rsid w:val="00DD25C6"/>
    <w:rsid w:val="00DD4FE5"/>
    <w:rsid w:val="00DD54B0"/>
    <w:rsid w:val="00DD57EE"/>
    <w:rsid w:val="00DD6BCC"/>
    <w:rsid w:val="00DE0A4B"/>
    <w:rsid w:val="00DE2410"/>
    <w:rsid w:val="00DE2939"/>
    <w:rsid w:val="00DE594D"/>
    <w:rsid w:val="00DE6E81"/>
    <w:rsid w:val="00DE703F"/>
    <w:rsid w:val="00DE7595"/>
    <w:rsid w:val="00DF1961"/>
    <w:rsid w:val="00DF44DE"/>
    <w:rsid w:val="00DF5F11"/>
    <w:rsid w:val="00DF7B2C"/>
    <w:rsid w:val="00E01138"/>
    <w:rsid w:val="00E02DFB"/>
    <w:rsid w:val="00E030F9"/>
    <w:rsid w:val="00E0311A"/>
    <w:rsid w:val="00E03138"/>
    <w:rsid w:val="00E06404"/>
    <w:rsid w:val="00E065D2"/>
    <w:rsid w:val="00E07D36"/>
    <w:rsid w:val="00E07D75"/>
    <w:rsid w:val="00E11A85"/>
    <w:rsid w:val="00E12495"/>
    <w:rsid w:val="00E126A4"/>
    <w:rsid w:val="00E14666"/>
    <w:rsid w:val="00E15CCD"/>
    <w:rsid w:val="00E202EF"/>
    <w:rsid w:val="00E210B5"/>
    <w:rsid w:val="00E21DA2"/>
    <w:rsid w:val="00E23D99"/>
    <w:rsid w:val="00E2552F"/>
    <w:rsid w:val="00E27F87"/>
    <w:rsid w:val="00E31029"/>
    <w:rsid w:val="00E3137A"/>
    <w:rsid w:val="00E32CCF"/>
    <w:rsid w:val="00E33E61"/>
    <w:rsid w:val="00E34A98"/>
    <w:rsid w:val="00E35D1E"/>
    <w:rsid w:val="00E364F9"/>
    <w:rsid w:val="00E365FA"/>
    <w:rsid w:val="00E36789"/>
    <w:rsid w:val="00E44A83"/>
    <w:rsid w:val="00E45664"/>
    <w:rsid w:val="00E502C1"/>
    <w:rsid w:val="00E502DD"/>
    <w:rsid w:val="00E50D3A"/>
    <w:rsid w:val="00E51387"/>
    <w:rsid w:val="00E51E68"/>
    <w:rsid w:val="00E52EFD"/>
    <w:rsid w:val="00E5408A"/>
    <w:rsid w:val="00E56800"/>
    <w:rsid w:val="00E6084D"/>
    <w:rsid w:val="00E60C63"/>
    <w:rsid w:val="00E62FF9"/>
    <w:rsid w:val="00E635D6"/>
    <w:rsid w:val="00E639BC"/>
    <w:rsid w:val="00E64EE7"/>
    <w:rsid w:val="00E664CC"/>
    <w:rsid w:val="00E70388"/>
    <w:rsid w:val="00E707CB"/>
    <w:rsid w:val="00E70F92"/>
    <w:rsid w:val="00E71551"/>
    <w:rsid w:val="00E73AE0"/>
    <w:rsid w:val="00E73E02"/>
    <w:rsid w:val="00E74C54"/>
    <w:rsid w:val="00E77A03"/>
    <w:rsid w:val="00E822E8"/>
    <w:rsid w:val="00E82554"/>
    <w:rsid w:val="00E82606"/>
    <w:rsid w:val="00E82DD4"/>
    <w:rsid w:val="00E846C8"/>
    <w:rsid w:val="00E84957"/>
    <w:rsid w:val="00E84A55"/>
    <w:rsid w:val="00E85BFF"/>
    <w:rsid w:val="00E90391"/>
    <w:rsid w:val="00E906C2"/>
    <w:rsid w:val="00E9311F"/>
    <w:rsid w:val="00E934D1"/>
    <w:rsid w:val="00E94AF0"/>
    <w:rsid w:val="00E95D13"/>
    <w:rsid w:val="00E95DD3"/>
    <w:rsid w:val="00E963EB"/>
    <w:rsid w:val="00E969D5"/>
    <w:rsid w:val="00EA1052"/>
    <w:rsid w:val="00EA58D1"/>
    <w:rsid w:val="00EA61BC"/>
    <w:rsid w:val="00EA681A"/>
    <w:rsid w:val="00EA735B"/>
    <w:rsid w:val="00EB17DE"/>
    <w:rsid w:val="00EB1E69"/>
    <w:rsid w:val="00EB2086"/>
    <w:rsid w:val="00EB53D7"/>
    <w:rsid w:val="00EB5EDF"/>
    <w:rsid w:val="00EB60FE"/>
    <w:rsid w:val="00EB74DB"/>
    <w:rsid w:val="00EC1775"/>
    <w:rsid w:val="00EC19BB"/>
    <w:rsid w:val="00EC5359"/>
    <w:rsid w:val="00EC562A"/>
    <w:rsid w:val="00EC779F"/>
    <w:rsid w:val="00EC7C63"/>
    <w:rsid w:val="00ED067A"/>
    <w:rsid w:val="00ED0ABD"/>
    <w:rsid w:val="00ED2B50"/>
    <w:rsid w:val="00EE0350"/>
    <w:rsid w:val="00EE0719"/>
    <w:rsid w:val="00EE0E80"/>
    <w:rsid w:val="00EE4FD8"/>
    <w:rsid w:val="00EE54A6"/>
    <w:rsid w:val="00EE613F"/>
    <w:rsid w:val="00EE7295"/>
    <w:rsid w:val="00EE7869"/>
    <w:rsid w:val="00EF054A"/>
    <w:rsid w:val="00EF3235"/>
    <w:rsid w:val="00EF7E72"/>
    <w:rsid w:val="00F02933"/>
    <w:rsid w:val="00F06D37"/>
    <w:rsid w:val="00F07B9D"/>
    <w:rsid w:val="00F11586"/>
    <w:rsid w:val="00F1183B"/>
    <w:rsid w:val="00F11C9F"/>
    <w:rsid w:val="00F12050"/>
    <w:rsid w:val="00F12263"/>
    <w:rsid w:val="00F1409D"/>
    <w:rsid w:val="00F14214"/>
    <w:rsid w:val="00F157A9"/>
    <w:rsid w:val="00F20645"/>
    <w:rsid w:val="00F23DAC"/>
    <w:rsid w:val="00F25BB6"/>
    <w:rsid w:val="00F26B7E"/>
    <w:rsid w:val="00F27867"/>
    <w:rsid w:val="00F27A3B"/>
    <w:rsid w:val="00F329CA"/>
    <w:rsid w:val="00F33817"/>
    <w:rsid w:val="00F375F2"/>
    <w:rsid w:val="00F420D5"/>
    <w:rsid w:val="00F42735"/>
    <w:rsid w:val="00F451EA"/>
    <w:rsid w:val="00F45447"/>
    <w:rsid w:val="00F456C6"/>
    <w:rsid w:val="00F4577B"/>
    <w:rsid w:val="00F46496"/>
    <w:rsid w:val="00F474D0"/>
    <w:rsid w:val="00F50179"/>
    <w:rsid w:val="00F515EE"/>
    <w:rsid w:val="00F55725"/>
    <w:rsid w:val="00F56511"/>
    <w:rsid w:val="00F575FC"/>
    <w:rsid w:val="00F6194E"/>
    <w:rsid w:val="00F623AC"/>
    <w:rsid w:val="00F6412A"/>
    <w:rsid w:val="00F65893"/>
    <w:rsid w:val="00F66A4A"/>
    <w:rsid w:val="00F67383"/>
    <w:rsid w:val="00F71A5B"/>
    <w:rsid w:val="00F71E22"/>
    <w:rsid w:val="00F72142"/>
    <w:rsid w:val="00F72AE7"/>
    <w:rsid w:val="00F75F4B"/>
    <w:rsid w:val="00F81141"/>
    <w:rsid w:val="00F81773"/>
    <w:rsid w:val="00F81DA0"/>
    <w:rsid w:val="00F833BA"/>
    <w:rsid w:val="00F84EA7"/>
    <w:rsid w:val="00F84FD0"/>
    <w:rsid w:val="00F859A8"/>
    <w:rsid w:val="00F86D87"/>
    <w:rsid w:val="00F90D64"/>
    <w:rsid w:val="00F9108B"/>
    <w:rsid w:val="00F91349"/>
    <w:rsid w:val="00F93A8A"/>
    <w:rsid w:val="00F95248"/>
    <w:rsid w:val="00F956A9"/>
    <w:rsid w:val="00F963ED"/>
    <w:rsid w:val="00F966CF"/>
    <w:rsid w:val="00F96CAE"/>
    <w:rsid w:val="00F97C99"/>
    <w:rsid w:val="00FA08B0"/>
    <w:rsid w:val="00FA1985"/>
    <w:rsid w:val="00FA4DAC"/>
    <w:rsid w:val="00FA662D"/>
    <w:rsid w:val="00FA73B1"/>
    <w:rsid w:val="00FB0CB9"/>
    <w:rsid w:val="00FB0F41"/>
    <w:rsid w:val="00FB231D"/>
    <w:rsid w:val="00FB3514"/>
    <w:rsid w:val="00FB45F1"/>
    <w:rsid w:val="00FB4A72"/>
    <w:rsid w:val="00FB54E8"/>
    <w:rsid w:val="00FB7054"/>
    <w:rsid w:val="00FC17B7"/>
    <w:rsid w:val="00FC2CB7"/>
    <w:rsid w:val="00FC4090"/>
    <w:rsid w:val="00FC55B4"/>
    <w:rsid w:val="00FC6ED0"/>
    <w:rsid w:val="00FD00E6"/>
    <w:rsid w:val="00FD09A1"/>
    <w:rsid w:val="00FD10FD"/>
    <w:rsid w:val="00FD1BE7"/>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ED60CD"/>
    <w:rsid w:val="03F44678"/>
    <w:rsid w:val="132012DF"/>
    <w:rsid w:val="144B6E43"/>
    <w:rsid w:val="21DB7FEF"/>
    <w:rsid w:val="21F816E9"/>
    <w:rsid w:val="24113B74"/>
    <w:rsid w:val="243F07C0"/>
    <w:rsid w:val="29C80BF4"/>
    <w:rsid w:val="2D7B7A0C"/>
    <w:rsid w:val="2D844A83"/>
    <w:rsid w:val="30BF36CE"/>
    <w:rsid w:val="31FA7FA3"/>
    <w:rsid w:val="32672402"/>
    <w:rsid w:val="32875877"/>
    <w:rsid w:val="3D1E5C80"/>
    <w:rsid w:val="46D806FA"/>
    <w:rsid w:val="544E4259"/>
    <w:rsid w:val="5CDE3DC5"/>
    <w:rsid w:val="6251716B"/>
    <w:rsid w:val="62DD5D7E"/>
    <w:rsid w:val="64155BDB"/>
    <w:rsid w:val="6C1F2DC2"/>
    <w:rsid w:val="6EAE5472"/>
    <w:rsid w:val="715E33FB"/>
    <w:rsid w:val="739D7FB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6">
    <w:name w:val="Default Paragraph Font"/>
    <w:unhideWhenUsed/>
    <w:uiPriority w:val="1"/>
  </w:style>
  <w:style w:type="table" w:default="1" w:styleId="32">
    <w:name w:val="Normal Table"/>
    <w:unhideWhenUsed/>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character" w:styleId="27">
    <w:name w:val="Strong"/>
    <w:qFormat/>
    <w:uiPriority w:val="22"/>
    <w:rPr>
      <w:b/>
      <w:bCs/>
    </w:rPr>
  </w:style>
  <w:style w:type="character" w:styleId="28">
    <w:name w:val="page number"/>
    <w:qFormat/>
    <w:uiPriority w:val="0"/>
    <w:rPr>
      <w:rFonts w:ascii="宋体" w:hAnsi="Times New Roman" w:eastAsia="宋体"/>
      <w:sz w:val="18"/>
    </w:rPr>
  </w:style>
  <w:style w:type="character" w:styleId="29">
    <w:name w:val="Emphasis"/>
    <w:qFormat/>
    <w:uiPriority w:val="20"/>
    <w:rPr>
      <w:i/>
      <w:iCs/>
    </w:rPr>
  </w:style>
  <w:style w:type="character" w:styleId="30">
    <w:name w:val="Hyperlink"/>
    <w:qFormat/>
    <w:uiPriority w:val="99"/>
    <w:rPr>
      <w:rFonts w:ascii="宋体" w:hAnsi="Times New Roman" w:eastAsia="宋体"/>
      <w:color w:val="auto"/>
      <w:spacing w:val="0"/>
      <w:w w:val="100"/>
      <w:position w:val="0"/>
      <w:sz w:val="21"/>
      <w:u w:val="none"/>
      <w:vertAlign w:val="baseline"/>
    </w:rPr>
  </w:style>
  <w:style w:type="character" w:styleId="31">
    <w:name w:val="footnote reference"/>
    <w:semiHidden/>
    <w:qFormat/>
    <w:uiPriority w:val="0"/>
    <w:rPr>
      <w:rFonts w:ascii="宋体" w:hAnsi="宋体" w:eastAsia="宋体" w:cs="Times New Roman"/>
      <w:spacing w:val="0"/>
      <w:sz w:val="18"/>
      <w:vertAlign w:val="superscript"/>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customStyle="1" w:styleId="46">
    <w:name w:val="引用1"/>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ind w:left="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left="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customStyle="1" w:styleId="186">
    <w:name w:val="占位符文本1"/>
    <w:basedOn w:val="26"/>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6"/>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6"/>
    <w:qFormat/>
    <w:uiPriority w:val="0"/>
    <w:rPr>
      <w:rFonts w:ascii="黑体" w:eastAsia="黑体"/>
      <w:spacing w:val="85"/>
      <w:w w:val="100"/>
      <w:position w:val="3"/>
      <w:sz w:val="28"/>
      <w:szCs w:val="28"/>
    </w:rPr>
  </w:style>
  <w:style w:type="paragraph" w:customStyle="1" w:styleId="230">
    <w:name w:val="段"/>
    <w:link w:val="23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1">
    <w:name w:val="段 Char"/>
    <w:link w:val="230"/>
    <w:qFormat/>
    <w:uiPriority w:val="0"/>
    <w:rPr>
      <w:rFonts w:ascii="宋体" w:hAnsi="Times New Roman"/>
      <w:sz w:val="21"/>
    </w:rPr>
  </w:style>
  <w:style w:type="paragraph" w:customStyle="1" w:styleId="232">
    <w:name w:val="章标题"/>
    <w:next w:val="230"/>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3">
    <w:name w:val="一级无"/>
    <w:basedOn w:val="1"/>
    <w:qFormat/>
    <w:uiPriority w:val="0"/>
    <w:pPr>
      <w:widowControl/>
      <w:adjustRightInd/>
      <w:spacing w:line="240" w:lineRule="auto"/>
      <w:jc w:val="left"/>
      <w:outlineLvl w:val="2"/>
    </w:pPr>
    <w:rPr>
      <w:rFonts w:ascii="宋体" w:hAnsi="Times New Roman"/>
      <w:kern w:val="0"/>
    </w:rPr>
  </w:style>
  <w:style w:type="paragraph" w:customStyle="1" w:styleId="234">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235">
    <w:name w:val="四级条标题"/>
    <w:basedOn w:val="236"/>
    <w:next w:val="230"/>
    <w:qFormat/>
    <w:uiPriority w:val="0"/>
    <w:pPr>
      <w:numPr>
        <w:ilvl w:val="4"/>
      </w:numPr>
      <w:outlineLvl w:val="5"/>
    </w:pPr>
  </w:style>
  <w:style w:type="paragraph" w:customStyle="1" w:styleId="236">
    <w:name w:val="三级条标题"/>
    <w:basedOn w:val="237"/>
    <w:next w:val="230"/>
    <w:qFormat/>
    <w:uiPriority w:val="0"/>
    <w:pPr>
      <w:numPr>
        <w:ilvl w:val="3"/>
      </w:numPr>
      <w:outlineLvl w:val="4"/>
    </w:pPr>
  </w:style>
  <w:style w:type="paragraph" w:customStyle="1" w:styleId="237">
    <w:name w:val="二级条标题"/>
    <w:basedOn w:val="1"/>
    <w:next w:val="230"/>
    <w:qFormat/>
    <w:uiPriority w:val="0"/>
    <w:pPr>
      <w:widowControl/>
      <w:numPr>
        <w:ilvl w:val="2"/>
        <w:numId w:val="32"/>
      </w:numPr>
      <w:adjustRightInd/>
      <w:spacing w:before="50" w:beforeLines="50" w:after="50" w:afterLines="50" w:line="240" w:lineRule="auto"/>
      <w:jc w:val="left"/>
      <w:outlineLvl w:val="3"/>
    </w:pPr>
    <w:rPr>
      <w:rFonts w:ascii="黑体" w:hAnsi="Times New Roman" w:eastAsia="黑体"/>
      <w:kern w:val="0"/>
    </w:rPr>
  </w:style>
  <w:style w:type="paragraph" w:customStyle="1" w:styleId="238">
    <w:name w:val="数字编号列项（二级）"/>
    <w:qFormat/>
    <w:uiPriority w:val="0"/>
    <w:pPr>
      <w:tabs>
        <w:tab w:val="left" w:pos="840"/>
        <w:tab w:val="left" w:pos="1260"/>
      </w:tabs>
      <w:ind w:left="1259" w:hanging="419"/>
      <w:jc w:val="both"/>
    </w:pPr>
    <w:rPr>
      <w:rFonts w:ascii="宋体" w:hAnsi="Times New Roman" w:eastAsia="宋体" w:cs="Times New Roman"/>
      <w:sz w:val="21"/>
      <w:lang w:val="en-US" w:eastAsia="zh-CN" w:bidi="ar-SA"/>
    </w:rPr>
  </w:style>
  <w:style w:type="paragraph" w:customStyle="1" w:styleId="239">
    <w:name w:val="二级无"/>
    <w:basedOn w:val="237"/>
    <w:qFormat/>
    <w:uiPriority w:val="0"/>
    <w:pPr>
      <w:spacing w:before="0" w:beforeLines="0" w:after="0" w:afterLines="0"/>
    </w:pPr>
    <w:rPr>
      <w:rFonts w:ascii="宋体" w:eastAsia="宋体"/>
    </w:rPr>
  </w:style>
  <w:style w:type="paragraph" w:customStyle="1" w:styleId="240">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241">
    <w:name w:val="五级条标题"/>
    <w:basedOn w:val="235"/>
    <w:next w:val="230"/>
    <w:qFormat/>
    <w:uiPriority w:val="0"/>
    <w:pPr>
      <w:numPr>
        <w:ilvl w:val="5"/>
      </w:numPr>
      <w:outlineLvl w:val="6"/>
    </w:pPr>
  </w:style>
  <w:style w:type="paragraph" w:customStyle="1" w:styleId="242">
    <w:name w:val="正文1"/>
    <w:qFormat/>
    <w:uiPriority w:val="0"/>
    <w:pPr>
      <w:jc w:val="both"/>
    </w:pPr>
    <w:rPr>
      <w:rFonts w:ascii="Calibri" w:hAnsi="Calibri" w:eastAsia="宋体" w:cs="宋体"/>
      <w:kern w:val="2"/>
      <w:sz w:val="21"/>
      <w:szCs w:val="21"/>
      <w:lang w:val="en-US" w:eastAsia="zh-CN" w:bidi="ar-SA"/>
    </w:rPr>
  </w:style>
  <w:style w:type="paragraph" w:customStyle="1" w:styleId="243">
    <w:name w:val="Table Text"/>
    <w:basedOn w:val="1"/>
    <w:semiHidden/>
    <w:qFormat/>
    <w:uiPriority w:val="0"/>
    <w:rPr>
      <w:rFonts w:ascii="宋体" w:hAnsi="宋体" w:cs="宋体"/>
      <w:sz w:val="18"/>
      <w:szCs w:val="18"/>
      <w:lang w:eastAsia="en-US"/>
    </w:rPr>
  </w:style>
  <w:style w:type="table" w:customStyle="1" w:styleId="244">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image" Target="media/image1.tiff"/><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 Files (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956746661FE4D148254328BD864EB57"/>
        <w:style w:val=""/>
        <w:category>
          <w:name w:val="常规"/>
          <w:gallery w:val="placeholder"/>
        </w:category>
        <w:types>
          <w:type w:val="bbPlcHdr"/>
        </w:types>
        <w:behaviors>
          <w:behavior w:val="content"/>
        </w:behaviors>
        <w:description w:val=""/>
        <w:guid w:val="{C362404F-29D9-4A3D-97A9-E14FA7DEB4FF}"/>
      </w:docPartPr>
      <w:docPartBody>
        <w:p>
          <w:pPr>
            <w:pStyle w:val="5"/>
          </w:pPr>
          <w:r>
            <w:rPr>
              <w:rStyle w:val="4"/>
              <w:rFonts w:hint="eastAsia"/>
            </w:rPr>
            <w:t>单击或点击此处输入文字。</w:t>
          </w:r>
        </w:p>
      </w:docPartBody>
    </w:docPart>
    <w:docPart>
      <w:docPartPr>
        <w:name w:val="7158C80FFE2B461BBF83DF9781D6CF0A"/>
        <w:style w:val=""/>
        <w:category>
          <w:name w:val="常规"/>
          <w:gallery w:val="placeholder"/>
        </w:category>
        <w:types>
          <w:type w:val="bbPlcHdr"/>
        </w:types>
        <w:behaviors>
          <w:behavior w:val="content"/>
        </w:behaviors>
        <w:description w:val=""/>
        <w:guid w:val="{7414D82F-1714-4AF8-8407-2327499BB876}"/>
      </w:docPartPr>
      <w:docPartBody>
        <w:p>
          <w:pPr>
            <w:pStyle w:val="6"/>
          </w:pPr>
          <w:r>
            <w:rPr>
              <w:rStyle w:val="4"/>
              <w:rFonts w:hint="eastAsia"/>
            </w:rPr>
            <w:t>选择一项。</w:t>
          </w:r>
        </w:p>
      </w:docPartBody>
    </w:docPart>
    <w:docPart>
      <w:docPartPr>
        <w:name w:val="EB9F5340E6DF4AED9AA322F70387A8B2"/>
        <w:style w:val=""/>
        <w:category>
          <w:name w:val="常规"/>
          <w:gallery w:val="placeholder"/>
        </w:category>
        <w:types>
          <w:type w:val="bbPlcHdr"/>
        </w:types>
        <w:behaviors>
          <w:behavior w:val="content"/>
        </w:behaviors>
        <w:description w:val=""/>
        <w:guid w:val="{759144E1-2345-4549-A340-73124F1E7F2B}"/>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等线">
    <w:altName w:val="Segoe Print"/>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9A4"/>
    <w:rsid w:val="0000703E"/>
    <w:rsid w:val="00046BFD"/>
    <w:rsid w:val="000709A4"/>
    <w:rsid w:val="000C46D1"/>
    <w:rsid w:val="000D3799"/>
    <w:rsid w:val="00122717"/>
    <w:rsid w:val="0014655A"/>
    <w:rsid w:val="00165251"/>
    <w:rsid w:val="00175075"/>
    <w:rsid w:val="00185C30"/>
    <w:rsid w:val="001E1AD0"/>
    <w:rsid w:val="001F660C"/>
    <w:rsid w:val="002A1826"/>
    <w:rsid w:val="002E5F11"/>
    <w:rsid w:val="003031BA"/>
    <w:rsid w:val="00312536"/>
    <w:rsid w:val="0031524C"/>
    <w:rsid w:val="00384B0F"/>
    <w:rsid w:val="004F5175"/>
    <w:rsid w:val="0050572C"/>
    <w:rsid w:val="00536DA0"/>
    <w:rsid w:val="005375F5"/>
    <w:rsid w:val="00551E84"/>
    <w:rsid w:val="00582615"/>
    <w:rsid w:val="005F56FE"/>
    <w:rsid w:val="00600965"/>
    <w:rsid w:val="006314FC"/>
    <w:rsid w:val="006316EC"/>
    <w:rsid w:val="00691237"/>
    <w:rsid w:val="006F5309"/>
    <w:rsid w:val="00727823"/>
    <w:rsid w:val="00730543"/>
    <w:rsid w:val="0078069A"/>
    <w:rsid w:val="00787658"/>
    <w:rsid w:val="007C150F"/>
    <w:rsid w:val="00812601"/>
    <w:rsid w:val="00851416"/>
    <w:rsid w:val="00870046"/>
    <w:rsid w:val="008C39BB"/>
    <w:rsid w:val="008D7245"/>
    <w:rsid w:val="008F0DF2"/>
    <w:rsid w:val="00985C56"/>
    <w:rsid w:val="009A2F2C"/>
    <w:rsid w:val="00A152EE"/>
    <w:rsid w:val="00A47A3C"/>
    <w:rsid w:val="00A87EC2"/>
    <w:rsid w:val="00AC2FEE"/>
    <w:rsid w:val="00AC6149"/>
    <w:rsid w:val="00B17692"/>
    <w:rsid w:val="00B94CD2"/>
    <w:rsid w:val="00BB1BC9"/>
    <w:rsid w:val="00C043F2"/>
    <w:rsid w:val="00C15D6C"/>
    <w:rsid w:val="00C20F07"/>
    <w:rsid w:val="00D06686"/>
    <w:rsid w:val="00D27A6A"/>
    <w:rsid w:val="00D46B62"/>
    <w:rsid w:val="00D96410"/>
    <w:rsid w:val="00DA4E3A"/>
    <w:rsid w:val="00EE1D36"/>
    <w:rsid w:val="00F074B7"/>
    <w:rsid w:val="00F77B66"/>
    <w:rsid w:val="00FF418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character" w:customStyle="1" w:styleId="4">
    <w:name w:val="占位符文本1"/>
    <w:basedOn w:val="2"/>
    <w:semiHidden/>
    <w:qFormat/>
    <w:uiPriority w:val="99"/>
    <w:rPr>
      <w:color w:val="808080"/>
    </w:rPr>
  </w:style>
  <w:style w:type="paragraph" w:customStyle="1" w:styleId="5">
    <w:name w:val="D956746661FE4D148254328BD864EB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158C80FFE2B461BBF83DF9781D6CF0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B9F5340E6DF4AED9AA322F70387A8B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3CCD42-9D29-42E7-B150-2F954E7F64C8}">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Pages>
  <Words>5751</Words>
  <Characters>32783</Characters>
  <Lines>273</Lines>
  <Paragraphs>76</Paragraphs>
  <TotalTime>0</TotalTime>
  <ScaleCrop>false</ScaleCrop>
  <LinksUpToDate>false</LinksUpToDate>
  <CharactersWithSpaces>38458</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2023-07-20T02:21:00Z</dcterms:created>
  <dc:creator>杨丽君</dc:creator>
  <dc:description>&lt;config cover="true" show_menu="true" version="1.0.0" doctype="SDKXY"&gt;_x000d_
&lt;/config&gt;</dc:description>
  <cp:lastModifiedBy>Administrator</cp:lastModifiedBy>
  <cp:lastPrinted>2024-01-12T10:25:00Z</cp:lastPrinted>
  <dcterms:modified xsi:type="dcterms:W3CDTF">2024-01-24T02:59:01Z</dcterms:modified>
  <dc:title>地方标准</dc:title>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2052-10.8.0.5715</vt:lpwstr>
  </property>
  <property fmtid="{D5CDD505-2E9C-101B-9397-08002B2CF9AE}" pid="15" name="ICV">
    <vt:lpwstr>79565934594A4206B118DE0B71A2B2AB_13</vt:lpwstr>
  </property>
</Properties>
</file>