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  <w:t>《</w:t>
      </w:r>
      <w:r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  <w:lang w:eastAsia="zh-CN"/>
        </w:rPr>
        <w:t>湛江市重点片区土地租赁</w:t>
      </w:r>
      <w:bookmarkStart w:id="0" w:name="_GoBack"/>
      <w:r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  <w:lang w:eastAsia="zh-CN"/>
        </w:rPr>
        <w:t>管理办法</w:t>
      </w:r>
      <w:r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  <w:t>》</w:t>
      </w:r>
      <w:bookmarkEnd w:id="0"/>
    </w:p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auto"/>
          <w:w w:val="95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  <w:t>起草说明</w:t>
      </w:r>
    </w:p>
    <w:p>
      <w:pPr>
        <w:spacing w:line="560" w:lineRule="exact"/>
        <w:jc w:val="center"/>
        <w:rPr>
          <w:rFonts w:ascii="楷体_GB2312" w:hAnsi="黑体" w:eastAsia="楷体_GB2312"/>
          <w:color w:val="auto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</w:rPr>
        <w:t>为进一步规范湛江市高铁新城、西城片区、海东新区起步区首开区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吴川空港经济区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等重点片区范围内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土地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租赁行为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，促进土地灵活、集约、高效利用，加快要素集聚，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推动重点片区高质量开发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，现就《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湛江市重点片区土地租赁管理办法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》（以下简称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办法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）主要问题说明如下：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一、起草的背景和必要性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</w:rPr>
        <w:t>自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2020年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我市实施重点片区开发战略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以来，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受疫情政策和经济不景气的大环境影响，各片区整体活力不足，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现状设施和服务供给明显滞后于快速</w:t>
      </w:r>
      <w:r>
        <w:rPr>
          <w:rFonts w:ascii="仿宋_GB2312" w:hAnsi="黑体" w:eastAsia="仿宋_GB2312"/>
          <w:color w:val="auto"/>
          <w:sz w:val="32"/>
          <w:szCs w:val="36"/>
        </w:rPr>
        <w:t>增长的生产生活需求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产业招商进展缓慢，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缺少商业与生活氛围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，未能达到聚拢人气形成规模效应，土地潜力未能充分挖掘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。为此，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参考深圳前海、东莞等地区成功建设经验，建议</w:t>
      </w:r>
      <w:r>
        <w:rPr>
          <w:rFonts w:ascii="仿宋_GB2312" w:hAnsi="黑体" w:eastAsia="仿宋_GB2312"/>
          <w:color w:val="auto"/>
          <w:sz w:val="32"/>
          <w:szCs w:val="36"/>
        </w:rPr>
        <w:t>通过土地租赁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等</w:t>
      </w:r>
      <w:r>
        <w:rPr>
          <w:rFonts w:ascii="仿宋_GB2312" w:hAnsi="黑体" w:eastAsia="仿宋_GB2312"/>
          <w:color w:val="auto"/>
          <w:sz w:val="32"/>
          <w:szCs w:val="36"/>
        </w:rPr>
        <w:t>方式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对土地</w:t>
      </w:r>
      <w:r>
        <w:rPr>
          <w:rFonts w:ascii="仿宋_GB2312" w:hAnsi="黑体" w:eastAsia="仿宋_GB2312"/>
          <w:color w:val="auto"/>
          <w:sz w:val="32"/>
          <w:szCs w:val="36"/>
        </w:rPr>
        <w:t>进行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过渡性开发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</w:t>
      </w:r>
      <w:r>
        <w:rPr>
          <w:rFonts w:ascii="仿宋_GB2312" w:hAnsi="黑体" w:eastAsia="仿宋_GB2312"/>
          <w:color w:val="auto"/>
          <w:sz w:val="32"/>
          <w:szCs w:val="36"/>
        </w:rPr>
        <w:t>探索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灵活利用未建空地建设急需设施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、产业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，短期内迅速增加了</w:t>
      </w:r>
      <w:r>
        <w:rPr>
          <w:rFonts w:ascii="仿宋_GB2312" w:hAnsi="黑体" w:eastAsia="仿宋_GB2312"/>
          <w:color w:val="auto"/>
          <w:sz w:val="32"/>
          <w:szCs w:val="36"/>
        </w:rPr>
        <w:t>商业办公、产业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和配套设施等</w:t>
      </w:r>
      <w:r>
        <w:rPr>
          <w:rFonts w:ascii="仿宋_GB2312" w:hAnsi="黑体" w:eastAsia="仿宋_GB2312"/>
          <w:color w:val="auto"/>
          <w:sz w:val="32"/>
          <w:szCs w:val="36"/>
        </w:rPr>
        <w:t>空间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，及时服务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各片区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发展</w:t>
      </w:r>
      <w:r>
        <w:rPr>
          <w:rFonts w:ascii="仿宋_GB2312" w:hAnsi="黑体" w:eastAsia="仿宋_GB2312"/>
          <w:color w:val="auto"/>
          <w:sz w:val="32"/>
          <w:szCs w:val="36"/>
        </w:rPr>
        <w:t>需求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同时，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eastAsia="zh-CN"/>
        </w:rPr>
        <w:t>土地租赁可以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弹性应对未来城市发展的不确定性，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eastAsia="zh-CN"/>
        </w:rPr>
        <w:t>为片区开发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预留一定的高质量发展空间，充分适应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eastAsia="zh-CN"/>
        </w:rPr>
        <w:t>各片区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产业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eastAsia="zh-CN"/>
        </w:rPr>
        <w:t>导入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、创新转型需要，实现城市可持续发展。因此，亟需系统完善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eastAsia="zh-CN"/>
        </w:rPr>
        <w:t>湛江重点片区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土地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val="en-US" w:eastAsia="zh-CN"/>
        </w:rPr>
        <w:t>租赁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制度，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val="en-US" w:eastAsia="zh-CN"/>
        </w:rPr>
        <w:t>优化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明确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val="en-US" w:eastAsia="zh-CN"/>
        </w:rPr>
        <w:t>不同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利用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val="en-US" w:eastAsia="zh-CN"/>
        </w:rPr>
        <w:t>方式</w:t>
      </w:r>
      <w:r>
        <w:rPr>
          <w:rFonts w:ascii="仿宋_GB2312" w:hAnsi="黑体" w:eastAsia="仿宋_GB2312"/>
          <w:color w:val="auto"/>
          <w:sz w:val="32"/>
          <w:szCs w:val="36"/>
          <w:highlight w:val="none"/>
        </w:rPr>
        <w:t>的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适用范围、使用期限、地价计收等内容，加快现状设施建设和服务供给，</w:t>
      </w:r>
      <w:r>
        <w:rPr>
          <w:rFonts w:ascii="仿宋_GB2312" w:hAnsi="黑体" w:eastAsia="仿宋_GB2312"/>
          <w:color w:val="auto"/>
          <w:sz w:val="32"/>
          <w:szCs w:val="36"/>
          <w:highlight w:val="none"/>
        </w:rPr>
        <w:t>预控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弹性</w:t>
      </w:r>
      <w:r>
        <w:rPr>
          <w:rFonts w:ascii="仿宋_GB2312" w:hAnsi="黑体" w:eastAsia="仿宋_GB2312"/>
          <w:color w:val="auto"/>
          <w:sz w:val="32"/>
          <w:szCs w:val="36"/>
          <w:highlight w:val="none"/>
        </w:rPr>
        <w:t>发展空间，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进一步支撑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  <w:lang w:eastAsia="zh-CN"/>
        </w:rPr>
        <w:t>湛江重点片区高质量开发建设</w:t>
      </w:r>
      <w:r>
        <w:rPr>
          <w:rFonts w:hint="eastAsia" w:ascii="仿宋_GB2312" w:hAnsi="黑体" w:eastAsia="仿宋_GB2312"/>
          <w:color w:val="auto"/>
          <w:sz w:val="32"/>
          <w:szCs w:val="36"/>
          <w:highlight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/>
          <w:color w:val="auto"/>
          <w:sz w:val="32"/>
          <w:szCs w:val="36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政策依据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《中华人民共和国土地管理法实施条例》第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十七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条规定，国有土地租赁是国有土地有偿使用的方式之一。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《中华人民共和国城镇国有土地使用权出让和转让暂行条例》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第三章规定，土地使用权出租的定义和有关程序。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《规范国有土地租赁若干意见》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第四点规定，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国有土地租赁可以根据具体情况实行短期租赁和长期租赁。对短期使用或用于修建临时建筑物的土地，应实行短期租赁，短期租赁年限一般不超过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年；长期租赁的具体租赁期限由租赁合同约定，但最长租赁期限不得超过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15年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6"/>
        </w:rPr>
        <w:t>主要内容说明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办法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共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章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二十二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条，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包括总则、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土地租赁开发利用、土地收回和到期处置、监督管理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和附则。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auto"/>
          <w:sz w:val="32"/>
          <w:szCs w:val="36"/>
        </w:rPr>
      </w:pPr>
      <w:r>
        <w:rPr>
          <w:rFonts w:hint="eastAsia" w:ascii="楷体_GB2312" w:hAnsi="黑体" w:eastAsia="楷体_GB2312"/>
          <w:bCs/>
          <w:color w:val="auto"/>
          <w:sz w:val="32"/>
          <w:szCs w:val="36"/>
        </w:rPr>
        <w:t>（一）关于总体思路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</w:rPr>
        <w:t>针对现行政策存在的问题</w:t>
      </w:r>
      <w:r>
        <w:rPr>
          <w:rFonts w:ascii="仿宋_GB2312" w:hAnsi="黑体" w:eastAsia="仿宋_GB2312"/>
          <w:color w:val="auto"/>
          <w:sz w:val="32"/>
          <w:szCs w:val="36"/>
        </w:rPr>
        <w:t>和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实际发展需求，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办法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坚持务实管用、符合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湛江重点片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区实际需求</w:t>
      </w:r>
      <w:r>
        <w:rPr>
          <w:rFonts w:ascii="仿宋_GB2312" w:hAnsi="黑体" w:eastAsia="仿宋_GB2312"/>
          <w:color w:val="auto"/>
          <w:sz w:val="32"/>
          <w:szCs w:val="36"/>
        </w:rPr>
        <w:t>与发展导向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的原则，首先明确了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土地租赁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的</w:t>
      </w:r>
      <w:r>
        <w:rPr>
          <w:rFonts w:ascii="仿宋_GB2312" w:hAnsi="黑体" w:eastAsia="仿宋_GB2312"/>
          <w:color w:val="auto"/>
          <w:sz w:val="32"/>
          <w:szCs w:val="36"/>
        </w:rPr>
        <w:t>内涵和框架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体系</w:t>
      </w:r>
      <w:r>
        <w:rPr>
          <w:rFonts w:ascii="仿宋_GB2312" w:hAnsi="黑体" w:eastAsia="仿宋_GB2312"/>
          <w:color w:val="auto"/>
          <w:sz w:val="32"/>
          <w:szCs w:val="36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然后结合现行</w:t>
      </w:r>
      <w:r>
        <w:rPr>
          <w:rFonts w:ascii="仿宋_GB2312" w:hAnsi="黑体" w:eastAsia="仿宋_GB2312"/>
          <w:color w:val="auto"/>
          <w:sz w:val="32"/>
          <w:szCs w:val="36"/>
        </w:rPr>
        <w:t>政策基础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，通过修订</w:t>
      </w:r>
      <w:r>
        <w:rPr>
          <w:rFonts w:ascii="仿宋_GB2312" w:hAnsi="黑体" w:eastAsia="仿宋_GB2312"/>
          <w:color w:val="auto"/>
          <w:sz w:val="32"/>
          <w:szCs w:val="36"/>
        </w:rPr>
        <w:t>、衔接和创新的方式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，从</w:t>
      </w:r>
      <w:r>
        <w:rPr>
          <w:rFonts w:ascii="仿宋_GB2312" w:hAnsi="黑体" w:eastAsia="仿宋_GB2312"/>
          <w:color w:val="auto"/>
          <w:sz w:val="32"/>
          <w:szCs w:val="36"/>
        </w:rPr>
        <w:t>适用范围、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供应方式</w:t>
      </w:r>
      <w:r>
        <w:rPr>
          <w:rFonts w:ascii="仿宋_GB2312" w:hAnsi="黑体" w:eastAsia="仿宋_GB2312"/>
          <w:color w:val="auto"/>
          <w:sz w:val="32"/>
          <w:szCs w:val="36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办理程序</w:t>
      </w:r>
      <w:r>
        <w:rPr>
          <w:rFonts w:ascii="仿宋_GB2312" w:hAnsi="黑体" w:eastAsia="仿宋_GB2312"/>
          <w:color w:val="auto"/>
          <w:sz w:val="32"/>
          <w:szCs w:val="36"/>
        </w:rPr>
        <w:t>、使用期限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、地价计收</w:t>
      </w:r>
      <w:r>
        <w:rPr>
          <w:rFonts w:ascii="仿宋_GB2312" w:hAnsi="黑体" w:eastAsia="仿宋_GB2312"/>
          <w:color w:val="auto"/>
          <w:sz w:val="32"/>
          <w:szCs w:val="36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土地</w:t>
      </w:r>
      <w:r>
        <w:rPr>
          <w:rFonts w:ascii="仿宋_GB2312" w:hAnsi="黑体" w:eastAsia="仿宋_GB2312"/>
          <w:color w:val="auto"/>
          <w:sz w:val="32"/>
          <w:szCs w:val="36"/>
        </w:rPr>
        <w:t>权利、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产权登记</w:t>
      </w:r>
      <w:r>
        <w:rPr>
          <w:rFonts w:ascii="仿宋_GB2312" w:hAnsi="黑体" w:eastAsia="仿宋_GB2312"/>
          <w:color w:val="auto"/>
          <w:sz w:val="32"/>
          <w:szCs w:val="36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土地收回和</w:t>
      </w:r>
      <w:r>
        <w:rPr>
          <w:rFonts w:ascii="仿宋_GB2312" w:hAnsi="黑体" w:eastAsia="仿宋_GB2312"/>
          <w:color w:val="auto"/>
          <w:sz w:val="32"/>
          <w:szCs w:val="36"/>
        </w:rPr>
        <w:t>监督管理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等全过程管理出发</w:t>
      </w:r>
      <w:r>
        <w:rPr>
          <w:rFonts w:ascii="仿宋_GB2312" w:hAnsi="黑体" w:eastAsia="仿宋_GB2312"/>
          <w:color w:val="auto"/>
          <w:sz w:val="32"/>
          <w:szCs w:val="36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构建形成系统完善</w:t>
      </w:r>
      <w:r>
        <w:rPr>
          <w:rFonts w:ascii="仿宋_GB2312" w:hAnsi="黑体" w:eastAsia="仿宋_GB2312"/>
          <w:color w:val="auto"/>
          <w:sz w:val="32"/>
          <w:szCs w:val="36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统一有序的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土地租赁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政策。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left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/>
          <w:color w:val="auto"/>
          <w:sz w:val="32"/>
          <w:szCs w:val="36"/>
          <w:lang w:eastAsia="zh-CN"/>
        </w:rPr>
        <w:t>办法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明确定义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土地租赁是指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市土地储备管理中心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将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湛江市重点片区范围内的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国有建设用地出租给承租人使用，由承租人与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市土地储备管理中心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签订一定年</w:t>
      </w:r>
      <w:r>
        <w:rPr>
          <w:rFonts w:hint="eastAsia" w:ascii="仿宋_GB2312" w:hAnsi="黑体"/>
          <w:color w:val="auto"/>
          <w:sz w:val="32"/>
          <w:szCs w:val="36"/>
          <w:lang w:eastAsia="zh-CN"/>
        </w:rPr>
        <w:t>限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的土地使用权租赁合同，并支付租金的行为，具体形式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分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为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两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类：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租赁期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限</w:t>
      </w:r>
      <w:r>
        <w:rPr>
          <w:rStyle w:val="21"/>
          <w:rFonts w:hint="eastAsia" w:hAnsi="Times New Roman"/>
          <w:color w:val="auto"/>
          <w:lang w:val="en-US" w:eastAsia="zh-CN"/>
        </w:rPr>
        <w:t>2</w:t>
      </w:r>
      <w:r>
        <w:rPr>
          <w:rStyle w:val="21"/>
          <w:rFonts w:hint="default" w:hAnsi="Times New Roman" w:eastAsia="仿宋_GB2312"/>
          <w:color w:val="auto"/>
          <w:lang w:val="en-US" w:eastAsia="zh-CN"/>
        </w:rPr>
        <w:t>年</w:t>
      </w:r>
      <w:r>
        <w:rPr>
          <w:rStyle w:val="21"/>
          <w:rFonts w:hint="eastAsia" w:hAnsi="Times New Roman"/>
          <w:color w:val="auto"/>
          <w:lang w:val="en-US" w:eastAsia="zh-CN"/>
        </w:rPr>
        <w:t>以内；</w:t>
      </w:r>
      <w:r>
        <w:rPr>
          <w:rStyle w:val="21"/>
          <w:rFonts w:hint="eastAsia" w:hAnsi="Times New Roman" w:eastAsia="仿宋_GB2312"/>
          <w:color w:val="auto"/>
          <w:lang w:val="en-US" w:eastAsia="zh-CN"/>
        </w:rPr>
        <w:t>特殊情况不超过</w:t>
      </w:r>
      <w:r>
        <w:rPr>
          <w:rStyle w:val="21"/>
          <w:rFonts w:hint="eastAsia" w:hAnsi="Times New Roman"/>
          <w:color w:val="auto"/>
          <w:lang w:val="en-US" w:eastAsia="zh-CN"/>
        </w:rPr>
        <w:t>1</w:t>
      </w:r>
      <w:r>
        <w:rPr>
          <w:rStyle w:val="21"/>
          <w:rFonts w:hint="eastAsia" w:hAnsi="Times New Roman" w:eastAsia="仿宋_GB2312"/>
          <w:color w:val="auto"/>
          <w:lang w:val="en-US" w:eastAsia="zh-CN"/>
        </w:rPr>
        <w:t>5年</w:t>
      </w:r>
      <w:r>
        <w:rPr>
          <w:rStyle w:val="21"/>
          <w:rFonts w:hint="default" w:hAnsi="Times New Roman" w:eastAsia="仿宋_GB2312"/>
          <w:color w:val="auto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</w:rPr>
        <w:t>土地租赁不是物权的让渡，承租人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不能处分租赁的土地，承租人对所承租的土地只有占有、使用、收益的权利。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auto"/>
          <w:sz w:val="32"/>
          <w:szCs w:val="36"/>
        </w:rPr>
      </w:pPr>
      <w:r>
        <w:rPr>
          <w:rFonts w:hint="eastAsia" w:ascii="楷体_GB2312" w:hAnsi="黑体" w:eastAsia="楷体_GB2312"/>
          <w:bCs/>
          <w:color w:val="auto"/>
          <w:sz w:val="32"/>
          <w:szCs w:val="36"/>
        </w:rPr>
        <w:t>（二）关于土地租赁的指导思想和工作原则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办法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第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五、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十一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条明确规定了土地租赁的指导思想和工作原则，明确规定土地租赁是一项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2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年期的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过渡性土地有偿使用制度安排，是对土地出让的补充，土地租赁项目不得以盈利为目的。应当严格控制土地租赁的规模，实现土地租赁市场与土地出让市场的良性互补、错位发展，确保土地租赁封闭运行、结果可控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</w:rPr>
        <w:t>（</w:t>
      </w:r>
      <w:r>
        <w:rPr>
          <w:rFonts w:hint="eastAsia" w:ascii="楷体_GB2312" w:hAnsi="黑体" w:eastAsia="楷体_GB2312"/>
          <w:bCs/>
          <w:color w:val="auto"/>
          <w:sz w:val="32"/>
          <w:szCs w:val="36"/>
        </w:rPr>
        <w:t>三）关于办理程序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办法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第二章明确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短期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土地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租赁办理程序，具体按照“项目可行性论证→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土地租赁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申请→受理审批→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招标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→确定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土地承租人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→合同签订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”的程序办理。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办法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第三章明确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长期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土地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租赁办理程序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，即在短期土地租赁程序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基础上增加了编制项目建设方案环节，形成“编制项目建设方案→列入年度计划→制定租赁方案→办理有关手续”的程序机制，并进一步完善了土地租赁方案内容。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auto"/>
          <w:sz w:val="32"/>
          <w:szCs w:val="36"/>
        </w:rPr>
      </w:pPr>
      <w:r>
        <w:rPr>
          <w:rFonts w:hint="eastAsia" w:ascii="楷体_GB2312" w:hAnsi="黑体" w:eastAsia="楷体_GB2312"/>
          <w:bCs/>
          <w:color w:val="auto"/>
          <w:sz w:val="32"/>
          <w:szCs w:val="36"/>
        </w:rPr>
        <w:t>（四）关于使用期限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对短期使用或用于修建临时建筑物的土地，应实行短期租赁，短期租赁年限一般不超过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2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年。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left"/>
        <w:textAlignment w:val="auto"/>
        <w:rPr>
          <w:rFonts w:ascii="仿宋_GB2312" w:hAnsi="黑体" w:eastAsia="仿宋_GB2312"/>
          <w:color w:val="auto"/>
          <w:sz w:val="32"/>
          <w:szCs w:val="36"/>
          <w:highlight w:val="yellow"/>
        </w:rPr>
      </w:pPr>
      <w:r>
        <w:rPr>
          <w:rStyle w:val="21"/>
          <w:rFonts w:hint="eastAsia" w:hAnsi="Times New Roman" w:eastAsia="仿宋_GB2312"/>
          <w:color w:val="auto"/>
          <w:lang w:val="en-US" w:eastAsia="zh-CN"/>
        </w:rPr>
        <w:t>特殊情况不超过</w:t>
      </w:r>
      <w:r>
        <w:rPr>
          <w:rStyle w:val="21"/>
          <w:rFonts w:hint="eastAsia" w:hAnsi="Times New Roman"/>
          <w:color w:val="auto"/>
          <w:lang w:val="en-US" w:eastAsia="zh-CN"/>
        </w:rPr>
        <w:t>15</w:t>
      </w:r>
      <w:r>
        <w:rPr>
          <w:rStyle w:val="21"/>
          <w:rFonts w:hint="eastAsia" w:hAnsi="Times New Roman" w:eastAsia="仿宋_GB2312"/>
          <w:color w:val="auto"/>
          <w:lang w:val="en-US" w:eastAsia="zh-CN"/>
        </w:rPr>
        <w:t>年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。考虑到国民经济与社会发展规划、城市近期建设规划等期限为</w:t>
      </w:r>
      <w:r>
        <w:rPr>
          <w:rFonts w:hint="eastAsia" w:ascii="仿宋_GB2312" w:hAnsi="黑体" w:cs="Times New Roman"/>
          <w:color w:val="auto"/>
          <w:kern w:val="2"/>
          <w:sz w:val="32"/>
          <w:szCs w:val="36"/>
          <w:lang w:val="en-US" w:eastAsia="zh-CN" w:bidi="ar-SA"/>
        </w:rPr>
        <w:t>5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年，租赁不能影响各层次规划和计划的实施，</w:t>
      </w:r>
      <w:r>
        <w:rPr>
          <w:rFonts w:hint="eastAsia" w:ascii="仿宋_GB2312" w:hAnsi="黑体" w:cs="Times New Roman"/>
          <w:color w:val="auto"/>
          <w:kern w:val="2"/>
          <w:sz w:val="32"/>
          <w:szCs w:val="36"/>
          <w:lang w:val="en-US" w:eastAsia="zh-CN" w:bidi="ar-SA"/>
        </w:rPr>
        <w:t>办法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明确</w:t>
      </w:r>
      <w:r>
        <w:rPr>
          <w:rStyle w:val="21"/>
          <w:rFonts w:hint="eastAsia" w:hAnsi="Times New Roman" w:eastAsia="仿宋_GB2312"/>
          <w:color w:val="auto"/>
          <w:lang w:val="en-US" w:eastAsia="zh-CN"/>
        </w:rPr>
        <w:t>特殊情况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租赁期限不得超过</w:t>
      </w:r>
      <w:r>
        <w:rPr>
          <w:rFonts w:hint="eastAsia" w:ascii="仿宋_GB2312" w:hAnsi="黑体" w:cs="Times New Roman"/>
          <w:color w:val="auto"/>
          <w:kern w:val="2"/>
          <w:sz w:val="32"/>
          <w:szCs w:val="36"/>
          <w:lang w:val="en-US" w:eastAsia="zh-CN" w:bidi="ar-SA"/>
        </w:rPr>
        <w:t>15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年，与租赁期限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届满后仍需继续使用的，</w:t>
      </w:r>
      <w:r>
        <w:rPr>
          <w:rFonts w:hint="eastAsia" w:ascii="仿宋_GB2312" w:hAnsi="黑体" w:cs="Times New Roman"/>
          <w:color w:val="auto"/>
          <w:kern w:val="2"/>
          <w:sz w:val="32"/>
          <w:szCs w:val="36"/>
          <w:lang w:val="en-US" w:eastAsia="zh-CN" w:bidi="ar-SA"/>
        </w:rPr>
        <w:t>承租人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应在届满前两个月内向</w:t>
      </w:r>
      <w:r>
        <w:rPr>
          <w:rFonts w:hint="eastAsia" w:ascii="仿宋_GB2312" w:hAnsi="黑体" w:cs="Times New Roman"/>
          <w:color w:val="auto"/>
          <w:kern w:val="2"/>
          <w:sz w:val="32"/>
          <w:szCs w:val="36"/>
          <w:lang w:val="en-US" w:eastAsia="zh-CN" w:bidi="ar-SA"/>
        </w:rPr>
        <w:t>市土地储备管理中心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6"/>
          <w:lang w:val="en-US" w:eastAsia="zh-CN" w:bidi="ar-SA"/>
        </w:rPr>
        <w:t>提出续租申请</w:t>
      </w:r>
      <w:r>
        <w:rPr>
          <w:rFonts w:hint="eastAsia" w:ascii="仿宋_GB2312" w:hAnsi="黑体" w:cs="Times New Roman"/>
          <w:color w:val="auto"/>
          <w:kern w:val="2"/>
          <w:sz w:val="32"/>
          <w:szCs w:val="36"/>
          <w:lang w:val="en-US" w:eastAsia="zh-CN" w:bidi="ar-SA"/>
        </w:rPr>
        <w:t>，市土地储备管理中心</w:t>
      </w:r>
      <w:r>
        <w:rPr>
          <w:rFonts w:hint="eastAsia" w:ascii="Times New Roman" w:hAnsi="Times New Roman" w:cs="Times New Roman"/>
          <w:bCs/>
          <w:color w:val="auto"/>
          <w:kern w:val="2"/>
          <w:sz w:val="32"/>
          <w:szCs w:val="32"/>
          <w:lang w:val="en-US" w:eastAsia="zh-CN" w:bidi="ar-SA"/>
        </w:rPr>
        <w:t>根据土地开发情况并征求有关部门意见后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，编制续签</w:t>
      </w:r>
      <w:r>
        <w:rPr>
          <w:rFonts w:hint="eastAsia" w:ascii="Times New Roman" w:hAnsi="Times New Roman" w:cs="Times New Roman"/>
          <w:bCs/>
          <w:color w:val="auto"/>
          <w:kern w:val="2"/>
          <w:sz w:val="32"/>
          <w:szCs w:val="32"/>
          <w:lang w:val="en-US" w:eastAsia="zh-CN" w:bidi="ar-SA"/>
        </w:rPr>
        <w:t>租赁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方案并报市自然资源局批准。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auto"/>
          <w:sz w:val="32"/>
          <w:szCs w:val="36"/>
        </w:rPr>
      </w:pPr>
      <w:r>
        <w:rPr>
          <w:rFonts w:hint="eastAsia" w:ascii="楷体_GB2312" w:hAnsi="黑体" w:eastAsia="楷体_GB2312"/>
          <w:bCs/>
          <w:color w:val="auto"/>
          <w:sz w:val="32"/>
          <w:szCs w:val="36"/>
        </w:rPr>
        <w:t>（五）关于地价计收规则</w:t>
      </w:r>
    </w:p>
    <w:p>
      <w:pPr>
        <w:pStyle w:val="5"/>
        <w:spacing w:line="560" w:lineRule="exact"/>
        <w:ind w:firstLine="643"/>
        <w:rPr>
          <w:rFonts w:ascii="仿宋_GB2312" w:hAnsi="黑体" w:eastAsia="仿宋_GB2312"/>
          <w:color w:val="auto"/>
          <w:sz w:val="32"/>
          <w:szCs w:val="36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坚持市场化发展方向，参照我市对鼓励发展产业的地价扶持政策，由市土地储备管理中心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根据申请，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委托具备资格的专业评估机构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评估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确定土地租赁价格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，并编制土地租赁方案报市自然资源局审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批。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auto"/>
          <w:sz w:val="32"/>
          <w:szCs w:val="36"/>
        </w:rPr>
      </w:pPr>
      <w:r>
        <w:rPr>
          <w:rFonts w:hint="eastAsia" w:ascii="楷体_GB2312" w:hAnsi="黑体" w:eastAsia="楷体_GB2312"/>
          <w:bCs/>
          <w:color w:val="auto"/>
          <w:sz w:val="32"/>
          <w:szCs w:val="36"/>
        </w:rPr>
        <w:t>（七）关于土地收回和到期处置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left="0"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/>
          <w:color w:val="auto"/>
          <w:szCs w:val="32"/>
        </w:rPr>
        <w:t>提前收回租赁土地应当退还</w:t>
      </w:r>
      <w:r>
        <w:rPr>
          <w:rFonts w:hint="eastAsia" w:ascii="Times New Roman" w:hAnsi="Times New Roman"/>
          <w:bCs/>
          <w:color w:val="auto"/>
          <w:szCs w:val="32"/>
          <w:lang w:val="en-US" w:eastAsia="zh-CN"/>
        </w:rPr>
        <w:t>承租人</w:t>
      </w:r>
      <w:r>
        <w:rPr>
          <w:rFonts w:hint="eastAsia" w:ascii="Times New Roman" w:hAnsi="Times New Roman"/>
          <w:color w:val="auto"/>
          <w:szCs w:val="32"/>
        </w:rPr>
        <w:t>剩余土地租金（不计利息），</w:t>
      </w:r>
      <w:r>
        <w:rPr>
          <w:rFonts w:ascii="Times New Roman" w:hAnsi="Times New Roman"/>
          <w:color w:val="auto"/>
          <w:szCs w:val="32"/>
        </w:rPr>
        <w:t>并</w:t>
      </w:r>
      <w:r>
        <w:rPr>
          <w:rFonts w:hint="eastAsia" w:ascii="Times New Roman" w:hAnsi="Times New Roman"/>
          <w:color w:val="auto"/>
          <w:szCs w:val="32"/>
        </w:rPr>
        <w:t>对地上建筑物进行补偿。地上建筑物补偿根据合同约定的用地性质和剩余使用期限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进行</w:t>
      </w:r>
      <w:r>
        <w:rPr>
          <w:rFonts w:hint="eastAsia" w:ascii="Times New Roman" w:hAnsi="Times New Roman"/>
          <w:color w:val="auto"/>
          <w:szCs w:val="32"/>
        </w:rPr>
        <w:t>评估确定。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left="0" w:leftChars="0" w:firstLine="640" w:firstLineChars="200"/>
        <w:textAlignment w:val="auto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土地</w:t>
      </w:r>
      <w:r>
        <w:rPr>
          <w:rFonts w:hint="eastAsia" w:ascii="Times New Roman" w:hAnsi="Times New Roman"/>
          <w:color w:val="auto"/>
          <w:szCs w:val="32"/>
        </w:rPr>
        <w:t>租赁</w:t>
      </w:r>
      <w:r>
        <w:rPr>
          <w:rFonts w:ascii="Times New Roman" w:hAnsi="Times New Roman"/>
          <w:bCs/>
          <w:color w:val="auto"/>
          <w:szCs w:val="32"/>
        </w:rPr>
        <w:t>期限届满前</w:t>
      </w:r>
      <w:r>
        <w:rPr>
          <w:rFonts w:hint="eastAsia" w:ascii="Times New Roman" w:hAnsi="Times New Roman"/>
          <w:bCs/>
          <w:color w:val="auto"/>
          <w:szCs w:val="32"/>
        </w:rPr>
        <w:t>，</w:t>
      </w:r>
      <w:r>
        <w:rPr>
          <w:rFonts w:hint="eastAsia" w:ascii="Times New Roman" w:hAnsi="Times New Roman"/>
          <w:bCs/>
          <w:color w:val="auto"/>
          <w:szCs w:val="32"/>
          <w:lang w:val="en-US" w:eastAsia="zh-CN"/>
        </w:rPr>
        <w:t>承租人</w:t>
      </w:r>
      <w:r>
        <w:rPr>
          <w:rFonts w:ascii="Times New Roman" w:hAnsi="Times New Roman"/>
          <w:bCs/>
          <w:color w:val="auto"/>
          <w:szCs w:val="32"/>
        </w:rPr>
        <w:t>主动退出的，</w:t>
      </w:r>
      <w:r>
        <w:rPr>
          <w:rFonts w:hint="eastAsia" w:ascii="Times New Roman" w:hAnsi="Times New Roman"/>
          <w:bCs/>
          <w:color w:val="auto"/>
          <w:szCs w:val="32"/>
        </w:rPr>
        <w:t>应按照</w:t>
      </w:r>
      <w:r>
        <w:rPr>
          <w:rFonts w:hint="eastAsia" w:ascii="Times New Roman" w:hAnsi="Times New Roman"/>
          <w:bCs/>
          <w:color w:val="auto"/>
          <w:szCs w:val="32"/>
          <w:lang w:eastAsia="zh-CN"/>
        </w:rPr>
        <w:t>租赁</w:t>
      </w:r>
      <w:r>
        <w:rPr>
          <w:rFonts w:hint="eastAsia" w:ascii="Times New Roman" w:hAnsi="Times New Roman"/>
          <w:bCs/>
          <w:color w:val="auto"/>
          <w:szCs w:val="32"/>
        </w:rPr>
        <w:t>合同约定</w:t>
      </w:r>
      <w:r>
        <w:rPr>
          <w:rFonts w:ascii="Times New Roman" w:hAnsi="Times New Roman"/>
          <w:bCs/>
          <w:color w:val="auto"/>
          <w:szCs w:val="32"/>
        </w:rPr>
        <w:t>完成清场工作</w:t>
      </w:r>
      <w:r>
        <w:rPr>
          <w:rFonts w:hint="eastAsia" w:ascii="Times New Roman" w:hAnsi="Times New Roman"/>
          <w:bCs/>
          <w:color w:val="auto"/>
          <w:szCs w:val="32"/>
          <w:lang w:eastAsia="zh-CN"/>
        </w:rPr>
        <w:t>，并将土地交还市土地储备管理中心</w:t>
      </w:r>
      <w:r>
        <w:rPr>
          <w:rFonts w:hint="eastAsia" w:ascii="Times New Roman" w:hAnsi="Times New Roman"/>
          <w:bCs/>
          <w:color w:val="auto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left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6"/>
        </w:rPr>
      </w:pPr>
      <w:r>
        <w:rPr>
          <w:rFonts w:ascii="Times New Roman" w:hAnsi="Times New Roman"/>
          <w:color w:val="auto"/>
          <w:szCs w:val="32"/>
        </w:rPr>
        <w:t>土地</w:t>
      </w:r>
      <w:r>
        <w:rPr>
          <w:rFonts w:hint="eastAsia" w:ascii="Times New Roman" w:hAnsi="Times New Roman"/>
          <w:color w:val="auto"/>
          <w:szCs w:val="32"/>
        </w:rPr>
        <w:t>租赁</w:t>
      </w:r>
      <w:r>
        <w:rPr>
          <w:rFonts w:ascii="Times New Roman" w:hAnsi="Times New Roman"/>
          <w:color w:val="auto"/>
          <w:szCs w:val="32"/>
        </w:rPr>
        <w:t>期限届满</w:t>
      </w:r>
      <w:r>
        <w:rPr>
          <w:rFonts w:hint="eastAsia" w:ascii="Times New Roman" w:hAnsi="Times New Roman"/>
          <w:color w:val="auto"/>
          <w:szCs w:val="32"/>
          <w:lang w:eastAsia="zh-CN"/>
        </w:rPr>
        <w:t>前承租人主动退出，或</w:t>
      </w:r>
      <w:r>
        <w:rPr>
          <w:rFonts w:ascii="Times New Roman" w:hAnsi="Times New Roman"/>
          <w:color w:val="auto"/>
          <w:szCs w:val="32"/>
        </w:rPr>
        <w:t>土地</w:t>
      </w:r>
      <w:r>
        <w:rPr>
          <w:rFonts w:hint="eastAsia" w:ascii="Times New Roman" w:hAnsi="Times New Roman"/>
          <w:color w:val="auto"/>
          <w:szCs w:val="32"/>
        </w:rPr>
        <w:t>租赁</w:t>
      </w:r>
      <w:r>
        <w:rPr>
          <w:rFonts w:ascii="Times New Roman" w:hAnsi="Times New Roman"/>
          <w:color w:val="auto"/>
          <w:szCs w:val="32"/>
        </w:rPr>
        <w:t>期限届满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由</w:t>
      </w:r>
      <w:r>
        <w:rPr>
          <w:rFonts w:hint="eastAsia" w:ascii="Times New Roman" w:hAnsi="Times New Roman"/>
          <w:bCs/>
          <w:color w:val="auto"/>
          <w:sz w:val="32"/>
          <w:szCs w:val="32"/>
          <w:lang w:val="en-US" w:eastAsia="zh-CN"/>
        </w:rPr>
        <w:t>市土地储备管理中心</w:t>
      </w:r>
      <w:r>
        <w:rPr>
          <w:rFonts w:ascii="Times New Roman" w:hAnsi="Times New Roman"/>
          <w:color w:val="auto"/>
          <w:szCs w:val="32"/>
        </w:rPr>
        <w:t>收回</w:t>
      </w:r>
      <w:r>
        <w:rPr>
          <w:rFonts w:hint="eastAsia" w:ascii="Times New Roman" w:hAnsi="Times New Roman"/>
          <w:color w:val="auto"/>
          <w:szCs w:val="32"/>
          <w:lang w:eastAsia="zh-CN"/>
        </w:rPr>
        <w:t>土地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的，</w:t>
      </w:r>
      <w:r>
        <w:rPr>
          <w:rFonts w:hint="eastAsia" w:ascii="Times New Roman" w:hAnsi="Times New Roman"/>
          <w:color w:val="auto"/>
          <w:szCs w:val="32"/>
          <w:lang w:eastAsia="zh-CN"/>
        </w:rPr>
        <w:t>根据</w:t>
      </w:r>
      <w:r>
        <w:rPr>
          <w:rFonts w:ascii="Times New Roman" w:hAnsi="Times New Roman"/>
          <w:color w:val="auto"/>
          <w:szCs w:val="32"/>
        </w:rPr>
        <w:t>建（构）筑物</w:t>
      </w:r>
      <w:r>
        <w:rPr>
          <w:rFonts w:hint="eastAsia" w:ascii="Times New Roman" w:hAnsi="Times New Roman"/>
          <w:color w:val="auto"/>
          <w:szCs w:val="32"/>
          <w:lang w:eastAsia="zh-CN"/>
        </w:rPr>
        <w:t>使用情况和土地后续开发利用的实际需要，</w:t>
      </w:r>
      <w:r>
        <w:rPr>
          <w:rFonts w:ascii="Times New Roman" w:hAnsi="Times New Roman"/>
          <w:color w:val="auto"/>
          <w:szCs w:val="32"/>
        </w:rPr>
        <w:t>建（构）筑物</w:t>
      </w:r>
      <w:r>
        <w:rPr>
          <w:rFonts w:hint="eastAsia" w:ascii="Times New Roman" w:hAnsi="Times New Roman"/>
          <w:color w:val="auto"/>
          <w:szCs w:val="32"/>
          <w:lang w:eastAsia="zh-CN"/>
        </w:rPr>
        <w:t>可以不拆除，但</w:t>
      </w:r>
      <w:r>
        <w:rPr>
          <w:rFonts w:ascii="Times New Roman" w:hAnsi="Times New Roman"/>
          <w:color w:val="auto"/>
          <w:szCs w:val="32"/>
        </w:rPr>
        <w:t>不予</w:t>
      </w:r>
      <w:r>
        <w:rPr>
          <w:rFonts w:hint="eastAsia" w:ascii="Times New Roman" w:hAnsi="Times New Roman"/>
          <w:color w:val="auto"/>
          <w:szCs w:val="32"/>
          <w:lang w:eastAsia="zh-CN"/>
        </w:rPr>
        <w:t>以</w:t>
      </w:r>
      <w:r>
        <w:rPr>
          <w:rFonts w:ascii="Times New Roman" w:hAnsi="Times New Roman"/>
          <w:color w:val="auto"/>
          <w:szCs w:val="32"/>
        </w:rPr>
        <w:t>补偿</w:t>
      </w:r>
      <w:r>
        <w:rPr>
          <w:rFonts w:hint="eastAsia" w:ascii="Times New Roman" w:hAnsi="Times New Roman"/>
          <w:color w:val="auto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</w:rPr>
        <w:t>专此说明。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80" w:rightChars="75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10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552E5"/>
    <w:multiLevelType w:val="singleLevel"/>
    <w:tmpl w:val="2D8552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YWQ3MTBjMTJiNDQ3NTQ1NDlmNDIzMDVhOGJhODAifQ=="/>
  </w:docVars>
  <w:rsids>
    <w:rsidRoot w:val="00F349C7"/>
    <w:rsid w:val="0000217C"/>
    <w:rsid w:val="00004192"/>
    <w:rsid w:val="00004D46"/>
    <w:rsid w:val="0000619C"/>
    <w:rsid w:val="00006B22"/>
    <w:rsid w:val="0001734D"/>
    <w:rsid w:val="00027C5B"/>
    <w:rsid w:val="00033FF3"/>
    <w:rsid w:val="000557F5"/>
    <w:rsid w:val="0005617C"/>
    <w:rsid w:val="0005654B"/>
    <w:rsid w:val="000606CE"/>
    <w:rsid w:val="00061E4D"/>
    <w:rsid w:val="0006254F"/>
    <w:rsid w:val="00081FA8"/>
    <w:rsid w:val="00083601"/>
    <w:rsid w:val="00085E6A"/>
    <w:rsid w:val="0009105E"/>
    <w:rsid w:val="00093533"/>
    <w:rsid w:val="00096B7C"/>
    <w:rsid w:val="000A0352"/>
    <w:rsid w:val="000A3D45"/>
    <w:rsid w:val="000A3E69"/>
    <w:rsid w:val="000B655B"/>
    <w:rsid w:val="000D17FF"/>
    <w:rsid w:val="000D7194"/>
    <w:rsid w:val="001076CD"/>
    <w:rsid w:val="001400B3"/>
    <w:rsid w:val="001648E2"/>
    <w:rsid w:val="001657C0"/>
    <w:rsid w:val="0016632E"/>
    <w:rsid w:val="0016698D"/>
    <w:rsid w:val="00167DAF"/>
    <w:rsid w:val="00167EDB"/>
    <w:rsid w:val="001759B9"/>
    <w:rsid w:val="00187D09"/>
    <w:rsid w:val="001947B9"/>
    <w:rsid w:val="001A6D6E"/>
    <w:rsid w:val="001B3F0D"/>
    <w:rsid w:val="001C40F9"/>
    <w:rsid w:val="001E2240"/>
    <w:rsid w:val="001F2881"/>
    <w:rsid w:val="001F2C07"/>
    <w:rsid w:val="001F5AF4"/>
    <w:rsid w:val="001F7B75"/>
    <w:rsid w:val="002123D1"/>
    <w:rsid w:val="00215FCD"/>
    <w:rsid w:val="0021772F"/>
    <w:rsid w:val="002263A3"/>
    <w:rsid w:val="002263FB"/>
    <w:rsid w:val="00227375"/>
    <w:rsid w:val="002321DA"/>
    <w:rsid w:val="00233239"/>
    <w:rsid w:val="00257BFB"/>
    <w:rsid w:val="00263B0C"/>
    <w:rsid w:val="00266E48"/>
    <w:rsid w:val="0027421F"/>
    <w:rsid w:val="00285C13"/>
    <w:rsid w:val="00291D1E"/>
    <w:rsid w:val="002A00C0"/>
    <w:rsid w:val="002A1AB9"/>
    <w:rsid w:val="002B4846"/>
    <w:rsid w:val="002C235B"/>
    <w:rsid w:val="002C2DAE"/>
    <w:rsid w:val="002D2291"/>
    <w:rsid w:val="002F265F"/>
    <w:rsid w:val="002F51F4"/>
    <w:rsid w:val="003012F3"/>
    <w:rsid w:val="0030607E"/>
    <w:rsid w:val="0031218F"/>
    <w:rsid w:val="0031266D"/>
    <w:rsid w:val="00320007"/>
    <w:rsid w:val="00320D38"/>
    <w:rsid w:val="00347508"/>
    <w:rsid w:val="00352787"/>
    <w:rsid w:val="00357DF9"/>
    <w:rsid w:val="00357E26"/>
    <w:rsid w:val="00366E42"/>
    <w:rsid w:val="00384A15"/>
    <w:rsid w:val="00393D44"/>
    <w:rsid w:val="00395C96"/>
    <w:rsid w:val="003A3769"/>
    <w:rsid w:val="003A4A17"/>
    <w:rsid w:val="003B67C5"/>
    <w:rsid w:val="003C4985"/>
    <w:rsid w:val="003C56F5"/>
    <w:rsid w:val="003C6B59"/>
    <w:rsid w:val="003D1EF8"/>
    <w:rsid w:val="003D3EFA"/>
    <w:rsid w:val="003D4DAC"/>
    <w:rsid w:val="003D5EA5"/>
    <w:rsid w:val="003F7458"/>
    <w:rsid w:val="00401D25"/>
    <w:rsid w:val="00402453"/>
    <w:rsid w:val="00403BCA"/>
    <w:rsid w:val="00406DDE"/>
    <w:rsid w:val="0040727D"/>
    <w:rsid w:val="004105BD"/>
    <w:rsid w:val="00411818"/>
    <w:rsid w:val="00426081"/>
    <w:rsid w:val="00432FC1"/>
    <w:rsid w:val="00434F36"/>
    <w:rsid w:val="00443652"/>
    <w:rsid w:val="004461EB"/>
    <w:rsid w:val="00475381"/>
    <w:rsid w:val="004D60D4"/>
    <w:rsid w:val="004F2537"/>
    <w:rsid w:val="004F443B"/>
    <w:rsid w:val="004F739E"/>
    <w:rsid w:val="00526E9D"/>
    <w:rsid w:val="005350EF"/>
    <w:rsid w:val="005460C4"/>
    <w:rsid w:val="005512A0"/>
    <w:rsid w:val="00566FCF"/>
    <w:rsid w:val="005704FD"/>
    <w:rsid w:val="00571C12"/>
    <w:rsid w:val="005723F1"/>
    <w:rsid w:val="00573E7F"/>
    <w:rsid w:val="00583093"/>
    <w:rsid w:val="00587862"/>
    <w:rsid w:val="00597C1D"/>
    <w:rsid w:val="005A271B"/>
    <w:rsid w:val="005B0A01"/>
    <w:rsid w:val="005B13C0"/>
    <w:rsid w:val="005B61E2"/>
    <w:rsid w:val="005C13FE"/>
    <w:rsid w:val="005D1B16"/>
    <w:rsid w:val="005D5D9B"/>
    <w:rsid w:val="005D72F1"/>
    <w:rsid w:val="005D7FFB"/>
    <w:rsid w:val="005E36D5"/>
    <w:rsid w:val="005E3D1D"/>
    <w:rsid w:val="00604897"/>
    <w:rsid w:val="00611DA2"/>
    <w:rsid w:val="006162AF"/>
    <w:rsid w:val="006326F2"/>
    <w:rsid w:val="00642BD3"/>
    <w:rsid w:val="006814E9"/>
    <w:rsid w:val="00681CC3"/>
    <w:rsid w:val="006825A2"/>
    <w:rsid w:val="0069325D"/>
    <w:rsid w:val="006B1354"/>
    <w:rsid w:val="006E2C92"/>
    <w:rsid w:val="006E2D89"/>
    <w:rsid w:val="006E5AB7"/>
    <w:rsid w:val="006E5E82"/>
    <w:rsid w:val="00700B87"/>
    <w:rsid w:val="0071058D"/>
    <w:rsid w:val="0071450E"/>
    <w:rsid w:val="00716965"/>
    <w:rsid w:val="00720167"/>
    <w:rsid w:val="00721145"/>
    <w:rsid w:val="007308E6"/>
    <w:rsid w:val="00733CE3"/>
    <w:rsid w:val="00763C3F"/>
    <w:rsid w:val="007754F2"/>
    <w:rsid w:val="0079499D"/>
    <w:rsid w:val="007A1CC6"/>
    <w:rsid w:val="007B4A25"/>
    <w:rsid w:val="007C027B"/>
    <w:rsid w:val="007D03F8"/>
    <w:rsid w:val="007D3F51"/>
    <w:rsid w:val="007D71B7"/>
    <w:rsid w:val="007E2277"/>
    <w:rsid w:val="007E57E4"/>
    <w:rsid w:val="007E5A9A"/>
    <w:rsid w:val="007E67F6"/>
    <w:rsid w:val="007E782A"/>
    <w:rsid w:val="007F236F"/>
    <w:rsid w:val="007F3537"/>
    <w:rsid w:val="00805EEA"/>
    <w:rsid w:val="00807043"/>
    <w:rsid w:val="008133B8"/>
    <w:rsid w:val="0081348D"/>
    <w:rsid w:val="00814BA3"/>
    <w:rsid w:val="00835ED1"/>
    <w:rsid w:val="00855CA7"/>
    <w:rsid w:val="00860883"/>
    <w:rsid w:val="00861551"/>
    <w:rsid w:val="0086467F"/>
    <w:rsid w:val="00864E4B"/>
    <w:rsid w:val="008670FD"/>
    <w:rsid w:val="00870FE9"/>
    <w:rsid w:val="008736A9"/>
    <w:rsid w:val="00873F04"/>
    <w:rsid w:val="008765FA"/>
    <w:rsid w:val="0087799F"/>
    <w:rsid w:val="008976AE"/>
    <w:rsid w:val="008A0BFD"/>
    <w:rsid w:val="008A2A22"/>
    <w:rsid w:val="008B2037"/>
    <w:rsid w:val="008B2F94"/>
    <w:rsid w:val="008B5789"/>
    <w:rsid w:val="008B5C89"/>
    <w:rsid w:val="008C5AFF"/>
    <w:rsid w:val="008C6387"/>
    <w:rsid w:val="008D13B6"/>
    <w:rsid w:val="008E5583"/>
    <w:rsid w:val="008F4D1C"/>
    <w:rsid w:val="008F5841"/>
    <w:rsid w:val="00900284"/>
    <w:rsid w:val="009035C7"/>
    <w:rsid w:val="009059D0"/>
    <w:rsid w:val="009066B7"/>
    <w:rsid w:val="00912F14"/>
    <w:rsid w:val="0091305D"/>
    <w:rsid w:val="0092261C"/>
    <w:rsid w:val="009240F4"/>
    <w:rsid w:val="00926FE7"/>
    <w:rsid w:val="009435C2"/>
    <w:rsid w:val="0095779F"/>
    <w:rsid w:val="0098023B"/>
    <w:rsid w:val="009809FD"/>
    <w:rsid w:val="009973E4"/>
    <w:rsid w:val="009A0AEE"/>
    <w:rsid w:val="009A0DE6"/>
    <w:rsid w:val="009A578C"/>
    <w:rsid w:val="009A6EB5"/>
    <w:rsid w:val="009B3BE4"/>
    <w:rsid w:val="009E6CF7"/>
    <w:rsid w:val="009F7E7C"/>
    <w:rsid w:val="00A13C45"/>
    <w:rsid w:val="00A44246"/>
    <w:rsid w:val="00A54CBE"/>
    <w:rsid w:val="00A63B0C"/>
    <w:rsid w:val="00A648A5"/>
    <w:rsid w:val="00A80C64"/>
    <w:rsid w:val="00A82E2D"/>
    <w:rsid w:val="00A96D9C"/>
    <w:rsid w:val="00AA2B2D"/>
    <w:rsid w:val="00AB20E1"/>
    <w:rsid w:val="00AC3312"/>
    <w:rsid w:val="00AD6679"/>
    <w:rsid w:val="00AE08AD"/>
    <w:rsid w:val="00AE194F"/>
    <w:rsid w:val="00AE63CB"/>
    <w:rsid w:val="00AF0D37"/>
    <w:rsid w:val="00AF23F7"/>
    <w:rsid w:val="00AF4B97"/>
    <w:rsid w:val="00B06D98"/>
    <w:rsid w:val="00B14193"/>
    <w:rsid w:val="00B22F17"/>
    <w:rsid w:val="00B3144B"/>
    <w:rsid w:val="00B32798"/>
    <w:rsid w:val="00B5025E"/>
    <w:rsid w:val="00B518F4"/>
    <w:rsid w:val="00B62E06"/>
    <w:rsid w:val="00B6695B"/>
    <w:rsid w:val="00B672D1"/>
    <w:rsid w:val="00B70BD2"/>
    <w:rsid w:val="00B90500"/>
    <w:rsid w:val="00B91109"/>
    <w:rsid w:val="00BA0684"/>
    <w:rsid w:val="00BA4CAB"/>
    <w:rsid w:val="00BB4DB5"/>
    <w:rsid w:val="00BC17E2"/>
    <w:rsid w:val="00BC4799"/>
    <w:rsid w:val="00BC5AA4"/>
    <w:rsid w:val="00BF174D"/>
    <w:rsid w:val="00BF1EC5"/>
    <w:rsid w:val="00BF4569"/>
    <w:rsid w:val="00C10BC7"/>
    <w:rsid w:val="00C13CFE"/>
    <w:rsid w:val="00C16AA8"/>
    <w:rsid w:val="00C24B75"/>
    <w:rsid w:val="00C310BD"/>
    <w:rsid w:val="00C5451A"/>
    <w:rsid w:val="00C5508F"/>
    <w:rsid w:val="00C567D2"/>
    <w:rsid w:val="00C56C43"/>
    <w:rsid w:val="00C61A8E"/>
    <w:rsid w:val="00C70548"/>
    <w:rsid w:val="00C72D7A"/>
    <w:rsid w:val="00C77D0C"/>
    <w:rsid w:val="00C839B0"/>
    <w:rsid w:val="00C8768C"/>
    <w:rsid w:val="00C93B5B"/>
    <w:rsid w:val="00C94190"/>
    <w:rsid w:val="00CB0081"/>
    <w:rsid w:val="00CB3B94"/>
    <w:rsid w:val="00CD67AC"/>
    <w:rsid w:val="00CD788B"/>
    <w:rsid w:val="00CE0BC5"/>
    <w:rsid w:val="00CE2A77"/>
    <w:rsid w:val="00CE4D6F"/>
    <w:rsid w:val="00CE6D40"/>
    <w:rsid w:val="00CF150D"/>
    <w:rsid w:val="00CF2461"/>
    <w:rsid w:val="00D129D6"/>
    <w:rsid w:val="00D22DD2"/>
    <w:rsid w:val="00D30634"/>
    <w:rsid w:val="00D30685"/>
    <w:rsid w:val="00D527E6"/>
    <w:rsid w:val="00D55261"/>
    <w:rsid w:val="00D55352"/>
    <w:rsid w:val="00D6169C"/>
    <w:rsid w:val="00D64DF5"/>
    <w:rsid w:val="00D86FFD"/>
    <w:rsid w:val="00DA3B07"/>
    <w:rsid w:val="00DB3941"/>
    <w:rsid w:val="00DB6446"/>
    <w:rsid w:val="00DC021D"/>
    <w:rsid w:val="00DC4BF9"/>
    <w:rsid w:val="00DC5FDD"/>
    <w:rsid w:val="00DD5F95"/>
    <w:rsid w:val="00DD718C"/>
    <w:rsid w:val="00DE6DB2"/>
    <w:rsid w:val="00DE7768"/>
    <w:rsid w:val="00DF4659"/>
    <w:rsid w:val="00E20506"/>
    <w:rsid w:val="00E56C89"/>
    <w:rsid w:val="00E57810"/>
    <w:rsid w:val="00E74475"/>
    <w:rsid w:val="00E76027"/>
    <w:rsid w:val="00E77786"/>
    <w:rsid w:val="00EA72E9"/>
    <w:rsid w:val="00EB2AFB"/>
    <w:rsid w:val="00EB47CE"/>
    <w:rsid w:val="00EC0CBB"/>
    <w:rsid w:val="00EC3621"/>
    <w:rsid w:val="00EC5B1F"/>
    <w:rsid w:val="00EC60DF"/>
    <w:rsid w:val="00ED012C"/>
    <w:rsid w:val="00ED0BC9"/>
    <w:rsid w:val="00ED0EB6"/>
    <w:rsid w:val="00ED3FBE"/>
    <w:rsid w:val="00ED6AFE"/>
    <w:rsid w:val="00EE0662"/>
    <w:rsid w:val="00EE486E"/>
    <w:rsid w:val="00F062A3"/>
    <w:rsid w:val="00F06AA2"/>
    <w:rsid w:val="00F06C4E"/>
    <w:rsid w:val="00F10B51"/>
    <w:rsid w:val="00F1108E"/>
    <w:rsid w:val="00F13AAA"/>
    <w:rsid w:val="00F213E8"/>
    <w:rsid w:val="00F2325D"/>
    <w:rsid w:val="00F25EC1"/>
    <w:rsid w:val="00F30D47"/>
    <w:rsid w:val="00F349C7"/>
    <w:rsid w:val="00F402DF"/>
    <w:rsid w:val="00F4295C"/>
    <w:rsid w:val="00F60A29"/>
    <w:rsid w:val="00F60BED"/>
    <w:rsid w:val="00F64593"/>
    <w:rsid w:val="00F706CC"/>
    <w:rsid w:val="00F761F3"/>
    <w:rsid w:val="00F833F4"/>
    <w:rsid w:val="00F83F16"/>
    <w:rsid w:val="00F86E72"/>
    <w:rsid w:val="00F9074B"/>
    <w:rsid w:val="00F9173A"/>
    <w:rsid w:val="00F97541"/>
    <w:rsid w:val="00FA444C"/>
    <w:rsid w:val="00FA7C23"/>
    <w:rsid w:val="00FB3BBA"/>
    <w:rsid w:val="00FC3BFB"/>
    <w:rsid w:val="00FD44B5"/>
    <w:rsid w:val="00FD76FF"/>
    <w:rsid w:val="00FE3E93"/>
    <w:rsid w:val="00FE5EE3"/>
    <w:rsid w:val="00FE6CD1"/>
    <w:rsid w:val="0C4C22D3"/>
    <w:rsid w:val="0FF61656"/>
    <w:rsid w:val="10EB7442"/>
    <w:rsid w:val="13172663"/>
    <w:rsid w:val="1746542A"/>
    <w:rsid w:val="1DED7015"/>
    <w:rsid w:val="20FE1E68"/>
    <w:rsid w:val="250E6F33"/>
    <w:rsid w:val="254D2652"/>
    <w:rsid w:val="27350359"/>
    <w:rsid w:val="292C38E0"/>
    <w:rsid w:val="2C241588"/>
    <w:rsid w:val="2CA10BDE"/>
    <w:rsid w:val="2D2834C1"/>
    <w:rsid w:val="314F0CD6"/>
    <w:rsid w:val="35914CFD"/>
    <w:rsid w:val="375537B5"/>
    <w:rsid w:val="470B19BA"/>
    <w:rsid w:val="48615D7F"/>
    <w:rsid w:val="4AB21CCA"/>
    <w:rsid w:val="4C8D120F"/>
    <w:rsid w:val="4E920EE8"/>
    <w:rsid w:val="5200713A"/>
    <w:rsid w:val="55545189"/>
    <w:rsid w:val="5B85514F"/>
    <w:rsid w:val="5D5029C2"/>
    <w:rsid w:val="5E4306F8"/>
    <w:rsid w:val="609B25D9"/>
    <w:rsid w:val="62646DD6"/>
    <w:rsid w:val="628E13E4"/>
    <w:rsid w:val="63B02441"/>
    <w:rsid w:val="6528303F"/>
    <w:rsid w:val="71C95F24"/>
    <w:rsid w:val="71D526CC"/>
    <w:rsid w:val="74ED7AE8"/>
    <w:rsid w:val="7646455D"/>
    <w:rsid w:val="76BD4FC2"/>
    <w:rsid w:val="7B574EB9"/>
    <w:rsid w:val="7C4614D6"/>
    <w:rsid w:val="7C817B2C"/>
    <w:rsid w:val="BABF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Times New Roman"/>
      <w:color w:val="auto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Plain Text"/>
    <w:basedOn w:val="3"/>
    <w:link w:val="17"/>
    <w:qFormat/>
    <w:uiPriority w:val="0"/>
    <w:pPr>
      <w:ind w:firstLine="881" w:firstLineChars="200"/>
    </w:pPr>
    <w:rPr>
      <w:rFonts w:ascii="宋体" w:hAnsi="Courier New" w:eastAsia="仿宋_GB2312" w:cstheme="minorBidi"/>
      <w:sz w:val="32"/>
      <w:szCs w:val="22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7">
    <w:name w:val="纯文本 字符"/>
    <w:basedOn w:val="11"/>
    <w:link w:val="5"/>
    <w:qFormat/>
    <w:uiPriority w:val="0"/>
    <w:rPr>
      <w:rFonts w:ascii="宋体" w:hAnsi="Courier New" w:eastAsia="仿宋_GB2312" w:cstheme="minorBidi"/>
      <w:color w:val="auto"/>
      <w:kern w:val="2"/>
      <w:sz w:val="32"/>
      <w:szCs w:val="22"/>
    </w:rPr>
  </w:style>
  <w:style w:type="character" w:customStyle="1" w:styleId="18">
    <w:name w:val="批注文字 字符"/>
    <w:basedOn w:val="11"/>
    <w:link w:val="4"/>
    <w:semiHidden/>
    <w:qFormat/>
    <w:uiPriority w:val="99"/>
    <w:rPr>
      <w:rFonts w:ascii="Tahoma" w:hAnsi="Tahoma" w:cs="Times New Roman"/>
      <w:color w:val="auto"/>
      <w:kern w:val="2"/>
      <w:sz w:val="24"/>
      <w:szCs w:val="24"/>
    </w:rPr>
  </w:style>
  <w:style w:type="character" w:customStyle="1" w:styleId="19">
    <w:name w:val="批注主题 字符"/>
    <w:basedOn w:val="18"/>
    <w:link w:val="9"/>
    <w:semiHidden/>
    <w:qFormat/>
    <w:uiPriority w:val="99"/>
    <w:rPr>
      <w:rFonts w:ascii="Tahoma" w:hAnsi="Tahoma" w:cs="Times New Roman"/>
      <w:b/>
      <w:bCs/>
      <w:color w:val="auto"/>
      <w:kern w:val="2"/>
      <w:sz w:val="24"/>
      <w:szCs w:val="24"/>
    </w:rPr>
  </w:style>
  <w:style w:type="paragraph" w:customStyle="1" w:styleId="20">
    <w:name w:val="Revision"/>
    <w:hidden/>
    <w:semiHidden/>
    <w:qFormat/>
    <w:uiPriority w:val="99"/>
    <w:rPr>
      <w:rFonts w:ascii="Tahoma" w:hAnsi="Tahoma" w:eastAsia="宋体" w:cs="Times New Roman"/>
      <w:color w:val="auto"/>
      <w:kern w:val="2"/>
      <w:sz w:val="24"/>
      <w:szCs w:val="24"/>
      <w:lang w:val="en-US" w:eastAsia="zh-CN" w:bidi="ar-SA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2132</Words>
  <Characters>2140</Characters>
  <Lines>37</Lines>
  <Paragraphs>10</Paragraphs>
  <TotalTime>13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2022-08-30T15:14:00Z</dcterms:created>
  <cp:lastPrinted>2024-03-05T08:22:00Z</cp:lastPrinted>
  <dcterms:modified xsi:type="dcterms:W3CDTF">2024-04-09T00:28:30Z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1FC597BBCAA349DE97D6F83933BD9AE3_13</vt:lpwstr>
  </property>
</Properties>
</file>