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pacing w:line="420" w:lineRule="exact"/>
        <w:jc w:val="center"/>
        <w:outlineLvl w:val="1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3" w:name="_GoBack"/>
      <w:bookmarkStart w:id="0" w:name="_Toc507658743"/>
      <w:bookmarkStart w:id="1" w:name="_Toc318797952"/>
      <w:bookmarkStart w:id="2" w:name="_Toc1445969033"/>
      <w:r>
        <w:rPr>
          <w:rFonts w:hint="eastAsia" w:ascii="宋体" w:hAnsi="宋体" w:cs="宋体"/>
          <w:b/>
          <w:bCs/>
          <w:kern w:val="0"/>
          <w:sz w:val="32"/>
          <w:szCs w:val="32"/>
        </w:rPr>
        <w:t>县（区）城镇新建绿色建筑信息</w:t>
      </w:r>
      <w:bookmarkEnd w:id="0"/>
      <w:bookmarkEnd w:id="1"/>
      <w:r>
        <w:rPr>
          <w:rFonts w:hint="eastAsia" w:ascii="宋体" w:hAnsi="宋体" w:cs="宋体"/>
          <w:b/>
          <w:bCs/>
          <w:kern w:val="0"/>
          <w:sz w:val="32"/>
          <w:szCs w:val="32"/>
        </w:rPr>
        <w:t>表</w:t>
      </w:r>
      <w:bookmarkEnd w:id="2"/>
    </w:p>
    <w:bookmarkEnd w:id="3"/>
    <w:p>
      <w:pPr>
        <w:tabs>
          <w:tab w:val="left" w:pos="6300"/>
        </w:tabs>
        <w:spacing w:line="420" w:lineRule="exact"/>
        <w:jc w:val="center"/>
        <w:outlineLvl w:val="1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right" w:tblpY="6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114"/>
        <w:gridCol w:w="1662"/>
      </w:tblGrid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1114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号：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城镇节能基3表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1114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制定机关：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住房和城乡建设部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1114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批准机关：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1114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批准文号：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国统制[2021]209号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1114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有效期至：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distribut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2024年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</w:tr>
    </w:tbl>
    <w:p>
      <w:pPr>
        <w:rPr>
          <w:rFonts w:hint="eastAsia" w:ascii="宋体" w:hAnsi="宋体"/>
          <w:color w:val="00000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所属行政区名称：</w:t>
      </w:r>
      <w:r>
        <w:rPr>
          <w:rFonts w:ascii="宋体" w:hAnsi="宋体"/>
          <w:color w:val="000000"/>
          <w:sz w:val="18"/>
          <w:szCs w:val="18"/>
          <w:u w:val="single"/>
        </w:rPr>
        <w:t xml:space="preserve">  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</w:t>
      </w:r>
      <w:r>
        <w:rPr>
          <w:rFonts w:hint="eastAsia" w:ascii="宋体" w:hAnsi="宋体"/>
          <w:color w:val="000000"/>
          <w:sz w:val="18"/>
          <w:szCs w:val="18"/>
        </w:rPr>
        <w:t>省（自治区、直辖市）</w:t>
      </w:r>
      <w:r>
        <w:rPr>
          <w:rFonts w:ascii="宋体" w:hAnsi="宋体"/>
          <w:color w:val="000000"/>
          <w:sz w:val="18"/>
          <w:szCs w:val="18"/>
          <w:u w:val="single"/>
        </w:rPr>
        <w:t xml:space="preserve">  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 </w:t>
      </w:r>
      <w:r>
        <w:rPr>
          <w:rFonts w:ascii="宋体" w:hAnsi="宋体"/>
          <w:color w:val="000000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地（区、市）</w:t>
      </w:r>
    </w:p>
    <w:p>
      <w:pPr>
        <w:ind w:firstLine="1440" w:firstLineChars="80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color w:val="000000"/>
          <w:sz w:val="18"/>
          <w:szCs w:val="18"/>
        </w:rPr>
        <w:t>县（市、区）</w:t>
      </w:r>
    </w:p>
    <w:p>
      <w:pPr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18"/>
          <w:szCs w:val="18"/>
        </w:rPr>
        <w:t>填报单位：</w:t>
      </w:r>
    </w:p>
    <w:p>
      <w:pPr>
        <w:jc w:val="center"/>
      </w:pPr>
      <w:r>
        <w:rPr>
          <w:rFonts w:ascii="宋体" w:hAnsi="宋体"/>
          <w:color w:val="000000"/>
          <w:sz w:val="18"/>
          <w:szCs w:val="18"/>
        </w:rPr>
        <w:t xml:space="preserve">20      </w:t>
      </w:r>
      <w:r>
        <w:rPr>
          <w:rFonts w:hint="eastAsia" w:ascii="宋体" w:hAnsi="宋体"/>
          <w:color w:val="000000"/>
          <w:sz w:val="18"/>
          <w:szCs w:val="18"/>
        </w:rPr>
        <w:t>年</w:t>
      </w:r>
    </w:p>
    <w:tbl>
      <w:tblPr>
        <w:tblStyle w:val="2"/>
        <w:tblW w:w="0" w:type="auto"/>
        <w:tblInd w:w="91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173"/>
        <w:gridCol w:w="977"/>
        <w:gridCol w:w="782"/>
        <w:gridCol w:w="1014"/>
        <w:gridCol w:w="1078"/>
        <w:gridCol w:w="1145"/>
        <w:gridCol w:w="120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69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所属行政区名称及代码</w:t>
            </w:r>
          </w:p>
        </w:tc>
        <w:tc>
          <w:tcPr>
            <w:tcW w:w="117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97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82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新建绿色建筑</w:t>
            </w:r>
          </w:p>
        </w:tc>
        <w:tc>
          <w:tcPr>
            <w:tcW w:w="2345" w:type="dxa"/>
            <w:gridSpan w:val="2"/>
            <w:tcBorders>
              <w:top w:val="single" w:color="auto" w:sz="8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绿色建筑标识项目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6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7"/>
              </w:tabs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居住建筑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居住建筑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丁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6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按地区排列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总项目数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6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总栋数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栋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69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万平方米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6300"/>
        </w:tabs>
        <w:spacing w:line="28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单位负责人：</w:t>
      </w:r>
      <w:r>
        <w:rPr>
          <w:kern w:val="0"/>
          <w:sz w:val="18"/>
          <w:szCs w:val="18"/>
        </w:rPr>
        <w:t xml:space="preserve">          </w:t>
      </w:r>
      <w:r>
        <w:rPr>
          <w:rFonts w:hint="eastAsia" w:ascii="宋体" w:hAnsi="宋体" w:cs="宋体"/>
          <w:kern w:val="0"/>
          <w:sz w:val="18"/>
          <w:szCs w:val="18"/>
        </w:rPr>
        <w:t>统计负责人：</w:t>
      </w:r>
      <w:r>
        <w:rPr>
          <w:kern w:val="0"/>
          <w:sz w:val="18"/>
          <w:szCs w:val="18"/>
        </w:rPr>
        <w:t xml:space="preserve">   </w:t>
      </w:r>
      <w:r>
        <w:rPr>
          <w:rFonts w:hint="eastAsia"/>
          <w:kern w:val="0"/>
          <w:sz w:val="18"/>
          <w:szCs w:val="18"/>
        </w:rPr>
        <w:t xml:space="preserve">   </w:t>
      </w:r>
      <w:r>
        <w:rPr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kern w:val="0"/>
          <w:sz w:val="18"/>
          <w:szCs w:val="18"/>
        </w:rPr>
        <w:t>填表人：</w:t>
      </w:r>
      <w:r>
        <w:rPr>
          <w:kern w:val="0"/>
          <w:sz w:val="18"/>
          <w:szCs w:val="18"/>
        </w:rPr>
        <w:t xml:space="preserve">    </w:t>
      </w:r>
      <w:r>
        <w:rPr>
          <w:rFonts w:hint="eastAsia"/>
          <w:kern w:val="0"/>
          <w:sz w:val="18"/>
          <w:szCs w:val="18"/>
        </w:rPr>
        <w:t xml:space="preserve">   </w:t>
      </w:r>
      <w:r>
        <w:rPr>
          <w:kern w:val="0"/>
          <w:sz w:val="18"/>
          <w:szCs w:val="18"/>
        </w:rPr>
        <w:t xml:space="preserve">      </w:t>
      </w:r>
      <w:r>
        <w:rPr>
          <w:rFonts w:hint="eastAsia" w:ascii="宋体" w:hAnsi="宋体" w:cs="宋体"/>
          <w:kern w:val="0"/>
          <w:sz w:val="18"/>
          <w:szCs w:val="18"/>
        </w:rPr>
        <w:t>报出日期：</w:t>
      </w:r>
      <w:r>
        <w:rPr>
          <w:kern w:val="0"/>
          <w:sz w:val="18"/>
          <w:szCs w:val="18"/>
        </w:rPr>
        <w:t xml:space="preserve">20   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    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   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p>
      <w:pPr>
        <w:tabs>
          <w:tab w:val="left" w:pos="6300"/>
        </w:tabs>
        <w:spacing w:line="280" w:lineRule="exact"/>
        <w:rPr>
          <w:rFonts w:ascii="宋体" w:hAnsi="宋体" w:cs="宋体"/>
          <w:kern w:val="0"/>
          <w:sz w:val="18"/>
          <w:szCs w:val="18"/>
        </w:rPr>
      </w:pPr>
    </w:p>
    <w:p>
      <w:pPr>
        <w:spacing w:line="30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说明：</w:t>
      </w:r>
      <w:r>
        <w:rPr>
          <w:rFonts w:ascii="宋体" w:hAnsi="宋体"/>
          <w:color w:val="000000"/>
          <w:sz w:val="18"/>
          <w:szCs w:val="18"/>
        </w:rPr>
        <w:t>1</w:t>
      </w:r>
      <w:r>
        <w:rPr>
          <w:rFonts w:hint="eastAsia" w:ascii="宋体" w:hAnsi="宋体"/>
          <w:color w:val="000000"/>
          <w:sz w:val="18"/>
          <w:szCs w:val="18"/>
        </w:rPr>
        <w:t>.本表由各级建设行政主管部门填报；</w:t>
      </w:r>
    </w:p>
    <w:p>
      <w:pPr>
        <w:spacing w:line="300" w:lineRule="exact"/>
        <w:ind w:left="826" w:leftChars="265" w:hanging="270" w:hangingChars="15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2</w:t>
      </w:r>
      <w:r>
        <w:rPr>
          <w:rFonts w:hint="eastAsia" w:ascii="宋体" w:hAnsi="宋体"/>
          <w:color w:val="000000"/>
          <w:sz w:val="18"/>
          <w:szCs w:val="18"/>
        </w:rPr>
        <w:t>.</w:t>
      </w:r>
      <w:r>
        <w:rPr>
          <w:rFonts w:ascii="宋体" w:hAnsi="宋体"/>
          <w:color w:val="000000"/>
          <w:sz w:val="18"/>
          <w:szCs w:val="18"/>
        </w:rPr>
        <w:t>本报表为年报，</w:t>
      </w:r>
      <w:r>
        <w:rPr>
          <w:rFonts w:hint="eastAsia" w:ascii="宋体" w:hAnsi="宋体"/>
          <w:color w:val="000000"/>
          <w:sz w:val="18"/>
          <w:szCs w:val="18"/>
        </w:rPr>
        <w:t>省级单位</w:t>
      </w:r>
      <w:r>
        <w:rPr>
          <w:rFonts w:ascii="宋体" w:hAnsi="宋体"/>
          <w:color w:val="000000"/>
          <w:sz w:val="18"/>
          <w:szCs w:val="18"/>
        </w:rPr>
        <w:t>报送时间为次年5</w:t>
      </w:r>
      <w:r>
        <w:rPr>
          <w:rFonts w:hint="eastAsia" w:ascii="宋体" w:hAnsi="宋体"/>
          <w:color w:val="000000"/>
          <w:sz w:val="18"/>
          <w:szCs w:val="18"/>
        </w:rPr>
        <w:t>月</w:t>
      </w:r>
      <w:r>
        <w:rPr>
          <w:rFonts w:ascii="宋体" w:hAnsi="宋体"/>
          <w:color w:val="000000"/>
          <w:sz w:val="18"/>
          <w:szCs w:val="18"/>
        </w:rPr>
        <w:t>31</w:t>
      </w:r>
      <w:r>
        <w:rPr>
          <w:rFonts w:hint="eastAsia" w:ascii="宋体" w:hAnsi="宋体"/>
          <w:color w:val="000000"/>
          <w:sz w:val="18"/>
          <w:szCs w:val="18"/>
        </w:rPr>
        <w:t>日前；</w:t>
      </w:r>
    </w:p>
    <w:p>
      <w:pPr>
        <w:spacing w:line="300" w:lineRule="exact"/>
        <w:ind w:left="826" w:leftChars="265" w:hanging="270" w:hangingChars="150"/>
        <w:rPr>
          <w:rFonts w:hint="eastAsia"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3</w:t>
      </w:r>
      <w:r>
        <w:rPr>
          <w:rFonts w:hint="eastAsia" w:ascii="宋体" w:hAnsi="宋体"/>
          <w:color w:val="000000"/>
          <w:sz w:val="18"/>
          <w:szCs w:val="18"/>
        </w:rPr>
        <w:t>.本表所指新建绿色建筑为报告期内城镇</w:t>
      </w:r>
      <w:r>
        <w:rPr>
          <w:rFonts w:ascii="宋体" w:hAnsi="宋体"/>
          <w:color w:val="000000"/>
          <w:sz w:val="18"/>
          <w:szCs w:val="18"/>
        </w:rPr>
        <w:t>范围内</w:t>
      </w:r>
      <w:r>
        <w:rPr>
          <w:rFonts w:hint="eastAsia" w:ascii="宋体" w:hAnsi="宋体"/>
          <w:color w:val="000000"/>
          <w:sz w:val="18"/>
          <w:szCs w:val="18"/>
        </w:rPr>
        <w:t>已竣工</w:t>
      </w:r>
      <w:r>
        <w:rPr>
          <w:rFonts w:ascii="宋体" w:hAnsi="宋体"/>
          <w:color w:val="000000"/>
          <w:sz w:val="18"/>
          <w:szCs w:val="18"/>
        </w:rPr>
        <w:t>的达到绿色建筑评价标准要求的民用建筑；</w:t>
      </w:r>
      <w:r>
        <w:rPr>
          <w:rFonts w:hint="eastAsia" w:ascii="宋体" w:hAnsi="宋体"/>
          <w:color w:val="000000"/>
          <w:sz w:val="18"/>
          <w:szCs w:val="18"/>
        </w:rPr>
        <w:t>绿色</w:t>
      </w:r>
      <w:r>
        <w:rPr>
          <w:rFonts w:ascii="宋体" w:hAnsi="宋体"/>
          <w:color w:val="000000"/>
          <w:sz w:val="18"/>
          <w:szCs w:val="18"/>
        </w:rPr>
        <w:t>建筑标识项目是</w:t>
      </w:r>
      <w:r>
        <w:rPr>
          <w:rFonts w:hint="eastAsia" w:ascii="宋体" w:hAnsi="宋体"/>
          <w:color w:val="000000"/>
          <w:sz w:val="18"/>
          <w:szCs w:val="18"/>
        </w:rPr>
        <w:t>新建</w:t>
      </w:r>
      <w:r>
        <w:rPr>
          <w:rFonts w:ascii="宋体" w:hAnsi="宋体"/>
          <w:color w:val="000000"/>
          <w:sz w:val="18"/>
          <w:szCs w:val="18"/>
        </w:rPr>
        <w:t>绿色建筑中取得绿色建筑标识证书的</w:t>
      </w:r>
      <w:r>
        <w:rPr>
          <w:rFonts w:hint="eastAsia" w:ascii="宋体" w:hAnsi="宋体"/>
          <w:color w:val="000000"/>
          <w:sz w:val="18"/>
          <w:szCs w:val="18"/>
        </w:rPr>
        <w:t>项目</w:t>
      </w:r>
      <w:r>
        <w:rPr>
          <w:rFonts w:ascii="宋体" w:hAnsi="宋体"/>
          <w:color w:val="000000"/>
          <w:sz w:val="18"/>
          <w:szCs w:val="18"/>
        </w:rPr>
        <w:t>。</w:t>
      </w:r>
    </w:p>
    <w:p>
      <w:pPr>
        <w:spacing w:line="300" w:lineRule="exact"/>
        <w:ind w:left="826" w:leftChars="265" w:hanging="270" w:hangingChars="15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4</w:t>
      </w:r>
      <w:r>
        <w:rPr>
          <w:rFonts w:hint="eastAsia" w:ascii="宋体" w:hAnsi="宋体"/>
          <w:color w:val="000000"/>
          <w:sz w:val="18"/>
          <w:szCs w:val="18"/>
        </w:rPr>
        <w:t>.本表逻辑审核关系：1</w:t>
      </w:r>
      <w:r>
        <w:rPr>
          <w:rFonts w:ascii="宋体" w:hAnsi="宋体"/>
          <w:color w:val="000000"/>
          <w:sz w:val="18"/>
          <w:szCs w:val="18"/>
        </w:rPr>
        <w:t>栏</w:t>
      </w:r>
      <w:r>
        <w:rPr>
          <w:rFonts w:hint="eastAsia" w:ascii="宋体" w:hAnsi="宋体" w:cs="宋体"/>
          <w:color w:val="000000"/>
          <w:sz w:val="18"/>
          <w:szCs w:val="18"/>
        </w:rPr>
        <w:t>≥</w:t>
      </w:r>
      <w:r>
        <w:rPr>
          <w:rFonts w:ascii="宋体" w:hAnsi="宋体"/>
          <w:color w:val="000000"/>
          <w:sz w:val="18"/>
          <w:szCs w:val="18"/>
        </w:rPr>
        <w:t>3栏</w:t>
      </w:r>
      <w:r>
        <w:rPr>
          <w:rFonts w:hint="eastAsia" w:ascii="宋体" w:hAnsi="宋体"/>
          <w:color w:val="000000"/>
          <w:sz w:val="18"/>
          <w:szCs w:val="18"/>
        </w:rPr>
        <w:t>，</w:t>
      </w:r>
      <w:r>
        <w:rPr>
          <w:rFonts w:ascii="宋体" w:hAnsi="宋体"/>
          <w:color w:val="000000"/>
          <w:sz w:val="18"/>
          <w:szCs w:val="18"/>
        </w:rPr>
        <w:t>2栏</w:t>
      </w:r>
      <w:r>
        <w:rPr>
          <w:rFonts w:hint="eastAsia" w:ascii="宋体" w:hAnsi="宋体" w:cs="宋体"/>
          <w:color w:val="000000"/>
          <w:sz w:val="18"/>
          <w:szCs w:val="18"/>
        </w:rPr>
        <w:t>≥</w:t>
      </w:r>
      <w:r>
        <w:rPr>
          <w:rFonts w:ascii="宋体" w:hAnsi="宋体"/>
          <w:color w:val="000000"/>
          <w:sz w:val="18"/>
          <w:szCs w:val="18"/>
        </w:rPr>
        <w:t>4栏；</w:t>
      </w:r>
    </w:p>
    <w:p>
      <w:pPr>
        <w:spacing w:line="300" w:lineRule="exact"/>
        <w:ind w:left="826" w:leftChars="265" w:hanging="270" w:hangingChars="15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5</w:t>
      </w:r>
      <w:r>
        <w:rPr>
          <w:rFonts w:hint="eastAsia" w:ascii="宋体" w:hAnsi="宋体"/>
          <w:color w:val="000000"/>
          <w:sz w:val="18"/>
          <w:szCs w:val="18"/>
        </w:rPr>
        <w:t>.表中</w:t>
      </w:r>
      <w:r>
        <w:rPr>
          <w:rFonts w:ascii="宋体" w:hAnsi="宋体"/>
          <w:color w:val="000000"/>
          <w:sz w:val="18"/>
          <w:szCs w:val="18"/>
        </w:rPr>
        <w:t>301</w:t>
      </w:r>
      <w:r>
        <w:rPr>
          <w:rFonts w:hint="eastAsia" w:ascii="宋体" w:hAnsi="宋体"/>
          <w:color w:val="000000"/>
          <w:sz w:val="18"/>
          <w:szCs w:val="18"/>
        </w:rPr>
        <w:t>、</w:t>
      </w:r>
      <w:r>
        <w:rPr>
          <w:rFonts w:ascii="宋体" w:hAnsi="宋体"/>
          <w:color w:val="000000"/>
          <w:sz w:val="18"/>
          <w:szCs w:val="18"/>
        </w:rPr>
        <w:t>302</w:t>
      </w:r>
      <w:r>
        <w:rPr>
          <w:rFonts w:hint="eastAsia" w:ascii="宋体" w:hAnsi="宋体"/>
          <w:color w:val="000000"/>
          <w:sz w:val="18"/>
          <w:szCs w:val="18"/>
        </w:rPr>
        <w:t>、303</w:t>
      </w:r>
      <w:r>
        <w:rPr>
          <w:rFonts w:ascii="宋体" w:hAnsi="宋体"/>
          <w:color w:val="000000"/>
          <w:sz w:val="18"/>
          <w:szCs w:val="18"/>
        </w:rPr>
        <w:t>项</w:t>
      </w:r>
      <w:r>
        <w:rPr>
          <w:rFonts w:hint="eastAsia" w:ascii="宋体" w:hAnsi="宋体"/>
          <w:color w:val="000000"/>
          <w:sz w:val="18"/>
          <w:szCs w:val="18"/>
        </w:rPr>
        <w:t>数据</w:t>
      </w:r>
      <w:r>
        <w:rPr>
          <w:rFonts w:ascii="宋体" w:hAnsi="宋体"/>
          <w:color w:val="000000"/>
          <w:sz w:val="18"/>
          <w:szCs w:val="18"/>
        </w:rPr>
        <w:t>取整数。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581F"/>
    <w:rsid w:val="6A4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2022-05-14T01:00:00Z</dcterms:created>
  <dc:creator>曾琼</dc:creator>
  <cp:lastModifiedBy>曾琼</cp:lastModifiedBy>
  <dcterms:modified xsi:type="dcterms:W3CDTF">2022-05-14T01:56:15Z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