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ascii="Arial" w:hAnsi="Arial" w:eastAsia="宋体" w:cs="Arial"/>
          <w:b/>
          <w:bCs/>
          <w:color w:val="116699"/>
          <w:kern w:val="36"/>
          <w:szCs w:val="21"/>
        </w:rPr>
      </w:pP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val="en-US" w:eastAsia="zh-CN"/>
        </w:rPr>
        <w:t>202</w:t>
      </w:r>
      <w:r>
        <w:rPr>
          <w:rFonts w:hint="eastAsia" w:ascii="Arial" w:hAnsi="Arial" w:cs="Arial"/>
          <w:b/>
          <w:bCs/>
          <w:color w:val="116699"/>
          <w:kern w:val="36"/>
          <w:sz w:val="36"/>
          <w:szCs w:val="36"/>
          <w:lang w:val="en-US" w:eastAsia="zh-CN"/>
        </w:rPr>
        <w:t>2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年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</w:rPr>
        <w:t>湛江市污染源监控中心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“三公”经费预算表</w:t>
      </w:r>
      <w:r>
        <w:rPr>
          <w:rFonts w:ascii="Arial" w:hAnsi="Arial" w:eastAsia="宋体" w:cs="Arial"/>
          <w:kern w:val="0"/>
          <w:sz w:val="18"/>
          <w:szCs w:val="18"/>
        </w:rPr>
        <w:t xml:space="preserve"> </w:t>
      </w:r>
    </w:p>
    <w:tbl>
      <w:tblPr>
        <w:tblStyle w:val="2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565"/>
        <w:gridCol w:w="643"/>
        <w:gridCol w:w="528"/>
        <w:gridCol w:w="305"/>
        <w:gridCol w:w="559"/>
        <w:gridCol w:w="559"/>
        <w:gridCol w:w="643"/>
        <w:gridCol w:w="643"/>
        <w:gridCol w:w="624"/>
        <w:gridCol w:w="630"/>
        <w:gridCol w:w="643"/>
        <w:gridCol w:w="418"/>
        <w:gridCol w:w="493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“三公”经费预算支出情况</w:t>
            </w:r>
          </w:p>
        </w:tc>
        <w:tc>
          <w:tcPr>
            <w:tcW w:w="46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“三公”经费预算支出具体情况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因公出国（境）费用小计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公务用车购置及运行维护费支出</w:t>
            </w:r>
          </w:p>
        </w:tc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公务接待费小计（含外事接待费）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本年度安排的出国（境）团组个数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参加其他单位组织的出国（境）团组 个数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全年因公出国（境）累计人次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本年购置公务用车 （辆）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年末公务用车保有量（辆）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小计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公务用车购置小计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公务用车运行维护费小计</w:t>
            </w:r>
          </w:p>
        </w:tc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本年度国内公务接待 批次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国内公务接待人次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4.36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4.36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4.36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说明：20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年度，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湛江市污染源监控中心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“三公”经费预算支出总额为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4.36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比上年增长142.22%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其中：1. 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年度预算因公出国（境）费用 0万元。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          2. 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年度预算公务用车购置及运行维护费支出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4.36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比上年增长142.22%，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部分三公经费在项目工作经费支出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       </w:t>
            </w:r>
          </w:p>
          <w:p>
            <w:pPr>
              <w:widowControl/>
              <w:spacing w:line="330" w:lineRule="atLeast"/>
              <w:ind w:firstLine="540" w:firstLineChars="300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3.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年度预算公务接待费用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与去年持平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67584"/>
    <w:rsid w:val="21F67584"/>
    <w:rsid w:val="3C8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2022-02-11T02:45:00Z</dcterms:created>
  <dc:creator>_Xc</dc:creator>
  <cp:lastModifiedBy>_Xc</cp:lastModifiedBy>
  <dcterms:modified xsi:type="dcterms:W3CDTF">2022-02-11T08:42:42Z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1DBEDE99BA834855B6DD79065B60CA90</vt:lpwstr>
  </property>
</Properties>
</file>