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hAnsi="Arial" w:eastAsia="宋体" w:cs="Arial"/>
          <w:b/>
          <w:bCs/>
          <w:color w:val="116699"/>
          <w:kern w:val="36"/>
          <w:szCs w:val="21"/>
        </w:rPr>
      </w:pP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val="en-US" w:eastAsia="zh-CN"/>
        </w:rPr>
        <w:t>202</w:t>
      </w:r>
      <w:r>
        <w:rPr>
          <w:rFonts w:hint="eastAsia" w:ascii="Arial" w:hAnsi="Arial" w:cs="Arial"/>
          <w:b/>
          <w:bCs/>
          <w:color w:val="116699"/>
          <w:kern w:val="36"/>
          <w:sz w:val="36"/>
          <w:szCs w:val="36"/>
          <w:lang w:val="en-US" w:eastAsia="zh-CN"/>
        </w:rPr>
        <w:t>2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年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</w:rPr>
        <w:t>湛江市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  <w:t>生态环境局</w:t>
      </w:r>
      <w:r>
        <w:rPr>
          <w:rFonts w:hint="eastAsia" w:ascii="Arial" w:hAnsi="Arial" w:cs="Arial"/>
          <w:b/>
          <w:bCs/>
          <w:color w:val="116699"/>
          <w:kern w:val="36"/>
          <w:sz w:val="36"/>
          <w:szCs w:val="36"/>
          <w:lang w:eastAsia="zh-CN"/>
        </w:rPr>
        <w:t>霞山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  <w:t>分局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“三公”经费预算表</w:t>
      </w:r>
      <w:r>
        <w:rPr>
          <w:rFonts w:ascii="Arial" w:hAnsi="Arial" w:eastAsia="宋体" w:cs="Arial"/>
          <w:kern w:val="0"/>
          <w:sz w:val="18"/>
          <w:szCs w:val="18"/>
        </w:rPr>
        <w:t xml:space="preserve"> </w:t>
      </w:r>
    </w:p>
    <w:tbl>
      <w:tblPr>
        <w:tblStyle w:val="2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65"/>
        <w:gridCol w:w="643"/>
        <w:gridCol w:w="528"/>
        <w:gridCol w:w="305"/>
        <w:gridCol w:w="559"/>
        <w:gridCol w:w="559"/>
        <w:gridCol w:w="643"/>
        <w:gridCol w:w="643"/>
        <w:gridCol w:w="624"/>
        <w:gridCol w:w="630"/>
        <w:gridCol w:w="643"/>
        <w:gridCol w:w="418"/>
        <w:gridCol w:w="493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“三公”经费预算支出情况</w:t>
            </w:r>
          </w:p>
        </w:tc>
        <w:tc>
          <w:tcPr>
            <w:tcW w:w="46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“三公”经费预算支出具体情况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因公出国（境）费用小计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公务用车购置及运行维护费支出</w:t>
            </w:r>
          </w:p>
        </w:tc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公务接待费小计（含外事接待费）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本年度安排的出国（境）团组个数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参加其他单位组织的出国（境）团组 个数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全年因公出国（境）累计人次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本年购置公务用车 （辆）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年末公务用车保有量（辆）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公务用车运行维护费小计</w:t>
            </w:r>
          </w:p>
        </w:tc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本年度国内公务接待 批次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国内公务接待人次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说明：20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年度，湛江市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生态环境局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霞山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分局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“三公”经费预算支出总额为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下降15.38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%。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其中：1.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年度预算因公出国（境）费用 0万元，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与上年持平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   2.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年度预算公务用车购置及运行维护费支出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万元，比上年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持平。</w:t>
            </w:r>
            <w:bookmarkStart w:id="0" w:name="_GoBack"/>
            <w:bookmarkEnd w:id="0"/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   3.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年度预算公务接待费用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比上年减少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0.40万元，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下降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%。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主要是厉行节约，严格控制开支。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6A1B"/>
    <w:rsid w:val="06656A1B"/>
    <w:rsid w:val="0FA46120"/>
    <w:rsid w:val="1C7E23B0"/>
    <w:rsid w:val="2F6B1FC2"/>
    <w:rsid w:val="3CD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2022-02-11T02:25:00Z</dcterms:created>
  <dc:creator>_Xc</dc:creator>
  <cp:lastModifiedBy>lenovo</cp:lastModifiedBy>
  <dcterms:modified xsi:type="dcterms:W3CDTF">2022-02-11T07:27:29Z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728A464A7E42471B8285634D16702977</vt:lpwstr>
  </property>
</Properties>
</file>