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90" w:lineRule="atLeast"/>
        <w:jc w:val="center"/>
        <w:outlineLvl w:val="0"/>
        <w:rPr>
          <w:rFonts w:ascii="Arial" w:hAnsi="Arial" w:eastAsia="宋体" w:cs="Arial"/>
          <w:b/>
          <w:bCs/>
          <w:color w:val="116699"/>
          <w:kern w:val="36"/>
          <w:szCs w:val="21"/>
        </w:rPr>
      </w:pP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val="en-US" w:eastAsia="zh-CN"/>
        </w:rPr>
        <w:t>202</w:t>
      </w:r>
      <w:r>
        <w:rPr>
          <w:rFonts w:hint="eastAsia" w:ascii="Arial" w:hAnsi="Arial" w:cs="Arial"/>
          <w:b/>
          <w:bCs/>
          <w:color w:val="116699"/>
          <w:kern w:val="36"/>
          <w:sz w:val="36"/>
          <w:szCs w:val="36"/>
          <w:lang w:val="en-US" w:eastAsia="zh-CN"/>
        </w:rPr>
        <w:t>2</w:t>
      </w: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年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</w:rPr>
        <w:t>湛江市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eastAsia="zh-CN"/>
        </w:rPr>
        <w:t>海洋与渔业环境监测站</w:t>
      </w: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“三公”经费预算表</w:t>
      </w:r>
      <w:r>
        <w:rPr>
          <w:rFonts w:ascii="Arial" w:hAnsi="Arial" w:eastAsia="宋体" w:cs="Arial"/>
          <w:kern w:val="0"/>
          <w:sz w:val="18"/>
          <w:szCs w:val="18"/>
        </w:rPr>
        <w:t xml:space="preserve"> </w:t>
      </w:r>
    </w:p>
    <w:tbl>
      <w:tblPr>
        <w:tblStyle w:val="2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565"/>
        <w:gridCol w:w="643"/>
        <w:gridCol w:w="528"/>
        <w:gridCol w:w="305"/>
        <w:gridCol w:w="559"/>
        <w:gridCol w:w="559"/>
        <w:gridCol w:w="643"/>
        <w:gridCol w:w="643"/>
        <w:gridCol w:w="624"/>
        <w:gridCol w:w="630"/>
        <w:gridCol w:w="643"/>
        <w:gridCol w:w="418"/>
        <w:gridCol w:w="493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3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“三公”经费预算支出情况</w:t>
            </w:r>
          </w:p>
        </w:tc>
        <w:tc>
          <w:tcPr>
            <w:tcW w:w="46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“三公”经费预算支出具体情况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因公出国（境）费用小计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公务用车购置及运行维护费支出</w:t>
            </w:r>
          </w:p>
        </w:tc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公务接待费小计（含外事接待费）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本年度安排的出国（境）团组个数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参加其他单位组织的出国（境）团组 个数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全年因公出国（境）累计人次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本年购置公务用车 （辆）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年末公务用车保有量（辆）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小计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公务用车购置小计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公务用车运行维护费小计</w:t>
            </w:r>
          </w:p>
        </w:tc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本年度国内公务接待 批次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国内公务接待人次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6.60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6.60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6.60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说明：20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年度，湛江市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海洋与渔业环境监测站</w:t>
            </w:r>
            <w:bookmarkStart w:id="0" w:name="_GoBack"/>
            <w:bookmarkEnd w:id="0"/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“三公”经费预算支出总额为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6.60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万元，比上年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下降7.04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%。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其中：1. 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年度预算因公出国（境）费用 0万元，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与上年持平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。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          2. 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年度预算公务用车购置及运行维护费支出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6.60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万元，比上年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持平。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          3.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年度预算公务接待费用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万元，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比上年减少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0.50万元，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比上年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下降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%。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主要是厉行节约，严格控制开支。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6A1B"/>
    <w:rsid w:val="007F00A5"/>
    <w:rsid w:val="06656A1B"/>
    <w:rsid w:val="0F701801"/>
    <w:rsid w:val="0FA46120"/>
    <w:rsid w:val="1C7E23B0"/>
    <w:rsid w:val="2F6B1FC2"/>
    <w:rsid w:val="3CD4168D"/>
    <w:rsid w:val="5916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2022-02-11T02:25:00Z</dcterms:created>
  <dc:creator>_Xc</dc:creator>
  <cp:lastModifiedBy>lenovo</cp:lastModifiedBy>
  <dcterms:modified xsi:type="dcterms:W3CDTF">2022-02-11T07:37:17Z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728A464A7E42471B8285634D16702977</vt:lpwstr>
  </property>
</Properties>
</file>