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</w:rPr>
        <w:t>工程建设项目合规性审查结果报告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 w:firstLine="42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i w:val="0"/>
          <w:caps w:val="0"/>
          <w:color w:val="333333"/>
          <w:spacing w:val="0"/>
          <w:sz w:val="28"/>
          <w:szCs w:val="28"/>
        </w:rPr>
        <w:t>项目检测编号：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系统自动生成</w:t>
      </w:r>
    </w:p>
    <w:tbl>
      <w:tblPr>
        <w:tblStyle w:val="5"/>
        <w:tblW w:w="8414" w:type="dxa"/>
        <w:tblInd w:w="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22"/>
        <w:gridCol w:w="33"/>
        <w:gridCol w:w="31"/>
        <w:gridCol w:w="295"/>
        <w:gridCol w:w="45"/>
        <w:gridCol w:w="507"/>
        <w:gridCol w:w="315"/>
        <w:gridCol w:w="285"/>
        <w:gridCol w:w="112"/>
        <w:gridCol w:w="279"/>
        <w:gridCol w:w="48"/>
        <w:gridCol w:w="164"/>
        <w:gridCol w:w="50"/>
        <w:gridCol w:w="675"/>
        <w:gridCol w:w="150"/>
        <w:gridCol w:w="268"/>
        <w:gridCol w:w="29"/>
        <w:gridCol w:w="571"/>
        <w:gridCol w:w="191"/>
        <w:gridCol w:w="36"/>
        <w:gridCol w:w="261"/>
        <w:gridCol w:w="109"/>
        <w:gridCol w:w="31"/>
        <w:gridCol w:w="487"/>
        <w:gridCol w:w="1408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16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市发展改革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推送</w:t>
            </w:r>
          </w:p>
        </w:tc>
        <w:tc>
          <w:tcPr>
            <w:tcW w:w="229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项目单位</w:t>
            </w:r>
          </w:p>
        </w:tc>
        <w:tc>
          <w:tcPr>
            <w:tcW w:w="19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市发展改革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7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用地面积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（㎡）</w:t>
            </w:r>
          </w:p>
        </w:tc>
        <w:tc>
          <w:tcPr>
            <w:tcW w:w="216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改革局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推送</w:t>
            </w:r>
          </w:p>
        </w:tc>
        <w:tc>
          <w:tcPr>
            <w:tcW w:w="22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申请用地性质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市发展改革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17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项目类型</w:t>
            </w:r>
          </w:p>
        </w:tc>
        <w:tc>
          <w:tcPr>
            <w:tcW w:w="216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市发展改革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（系统标准：基础设施类、社会民生类、生态环保类、产业类、能源保障类、房地产类、土地开发与城市更新改造类、党群政法及行政机关设施类、其他类）</w:t>
            </w:r>
          </w:p>
        </w:tc>
        <w:tc>
          <w:tcPr>
            <w:tcW w:w="22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项目级别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二次填报后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（国家、省、市重点项目）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174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shd w:val="clear" w:fill="F2F2F2"/>
              </w:rPr>
              <w:t>0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shd w:val="clear" w:fill="F2F2F2"/>
              </w:rPr>
              <w:t>城市总体规划检测情况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9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三区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情况</w:t>
            </w:r>
          </w:p>
        </w:tc>
        <w:tc>
          <w:tcPr>
            <w:tcW w:w="216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占用禁建区面积</w:t>
            </w:r>
          </w:p>
        </w:tc>
        <w:tc>
          <w:tcPr>
            <w:tcW w:w="22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占用限建区面积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适建区面积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≤5%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≤5%</w:t>
            </w:r>
          </w:p>
        </w:tc>
        <w:tc>
          <w:tcPr>
            <w:tcW w:w="11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  <w:tc>
          <w:tcPr>
            <w:tcW w:w="1926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5%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需二次填报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5%</w:t>
            </w:r>
          </w:p>
        </w:tc>
        <w:tc>
          <w:tcPr>
            <w:tcW w:w="11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需二次填报</w:t>
            </w:r>
          </w:p>
        </w:tc>
        <w:tc>
          <w:tcPr>
            <w:tcW w:w="1926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9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四线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情况</w:t>
            </w: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紫线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黄线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未占用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未占用，或占用但属于基础设施类项目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需二次填报</w:t>
            </w: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占用，且不属于基础设施类项目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绿线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蓝线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未占用，或占用面积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≤5%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，或属于林业园林类项目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未占用，或占用但属于供水、排水工程、污水处理、水利工程类项目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占用范围＞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以上，且不属于林业园林类项目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</w:t>
            </w: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㎡，且不属于供水、排水工程、污水处理、水利工程类项目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79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中心城区用地规划图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情况</w:t>
            </w: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用地性质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与中心城区用地规划图一致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7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用地性质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与中心城区用地规划图不一致，存在占用以下用地的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77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文物古迹用地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（占用面积㎡）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市政公用设施用地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（占用面积㎡）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绿地（占用面积大于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5%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（占用面积㎡）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生态控制区（占用面积大于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5%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（占用面积㎡）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5%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水域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（占用面积㎡）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9" w:hRule="atLeast"/>
        </w:trPr>
        <w:tc>
          <w:tcPr>
            <w:tcW w:w="17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示意图</w:t>
            </w:r>
          </w:p>
        </w:tc>
        <w:tc>
          <w:tcPr>
            <w:tcW w:w="6380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系统自动出图（含规划叠加图，卫片叠加图等）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74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32"/>
                <w:szCs w:val="32"/>
              </w:rPr>
              <w:t>2035</w:t>
            </w: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城市总体规划检测情况（仅供参考）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9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三线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211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城镇开发边界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22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永久基本农田保护红线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生态保护红线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22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9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其他控制线情况</w:t>
            </w:r>
          </w:p>
        </w:tc>
        <w:tc>
          <w:tcPr>
            <w:tcW w:w="3286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城市蓝线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（占用面积㎡）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城市绿线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（占用面积㎡）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6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6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城市紫线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（占用面积㎡）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城市黄线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（占用面积㎡）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6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系统自动计算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7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示意图</w:t>
            </w:r>
          </w:p>
        </w:tc>
        <w:tc>
          <w:tcPr>
            <w:tcW w:w="6380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系统自动出图（含项目界线与规划、卫片等的叠加图）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174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土地利用总体规划检测情况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农用地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（占用面积㎡）</w:t>
            </w:r>
          </w:p>
        </w:tc>
        <w:tc>
          <w:tcPr>
            <w:tcW w:w="286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其他土地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（占用面积㎡）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7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建设用地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地类情况</w:t>
            </w:r>
          </w:p>
        </w:tc>
        <w:tc>
          <w:tcPr>
            <w:tcW w:w="15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城乡建设用地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永久基本农田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1" w:hRule="atLeast"/>
        </w:trPr>
        <w:tc>
          <w:tcPr>
            <w:tcW w:w="1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gridSpan w:val="8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交通水利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及其他建设用地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1328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是否符合占用永久基本农田</w:t>
            </w:r>
          </w:p>
        </w:tc>
        <w:tc>
          <w:tcPr>
            <w:tcW w:w="6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属可以占用永久基本农田的重大项目，须编制规划修改方案暨永久基本农田补划方案，并向省级自然资源主管部门申请踏勘论证。若属省级公路网规划的省级高速公路、连接深度贫困地区直接为该地区服务的省级公路涉及基本农田的，须先行落实永久基本农田补划入库后，方能办理建设项目用地预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8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项目不符合占用永久基本农田的条件，请另行选址，避让永久基本农田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建设用地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管制分区情况</w:t>
            </w:r>
          </w:p>
        </w:tc>
        <w:tc>
          <w:tcPr>
            <w:tcW w:w="15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允许建设区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有条件建设区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限制建设区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9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禁止建设区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（占用面积㎡）</w:t>
            </w:r>
          </w:p>
        </w:tc>
        <w:tc>
          <w:tcPr>
            <w:tcW w:w="213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是否符合《限制建设区用地项目目录》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646" w:type="dxa"/>
            <w:gridSpan w:val="9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示意图</w:t>
            </w:r>
          </w:p>
        </w:tc>
        <w:tc>
          <w:tcPr>
            <w:tcW w:w="286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（土地利用总体规划图（含基本农田））（地类图斑放下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基本农田放上）</w:t>
            </w:r>
          </w:p>
        </w:tc>
        <w:tc>
          <w:tcPr>
            <w:tcW w:w="378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（建设用地管制分区图）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174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控制性详细规划检测情况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2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控规要求</w:t>
            </w:r>
          </w:p>
        </w:tc>
        <w:tc>
          <w:tcPr>
            <w:tcW w:w="29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地块一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地块二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2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控规指标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申报指标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是否相符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控规指标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申报指标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是否相符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规划用地性质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总计容面积（㎡）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容积率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绿地率（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%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≥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建筑密度（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%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限高（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城市设计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及其它要求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配套设施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2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控规要求</w:t>
            </w:r>
          </w:p>
        </w:tc>
        <w:tc>
          <w:tcPr>
            <w:tcW w:w="29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地块三</w:t>
            </w:r>
          </w:p>
        </w:tc>
        <w:tc>
          <w:tcPr>
            <w:tcW w:w="33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82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控规指标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申报指标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是否相符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规划用地性质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总计容面积（㎡）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容积率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绿地率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≥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建筑密度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限高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城市设计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及其它要求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配套设施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atLeast"/>
        </w:trPr>
        <w:tc>
          <w:tcPr>
            <w:tcW w:w="1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项目叠加控规示意图</w:t>
            </w:r>
          </w:p>
        </w:tc>
        <w:tc>
          <w:tcPr>
            <w:tcW w:w="6347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174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征收储备工作核查意见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19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是否已办理用地报批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(08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年至今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976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否（系统自动检测）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19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用地报批批次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（或项目）名称</w:t>
            </w:r>
          </w:p>
        </w:tc>
        <w:tc>
          <w:tcPr>
            <w:tcW w:w="5976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——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（系统自动检测）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19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已办理用地报批面积（㎡）</w:t>
            </w:r>
          </w:p>
        </w:tc>
        <w:tc>
          <w:tcPr>
            <w:tcW w:w="5976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——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（系统自动检测）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174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土地利用现状情况检测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8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现状调查年份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209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用地总面积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（占用面积㎡）</w:t>
            </w:r>
          </w:p>
        </w:tc>
        <w:tc>
          <w:tcPr>
            <w:tcW w:w="2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8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农用地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（占用面积㎡）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其中耕地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（占用面积㎡）</w:t>
            </w:r>
          </w:p>
        </w:tc>
        <w:tc>
          <w:tcPr>
            <w:tcW w:w="2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（注：耕地面积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农用地中耕地面积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可调整园地面积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可调整林地面积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可调整人工牧草地面积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可调整坑塘水面面积。即与用地预审中土地利用现状计算规则一致）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8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建设用地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（占用面积㎡）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未利用地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（占用面积㎡）</w:t>
            </w:r>
          </w:p>
        </w:tc>
        <w:tc>
          <w:tcPr>
            <w:tcW w:w="2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174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EAAA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规划符合性审查建议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1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城市总体规划符合性审查建议</w:t>
            </w:r>
          </w:p>
        </w:tc>
        <w:tc>
          <w:tcPr>
            <w:tcW w:w="6021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由系统填写结论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1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土地利用总体规划符合性审查建议</w:t>
            </w:r>
          </w:p>
        </w:tc>
        <w:tc>
          <w:tcPr>
            <w:tcW w:w="6021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由系统填写结论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21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控制性详细规划符合性审查建议</w:t>
            </w:r>
          </w:p>
        </w:tc>
        <w:tc>
          <w:tcPr>
            <w:tcW w:w="6021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人工汇总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1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征收储备工作建议</w:t>
            </w:r>
          </w:p>
        </w:tc>
        <w:tc>
          <w:tcPr>
            <w:tcW w:w="6021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由系统填写结论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8" w:hRule="atLeast"/>
        </w:trPr>
        <w:tc>
          <w:tcPr>
            <w:tcW w:w="21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耕地保护工作建议</w:t>
            </w:r>
          </w:p>
        </w:tc>
        <w:tc>
          <w:tcPr>
            <w:tcW w:w="6021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1. 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项目涉及的耕地（详见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土地利用现状情况检测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栏）符合以下情况之一的：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）线性工程耕地面积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&gt;100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公顷；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）块状工程耕地面积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&gt;70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公顷；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）耕地面积占项目总面积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&gt;50%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根据粤国土资规字〔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〕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号，项目须在申请办理建设项目用地预审前，编制建设项目实地踏勘论证报告并向市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  <w:lang w:eastAsia="zh-CN"/>
              </w:rPr>
              <w:t>自然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sz w:val="20"/>
                <w:szCs w:val="20"/>
                <w:lang w:eastAsia="zh-CN"/>
              </w:rPr>
              <w:t>资源局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来函申请论证。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2. 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根据国土资源部令第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号、粤国土资规字〔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〕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号，对国家和地方尚未颁布土地使用标准和建设标准的建设项目，以及确需突破土地使用标准确定的规模和功能分区的建设项目，须在申请办理建设项目用地预审前，编制建设项目节地评价报告并向市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  <w:lang w:eastAsia="zh-CN"/>
              </w:rPr>
              <w:t>自然资源局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来函申请论证。需同时开展踏勘论证和建设项目节地评价的建设项目，可将两项工作合并开展，编制踏勘论证和节地评价报告并向市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  <w:lang w:eastAsia="zh-CN"/>
              </w:rPr>
              <w:t>自然资源局</w:t>
            </w:r>
            <w:r>
              <w:rPr>
                <w:rFonts w:hint="eastAsia" w:ascii="仿宋_GB2312" w:hAnsi="Times New Roman" w:eastAsia="仿宋_GB2312" w:cs="仿宋_GB2312"/>
                <w:sz w:val="20"/>
                <w:szCs w:val="20"/>
              </w:rPr>
              <w:t>来函申请论证。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tbl>
      <w:tblPr>
        <w:tblStyle w:val="6"/>
        <w:tblW w:w="8175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5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海洋功能区划符合性审查建议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（此项仅需涉及用海项目填写）</w:t>
            </w:r>
          </w:p>
        </w:tc>
        <w:tc>
          <w:tcPr>
            <w:tcW w:w="6018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7388E"/>
    <w:rsid w:val="13862270"/>
    <w:rsid w:val="1407388E"/>
    <w:rsid w:val="2407272A"/>
    <w:rsid w:val="30CB53CD"/>
    <w:rsid w:val="35FF036D"/>
    <w:rsid w:val="3FBE354E"/>
    <w:rsid w:val="4074263F"/>
    <w:rsid w:val="61610DBB"/>
    <w:rsid w:val="68636C26"/>
    <w:rsid w:val="6DF47B06"/>
    <w:rsid w:val="6F934DFC"/>
    <w:rsid w:val="7D332CB9"/>
    <w:rsid w:val="7F9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2019-06-25T01:19:00Z</dcterms:created>
  <dc:creator>李茗茗</dc:creator>
  <cp:lastModifiedBy>Administrator</cp:lastModifiedBy>
  <cp:lastPrinted>2019-06-25T03:08:00Z</cp:lastPrinted>
  <dcterms:modified xsi:type="dcterms:W3CDTF">2022-02-15T16:21:21Z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55EF4DEF73194AC78311AD3A0EEB1CDC</vt:lpwstr>
  </property>
</Properties>
</file>