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中共湛江市委网络安全和信息化委员会办公室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2022年“三公”经费说明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PO_part3A2Year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27.2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增加25.8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增长/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今年增加公务用车购置费25万元和2.2万元的公务用车运行维护费，因此增幅较大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增加0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增长0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与上年持平，无增减变化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27.2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25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</w:t>
      </w:r>
      <w:bookmarkStart w:id="11" w:name="PO_part3A2Inc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增加25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2.2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</w:t>
      </w:r>
      <w:bookmarkStart w:id="13" w:name="PO_part3A2IncAmount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增加2.2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万元。）比上年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增加27.2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增长/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今年增加公务用车购置费25万元和2.2万元的公务用车运行维护费，因此增幅较大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减少1.4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下降100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我办</w:t>
      </w:r>
      <w:bookmarkStart w:id="21" w:name="_GoBack"/>
      <w:bookmarkEnd w:id="2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严格控制三公经费使用，减少公务接待费 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00411"/>
    <w:rsid w:val="4F8554A7"/>
    <w:rsid w:val="73E0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2022-02-11T01:40:00Z</dcterms:created>
  <dc:creator>郭景帅</dc:creator>
  <cp:lastModifiedBy>郭景帅</cp:lastModifiedBy>
  <dcterms:modified xsi:type="dcterms:W3CDTF">2022-02-11T08:29:20Z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B282E72823E748199AE2F2A33277CA9D</vt:lpwstr>
  </property>
</Properties>
</file>