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pacing w:val="70"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>徐闻县国土测绘队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</w:t>
      </w:r>
    </w:p>
    <w:p>
      <w:pPr>
        <w:jc w:val="center"/>
        <w:rPr>
          <w:rFonts w:hint="eastAsia" w:ascii="宋体" w:hAnsi="宋体" w:cs="宋体"/>
          <w:b/>
          <w:sz w:val="52"/>
          <w:szCs w:val="52"/>
          <w:lang w:bidi="ar"/>
        </w:rPr>
      </w:pPr>
      <w:r>
        <w:rPr>
          <w:rFonts w:hint="eastAsia" w:ascii="宋体" w:hAnsi="宋体" w:cs="宋体"/>
          <w:b/>
          <w:sz w:val="52"/>
          <w:szCs w:val="52"/>
          <w:lang w:bidi="ar"/>
        </w:rPr>
        <w:t>主要信息公开表（试行）</w:t>
      </w:r>
    </w:p>
    <w:p>
      <w:pPr>
        <w:rPr>
          <w:spacing w:val="70"/>
          <w:sz w:val="28"/>
          <w:szCs w:val="28"/>
        </w:rPr>
      </w:pPr>
      <w:r>
        <w:rPr>
          <w:spacing w:val="70"/>
          <w:sz w:val="28"/>
          <w:szCs w:val="28"/>
        </w:rPr>
        <w:br w:type="page"/>
      </w:r>
    </w:p>
    <w:p>
      <w:pPr>
        <w:rPr>
          <w:spacing w:val="70"/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徐闻县国土测绘队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事业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广东省徐闻县徐城镇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陈珠聪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丙级：工程测量：控制测量(四等以下。)、地形测量(1：500比例尺，15平方公里以下；1：1000比例尺，20平方公里以下；1：2000比例尺，30平方公里以下；小于1：5000比例尺，60平方公里以下。)、规划测量(总建筑面积30万平方米以下；国家重点建设工程不得承担。)、建筑工程测量(30层以下的住宅、高度70m以下的非住宅性质的民用建筑。)、市政工程测量(大中等城市一般道路、小城市道路。)；不动产测绘：地籍测绘(日常地籍调查及县级以下地籍总调查中的地籍测绘。)、房产测绘(规划许可证载单栋建筑面积5万平方米以下；单个合同标的不超过建筑面积100万平方米。)；海洋测绘：海域权属测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乙级：工程测量(不得从事二等及以上控制测量、国家建设重点工程的规划测量、单个建筑物10万平方米及以上的建筑工程测量、特大型水利水电工程测量、4千米及以上隧道工程测量)、海洋测绘(不得从事深度基准测量、海图编制；不得从事连片区域100 平方千米及以上的海岸地形测量、水深测量、水文观测、海洋工程测量和扫海测量)、界线与不动产测绘(不得从事国界线测绘、规划许可证载单栋建筑10万平方米及以上的房产测绘)。</w:t>
            </w:r>
          </w:p>
        </w:tc>
      </w:tr>
    </w:tbl>
    <w:p/>
    <w:p>
      <w:pPr>
        <w:jc w:val="center"/>
        <w:rPr>
          <w:rFonts w:hint="eastAsia"/>
          <w:b/>
          <w:spacing w:val="70"/>
          <w:sz w:val="36"/>
        </w:rPr>
      </w:pPr>
    </w:p>
    <w:p>
      <w:pPr>
        <w:jc w:val="center"/>
        <w:rPr>
          <w:b/>
          <w:spacing w:val="70"/>
          <w:sz w:val="36"/>
        </w:rPr>
      </w:pPr>
    </w:p>
    <w:p>
      <w:pPr>
        <w:jc w:val="center"/>
        <w:rPr>
          <w:b/>
          <w:spacing w:val="70"/>
          <w:sz w:val="36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二、专业技术人员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  <w:r>
              <w:fldChar w:fldCharType="begin"/>
            </w:r>
            <w:r>
              <w:instrText xml:space="preserve"> HYPERLINK "http://zz.ch.mnr.gov.cn/Main/javascript:__doPostBack('GvList$ctl02$Link_Name','')" </w:instrText>
            </w:r>
            <w:r>
              <w:fldChar w:fldCharType="separate"/>
            </w:r>
            <w:r>
              <w:rPr>
                <w:rFonts w:hint="default"/>
              </w:rPr>
              <w:t>郑雅臻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"http://zz.ch.mnr.gov.cn/Main/javascript:__doPostBack('GvList$ctl03$Link_Name','')"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陈翔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</w:tbl>
    <w:p/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97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测绘专业初级技术人员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  <w:r>
              <w:fldChar w:fldCharType="begin"/>
            </w:r>
            <w:r>
              <w:instrText xml:space="preserve"> HYPERLINK "http://zz.ch.mnr.gov.cn/Main/javascript:__doPostBack('GvList$ctl04$Link_Name','')" </w:instrText>
            </w:r>
            <w:r>
              <w:fldChar w:fldCharType="separate"/>
            </w:r>
            <w:r>
              <w:rPr>
                <w:rFonts w:hint="default"/>
              </w:rPr>
              <w:t>陈珠聪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李辉煌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ascii="Times New Roman" w:hAnsi="Times New Roman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叶海琼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王登峰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</w:pPr>
            <w:r>
              <w:rPr>
                <w:rFonts w:ascii="Times New Roman" w:hAnsi="Times New Roman"/>
                <w:lang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黄钰雯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周红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5348"/>
        <w:gridCol w:w="5703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华星A16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华星A16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华星A16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GNSS接收机（不低于5mm+1ppm精度）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华星A16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PENTAX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徕卡TS06 POWER-02</w:t>
            </w:r>
            <w:r>
              <w:rPr>
                <w:rFonts w:hint="default"/>
                <w:color w:val="auto"/>
                <w:sz w:val="24"/>
                <w:lang w:val="en-US" w:eastAsia="zh-CN"/>
              </w:rPr>
              <w:t>”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全站仪（不低于2秒级精度）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南方</w:t>
            </w:r>
            <w:r>
              <w:rPr>
                <w:color w:val="auto"/>
                <w:sz w:val="24"/>
              </w:rPr>
              <w:t>NTS-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321B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南方PD-56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南方PD-56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手持测距仪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南方PD-510SC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测深仪</w:t>
            </w:r>
          </w:p>
        </w:tc>
        <w:tc>
          <w:tcPr>
            <w:tcW w:w="5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海洋之星HY1612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br w:type="page"/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3945"/>
        <w:gridCol w:w="1560"/>
        <w:gridCol w:w="1842"/>
        <w:gridCol w:w="1985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left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left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/>
                <w:bCs/>
              </w:rPr>
            </w:pPr>
          </w:p>
        </w:tc>
      </w:tr>
    </w:tbl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both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 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eastAsia="zh-CN"/>
              </w:rPr>
              <w:t>符合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sz w:val="52"/>
          <w:szCs w:val="52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A6D40"/>
    <w:rsid w:val="1ABA6D40"/>
    <w:rsid w:val="346C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2021-09-15T07:09:00Z</dcterms:created>
  <dc:creator>罗莹莹</dc:creator>
  <cp:lastModifiedBy>严振允</cp:lastModifiedBy>
  <dcterms:modified xsi:type="dcterms:W3CDTF">2021-10-18T01:49:57Z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5FDFAC99DE6F47759F34E908E0EB062A</vt:lpwstr>
  </property>
</Properties>
</file>