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95"/>
        </w:tabs>
        <w:spacing w:line="660" w:lineRule="exact"/>
        <w:jc w:val="left"/>
        <w:rPr>
          <w:rFonts w:ascii="Times New Roman" w:hAnsi="Times New Roman" w:cs="Times New Roman"/>
        </w:rPr>
      </w:pPr>
    </w:p>
    <w:p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关于贯彻落实《湛江市职业教育发展三年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行动计划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(</w:t>
      </w:r>
      <w:r>
        <w:rPr>
          <w:rFonts w:ascii="Times New Roman" w:hAnsi="Times New Roman" w:eastAsia="方正小标宋简体" w:cs="Times New Roman"/>
          <w:sz w:val="44"/>
          <w:szCs w:val="44"/>
        </w:rPr>
        <w:t>2019-2021年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)</w:t>
      </w:r>
      <w:r>
        <w:rPr>
          <w:rFonts w:ascii="Times New Roman" w:hAnsi="Times New Roman" w:eastAsia="方正小标宋简体" w:cs="Times New Roman"/>
          <w:sz w:val="44"/>
          <w:szCs w:val="44"/>
        </w:rPr>
        <w:t>》推进全市中等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职业学校布局结构调整的实施意见</w:t>
      </w:r>
    </w:p>
    <w:p>
      <w:pPr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>
      <w:pPr>
        <w:adjustRightInd w:val="0"/>
        <w:snapToGrid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各县(市、区)教育局、各中等职业学校：</w:t>
      </w:r>
    </w:p>
    <w:p>
      <w:pPr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cs="Times New Roman"/>
          <w:szCs w:val="32"/>
        </w:rPr>
        <w:t>职业教育是深化教育改革的重要突破口，与普通教育具有同等重要的地位和重要意义。一直以来，我市高度重视职业教育发展，相继出台多项扶持政策，推动职业教育发展取得长足进步。当前，我市正处于加快建设省域副中心城市、打造现代化沿海经济带重要发展极的关键时期，需要高质量的实体经济作支撑，需要大量专业技术技能人才，需要大批能工巧匠，但是对比技术技能人才的市场需要，我市职业教育还存在很多差距和不足，比如：优质中等职业教育学位不足、学校布局不尽合理、办学条件有待改善、办学特色不够鲜明、职业教育吸引力不强等等，优化中等职业学校布局结构调整，是当前我市职业教育发展的重要工作。根据国家和省相关文件精神，为贯彻落实《湛江市职业教育发展三年行动计划(</w:t>
      </w:r>
      <w:r>
        <w:rPr>
          <w:rFonts w:ascii="Times New Roman" w:hAnsi="Times New Roman" w:cs="Times New Roman"/>
          <w:szCs w:val="32"/>
        </w:rPr>
        <w:t>2019-2021</w:t>
      </w:r>
      <w:r>
        <w:rPr>
          <w:rFonts w:ascii="Times New Roman" w:cs="Times New Roman"/>
          <w:szCs w:val="32"/>
        </w:rPr>
        <w:t>年)》，进一步推进全市中等职业学校布局结构调整优化，我局研究制定了《贯彻落实〈湛江市职业教育发展三年行动计划(</w:t>
      </w:r>
      <w:r>
        <w:rPr>
          <w:rFonts w:ascii="Times New Roman" w:hAnsi="Times New Roman" w:cs="Times New Roman"/>
          <w:szCs w:val="32"/>
        </w:rPr>
        <w:t>2019-2021</w:t>
      </w:r>
      <w:r>
        <w:rPr>
          <w:rFonts w:ascii="Times New Roman" w:cs="Times New Roman"/>
          <w:szCs w:val="32"/>
        </w:rPr>
        <w:t>年)〉推进全市中等职业学校布局结构调整的实施意见》，现予印发实施。</w:t>
      </w:r>
    </w:p>
    <w:p>
      <w:pPr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一、指导思想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cs="Times New Roman"/>
          <w:szCs w:val="32"/>
        </w:rPr>
        <w:t>以习近平新时代中国特色社会主义思想为指导，深入贯彻全国、全省和全市教育大会精神，全面贯彻落实《国家职业教育改革实施方案》《广东省人民政府办公厅关于深化产教融合的实施意见》《广东省职业教育“扩容、提质、强服务”三年行动计划(2019-2021年)》《湛江市职业教育发展三年行动计划(2019-2021年)》，贯彻市委市政府关于我市职业教育改革发展的工作部署，适应我市经济社会转型升级和产业结构调整对技术技能人才的需求，遵循职业教育办学规律，在确保中等职业教育学位充足的基础上，以调整促优化，以服务促发展，整合办学资源，提升办学能力，为我市高质量发展培育高素质产业生力军。</w:t>
      </w:r>
    </w:p>
    <w:p>
      <w:pPr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二、工作目标</w:t>
      </w:r>
    </w:p>
    <w:p>
      <w:pPr>
        <w:adjustRightInd w:val="0"/>
        <w:snapToGrid w:val="0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到2021年底，全市中等职业学校数量从现在的39所(不含技工学校及省属学校，下同)整合到24所左右，校均全日制在校生达到3000人左右；除体育、艺术和特殊教育外，基本消除全日制办学规模在1200人以下的中等职业学校。中等职业学校学位供给充足，全市中等职业学校的主要办学条件达到《中等职业学校设置标准》和《中等职业学校建设标准》(建标192-2018)(以下统称国家设置标准)。全市80%以上的中等职业学校达到省重点中等职业学校标准；学校主干专业(群)设置与本地支柱产业匹配度超过90%，全市中等职业学校实现错位发展，办学特色更加鲜明。</w:t>
      </w:r>
    </w:p>
    <w:p>
      <w:pPr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三、实施步骤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第一阶段：清查办学资质。</w:t>
      </w:r>
      <w:r>
        <w:rPr>
          <w:rFonts w:ascii="Times New Roman" w:hAnsi="Times New Roman" w:cs="Times New Roman"/>
          <w:szCs w:val="32"/>
        </w:rPr>
        <w:t>在2020年底前完成对全市中等职业学校办学资质的清查工作，对达不到国家设置标准的中等职业学校，从2021年起不再单独设置、不再下达招生计划。对已经连续三年以上(含三年)没有招生的中等职业学校，从严核准办学资质，对不符合我市职业教育发展规划的坚决予以撤销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第二阶段：清理重复设置。</w:t>
      </w:r>
      <w:r>
        <w:rPr>
          <w:rFonts w:ascii="Times New Roman" w:hAnsi="Times New Roman" w:cs="Times New Roman"/>
          <w:szCs w:val="32"/>
        </w:rPr>
        <w:t>在2020年底前完成对全市中等职业学校设置问题的清理，其中对已经实质性并入高等院校的中等职业学校，及时注销机构代码，不再保留中等职业学校建制、事业统计年报时不计校数，视情况需要可以在高等学校内附设中职班。每所中等职业学校只能保留一个名称、一个组织机构代码，在教育事业年报统计时按一所学校计算，不重复统计。对既举办普通高中阶段教育又举办中等职业教育的学校，不再独立设置，视情况需要可以附设中职班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第三阶段：推动资源整合。</w:t>
      </w:r>
      <w:r>
        <w:rPr>
          <w:rFonts w:ascii="Times New Roman" w:hAnsi="Times New Roman" w:cs="Times New Roman"/>
          <w:szCs w:val="32"/>
        </w:rPr>
        <w:t>推动各县(市、区)整合公办职业教育资源，对辖区内“小、散、弱”公办中职学校，应采取合并、合作、托管、集团办学、校园土地置换等措施做大做优。到2021年底前，区一级不再举办中等职业教育，每个县(市)最多保留一所公办“四位一体”职教中心，并通过省重点中职学校验收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第四阶段：规范民办学校。</w:t>
      </w:r>
      <w:r>
        <w:rPr>
          <w:rFonts w:ascii="Times New Roman" w:hAnsi="Times New Roman" w:cs="Times New Roman"/>
          <w:szCs w:val="32"/>
        </w:rPr>
        <w:t>严格落实民办学校资质清查工作，2020年度民办学校年检将采用中职学校国家设置标准的主要指标，凡是没有达到国家设置标准主要办学指标的，年检不予通过，且按要求停止招生，对不符合办学资质的按程序予以撤销。对存在违规办学行为且社会影响恶劣、涉嫌违反相关教育法律法规的，直接予以取缔关停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第五阶段：优化专业设置。</w:t>
      </w:r>
      <w:r>
        <w:rPr>
          <w:rFonts w:ascii="Times New Roman" w:hAnsi="Times New Roman" w:cs="Times New Roman"/>
          <w:szCs w:val="32"/>
        </w:rPr>
        <w:t>根据《湛江市职业教育发展三年行动计划(2019-2021年)》，</w:t>
      </w:r>
      <w:r>
        <w:rPr>
          <w:rFonts w:ascii="Times New Roman" w:cs="Times New Roman"/>
          <w:szCs w:val="32"/>
        </w:rPr>
        <w:t>加强对全市中等职业学校专业设置的引导和调控。建立由行业企业、业务主管部门、学校三方参与的专业建设指导协调制度，制定中等职业学校专业动态调整实施办法，建立健全中等职业学校专业准入、预警和退出机制，实行招生计划、就业情况与专业发展</w:t>
      </w:r>
      <w:r>
        <w:rPr>
          <w:rFonts w:ascii="Times New Roman" w:hAnsi="Times New Roman" w:cs="Times New Roman"/>
          <w:szCs w:val="32"/>
        </w:rPr>
        <w:t>“</w:t>
      </w:r>
      <w:r>
        <w:rPr>
          <w:rFonts w:ascii="Times New Roman" w:cs="Times New Roman"/>
          <w:szCs w:val="32"/>
        </w:rPr>
        <w:t>三挂钩</w:t>
      </w:r>
      <w:r>
        <w:rPr>
          <w:rFonts w:ascii="Times New Roman" w:hAnsi="Times New Roman" w:cs="Times New Roman"/>
          <w:szCs w:val="32"/>
        </w:rPr>
        <w:t>”</w:t>
      </w:r>
      <w:r>
        <w:rPr>
          <w:rFonts w:ascii="Times New Roman" w:cs="Times New Roman"/>
          <w:szCs w:val="32"/>
        </w:rPr>
        <w:t>，合理控制专业数量，逐渐形成与区域经济发展、产业结构相适应的，结构合理、特色鲜明和优势突出的中等职业学校专业结构体系。</w:t>
      </w:r>
      <w:r>
        <w:rPr>
          <w:rFonts w:ascii="Times New Roman" w:hAnsi="Times New Roman" w:cs="Times New Roman"/>
          <w:szCs w:val="32"/>
        </w:rPr>
        <w:t>到2021年，实现学校专业设置与支柱产业匹配度超过90%。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第六阶段：拓展服务功能。</w:t>
      </w:r>
      <w:r>
        <w:rPr>
          <w:rFonts w:ascii="Times New Roman" w:hAnsi="Times New Roman" w:cs="Times New Roman"/>
          <w:szCs w:val="32"/>
        </w:rPr>
        <w:t>落实职业院校学历教育与培训并举的法定职责，支持职业院校按照“育训结合、长短结合、内外结合”的要求，广泛开展职业培训，加快发展非学历教育。积极招收初高中毕业未升学学生、退役士兵、退役运动员、下岗职工、返乡农民工等接受中等职业教育。服务乡村振兴战略，为广大农村培养以高素质农民为主体的农村实用人才。加强和推进职业教育精准扶贫工作，切实做好“粤菜师傅”“广东技工”“南粤家政”“乡村工匠”等专项培训任务，加强对职业培训的监管。</w:t>
      </w:r>
    </w:p>
    <w:p>
      <w:pPr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四、推进措施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(一)公办中等职业学校。</w:t>
      </w:r>
      <w:r>
        <w:rPr>
          <w:rFonts w:ascii="Times New Roman" w:hAnsi="Times New Roman" w:cs="Times New Roman"/>
          <w:szCs w:val="32"/>
        </w:rPr>
        <w:t>目前我市共有市属及县属公办中职学校19所(按层次分市属11所，县属8所；按类别分独立设置14所，附设中职班5所)。根据《湛江市职业教育发展三年行动计划(2019-2021年)》及《广东省教育厅关于进一步优化中等职业学校布局结构的意见》，具体调整如下：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一是</w:t>
      </w:r>
      <w:r>
        <w:rPr>
          <w:rFonts w:ascii="Times New Roman" w:hAnsi="Times New Roman" w:cs="Times New Roman"/>
          <w:szCs w:val="32"/>
        </w:rPr>
        <w:t>保留并推动做大做强4所市直属中职学校：广东省湛江卫生学校、湛江财贸中等专业学校、湛江机电学校、湛江中医学校。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二是</w:t>
      </w:r>
      <w:r>
        <w:rPr>
          <w:rFonts w:ascii="Times New Roman" w:hAnsi="Times New Roman" w:cs="Times New Roman"/>
          <w:szCs w:val="32"/>
        </w:rPr>
        <w:t>推动整合合并2所市直属中职学校：推动湛江艺术学校、湛江市女子职业技术学校与湛江幼儿师范专科学校合并。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三是</w:t>
      </w:r>
      <w:r>
        <w:rPr>
          <w:rFonts w:ascii="Times New Roman" w:hAnsi="Times New Roman" w:cs="Times New Roman"/>
          <w:szCs w:val="32"/>
        </w:rPr>
        <w:t>保留并推动建设4所县属“四位一体”职教中心：保留吴川市职业高级中学、雷州市职业高级中学、徐闻县职业高级中学、遂溪县职业技术学校。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四是</w:t>
      </w:r>
      <w:r>
        <w:rPr>
          <w:rFonts w:ascii="Times New Roman" w:hAnsi="Times New Roman" w:cs="Times New Roman"/>
          <w:szCs w:val="32"/>
        </w:rPr>
        <w:t>撤销、整合4所县属中职学校：整合廉江市职业技术学校、廉江市卫生职业技术学校为1所“四位一体”职教中心。停止湛江市旅游职业技术学校和湛江市霞山职业高级中学招生，至其最后一届中职学生毕业后改办基础教育，撤销中职学校牌子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五是</w:t>
      </w:r>
      <w:r>
        <w:rPr>
          <w:rFonts w:ascii="Times New Roman" w:hAnsi="Times New Roman" w:cs="Times New Roman"/>
          <w:szCs w:val="32"/>
        </w:rPr>
        <w:t>取消3所市直属中等职业学校牌子，改为附设中职班：原湛江市幼儿师范学校作为湛江幼儿师范专科学校的附设中职班，湛江市财政职业技术学校作为湛江开放大学的附设中职班，湛江市爱周职业技术学校作为湛江市爱周高级中学的附设中职班。</w:t>
      </w:r>
    </w:p>
    <w:p>
      <w:pPr>
        <w:adjustRightInd w:val="0"/>
        <w:snapToGrid w:val="0"/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六是</w:t>
      </w:r>
      <w:r>
        <w:rPr>
          <w:rFonts w:ascii="Times New Roman" w:hAnsi="Times New Roman" w:cs="Times New Roman"/>
          <w:szCs w:val="32"/>
        </w:rPr>
        <w:t>体育和特殊类中职学校不作调整，仍为中职班建制，保留2所:湛江市体育运动学校、湛江市特殊教育学校。</w:t>
      </w:r>
    </w:p>
    <w:p>
      <w:pPr>
        <w:adjustRightInd w:val="0"/>
        <w:snapToGrid w:val="0"/>
        <w:ind w:firstLine="640" w:firstLineChars="20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/>
          <w:szCs w:val="32"/>
        </w:rPr>
        <w:t>到2021年底前完成布局调整，共保留14所中等职业学校，其中独立设置中职学校9所，分别为：广东省湛江卫生学校、湛江财贸中等专业学校、湛江机电学校、湛江中医学校、吴川市职业高级中学、雷州市职业高级中学、徐闻县职业高级中学、遂溪县职业技术学校、廉江市“四位一体”职教中心。附设中职班5所，分别为：湛江幼儿师范专科学校附设中职班、湛江开放大学附设中职班、湛江市爱周高级中学附设中职班、湛江市体育运动学校、湛江市特殊教育学校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(二)民办中等职业学校。</w:t>
      </w:r>
      <w:r>
        <w:rPr>
          <w:rFonts w:ascii="Times New Roman" w:hAnsi="Times New Roman" w:cs="Times New Roman"/>
          <w:szCs w:val="32"/>
        </w:rPr>
        <w:t>目前我市共有市属及县属民办中职学校20所(按层次分市属15所，县属5所；按类别分独立设置19所，附设中职班1所)。根据《湛江市职业教育发展三年行动计划(2019-2021年)》及《广东省教育厅关于进一步优化中等职业学校布局结构的意见》，具体调整如下：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一是</w:t>
      </w:r>
      <w:r>
        <w:rPr>
          <w:rFonts w:ascii="Times New Roman" w:hAnsi="Times New Roman" w:cs="Times New Roman"/>
          <w:szCs w:val="32"/>
        </w:rPr>
        <w:t>对已经连续三年没有开展全日制中职招生且没有在校生的4所中职学校按照有关程序予以撤销中职牌子：湛江市科技职业技术学校、湛江市启才职业技术学校、湛江市南粤职业技术学校、湛江市联兴职业技术学校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二是</w:t>
      </w:r>
      <w:r>
        <w:rPr>
          <w:rFonts w:ascii="Times New Roman" w:hAnsi="Times New Roman" w:cs="Times New Roman"/>
          <w:szCs w:val="32"/>
        </w:rPr>
        <w:t>对主动提出转型的4所中职学校按有关程序予以撤销中职牌子，同时在政策方面给予扶持与引导：湛江市交通职业技术学校、廉江市育才职业高级中学、湛江市南大理工职业技术学校、吴川市梅山职业高级中学。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三是</w:t>
      </w:r>
      <w:r>
        <w:rPr>
          <w:rFonts w:ascii="Times New Roman" w:hAnsi="Times New Roman" w:cs="Times New Roman"/>
          <w:szCs w:val="32"/>
        </w:rPr>
        <w:t>对取消独立设置改为附设中职班的1所体育类学校予以保留：湛江市少林学校。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四是</w:t>
      </w:r>
      <w:r>
        <w:rPr>
          <w:rFonts w:ascii="Times New Roman" w:hAnsi="Times New Roman" w:cs="Times New Roman"/>
          <w:szCs w:val="32"/>
        </w:rPr>
        <w:t>对剩余11所中职学校进行办学资质清查和推动落实整改：湛江市财经职业技术学校、湛江理工职业学校、湛江市海滨职业技术学校、湛江市智洋艺术外语职业高级中学、湛江市湛港职业技术学校、湛江市电子职业技术学校、湛江市华南职业技术学校、湛江市工商职业技术学校、湛江市寸金中等专业学校、湛江市纺织服装职业学校、吴川市海滨职业高级中学。在2020年底前进行办学资质清查，没有达到国家设置标准主要办学指标的，提出整改并不再单独设置、不再下达招生计划。不符合办学资质的坚决按照有关程序予以撤销，对存在违规办学行为且社会影响恶劣、涉嫌违反相关教育法律法规的，直接予以取缔关停。</w:t>
      </w:r>
    </w:p>
    <w:p>
      <w:pPr>
        <w:adjustRightInd w:val="0"/>
        <w:snapToGrid w:val="0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到2021年底前完成布局调整，共保留民办中等职业学校数量在8-10所左右。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五、工作要求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(一)加强组织领导。</w:t>
      </w:r>
      <w:r>
        <w:rPr>
          <w:rFonts w:ascii="Times New Roman" w:hAnsi="Times New Roman" w:cs="Times New Roman"/>
          <w:szCs w:val="32"/>
        </w:rPr>
        <w:t>各县(市、区)教育行政部门、各中等职业学校要严格按照市教育局制定的实施意见，推进中等职业学校布局结构调整，要按照职责分工、时间节点和工作任务，精心组织，扎实推进，确保按时保质保量完成各项工作任务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(二)加大扶持力度。</w:t>
      </w:r>
      <w:r>
        <w:rPr>
          <w:rFonts w:ascii="Times New Roman" w:hAnsi="Times New Roman" w:cs="Times New Roman"/>
          <w:szCs w:val="32"/>
        </w:rPr>
        <w:t>市教育局将统筹分配下达给我市的中央和省职业教育专项资金，兼顾在校生规模、普职比、办学条件达标率、布局结构调整工作进展等因素，重点支持中职学校改善基本办学条件、扩充优质学位供给和申请省重点中职学校验收工作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(三)明确政策导向。</w:t>
      </w:r>
      <w:r>
        <w:rPr>
          <w:rFonts w:ascii="Times New Roman" w:hAnsi="Times New Roman" w:cs="Times New Roman"/>
          <w:szCs w:val="32"/>
        </w:rPr>
        <w:t>在布局结构调整中明确予以撤销的中职学校，一律不准再审批新的基本建设项目，不得申报省级高水平中职学校和中职教育“双精准”示范专业，不得安排使用市级及以上职业教育财政资金。</w:t>
      </w:r>
    </w:p>
    <w:p>
      <w:pPr>
        <w:adjustRightInd w:val="0"/>
        <w:snapToGrid w:val="0"/>
        <w:ind w:firstLine="643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bCs/>
          <w:szCs w:val="32"/>
        </w:rPr>
        <w:t>(四)强化监督问责。</w:t>
      </w:r>
      <w:r>
        <w:rPr>
          <w:rFonts w:ascii="Times New Roman" w:hAnsi="Times New Roman" w:cs="Times New Roman"/>
          <w:szCs w:val="32"/>
        </w:rPr>
        <w:t>市教育局将把贯彻落实《湛江市职业教育发展三年行动计划(2019-2021年)》推进全市中等职业学校布局结构调整工作成效纳入对各县(市、区)教育局和各中职学校年度考核评价体系，同时也将作为资金分配的重要参考依据。</w:t>
      </w:r>
    </w:p>
    <w:p>
      <w:pPr>
        <w:adjustRightInd w:val="0"/>
        <w:snapToGrid w:val="0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adjustRightInd w:val="0"/>
        <w:snapToGrid w:val="0"/>
        <w:ind w:firstLine="640" w:firstLineChars="200"/>
        <w:rPr>
          <w:rFonts w:ascii="Times New Roman" w:hAnsi="Times New Roman" w:cs="Times New Roman"/>
          <w:szCs w:val="32"/>
        </w:rPr>
      </w:pPr>
    </w:p>
    <w:p>
      <w:pPr>
        <w:wordWrap w:val="0"/>
        <w:adjustRightInd w:val="0"/>
        <w:snapToGrid w:val="0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湛江市教育局        </w:t>
      </w:r>
    </w:p>
    <w:p>
      <w:pPr>
        <w:wordWrap w:val="0"/>
        <w:adjustRightInd w:val="0"/>
        <w:snapToGrid w:val="0"/>
        <w:ind w:firstLine="640" w:firstLineChars="200"/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2020年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日      </w:t>
      </w:r>
    </w:p>
    <w:p>
      <w:pPr>
        <w:ind w:firstLine="320" w:firstLineChars="100"/>
        <w:jc w:val="left"/>
        <w:rPr>
          <w:rFonts w:ascii="Times New Roman" w:hAnsi="Times New Roman" w:cs="Times New Roman"/>
          <w:szCs w:val="32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721" w:y="-500"/>
      <w:rPr>
        <w:rStyle w:val="8"/>
        <w:rFonts w:ascii="楷体_GB2312"/>
        <w:sz w:val="28"/>
      </w:rPr>
    </w:pPr>
    <w:r>
      <w:rPr>
        <w:rStyle w:val="8"/>
        <w:rFonts w:hint="eastAsia" w:ascii="楷体_GB2312"/>
        <w:sz w:val="28"/>
      </w:rPr>
      <w:t>—</w:t>
    </w:r>
    <w:r>
      <w:rPr>
        <w:rStyle w:val="8"/>
        <w:rFonts w:ascii="楷体_GB2312"/>
        <w:sz w:val="28"/>
      </w:rPr>
      <w:fldChar w:fldCharType="begin"/>
    </w:r>
    <w:r>
      <w:rPr>
        <w:rStyle w:val="8"/>
        <w:rFonts w:ascii="楷体_GB2312"/>
        <w:sz w:val="28"/>
      </w:rPr>
      <w:instrText xml:space="preserve">PAGE  </w:instrText>
    </w:r>
    <w:r>
      <w:rPr>
        <w:rStyle w:val="8"/>
        <w:rFonts w:ascii="楷体_GB2312"/>
        <w:sz w:val="28"/>
      </w:rPr>
      <w:fldChar w:fldCharType="separate"/>
    </w:r>
    <w:r>
      <w:rPr>
        <w:rStyle w:val="8"/>
        <w:rFonts w:ascii="楷体_GB2312"/>
        <w:sz w:val="28"/>
      </w:rPr>
      <w:t>7</w:t>
    </w:r>
    <w:r>
      <w:rPr>
        <w:rStyle w:val="8"/>
        <w:rFonts w:ascii="楷体_GB2312"/>
        <w:sz w:val="28"/>
      </w:rPr>
      <w:fldChar w:fldCharType="end"/>
    </w:r>
    <w:r>
      <w:rPr>
        <w:rStyle w:val="8"/>
        <w:rFonts w:hint="eastAsia" w:ascii="楷体_GB2312"/>
        <w:sz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36" w:y="-455"/>
      <w:rPr>
        <w:rStyle w:val="8"/>
        <w:rFonts w:ascii="楷体_GB2312"/>
        <w:sz w:val="28"/>
      </w:rPr>
    </w:pPr>
    <w:r>
      <w:rPr>
        <w:rStyle w:val="8"/>
        <w:rFonts w:hint="eastAsia" w:ascii="楷体_GB2312"/>
        <w:sz w:val="28"/>
      </w:rPr>
      <w:t>—</w:t>
    </w:r>
    <w:r>
      <w:rPr>
        <w:rStyle w:val="8"/>
        <w:rFonts w:ascii="楷体_GB2312"/>
        <w:sz w:val="28"/>
      </w:rPr>
      <w:fldChar w:fldCharType="begin"/>
    </w:r>
    <w:r>
      <w:rPr>
        <w:rStyle w:val="8"/>
        <w:rFonts w:ascii="楷体_GB2312"/>
        <w:sz w:val="28"/>
      </w:rPr>
      <w:instrText xml:space="preserve">PAGE  </w:instrText>
    </w:r>
    <w:r>
      <w:rPr>
        <w:rStyle w:val="8"/>
        <w:rFonts w:ascii="楷体_GB2312"/>
        <w:sz w:val="28"/>
      </w:rPr>
      <w:fldChar w:fldCharType="separate"/>
    </w:r>
    <w:r>
      <w:rPr>
        <w:rStyle w:val="8"/>
        <w:rFonts w:ascii="楷体_GB2312"/>
        <w:sz w:val="28"/>
      </w:rPr>
      <w:t>2</w:t>
    </w:r>
    <w:r>
      <w:rPr>
        <w:rStyle w:val="8"/>
        <w:rFonts w:ascii="楷体_GB2312"/>
        <w:sz w:val="28"/>
      </w:rPr>
      <w:fldChar w:fldCharType="end"/>
    </w:r>
    <w:r>
      <w:rPr>
        <w:rStyle w:val="8"/>
        <w:rFonts w:hint="eastAsia" w:ascii="楷体_GB2312"/>
        <w:sz w:val="28"/>
      </w:rPr>
      <w:t>—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7F4"/>
    <w:rsid w:val="00034A34"/>
    <w:rsid w:val="000B75FA"/>
    <w:rsid w:val="000F2C6A"/>
    <w:rsid w:val="001120C0"/>
    <w:rsid w:val="0015039F"/>
    <w:rsid w:val="004258B0"/>
    <w:rsid w:val="004374CA"/>
    <w:rsid w:val="004D5456"/>
    <w:rsid w:val="00545B5E"/>
    <w:rsid w:val="00556F58"/>
    <w:rsid w:val="005B2E84"/>
    <w:rsid w:val="006F2F9A"/>
    <w:rsid w:val="006F61A5"/>
    <w:rsid w:val="00735616"/>
    <w:rsid w:val="00742FEB"/>
    <w:rsid w:val="00957637"/>
    <w:rsid w:val="009F4C3D"/>
    <w:rsid w:val="00A33FBC"/>
    <w:rsid w:val="00A43D24"/>
    <w:rsid w:val="00A517F4"/>
    <w:rsid w:val="00AE7E11"/>
    <w:rsid w:val="00BC53C8"/>
    <w:rsid w:val="00C0311C"/>
    <w:rsid w:val="00C170C9"/>
    <w:rsid w:val="00CE3CCD"/>
    <w:rsid w:val="00D10374"/>
    <w:rsid w:val="00DB1758"/>
    <w:rsid w:val="00E171FC"/>
    <w:rsid w:val="00E61483"/>
    <w:rsid w:val="3C7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pPr>
      <w:spacing w:line="240" w:lineRule="auto"/>
    </w:pPr>
    <w:rPr>
      <w:rFonts w:ascii="宋体" w:hAnsi="Courier New" w:eastAsia="宋体" w:cs="Times New Roman"/>
      <w:sz w:val="21"/>
      <w:szCs w:val="21"/>
    </w:r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Char"/>
    <w:basedOn w:val="7"/>
    <w:link w:val="5"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0">
    <w:name w:val="纯文本 Char"/>
    <w:basedOn w:val="7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页眉 Char"/>
    <w:basedOn w:val="7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20%20&#38472;\AppData\Roaming\Microsoft\Templates\&#28251;&#2594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</Template>
  <Company>china</Company>
  <Pages>8</Pages>
  <Words>631</Words>
  <Characters>3603</Characters>
  <Lines>30</Lines>
  <Paragraphs>8</Paragraphs>
  <TotalTime>4</TotalTime>
  <ScaleCrop>false</ScaleCrop>
  <LinksUpToDate>false</LinksUpToDate>
  <CharactersWithSpaces>4226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2020-09-18T01:56:00Z</dcterms:created>
  <dc:creator>陈伟玲</dc:creator>
  <cp:lastModifiedBy>bingting</cp:lastModifiedBy>
  <cp:lastPrinted>2020-09-18T01:59:00Z</cp:lastPrinted>
  <dcterms:modified xsi:type="dcterms:W3CDTF">2021-10-13T09:15:22Z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EF1DD37CDB4E410695E43DAB77F69CF1</vt:lpwstr>
  </property>
</Properties>
</file>