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44"/>
          <w:szCs w:val="44"/>
        </w:rPr>
      </w:pPr>
      <w:r>
        <w:rPr>
          <w:rFonts w:hint="eastAsia"/>
          <w:sz w:val="44"/>
          <w:szCs w:val="44"/>
        </w:rPr>
        <w:t>2020 年度一般公共预算财政拨款“三公”经费支出决算情况说明</w:t>
      </w:r>
    </w:p>
    <w:p>
      <w:pPr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(一)“三公”经费财政拨款支出决算总体情况说明</w:t>
      </w:r>
    </w:p>
    <w:p>
      <w:pPr>
        <w:ind w:left="0"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湛江市残疾人康复中心 2020 年度“三公”经费财政拨款支出决算为 2.81 万元,完成预算 3.6 万元的 78.06% 。其中:因公出国(境)费支出决算为 0 万元,完成预算 0 万元的 0% ;公务用车购置及运行费支出决算为 2.81 万元,完成预算 3.6 万元的78.06% (其中:公务用车购置支出决算为 0 万元,完成预算 0 万元的 0% ;公务用车运行费支出决算为 2.81 万元,完成预算 3.6 万元的 78.06% );公务接待费支出决算为 0 万元,完成预算 0 万元的 0% 。</w:t>
      </w:r>
    </w:p>
    <w:p>
      <w:pPr>
        <w:ind w:left="0"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2020 年度“三公”经费支出决算小于 预算数的主要情况:认真贯彻落实中央八项规定精神和厉行节约的要求,从严控制“三公”经费开支,全年实际支出比预算有所节约。</w:t>
      </w:r>
    </w:p>
    <w:p>
      <w:pPr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(二)“三公”经费财政拨款支出决算具体情况说明</w:t>
      </w:r>
    </w:p>
    <w:p>
      <w:pPr>
        <w:ind w:left="0"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2020 年“三公”经费财政拨款支出决算中,因公出国(境)费 0 万元,占 0% ;公务用车购置及运行费支出 2.81 万元,占100% ;公务接待费支出 0 万元,占 0% 。具体情况如下: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1.因公出国(境)费支出 0 万元。全年使用财政拨款安排 1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个单位出国团组 0 个、累计 0 人次。开支内容包括:2020 年我单位无相关支出。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2.公务用车购置及运行维护费支出 2.81 万元,其中:公务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用车购置支出为 0 万元,2020 年公务用车购置数 0 辆。公务用车运行及维护支出 2.81 万元, 2020 年湛江市残疾人康复中心 公务用车保有量为 2 辆,主要用于日常公务活动正常开展。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3.公务接待费支出 0 万元,主要用于 2020 年我单位无开展公务接待。2020 年湛江市残疾人康复中心 共接待国外、境外来访团组 0 个,来访外宾 0 人次;发生国内接待 0 次,接待人数共0 人。主要包括:2020 年我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单位无相关支出。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libri Light">
    <w:altName w:val="DejaVu San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BDB4AA1"/>
    <w:rsid w:val="79EFA7A7"/>
    <w:rsid w:val="FBDB4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2021-09-16T16:30:00Z</dcterms:created>
  <dc:creator>greatwall</dc:creator>
  <cp:lastModifiedBy>greatwall</cp:lastModifiedBy>
  <dcterms:modified xsi:type="dcterms:W3CDTF">2021-09-16T16:41:00Z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