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 年度一般公共预算财政拨款“三公”经费支出决算情况说明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(一)“三公”经费财政拨款支出决算总体情况说明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湛江市残疾人联合会 2020 年度“三公”经费财政拨款支出决算为 10 万元,完成预算 26.52 万元的 37.7% 。其中:因公出国(境)费支出决算为 0 万元,完成预算 0 万元的 0% ;公务用车购置及运行费支出决算为 9.28 万元,完成预算 23.12 万元的40.14% (其中:公务用车购置支出决算为 0 万元,完成预算 0 万元的 0% ;公务用车运行费支出决算为 9.28 万元,完成预算 23.12万元的 40.14% );公务接待费支出决算为 0.72 万元,完成预算3.4 万元的 21.18% 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年度“三公”经费支出决算小于 预算数的主要情况:认真贯彻落实中央八项规定精神和厉行节约的要求,从严控制“三公”经费开支,全年实际支出比预算有所节约。</w:t>
      </w: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  <w:t>(二)“三公”经费财政拨款支出决算具体情况说明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 年“三公”经费财政拨款支出决算中,因公出国(境)费 0 万元,占 0% ;公务用车购置及运行费支出 9.28 万元,占92.8% ;公务接待费支出 0.72 万元,占 7.2% 。具体情况如下:1.因公出国(境)费支出 0 万元。全年使用财政拨款安排湛江市残疾人联合会本级及下属 3 个单位出国团组 0 个、累计 0 人次。开支内容包括:我部门及下属中心无该项相关支出。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 9.28 万元,其中:公务用车购置支出为 0 万元,2020 年公务用车购置数 0 辆。公务用车运行及维护支出 9.28 万元,2020 年湛江市残疾人联合会本级及下属 3 个单位 公务用车保有量为 5 辆,主要用于开展残疾人康复、教育和就业、体育、文化宣传等公务支出。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 0.72 万元,主要用于开展残疾人康复、教育和就业、体育、文化宣传等公务支出 。2020 年湛江市残疾人联合会本级及下属 3 个单位 共接待国外、境外来访团组 0 个,来访外宾 0 人次;发生国内接待 11 次,接待人数共 168 人。主要包括省残联文体中心、省残联康复中心、省残联体育中心和省肢协的检查、督察、调研、指导等工作。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4AA1"/>
    <w:rsid w:val="FBD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2021-09-16T16:30:00Z</dcterms:created>
  <dc:creator>greatwall</dc:creator>
  <cp:lastModifiedBy>greatwall</cp:lastModifiedBy>
  <dcterms:modified xsi:type="dcterms:W3CDTF">2021-09-16T16:36:14Z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