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883" w:firstLineChars="200"/>
        <w:jc w:val="left"/>
        <w:rPr>
          <w:rFonts w:hint="eastAsia" w:ascii="仿宋_GB2312" w:hAnsi="宋体" w:eastAsia="仿宋_GB2312" w:cs="宋体"/>
          <w:b/>
          <w:sz w:val="44"/>
          <w:szCs w:val="44"/>
          <w:lang w:val="en-US" w:eastAsia="zh-CN"/>
        </w:rPr>
      </w:pPr>
    </w:p>
    <w:p>
      <w:pPr>
        <w:spacing w:line="288" w:lineRule="auto"/>
        <w:jc w:val="center"/>
        <w:rPr>
          <w:rFonts w:hint="eastAsia" w:ascii="仿宋_GB2312" w:hAnsi="宋体" w:eastAsia="仿宋_GB2312" w:cs="宋体"/>
          <w:b/>
          <w:sz w:val="44"/>
          <w:szCs w:val="44"/>
          <w:lang w:val="en-US" w:eastAsia="zh-CN"/>
        </w:rPr>
      </w:pPr>
      <w:bookmarkStart w:id="48" w:name="_GoBack"/>
      <w:r>
        <w:rPr>
          <w:rFonts w:hint="eastAsia" w:ascii="仿宋_GB2312" w:hAnsi="宋体" w:eastAsia="仿宋_GB2312" w:cs="宋体"/>
          <w:b/>
          <w:sz w:val="44"/>
          <w:szCs w:val="44"/>
          <w:lang w:val="en-US" w:eastAsia="zh-CN"/>
        </w:rPr>
        <w:t>2020年湛江市人力资源和社会保障局一般公共预算财政拨款“三公”经费支出</w:t>
      </w:r>
    </w:p>
    <w:p>
      <w:pPr>
        <w:spacing w:line="288" w:lineRule="auto"/>
        <w:jc w:val="center"/>
        <w:rPr>
          <w:rFonts w:hint="default" w:ascii="仿宋_GB2312" w:hAnsi="宋体" w:eastAsia="仿宋_GB2312" w:cs="宋体"/>
          <w:b/>
          <w:sz w:val="44"/>
          <w:szCs w:val="44"/>
          <w:lang w:val="en-US" w:eastAsia="zh-CN"/>
        </w:rPr>
      </w:pPr>
      <w:r>
        <w:rPr>
          <w:rFonts w:hint="eastAsia" w:ascii="仿宋_GB2312" w:hAnsi="宋体" w:eastAsia="仿宋_GB2312" w:cs="宋体"/>
          <w:b/>
          <w:sz w:val="44"/>
          <w:szCs w:val="44"/>
          <w:lang w:val="en-US" w:eastAsia="zh-CN"/>
        </w:rPr>
        <w:t>决算情况说明</w:t>
      </w:r>
    </w:p>
    <w:bookmarkEnd w:id="48"/>
    <w:p>
      <w:pPr>
        <w:ind w:firstLine="643" w:firstLineChars="200"/>
        <w:jc w:val="left"/>
        <w:rPr>
          <w:rFonts w:hint="eastAsia" w:ascii="仿宋_GB2312" w:hAnsi="宋体" w:eastAsia="仿宋_GB2312" w:cs="宋体"/>
          <w:b/>
          <w:sz w:val="32"/>
          <w:szCs w:val="32"/>
        </w:rPr>
      </w:pP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0" w:name="PO_part3A3B1C1DivNameYear1"/>
      <w:r>
        <w:rPr>
          <w:rFonts w:hint="eastAsia" w:ascii="仿宋_GB2312" w:hAnsi="宋体" w:eastAsia="仿宋_GB2312" w:cs="宋体"/>
          <w:sz w:val="32"/>
          <w:szCs w:val="32"/>
        </w:rPr>
        <w:t xml:space="preserve"> 湛江市人力资源和社会保障局</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0"/>
      <w:r>
        <w:rPr>
          <w:rFonts w:hint="eastAsia" w:ascii="仿宋_GB2312" w:hAnsi="宋体" w:eastAsia="仿宋_GB2312" w:cs="宋体"/>
          <w:sz w:val="32"/>
          <w:szCs w:val="32"/>
        </w:rPr>
        <w:t>年度“三公”经费财政拨款支出决算为</w:t>
      </w:r>
      <w:bookmarkStart w:id="1" w:name="PO_part3A3B1C1Amount1"/>
      <w:r>
        <w:rPr>
          <w:rFonts w:ascii="仿宋_GB2312" w:hAnsi="宋体" w:eastAsia="仿宋_GB2312" w:cs="宋体"/>
          <w:sz w:val="32"/>
          <w:szCs w:val="32"/>
        </w:rPr>
        <w:t>23.34</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万元，完成预算</w:t>
      </w:r>
      <w:bookmarkStart w:id="2" w:name="PO_part3A3B1C1Amount2"/>
      <w:r>
        <w:rPr>
          <w:rFonts w:hint="eastAsia" w:ascii="仿宋_GB2312" w:hAnsi="宋体" w:eastAsia="仿宋_GB2312" w:cs="宋体"/>
          <w:sz w:val="32"/>
          <w:szCs w:val="32"/>
          <w:lang w:val="en-US" w:eastAsia="zh-CN"/>
        </w:rPr>
        <w:t>89.86</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万元的</w:t>
      </w:r>
      <w:bookmarkStart w:id="3" w:name="PO_part3A3B1C1Percent1"/>
      <w:r>
        <w:rPr>
          <w:rFonts w:hint="eastAsia" w:ascii="仿宋_GB2312" w:hAnsi="宋体" w:eastAsia="仿宋_GB2312" w:cs="宋体"/>
          <w:sz w:val="32"/>
          <w:szCs w:val="32"/>
          <w:lang w:val="en-US" w:eastAsia="zh-CN"/>
        </w:rPr>
        <w:t>26</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。其中：因公出国（境）费支出决算为</w:t>
      </w:r>
      <w:bookmarkStart w:id="4"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万元，完成预算</w:t>
      </w:r>
      <w:bookmarkStart w:id="5" w:name="PO_part3A3B1C1qzysAmount1"/>
      <w:r>
        <w:rPr>
          <w:rFonts w:hint="eastAsia" w:ascii="仿宋_GB2312" w:hAnsi="宋体" w:eastAsia="仿宋_GB2312" w:cs="宋体"/>
          <w:sz w:val="32"/>
          <w:szCs w:val="32"/>
          <w:lang w:val="en-US" w:eastAsia="zh-CN"/>
        </w:rPr>
        <w:t>10</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万元的</w:t>
      </w:r>
      <w:bookmarkStart w:id="6"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；公务用车购置及运行费支出决算为</w:t>
      </w:r>
      <w:bookmarkStart w:id="7" w:name="PO_part3A3B1C1qzAmount2"/>
      <w:r>
        <w:rPr>
          <w:rFonts w:ascii="仿宋_GB2312" w:hAnsi="宋体" w:eastAsia="仿宋_GB2312" w:cs="宋体"/>
          <w:sz w:val="32"/>
          <w:szCs w:val="32"/>
        </w:rPr>
        <w:t>20.82</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万元，完成预算</w:t>
      </w:r>
      <w:bookmarkStart w:id="8" w:name="PO_part3A3B1C1qzysAmount2"/>
      <w:r>
        <w:rPr>
          <w:rFonts w:hint="eastAsia" w:ascii="仿宋_GB2312" w:hAnsi="宋体" w:eastAsia="仿宋_GB2312" w:cs="宋体"/>
          <w:sz w:val="32"/>
          <w:szCs w:val="32"/>
          <w:lang w:val="en-US" w:eastAsia="zh-CN"/>
        </w:rPr>
        <w:t>63.03</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万元的</w:t>
      </w:r>
      <w:bookmarkStart w:id="9" w:name="PO_part3A3B1C1qzPercent2"/>
      <w:r>
        <w:rPr>
          <w:rFonts w:hint="eastAsia" w:ascii="仿宋_GB2312" w:hAnsi="宋体" w:eastAsia="仿宋_GB2312" w:cs="宋体"/>
          <w:sz w:val="32"/>
          <w:szCs w:val="32"/>
          <w:lang w:val="en-US" w:eastAsia="zh-CN"/>
        </w:rPr>
        <w:t>33</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（其中：公务用车购置支出决算为</w:t>
      </w:r>
      <w:bookmarkStart w:id="10"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万元，完成预算</w:t>
      </w:r>
      <w:bookmarkStart w:id="11"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万元的</w:t>
      </w:r>
      <w:bookmarkStart w:id="12"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；公务用车运行费支出决算为</w:t>
      </w:r>
      <w:bookmarkStart w:id="13" w:name="PO_part3A3B1C1qzAmount5"/>
      <w:r>
        <w:rPr>
          <w:rFonts w:ascii="仿宋_GB2312" w:hAnsi="宋体" w:eastAsia="仿宋_GB2312" w:cs="宋体"/>
          <w:sz w:val="32"/>
          <w:szCs w:val="32"/>
        </w:rPr>
        <w:t>20.82</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万元，完成预算</w:t>
      </w:r>
      <w:bookmarkStart w:id="14" w:name="PO_part3A3B1C1qzysAmount5"/>
      <w:r>
        <w:rPr>
          <w:rFonts w:hint="eastAsia" w:ascii="仿宋_GB2312" w:hAnsi="宋体" w:eastAsia="仿宋_GB2312" w:cs="宋体"/>
          <w:sz w:val="32"/>
          <w:szCs w:val="32"/>
          <w:lang w:val="en-US" w:eastAsia="zh-CN"/>
        </w:rPr>
        <w:t>63.03</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万元的</w:t>
      </w:r>
      <w:bookmarkStart w:id="15" w:name="PO_part3A3B1C1qzPercent5"/>
      <w:r>
        <w:rPr>
          <w:rFonts w:hint="eastAsia" w:ascii="仿宋_GB2312" w:hAnsi="宋体" w:eastAsia="仿宋_GB2312" w:cs="宋体"/>
          <w:sz w:val="32"/>
          <w:szCs w:val="32"/>
          <w:lang w:val="en-US" w:eastAsia="zh-CN"/>
        </w:rPr>
        <w:t>33</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）；公务接待费支出决算为</w:t>
      </w:r>
      <w:bookmarkStart w:id="16" w:name="PO_part3A3B1C1qzAmount3"/>
      <w:r>
        <w:rPr>
          <w:rFonts w:ascii="仿宋_GB2312" w:hAnsi="宋体" w:eastAsia="仿宋_GB2312" w:cs="宋体"/>
          <w:sz w:val="32"/>
          <w:szCs w:val="32"/>
        </w:rPr>
        <w:t>2.53</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万元，完成预算</w:t>
      </w:r>
      <w:bookmarkStart w:id="17" w:name="PO_part3A3B1C1qzysAmount3"/>
      <w:r>
        <w:rPr>
          <w:rFonts w:hint="eastAsia" w:ascii="仿宋_GB2312" w:hAnsi="宋体" w:eastAsia="仿宋_GB2312" w:cs="宋体"/>
          <w:sz w:val="32"/>
          <w:szCs w:val="32"/>
          <w:lang w:val="en-US" w:eastAsia="zh-CN"/>
        </w:rPr>
        <w:t>16.83</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万元的</w:t>
      </w:r>
      <w:bookmarkStart w:id="18" w:name="PO_part3A3B1C1qzPercent3"/>
      <w:r>
        <w:rPr>
          <w:rFonts w:hint="eastAsia" w:ascii="仿宋_GB2312" w:hAnsi="宋体" w:eastAsia="仿宋_GB2312" w:cs="宋体"/>
          <w:sz w:val="32"/>
          <w:szCs w:val="32"/>
          <w:lang w:val="en-US" w:eastAsia="zh-CN"/>
        </w:rPr>
        <w:t>15</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9"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年度“三公”经费支出决算</w:t>
      </w:r>
      <w:bookmarkStart w:id="20"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预算数的主要情况：</w:t>
      </w:r>
      <w:bookmarkStart w:id="21" w:name="PO_part3A3B1C1DiffReason1"/>
      <w:r>
        <w:rPr>
          <w:rFonts w:hint="eastAsia" w:ascii="仿宋_GB2312" w:hAnsi="宋体" w:eastAsia="仿宋_GB2312" w:cs="宋体"/>
          <w:sz w:val="32"/>
          <w:szCs w:val="32"/>
        </w:rPr>
        <w:t>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21"/>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22"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年“三公”经费财政拨款支出决算中，因公出国（境）费</w:t>
      </w:r>
      <w:bookmarkStart w:id="23" w:name="PO_part3A3B2Amount1"/>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；公务用车购置及运行费支出</w:t>
      </w:r>
      <w:bookmarkStart w:id="24" w:name="PO_part3A3B2Amount2"/>
      <w:r>
        <w:rPr>
          <w:rFonts w:ascii="仿宋_GB2312" w:hAnsi="宋体" w:eastAsia="仿宋_GB2312" w:cs="宋体"/>
          <w:sz w:val="32"/>
          <w:szCs w:val="32"/>
        </w:rPr>
        <w:t>20.82万元，占89.2%</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；公务接待费支出</w:t>
      </w:r>
      <w:bookmarkStart w:id="25" w:name="PO_part3A3B2Amount3"/>
      <w:r>
        <w:rPr>
          <w:rFonts w:ascii="仿宋_GB2312" w:hAnsi="宋体" w:eastAsia="仿宋_GB2312" w:cs="宋体"/>
          <w:sz w:val="32"/>
          <w:szCs w:val="32"/>
        </w:rPr>
        <w:t>2.53万元，占10.8%</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6"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万元。全年使用财政拨款安排</w:t>
      </w:r>
      <w:bookmarkStart w:id="27" w:name="PO_part3A3B2C1JgType1"/>
      <w:r>
        <w:rPr>
          <w:rFonts w:hint="eastAsia" w:ascii="仿宋_GB2312" w:hAnsi="宋体" w:eastAsia="仿宋_GB2312" w:cs="宋体"/>
          <w:sz w:val="32"/>
          <w:szCs w:val="32"/>
        </w:rPr>
        <w:t>局机关及下属</w:t>
      </w:r>
      <w:r>
        <w:rPr>
          <w:rFonts w:hint="eastAsia" w:ascii="仿宋_GB2312" w:hAnsi="宋体" w:eastAsia="仿宋_GB2312" w:cs="宋体"/>
          <w:sz w:val="32"/>
          <w:szCs w:val="32"/>
          <w:lang w:val="en-US" w:eastAsia="zh-CN"/>
        </w:rPr>
        <w:t>5</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个单位出国团组</w:t>
      </w:r>
      <w:bookmarkStart w:id="28"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个、累计</w:t>
      </w:r>
      <w:bookmarkStart w:id="29"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人次。开支内容包括：</w:t>
      </w:r>
      <w:bookmarkStart w:id="30" w:name="PO_part3A3B2C1D1Meeting1"/>
      <w:r>
        <w:rPr>
          <w:rFonts w:hint="eastAsia" w:ascii="仿宋_GB2312" w:hAnsi="宋体" w:eastAsia="仿宋_GB2312" w:cs="宋体"/>
          <w:sz w:val="32"/>
          <w:szCs w:val="32"/>
        </w:rPr>
        <w:t>我</w:t>
      </w:r>
      <w:r>
        <w:rPr>
          <w:rFonts w:hint="eastAsia" w:ascii="仿宋_GB2312" w:hAnsi="宋体" w:eastAsia="仿宋_GB2312" w:cs="宋体"/>
          <w:sz w:val="32"/>
          <w:szCs w:val="32"/>
          <w:lang w:val="en-US" w:eastAsia="zh-CN"/>
        </w:rPr>
        <w:t>部门</w:t>
      </w:r>
      <w:r>
        <w:rPr>
          <w:rFonts w:hint="eastAsia" w:ascii="仿宋_GB2312" w:hAnsi="宋体" w:eastAsia="仿宋_GB2312" w:cs="宋体"/>
          <w:sz w:val="32"/>
          <w:szCs w:val="32"/>
        </w:rPr>
        <w:t>本年无发生额</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30"/>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1" w:name="PO_part3A3B2C2Amount1"/>
      <w:r>
        <w:rPr>
          <w:rFonts w:ascii="仿宋_GB2312" w:hAnsi="宋体" w:eastAsia="仿宋_GB2312" w:cs="宋体"/>
          <w:sz w:val="32"/>
          <w:szCs w:val="32"/>
        </w:rPr>
        <w:t>20.82</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万元，其中：公务用车购置支出为</w:t>
      </w:r>
      <w:bookmarkStart w:id="32"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万元，</w:t>
      </w:r>
      <w:bookmarkStart w:id="33" w:name="PO_part3A3B2C2D1Year1"/>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年公务用车购置数</w:t>
      </w:r>
      <w:bookmarkStart w:id="34"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辆。公务用车运行及维护支出</w:t>
      </w:r>
      <w:bookmarkStart w:id="35" w:name="PO_part3A3B2C2D2Amount1"/>
      <w:r>
        <w:rPr>
          <w:rFonts w:ascii="仿宋_GB2312" w:hAnsi="宋体" w:eastAsia="仿宋_GB2312" w:cs="宋体"/>
          <w:sz w:val="32"/>
          <w:szCs w:val="32"/>
        </w:rPr>
        <w:t>20.82</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w:t>
      </w:r>
      <w:bookmarkStart w:id="36" w:name="PO_part3A3B2C2D2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年局机关及下属</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个单位</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公务用车保有量为</w:t>
      </w:r>
      <w:bookmarkStart w:id="37" w:name="PO_part3A3B2C2D2CarCount1"/>
      <w:r>
        <w:rPr>
          <w:rFonts w:ascii="仿宋_GB2312" w:hAnsi="宋体" w:eastAsia="仿宋_GB2312" w:cs="宋体"/>
          <w:sz w:val="32"/>
          <w:szCs w:val="32"/>
        </w:rPr>
        <w:t>1</w:t>
      </w:r>
      <w:r>
        <w:rPr>
          <w:rFonts w:hint="eastAsia" w:ascii="仿宋_GB2312" w:hAnsi="宋体" w:eastAsia="仿宋_GB2312" w:cs="宋体"/>
          <w:sz w:val="32"/>
          <w:szCs w:val="32"/>
          <w:lang w:val="en-US" w:eastAsia="zh-CN"/>
        </w:rPr>
        <w:t>4</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辆，主要用于</w:t>
      </w:r>
      <w:bookmarkStart w:id="38" w:name="PO_part3A3B2C2D2Use1"/>
      <w:r>
        <w:rPr>
          <w:rFonts w:hint="eastAsia" w:ascii="仿宋_GB2312" w:hAnsi="宋体" w:eastAsia="仿宋_GB2312" w:cs="宋体"/>
          <w:sz w:val="32"/>
          <w:szCs w:val="32"/>
          <w:lang w:val="en-US" w:eastAsia="zh-CN"/>
        </w:rPr>
        <w:t>公务外出、调研使用</w:t>
      </w:r>
      <w:r>
        <w:rPr>
          <w:rFonts w:hint="eastAsia" w:ascii="仿宋_GB2312" w:hAnsi="宋体" w:eastAsia="仿宋_GB2312" w:cs="宋体"/>
          <w:sz w:val="32"/>
          <w:szCs w:val="32"/>
        </w:rPr>
        <w:t xml:space="preserve">。 </w:t>
      </w:r>
      <w:bookmarkEnd w:id="38"/>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3.公务接待费支出</w:t>
      </w:r>
      <w:bookmarkStart w:id="39" w:name="PO_part3A3B2C3Amount1"/>
      <w:r>
        <w:rPr>
          <w:rFonts w:ascii="仿宋_GB2312" w:hAnsi="宋体" w:eastAsia="仿宋_GB2312" w:cs="宋体"/>
          <w:sz w:val="32"/>
          <w:szCs w:val="32"/>
        </w:rPr>
        <w:t>2.53</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万元，主要用于</w:t>
      </w:r>
      <w:bookmarkStart w:id="40" w:name="PO_part3A3B2C3Detail1"/>
      <w:r>
        <w:rPr>
          <w:rFonts w:hint="eastAsia" w:ascii="仿宋_GB2312" w:hAnsi="宋体" w:eastAsia="仿宋_GB2312" w:cs="宋体"/>
          <w:sz w:val="32"/>
          <w:szCs w:val="32"/>
          <w:lang w:eastAsia="zh-CN"/>
        </w:rPr>
        <w:t>接待上级部门指导及其他市级单位交流学习</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w:t>
      </w:r>
      <w:bookmarkStart w:id="41" w:name="PO_part3A3B2C3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年，局机关及下属</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个单位</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共接待国外、境外来访团组</w:t>
      </w:r>
      <w:bookmarkStart w:id="42"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个，来访外宾</w:t>
      </w:r>
      <w:bookmarkStart w:id="43"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人次；发生国内接待</w:t>
      </w:r>
      <w:bookmarkStart w:id="44" w:name="PO_part3A3B2C3GnjdCount1"/>
      <w:r>
        <w:rPr>
          <w:rFonts w:ascii="仿宋_GB2312" w:hAnsi="宋体" w:eastAsia="仿宋_GB2312" w:cs="宋体"/>
          <w:sz w:val="32"/>
          <w:szCs w:val="32"/>
        </w:rPr>
        <w:t>21</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次，接待人数共</w:t>
      </w:r>
      <w:bookmarkStart w:id="45" w:name="PO_part3A3B2C3GnjdManCount1"/>
      <w:r>
        <w:rPr>
          <w:rFonts w:ascii="仿宋_GB2312" w:hAnsi="宋体" w:eastAsia="仿宋_GB2312" w:cs="宋体"/>
          <w:sz w:val="32"/>
          <w:szCs w:val="32"/>
        </w:rPr>
        <w:t>352</w:t>
      </w:r>
      <w:r>
        <w:rPr>
          <w:rFonts w:hint="eastAsia" w:ascii="仿宋_GB2312" w:hAnsi="宋体" w:eastAsia="仿宋_GB2312" w:cs="宋体"/>
          <w:sz w:val="11"/>
          <w:szCs w:val="11"/>
        </w:rPr>
        <w:t xml:space="preserve"> </w:t>
      </w:r>
      <w:bookmarkEnd w:id="45"/>
      <w:r>
        <w:rPr>
          <w:rFonts w:hint="eastAsia" w:ascii="仿宋_GB2312" w:hAnsi="宋体" w:eastAsia="仿宋_GB2312" w:cs="宋体"/>
          <w:sz w:val="32"/>
          <w:szCs w:val="32"/>
        </w:rPr>
        <w:t>人。</w:t>
      </w:r>
      <w:bookmarkStart w:id="46" w:name="PO_part3A3B2C3GnjdInclude1"/>
      <w:r>
        <w:rPr>
          <w:rFonts w:hint="eastAsia" w:ascii="仿宋_GB2312" w:hAnsi="宋体" w:eastAsia="仿宋_GB2312" w:cs="宋体"/>
          <w:sz w:val="32"/>
          <w:szCs w:val="32"/>
        </w:rPr>
        <w:t>主要包括</w:t>
      </w:r>
      <w:r>
        <w:rPr>
          <w:rFonts w:hint="eastAsia" w:ascii="仿宋_GB2312" w:hAnsi="宋体" w:eastAsia="仿宋_GB2312" w:cs="宋体"/>
          <w:sz w:val="32"/>
          <w:szCs w:val="32"/>
          <w:lang w:eastAsia="zh-CN"/>
        </w:rPr>
        <w:t>接待上级部门到本单位调研及督办指导工作，及其他市交流学习接待工作</w:t>
      </w:r>
      <w:r>
        <w:rPr>
          <w:rFonts w:hint="eastAsia" w:ascii="仿宋_GB2312" w:hAnsi="宋体" w:eastAsia="仿宋_GB2312" w:cs="宋体"/>
          <w:sz w:val="32"/>
          <w:szCs w:val="32"/>
        </w:rPr>
        <w:t xml:space="preserve">。 </w:t>
      </w:r>
      <w:bookmarkEnd w:id="46"/>
    </w:p>
    <w:p>
      <w:pPr>
        <w:pStyle w:val="2"/>
        <w:rPr>
          <w:rFonts w:hint="eastAsia" w:ascii="仿宋_GB2312" w:hAnsi="宋体" w:eastAsia="仿宋_GB2312" w:cs="宋体"/>
          <w:sz w:val="32"/>
          <w:szCs w:val="32"/>
        </w:rPr>
      </w:pPr>
    </w:p>
    <w:p>
      <w:pPr>
        <w:pStyle w:val="3"/>
        <w:rPr>
          <w:rFonts w:hint="eastAsia"/>
        </w:rPr>
      </w:pP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73"/>
        <w:gridCol w:w="773"/>
        <w:gridCol w:w="773"/>
        <w:gridCol w:w="774"/>
        <w:gridCol w:w="776"/>
        <w:gridCol w:w="773"/>
        <w:gridCol w:w="773"/>
        <w:gridCol w:w="776"/>
        <w:gridCol w:w="773"/>
        <w:gridCol w:w="771"/>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trPr>
        <w:tc>
          <w:tcPr>
            <w:tcW w:w="9280"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6964"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47" w:name="PO_part2Table7DivName1"/>
            <w:r>
              <w:rPr>
                <w:rFonts w:hint="eastAsia" w:ascii="宋体" w:hAnsi="宋体" w:cs="宋体"/>
                <w:kern w:val="0"/>
                <w:sz w:val="20"/>
                <w:szCs w:val="20"/>
              </w:rPr>
              <w:t xml:space="preserve"> 湛江市人力资源和社会保障局 </w:t>
            </w:r>
            <w:bookmarkEnd w:id="47"/>
          </w:p>
        </w:tc>
        <w:tc>
          <w:tcPr>
            <w:tcW w:w="2316"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642"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4638"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7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773"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2320"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776"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77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773"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2320"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772"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773" w:type="dxa"/>
            <w:vMerge w:val="continue"/>
            <w:vAlign w:val="center"/>
          </w:tcPr>
          <w:p>
            <w:pPr>
              <w:spacing w:line="288" w:lineRule="auto"/>
              <w:jc w:val="center"/>
              <w:rPr>
                <w:rFonts w:ascii="宋体" w:hAnsi="宋体" w:cs="宋体"/>
                <w:szCs w:val="21"/>
              </w:rPr>
            </w:pPr>
          </w:p>
        </w:tc>
        <w:tc>
          <w:tcPr>
            <w:tcW w:w="773" w:type="dxa"/>
            <w:vMerge w:val="continue"/>
            <w:vAlign w:val="center"/>
          </w:tcPr>
          <w:p>
            <w:pPr>
              <w:spacing w:line="288" w:lineRule="auto"/>
              <w:jc w:val="center"/>
              <w:rPr>
                <w:rFonts w:ascii="宋体" w:hAnsi="宋体" w:cs="宋体"/>
                <w:szCs w:val="21"/>
              </w:rPr>
            </w:pP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776" w:type="dxa"/>
            <w:vMerge w:val="continue"/>
            <w:vAlign w:val="center"/>
          </w:tcPr>
          <w:p>
            <w:pPr>
              <w:spacing w:line="288" w:lineRule="auto"/>
              <w:jc w:val="center"/>
              <w:rPr>
                <w:rFonts w:ascii="宋体" w:hAnsi="宋体" w:cs="宋体"/>
                <w:szCs w:val="21"/>
              </w:rPr>
            </w:pPr>
          </w:p>
        </w:tc>
        <w:tc>
          <w:tcPr>
            <w:tcW w:w="773" w:type="dxa"/>
            <w:vMerge w:val="continue"/>
            <w:vAlign w:val="center"/>
          </w:tcPr>
          <w:p>
            <w:pPr>
              <w:spacing w:line="288" w:lineRule="auto"/>
              <w:jc w:val="center"/>
              <w:rPr>
                <w:rFonts w:ascii="宋体" w:hAnsi="宋体" w:cs="宋体"/>
                <w:szCs w:val="21"/>
              </w:rPr>
            </w:pPr>
          </w:p>
        </w:tc>
        <w:tc>
          <w:tcPr>
            <w:tcW w:w="773" w:type="dxa"/>
            <w:vMerge w:val="continue"/>
            <w:vAlign w:val="center"/>
          </w:tcPr>
          <w:p>
            <w:pPr>
              <w:spacing w:line="288" w:lineRule="auto"/>
              <w:jc w:val="center"/>
              <w:rPr>
                <w:rFonts w:ascii="宋体" w:hAnsi="宋体" w:cs="宋体"/>
                <w:szCs w:val="21"/>
              </w:rPr>
            </w:pPr>
          </w:p>
        </w:tc>
        <w:tc>
          <w:tcPr>
            <w:tcW w:w="776"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771"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772"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7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776"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776"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77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771"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772"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77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89.86</w:t>
            </w:r>
          </w:p>
        </w:tc>
        <w:tc>
          <w:tcPr>
            <w:tcW w:w="77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10.00</w:t>
            </w:r>
          </w:p>
        </w:tc>
        <w:tc>
          <w:tcPr>
            <w:tcW w:w="77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63.03</w:t>
            </w:r>
          </w:p>
        </w:tc>
        <w:tc>
          <w:tcPr>
            <w:tcW w:w="77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7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63.03</w:t>
            </w:r>
          </w:p>
        </w:tc>
        <w:tc>
          <w:tcPr>
            <w:tcW w:w="776"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16.83</w:t>
            </w:r>
          </w:p>
        </w:tc>
        <w:tc>
          <w:tcPr>
            <w:tcW w:w="773" w:type="dxa"/>
            <w:vAlign w:val="center"/>
          </w:tcPr>
          <w:p>
            <w:pPr>
              <w:widowControl/>
              <w:jc w:val="right"/>
              <w:rPr>
                <w:rFonts w:ascii="宋体" w:hAnsi="宋体" w:cs="宋体"/>
                <w:kern w:val="0"/>
                <w:szCs w:val="21"/>
              </w:rPr>
            </w:pPr>
            <w:r>
              <w:rPr>
                <w:rFonts w:ascii="宋体" w:hAnsi="宋体" w:cs="宋体"/>
                <w:kern w:val="0"/>
                <w:szCs w:val="21"/>
              </w:rPr>
              <w:t>23.34</w:t>
            </w:r>
          </w:p>
        </w:tc>
        <w:tc>
          <w:tcPr>
            <w:tcW w:w="773"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776" w:type="dxa"/>
            <w:vAlign w:val="center"/>
          </w:tcPr>
          <w:p>
            <w:pPr>
              <w:widowControl/>
              <w:jc w:val="right"/>
              <w:rPr>
                <w:rFonts w:ascii="宋体" w:hAnsi="宋体" w:cs="宋体"/>
                <w:kern w:val="0"/>
                <w:szCs w:val="21"/>
              </w:rPr>
            </w:pPr>
            <w:r>
              <w:rPr>
                <w:rFonts w:ascii="宋体" w:hAnsi="宋体" w:cs="宋体"/>
                <w:kern w:val="0"/>
                <w:szCs w:val="21"/>
              </w:rPr>
              <w:t>20.82</w:t>
            </w:r>
          </w:p>
        </w:tc>
        <w:tc>
          <w:tcPr>
            <w:tcW w:w="773"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771" w:type="dxa"/>
            <w:vAlign w:val="center"/>
          </w:tcPr>
          <w:p>
            <w:pPr>
              <w:widowControl/>
              <w:jc w:val="right"/>
              <w:rPr>
                <w:rFonts w:ascii="宋体" w:hAnsi="宋体" w:cs="宋体"/>
                <w:kern w:val="0"/>
                <w:szCs w:val="21"/>
              </w:rPr>
            </w:pPr>
            <w:r>
              <w:rPr>
                <w:rFonts w:ascii="宋体" w:hAnsi="宋体" w:cs="宋体"/>
                <w:kern w:val="0"/>
                <w:szCs w:val="21"/>
              </w:rPr>
              <w:t>20.82</w:t>
            </w:r>
          </w:p>
        </w:tc>
        <w:tc>
          <w:tcPr>
            <w:tcW w:w="772" w:type="dxa"/>
            <w:vAlign w:val="center"/>
          </w:tcPr>
          <w:p>
            <w:pPr>
              <w:widowControl/>
              <w:jc w:val="right"/>
              <w:rPr>
                <w:rFonts w:ascii="宋体" w:hAnsi="宋体" w:cs="宋体"/>
                <w:kern w:val="0"/>
                <w:szCs w:val="21"/>
              </w:rPr>
            </w:pPr>
            <w:r>
              <w:rPr>
                <w:rFonts w:ascii="宋体" w:hAnsi="宋体" w:cs="宋体"/>
                <w:kern w:val="0"/>
                <w:szCs w:val="21"/>
              </w:rPr>
              <w:t>2.53</w:t>
            </w:r>
          </w:p>
        </w:tc>
      </w:tr>
    </w:tbl>
    <w:p>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B03E1"/>
    <w:rsid w:val="6B8B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toc 5"/>
    <w:basedOn w:val="1"/>
    <w:next w:val="1"/>
    <w:qFormat/>
    <w:uiPriority w:val="99"/>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2021-09-15T09:48:00Z</dcterms:created>
  <dc:creator>罗海艳</dc:creator>
  <cp:lastModifiedBy>罗海艳</cp:lastModifiedBy>
  <dcterms:modified xsi:type="dcterms:W3CDTF">2021-09-15T09:55:24Z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3195919226954546B5A6F8644126749E</vt:lpwstr>
  </property>
</Properties>
</file>