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spacing w:line="580" w:lineRule="exact"/>
        <w:ind w:right="640"/>
        <w:rPr>
          <w:rFonts w:ascii="仿宋_GB2312" w:hAnsi="仿宋_GB2312" w:eastAsia="仿宋_GB2312" w:cs="仿宋_GB2312"/>
          <w:sz w:val="44"/>
          <w:szCs w:val="44"/>
        </w:rPr>
      </w:pPr>
    </w:p>
    <w:p>
      <w:pPr>
        <w:tabs>
          <w:tab w:val="left" w:pos="3420"/>
        </w:tabs>
        <w:spacing w:line="580" w:lineRule="exact"/>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湛麻环建〔202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号</w:t>
      </w:r>
    </w:p>
    <w:p>
      <w:pPr>
        <w:tabs>
          <w:tab w:val="left" w:pos="3420"/>
        </w:tabs>
        <w:spacing w:line="580" w:lineRule="exact"/>
        <w:jc w:val="right"/>
        <w:rPr>
          <w:rFonts w:hint="eastAsia" w:ascii="仿宋_GB2312" w:hAnsi="仿宋_GB2312" w:eastAsia="仿宋_GB2312" w:cs="仿宋_GB2312"/>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640" w:lineRule="exact"/>
        <w:jc w:val="center"/>
        <w:textAlignment w:val="auto"/>
        <w:rPr>
          <w:rFonts w:eastAsia="小标宋"/>
          <w:spacing w:val="-11"/>
          <w:sz w:val="44"/>
          <w:szCs w:val="44"/>
        </w:rPr>
      </w:pPr>
      <w:r>
        <w:rPr>
          <w:rFonts w:hint="eastAsia" w:eastAsia="小标宋"/>
          <w:spacing w:val="-11"/>
          <w:sz w:val="44"/>
          <w:szCs w:val="44"/>
        </w:rPr>
        <w:t>关于广东利宇检测技术有限公司实验室新建项目环境影响报告表的批复</w:t>
      </w:r>
    </w:p>
    <w:p>
      <w:pPr>
        <w:widowControl/>
        <w:shd w:val="clear" w:color="auto" w:fill="FFFFFF"/>
        <w:spacing w:line="520" w:lineRule="exact"/>
        <w:jc w:val="center"/>
        <w:rPr>
          <w:rFonts w:eastAsia="小标宋" w:cs="仿宋_GB2312" w:asciiTheme="minorHAnsi" w:hAnsiTheme="minorHAnsi"/>
          <w:sz w:val="44"/>
          <w:szCs w:val="44"/>
        </w:rPr>
      </w:pPr>
    </w:p>
    <w:p>
      <w:pPr>
        <w:tabs>
          <w:tab w:val="left" w:pos="3420"/>
        </w:tabs>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广东利宇检测技术有限公司：</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你公司报</w:t>
      </w:r>
      <w:r>
        <w:rPr>
          <w:rFonts w:hint="eastAsia" w:ascii="仿宋_GB2312" w:hAnsi="仿宋_GB2312" w:eastAsia="仿宋_GB2312" w:cs="仿宋_GB2312"/>
          <w:sz w:val="32"/>
          <w:szCs w:val="32"/>
          <w:lang w:eastAsia="zh-CN"/>
        </w:rPr>
        <w:t>送</w:t>
      </w:r>
      <w:r>
        <w:rPr>
          <w:rFonts w:hint="eastAsia" w:ascii="仿宋_GB2312" w:hAnsi="仿宋_GB2312" w:eastAsia="仿宋_GB2312" w:cs="仿宋_GB2312"/>
          <w:sz w:val="32"/>
          <w:szCs w:val="32"/>
        </w:rPr>
        <w:t>的《广东利宇检测技术有限公司实验室新建项目环境影响报告表》（以下简称“报告表”）</w:t>
      </w:r>
      <w:r>
        <w:rPr>
          <w:rFonts w:hint="eastAsia" w:ascii="仿宋_GB2312" w:hAnsi="仿宋_GB2312" w:eastAsia="仿宋_GB2312" w:cs="仿宋_GB2312"/>
          <w:sz w:val="32"/>
          <w:szCs w:val="32"/>
          <w:lang w:eastAsia="zh-CN"/>
        </w:rPr>
        <w:t>及有关</w:t>
      </w:r>
      <w:r>
        <w:rPr>
          <w:rFonts w:hint="eastAsia" w:ascii="仿宋_GB2312" w:hAnsi="仿宋_GB2312" w:eastAsia="仿宋_GB2312" w:cs="仿宋_GB2312"/>
          <w:sz w:val="32"/>
          <w:szCs w:val="32"/>
        </w:rPr>
        <w:t>资料收悉。受湛江市生态环境局委托，经研究，</w:t>
      </w:r>
      <w:r>
        <w:rPr>
          <w:rFonts w:hint="eastAsia" w:ascii="仿宋_GB2312" w:hAnsi="仿宋_GB2312" w:eastAsia="仿宋_GB2312" w:cs="仿宋_GB2312"/>
          <w:sz w:val="32"/>
          <w:szCs w:val="32"/>
          <w:lang w:eastAsia="zh-CN"/>
        </w:rPr>
        <w:t>现对报告表</w:t>
      </w:r>
      <w:r>
        <w:rPr>
          <w:rFonts w:hint="eastAsia" w:ascii="仿宋_GB2312" w:hAnsi="仿宋_GB2312" w:eastAsia="仿宋_GB2312" w:cs="仿宋_GB2312"/>
          <w:sz w:val="32"/>
          <w:szCs w:val="32"/>
        </w:rPr>
        <w:t>批复如下：</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广东利宇检测技术有限公司实验室新建项目位于湛江市麻章区瑞云南路西 9 号三楼，主要建设有</w:t>
      </w:r>
      <w:r>
        <w:rPr>
          <w:rFonts w:hint="eastAsia" w:ascii="仿宋_GB2312" w:hAnsi="仿宋_GB2312" w:eastAsia="仿宋_GB2312" w:cs="仿宋_GB2312"/>
          <w:sz w:val="32"/>
          <w:szCs w:val="32"/>
          <w:lang w:eastAsia="zh-CN"/>
        </w:rPr>
        <w:t>实验区、办公区，配套建设废水、</w:t>
      </w:r>
      <w:bookmarkStart w:id="0" w:name="_GoBack"/>
      <w:bookmarkEnd w:id="0"/>
      <w:r>
        <w:rPr>
          <w:rFonts w:hint="eastAsia" w:ascii="仿宋_GB2312" w:hAnsi="仿宋_GB2312" w:eastAsia="仿宋_GB2312" w:cs="仿宋_GB2312"/>
          <w:sz w:val="32"/>
          <w:szCs w:val="32"/>
          <w:lang w:eastAsia="zh-CN"/>
        </w:rPr>
        <w:t>废气处理设备和危废暂存间。</w:t>
      </w:r>
      <w:r>
        <w:rPr>
          <w:rFonts w:hint="eastAsia" w:ascii="仿宋_GB2312" w:hAnsi="仿宋_GB2312" w:eastAsia="仿宋_GB2312" w:cs="仿宋_GB2312"/>
          <w:sz w:val="32"/>
          <w:szCs w:val="32"/>
        </w:rPr>
        <w:t>项目总投资 200 万元，其中环保投资 20 万元。</w:t>
      </w:r>
    </w:p>
    <w:p>
      <w:pPr>
        <w:numPr>
          <w:ilvl w:val="0"/>
          <w:numId w:val="0"/>
        </w:num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根据报告表</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评价结论，在严格落实各项污染防治</w:t>
      </w:r>
      <w:r>
        <w:rPr>
          <w:rFonts w:hint="eastAsia" w:ascii="仿宋_GB2312" w:hAnsi="仿宋_GB2312" w:eastAsia="仿宋_GB2312" w:cs="仿宋_GB2312"/>
          <w:sz w:val="32"/>
          <w:szCs w:val="32"/>
          <w:lang w:eastAsia="zh-CN"/>
        </w:rPr>
        <w:t>和环境风险防范</w:t>
      </w:r>
      <w:r>
        <w:rPr>
          <w:rFonts w:hint="eastAsia" w:ascii="仿宋_GB2312" w:hAnsi="仿宋_GB2312" w:eastAsia="仿宋_GB2312" w:cs="仿宋_GB2312"/>
          <w:sz w:val="32"/>
          <w:szCs w:val="32"/>
        </w:rPr>
        <w:t>措施，确保污染物稳定达标排放</w:t>
      </w:r>
      <w:r>
        <w:rPr>
          <w:rFonts w:hint="eastAsia" w:ascii="仿宋_GB2312" w:hAnsi="仿宋_GB2312" w:eastAsia="仿宋_GB2312" w:cs="仿宋_GB2312"/>
          <w:sz w:val="32"/>
          <w:szCs w:val="32"/>
          <w:lang w:eastAsia="zh-CN"/>
        </w:rPr>
        <w:t>和环境安全</w:t>
      </w:r>
      <w:r>
        <w:rPr>
          <w:rFonts w:hint="eastAsia" w:ascii="仿宋_GB2312" w:hAnsi="仿宋_GB2312" w:eastAsia="仿宋_GB2312" w:cs="仿宋_GB2312"/>
          <w:sz w:val="32"/>
          <w:szCs w:val="32"/>
          <w:lang w:val="en-US" w:eastAsia="zh-CN"/>
        </w:rPr>
        <w:t>的前提下</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从环境保护角度分析，该项目建设的环境影响</w:t>
      </w:r>
      <w:r>
        <w:rPr>
          <w:rFonts w:hint="eastAsia" w:ascii="仿宋_GB2312" w:hAnsi="仿宋_GB2312" w:eastAsia="仿宋_GB2312" w:cs="仿宋_GB2312"/>
          <w:sz w:val="32"/>
          <w:szCs w:val="32"/>
          <w:lang w:eastAsia="zh-CN"/>
        </w:rPr>
        <w:t>是</w:t>
      </w:r>
      <w:r>
        <w:rPr>
          <w:rFonts w:ascii="仿宋_GB2312" w:hAnsi="仿宋_GB2312" w:eastAsia="仿宋_GB2312" w:cs="仿宋_GB2312"/>
          <w:sz w:val="32"/>
          <w:szCs w:val="32"/>
        </w:rPr>
        <w:t>可接受</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w:t>
      </w:r>
      <w:r>
        <w:rPr>
          <w:rFonts w:hint="eastAsia" w:ascii="仿宋_GB2312" w:hAnsi="仿宋_GB2312" w:eastAsia="仿宋_GB2312" w:cs="仿宋_GB2312"/>
          <w:sz w:val="32"/>
          <w:szCs w:val="32"/>
          <w:lang w:eastAsia="zh-CN"/>
        </w:rPr>
        <w:t>严格</w:t>
      </w:r>
      <w:r>
        <w:rPr>
          <w:rFonts w:hint="eastAsia" w:ascii="仿宋_GB2312" w:hAnsi="仿宋_GB2312" w:eastAsia="仿宋_GB2312" w:cs="仿宋_GB2312"/>
          <w:sz w:val="32"/>
          <w:szCs w:val="32"/>
        </w:rPr>
        <w:t>按照报告表</w:t>
      </w:r>
      <w:r>
        <w:rPr>
          <w:rFonts w:hint="eastAsia" w:ascii="仿宋_GB2312" w:hAnsi="仿宋_GB2312" w:eastAsia="仿宋_GB2312" w:cs="仿宋_GB2312"/>
          <w:sz w:val="32"/>
          <w:szCs w:val="32"/>
          <w:lang w:eastAsia="zh-CN"/>
        </w:rPr>
        <w:t>所列的性质、规模、地点和防止污染、防止生态破坏的措施进行建设。</w:t>
      </w:r>
    </w:p>
    <w:p>
      <w:pPr>
        <w:numPr>
          <w:ilvl w:val="0"/>
          <w:numId w:val="0"/>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若</w:t>
      </w:r>
      <w:r>
        <w:rPr>
          <w:rFonts w:hint="eastAsia" w:ascii="仿宋_GB2312" w:hAnsi="仿宋_GB2312" w:eastAsia="仿宋_GB2312" w:cs="仿宋_GB2312"/>
          <w:sz w:val="32"/>
          <w:szCs w:val="32"/>
        </w:rPr>
        <w:t>项目的性质、规模、地点、采用的生产工艺或者</w:t>
      </w:r>
      <w:r>
        <w:rPr>
          <w:rFonts w:hint="eastAsia" w:ascii="仿宋_GB2312" w:hAnsi="仿宋_GB2312" w:eastAsia="仿宋_GB2312" w:cs="仿宋_GB2312"/>
          <w:sz w:val="32"/>
          <w:szCs w:val="32"/>
          <w:lang w:eastAsia="zh-CN"/>
        </w:rPr>
        <w:t>拟采取的环境保护</w:t>
      </w:r>
      <w:r>
        <w:rPr>
          <w:rFonts w:hint="eastAsia" w:ascii="仿宋_GB2312" w:hAnsi="仿宋_GB2312" w:eastAsia="仿宋_GB2312" w:cs="仿宋_GB2312"/>
          <w:sz w:val="32"/>
          <w:szCs w:val="32"/>
        </w:rPr>
        <w:t>措施发生重大变动，你公司应当重新报批项目的环境影响评价文件。</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rPr>
        <w:sectPr>
          <w:footerReference r:id="rId3" w:type="default"/>
          <w:pgSz w:w="11906" w:h="16838"/>
          <w:pgMar w:top="2098" w:right="1474" w:bottom="1587" w:left="1587" w:header="851" w:footer="992" w:gutter="0"/>
          <w:pgNumType w:fmt="decimal" w:start="1"/>
          <w:cols w:space="425" w:num="1"/>
          <w:docGrid w:type="lines" w:linePitch="312" w:charSpace="0"/>
        </w:sectPr>
      </w:pPr>
      <w:r>
        <w:rPr>
          <w:rFonts w:hint="eastAsia" w:ascii="仿宋_GB2312" w:hAnsi="仿宋_GB2312" w:eastAsia="仿宋_GB2312" w:cs="仿宋_GB2312"/>
          <w:sz w:val="32"/>
          <w:szCs w:val="32"/>
        </w:rPr>
        <w:t>四、该项目建设须按有关规定取得其他相关部门同意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w:t>
      </w:r>
    </w:p>
    <w:p>
      <w:pPr>
        <w:keepNext w:val="0"/>
        <w:keepLines w:val="0"/>
        <w:pageBreakBefore w:val="0"/>
        <w:kinsoku/>
        <w:wordWrap/>
        <w:overflowPunct/>
        <w:topLinePunct w:val="0"/>
        <w:bidi w:val="0"/>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建设必须严格执行配套的环境保护设施与主体工程同时设计、同时施工、同时投产使用的环境保护“三同时”制度。</w:t>
      </w:r>
      <w:r>
        <w:rPr>
          <w:rFonts w:hint="eastAsia" w:ascii="仿宋_GB2312" w:hAnsi="仿宋_GB2312" w:eastAsia="仿宋_GB2312" w:cs="仿宋_GB2312"/>
          <w:sz w:val="32"/>
          <w:szCs w:val="32"/>
          <w:lang w:eastAsia="zh-CN"/>
        </w:rPr>
        <w:t>项目竣工后，</w:t>
      </w: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须按规定</w:t>
      </w:r>
      <w:r>
        <w:rPr>
          <w:rFonts w:hint="eastAsia" w:ascii="仿宋_GB2312" w:hAnsi="仿宋_GB2312" w:eastAsia="仿宋_GB2312" w:cs="仿宋_GB2312"/>
          <w:sz w:val="32"/>
          <w:szCs w:val="32"/>
          <w:lang w:eastAsia="zh-CN"/>
        </w:rPr>
        <w:t>的标准和</w:t>
      </w:r>
      <w:r>
        <w:rPr>
          <w:rFonts w:hint="eastAsia" w:ascii="仿宋_GB2312" w:hAnsi="仿宋_GB2312" w:eastAsia="仿宋_GB2312" w:cs="仿宋_GB2312"/>
          <w:sz w:val="32"/>
          <w:szCs w:val="32"/>
        </w:rPr>
        <w:t>程序</w:t>
      </w:r>
      <w:r>
        <w:rPr>
          <w:rFonts w:hint="eastAsia" w:ascii="仿宋_GB2312" w:hAnsi="仿宋_GB2312" w:eastAsia="仿宋_GB2312" w:cs="仿宋_GB2312"/>
          <w:sz w:val="32"/>
          <w:szCs w:val="32"/>
          <w:lang w:eastAsia="zh-CN"/>
        </w:rPr>
        <w:t>对配套建设的环境保护设施进行验收</w:t>
      </w:r>
      <w:r>
        <w:rPr>
          <w:rFonts w:hint="eastAsia" w:ascii="仿宋_GB2312" w:hAnsi="仿宋_GB2312" w:eastAsia="仿宋_GB2312" w:cs="仿宋_GB2312"/>
          <w:sz w:val="32"/>
          <w:szCs w:val="32"/>
        </w:rPr>
        <w:t>。</w:t>
      </w: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spacing w:line="560" w:lineRule="exact"/>
        <w:ind w:right="600"/>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湛江市生态环境局麻章分局</w:t>
      </w:r>
      <w:r>
        <w:rPr>
          <w:rFonts w:hint="eastAsia" w:ascii="仿宋_GB2312" w:hAnsi="仿宋_GB2312" w:eastAsia="仿宋_GB2312" w:cs="仿宋_GB2312"/>
          <w:sz w:val="32"/>
          <w:szCs w:val="32"/>
          <w:lang w:val="en-US" w:eastAsia="zh-CN"/>
        </w:rPr>
        <w:t xml:space="preserve">  </w:t>
      </w:r>
    </w:p>
    <w:p>
      <w:pPr>
        <w:spacing w:line="560" w:lineRule="exact"/>
        <w:ind w:right="6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p>
    <w:p>
      <w:pPr>
        <w:pStyle w:val="7"/>
        <w:spacing w:line="560" w:lineRule="exact"/>
        <w:rPr>
          <w:rFonts w:hint="eastAsia" w:ascii="仿宋_GB2312" w:hAnsi="仿宋_GB2312" w:eastAsia="仿宋_GB2312" w:cs="仿宋_GB2312"/>
          <w:sz w:val="32"/>
          <w:szCs w:val="32"/>
        </w:rPr>
      </w:pPr>
    </w:p>
    <w:p>
      <w:pPr>
        <w:pStyle w:val="7"/>
        <w:spacing w:line="560" w:lineRule="exact"/>
        <w:rPr>
          <w:rFonts w:hint="eastAsia"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spacing w:line="560" w:lineRule="exact"/>
        <w:ind w:firstLine="280" w:firstLineChars="100"/>
        <w:jc w:val="left"/>
      </w:pPr>
      <w:r>
        <w:rPr>
          <w:rFonts w:hint="eastAsia" w:ascii="仿宋_GB2312" w:hAnsi="仿宋_GB2312" w:eastAsia="仿宋_GB2312" w:cs="仿宋_GB2312"/>
          <w:sz w:val="28"/>
          <w:szCs w:val="28"/>
        </w:rPr>
        <w:t>抄送：深圳市复馨环保科技有限公司（由建设单位送达）。</w:t>
      </w:r>
    </w:p>
    <w:sectPr>
      <w:footerReference r:id="rId4" w:type="default"/>
      <w:pgSz w:w="11906" w:h="16838"/>
      <w:pgMar w:top="2098" w:right="1474" w:bottom="1587"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86"/>
    <w:family w:val="auto"/>
    <w:pitch w:val="default"/>
    <w:sig w:usb0="00000000" w:usb1="00000000" w:usb2="0000001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00" w:usb3="00000000" w:csb0="00040000" w:csb1="00000000"/>
  </w:font>
  <w:font w:name="小标宋">
    <w:altName w:val="方正小标宋_GBK"/>
    <w:panose1 w:val="03000509000000000000"/>
    <w:charset w:val="86"/>
    <w:family w:val="script"/>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 w:val="clear" w:pos="8306"/>
      </w:tabs>
      <w:rPr>
        <w:sz w:val="24"/>
        <w:szCs w:val="40"/>
      </w:rPr>
    </w:pPr>
    <w:r>
      <w:rPr>
        <w:sz w:val="24"/>
        <w:szCs w:val="40"/>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txbxContent>
              </v:textbox>
            </v:shape>
          </w:pict>
        </mc:Fallback>
      </mc:AlternateContent>
    </w:r>
    <w:r>
      <w:rPr>
        <w:rFonts w:hint="eastAsia"/>
        <w:sz w:val="24"/>
        <w:szCs w:val="40"/>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 w:val="clear" w:pos="8306"/>
      </w:tabs>
      <w:rPr>
        <w:sz w:val="24"/>
        <w:szCs w:val="40"/>
      </w:rPr>
    </w:pPr>
    <w:r>
      <w:rPr>
        <w:sz w:val="24"/>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40"/>
                            </w:rPr>
                          </w:pPr>
                          <w:r>
                            <w:rPr>
                              <w:sz w:val="24"/>
                              <w:szCs w:val="40"/>
                            </w:rPr>
                            <w:t xml:space="preserve">— </w:t>
                          </w:r>
                          <w:r>
                            <w:rPr>
                              <w:rFonts w:hint="eastAsia"/>
                              <w:sz w:val="24"/>
                              <w:szCs w:val="40"/>
                              <w:lang w:val="en-US" w:eastAsia="zh-CN"/>
                            </w:rPr>
                            <w:t>2</w:t>
                          </w:r>
                          <w:r>
                            <w:rPr>
                              <w:sz w:val="24"/>
                              <w:szCs w:val="40"/>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2"/>
                      <w:rPr>
                        <w:sz w:val="24"/>
                        <w:szCs w:val="40"/>
                      </w:rPr>
                    </w:pPr>
                    <w:r>
                      <w:rPr>
                        <w:sz w:val="24"/>
                        <w:szCs w:val="40"/>
                      </w:rPr>
                      <w:t xml:space="preserve">— </w:t>
                    </w:r>
                    <w:r>
                      <w:rPr>
                        <w:rFonts w:hint="eastAsia"/>
                        <w:sz w:val="24"/>
                        <w:szCs w:val="40"/>
                        <w:lang w:val="en-US" w:eastAsia="zh-CN"/>
                      </w:rPr>
                      <w:t>2</w:t>
                    </w:r>
                    <w:r>
                      <w:rPr>
                        <w:sz w:val="24"/>
                        <w:szCs w:val="40"/>
                      </w:rPr>
                      <w:t xml:space="preserve"> —</w:t>
                    </w:r>
                  </w:p>
                </w:txbxContent>
              </v:textbox>
            </v:shape>
          </w:pict>
        </mc:Fallback>
      </mc:AlternateContent>
    </w:r>
    <w:r>
      <w:rPr>
        <w:sz w:val="24"/>
        <w:szCs w:val="40"/>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txbxContent>
              </v:textbox>
            </v:shape>
          </w:pict>
        </mc:Fallback>
      </mc:AlternateContent>
    </w:r>
    <w:r>
      <w:rPr>
        <w:rFonts w:hint="eastAsia"/>
        <w:sz w:val="24"/>
        <w:szCs w:val="40"/>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65DA6"/>
    <w:rsid w:val="00C26889"/>
    <w:rsid w:val="044C6D0B"/>
    <w:rsid w:val="04E33AE0"/>
    <w:rsid w:val="04F36417"/>
    <w:rsid w:val="05280018"/>
    <w:rsid w:val="06216E9C"/>
    <w:rsid w:val="06457C65"/>
    <w:rsid w:val="06832238"/>
    <w:rsid w:val="076E577C"/>
    <w:rsid w:val="08C265FD"/>
    <w:rsid w:val="097D5783"/>
    <w:rsid w:val="0AAB2C34"/>
    <w:rsid w:val="0B012EDF"/>
    <w:rsid w:val="0BC72DB8"/>
    <w:rsid w:val="0D477F67"/>
    <w:rsid w:val="0D5050A9"/>
    <w:rsid w:val="0D6C480D"/>
    <w:rsid w:val="0EBD0F33"/>
    <w:rsid w:val="0EBE7A81"/>
    <w:rsid w:val="0ED4727E"/>
    <w:rsid w:val="0F27056C"/>
    <w:rsid w:val="0F917F98"/>
    <w:rsid w:val="11CB187E"/>
    <w:rsid w:val="12DD7AB3"/>
    <w:rsid w:val="13265AB1"/>
    <w:rsid w:val="18216912"/>
    <w:rsid w:val="187D63D2"/>
    <w:rsid w:val="19F655C5"/>
    <w:rsid w:val="1A473E94"/>
    <w:rsid w:val="1B2B4F02"/>
    <w:rsid w:val="1B6B6BC0"/>
    <w:rsid w:val="1BA05E7B"/>
    <w:rsid w:val="1C4D6548"/>
    <w:rsid w:val="1DC04631"/>
    <w:rsid w:val="1DD36EF9"/>
    <w:rsid w:val="1DD63B0E"/>
    <w:rsid w:val="1DFC4F8A"/>
    <w:rsid w:val="1E4B582E"/>
    <w:rsid w:val="1F0A1A3B"/>
    <w:rsid w:val="1FE51FD1"/>
    <w:rsid w:val="201B52BC"/>
    <w:rsid w:val="20AD787A"/>
    <w:rsid w:val="20B931C3"/>
    <w:rsid w:val="21765DA6"/>
    <w:rsid w:val="21B76692"/>
    <w:rsid w:val="224B7B73"/>
    <w:rsid w:val="234E3789"/>
    <w:rsid w:val="2468340A"/>
    <w:rsid w:val="24F608B1"/>
    <w:rsid w:val="252C2A06"/>
    <w:rsid w:val="25C255BA"/>
    <w:rsid w:val="27E75C43"/>
    <w:rsid w:val="28906C1A"/>
    <w:rsid w:val="29367F7F"/>
    <w:rsid w:val="2A3E0828"/>
    <w:rsid w:val="2BDE1DB8"/>
    <w:rsid w:val="2C245550"/>
    <w:rsid w:val="2C34351B"/>
    <w:rsid w:val="2F117DED"/>
    <w:rsid w:val="2F3002E2"/>
    <w:rsid w:val="2F633BBD"/>
    <w:rsid w:val="30854312"/>
    <w:rsid w:val="316A400C"/>
    <w:rsid w:val="33551F8F"/>
    <w:rsid w:val="339F0EF5"/>
    <w:rsid w:val="34127CE4"/>
    <w:rsid w:val="34177BDE"/>
    <w:rsid w:val="354E10F5"/>
    <w:rsid w:val="36C407F7"/>
    <w:rsid w:val="37250BDB"/>
    <w:rsid w:val="37266C59"/>
    <w:rsid w:val="3745394A"/>
    <w:rsid w:val="39496D10"/>
    <w:rsid w:val="39AE1D64"/>
    <w:rsid w:val="3A7175D3"/>
    <w:rsid w:val="3AF95287"/>
    <w:rsid w:val="3B190784"/>
    <w:rsid w:val="3C515075"/>
    <w:rsid w:val="3C696536"/>
    <w:rsid w:val="3D2847FE"/>
    <w:rsid w:val="3D8E6069"/>
    <w:rsid w:val="3E372CD1"/>
    <w:rsid w:val="3EAA5DDB"/>
    <w:rsid w:val="3F6001FE"/>
    <w:rsid w:val="406F5413"/>
    <w:rsid w:val="40E81C07"/>
    <w:rsid w:val="4212434E"/>
    <w:rsid w:val="44441B2B"/>
    <w:rsid w:val="44A55193"/>
    <w:rsid w:val="44AF733C"/>
    <w:rsid w:val="46D8294E"/>
    <w:rsid w:val="47456157"/>
    <w:rsid w:val="47C47CEA"/>
    <w:rsid w:val="4AFF390B"/>
    <w:rsid w:val="4B951083"/>
    <w:rsid w:val="4BCF16A6"/>
    <w:rsid w:val="4C3A2C38"/>
    <w:rsid w:val="4CAE70F6"/>
    <w:rsid w:val="4D412FF0"/>
    <w:rsid w:val="4DAE67B4"/>
    <w:rsid w:val="4E600C76"/>
    <w:rsid w:val="4F5661E3"/>
    <w:rsid w:val="510304B4"/>
    <w:rsid w:val="528E6E77"/>
    <w:rsid w:val="54304EF7"/>
    <w:rsid w:val="54C75F76"/>
    <w:rsid w:val="55B966DA"/>
    <w:rsid w:val="55F40B5F"/>
    <w:rsid w:val="57656F4B"/>
    <w:rsid w:val="5B5F6F35"/>
    <w:rsid w:val="5B814E8A"/>
    <w:rsid w:val="5D175B96"/>
    <w:rsid w:val="5DFEBE40"/>
    <w:rsid w:val="611D52D0"/>
    <w:rsid w:val="61A51623"/>
    <w:rsid w:val="62444D3C"/>
    <w:rsid w:val="62FB6BF0"/>
    <w:rsid w:val="632D1462"/>
    <w:rsid w:val="639C3681"/>
    <w:rsid w:val="63C47210"/>
    <w:rsid w:val="64A50572"/>
    <w:rsid w:val="64F81D9F"/>
    <w:rsid w:val="65DD7E6D"/>
    <w:rsid w:val="67543C4D"/>
    <w:rsid w:val="676D5C5F"/>
    <w:rsid w:val="6860704D"/>
    <w:rsid w:val="69BF47F7"/>
    <w:rsid w:val="6AF33BD7"/>
    <w:rsid w:val="6BFA27F6"/>
    <w:rsid w:val="6CF91252"/>
    <w:rsid w:val="6D5E0F49"/>
    <w:rsid w:val="6D7014C3"/>
    <w:rsid w:val="6E641338"/>
    <w:rsid w:val="6EB42032"/>
    <w:rsid w:val="6F930E01"/>
    <w:rsid w:val="6F952FF9"/>
    <w:rsid w:val="6FE83A11"/>
    <w:rsid w:val="701D4CF5"/>
    <w:rsid w:val="71277242"/>
    <w:rsid w:val="71615C74"/>
    <w:rsid w:val="71C632F2"/>
    <w:rsid w:val="74192B62"/>
    <w:rsid w:val="75354F4A"/>
    <w:rsid w:val="76A3393F"/>
    <w:rsid w:val="77196F8D"/>
    <w:rsid w:val="77977FD3"/>
    <w:rsid w:val="792A5847"/>
    <w:rsid w:val="7A0E2A35"/>
    <w:rsid w:val="7A3A01AC"/>
    <w:rsid w:val="7A606928"/>
    <w:rsid w:val="7A7A165C"/>
    <w:rsid w:val="7B5B09CA"/>
    <w:rsid w:val="7D652C07"/>
    <w:rsid w:val="7E634760"/>
    <w:rsid w:val="7E7D5A69"/>
    <w:rsid w:val="7EA7401D"/>
    <w:rsid w:val="7F294A9D"/>
    <w:rsid w:val="7FBB42C5"/>
    <w:rsid w:val="7FBFCF20"/>
    <w:rsid w:val="7FFF957A"/>
    <w:rsid w:val="BA7B23C6"/>
    <w:rsid w:val="BBCF29DC"/>
    <w:rsid w:val="DDDF7DBF"/>
    <w:rsid w:val="F5FFE9E6"/>
    <w:rsid w:val="FBFFC2D1"/>
    <w:rsid w:val="FD9F20CF"/>
    <w:rsid w:val="FEFEE478"/>
    <w:rsid w:val="FF1FBBAB"/>
    <w:rsid w:val="FFF2F23E"/>
    <w:rsid w:val="FFFCA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2021-01-21T20:30:00Z</dcterms:created>
  <dc:creator>LENOVO</dc:creator>
  <cp:lastModifiedBy>uos</cp:lastModifiedBy>
  <cp:lastPrinted>2021-08-05T19:58:00Z</cp:lastPrinted>
  <dcterms:modified xsi:type="dcterms:W3CDTF">2021-09-09T11:59:42Z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7D2A44EC840E4F2E9171C681CC760DEA</vt:lpwstr>
  </property>
</Properties>
</file>