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湛江君实糖业有限公司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91440800MA53CR9131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刘忠杰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28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违反了《中华人民共和国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水</w:t>
            </w:r>
            <w:r>
              <w:rPr>
                <w:rFonts w:hint="eastAsia" w:asciiTheme="minorEastAsia" w:hAnsiTheme="minorEastAsia"/>
                <w:szCs w:val="21"/>
              </w:rPr>
              <w:t>污染防治法》第十条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、《中华人民共和国大气污染防治法》第十八条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依据《中华人民共和国水污染防治法》第八十三条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、《中华人民共和国大气污染防治法》第九十九条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30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废水超标处罚款10万元、废气超标处罚款20万元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05055ED3"/>
    <w:rsid w:val="0B4515B3"/>
    <w:rsid w:val="1B3241D1"/>
    <w:rsid w:val="2A5605E6"/>
    <w:rsid w:val="2FB96180"/>
    <w:rsid w:val="30034934"/>
    <w:rsid w:val="32D4422C"/>
    <w:rsid w:val="5ACB470F"/>
    <w:rsid w:val="617F5823"/>
    <w:rsid w:val="64190457"/>
    <w:rsid w:val="7339036C"/>
    <w:rsid w:val="752E7AA1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1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2021-08-11T03:26:35Z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