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6C" w:rsidRDefault="0066236C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66236C" w:rsidRDefault="0066236C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整体绩效自评报告</w:t>
      </w: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D0058B" w:rsidRPr="00D0058B" w:rsidRDefault="00D0058B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66236C" w:rsidRDefault="0066236C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66236C" w:rsidRDefault="0066236C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评价年度：2020年度</w:t>
      </w:r>
    </w:p>
    <w:p w:rsidR="0066236C" w:rsidRDefault="0066236C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评价单位：</w:t>
      </w:r>
      <w:r w:rsidR="00D0058B">
        <w:rPr>
          <w:rFonts w:ascii="仿宋_GB2312" w:eastAsia="仿宋_GB2312" w:hint="eastAsia"/>
          <w:sz w:val="32"/>
          <w:szCs w:val="32"/>
        </w:rPr>
        <w:t>湛江市交通运输局</w:t>
      </w:r>
    </w:p>
    <w:p w:rsidR="0066236C" w:rsidRDefault="0066236C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市级预算部门单位（公章）：</w:t>
      </w:r>
    </w:p>
    <w:p w:rsidR="0066236C" w:rsidRDefault="0066236C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  <w:r w:rsidR="00D0058B">
        <w:rPr>
          <w:rFonts w:ascii="仿宋_GB2312" w:eastAsia="仿宋_GB2312" w:hint="eastAsia"/>
          <w:sz w:val="32"/>
          <w:szCs w:val="32"/>
        </w:rPr>
        <w:t>2021年5月26日</w:t>
      </w:r>
    </w:p>
    <w:p w:rsidR="0066236C" w:rsidRDefault="0066236C">
      <w:pPr>
        <w:ind w:leftChars="171" w:left="359"/>
        <w:jc w:val="center"/>
        <w:rPr>
          <w:rFonts w:ascii="黑体" w:eastAsia="黑体" w:hAnsi="黑体" w:cs="黑体" w:hint="eastAsia"/>
          <w:b/>
          <w:sz w:val="44"/>
          <w:szCs w:val="44"/>
        </w:rPr>
      </w:pPr>
    </w:p>
    <w:p w:rsidR="0066236C" w:rsidRDefault="0066236C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</w:p>
    <w:p w:rsidR="00C273B1" w:rsidRDefault="00C273B1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</w:p>
    <w:p w:rsidR="00C273B1" w:rsidRDefault="00C273B1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</w:p>
    <w:p w:rsidR="0066236C" w:rsidRDefault="0066236C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lastRenderedPageBreak/>
        <w:t>根据</w:t>
      </w:r>
      <w:r w:rsidR="00D0058B">
        <w:rPr>
          <w:rFonts w:ascii="仿宋_GB2312" w:eastAsia="仿宋_GB2312" w:hAnsi="华文仿宋" w:cs="仿宋_GB2312" w:hint="eastAsia"/>
          <w:sz w:val="32"/>
          <w:szCs w:val="32"/>
        </w:rPr>
        <w:t>《湛江市财政局关于开展2021年市级财政资金绩效自评工作的通知》（湛财绩〔2021〕5号）</w:t>
      </w:r>
      <w:r>
        <w:rPr>
          <w:rFonts w:ascii="仿宋_GB2312" w:eastAsia="仿宋_GB2312" w:hAnsi="华文仿宋" w:cs="仿宋_GB2312" w:hint="eastAsia"/>
          <w:sz w:val="32"/>
          <w:szCs w:val="32"/>
        </w:rPr>
        <w:t>要求，我单位及时布置自评</w:t>
      </w:r>
      <w:r w:rsidR="00C273B1">
        <w:rPr>
          <w:rFonts w:ascii="仿宋_GB2312" w:eastAsia="仿宋_GB2312" w:hAnsi="华文仿宋" w:cs="仿宋_GB2312" w:hint="eastAsia"/>
          <w:sz w:val="32"/>
          <w:szCs w:val="32"/>
        </w:rPr>
        <w:t>工作，成立自评工作小组，明确分工，落实责任，认真开展自评自查工作。</w:t>
      </w:r>
      <w:r>
        <w:rPr>
          <w:rFonts w:ascii="仿宋_GB2312" w:eastAsia="仿宋_GB2312" w:hAnsi="华文仿宋" w:cs="仿宋_GB2312" w:hint="eastAsia"/>
          <w:sz w:val="32"/>
          <w:szCs w:val="32"/>
        </w:rPr>
        <w:t>经查阅、核实有关账</w:t>
      </w:r>
      <w:r w:rsidR="00C273B1">
        <w:rPr>
          <w:rFonts w:ascii="仿宋_GB2312" w:eastAsia="仿宋_GB2312" w:hAnsi="华文仿宋" w:cs="仿宋_GB2312" w:hint="eastAsia"/>
          <w:sz w:val="32"/>
          <w:szCs w:val="32"/>
        </w:rPr>
        <w:t>务及项目等执行情况，填写自评表格并综合分析，形成本评价报告。</w:t>
      </w:r>
      <w:r>
        <w:rPr>
          <w:rFonts w:ascii="仿宋_GB2312" w:eastAsia="仿宋_GB2312" w:hAnsi="华文仿宋" w:cs="仿宋_GB2312" w:hint="eastAsia"/>
          <w:sz w:val="32"/>
          <w:szCs w:val="32"/>
        </w:rPr>
        <w:t>2020年度</w:t>
      </w:r>
      <w:r w:rsidR="00D0058B">
        <w:rPr>
          <w:rFonts w:ascii="仿宋_GB2312" w:eastAsia="仿宋_GB2312" w:hAnsi="仿宋" w:cs="仿宋" w:hint="eastAsia"/>
          <w:bCs/>
          <w:sz w:val="32"/>
          <w:szCs w:val="32"/>
        </w:rPr>
        <w:t>湛江市交通运输局</w:t>
      </w:r>
      <w:r>
        <w:rPr>
          <w:rFonts w:ascii="仿宋_GB2312" w:eastAsia="仿宋_GB2312" w:hAnsi="华文仿宋" w:cs="仿宋_GB2312" w:hint="eastAsia"/>
          <w:sz w:val="32"/>
          <w:szCs w:val="32"/>
        </w:rPr>
        <w:t>整体绩效自我评价报告如下：</w:t>
      </w:r>
    </w:p>
    <w:p w:rsidR="0066236C" w:rsidRDefault="0066236C">
      <w:pPr>
        <w:numPr>
          <w:ilvl w:val="0"/>
          <w:numId w:val="1"/>
        </w:numPr>
        <w:spacing w:line="600" w:lineRule="exact"/>
        <w:ind w:firstLineChars="201" w:firstLine="643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单位基本情况</w:t>
      </w:r>
    </w:p>
    <w:p w:rsidR="003E717A" w:rsidRDefault="0066236C" w:rsidP="00F354CE">
      <w:pPr>
        <w:spacing w:line="600" w:lineRule="exact"/>
        <w:ind w:firstLineChars="201" w:firstLine="644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（一）单位机构设置、部门职能情况。</w:t>
      </w:r>
    </w:p>
    <w:p w:rsidR="00293A11" w:rsidRPr="00293A11" w:rsidRDefault="00293A11" w:rsidP="00293A11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我局属于市人民政府工作部门，下属6个二级预算单位；</w:t>
      </w:r>
      <w:r w:rsidRPr="00293A11">
        <w:rPr>
          <w:rFonts w:ascii="仿宋_GB2312" w:eastAsia="仿宋_GB2312" w:hAnsi="华文仿宋" w:cs="仿宋_GB2312" w:hint="eastAsia"/>
          <w:bCs/>
          <w:sz w:val="32"/>
          <w:szCs w:val="32"/>
        </w:rPr>
        <w:t>机构编制部门核定编制数：237名，其中行政编制65名，行政执法专项编制172名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；</w:t>
      </w:r>
      <w:r w:rsidRPr="00293A11">
        <w:rPr>
          <w:rFonts w:ascii="仿宋_GB2312" w:eastAsia="仿宋_GB2312" w:hAnsi="华文仿宋" w:cs="仿宋_GB2312" w:hint="eastAsia"/>
          <w:bCs/>
          <w:sz w:val="32"/>
          <w:szCs w:val="32"/>
        </w:rPr>
        <w:t>年末在职人数：243人，包括行政编制在职63人、行政执法编制在职164人、机关</w:t>
      </w:r>
      <w:bookmarkStart w:id="0" w:name="_GoBack"/>
      <w:bookmarkEnd w:id="0"/>
      <w:r w:rsidRPr="00293A11">
        <w:rPr>
          <w:rFonts w:ascii="仿宋_GB2312" w:eastAsia="仿宋_GB2312" w:hAnsi="华文仿宋" w:cs="仿宋_GB2312" w:hint="eastAsia"/>
          <w:bCs/>
          <w:sz w:val="32"/>
          <w:szCs w:val="32"/>
        </w:rPr>
        <w:t>后勤工人16人（含雇用制人员10人）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；</w:t>
      </w:r>
      <w:r w:rsidRPr="00293A11">
        <w:rPr>
          <w:rFonts w:ascii="仿宋_GB2312" w:eastAsia="仿宋_GB2312" w:hAnsi="华文仿宋" w:cs="仿宋_GB2312" w:hint="eastAsia"/>
          <w:bCs/>
          <w:sz w:val="32"/>
          <w:szCs w:val="32"/>
        </w:rPr>
        <w:t>离退休人数：131人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，</w:t>
      </w:r>
      <w:r w:rsidRPr="00293A11">
        <w:rPr>
          <w:rFonts w:ascii="仿宋_GB2312" w:eastAsia="仿宋_GB2312" w:hAnsi="华文仿宋" w:cs="仿宋_GB2312" w:hint="eastAsia"/>
          <w:bCs/>
          <w:sz w:val="32"/>
          <w:szCs w:val="32"/>
        </w:rPr>
        <w:t>外聘临时工人数：24人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。</w:t>
      </w:r>
    </w:p>
    <w:p w:rsidR="005E4294" w:rsidRDefault="005E4294" w:rsidP="00DC4261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湛江市交通运输局是全市交通运输行业行政主管部门，主要职责如下：</w:t>
      </w:r>
    </w:p>
    <w:p w:rsidR="005E4294" w:rsidRDefault="005E4294" w:rsidP="003E717A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1、贯彻执行国家和省有关交通运输行业的方针政策和法律法规、规章，组织拟订全市公路、水路、港口、地方铁路等行业发展规划、政策措施、管理规章、规范性文件</w:t>
      </w:r>
      <w:r w:rsidR="0067411A">
        <w:rPr>
          <w:rFonts w:ascii="仿宋_GB2312" w:eastAsia="仿宋_GB2312" w:hAnsi="华文仿宋" w:cs="仿宋_GB2312" w:hint="eastAsia"/>
          <w:bCs/>
          <w:sz w:val="32"/>
          <w:szCs w:val="32"/>
        </w:rPr>
        <w:t>并监督实施。</w:t>
      </w:r>
    </w:p>
    <w:p w:rsidR="0067411A" w:rsidRDefault="0067411A" w:rsidP="003E717A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2、负责指导公路、水路行业有关体制改革工作，引导交通运输业</w:t>
      </w:r>
      <w:r w:rsidR="00540DE0">
        <w:rPr>
          <w:rFonts w:ascii="仿宋_GB2312" w:eastAsia="仿宋_GB2312" w:hAnsi="华文仿宋" w:cs="仿宋_GB2312" w:hint="eastAsia"/>
          <w:bCs/>
          <w:sz w:val="32"/>
          <w:szCs w:val="32"/>
        </w:rPr>
        <w:t>优化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结构，协调发展。</w:t>
      </w:r>
    </w:p>
    <w:p w:rsidR="0067411A" w:rsidRDefault="0067411A" w:rsidP="003E717A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3、承担道路、水路运输市场监管责任。负责全市路政、运政和港口的行政管理，负责水路运输、水路运输服务、外轮理货、船舶代理、引航、航道、港口及港航设施建设使用岸线布局的行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lastRenderedPageBreak/>
        <w:t>业管理工作，负责城乡客运及有关设施规划和管理工作，负责出租汽车行业管理工作。</w:t>
      </w:r>
    </w:p>
    <w:p w:rsidR="0067411A" w:rsidRDefault="0067411A" w:rsidP="003E717A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4、负责政府拨款的交通建设资金的监督和管理，协调或参与交通建设资金的筹集，负责港航有关行政性收费的征收和代征；负责交通稽查站的管理；负责公路、桥梁、隧道通行费收费站（点）工作的指导和监督。</w:t>
      </w:r>
    </w:p>
    <w:p w:rsidR="005E4294" w:rsidRDefault="0067411A" w:rsidP="003E717A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5、承担公路、水路、港口建设市场的监管责任。负责公路、港口（包括公用航道</w:t>
      </w:r>
      <w:r w:rsidR="00291615">
        <w:rPr>
          <w:rFonts w:ascii="仿宋_GB2312" w:eastAsia="仿宋_GB2312" w:hAnsi="华文仿宋" w:cs="仿宋_GB2312" w:hint="eastAsia"/>
          <w:bCs/>
          <w:sz w:val="32"/>
          <w:szCs w:val="32"/>
        </w:rPr>
        <w:t>、防波堤、锚地等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）</w:t>
      </w:r>
      <w:r w:rsidR="00291615">
        <w:rPr>
          <w:rFonts w:ascii="仿宋_GB2312" w:eastAsia="仿宋_GB2312" w:hAnsi="华文仿宋" w:cs="仿宋_GB2312" w:hint="eastAsia"/>
          <w:bCs/>
          <w:sz w:val="32"/>
          <w:szCs w:val="32"/>
        </w:rPr>
        <w:t>、站场及其配套设施</w:t>
      </w:r>
      <w:r w:rsidR="00786C08">
        <w:rPr>
          <w:rFonts w:ascii="仿宋_GB2312" w:eastAsia="仿宋_GB2312" w:hAnsi="华文仿宋" w:cs="仿宋_GB2312" w:hint="eastAsia"/>
          <w:bCs/>
          <w:sz w:val="32"/>
          <w:szCs w:val="32"/>
        </w:rPr>
        <w:t>的</w:t>
      </w:r>
      <w:r w:rsidR="00291615">
        <w:rPr>
          <w:rFonts w:ascii="仿宋_GB2312" w:eastAsia="仿宋_GB2312" w:hAnsi="华文仿宋" w:cs="仿宋_GB2312" w:hint="eastAsia"/>
          <w:bCs/>
          <w:sz w:val="32"/>
          <w:szCs w:val="32"/>
        </w:rPr>
        <w:t>建设、管理和维护；负责全市交通运输建设项目的审批或审核上报工作；组织协调公路、水路、港口有关重点工程建设和工程质量、安全生产及造价的监督管理工作；协调国家、省重点交通工程建设。</w:t>
      </w:r>
    </w:p>
    <w:p w:rsidR="00291615" w:rsidRDefault="00291615" w:rsidP="00291615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6、负责全市交通运输行业安全生产和应急管理工作，参与公路、水路有关交通战备工作，负责组织协调重点物资、</w:t>
      </w:r>
      <w:r w:rsidR="00786C08">
        <w:rPr>
          <w:rFonts w:ascii="仿宋_GB2312" w:eastAsia="仿宋_GB2312" w:hAnsi="华文仿宋" w:cs="仿宋_GB2312" w:hint="eastAsia"/>
          <w:bCs/>
          <w:sz w:val="32"/>
          <w:szCs w:val="32"/>
        </w:rPr>
        <w:t>紧急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客货运输、大宗外贸等物资运输，协调中央、省驻湛的交通运输邮电单位的工作。</w:t>
      </w:r>
    </w:p>
    <w:p w:rsidR="00291615" w:rsidRDefault="006D6BB3" w:rsidP="006D6BB3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7、制定交通运输行业科技发展计划、组织开展科技项目攻关和推广应用；指导交通运输行业信息化建设，指导、监督交通行业技术标准和规范的实施，指导公路、水路行业环境保护和</w:t>
      </w:r>
      <w:r w:rsidR="00786C08">
        <w:rPr>
          <w:rFonts w:ascii="仿宋_GB2312" w:eastAsia="仿宋_GB2312" w:hAnsi="华文仿宋" w:cs="仿宋_GB2312" w:hint="eastAsia"/>
          <w:bCs/>
          <w:sz w:val="32"/>
          <w:szCs w:val="32"/>
        </w:rPr>
        <w:t>节能减排工作。负责全市公路、港口及水运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信息的汇总、统计、上报、和管理工作。</w:t>
      </w:r>
    </w:p>
    <w:p w:rsidR="006D6BB3" w:rsidRDefault="006D6BB3" w:rsidP="00291615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8、负责协调地方铁路建设及铁路专用线共用</w:t>
      </w:r>
      <w:r w:rsidR="00786C08">
        <w:rPr>
          <w:rFonts w:ascii="仿宋_GB2312" w:eastAsia="仿宋_GB2312" w:hAnsi="华文仿宋" w:cs="仿宋_GB2312" w:hint="eastAsia"/>
          <w:bCs/>
          <w:sz w:val="32"/>
          <w:szCs w:val="32"/>
        </w:rPr>
        <w:t>的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管理。</w:t>
      </w:r>
    </w:p>
    <w:p w:rsidR="006D6BB3" w:rsidRDefault="006D6BB3" w:rsidP="00291615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9、负责城市公共交通客运市场的管理，制定城市公共交通的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lastRenderedPageBreak/>
        <w:t>发展规划并组织实施。</w:t>
      </w:r>
    </w:p>
    <w:p w:rsidR="005E4294" w:rsidRDefault="006D6BB3" w:rsidP="006D6BB3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10、</w:t>
      </w:r>
      <w:r w:rsidR="00786C08">
        <w:rPr>
          <w:rFonts w:ascii="仿宋_GB2312" w:eastAsia="仿宋_GB2312" w:hAnsi="华文仿宋" w:cs="仿宋_GB2312" w:hint="eastAsia"/>
          <w:bCs/>
          <w:sz w:val="32"/>
          <w:szCs w:val="32"/>
        </w:rPr>
        <w:t>负责全市公路的路政管理，指导县（市）公路路政管理工作。</w:t>
      </w:r>
    </w:p>
    <w:p w:rsidR="00786C08" w:rsidRDefault="00786C08" w:rsidP="006D6BB3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11、贯彻落实党的人才发展政策，履行人才工作。</w:t>
      </w:r>
    </w:p>
    <w:p w:rsidR="005E4294" w:rsidRPr="00786C08" w:rsidRDefault="00786C08" w:rsidP="00C273B1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12、承办市人民政府和省交通厅交办的其他事项。</w:t>
      </w:r>
    </w:p>
    <w:p w:rsidR="00D366FA" w:rsidRDefault="0066236C" w:rsidP="00F354CE">
      <w:pPr>
        <w:spacing w:line="600" w:lineRule="exact"/>
        <w:ind w:firstLineChars="201" w:firstLine="644"/>
        <w:rPr>
          <w:rFonts w:ascii="楷体_GB2312" w:eastAsia="楷体_GB2312" w:hAnsi="华文仿宋" w:cs="仿宋_GB2312" w:hint="eastAsia"/>
          <w:bCs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（二）年度总体工作和重点工作任务</w:t>
      </w:r>
      <w:r w:rsidR="00B21F4E">
        <w:rPr>
          <w:rFonts w:ascii="楷体_GB2312" w:eastAsia="楷体_GB2312" w:hAnsi="华文仿宋" w:cs="仿宋_GB2312" w:hint="eastAsia"/>
          <w:b/>
          <w:sz w:val="32"/>
          <w:szCs w:val="32"/>
        </w:rPr>
        <w:t>。</w:t>
      </w:r>
    </w:p>
    <w:p w:rsidR="00D366FA" w:rsidRDefault="00D366FA" w:rsidP="00D366FA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D366FA">
        <w:rPr>
          <w:rFonts w:ascii="仿宋_GB2312" w:eastAsia="仿宋_GB2312" w:hAnsi="华文仿宋" w:cs="仿宋_GB2312" w:hint="eastAsia"/>
          <w:bCs/>
          <w:sz w:val="32"/>
          <w:szCs w:val="32"/>
        </w:rPr>
        <w:t>2020年，我局以习近平新时代中国特色社会主义思想为指导，全面贯彻落实党的十九大和十九届历次全会精神、习近平总书记视察广东重要讲话和指示批示精神，在市委、市政府的坚强领导下，把疫情防控作为最紧迫、最重要的政治任务，全力以赴抓好行业疫情防控及企业复工复产工作，较好地完成了市委、市政府部署的各项工作任务，交通行业经济运行总体平稳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。</w:t>
      </w:r>
    </w:p>
    <w:p w:rsidR="00D366FA" w:rsidRPr="005F614F" w:rsidRDefault="00D366FA" w:rsidP="005F614F">
      <w:pPr>
        <w:spacing w:line="600" w:lineRule="exact"/>
        <w:ind w:firstLineChars="201" w:firstLine="643"/>
        <w:rPr>
          <w:rFonts w:ascii="仿宋_GB2312" w:eastAsia="仿宋_GB2312" w:hAnsi="仿宋_GB2312" w:hint="eastAsia"/>
          <w:kern w:val="1"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2020年我局以打造高水平全国性综合交通枢纽为目标，构建现代化高质量综合立体交通网络。</w:t>
      </w:r>
      <w:r w:rsidR="005F614F">
        <w:rPr>
          <w:rFonts w:ascii="仿宋_GB2312" w:eastAsia="仿宋_GB2312" w:hAnsi="华文仿宋" w:cs="仿宋_GB2312" w:hint="eastAsia"/>
          <w:bCs/>
          <w:sz w:val="32"/>
          <w:szCs w:val="32"/>
        </w:rPr>
        <w:t>完成“四好农村公路”攻坚任务，农村公路路网全面提档升级；完成湛江港集装箱吞吐量，提升湛江港集装箱市场的竞争力和吸引力，引导和鼓励航运、</w:t>
      </w:r>
      <w:r w:rsidR="005F614F" w:rsidRPr="00B74794">
        <w:rPr>
          <w:rFonts w:ascii="仿宋_GB2312" w:eastAsia="仿宋_GB2312" w:hAnsi="仿宋_GB2312" w:hint="eastAsia"/>
          <w:kern w:val="1"/>
          <w:sz w:val="32"/>
          <w:szCs w:val="32"/>
        </w:rPr>
        <w:t>物流等企业在湛江港扩大集装箱运输业务，推动我市港口经济发展。</w:t>
      </w:r>
    </w:p>
    <w:p w:rsidR="0066236C" w:rsidRDefault="0066236C" w:rsidP="00F354CE">
      <w:pPr>
        <w:spacing w:line="600" w:lineRule="exact"/>
        <w:ind w:firstLineChars="201" w:firstLine="644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（三）部门整体支出绩效目标</w:t>
      </w:r>
      <w:r w:rsidR="00B21F4E">
        <w:rPr>
          <w:rFonts w:ascii="楷体_GB2312" w:eastAsia="楷体_GB2312" w:hAnsi="华文仿宋" w:cs="仿宋_GB2312" w:hint="eastAsia"/>
          <w:b/>
          <w:sz w:val="32"/>
          <w:szCs w:val="32"/>
        </w:rPr>
        <w:t>。</w:t>
      </w:r>
    </w:p>
    <w:p w:rsidR="00B74794" w:rsidRDefault="00B74794" w:rsidP="00B74794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2020年</w:t>
      </w:r>
      <w:r w:rsidR="00C273B1">
        <w:rPr>
          <w:rFonts w:ascii="仿宋_GB2312" w:eastAsia="仿宋_GB2312" w:hAnsi="华文仿宋" w:cs="仿宋_GB2312" w:hint="eastAsia"/>
          <w:sz w:val="32"/>
          <w:szCs w:val="32"/>
        </w:rPr>
        <w:t>需完成</w:t>
      </w:r>
      <w:r>
        <w:rPr>
          <w:rFonts w:ascii="仿宋_GB2312" w:eastAsia="仿宋_GB2312" w:hAnsi="华文仿宋" w:cs="仿宋_GB2312" w:hint="eastAsia"/>
          <w:sz w:val="32"/>
          <w:szCs w:val="32"/>
        </w:rPr>
        <w:t>“</w:t>
      </w:r>
      <w:r w:rsidR="00C273B1">
        <w:rPr>
          <w:rFonts w:ascii="仿宋_GB2312" w:eastAsia="仿宋_GB2312" w:hAnsi="华文仿宋" w:cs="仿宋_GB2312" w:hint="eastAsia"/>
          <w:sz w:val="32"/>
          <w:szCs w:val="32"/>
        </w:rPr>
        <w:t>四好农村公路</w:t>
      </w:r>
      <w:r>
        <w:rPr>
          <w:rFonts w:ascii="仿宋_GB2312" w:eastAsia="仿宋_GB2312" w:hAnsi="华文仿宋" w:cs="仿宋_GB2312" w:hint="eastAsia"/>
          <w:sz w:val="32"/>
          <w:szCs w:val="32"/>
        </w:rPr>
        <w:t>”</w:t>
      </w:r>
      <w:r w:rsidR="002730C4">
        <w:rPr>
          <w:rFonts w:ascii="仿宋_GB2312" w:eastAsia="仿宋_GB2312" w:hAnsi="华文仿宋" w:cs="仿宋_GB2312" w:hint="eastAsia"/>
          <w:sz w:val="32"/>
          <w:szCs w:val="32"/>
        </w:rPr>
        <w:t>县道升级改造378.205公里，乡道升级改造105.984公里，村道</w:t>
      </w:r>
      <w:r w:rsidR="00C273B1">
        <w:rPr>
          <w:rFonts w:ascii="仿宋_GB2312" w:eastAsia="仿宋_GB2312" w:hAnsi="华文仿宋" w:cs="仿宋_GB2312" w:hint="eastAsia"/>
          <w:sz w:val="32"/>
          <w:szCs w:val="32"/>
        </w:rPr>
        <w:t>硬</w:t>
      </w:r>
      <w:r w:rsidR="002730C4">
        <w:rPr>
          <w:rFonts w:ascii="仿宋_GB2312" w:eastAsia="仿宋_GB2312" w:hAnsi="华文仿宋" w:cs="仿宋_GB2312" w:hint="eastAsia"/>
          <w:sz w:val="32"/>
          <w:szCs w:val="32"/>
        </w:rPr>
        <w:t>底化建设市级补助1000公里，“四好农村</w:t>
      </w:r>
      <w:r w:rsidR="00C273B1">
        <w:rPr>
          <w:rFonts w:ascii="仿宋_GB2312" w:eastAsia="仿宋_GB2312" w:hAnsi="华文仿宋" w:cs="仿宋_GB2312" w:hint="eastAsia"/>
          <w:sz w:val="32"/>
          <w:szCs w:val="32"/>
        </w:rPr>
        <w:t>公</w:t>
      </w:r>
      <w:r w:rsidR="002730C4">
        <w:rPr>
          <w:rFonts w:ascii="仿宋_GB2312" w:eastAsia="仿宋_GB2312" w:hAnsi="华文仿宋" w:cs="仿宋_GB2312" w:hint="eastAsia"/>
          <w:sz w:val="32"/>
          <w:szCs w:val="32"/>
        </w:rPr>
        <w:t>路”攻坚建设285.875公里</w:t>
      </w:r>
      <w:r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:rsidR="00B74794" w:rsidRPr="00304521" w:rsidRDefault="00B74794" w:rsidP="00304521">
      <w:pPr>
        <w:spacing w:line="600" w:lineRule="exact"/>
        <w:ind w:firstLineChars="201" w:firstLine="643"/>
        <w:rPr>
          <w:rFonts w:ascii="仿宋_GB2312" w:eastAsia="仿宋_GB2312" w:hAnsi="仿宋_GB2312" w:hint="eastAsia"/>
          <w:kern w:val="1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2020年</w:t>
      </w:r>
      <w:r>
        <w:rPr>
          <w:rFonts w:ascii="仿宋_GB2312" w:eastAsia="仿宋_GB2312" w:hAnsi="仿宋_GB2312" w:hint="eastAsia"/>
          <w:kern w:val="1"/>
          <w:sz w:val="32"/>
          <w:szCs w:val="32"/>
        </w:rPr>
        <w:t>湛江港集装箱吞吐量</w:t>
      </w:r>
      <w:r w:rsidR="005F614F">
        <w:rPr>
          <w:rFonts w:ascii="仿宋_GB2312" w:eastAsia="仿宋_GB2312" w:hAnsi="仿宋_GB2312" w:hint="eastAsia"/>
          <w:kern w:val="1"/>
          <w:sz w:val="32"/>
          <w:szCs w:val="32"/>
        </w:rPr>
        <w:t>须达到</w:t>
      </w:r>
      <w:r w:rsidR="00283CA8">
        <w:rPr>
          <w:rFonts w:ascii="仿宋_GB2312" w:eastAsia="仿宋_GB2312" w:hAnsi="仿宋_GB2312" w:hint="eastAsia"/>
          <w:kern w:val="1"/>
          <w:sz w:val="32"/>
          <w:szCs w:val="32"/>
        </w:rPr>
        <w:t>122.5</w:t>
      </w:r>
      <w:r w:rsidRPr="00B74794">
        <w:rPr>
          <w:rFonts w:ascii="仿宋_GB2312" w:eastAsia="仿宋_GB2312" w:hAnsi="仿宋_GB2312" w:hint="eastAsia"/>
          <w:kern w:val="1"/>
          <w:sz w:val="32"/>
          <w:szCs w:val="32"/>
        </w:rPr>
        <w:t>万TEU</w:t>
      </w:r>
      <w:r w:rsidR="005F614F">
        <w:rPr>
          <w:rFonts w:ascii="仿宋_GB2312" w:eastAsia="仿宋_GB2312" w:hAnsi="仿宋_GB2312" w:hint="eastAsia"/>
          <w:kern w:val="1"/>
          <w:sz w:val="32"/>
          <w:szCs w:val="32"/>
        </w:rPr>
        <w:t>。</w:t>
      </w:r>
      <w:r w:rsidR="005F614F" w:rsidRPr="00304521">
        <w:rPr>
          <w:rFonts w:ascii="仿宋_GB2312" w:eastAsia="仿宋_GB2312" w:hAnsi="仿宋_GB2312" w:hint="eastAsia"/>
          <w:kern w:val="1"/>
          <w:sz w:val="32"/>
          <w:szCs w:val="32"/>
        </w:rPr>
        <w:t xml:space="preserve"> </w:t>
      </w:r>
    </w:p>
    <w:p w:rsidR="0066236C" w:rsidRDefault="0066236C" w:rsidP="00F354CE">
      <w:pPr>
        <w:spacing w:line="600" w:lineRule="exact"/>
        <w:ind w:firstLineChars="201" w:firstLine="644"/>
        <w:rPr>
          <w:rFonts w:ascii="楷体_GB2312" w:eastAsia="楷体_GB2312" w:hAnsi="华文仿宋" w:cs="仿宋_GB2312" w:hint="eastAsia"/>
          <w:bCs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（四）部门整体支出情况</w:t>
      </w:r>
      <w:r w:rsidR="00B21F4E">
        <w:rPr>
          <w:rFonts w:ascii="楷体_GB2312" w:eastAsia="楷体_GB2312" w:hAnsi="华文仿宋" w:cs="仿宋_GB2312" w:hint="eastAsia"/>
          <w:b/>
          <w:sz w:val="32"/>
          <w:szCs w:val="32"/>
        </w:rPr>
        <w:t>。</w:t>
      </w:r>
    </w:p>
    <w:p w:rsidR="00304521" w:rsidRPr="00283CA8" w:rsidRDefault="00304521" w:rsidP="00304521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sz w:val="32"/>
          <w:szCs w:val="32"/>
        </w:rPr>
      </w:pPr>
      <w:r w:rsidRPr="00283CA8">
        <w:rPr>
          <w:rFonts w:ascii="仿宋_GB2312" w:eastAsia="仿宋_GB2312" w:hAnsi="华文仿宋" w:cs="仿宋_GB2312" w:hint="eastAsia"/>
          <w:sz w:val="32"/>
          <w:szCs w:val="32"/>
        </w:rPr>
        <w:lastRenderedPageBreak/>
        <w:t>2020年我局收入64599.84万元，支出</w:t>
      </w:r>
      <w:r w:rsidR="001252C0" w:rsidRPr="00283CA8">
        <w:rPr>
          <w:rFonts w:ascii="仿宋_GB2312" w:eastAsia="仿宋_GB2312" w:hAnsi="华文仿宋" w:cs="仿宋_GB2312" w:hint="eastAsia"/>
          <w:sz w:val="32"/>
          <w:szCs w:val="32"/>
        </w:rPr>
        <w:t>64806.38万元，整体支出率达</w:t>
      </w:r>
      <w:r w:rsidR="00F4618B" w:rsidRPr="00283CA8">
        <w:rPr>
          <w:rFonts w:ascii="仿宋_GB2312" w:eastAsia="仿宋_GB2312" w:hAnsi="华文仿宋" w:cs="仿宋_GB2312" w:hint="eastAsia"/>
          <w:sz w:val="32"/>
          <w:szCs w:val="32"/>
        </w:rPr>
        <w:t>100.32%</w:t>
      </w:r>
      <w:r w:rsidR="008205DF" w:rsidRPr="00283CA8">
        <w:rPr>
          <w:rFonts w:ascii="仿宋_GB2312" w:eastAsia="仿宋_GB2312" w:hAnsi="华文仿宋" w:cs="仿宋_GB2312" w:hint="eastAsia"/>
          <w:sz w:val="32"/>
          <w:szCs w:val="32"/>
        </w:rPr>
        <w:t>。我局支出率达到较高支出水平，主要是因为我局加快资金支出进度，及时制定资金支出计划，不截留，保障专项资金专款专用。</w:t>
      </w:r>
    </w:p>
    <w:p w:rsidR="0066236C" w:rsidRDefault="0066236C">
      <w:pPr>
        <w:widowControl/>
        <w:spacing w:line="600" w:lineRule="exact"/>
        <w:ind w:right="150" w:firstLineChars="201" w:firstLine="643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二、自评工作开展情况</w:t>
      </w:r>
    </w:p>
    <w:p w:rsidR="005D115B" w:rsidRDefault="0066236C" w:rsidP="00F354CE">
      <w:pPr>
        <w:widowControl/>
        <w:spacing w:line="600" w:lineRule="exact"/>
        <w:ind w:right="150" w:firstLineChars="201" w:firstLine="644"/>
        <w:jc w:val="left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（一）评价小组情况。</w:t>
      </w:r>
    </w:p>
    <w:p w:rsidR="00D34ED8" w:rsidRPr="00D34ED8" w:rsidRDefault="000F08ED" w:rsidP="005F614F">
      <w:pPr>
        <w:widowControl/>
        <w:spacing w:line="600" w:lineRule="exact"/>
        <w:ind w:right="150" w:firstLineChars="201" w:firstLine="643"/>
        <w:jc w:val="left"/>
        <w:rPr>
          <w:rFonts w:ascii="仿宋_GB2312" w:eastAsia="仿宋_GB2312" w:hAnsi="华文仿宋" w:cs="仿宋_GB2312" w:hint="eastAsia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为进一步规范财政资金管理，强化财政支出绩效理念，加强部门责任意识，切实提高财政资金使用效益，根据财政部《财政支出绩效评价管理暂行办法》（财预〔2011〕285号）、市财政局《湛江市财政支出绩效评价办法（试行）》（湛财评〔2007〕8号）的要求和工作部署，我局成立了自我绩效评价工作小组，赵刚副局长为组长、赵一方总工程师、彭卫东调研员、王禄瑜二级主任科员为副组长。</w:t>
      </w:r>
    </w:p>
    <w:p w:rsidR="000F08ED" w:rsidRPr="00351738" w:rsidRDefault="0066236C" w:rsidP="00F354CE">
      <w:pPr>
        <w:widowControl/>
        <w:spacing w:line="600" w:lineRule="exact"/>
        <w:ind w:right="150" w:firstLineChars="201" w:firstLine="644"/>
        <w:jc w:val="left"/>
        <w:rPr>
          <w:rFonts w:ascii="楷体_GB2312" w:eastAsia="楷体_GB2312" w:hAnsi="华文仿宋" w:cs="仿宋_GB2312" w:hint="eastAsia"/>
          <w:b/>
          <w:sz w:val="32"/>
          <w:szCs w:val="32"/>
        </w:rPr>
      </w:pPr>
      <w:r w:rsidRPr="00351738">
        <w:rPr>
          <w:rFonts w:ascii="楷体_GB2312" w:eastAsia="楷体_GB2312" w:hAnsi="华文仿宋" w:cs="仿宋_GB2312" w:hint="eastAsia"/>
          <w:b/>
          <w:sz w:val="32"/>
          <w:szCs w:val="32"/>
        </w:rPr>
        <w:t>（二）自评工作过程。</w:t>
      </w:r>
    </w:p>
    <w:p w:rsidR="000F08ED" w:rsidRPr="00212FB2" w:rsidRDefault="00351738" w:rsidP="00212FB2">
      <w:pPr>
        <w:widowControl/>
        <w:spacing w:line="600" w:lineRule="exact"/>
        <w:ind w:right="150" w:firstLineChars="201" w:firstLine="643"/>
        <w:jc w:val="left"/>
        <w:rPr>
          <w:rFonts w:ascii="仿宋_GB2312" w:eastAsia="仿宋_GB2312" w:hAnsi="华文仿宋" w:cs="仿宋_GB2312" w:hint="eastAsia"/>
          <w:sz w:val="32"/>
          <w:szCs w:val="32"/>
        </w:rPr>
      </w:pPr>
      <w:r w:rsidRPr="00351738">
        <w:rPr>
          <w:rFonts w:ascii="仿宋_GB2312" w:eastAsia="仿宋_GB2312" w:hAnsi="华文仿宋" w:cs="仿宋_GB2312" w:hint="eastAsia"/>
          <w:sz w:val="32"/>
          <w:szCs w:val="32"/>
        </w:rPr>
        <w:t>我局</w:t>
      </w:r>
      <w:r w:rsidR="000F08ED" w:rsidRPr="00351738">
        <w:rPr>
          <w:rFonts w:ascii="仿宋_GB2312" w:eastAsia="仿宋_GB2312" w:hAnsi="华文仿宋" w:cs="仿宋_GB2312" w:hint="eastAsia"/>
          <w:sz w:val="32"/>
          <w:szCs w:val="32"/>
        </w:rPr>
        <w:t>收到湛财绩〔2021〕5号文件后，及时布置各下属单位进行部门整体支出绩效评价填报工作，各部门以2020年市财政局批复</w:t>
      </w:r>
      <w:r w:rsidRPr="00351738">
        <w:rPr>
          <w:rFonts w:ascii="仿宋_GB2312" w:eastAsia="仿宋_GB2312" w:hAnsi="华文仿宋" w:cs="仿宋_GB2312" w:hint="eastAsia"/>
          <w:sz w:val="32"/>
          <w:szCs w:val="32"/>
        </w:rPr>
        <w:t>预算为基础，结合2020年部门决算报告进行数据分析及填写，同时要求各下属单位成立绩效评价小组，按照部门整体支出绩效评价文件，结合本单位的实际情况及职能完善相关绩效自评工作。</w:t>
      </w:r>
    </w:p>
    <w:p w:rsidR="007E35D3" w:rsidRDefault="0066236C" w:rsidP="00F354CE">
      <w:pPr>
        <w:widowControl/>
        <w:spacing w:line="600" w:lineRule="exact"/>
        <w:ind w:right="150" w:firstLineChars="201" w:firstLine="644"/>
        <w:jc w:val="left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（三）自评材料报送时间及质量。</w:t>
      </w:r>
    </w:p>
    <w:p w:rsidR="0066236C" w:rsidRPr="007E35D3" w:rsidRDefault="007E35D3" w:rsidP="00881452">
      <w:pPr>
        <w:widowControl/>
        <w:spacing w:line="600" w:lineRule="exact"/>
        <w:ind w:right="150" w:firstLineChars="201" w:firstLine="643"/>
        <w:jc w:val="left"/>
        <w:rPr>
          <w:rFonts w:ascii="仿宋_GB2312" w:eastAsia="仿宋_GB2312" w:hAnsi="宋体" w:cs="仿宋_GB2312" w:hint="eastAsia"/>
          <w:sz w:val="32"/>
          <w:szCs w:val="32"/>
        </w:rPr>
      </w:pPr>
      <w:r w:rsidRPr="007E35D3">
        <w:rPr>
          <w:rFonts w:ascii="仿宋_GB2312" w:eastAsia="仿宋_GB2312" w:hAnsi="宋体" w:cs="仿宋_GB2312" w:hint="eastAsia"/>
          <w:sz w:val="32"/>
          <w:szCs w:val="32"/>
        </w:rPr>
        <w:t>我局按照市财政局相关文件的要求，于6月20日前将装订成册的部门整体支出绩效报告按时报送</w:t>
      </w:r>
      <w:r w:rsidR="0008289B">
        <w:rPr>
          <w:rFonts w:ascii="仿宋_GB2312" w:eastAsia="仿宋_GB2312" w:hAnsi="宋体" w:cs="仿宋_GB2312" w:hint="eastAsia"/>
          <w:sz w:val="32"/>
          <w:szCs w:val="32"/>
        </w:rPr>
        <w:t>到</w:t>
      </w:r>
      <w:r w:rsidRPr="007E35D3">
        <w:rPr>
          <w:rFonts w:ascii="仿宋_GB2312" w:eastAsia="仿宋_GB2312" w:hAnsi="宋体" w:cs="仿宋_GB2312" w:hint="eastAsia"/>
          <w:sz w:val="32"/>
          <w:szCs w:val="32"/>
        </w:rPr>
        <w:t>市财政局相关部门</w:t>
      </w:r>
      <w:r w:rsidR="00881452">
        <w:rPr>
          <w:rFonts w:ascii="仿宋_GB2312" w:eastAsia="仿宋_GB2312" w:hAnsi="宋体" w:cs="仿宋_GB2312" w:hint="eastAsia"/>
          <w:sz w:val="32"/>
          <w:szCs w:val="32"/>
        </w:rPr>
        <w:t>，确</w:t>
      </w:r>
      <w:r w:rsidR="00881452">
        <w:rPr>
          <w:rFonts w:ascii="仿宋_GB2312" w:eastAsia="仿宋_GB2312" w:hAnsi="宋体" w:cs="仿宋_GB2312" w:hint="eastAsia"/>
          <w:sz w:val="32"/>
          <w:szCs w:val="32"/>
        </w:rPr>
        <w:lastRenderedPageBreak/>
        <w:t>保材料真实、完整。我局对所报送自评材料</w:t>
      </w:r>
      <w:r w:rsidR="0066236C" w:rsidRPr="007E35D3">
        <w:rPr>
          <w:rFonts w:ascii="仿宋_GB2312" w:eastAsia="仿宋_GB2312" w:hAnsi="宋体" w:cs="仿宋_GB2312" w:hint="eastAsia"/>
          <w:sz w:val="32"/>
          <w:szCs w:val="32"/>
        </w:rPr>
        <w:t>真实性、完整性、一致性、规范性负责。</w:t>
      </w:r>
    </w:p>
    <w:p w:rsidR="00CA6830" w:rsidRDefault="0066236C" w:rsidP="00F354CE">
      <w:pPr>
        <w:widowControl/>
        <w:spacing w:line="600" w:lineRule="exact"/>
        <w:ind w:right="150" w:firstLineChars="201" w:firstLine="644"/>
        <w:jc w:val="left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（四）自评材料报送及公开一致情况。</w:t>
      </w:r>
    </w:p>
    <w:p w:rsidR="0066236C" w:rsidRDefault="0066236C" w:rsidP="007E35D3">
      <w:pPr>
        <w:widowControl/>
        <w:spacing w:line="600" w:lineRule="exact"/>
        <w:ind w:right="150" w:firstLineChars="201" w:firstLine="643"/>
        <w:jc w:val="left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本单位所报送的自评报告、数据表、评分表与公开的自评报告、数据表、评分表一致。</w:t>
      </w:r>
    </w:p>
    <w:p w:rsidR="0066236C" w:rsidRDefault="0066236C">
      <w:pPr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三、绩效自评情况</w:t>
      </w:r>
    </w:p>
    <w:p w:rsidR="0066236C" w:rsidRDefault="0066236C" w:rsidP="00F354CE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（一）自评结果</w:t>
      </w:r>
      <w:r w:rsidR="00B21F4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</w:p>
    <w:p w:rsidR="00084BA4" w:rsidRDefault="00084BA4" w:rsidP="00084BA4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084BA4">
        <w:rPr>
          <w:rFonts w:ascii="仿宋_GB2312" w:eastAsia="仿宋_GB2312" w:hAnsi="华文仿宋" w:cs="仿宋_GB2312" w:hint="eastAsia"/>
          <w:bCs/>
          <w:sz w:val="32"/>
          <w:szCs w:val="32"/>
        </w:rPr>
        <w:t>2020年我局较好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地</w:t>
      </w:r>
      <w:r w:rsidRPr="00084BA4">
        <w:rPr>
          <w:rFonts w:ascii="仿宋_GB2312" w:eastAsia="仿宋_GB2312" w:hAnsi="华文仿宋" w:cs="仿宋_GB2312" w:hint="eastAsia"/>
          <w:bCs/>
          <w:sz w:val="32"/>
          <w:szCs w:val="32"/>
        </w:rPr>
        <w:t>完成了省、市交办的各项任务，完成了“四好农村路”建设目标，完成了湛江港集装箱吞吐量目标，</w:t>
      </w:r>
      <w:r w:rsidRPr="00D366FA">
        <w:rPr>
          <w:rFonts w:ascii="仿宋_GB2312" w:eastAsia="仿宋_GB2312" w:hAnsi="华文仿宋" w:cs="仿宋_GB2312" w:hint="eastAsia"/>
          <w:bCs/>
          <w:sz w:val="32"/>
          <w:szCs w:val="32"/>
        </w:rPr>
        <w:t>较好地完成了市委、市政府部署的各项工作任务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，绩效自评100分。</w:t>
      </w:r>
    </w:p>
    <w:p w:rsidR="0066236C" w:rsidRPr="0066045F" w:rsidRDefault="0066236C" w:rsidP="00F354CE">
      <w:pPr>
        <w:numPr>
          <w:ilvl w:val="0"/>
          <w:numId w:val="2"/>
        </w:num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部门整体支出绩效指标分析</w:t>
      </w:r>
    </w:p>
    <w:p w:rsidR="0066236C" w:rsidRDefault="0066236C" w:rsidP="00F354CE">
      <w:pPr>
        <w:snapToGrid w:val="0"/>
        <w:spacing w:line="360" w:lineRule="auto"/>
        <w:ind w:firstLineChars="250" w:firstLine="80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1.预算编制情况。</w:t>
      </w:r>
    </w:p>
    <w:p w:rsidR="004527CD" w:rsidRDefault="004527CD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（1）预算编制合理性</w:t>
      </w:r>
      <w:r w:rsidR="00B21F4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。</w:t>
      </w:r>
    </w:p>
    <w:p w:rsidR="0066045F" w:rsidRPr="00041615" w:rsidRDefault="004527CD" w:rsidP="00041615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 w:rsidRPr="00041615">
        <w:rPr>
          <w:rFonts w:ascii="仿宋_GB2312" w:eastAsia="仿宋_GB2312" w:hAnsi="华文仿宋" w:cs="仿宋_GB2312" w:hint="eastAsia"/>
          <w:sz w:val="32"/>
          <w:szCs w:val="32"/>
        </w:rPr>
        <w:t>我局预算编制符合本单位职责、符合市委</w:t>
      </w:r>
      <w:r w:rsidR="00B21F4E">
        <w:rPr>
          <w:rFonts w:ascii="仿宋_GB2312" w:eastAsia="仿宋_GB2312" w:hAnsi="华文仿宋" w:cs="仿宋_GB2312" w:hint="eastAsia"/>
          <w:sz w:val="32"/>
          <w:szCs w:val="32"/>
        </w:rPr>
        <w:t>、</w:t>
      </w:r>
      <w:r w:rsidRPr="00041615">
        <w:rPr>
          <w:rFonts w:ascii="仿宋_GB2312" w:eastAsia="仿宋_GB2312" w:hAnsi="华文仿宋" w:cs="仿宋_GB2312" w:hint="eastAsia"/>
          <w:sz w:val="32"/>
          <w:szCs w:val="32"/>
        </w:rPr>
        <w:t>市政府的方针政策和工作要求，编制项目资金预算能按照轻重缓急原则，结合实际，深入调研，精准测算，编实编细各类项目预算。</w:t>
      </w:r>
    </w:p>
    <w:p w:rsidR="004527CD" w:rsidRDefault="004527CD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（2）预算编制规范性</w:t>
      </w:r>
      <w:r w:rsidR="00B21F4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。</w:t>
      </w:r>
    </w:p>
    <w:p w:rsidR="004527CD" w:rsidRPr="00041615" w:rsidRDefault="004527CD" w:rsidP="00041615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 w:rsidRPr="00041615">
        <w:rPr>
          <w:rFonts w:ascii="仿宋_GB2312" w:eastAsia="仿宋_GB2312" w:hAnsi="华文仿宋" w:cs="仿宋_GB2312" w:hint="eastAsia"/>
          <w:sz w:val="32"/>
          <w:szCs w:val="32"/>
        </w:rPr>
        <w:t>我局预算编制符合市财政局当年有关的预算编制原则，符合</w:t>
      </w:r>
      <w:r w:rsidRPr="00041615">
        <w:rPr>
          <w:rFonts w:ascii="仿宋_GB2312" w:eastAsia="仿宋_GB2312" w:hAnsi="华文仿宋" w:cs="仿宋_GB2312" w:hint="eastAsia"/>
          <w:sz w:val="32"/>
          <w:szCs w:val="32"/>
        </w:rPr>
        <w:lastRenderedPageBreak/>
        <w:t>专项资金预算编制和项目库管理要求，在规范性和细致程度方面符合要求。</w:t>
      </w:r>
    </w:p>
    <w:p w:rsidR="004527CD" w:rsidRDefault="004527CD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（3）预算编制标准性</w:t>
      </w:r>
      <w:r w:rsidR="00B21F4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。</w:t>
      </w:r>
    </w:p>
    <w:p w:rsidR="0066045F" w:rsidRPr="00212FB2" w:rsidRDefault="004527CD" w:rsidP="00212FB2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 w:rsidRPr="00041615">
        <w:rPr>
          <w:rFonts w:ascii="仿宋_GB2312" w:eastAsia="仿宋_GB2312" w:hAnsi="华文仿宋" w:cs="仿宋_GB2312" w:hint="eastAsia"/>
          <w:sz w:val="32"/>
          <w:szCs w:val="32"/>
        </w:rPr>
        <w:t>我局财政拨款收入预决算差异较大。预决算差异率较大的主要因素为年初预算申报的是市一级预算资金，年末决算统计的是我局全年支出，其中包含省级下达项目资金，省级资金不纳入市级财政部门预算，预决算统计口径不一致，导致出现差异。</w:t>
      </w:r>
    </w:p>
    <w:p w:rsidR="0066236C" w:rsidRDefault="0066236C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2.预算执行情况。</w:t>
      </w:r>
    </w:p>
    <w:p w:rsidR="002730C4" w:rsidRPr="00B21F4E" w:rsidRDefault="00257B0C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  <w:r w:rsidRPr="00B21F4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（1）资金管理</w:t>
      </w:r>
      <w:r w:rsidR="00B21F4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。</w:t>
      </w:r>
    </w:p>
    <w:p w:rsidR="007442C7" w:rsidRDefault="007442C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2020年财政预算安排</w:t>
      </w:r>
      <w:r w:rsidR="00B21F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各项项目资金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已</w:t>
      </w:r>
      <w:r w:rsidR="00B21F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按规定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拨付到位，</w:t>
      </w:r>
      <w:r w:rsidR="002E5E5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部门预算</w:t>
      </w:r>
      <w:r w:rsidR="00B21F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</w:t>
      </w:r>
      <w:r w:rsidR="002E5E5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资金支出率达100%</w:t>
      </w:r>
      <w:r w:rsidR="00B57F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7442C7" w:rsidRPr="00B21F4E" w:rsidRDefault="00AE26F5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  <w:r w:rsidRPr="00B21F4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（2）财务合规性</w:t>
      </w:r>
      <w:r w:rsidR="00B21F4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。</w:t>
      </w:r>
    </w:p>
    <w:p w:rsidR="007442C7" w:rsidRDefault="00AE26F5" w:rsidP="00AE26F5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我局资金支出</w:t>
      </w:r>
      <w:r w:rsidR="00471BC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包括基本支出管理、项目支出管理、费用支出均严格按</w:t>
      </w:r>
      <w:r w:rsidR="00B21F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《政府会计制度》和《湛江市交通运输局财务管理规定》以及市财政局相关规章制度执行，并按照“财政拨款支出”和“其他资金支出”、“业务活动费用”和“单位管理费用”等分类进行明细核算。</w:t>
      </w:r>
    </w:p>
    <w:p w:rsidR="00181920" w:rsidRPr="00B21F4E" w:rsidRDefault="00181920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  <w:r w:rsidRPr="00B21F4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lastRenderedPageBreak/>
        <w:t>（3）项目管理</w:t>
      </w:r>
      <w:r w:rsidR="00B21F4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。</w:t>
      </w:r>
    </w:p>
    <w:p w:rsidR="0066236C" w:rsidRPr="00471BC1" w:rsidRDefault="00181920" w:rsidP="00471BC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严格按交通部《农村公路建设管理办法》进行工程管理，按《广东省农村公路建设工程质量监督实施细则》和《广东省农村公路建设工程竣（交）工验收办法》进行质量管理和交（竣）工验收、廉政建设责任制等，严格执行各项规章制度，质量检查、交（竣）工验收及时、规范。</w:t>
      </w:r>
      <w:r w:rsidR="0038360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</w:t>
      </w:r>
    </w:p>
    <w:p w:rsidR="0066236C" w:rsidRDefault="0066236C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3.预算监督情况。</w:t>
      </w:r>
    </w:p>
    <w:p w:rsidR="008A694C" w:rsidRDefault="003E76AB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（1）保障资金高效使用</w:t>
      </w:r>
      <w:r w:rsidR="00B21F4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。</w:t>
      </w:r>
    </w:p>
    <w:p w:rsidR="003E76AB" w:rsidRPr="003E76AB" w:rsidRDefault="003E76AB" w:rsidP="00084BA4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3E76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切实承担起预算执行的主体责任，采取有效措施确保上级资金高效使用。在资金下达前，相关业务科室及时了解项目的安排计划、资金安排意向、使用用途及投入方向等，提前做好项目储备。在资金下达后，根据任务清单，对照我市经济社会发展需求，及时遴选出最切合条件的项目，切实做好资金与项目衔接，并采取切实有效的办法加快支出进度。</w:t>
      </w:r>
    </w:p>
    <w:p w:rsidR="003E76AB" w:rsidRPr="003E76AB" w:rsidRDefault="003E76AB" w:rsidP="00084BA4">
      <w:pPr>
        <w:snapToGrid w:val="0"/>
        <w:spacing w:line="360" w:lineRule="auto"/>
        <w:ind w:firstLineChars="150" w:firstLine="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3E76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预算执行过程中，我局相关业务科室主动做好动态监管，对使用投入偏离预设方向的</w:t>
      </w:r>
      <w:r w:rsidR="00084B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Pr="003E76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用款进度慢的</w:t>
      </w:r>
      <w:r w:rsidR="00084B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资金</w:t>
      </w:r>
      <w:r w:rsidRPr="003E76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，及时进行干预、处理和纠正。在项目完成后，对照约束性任务、验收标准等要求，</w:t>
      </w:r>
      <w:r w:rsidRPr="003E76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主动向省交通运输厅办理项目验收手续。通过约束性任务验收后有结余的资金的，统筹用于专项内指导任务项目，统筹后仍有结余的按省、市相关规定办理。</w:t>
      </w:r>
    </w:p>
    <w:p w:rsidR="003E76AB" w:rsidRDefault="003E76AB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（2）完善存量资金盘活机制。</w:t>
      </w:r>
    </w:p>
    <w:p w:rsidR="003E76AB" w:rsidRPr="003E76AB" w:rsidRDefault="003E76AB" w:rsidP="003E76AB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3E76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由于项目因不具备实施条件，无法在年底前实际支出的，或项目已完成，存在资金结余，造成资金沉淀的，我局汇总统计后报市财政局，避免造成资金浪费的现象。</w:t>
      </w:r>
    </w:p>
    <w:p w:rsidR="0066236C" w:rsidRPr="001D762F" w:rsidRDefault="0066236C" w:rsidP="00F354C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4.预算使用效益。</w:t>
      </w:r>
    </w:p>
    <w:p w:rsidR="001D762F" w:rsidRPr="00B21F4E" w:rsidRDefault="001D762F" w:rsidP="00F354CE">
      <w:pPr>
        <w:snapToGrid w:val="0"/>
        <w:spacing w:line="360" w:lineRule="auto"/>
        <w:ind w:firstLineChars="150" w:firstLine="480"/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  <w:r w:rsidRPr="00B21F4E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（1）重点工作完成情况</w:t>
      </w:r>
      <w:r w:rsidR="00B21F4E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。</w:t>
      </w:r>
    </w:p>
    <w:p w:rsidR="001D762F" w:rsidRDefault="001D762F" w:rsidP="00B21F4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2020年“四好农村路”攻坚任务已100%完成年度绩效目标，县道升级改造完成项目年度绩效总目标的84.9%、乡道升级改造完成项目年度绩效总目标的97.8%。</w:t>
      </w:r>
    </w:p>
    <w:p w:rsidR="005F614F" w:rsidRDefault="005F614F" w:rsidP="00B21F4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F614F">
        <w:rPr>
          <w:rFonts w:ascii="仿宋_GB2312" w:eastAsia="仿宋_GB2312" w:hAnsi="华文仿宋" w:cs="仿宋_GB2312" w:hint="eastAsia"/>
          <w:sz w:val="32"/>
          <w:szCs w:val="32"/>
        </w:rPr>
        <w:t>2020年完成集装箱吞吐量122万TEU，完成率达100%，达到了既定的绩效目标</w:t>
      </w:r>
      <w:r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:rsidR="0066236C" w:rsidRPr="00B21F4E" w:rsidRDefault="001D762F" w:rsidP="00F354CE">
      <w:pPr>
        <w:snapToGrid w:val="0"/>
        <w:spacing w:line="360" w:lineRule="auto"/>
        <w:ind w:firstLineChars="150" w:firstLine="480"/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  <w:r w:rsidRPr="00B21F4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（2）</w:t>
      </w:r>
      <w:r w:rsidR="0066236C" w:rsidRPr="00B21F4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部门重点项目支出绩效情况。</w:t>
      </w:r>
    </w:p>
    <w:p w:rsidR="00A25851" w:rsidRDefault="001D762F" w:rsidP="004B45A8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2020年“四好农村路”建设</w:t>
      </w:r>
      <w:r w:rsidR="00A2585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对改善农村公路通行能力、完善农村公路网络</w:t>
      </w:r>
      <w:r w:rsidR="009E11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、改善农村公路交通安全出行条件、推动农村经济发</w:t>
      </w:r>
      <w:r w:rsidR="009E11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展等起到十分显著的作用。</w:t>
      </w:r>
    </w:p>
    <w:p w:rsidR="0066236C" w:rsidRDefault="0066236C" w:rsidP="00F354CE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（三）部门整体支出绩效管理存在问题</w:t>
      </w:r>
      <w:r w:rsidR="00B21F4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</w:p>
    <w:p w:rsidR="009E11D3" w:rsidRPr="006939B3" w:rsidRDefault="006939B3" w:rsidP="006939B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939B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项目建设资金落实不到位，导致项目无法推动，无法产生相应绩效。</w:t>
      </w:r>
      <w:r w:rsidR="00185FE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部分项目市级、</w:t>
      </w:r>
      <w:r w:rsidRPr="006939B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县</w:t>
      </w:r>
      <w:r w:rsidR="00185FE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（市、区）</w:t>
      </w:r>
      <w:r w:rsidRPr="006939B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级配套资金落实困难，</w:t>
      </w:r>
      <w:r w:rsidR="00084B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项目无法推动。</w:t>
      </w:r>
    </w:p>
    <w:p w:rsidR="0066236C" w:rsidRDefault="0066236C" w:rsidP="00F354CE">
      <w:pPr>
        <w:snapToGrid w:val="0"/>
        <w:spacing w:line="360" w:lineRule="auto"/>
        <w:ind w:firstLineChars="250" w:firstLine="80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(四）</w:t>
      </w:r>
      <w:r w:rsidR="006939B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下一步工作计划</w:t>
      </w:r>
      <w:r w:rsidR="00B21F4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</w:p>
    <w:p w:rsidR="006939B3" w:rsidRPr="006939B3" w:rsidRDefault="006939B3" w:rsidP="006939B3">
      <w:pPr>
        <w:snapToGrid w:val="0"/>
        <w:spacing w:line="360" w:lineRule="auto"/>
        <w:ind w:firstLineChars="250" w:firstLine="80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939B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我市将进一步加强农村公路升级改造，深化农村公路管理养护体制改革，逐步推动农村公路养护市场化，加强农村公路高质量运营服务管理，促进农村公路“建、管、护、运营”可协调发展。</w:t>
      </w:r>
    </w:p>
    <w:p w:rsidR="0066236C" w:rsidRDefault="0066236C">
      <w:pPr>
        <w:snapToGrid w:val="0"/>
        <w:spacing w:line="360" w:lineRule="auto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</w:p>
    <w:sectPr w:rsidR="0066236C">
      <w:headerReference w:type="default" r:id="rId7"/>
      <w:footerReference w:type="even" r:id="rId8"/>
      <w:footerReference w:type="default" r:id="rId9"/>
      <w:pgSz w:w="11906" w:h="16838"/>
      <w:pgMar w:top="1440" w:right="146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38" w:rsidRDefault="002E1538">
      <w:r>
        <w:separator/>
      </w:r>
    </w:p>
  </w:endnote>
  <w:endnote w:type="continuationSeparator" w:id="1">
    <w:p w:rsidR="002E1538" w:rsidRDefault="002E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6C" w:rsidRDefault="0066236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6236C" w:rsidRDefault="006623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6C" w:rsidRDefault="0066236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85FE7">
      <w:rPr>
        <w:rStyle w:val="a4"/>
        <w:noProof/>
      </w:rPr>
      <w:t>3</w:t>
    </w:r>
    <w:r>
      <w:fldChar w:fldCharType="end"/>
    </w:r>
  </w:p>
  <w:p w:rsidR="0066236C" w:rsidRDefault="006623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38" w:rsidRDefault="002E1538">
      <w:r>
        <w:separator/>
      </w:r>
    </w:p>
  </w:footnote>
  <w:footnote w:type="continuationSeparator" w:id="1">
    <w:p w:rsidR="002E1538" w:rsidRDefault="002E1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6C" w:rsidRDefault="006623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4C76"/>
    <w:multiLevelType w:val="singleLevel"/>
    <w:tmpl w:val="5F154C7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F17B0AA"/>
    <w:multiLevelType w:val="singleLevel"/>
    <w:tmpl w:val="5F17B0AA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F17F4B7"/>
    <w:multiLevelType w:val="singleLevel"/>
    <w:tmpl w:val="5F17F4B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2D6"/>
    <w:rsid w:val="0001507D"/>
    <w:rsid w:val="00032E98"/>
    <w:rsid w:val="00041615"/>
    <w:rsid w:val="0008289B"/>
    <w:rsid w:val="00084BA4"/>
    <w:rsid w:val="000F08ED"/>
    <w:rsid w:val="000F255C"/>
    <w:rsid w:val="00101E4F"/>
    <w:rsid w:val="001252C0"/>
    <w:rsid w:val="001376C7"/>
    <w:rsid w:val="001402D6"/>
    <w:rsid w:val="00145063"/>
    <w:rsid w:val="00147DDE"/>
    <w:rsid w:val="001636B0"/>
    <w:rsid w:val="00176000"/>
    <w:rsid w:val="00180204"/>
    <w:rsid w:val="00181920"/>
    <w:rsid w:val="00185FE7"/>
    <w:rsid w:val="0019444C"/>
    <w:rsid w:val="001B6DC7"/>
    <w:rsid w:val="001D4214"/>
    <w:rsid w:val="001D762F"/>
    <w:rsid w:val="00201C7B"/>
    <w:rsid w:val="00212FB2"/>
    <w:rsid w:val="00243EA2"/>
    <w:rsid w:val="00257B0C"/>
    <w:rsid w:val="002730C4"/>
    <w:rsid w:val="00276D24"/>
    <w:rsid w:val="00283CA8"/>
    <w:rsid w:val="00291615"/>
    <w:rsid w:val="00293A11"/>
    <w:rsid w:val="002A0FE2"/>
    <w:rsid w:val="002B1622"/>
    <w:rsid w:val="002B46DA"/>
    <w:rsid w:val="002E1538"/>
    <w:rsid w:val="002E1630"/>
    <w:rsid w:val="002E2F0B"/>
    <w:rsid w:val="002E5E5B"/>
    <w:rsid w:val="00304521"/>
    <w:rsid w:val="00307AFF"/>
    <w:rsid w:val="003313FC"/>
    <w:rsid w:val="00351738"/>
    <w:rsid w:val="00352BCD"/>
    <w:rsid w:val="00361CA1"/>
    <w:rsid w:val="00375B6E"/>
    <w:rsid w:val="003770CB"/>
    <w:rsid w:val="0038360B"/>
    <w:rsid w:val="003846EC"/>
    <w:rsid w:val="00387217"/>
    <w:rsid w:val="003C04A5"/>
    <w:rsid w:val="003D40B5"/>
    <w:rsid w:val="003E717A"/>
    <w:rsid w:val="003E76AB"/>
    <w:rsid w:val="00402816"/>
    <w:rsid w:val="004527CD"/>
    <w:rsid w:val="0045343B"/>
    <w:rsid w:val="0045589E"/>
    <w:rsid w:val="00471BC1"/>
    <w:rsid w:val="004A7A4B"/>
    <w:rsid w:val="004A7B09"/>
    <w:rsid w:val="004B45A8"/>
    <w:rsid w:val="004C3AAF"/>
    <w:rsid w:val="004F795B"/>
    <w:rsid w:val="00540DE0"/>
    <w:rsid w:val="00547D63"/>
    <w:rsid w:val="005564B7"/>
    <w:rsid w:val="00571889"/>
    <w:rsid w:val="00586265"/>
    <w:rsid w:val="005D01D6"/>
    <w:rsid w:val="005D0BC0"/>
    <w:rsid w:val="005D115B"/>
    <w:rsid w:val="005E4294"/>
    <w:rsid w:val="005E7007"/>
    <w:rsid w:val="005F614F"/>
    <w:rsid w:val="0060315F"/>
    <w:rsid w:val="0063784C"/>
    <w:rsid w:val="0066045F"/>
    <w:rsid w:val="0066236C"/>
    <w:rsid w:val="0067411A"/>
    <w:rsid w:val="006939B3"/>
    <w:rsid w:val="006B7F49"/>
    <w:rsid w:val="006C2B4E"/>
    <w:rsid w:val="006C3324"/>
    <w:rsid w:val="006D6BB3"/>
    <w:rsid w:val="006F1D98"/>
    <w:rsid w:val="0071730A"/>
    <w:rsid w:val="0074195E"/>
    <w:rsid w:val="007442C7"/>
    <w:rsid w:val="00784CD1"/>
    <w:rsid w:val="00786C08"/>
    <w:rsid w:val="00787DF0"/>
    <w:rsid w:val="00791F6D"/>
    <w:rsid w:val="007C0B64"/>
    <w:rsid w:val="007E35D3"/>
    <w:rsid w:val="007F00BC"/>
    <w:rsid w:val="00800863"/>
    <w:rsid w:val="00804EF7"/>
    <w:rsid w:val="008205DF"/>
    <w:rsid w:val="00866B6E"/>
    <w:rsid w:val="00871251"/>
    <w:rsid w:val="00881452"/>
    <w:rsid w:val="008A694C"/>
    <w:rsid w:val="008B0155"/>
    <w:rsid w:val="008D2722"/>
    <w:rsid w:val="008F442C"/>
    <w:rsid w:val="00936CEC"/>
    <w:rsid w:val="0095548E"/>
    <w:rsid w:val="0096054F"/>
    <w:rsid w:val="00985999"/>
    <w:rsid w:val="00986458"/>
    <w:rsid w:val="009E11D3"/>
    <w:rsid w:val="009E1A03"/>
    <w:rsid w:val="009F5B84"/>
    <w:rsid w:val="00A037C7"/>
    <w:rsid w:val="00A03B2B"/>
    <w:rsid w:val="00A25851"/>
    <w:rsid w:val="00A2629B"/>
    <w:rsid w:val="00A44647"/>
    <w:rsid w:val="00A64E36"/>
    <w:rsid w:val="00AC752C"/>
    <w:rsid w:val="00AE26F5"/>
    <w:rsid w:val="00AF1E9F"/>
    <w:rsid w:val="00B14D4E"/>
    <w:rsid w:val="00B1627C"/>
    <w:rsid w:val="00B21F4E"/>
    <w:rsid w:val="00B31966"/>
    <w:rsid w:val="00B46B05"/>
    <w:rsid w:val="00B57FF4"/>
    <w:rsid w:val="00B6783B"/>
    <w:rsid w:val="00B7410F"/>
    <w:rsid w:val="00B74794"/>
    <w:rsid w:val="00B86B48"/>
    <w:rsid w:val="00B914E3"/>
    <w:rsid w:val="00BB077C"/>
    <w:rsid w:val="00BF68A5"/>
    <w:rsid w:val="00C1202D"/>
    <w:rsid w:val="00C139BE"/>
    <w:rsid w:val="00C13F25"/>
    <w:rsid w:val="00C273B1"/>
    <w:rsid w:val="00C3478F"/>
    <w:rsid w:val="00C5674B"/>
    <w:rsid w:val="00C70A4F"/>
    <w:rsid w:val="00C91DBA"/>
    <w:rsid w:val="00CA1CC1"/>
    <w:rsid w:val="00CA6830"/>
    <w:rsid w:val="00CA7F7F"/>
    <w:rsid w:val="00D0058B"/>
    <w:rsid w:val="00D11A42"/>
    <w:rsid w:val="00D131F7"/>
    <w:rsid w:val="00D34ED8"/>
    <w:rsid w:val="00D366FA"/>
    <w:rsid w:val="00D401FD"/>
    <w:rsid w:val="00D464FF"/>
    <w:rsid w:val="00D55E3E"/>
    <w:rsid w:val="00D63742"/>
    <w:rsid w:val="00DA463F"/>
    <w:rsid w:val="00DC4261"/>
    <w:rsid w:val="00E3751E"/>
    <w:rsid w:val="00E5503D"/>
    <w:rsid w:val="00EA57D1"/>
    <w:rsid w:val="00EA70BD"/>
    <w:rsid w:val="00EB5986"/>
    <w:rsid w:val="00F10D6E"/>
    <w:rsid w:val="00F11ADA"/>
    <w:rsid w:val="00F354CE"/>
    <w:rsid w:val="00F370FC"/>
    <w:rsid w:val="00F4477B"/>
    <w:rsid w:val="00F4618B"/>
    <w:rsid w:val="00F542A2"/>
    <w:rsid w:val="00F659E2"/>
    <w:rsid w:val="01365434"/>
    <w:rsid w:val="04271BEC"/>
    <w:rsid w:val="055006E2"/>
    <w:rsid w:val="0F080027"/>
    <w:rsid w:val="10602149"/>
    <w:rsid w:val="10911C6F"/>
    <w:rsid w:val="12566C54"/>
    <w:rsid w:val="13E67F6B"/>
    <w:rsid w:val="16427FAB"/>
    <w:rsid w:val="18CA137A"/>
    <w:rsid w:val="1DAF568F"/>
    <w:rsid w:val="1EBD20DC"/>
    <w:rsid w:val="1F871382"/>
    <w:rsid w:val="1FC51581"/>
    <w:rsid w:val="21F30B30"/>
    <w:rsid w:val="26032B20"/>
    <w:rsid w:val="277F4996"/>
    <w:rsid w:val="2868580D"/>
    <w:rsid w:val="29C91057"/>
    <w:rsid w:val="2BEF654B"/>
    <w:rsid w:val="2D182F9D"/>
    <w:rsid w:val="2D740F73"/>
    <w:rsid w:val="2D866BFD"/>
    <w:rsid w:val="2DA64227"/>
    <w:rsid w:val="2EE5593C"/>
    <w:rsid w:val="2F62401A"/>
    <w:rsid w:val="31BB04A8"/>
    <w:rsid w:val="326D6D02"/>
    <w:rsid w:val="34033E90"/>
    <w:rsid w:val="34C90E11"/>
    <w:rsid w:val="35657256"/>
    <w:rsid w:val="3A9B75B2"/>
    <w:rsid w:val="3ED91501"/>
    <w:rsid w:val="400C5F25"/>
    <w:rsid w:val="40733178"/>
    <w:rsid w:val="42237F3B"/>
    <w:rsid w:val="437C6815"/>
    <w:rsid w:val="4585492C"/>
    <w:rsid w:val="4D0C0380"/>
    <w:rsid w:val="546168B5"/>
    <w:rsid w:val="5A4F07FA"/>
    <w:rsid w:val="5C570DE0"/>
    <w:rsid w:val="5CB84849"/>
    <w:rsid w:val="62FA05A7"/>
    <w:rsid w:val="63123210"/>
    <w:rsid w:val="650E5514"/>
    <w:rsid w:val="6C4B0061"/>
    <w:rsid w:val="6C847500"/>
    <w:rsid w:val="6D401F86"/>
    <w:rsid w:val="6E235FCD"/>
    <w:rsid w:val="70C450CA"/>
    <w:rsid w:val="70F91EFE"/>
    <w:rsid w:val="78B8444A"/>
    <w:rsid w:val="799822DA"/>
    <w:rsid w:val="7A69370D"/>
    <w:rsid w:val="7E6F3AB7"/>
    <w:rsid w:val="7F70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594</Words>
  <Characters>3388</Characters>
  <Application>Microsoft Office Word</Application>
  <DocSecurity>0</DocSecurity>
  <Lines>28</Lines>
  <Paragraphs>7</Paragraphs>
  <ScaleCrop>false</ScaleCrop>
  <Company>http:/sdwm.org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</dc:creator>
  <cp:lastModifiedBy>陈谨恕</cp:lastModifiedBy>
  <cp:revision>2</cp:revision>
  <cp:lastPrinted>2021-06-18T02:42:00Z</cp:lastPrinted>
  <dcterms:created xsi:type="dcterms:W3CDTF">2021-06-21T01:10:00Z</dcterms:created>
  <dcterms:modified xsi:type="dcterms:W3CDTF">2021-06-21T01:10:00Z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