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湛江市残疾人联合会202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年“三公”经费安排情况</w:t>
      </w:r>
    </w:p>
    <w:p>
      <w:pPr>
        <w:numPr>
          <w:numId w:val="0"/>
        </w:numPr>
        <w:rPr>
          <w:rFonts w:hint="eastAsia" w:ascii="黑体" w:hAnsi="黑体" w:eastAsia="黑体" w:cs="黑体"/>
          <w:sz w:val="32"/>
          <w:szCs w:val="32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“三公”经费安排情况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bookmarkStart w:id="0" w:name="PO_part3A2Year1"/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bookmarkEnd w:id="0"/>
      <w:r>
        <w:rPr>
          <w:rFonts w:hint="eastAsia" w:ascii="仿宋" w:hAnsi="仿宋" w:eastAsia="仿宋" w:cs="仿宋"/>
          <w:sz w:val="32"/>
          <w:szCs w:val="32"/>
        </w:rPr>
        <w:t>年本部门财政拨款安排“三公”经费</w:t>
      </w:r>
      <w:bookmarkStart w:id="1" w:name="PO_part3A2Amount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28.12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bookmarkEnd w:id="1"/>
      <w:r>
        <w:rPr>
          <w:rFonts w:hint="eastAsia" w:ascii="仿宋" w:hAnsi="仿宋" w:eastAsia="仿宋" w:cs="仿宋"/>
          <w:sz w:val="32"/>
          <w:szCs w:val="32"/>
        </w:rPr>
        <w:t>万元，比上年</w:t>
      </w:r>
      <w:bookmarkStart w:id="2" w:name="PO_part3A2IncAmount1"/>
      <w:r>
        <w:rPr>
          <w:rFonts w:hint="eastAsia" w:ascii="仿宋" w:hAnsi="仿宋" w:eastAsia="仿宋" w:cs="仿宋"/>
          <w:sz w:val="32"/>
          <w:szCs w:val="32"/>
        </w:rPr>
        <w:t>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1.60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bookmarkEnd w:id="2"/>
      <w:r>
        <w:rPr>
          <w:rFonts w:hint="eastAsia" w:ascii="仿宋" w:hAnsi="仿宋" w:eastAsia="仿宋" w:cs="仿宋"/>
          <w:sz w:val="32"/>
          <w:szCs w:val="32"/>
        </w:rPr>
        <w:t>万元，</w:t>
      </w:r>
      <w:bookmarkStart w:id="3" w:name="PO_part3A2IncPercent1"/>
      <w:r>
        <w:rPr>
          <w:rFonts w:hint="eastAsia" w:ascii="仿宋" w:hAnsi="仿宋" w:eastAsia="仿宋" w:cs="仿宋"/>
          <w:sz w:val="32"/>
          <w:szCs w:val="32"/>
        </w:rPr>
        <w:t>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6.03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bookmarkEnd w:id="3"/>
      <w:r>
        <w:rPr>
          <w:rFonts w:hint="eastAsia" w:ascii="仿宋" w:hAnsi="仿宋" w:eastAsia="仿宋" w:cs="仿宋"/>
          <w:sz w:val="32"/>
          <w:szCs w:val="32"/>
        </w:rPr>
        <w:t>%，主要原因是</w:t>
      </w:r>
      <w:bookmarkStart w:id="4" w:name="PO_part3A2IncReason1"/>
      <w:r>
        <w:rPr>
          <w:rFonts w:hint="eastAsia" w:ascii="仿宋" w:hAnsi="仿宋" w:eastAsia="仿宋" w:cs="仿宋"/>
          <w:sz w:val="32"/>
          <w:szCs w:val="32"/>
          <w:lang w:eastAsia="zh-CN"/>
        </w:rPr>
        <w:t>与上年比较公务接待费增加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bookmarkEnd w:id="4"/>
      <w:r>
        <w:rPr>
          <w:rFonts w:hint="eastAsia" w:ascii="仿宋" w:hAnsi="仿宋" w:eastAsia="仿宋" w:cs="仿宋"/>
          <w:sz w:val="32"/>
          <w:szCs w:val="32"/>
        </w:rPr>
        <w:t>。其中：因公出国（境）费</w:t>
      </w:r>
      <w:bookmarkStart w:id="5" w:name="PO_part3A2Amount2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0.00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bookmarkEnd w:id="5"/>
      <w:r>
        <w:rPr>
          <w:rFonts w:hint="eastAsia" w:ascii="仿宋" w:hAnsi="仿宋" w:eastAsia="仿宋" w:cs="仿宋"/>
          <w:sz w:val="32"/>
          <w:szCs w:val="32"/>
        </w:rPr>
        <w:t>万元，比上年</w:t>
      </w:r>
      <w:bookmarkStart w:id="6" w:name="PO_part3A2IncAmount2"/>
      <w:r>
        <w:rPr>
          <w:rFonts w:hint="eastAsia" w:ascii="仿宋" w:hAnsi="仿宋" w:eastAsia="仿宋" w:cs="仿宋"/>
          <w:sz w:val="32"/>
          <w:szCs w:val="32"/>
        </w:rPr>
        <w:t>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0.00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bookmarkEnd w:id="6"/>
      <w:r>
        <w:rPr>
          <w:rFonts w:hint="eastAsia" w:ascii="仿宋" w:hAnsi="仿宋" w:eastAsia="仿宋" w:cs="仿宋"/>
          <w:sz w:val="32"/>
          <w:szCs w:val="32"/>
        </w:rPr>
        <w:t>万元，</w:t>
      </w:r>
      <w:bookmarkStart w:id="7" w:name="PO_part3A2IncPercent2"/>
      <w:r>
        <w:rPr>
          <w:rFonts w:hint="eastAsia" w:ascii="仿宋" w:hAnsi="仿宋" w:eastAsia="仿宋" w:cs="仿宋"/>
          <w:sz w:val="32"/>
          <w:szCs w:val="32"/>
        </w:rPr>
        <w:t>下降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0.00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bookmarkEnd w:id="7"/>
      <w:r>
        <w:rPr>
          <w:rFonts w:hint="eastAsia" w:ascii="仿宋" w:hAnsi="仿宋" w:eastAsia="仿宋" w:cs="仿宋"/>
          <w:sz w:val="32"/>
          <w:szCs w:val="32"/>
        </w:rPr>
        <w:t>%，主要原因是</w:t>
      </w:r>
      <w:bookmarkStart w:id="8" w:name="PO_part3A2IncReason2"/>
      <w:r>
        <w:rPr>
          <w:rFonts w:hint="eastAsia" w:ascii="仿宋" w:hAnsi="仿宋" w:eastAsia="仿宋" w:cs="仿宋"/>
          <w:sz w:val="32"/>
          <w:szCs w:val="32"/>
        </w:rPr>
        <w:t xml:space="preserve">与上年持平，无增减变化 </w:t>
      </w:r>
      <w:bookmarkEnd w:id="8"/>
      <w:r>
        <w:rPr>
          <w:rFonts w:hint="eastAsia" w:ascii="仿宋" w:hAnsi="仿宋" w:eastAsia="仿宋" w:cs="仿宋"/>
          <w:sz w:val="32"/>
          <w:szCs w:val="32"/>
        </w:rPr>
        <w:t>；公务用车购置及运行费</w:t>
      </w:r>
      <w:bookmarkStart w:id="9" w:name="PO_part3A2Amount3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23.12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bookmarkEnd w:id="9"/>
      <w:r>
        <w:rPr>
          <w:rFonts w:hint="eastAsia" w:ascii="仿宋" w:hAnsi="仿宋" w:eastAsia="仿宋" w:cs="仿宋"/>
          <w:sz w:val="32"/>
          <w:szCs w:val="32"/>
        </w:rPr>
        <w:t>万元（公务用车购置费</w:t>
      </w:r>
      <w:bookmarkStart w:id="10" w:name="PO_part3A2Amount4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0.00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bookmarkEnd w:id="10"/>
      <w:r>
        <w:rPr>
          <w:rFonts w:hint="eastAsia" w:ascii="仿宋" w:hAnsi="仿宋" w:eastAsia="仿宋" w:cs="仿宋"/>
          <w:sz w:val="32"/>
          <w:szCs w:val="32"/>
        </w:rPr>
        <w:t>万元，公务用车运行维护费</w:t>
      </w:r>
      <w:bookmarkStart w:id="11" w:name="PO_part3A2Amount5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23.12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bookmarkEnd w:id="11"/>
      <w:r>
        <w:rPr>
          <w:rFonts w:hint="eastAsia" w:ascii="仿宋" w:hAnsi="仿宋" w:eastAsia="仿宋" w:cs="仿宋"/>
          <w:sz w:val="32"/>
          <w:szCs w:val="32"/>
        </w:rPr>
        <w:t>万元），比上年</w:t>
      </w:r>
      <w:bookmarkStart w:id="12" w:name="PO_part3A2IncAmount3"/>
      <w:r>
        <w:rPr>
          <w:rFonts w:hint="eastAsia" w:ascii="仿宋" w:hAnsi="仿宋" w:eastAsia="仿宋" w:cs="仿宋"/>
          <w:sz w:val="32"/>
          <w:szCs w:val="32"/>
        </w:rPr>
        <w:t>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0.00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bookmarkEnd w:id="12"/>
      <w:r>
        <w:rPr>
          <w:rFonts w:hint="eastAsia" w:ascii="仿宋" w:hAnsi="仿宋" w:eastAsia="仿宋" w:cs="仿宋"/>
          <w:sz w:val="32"/>
          <w:szCs w:val="32"/>
        </w:rPr>
        <w:t>万元，</w:t>
      </w:r>
      <w:bookmarkStart w:id="13" w:name="PO_part3A2IncPercent3"/>
      <w:r>
        <w:rPr>
          <w:rFonts w:hint="eastAsia" w:ascii="仿宋" w:hAnsi="仿宋" w:eastAsia="仿宋" w:cs="仿宋"/>
          <w:sz w:val="32"/>
          <w:szCs w:val="32"/>
        </w:rPr>
        <w:t>下降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0.00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bookmarkEnd w:id="13"/>
      <w:r>
        <w:rPr>
          <w:rFonts w:hint="eastAsia" w:ascii="仿宋" w:hAnsi="仿宋" w:eastAsia="仿宋" w:cs="仿宋"/>
          <w:sz w:val="32"/>
          <w:szCs w:val="32"/>
        </w:rPr>
        <w:t>%，主要原因是</w:t>
      </w:r>
      <w:bookmarkStart w:id="14" w:name="PO_part3A2IncReason3"/>
      <w:r>
        <w:rPr>
          <w:rFonts w:hint="eastAsia" w:ascii="仿宋" w:hAnsi="仿宋" w:eastAsia="仿宋" w:cs="仿宋"/>
          <w:sz w:val="32"/>
          <w:szCs w:val="32"/>
        </w:rPr>
        <w:t xml:space="preserve">与上年持平，无增减变化 </w:t>
      </w:r>
      <w:bookmarkEnd w:id="14"/>
      <w:r>
        <w:rPr>
          <w:rFonts w:hint="eastAsia" w:ascii="仿宋" w:hAnsi="仿宋" w:eastAsia="仿宋" w:cs="仿宋"/>
          <w:sz w:val="32"/>
          <w:szCs w:val="32"/>
        </w:rPr>
        <w:t>；公务接待费</w:t>
      </w:r>
      <w:bookmarkStart w:id="15" w:name="PO_part3A2Amount6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5.00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bookmarkEnd w:id="15"/>
      <w:r>
        <w:rPr>
          <w:rFonts w:hint="eastAsia" w:ascii="仿宋" w:hAnsi="仿宋" w:eastAsia="仿宋" w:cs="仿宋"/>
          <w:sz w:val="32"/>
          <w:szCs w:val="32"/>
        </w:rPr>
        <w:t>万元，比上年</w:t>
      </w:r>
      <w:bookmarkStart w:id="16" w:name="PO_part3A2IncAmount4"/>
      <w:r>
        <w:rPr>
          <w:rFonts w:hint="eastAsia" w:ascii="仿宋" w:hAnsi="仿宋" w:eastAsia="仿宋" w:cs="仿宋"/>
          <w:sz w:val="32"/>
          <w:szCs w:val="32"/>
        </w:rPr>
        <w:t>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1.60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bookmarkEnd w:id="16"/>
      <w:r>
        <w:rPr>
          <w:rFonts w:hint="eastAsia" w:ascii="仿宋" w:hAnsi="仿宋" w:eastAsia="仿宋" w:cs="仿宋"/>
          <w:sz w:val="32"/>
          <w:szCs w:val="32"/>
        </w:rPr>
        <w:t>万元，</w:t>
      </w:r>
      <w:bookmarkStart w:id="17" w:name="PO_part3A2IncPercent4"/>
      <w:r>
        <w:rPr>
          <w:rFonts w:hint="eastAsia" w:ascii="仿宋" w:hAnsi="仿宋" w:eastAsia="仿宋" w:cs="仿宋"/>
          <w:sz w:val="32"/>
          <w:szCs w:val="32"/>
        </w:rPr>
        <w:t>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47.06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bookmarkEnd w:id="17"/>
      <w:r>
        <w:rPr>
          <w:rFonts w:hint="eastAsia" w:ascii="仿宋" w:hAnsi="仿宋" w:eastAsia="仿宋" w:cs="仿宋"/>
          <w:sz w:val="32"/>
          <w:szCs w:val="32"/>
        </w:rPr>
        <w:t>%，主要原因是</w:t>
      </w:r>
      <w:bookmarkStart w:id="18" w:name="PO_part3A2IncReason4"/>
      <w:r>
        <w:rPr>
          <w:rFonts w:hint="eastAsia" w:ascii="仿宋" w:hAnsi="仿宋" w:eastAsia="仿宋" w:cs="仿宋"/>
          <w:sz w:val="32"/>
          <w:szCs w:val="32"/>
          <w:lang w:eastAsia="zh-CN"/>
        </w:rPr>
        <w:t>上年基数较小，与上年比较公务接待费增加</w:t>
      </w:r>
      <w:bookmarkEnd w:id="18"/>
      <w:r>
        <w:rPr>
          <w:rFonts w:hint="eastAsia" w:ascii="仿宋" w:hAnsi="仿宋" w:eastAsia="仿宋" w:cs="仿宋"/>
          <w:sz w:val="32"/>
          <w:szCs w:val="32"/>
        </w:rPr>
        <w:t>。</w:t>
      </w:r>
    </w:p>
    <w:p/>
    <w:p>
      <w:bookmarkStart w:id="22" w:name="_GoBack"/>
      <w:bookmarkEnd w:id="22"/>
    </w:p>
    <w:p/>
    <w:p>
      <w:pPr>
        <w:rPr>
          <w:rFonts w:hint="eastAsia"/>
        </w:rPr>
      </w:pPr>
      <w:bookmarkStart w:id="19" w:name="PO_part2Table8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表7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2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湛江市残疾人联合会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20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47.61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47.61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28.12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28.12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23.12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23.12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23.12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bookmarkEnd w:id="19"/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21" w:name="PO_part1remark7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 w:bidi="ar"/>
        </w:rPr>
        <w:t>无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2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600927"/>
    <w:multiLevelType w:val="singleLevel"/>
    <w:tmpl w:val="5A60092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00E63"/>
    <w:rsid w:val="3990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2021-07-22T08:15:00Z</dcterms:created>
  <dc:creator>Administrator</dc:creator>
  <cp:lastModifiedBy>Administrator</cp:lastModifiedBy>
  <dcterms:modified xsi:type="dcterms:W3CDTF">2021-07-22T08:18:08Z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C4220479D2144F13BA5694DB8FB18BA3</vt:lpwstr>
  </property>
</Properties>
</file>