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0609" w14:textId="77777777" w:rsidR="00A51C0F" w:rsidRDefault="00A51C0F">
      <w:pPr>
        <w:tabs>
          <w:tab w:val="left" w:pos="6663"/>
        </w:tabs>
      </w:pPr>
    </w:p>
    <w:p w14:paraId="66D34B9A" w14:textId="77777777" w:rsidR="00A51C0F" w:rsidRDefault="00A51C0F"/>
    <w:p w14:paraId="530845F6" w14:textId="77777777" w:rsidR="00A51C0F" w:rsidRDefault="00A51C0F"/>
    <w:p w14:paraId="7F70C13C" w14:textId="382F3151" w:rsidR="00A51C0F" w:rsidRPr="00413AAC" w:rsidRDefault="00F77419">
      <w:pPr>
        <w:jc w:val="center"/>
        <w:rPr>
          <w:rFonts w:ascii="方正小标宋简体" w:eastAsia="方正小标宋简体"/>
          <w:sz w:val="48"/>
        </w:rPr>
      </w:pPr>
      <w:r>
        <w:rPr>
          <w:rFonts w:ascii="方正小标宋简体" w:eastAsia="方正小标宋简体" w:hint="eastAsia"/>
          <w:sz w:val="48"/>
        </w:rPr>
        <w:t>湛江市</w:t>
      </w:r>
      <w:r w:rsidRPr="00413AAC">
        <w:rPr>
          <w:rFonts w:ascii="方正小标宋简体" w:eastAsia="方正小标宋简体" w:hint="eastAsia"/>
          <w:sz w:val="48"/>
        </w:rPr>
        <w:t>“十四五”</w:t>
      </w:r>
      <w:r w:rsidR="00AC22D2" w:rsidRPr="00413AAC">
        <w:rPr>
          <w:rFonts w:ascii="方正小标宋简体" w:eastAsia="方正小标宋简体" w:hint="eastAsia"/>
          <w:sz w:val="48"/>
        </w:rPr>
        <w:t>住房发展规划</w:t>
      </w:r>
    </w:p>
    <w:p w14:paraId="23B216F5" w14:textId="73DC19C4" w:rsidR="00A51C0F" w:rsidRPr="00413AAC" w:rsidRDefault="003F6108">
      <w:pPr>
        <w:jc w:val="center"/>
        <w:rPr>
          <w:rFonts w:ascii="方正小标宋简体" w:eastAsia="方正小标宋简体"/>
          <w:sz w:val="48"/>
        </w:rPr>
      </w:pPr>
      <w:r>
        <w:rPr>
          <w:rFonts w:ascii="方正小标宋简体" w:eastAsia="方正小标宋简体" w:hint="eastAsia"/>
          <w:sz w:val="48"/>
        </w:rPr>
        <w:t>（</w:t>
      </w:r>
      <w:r w:rsidR="007B36F0">
        <w:rPr>
          <w:rFonts w:ascii="方正小标宋简体" w:eastAsia="方正小标宋简体" w:hint="eastAsia"/>
          <w:sz w:val="48"/>
        </w:rPr>
        <w:t>公开征求意见</w:t>
      </w:r>
      <w:r>
        <w:rPr>
          <w:rFonts w:ascii="方正小标宋简体" w:eastAsia="方正小标宋简体" w:hint="eastAsia"/>
          <w:sz w:val="48"/>
        </w:rPr>
        <w:t>稿）</w:t>
      </w:r>
    </w:p>
    <w:p w14:paraId="022767BC" w14:textId="77777777" w:rsidR="00A51C0F" w:rsidRDefault="00A51C0F"/>
    <w:p w14:paraId="3CC349A6" w14:textId="77777777" w:rsidR="00A51C0F" w:rsidRDefault="00A51C0F"/>
    <w:p w14:paraId="2AED418C" w14:textId="77777777" w:rsidR="00A51C0F" w:rsidRDefault="00A51C0F"/>
    <w:p w14:paraId="539426B9" w14:textId="77777777" w:rsidR="00A51C0F" w:rsidRDefault="00A51C0F"/>
    <w:p w14:paraId="582BD8F6" w14:textId="36B73838" w:rsidR="00A51C0F" w:rsidRDefault="00A51C0F"/>
    <w:p w14:paraId="2DF48EC4" w14:textId="77777777" w:rsidR="003F6108" w:rsidRPr="004D16C5" w:rsidRDefault="003F6108"/>
    <w:p w14:paraId="252F39B3" w14:textId="00562021" w:rsidR="00A51C0F" w:rsidRDefault="00A51C0F"/>
    <w:p w14:paraId="031B49D0" w14:textId="77777777" w:rsidR="00521252" w:rsidRDefault="00521252"/>
    <w:p w14:paraId="1FC543D3" w14:textId="77777777" w:rsidR="00A51C0F" w:rsidRDefault="00A51C0F"/>
    <w:p w14:paraId="1F656C06" w14:textId="77777777" w:rsidR="00A51C0F" w:rsidRDefault="00A51C0F"/>
    <w:p w14:paraId="10EDF3A1" w14:textId="7DF393B8" w:rsidR="00A51C0F" w:rsidRDefault="00F77419">
      <w:pPr>
        <w:jc w:val="center"/>
      </w:pPr>
      <w:r>
        <w:rPr>
          <w:rFonts w:hint="eastAsia"/>
        </w:rPr>
        <w:t>湛江</w:t>
      </w:r>
      <w:r w:rsidR="000B7603">
        <w:rPr>
          <w:rFonts w:hint="eastAsia"/>
        </w:rPr>
        <w:t>市住房</w:t>
      </w:r>
      <w:r w:rsidR="000B7603">
        <w:t>和城乡建设局</w:t>
      </w:r>
    </w:p>
    <w:p w14:paraId="13A82BFA" w14:textId="1719022F" w:rsidR="00A51C0F" w:rsidRDefault="00AC22D2">
      <w:pPr>
        <w:jc w:val="center"/>
      </w:pPr>
      <w:r>
        <w:rPr>
          <w:rFonts w:hint="eastAsia"/>
        </w:rPr>
        <w:t>广东省城乡规划设计研究院</w:t>
      </w:r>
      <w:r w:rsidR="003707E8">
        <w:rPr>
          <w:rFonts w:hint="eastAsia"/>
        </w:rPr>
        <w:t>有限</w:t>
      </w:r>
      <w:r w:rsidR="003707E8">
        <w:t>责任公司</w:t>
      </w:r>
    </w:p>
    <w:p w14:paraId="35ABCA0C" w14:textId="77777777" w:rsidR="00A51C0F" w:rsidRDefault="00AC22D2">
      <w:pPr>
        <w:jc w:val="center"/>
      </w:pPr>
      <w:r>
        <w:rPr>
          <w:rFonts w:hint="eastAsia"/>
        </w:rPr>
        <w:t>广东省住房政策研究中心</w:t>
      </w:r>
    </w:p>
    <w:p w14:paraId="1A72F8FE" w14:textId="08CE0AC4" w:rsidR="00A51C0F" w:rsidRDefault="004D16C5">
      <w:pPr>
        <w:jc w:val="center"/>
      </w:pPr>
      <w:r>
        <w:rPr>
          <w:rFonts w:hint="eastAsia"/>
        </w:rPr>
        <w:t>202</w:t>
      </w:r>
      <w:r>
        <w:t>1</w:t>
      </w:r>
      <w:r>
        <w:rPr>
          <w:rFonts w:hint="eastAsia"/>
        </w:rPr>
        <w:t>年</w:t>
      </w:r>
      <w:r w:rsidR="00693BE1">
        <w:t>5</w:t>
      </w:r>
      <w:r w:rsidR="00AC22D2">
        <w:rPr>
          <w:rFonts w:hint="eastAsia"/>
        </w:rPr>
        <w:t>月</w:t>
      </w:r>
    </w:p>
    <w:p w14:paraId="47C6D874" w14:textId="77777777" w:rsidR="00A51C0F" w:rsidRDefault="00A51C0F">
      <w:pPr>
        <w:sectPr w:rsidR="00A51C0F">
          <w:footerReference w:type="default" r:id="rId9"/>
          <w:pgSz w:w="11906" w:h="16838"/>
          <w:pgMar w:top="1440" w:right="1800" w:bottom="1440" w:left="1800" w:header="851" w:footer="992" w:gutter="0"/>
          <w:cols w:space="425"/>
          <w:docGrid w:type="lines" w:linePitch="312"/>
        </w:sectPr>
      </w:pPr>
    </w:p>
    <w:p w14:paraId="326AAC1D" w14:textId="77777777" w:rsidR="00A51C0F" w:rsidRDefault="00AC22D2">
      <w:pPr>
        <w:jc w:val="center"/>
        <w:rPr>
          <w:rFonts w:ascii="黑体" w:eastAsia="黑体" w:hAnsi="黑体"/>
          <w:sz w:val="32"/>
        </w:rPr>
      </w:pPr>
      <w:r>
        <w:rPr>
          <w:rFonts w:ascii="黑体" w:eastAsia="黑体" w:hAnsi="黑体" w:hint="eastAsia"/>
          <w:sz w:val="32"/>
        </w:rPr>
        <w:lastRenderedPageBreak/>
        <w:t>目 录</w:t>
      </w:r>
    </w:p>
    <w:p w14:paraId="0CAD328D" w14:textId="62520306" w:rsidR="007B0C3B" w:rsidRDefault="001F3920">
      <w:pPr>
        <w:pStyle w:val="TOC1"/>
        <w:tabs>
          <w:tab w:val="right" w:leader="dot" w:pos="8296"/>
        </w:tabs>
        <w:rPr>
          <w:rFonts w:asciiTheme="minorHAnsi" w:eastAsiaTheme="minorEastAsia" w:hAnsiTheme="minorHAnsi"/>
          <w:noProof/>
          <w:sz w:val="21"/>
        </w:rPr>
      </w:pPr>
      <w:r>
        <w:fldChar w:fldCharType="begin"/>
      </w:r>
      <w:r>
        <w:instrText xml:space="preserve"> TOC \o "1-2" \h \z \u </w:instrText>
      </w:r>
      <w:r>
        <w:fldChar w:fldCharType="separate"/>
      </w:r>
      <w:hyperlink w:anchor="_Toc73434878" w:history="1">
        <w:r w:rsidR="007B0C3B" w:rsidRPr="00013A4F">
          <w:rPr>
            <w:rStyle w:val="af0"/>
            <w:noProof/>
          </w:rPr>
          <w:t>前</w:t>
        </w:r>
        <w:r w:rsidR="007B0C3B" w:rsidRPr="00013A4F">
          <w:rPr>
            <w:rStyle w:val="af0"/>
            <w:noProof/>
          </w:rPr>
          <w:t xml:space="preserve">  </w:t>
        </w:r>
        <w:r w:rsidR="007B0C3B" w:rsidRPr="00013A4F">
          <w:rPr>
            <w:rStyle w:val="af0"/>
            <w:noProof/>
          </w:rPr>
          <w:t>言</w:t>
        </w:r>
        <w:r w:rsidR="007B0C3B">
          <w:rPr>
            <w:noProof/>
            <w:webHidden/>
          </w:rPr>
          <w:tab/>
        </w:r>
        <w:r w:rsidR="007B0C3B">
          <w:rPr>
            <w:noProof/>
            <w:webHidden/>
          </w:rPr>
          <w:fldChar w:fldCharType="begin"/>
        </w:r>
        <w:r w:rsidR="007B0C3B">
          <w:rPr>
            <w:noProof/>
            <w:webHidden/>
          </w:rPr>
          <w:instrText xml:space="preserve"> PAGEREF _Toc73434878 \h </w:instrText>
        </w:r>
        <w:r w:rsidR="007B0C3B">
          <w:rPr>
            <w:noProof/>
            <w:webHidden/>
          </w:rPr>
        </w:r>
        <w:r w:rsidR="007B0C3B">
          <w:rPr>
            <w:noProof/>
            <w:webHidden/>
          </w:rPr>
          <w:fldChar w:fldCharType="separate"/>
        </w:r>
        <w:r w:rsidR="007B0C3B">
          <w:rPr>
            <w:noProof/>
            <w:webHidden/>
          </w:rPr>
          <w:t>4</w:t>
        </w:r>
        <w:r w:rsidR="007B0C3B">
          <w:rPr>
            <w:noProof/>
            <w:webHidden/>
          </w:rPr>
          <w:fldChar w:fldCharType="end"/>
        </w:r>
      </w:hyperlink>
    </w:p>
    <w:p w14:paraId="6B790DAF" w14:textId="1ED3FB28" w:rsidR="007B0C3B" w:rsidRDefault="008E63AB">
      <w:pPr>
        <w:pStyle w:val="TOC1"/>
        <w:tabs>
          <w:tab w:val="right" w:leader="dot" w:pos="8296"/>
        </w:tabs>
        <w:rPr>
          <w:rFonts w:asciiTheme="minorHAnsi" w:eastAsiaTheme="minorEastAsia" w:hAnsiTheme="minorHAnsi"/>
          <w:noProof/>
          <w:sz w:val="21"/>
        </w:rPr>
      </w:pPr>
      <w:hyperlink w:anchor="_Toc73434879" w:history="1">
        <w:r w:rsidR="007B0C3B" w:rsidRPr="00013A4F">
          <w:rPr>
            <w:rStyle w:val="af0"/>
            <w:noProof/>
          </w:rPr>
          <w:t>一、规划背景</w:t>
        </w:r>
        <w:r w:rsidR="007B0C3B">
          <w:rPr>
            <w:noProof/>
            <w:webHidden/>
          </w:rPr>
          <w:tab/>
        </w:r>
        <w:r w:rsidR="007B0C3B">
          <w:rPr>
            <w:noProof/>
            <w:webHidden/>
          </w:rPr>
          <w:fldChar w:fldCharType="begin"/>
        </w:r>
        <w:r w:rsidR="007B0C3B">
          <w:rPr>
            <w:noProof/>
            <w:webHidden/>
          </w:rPr>
          <w:instrText xml:space="preserve"> PAGEREF _Toc73434879 \h </w:instrText>
        </w:r>
        <w:r w:rsidR="007B0C3B">
          <w:rPr>
            <w:noProof/>
            <w:webHidden/>
          </w:rPr>
        </w:r>
        <w:r w:rsidR="007B0C3B">
          <w:rPr>
            <w:noProof/>
            <w:webHidden/>
          </w:rPr>
          <w:fldChar w:fldCharType="separate"/>
        </w:r>
        <w:r w:rsidR="007B0C3B">
          <w:rPr>
            <w:noProof/>
            <w:webHidden/>
          </w:rPr>
          <w:t>4</w:t>
        </w:r>
        <w:r w:rsidR="007B0C3B">
          <w:rPr>
            <w:noProof/>
            <w:webHidden/>
          </w:rPr>
          <w:fldChar w:fldCharType="end"/>
        </w:r>
      </w:hyperlink>
    </w:p>
    <w:p w14:paraId="1E0ED0D6" w14:textId="16104A76" w:rsidR="007B0C3B" w:rsidRDefault="008E63AB">
      <w:pPr>
        <w:pStyle w:val="TOC2"/>
        <w:tabs>
          <w:tab w:val="right" w:leader="dot" w:pos="8296"/>
        </w:tabs>
        <w:ind w:left="560"/>
        <w:rPr>
          <w:rFonts w:asciiTheme="minorHAnsi" w:eastAsiaTheme="minorEastAsia" w:hAnsiTheme="minorHAnsi"/>
          <w:noProof/>
          <w:sz w:val="21"/>
        </w:rPr>
      </w:pPr>
      <w:hyperlink w:anchor="_Toc73434880" w:history="1">
        <w:r w:rsidR="007B0C3B" w:rsidRPr="00013A4F">
          <w:rPr>
            <w:rStyle w:val="af0"/>
            <w:noProof/>
          </w:rPr>
          <w:t>（一）住房现状</w:t>
        </w:r>
        <w:r w:rsidR="007B0C3B">
          <w:rPr>
            <w:noProof/>
            <w:webHidden/>
          </w:rPr>
          <w:tab/>
        </w:r>
        <w:r w:rsidR="007B0C3B">
          <w:rPr>
            <w:noProof/>
            <w:webHidden/>
          </w:rPr>
          <w:fldChar w:fldCharType="begin"/>
        </w:r>
        <w:r w:rsidR="007B0C3B">
          <w:rPr>
            <w:noProof/>
            <w:webHidden/>
          </w:rPr>
          <w:instrText xml:space="preserve"> PAGEREF _Toc73434880 \h </w:instrText>
        </w:r>
        <w:r w:rsidR="007B0C3B">
          <w:rPr>
            <w:noProof/>
            <w:webHidden/>
          </w:rPr>
        </w:r>
        <w:r w:rsidR="007B0C3B">
          <w:rPr>
            <w:noProof/>
            <w:webHidden/>
          </w:rPr>
          <w:fldChar w:fldCharType="separate"/>
        </w:r>
        <w:r w:rsidR="007B0C3B">
          <w:rPr>
            <w:noProof/>
            <w:webHidden/>
          </w:rPr>
          <w:t>4</w:t>
        </w:r>
        <w:r w:rsidR="007B0C3B">
          <w:rPr>
            <w:noProof/>
            <w:webHidden/>
          </w:rPr>
          <w:fldChar w:fldCharType="end"/>
        </w:r>
      </w:hyperlink>
    </w:p>
    <w:p w14:paraId="396E68B3" w14:textId="319A96FB" w:rsidR="007B0C3B" w:rsidRDefault="008E63AB">
      <w:pPr>
        <w:pStyle w:val="TOC2"/>
        <w:tabs>
          <w:tab w:val="right" w:leader="dot" w:pos="8296"/>
        </w:tabs>
        <w:ind w:left="560"/>
        <w:rPr>
          <w:rFonts w:asciiTheme="minorHAnsi" w:eastAsiaTheme="minorEastAsia" w:hAnsiTheme="minorHAnsi"/>
          <w:noProof/>
          <w:sz w:val="21"/>
        </w:rPr>
      </w:pPr>
      <w:hyperlink w:anchor="_Toc73434881" w:history="1">
        <w:r w:rsidR="007B0C3B" w:rsidRPr="00013A4F">
          <w:rPr>
            <w:rStyle w:val="af0"/>
            <w:noProof/>
          </w:rPr>
          <w:t>（二）发展形势</w:t>
        </w:r>
        <w:r w:rsidR="007B0C3B">
          <w:rPr>
            <w:noProof/>
            <w:webHidden/>
          </w:rPr>
          <w:tab/>
        </w:r>
        <w:r w:rsidR="007B0C3B">
          <w:rPr>
            <w:noProof/>
            <w:webHidden/>
          </w:rPr>
          <w:fldChar w:fldCharType="begin"/>
        </w:r>
        <w:r w:rsidR="007B0C3B">
          <w:rPr>
            <w:noProof/>
            <w:webHidden/>
          </w:rPr>
          <w:instrText xml:space="preserve"> PAGEREF _Toc73434881 \h </w:instrText>
        </w:r>
        <w:r w:rsidR="007B0C3B">
          <w:rPr>
            <w:noProof/>
            <w:webHidden/>
          </w:rPr>
        </w:r>
        <w:r w:rsidR="007B0C3B">
          <w:rPr>
            <w:noProof/>
            <w:webHidden/>
          </w:rPr>
          <w:fldChar w:fldCharType="separate"/>
        </w:r>
        <w:r w:rsidR="007B0C3B">
          <w:rPr>
            <w:noProof/>
            <w:webHidden/>
          </w:rPr>
          <w:t>5</w:t>
        </w:r>
        <w:r w:rsidR="007B0C3B">
          <w:rPr>
            <w:noProof/>
            <w:webHidden/>
          </w:rPr>
          <w:fldChar w:fldCharType="end"/>
        </w:r>
      </w:hyperlink>
    </w:p>
    <w:p w14:paraId="5BB37564" w14:textId="0EF11D51" w:rsidR="007B0C3B" w:rsidRDefault="008E63AB">
      <w:pPr>
        <w:pStyle w:val="TOC2"/>
        <w:tabs>
          <w:tab w:val="right" w:leader="dot" w:pos="8296"/>
        </w:tabs>
        <w:ind w:left="560"/>
        <w:rPr>
          <w:rFonts w:asciiTheme="minorHAnsi" w:eastAsiaTheme="minorEastAsia" w:hAnsiTheme="minorHAnsi"/>
          <w:noProof/>
          <w:sz w:val="21"/>
        </w:rPr>
      </w:pPr>
      <w:hyperlink w:anchor="_Toc73434882" w:history="1">
        <w:r w:rsidR="007B0C3B" w:rsidRPr="00013A4F">
          <w:rPr>
            <w:rStyle w:val="af0"/>
            <w:noProof/>
          </w:rPr>
          <w:t>（三）短板不足</w:t>
        </w:r>
        <w:r w:rsidR="007B0C3B">
          <w:rPr>
            <w:noProof/>
            <w:webHidden/>
          </w:rPr>
          <w:tab/>
        </w:r>
        <w:r w:rsidR="007B0C3B">
          <w:rPr>
            <w:noProof/>
            <w:webHidden/>
          </w:rPr>
          <w:fldChar w:fldCharType="begin"/>
        </w:r>
        <w:r w:rsidR="007B0C3B">
          <w:rPr>
            <w:noProof/>
            <w:webHidden/>
          </w:rPr>
          <w:instrText xml:space="preserve"> PAGEREF _Toc73434882 \h </w:instrText>
        </w:r>
        <w:r w:rsidR="007B0C3B">
          <w:rPr>
            <w:noProof/>
            <w:webHidden/>
          </w:rPr>
        </w:r>
        <w:r w:rsidR="007B0C3B">
          <w:rPr>
            <w:noProof/>
            <w:webHidden/>
          </w:rPr>
          <w:fldChar w:fldCharType="separate"/>
        </w:r>
        <w:r w:rsidR="007B0C3B">
          <w:rPr>
            <w:noProof/>
            <w:webHidden/>
          </w:rPr>
          <w:t>8</w:t>
        </w:r>
        <w:r w:rsidR="007B0C3B">
          <w:rPr>
            <w:noProof/>
            <w:webHidden/>
          </w:rPr>
          <w:fldChar w:fldCharType="end"/>
        </w:r>
      </w:hyperlink>
    </w:p>
    <w:p w14:paraId="0EAB596B" w14:textId="4625A7F4" w:rsidR="007B0C3B" w:rsidRDefault="008E63AB">
      <w:pPr>
        <w:pStyle w:val="TOC1"/>
        <w:tabs>
          <w:tab w:val="right" w:leader="dot" w:pos="8296"/>
        </w:tabs>
        <w:rPr>
          <w:rFonts w:asciiTheme="minorHAnsi" w:eastAsiaTheme="minorEastAsia" w:hAnsiTheme="minorHAnsi"/>
          <w:noProof/>
          <w:sz w:val="21"/>
        </w:rPr>
      </w:pPr>
      <w:hyperlink w:anchor="_Toc73434883" w:history="1">
        <w:r w:rsidR="007B0C3B" w:rsidRPr="00013A4F">
          <w:rPr>
            <w:rStyle w:val="af0"/>
            <w:noProof/>
          </w:rPr>
          <w:t>二、总体思路和发展目标</w:t>
        </w:r>
        <w:r w:rsidR="007B0C3B">
          <w:rPr>
            <w:noProof/>
            <w:webHidden/>
          </w:rPr>
          <w:tab/>
        </w:r>
        <w:r w:rsidR="007B0C3B">
          <w:rPr>
            <w:noProof/>
            <w:webHidden/>
          </w:rPr>
          <w:fldChar w:fldCharType="begin"/>
        </w:r>
        <w:r w:rsidR="007B0C3B">
          <w:rPr>
            <w:noProof/>
            <w:webHidden/>
          </w:rPr>
          <w:instrText xml:space="preserve"> PAGEREF _Toc73434883 \h </w:instrText>
        </w:r>
        <w:r w:rsidR="007B0C3B">
          <w:rPr>
            <w:noProof/>
            <w:webHidden/>
          </w:rPr>
        </w:r>
        <w:r w:rsidR="007B0C3B">
          <w:rPr>
            <w:noProof/>
            <w:webHidden/>
          </w:rPr>
          <w:fldChar w:fldCharType="separate"/>
        </w:r>
        <w:r w:rsidR="007B0C3B">
          <w:rPr>
            <w:noProof/>
            <w:webHidden/>
          </w:rPr>
          <w:t>9</w:t>
        </w:r>
        <w:r w:rsidR="007B0C3B">
          <w:rPr>
            <w:noProof/>
            <w:webHidden/>
          </w:rPr>
          <w:fldChar w:fldCharType="end"/>
        </w:r>
      </w:hyperlink>
    </w:p>
    <w:p w14:paraId="5E921A69" w14:textId="10860B18" w:rsidR="007B0C3B" w:rsidRDefault="008E63AB">
      <w:pPr>
        <w:pStyle w:val="TOC2"/>
        <w:tabs>
          <w:tab w:val="right" w:leader="dot" w:pos="8296"/>
        </w:tabs>
        <w:ind w:left="560"/>
        <w:rPr>
          <w:rFonts w:asciiTheme="minorHAnsi" w:eastAsiaTheme="minorEastAsia" w:hAnsiTheme="minorHAnsi"/>
          <w:noProof/>
          <w:sz w:val="21"/>
        </w:rPr>
      </w:pPr>
      <w:hyperlink w:anchor="_Toc73434884" w:history="1">
        <w:r w:rsidR="007B0C3B" w:rsidRPr="00013A4F">
          <w:rPr>
            <w:rStyle w:val="af0"/>
            <w:noProof/>
          </w:rPr>
          <w:t>（一）指导思想</w:t>
        </w:r>
        <w:r w:rsidR="007B0C3B">
          <w:rPr>
            <w:noProof/>
            <w:webHidden/>
          </w:rPr>
          <w:tab/>
        </w:r>
        <w:r w:rsidR="007B0C3B">
          <w:rPr>
            <w:noProof/>
            <w:webHidden/>
          </w:rPr>
          <w:fldChar w:fldCharType="begin"/>
        </w:r>
        <w:r w:rsidR="007B0C3B">
          <w:rPr>
            <w:noProof/>
            <w:webHidden/>
          </w:rPr>
          <w:instrText xml:space="preserve"> PAGEREF _Toc73434884 \h </w:instrText>
        </w:r>
        <w:r w:rsidR="007B0C3B">
          <w:rPr>
            <w:noProof/>
            <w:webHidden/>
          </w:rPr>
        </w:r>
        <w:r w:rsidR="007B0C3B">
          <w:rPr>
            <w:noProof/>
            <w:webHidden/>
          </w:rPr>
          <w:fldChar w:fldCharType="separate"/>
        </w:r>
        <w:r w:rsidR="007B0C3B">
          <w:rPr>
            <w:noProof/>
            <w:webHidden/>
          </w:rPr>
          <w:t>9</w:t>
        </w:r>
        <w:r w:rsidR="007B0C3B">
          <w:rPr>
            <w:noProof/>
            <w:webHidden/>
          </w:rPr>
          <w:fldChar w:fldCharType="end"/>
        </w:r>
      </w:hyperlink>
    </w:p>
    <w:p w14:paraId="260C255B" w14:textId="478247F3" w:rsidR="007B0C3B" w:rsidRDefault="008E63AB">
      <w:pPr>
        <w:pStyle w:val="TOC2"/>
        <w:tabs>
          <w:tab w:val="right" w:leader="dot" w:pos="8296"/>
        </w:tabs>
        <w:ind w:left="560"/>
        <w:rPr>
          <w:rFonts w:asciiTheme="minorHAnsi" w:eastAsiaTheme="minorEastAsia" w:hAnsiTheme="minorHAnsi"/>
          <w:noProof/>
          <w:sz w:val="21"/>
        </w:rPr>
      </w:pPr>
      <w:hyperlink w:anchor="_Toc73434885" w:history="1">
        <w:r w:rsidR="007B0C3B" w:rsidRPr="00013A4F">
          <w:rPr>
            <w:rStyle w:val="af0"/>
            <w:noProof/>
          </w:rPr>
          <w:t>（二）战略定位</w:t>
        </w:r>
        <w:r w:rsidR="007B0C3B">
          <w:rPr>
            <w:noProof/>
            <w:webHidden/>
          </w:rPr>
          <w:tab/>
        </w:r>
        <w:r w:rsidR="007B0C3B">
          <w:rPr>
            <w:noProof/>
            <w:webHidden/>
          </w:rPr>
          <w:fldChar w:fldCharType="begin"/>
        </w:r>
        <w:r w:rsidR="007B0C3B">
          <w:rPr>
            <w:noProof/>
            <w:webHidden/>
          </w:rPr>
          <w:instrText xml:space="preserve"> PAGEREF _Toc73434885 \h </w:instrText>
        </w:r>
        <w:r w:rsidR="007B0C3B">
          <w:rPr>
            <w:noProof/>
            <w:webHidden/>
          </w:rPr>
        </w:r>
        <w:r w:rsidR="007B0C3B">
          <w:rPr>
            <w:noProof/>
            <w:webHidden/>
          </w:rPr>
          <w:fldChar w:fldCharType="separate"/>
        </w:r>
        <w:r w:rsidR="007B0C3B">
          <w:rPr>
            <w:noProof/>
            <w:webHidden/>
          </w:rPr>
          <w:t>10</w:t>
        </w:r>
        <w:r w:rsidR="007B0C3B">
          <w:rPr>
            <w:noProof/>
            <w:webHidden/>
          </w:rPr>
          <w:fldChar w:fldCharType="end"/>
        </w:r>
      </w:hyperlink>
    </w:p>
    <w:p w14:paraId="3B01ED86" w14:textId="4E8A87D4" w:rsidR="007B0C3B" w:rsidRDefault="008E63AB">
      <w:pPr>
        <w:pStyle w:val="TOC2"/>
        <w:tabs>
          <w:tab w:val="right" w:leader="dot" w:pos="8296"/>
        </w:tabs>
        <w:ind w:left="560"/>
        <w:rPr>
          <w:rFonts w:asciiTheme="minorHAnsi" w:eastAsiaTheme="minorEastAsia" w:hAnsiTheme="minorHAnsi"/>
          <w:noProof/>
          <w:sz w:val="21"/>
        </w:rPr>
      </w:pPr>
      <w:hyperlink w:anchor="_Toc73434886" w:history="1">
        <w:r w:rsidR="007B0C3B" w:rsidRPr="00013A4F">
          <w:rPr>
            <w:rStyle w:val="af0"/>
            <w:noProof/>
          </w:rPr>
          <w:t>（三）住房目标</w:t>
        </w:r>
        <w:r w:rsidR="007B0C3B">
          <w:rPr>
            <w:noProof/>
            <w:webHidden/>
          </w:rPr>
          <w:tab/>
        </w:r>
        <w:r w:rsidR="007B0C3B">
          <w:rPr>
            <w:noProof/>
            <w:webHidden/>
          </w:rPr>
          <w:fldChar w:fldCharType="begin"/>
        </w:r>
        <w:r w:rsidR="007B0C3B">
          <w:rPr>
            <w:noProof/>
            <w:webHidden/>
          </w:rPr>
          <w:instrText xml:space="preserve"> PAGEREF _Toc73434886 \h </w:instrText>
        </w:r>
        <w:r w:rsidR="007B0C3B">
          <w:rPr>
            <w:noProof/>
            <w:webHidden/>
          </w:rPr>
        </w:r>
        <w:r w:rsidR="007B0C3B">
          <w:rPr>
            <w:noProof/>
            <w:webHidden/>
          </w:rPr>
          <w:fldChar w:fldCharType="separate"/>
        </w:r>
        <w:r w:rsidR="007B0C3B">
          <w:rPr>
            <w:noProof/>
            <w:webHidden/>
          </w:rPr>
          <w:t>11</w:t>
        </w:r>
        <w:r w:rsidR="007B0C3B">
          <w:rPr>
            <w:noProof/>
            <w:webHidden/>
          </w:rPr>
          <w:fldChar w:fldCharType="end"/>
        </w:r>
      </w:hyperlink>
    </w:p>
    <w:p w14:paraId="540202DF" w14:textId="56CFFED1" w:rsidR="007B0C3B" w:rsidRDefault="008E63AB">
      <w:pPr>
        <w:pStyle w:val="TOC1"/>
        <w:tabs>
          <w:tab w:val="right" w:leader="dot" w:pos="8296"/>
        </w:tabs>
        <w:rPr>
          <w:rFonts w:asciiTheme="minorHAnsi" w:eastAsiaTheme="minorEastAsia" w:hAnsiTheme="minorHAnsi"/>
          <w:noProof/>
          <w:sz w:val="21"/>
        </w:rPr>
      </w:pPr>
      <w:hyperlink w:anchor="_Toc73434887" w:history="1">
        <w:r w:rsidR="007B0C3B" w:rsidRPr="00013A4F">
          <w:rPr>
            <w:rStyle w:val="af0"/>
            <w:noProof/>
          </w:rPr>
          <w:t>三、促进房地产市场健康发展</w:t>
        </w:r>
        <w:r w:rsidR="007B0C3B">
          <w:rPr>
            <w:noProof/>
            <w:webHidden/>
          </w:rPr>
          <w:tab/>
        </w:r>
        <w:r w:rsidR="007B0C3B">
          <w:rPr>
            <w:noProof/>
            <w:webHidden/>
          </w:rPr>
          <w:fldChar w:fldCharType="begin"/>
        </w:r>
        <w:r w:rsidR="007B0C3B">
          <w:rPr>
            <w:noProof/>
            <w:webHidden/>
          </w:rPr>
          <w:instrText xml:space="preserve"> PAGEREF _Toc73434887 \h </w:instrText>
        </w:r>
        <w:r w:rsidR="007B0C3B">
          <w:rPr>
            <w:noProof/>
            <w:webHidden/>
          </w:rPr>
        </w:r>
        <w:r w:rsidR="007B0C3B">
          <w:rPr>
            <w:noProof/>
            <w:webHidden/>
          </w:rPr>
          <w:fldChar w:fldCharType="separate"/>
        </w:r>
        <w:r w:rsidR="007B0C3B">
          <w:rPr>
            <w:noProof/>
            <w:webHidden/>
          </w:rPr>
          <w:t>11</w:t>
        </w:r>
        <w:r w:rsidR="007B0C3B">
          <w:rPr>
            <w:noProof/>
            <w:webHidden/>
          </w:rPr>
          <w:fldChar w:fldCharType="end"/>
        </w:r>
      </w:hyperlink>
    </w:p>
    <w:p w14:paraId="6C351301" w14:textId="077464F5" w:rsidR="007B0C3B" w:rsidRDefault="008E63AB">
      <w:pPr>
        <w:pStyle w:val="TOC2"/>
        <w:tabs>
          <w:tab w:val="right" w:leader="dot" w:pos="8296"/>
        </w:tabs>
        <w:ind w:left="560"/>
        <w:rPr>
          <w:rFonts w:asciiTheme="minorHAnsi" w:eastAsiaTheme="minorEastAsia" w:hAnsiTheme="minorHAnsi"/>
          <w:noProof/>
          <w:sz w:val="21"/>
        </w:rPr>
      </w:pPr>
      <w:hyperlink w:anchor="_Toc73434888" w:history="1">
        <w:r w:rsidR="007B0C3B" w:rsidRPr="00013A4F">
          <w:rPr>
            <w:rStyle w:val="af0"/>
            <w:noProof/>
          </w:rPr>
          <w:t>（一）健全土地供应制度</w:t>
        </w:r>
        <w:r w:rsidR="007B0C3B">
          <w:rPr>
            <w:noProof/>
            <w:webHidden/>
          </w:rPr>
          <w:tab/>
        </w:r>
        <w:r w:rsidR="007B0C3B">
          <w:rPr>
            <w:noProof/>
            <w:webHidden/>
          </w:rPr>
          <w:fldChar w:fldCharType="begin"/>
        </w:r>
        <w:r w:rsidR="007B0C3B">
          <w:rPr>
            <w:noProof/>
            <w:webHidden/>
          </w:rPr>
          <w:instrText xml:space="preserve"> PAGEREF _Toc73434888 \h </w:instrText>
        </w:r>
        <w:r w:rsidR="007B0C3B">
          <w:rPr>
            <w:noProof/>
            <w:webHidden/>
          </w:rPr>
        </w:r>
        <w:r w:rsidR="007B0C3B">
          <w:rPr>
            <w:noProof/>
            <w:webHidden/>
          </w:rPr>
          <w:fldChar w:fldCharType="separate"/>
        </w:r>
        <w:r w:rsidR="007B0C3B">
          <w:rPr>
            <w:noProof/>
            <w:webHidden/>
          </w:rPr>
          <w:t>11</w:t>
        </w:r>
        <w:r w:rsidR="007B0C3B">
          <w:rPr>
            <w:noProof/>
            <w:webHidden/>
          </w:rPr>
          <w:fldChar w:fldCharType="end"/>
        </w:r>
      </w:hyperlink>
    </w:p>
    <w:p w14:paraId="4B270014" w14:textId="4ACA25BB" w:rsidR="007B0C3B" w:rsidRDefault="008E63AB">
      <w:pPr>
        <w:pStyle w:val="TOC2"/>
        <w:tabs>
          <w:tab w:val="right" w:leader="dot" w:pos="8296"/>
        </w:tabs>
        <w:ind w:left="560"/>
        <w:rPr>
          <w:rFonts w:asciiTheme="minorHAnsi" w:eastAsiaTheme="minorEastAsia" w:hAnsiTheme="minorHAnsi"/>
          <w:noProof/>
          <w:sz w:val="21"/>
        </w:rPr>
      </w:pPr>
      <w:hyperlink w:anchor="_Toc73434889" w:history="1">
        <w:r w:rsidR="007B0C3B" w:rsidRPr="00013A4F">
          <w:rPr>
            <w:rStyle w:val="af0"/>
            <w:noProof/>
          </w:rPr>
          <w:t>（二）促进住房梯度消费</w:t>
        </w:r>
        <w:r w:rsidR="007B0C3B">
          <w:rPr>
            <w:noProof/>
            <w:webHidden/>
          </w:rPr>
          <w:tab/>
        </w:r>
        <w:r w:rsidR="007B0C3B">
          <w:rPr>
            <w:noProof/>
            <w:webHidden/>
          </w:rPr>
          <w:fldChar w:fldCharType="begin"/>
        </w:r>
        <w:r w:rsidR="007B0C3B">
          <w:rPr>
            <w:noProof/>
            <w:webHidden/>
          </w:rPr>
          <w:instrText xml:space="preserve"> PAGEREF _Toc73434889 \h </w:instrText>
        </w:r>
        <w:r w:rsidR="007B0C3B">
          <w:rPr>
            <w:noProof/>
            <w:webHidden/>
          </w:rPr>
        </w:r>
        <w:r w:rsidR="007B0C3B">
          <w:rPr>
            <w:noProof/>
            <w:webHidden/>
          </w:rPr>
          <w:fldChar w:fldCharType="separate"/>
        </w:r>
        <w:r w:rsidR="007B0C3B">
          <w:rPr>
            <w:noProof/>
            <w:webHidden/>
          </w:rPr>
          <w:t>12</w:t>
        </w:r>
        <w:r w:rsidR="007B0C3B">
          <w:rPr>
            <w:noProof/>
            <w:webHidden/>
          </w:rPr>
          <w:fldChar w:fldCharType="end"/>
        </w:r>
      </w:hyperlink>
    </w:p>
    <w:p w14:paraId="323ADCB4" w14:textId="7F9D7D28" w:rsidR="007B0C3B" w:rsidRDefault="008E63AB">
      <w:pPr>
        <w:pStyle w:val="TOC2"/>
        <w:tabs>
          <w:tab w:val="right" w:leader="dot" w:pos="8296"/>
        </w:tabs>
        <w:ind w:left="560"/>
        <w:rPr>
          <w:rFonts w:asciiTheme="minorHAnsi" w:eastAsiaTheme="minorEastAsia" w:hAnsiTheme="minorHAnsi"/>
          <w:noProof/>
          <w:sz w:val="21"/>
        </w:rPr>
      </w:pPr>
      <w:hyperlink w:anchor="_Toc73434890" w:history="1">
        <w:r w:rsidR="007B0C3B" w:rsidRPr="00013A4F">
          <w:rPr>
            <w:rStyle w:val="af0"/>
            <w:noProof/>
          </w:rPr>
          <w:t>（三）完善房地产金融政策</w:t>
        </w:r>
        <w:r w:rsidR="007B0C3B">
          <w:rPr>
            <w:noProof/>
            <w:webHidden/>
          </w:rPr>
          <w:tab/>
        </w:r>
        <w:r w:rsidR="007B0C3B">
          <w:rPr>
            <w:noProof/>
            <w:webHidden/>
          </w:rPr>
          <w:fldChar w:fldCharType="begin"/>
        </w:r>
        <w:r w:rsidR="007B0C3B">
          <w:rPr>
            <w:noProof/>
            <w:webHidden/>
          </w:rPr>
          <w:instrText xml:space="preserve"> PAGEREF _Toc73434890 \h </w:instrText>
        </w:r>
        <w:r w:rsidR="007B0C3B">
          <w:rPr>
            <w:noProof/>
            <w:webHidden/>
          </w:rPr>
        </w:r>
        <w:r w:rsidR="007B0C3B">
          <w:rPr>
            <w:noProof/>
            <w:webHidden/>
          </w:rPr>
          <w:fldChar w:fldCharType="separate"/>
        </w:r>
        <w:r w:rsidR="007B0C3B">
          <w:rPr>
            <w:noProof/>
            <w:webHidden/>
          </w:rPr>
          <w:t>13</w:t>
        </w:r>
        <w:r w:rsidR="007B0C3B">
          <w:rPr>
            <w:noProof/>
            <w:webHidden/>
          </w:rPr>
          <w:fldChar w:fldCharType="end"/>
        </w:r>
      </w:hyperlink>
    </w:p>
    <w:p w14:paraId="1731AC47" w14:textId="303079BD" w:rsidR="007B0C3B" w:rsidRDefault="008E63AB">
      <w:pPr>
        <w:pStyle w:val="TOC1"/>
        <w:tabs>
          <w:tab w:val="right" w:leader="dot" w:pos="8296"/>
        </w:tabs>
        <w:rPr>
          <w:rFonts w:asciiTheme="minorHAnsi" w:eastAsiaTheme="minorEastAsia" w:hAnsiTheme="minorHAnsi"/>
          <w:noProof/>
          <w:sz w:val="21"/>
        </w:rPr>
      </w:pPr>
      <w:hyperlink w:anchor="_Toc73434891" w:history="1">
        <w:r w:rsidR="007B0C3B" w:rsidRPr="00013A4F">
          <w:rPr>
            <w:rStyle w:val="af0"/>
            <w:noProof/>
          </w:rPr>
          <w:t>四、健全完善住房保障水平</w:t>
        </w:r>
        <w:r w:rsidR="007B0C3B">
          <w:rPr>
            <w:noProof/>
            <w:webHidden/>
          </w:rPr>
          <w:tab/>
        </w:r>
        <w:r w:rsidR="007B0C3B">
          <w:rPr>
            <w:noProof/>
            <w:webHidden/>
          </w:rPr>
          <w:fldChar w:fldCharType="begin"/>
        </w:r>
        <w:r w:rsidR="007B0C3B">
          <w:rPr>
            <w:noProof/>
            <w:webHidden/>
          </w:rPr>
          <w:instrText xml:space="preserve"> PAGEREF _Toc73434891 \h </w:instrText>
        </w:r>
        <w:r w:rsidR="007B0C3B">
          <w:rPr>
            <w:noProof/>
            <w:webHidden/>
          </w:rPr>
        </w:r>
        <w:r w:rsidR="007B0C3B">
          <w:rPr>
            <w:noProof/>
            <w:webHidden/>
          </w:rPr>
          <w:fldChar w:fldCharType="separate"/>
        </w:r>
        <w:r w:rsidR="007B0C3B">
          <w:rPr>
            <w:noProof/>
            <w:webHidden/>
          </w:rPr>
          <w:t>14</w:t>
        </w:r>
        <w:r w:rsidR="007B0C3B">
          <w:rPr>
            <w:noProof/>
            <w:webHidden/>
          </w:rPr>
          <w:fldChar w:fldCharType="end"/>
        </w:r>
      </w:hyperlink>
    </w:p>
    <w:p w14:paraId="67AACCD3" w14:textId="7A43C741" w:rsidR="007B0C3B" w:rsidRDefault="008E63AB">
      <w:pPr>
        <w:pStyle w:val="TOC2"/>
        <w:tabs>
          <w:tab w:val="right" w:leader="dot" w:pos="8296"/>
        </w:tabs>
        <w:ind w:left="560"/>
        <w:rPr>
          <w:rFonts w:asciiTheme="minorHAnsi" w:eastAsiaTheme="minorEastAsia" w:hAnsiTheme="minorHAnsi"/>
          <w:noProof/>
          <w:sz w:val="21"/>
        </w:rPr>
      </w:pPr>
      <w:hyperlink w:anchor="_Toc73434892" w:history="1">
        <w:r w:rsidR="007B0C3B" w:rsidRPr="00013A4F">
          <w:rPr>
            <w:rStyle w:val="af0"/>
            <w:noProof/>
          </w:rPr>
          <w:t>（一）稳步提升住房保障水平</w:t>
        </w:r>
        <w:r w:rsidR="007B0C3B">
          <w:rPr>
            <w:noProof/>
            <w:webHidden/>
          </w:rPr>
          <w:tab/>
        </w:r>
        <w:r w:rsidR="007B0C3B">
          <w:rPr>
            <w:noProof/>
            <w:webHidden/>
          </w:rPr>
          <w:fldChar w:fldCharType="begin"/>
        </w:r>
        <w:r w:rsidR="007B0C3B">
          <w:rPr>
            <w:noProof/>
            <w:webHidden/>
          </w:rPr>
          <w:instrText xml:space="preserve"> PAGEREF _Toc73434892 \h </w:instrText>
        </w:r>
        <w:r w:rsidR="007B0C3B">
          <w:rPr>
            <w:noProof/>
            <w:webHidden/>
          </w:rPr>
        </w:r>
        <w:r w:rsidR="007B0C3B">
          <w:rPr>
            <w:noProof/>
            <w:webHidden/>
          </w:rPr>
          <w:fldChar w:fldCharType="separate"/>
        </w:r>
        <w:r w:rsidR="007B0C3B">
          <w:rPr>
            <w:noProof/>
            <w:webHidden/>
          </w:rPr>
          <w:t>14</w:t>
        </w:r>
        <w:r w:rsidR="007B0C3B">
          <w:rPr>
            <w:noProof/>
            <w:webHidden/>
          </w:rPr>
          <w:fldChar w:fldCharType="end"/>
        </w:r>
      </w:hyperlink>
    </w:p>
    <w:p w14:paraId="1E809ADD" w14:textId="12E84942" w:rsidR="007B0C3B" w:rsidRDefault="008E63AB">
      <w:pPr>
        <w:pStyle w:val="TOC2"/>
        <w:tabs>
          <w:tab w:val="right" w:leader="dot" w:pos="8296"/>
        </w:tabs>
        <w:ind w:left="560"/>
        <w:rPr>
          <w:rFonts w:asciiTheme="minorHAnsi" w:eastAsiaTheme="minorEastAsia" w:hAnsiTheme="minorHAnsi"/>
          <w:noProof/>
          <w:sz w:val="21"/>
        </w:rPr>
      </w:pPr>
      <w:hyperlink w:anchor="_Toc73434893" w:history="1">
        <w:r w:rsidR="007B0C3B" w:rsidRPr="00013A4F">
          <w:rPr>
            <w:rStyle w:val="af0"/>
            <w:noProof/>
          </w:rPr>
          <w:t>（二）加大高层次人才安居</w:t>
        </w:r>
        <w:r w:rsidR="007B0C3B">
          <w:rPr>
            <w:noProof/>
            <w:webHidden/>
          </w:rPr>
          <w:tab/>
        </w:r>
        <w:r w:rsidR="007B0C3B">
          <w:rPr>
            <w:noProof/>
            <w:webHidden/>
          </w:rPr>
          <w:fldChar w:fldCharType="begin"/>
        </w:r>
        <w:r w:rsidR="007B0C3B">
          <w:rPr>
            <w:noProof/>
            <w:webHidden/>
          </w:rPr>
          <w:instrText xml:space="preserve"> PAGEREF _Toc73434893 \h </w:instrText>
        </w:r>
        <w:r w:rsidR="007B0C3B">
          <w:rPr>
            <w:noProof/>
            <w:webHidden/>
          </w:rPr>
        </w:r>
        <w:r w:rsidR="007B0C3B">
          <w:rPr>
            <w:noProof/>
            <w:webHidden/>
          </w:rPr>
          <w:fldChar w:fldCharType="separate"/>
        </w:r>
        <w:r w:rsidR="007B0C3B">
          <w:rPr>
            <w:noProof/>
            <w:webHidden/>
          </w:rPr>
          <w:t>15</w:t>
        </w:r>
        <w:r w:rsidR="007B0C3B">
          <w:rPr>
            <w:noProof/>
            <w:webHidden/>
          </w:rPr>
          <w:fldChar w:fldCharType="end"/>
        </w:r>
      </w:hyperlink>
    </w:p>
    <w:p w14:paraId="46C1CC74" w14:textId="7C1C8352" w:rsidR="007B0C3B" w:rsidRDefault="008E63AB">
      <w:pPr>
        <w:pStyle w:val="TOC2"/>
        <w:tabs>
          <w:tab w:val="right" w:leader="dot" w:pos="8296"/>
        </w:tabs>
        <w:ind w:left="560"/>
        <w:rPr>
          <w:rFonts w:asciiTheme="minorHAnsi" w:eastAsiaTheme="minorEastAsia" w:hAnsiTheme="minorHAnsi"/>
          <w:noProof/>
          <w:sz w:val="21"/>
        </w:rPr>
      </w:pPr>
      <w:hyperlink w:anchor="_Toc73434894" w:history="1">
        <w:r w:rsidR="007B0C3B" w:rsidRPr="00013A4F">
          <w:rPr>
            <w:rStyle w:val="af0"/>
            <w:noProof/>
          </w:rPr>
          <w:t>（三）创新重点行业人员保障机制</w:t>
        </w:r>
        <w:r w:rsidR="007B0C3B">
          <w:rPr>
            <w:noProof/>
            <w:webHidden/>
          </w:rPr>
          <w:tab/>
        </w:r>
        <w:r w:rsidR="007B0C3B">
          <w:rPr>
            <w:noProof/>
            <w:webHidden/>
          </w:rPr>
          <w:fldChar w:fldCharType="begin"/>
        </w:r>
        <w:r w:rsidR="007B0C3B">
          <w:rPr>
            <w:noProof/>
            <w:webHidden/>
          </w:rPr>
          <w:instrText xml:space="preserve"> PAGEREF _Toc73434894 \h </w:instrText>
        </w:r>
        <w:r w:rsidR="007B0C3B">
          <w:rPr>
            <w:noProof/>
            <w:webHidden/>
          </w:rPr>
        </w:r>
        <w:r w:rsidR="007B0C3B">
          <w:rPr>
            <w:noProof/>
            <w:webHidden/>
          </w:rPr>
          <w:fldChar w:fldCharType="separate"/>
        </w:r>
        <w:r w:rsidR="007B0C3B">
          <w:rPr>
            <w:noProof/>
            <w:webHidden/>
          </w:rPr>
          <w:t>15</w:t>
        </w:r>
        <w:r w:rsidR="007B0C3B">
          <w:rPr>
            <w:noProof/>
            <w:webHidden/>
          </w:rPr>
          <w:fldChar w:fldCharType="end"/>
        </w:r>
      </w:hyperlink>
    </w:p>
    <w:p w14:paraId="13CD5283" w14:textId="418CA973" w:rsidR="007B0C3B" w:rsidRDefault="008E63AB">
      <w:pPr>
        <w:pStyle w:val="TOC1"/>
        <w:tabs>
          <w:tab w:val="right" w:leader="dot" w:pos="8296"/>
        </w:tabs>
        <w:rPr>
          <w:rFonts w:asciiTheme="minorHAnsi" w:eastAsiaTheme="minorEastAsia" w:hAnsiTheme="minorHAnsi"/>
          <w:noProof/>
          <w:sz w:val="21"/>
        </w:rPr>
      </w:pPr>
      <w:hyperlink w:anchor="_Toc73434895" w:history="1">
        <w:r w:rsidR="007B0C3B" w:rsidRPr="00013A4F">
          <w:rPr>
            <w:rStyle w:val="af0"/>
            <w:noProof/>
          </w:rPr>
          <w:t>六、科学配置公共服务资源</w:t>
        </w:r>
        <w:r w:rsidR="007B0C3B">
          <w:rPr>
            <w:noProof/>
            <w:webHidden/>
          </w:rPr>
          <w:tab/>
        </w:r>
        <w:r w:rsidR="007B0C3B">
          <w:rPr>
            <w:noProof/>
            <w:webHidden/>
          </w:rPr>
          <w:fldChar w:fldCharType="begin"/>
        </w:r>
        <w:r w:rsidR="007B0C3B">
          <w:rPr>
            <w:noProof/>
            <w:webHidden/>
          </w:rPr>
          <w:instrText xml:space="preserve"> PAGEREF _Toc73434895 \h </w:instrText>
        </w:r>
        <w:r w:rsidR="007B0C3B">
          <w:rPr>
            <w:noProof/>
            <w:webHidden/>
          </w:rPr>
        </w:r>
        <w:r w:rsidR="007B0C3B">
          <w:rPr>
            <w:noProof/>
            <w:webHidden/>
          </w:rPr>
          <w:fldChar w:fldCharType="separate"/>
        </w:r>
        <w:r w:rsidR="007B0C3B">
          <w:rPr>
            <w:noProof/>
            <w:webHidden/>
          </w:rPr>
          <w:t>16</w:t>
        </w:r>
        <w:r w:rsidR="007B0C3B">
          <w:rPr>
            <w:noProof/>
            <w:webHidden/>
          </w:rPr>
          <w:fldChar w:fldCharType="end"/>
        </w:r>
      </w:hyperlink>
    </w:p>
    <w:p w14:paraId="46E3334C" w14:textId="7867AE2B" w:rsidR="007B0C3B" w:rsidRDefault="008E63AB">
      <w:pPr>
        <w:pStyle w:val="TOC2"/>
        <w:tabs>
          <w:tab w:val="right" w:leader="dot" w:pos="8296"/>
        </w:tabs>
        <w:ind w:left="560"/>
        <w:rPr>
          <w:rFonts w:asciiTheme="minorHAnsi" w:eastAsiaTheme="minorEastAsia" w:hAnsiTheme="minorHAnsi"/>
          <w:noProof/>
          <w:sz w:val="21"/>
        </w:rPr>
      </w:pPr>
      <w:hyperlink w:anchor="_Toc73434896" w:history="1">
        <w:r w:rsidR="007B0C3B" w:rsidRPr="00013A4F">
          <w:rPr>
            <w:rStyle w:val="af0"/>
            <w:noProof/>
          </w:rPr>
          <w:t>（一）创建宜居活力社区</w:t>
        </w:r>
        <w:r w:rsidR="007B0C3B">
          <w:rPr>
            <w:noProof/>
            <w:webHidden/>
          </w:rPr>
          <w:tab/>
        </w:r>
        <w:r w:rsidR="007B0C3B">
          <w:rPr>
            <w:noProof/>
            <w:webHidden/>
          </w:rPr>
          <w:fldChar w:fldCharType="begin"/>
        </w:r>
        <w:r w:rsidR="007B0C3B">
          <w:rPr>
            <w:noProof/>
            <w:webHidden/>
          </w:rPr>
          <w:instrText xml:space="preserve"> PAGEREF _Toc73434896 \h </w:instrText>
        </w:r>
        <w:r w:rsidR="007B0C3B">
          <w:rPr>
            <w:noProof/>
            <w:webHidden/>
          </w:rPr>
        </w:r>
        <w:r w:rsidR="007B0C3B">
          <w:rPr>
            <w:noProof/>
            <w:webHidden/>
          </w:rPr>
          <w:fldChar w:fldCharType="separate"/>
        </w:r>
        <w:r w:rsidR="007B0C3B">
          <w:rPr>
            <w:noProof/>
            <w:webHidden/>
          </w:rPr>
          <w:t>16</w:t>
        </w:r>
        <w:r w:rsidR="007B0C3B">
          <w:rPr>
            <w:noProof/>
            <w:webHidden/>
          </w:rPr>
          <w:fldChar w:fldCharType="end"/>
        </w:r>
      </w:hyperlink>
    </w:p>
    <w:p w14:paraId="1533BDEF" w14:textId="2BF3BE33" w:rsidR="007B0C3B" w:rsidRDefault="008E63AB">
      <w:pPr>
        <w:pStyle w:val="TOC2"/>
        <w:tabs>
          <w:tab w:val="right" w:leader="dot" w:pos="8296"/>
        </w:tabs>
        <w:ind w:left="560"/>
        <w:rPr>
          <w:rFonts w:asciiTheme="minorHAnsi" w:eastAsiaTheme="minorEastAsia" w:hAnsiTheme="minorHAnsi"/>
          <w:noProof/>
          <w:sz w:val="21"/>
        </w:rPr>
      </w:pPr>
      <w:hyperlink w:anchor="_Toc73434897" w:history="1">
        <w:r w:rsidR="007B0C3B" w:rsidRPr="00013A4F">
          <w:rPr>
            <w:rStyle w:val="af0"/>
            <w:noProof/>
          </w:rPr>
          <w:t>（二）打造基础教育高地</w:t>
        </w:r>
        <w:r w:rsidR="007B0C3B">
          <w:rPr>
            <w:noProof/>
            <w:webHidden/>
          </w:rPr>
          <w:tab/>
        </w:r>
        <w:r w:rsidR="007B0C3B">
          <w:rPr>
            <w:noProof/>
            <w:webHidden/>
          </w:rPr>
          <w:fldChar w:fldCharType="begin"/>
        </w:r>
        <w:r w:rsidR="007B0C3B">
          <w:rPr>
            <w:noProof/>
            <w:webHidden/>
          </w:rPr>
          <w:instrText xml:space="preserve"> PAGEREF _Toc73434897 \h </w:instrText>
        </w:r>
        <w:r w:rsidR="007B0C3B">
          <w:rPr>
            <w:noProof/>
            <w:webHidden/>
          </w:rPr>
        </w:r>
        <w:r w:rsidR="007B0C3B">
          <w:rPr>
            <w:noProof/>
            <w:webHidden/>
          </w:rPr>
          <w:fldChar w:fldCharType="separate"/>
        </w:r>
        <w:r w:rsidR="007B0C3B">
          <w:rPr>
            <w:noProof/>
            <w:webHidden/>
          </w:rPr>
          <w:t>17</w:t>
        </w:r>
        <w:r w:rsidR="007B0C3B">
          <w:rPr>
            <w:noProof/>
            <w:webHidden/>
          </w:rPr>
          <w:fldChar w:fldCharType="end"/>
        </w:r>
      </w:hyperlink>
    </w:p>
    <w:p w14:paraId="7D0A2CB2" w14:textId="5559CEBE" w:rsidR="007B0C3B" w:rsidRDefault="008E63AB">
      <w:pPr>
        <w:pStyle w:val="TOC2"/>
        <w:tabs>
          <w:tab w:val="right" w:leader="dot" w:pos="8296"/>
        </w:tabs>
        <w:ind w:left="560"/>
        <w:rPr>
          <w:rFonts w:asciiTheme="minorHAnsi" w:eastAsiaTheme="minorEastAsia" w:hAnsiTheme="minorHAnsi"/>
          <w:noProof/>
          <w:sz w:val="21"/>
        </w:rPr>
      </w:pPr>
      <w:hyperlink w:anchor="_Toc73434898" w:history="1">
        <w:r w:rsidR="007B0C3B" w:rsidRPr="00013A4F">
          <w:rPr>
            <w:rStyle w:val="af0"/>
            <w:noProof/>
          </w:rPr>
          <w:t>（三）推进全域旅游开发</w:t>
        </w:r>
        <w:r w:rsidR="007B0C3B">
          <w:rPr>
            <w:noProof/>
            <w:webHidden/>
          </w:rPr>
          <w:tab/>
        </w:r>
        <w:r w:rsidR="007B0C3B">
          <w:rPr>
            <w:noProof/>
            <w:webHidden/>
          </w:rPr>
          <w:fldChar w:fldCharType="begin"/>
        </w:r>
        <w:r w:rsidR="007B0C3B">
          <w:rPr>
            <w:noProof/>
            <w:webHidden/>
          </w:rPr>
          <w:instrText xml:space="preserve"> PAGEREF _Toc73434898 \h </w:instrText>
        </w:r>
        <w:r w:rsidR="007B0C3B">
          <w:rPr>
            <w:noProof/>
            <w:webHidden/>
          </w:rPr>
        </w:r>
        <w:r w:rsidR="007B0C3B">
          <w:rPr>
            <w:noProof/>
            <w:webHidden/>
          </w:rPr>
          <w:fldChar w:fldCharType="separate"/>
        </w:r>
        <w:r w:rsidR="007B0C3B">
          <w:rPr>
            <w:noProof/>
            <w:webHidden/>
          </w:rPr>
          <w:t>17</w:t>
        </w:r>
        <w:r w:rsidR="007B0C3B">
          <w:rPr>
            <w:noProof/>
            <w:webHidden/>
          </w:rPr>
          <w:fldChar w:fldCharType="end"/>
        </w:r>
      </w:hyperlink>
    </w:p>
    <w:p w14:paraId="0A61B5AF" w14:textId="0810AF27" w:rsidR="007B0C3B" w:rsidRDefault="008E63AB">
      <w:pPr>
        <w:pStyle w:val="TOC1"/>
        <w:tabs>
          <w:tab w:val="right" w:leader="dot" w:pos="8296"/>
        </w:tabs>
        <w:rPr>
          <w:rFonts w:asciiTheme="minorHAnsi" w:eastAsiaTheme="minorEastAsia" w:hAnsiTheme="minorHAnsi"/>
          <w:noProof/>
          <w:sz w:val="21"/>
        </w:rPr>
      </w:pPr>
      <w:hyperlink w:anchor="_Toc73434899" w:history="1">
        <w:r w:rsidR="007B0C3B" w:rsidRPr="00013A4F">
          <w:rPr>
            <w:rStyle w:val="af0"/>
            <w:noProof/>
          </w:rPr>
          <w:t>五、构建合理住房空间布局</w:t>
        </w:r>
        <w:r w:rsidR="007B0C3B">
          <w:rPr>
            <w:noProof/>
            <w:webHidden/>
          </w:rPr>
          <w:tab/>
        </w:r>
        <w:r w:rsidR="007B0C3B">
          <w:rPr>
            <w:noProof/>
            <w:webHidden/>
          </w:rPr>
          <w:fldChar w:fldCharType="begin"/>
        </w:r>
        <w:r w:rsidR="007B0C3B">
          <w:rPr>
            <w:noProof/>
            <w:webHidden/>
          </w:rPr>
          <w:instrText xml:space="preserve"> PAGEREF _Toc73434899 \h </w:instrText>
        </w:r>
        <w:r w:rsidR="007B0C3B">
          <w:rPr>
            <w:noProof/>
            <w:webHidden/>
          </w:rPr>
        </w:r>
        <w:r w:rsidR="007B0C3B">
          <w:rPr>
            <w:noProof/>
            <w:webHidden/>
          </w:rPr>
          <w:fldChar w:fldCharType="separate"/>
        </w:r>
        <w:r w:rsidR="007B0C3B">
          <w:rPr>
            <w:noProof/>
            <w:webHidden/>
          </w:rPr>
          <w:t>18</w:t>
        </w:r>
        <w:r w:rsidR="007B0C3B">
          <w:rPr>
            <w:noProof/>
            <w:webHidden/>
          </w:rPr>
          <w:fldChar w:fldCharType="end"/>
        </w:r>
      </w:hyperlink>
    </w:p>
    <w:p w14:paraId="6183A85B" w14:textId="6F3B1685" w:rsidR="007B0C3B" w:rsidRDefault="008E63AB">
      <w:pPr>
        <w:pStyle w:val="TOC2"/>
        <w:tabs>
          <w:tab w:val="right" w:leader="dot" w:pos="8296"/>
        </w:tabs>
        <w:ind w:left="560"/>
        <w:rPr>
          <w:rFonts w:asciiTheme="minorHAnsi" w:eastAsiaTheme="minorEastAsia" w:hAnsiTheme="minorHAnsi"/>
          <w:noProof/>
          <w:sz w:val="21"/>
        </w:rPr>
      </w:pPr>
      <w:hyperlink w:anchor="_Toc73434900" w:history="1">
        <w:r w:rsidR="007B0C3B" w:rsidRPr="00013A4F">
          <w:rPr>
            <w:rStyle w:val="af0"/>
            <w:noProof/>
          </w:rPr>
          <w:t>（一）推动中心城区强芯提质</w:t>
        </w:r>
        <w:r w:rsidR="007B0C3B">
          <w:rPr>
            <w:noProof/>
            <w:webHidden/>
          </w:rPr>
          <w:tab/>
        </w:r>
        <w:r w:rsidR="007B0C3B">
          <w:rPr>
            <w:noProof/>
            <w:webHidden/>
          </w:rPr>
          <w:fldChar w:fldCharType="begin"/>
        </w:r>
        <w:r w:rsidR="007B0C3B">
          <w:rPr>
            <w:noProof/>
            <w:webHidden/>
          </w:rPr>
          <w:instrText xml:space="preserve"> PAGEREF _Toc73434900 \h </w:instrText>
        </w:r>
        <w:r w:rsidR="007B0C3B">
          <w:rPr>
            <w:noProof/>
            <w:webHidden/>
          </w:rPr>
        </w:r>
        <w:r w:rsidR="007B0C3B">
          <w:rPr>
            <w:noProof/>
            <w:webHidden/>
          </w:rPr>
          <w:fldChar w:fldCharType="separate"/>
        </w:r>
        <w:r w:rsidR="007B0C3B">
          <w:rPr>
            <w:noProof/>
            <w:webHidden/>
          </w:rPr>
          <w:t>18</w:t>
        </w:r>
        <w:r w:rsidR="007B0C3B">
          <w:rPr>
            <w:noProof/>
            <w:webHidden/>
          </w:rPr>
          <w:fldChar w:fldCharType="end"/>
        </w:r>
      </w:hyperlink>
    </w:p>
    <w:p w14:paraId="12DE843A" w14:textId="2D8E6EFC" w:rsidR="007B0C3B" w:rsidRDefault="008E63AB">
      <w:pPr>
        <w:pStyle w:val="TOC2"/>
        <w:tabs>
          <w:tab w:val="right" w:leader="dot" w:pos="8296"/>
        </w:tabs>
        <w:ind w:left="560"/>
        <w:rPr>
          <w:rFonts w:asciiTheme="minorHAnsi" w:eastAsiaTheme="minorEastAsia" w:hAnsiTheme="minorHAnsi"/>
          <w:noProof/>
          <w:sz w:val="21"/>
        </w:rPr>
      </w:pPr>
      <w:hyperlink w:anchor="_Toc73434901" w:history="1">
        <w:r w:rsidR="007B0C3B" w:rsidRPr="00013A4F">
          <w:rPr>
            <w:rStyle w:val="af0"/>
            <w:noProof/>
          </w:rPr>
          <w:t>（二）支持县域高质量城镇化</w:t>
        </w:r>
        <w:r w:rsidR="007B0C3B">
          <w:rPr>
            <w:noProof/>
            <w:webHidden/>
          </w:rPr>
          <w:tab/>
        </w:r>
        <w:r w:rsidR="007B0C3B">
          <w:rPr>
            <w:noProof/>
            <w:webHidden/>
          </w:rPr>
          <w:fldChar w:fldCharType="begin"/>
        </w:r>
        <w:r w:rsidR="007B0C3B">
          <w:rPr>
            <w:noProof/>
            <w:webHidden/>
          </w:rPr>
          <w:instrText xml:space="preserve"> PAGEREF _Toc73434901 \h </w:instrText>
        </w:r>
        <w:r w:rsidR="007B0C3B">
          <w:rPr>
            <w:noProof/>
            <w:webHidden/>
          </w:rPr>
        </w:r>
        <w:r w:rsidR="007B0C3B">
          <w:rPr>
            <w:noProof/>
            <w:webHidden/>
          </w:rPr>
          <w:fldChar w:fldCharType="separate"/>
        </w:r>
        <w:r w:rsidR="007B0C3B">
          <w:rPr>
            <w:noProof/>
            <w:webHidden/>
          </w:rPr>
          <w:t>19</w:t>
        </w:r>
        <w:r w:rsidR="007B0C3B">
          <w:rPr>
            <w:noProof/>
            <w:webHidden/>
          </w:rPr>
          <w:fldChar w:fldCharType="end"/>
        </w:r>
      </w:hyperlink>
    </w:p>
    <w:p w14:paraId="7D835E63" w14:textId="48783D7C" w:rsidR="007B0C3B" w:rsidRDefault="008E63AB">
      <w:pPr>
        <w:pStyle w:val="TOC2"/>
        <w:tabs>
          <w:tab w:val="right" w:leader="dot" w:pos="8296"/>
        </w:tabs>
        <w:ind w:left="560"/>
        <w:rPr>
          <w:rFonts w:asciiTheme="minorHAnsi" w:eastAsiaTheme="minorEastAsia" w:hAnsiTheme="minorHAnsi"/>
          <w:noProof/>
          <w:sz w:val="21"/>
        </w:rPr>
      </w:pPr>
      <w:hyperlink w:anchor="_Toc73434902" w:history="1">
        <w:r w:rsidR="007B0C3B" w:rsidRPr="00013A4F">
          <w:rPr>
            <w:rStyle w:val="af0"/>
            <w:noProof/>
          </w:rPr>
          <w:t>（三）引导小城镇特色发展</w:t>
        </w:r>
        <w:r w:rsidR="007B0C3B">
          <w:rPr>
            <w:noProof/>
            <w:webHidden/>
          </w:rPr>
          <w:tab/>
        </w:r>
        <w:r w:rsidR="007B0C3B">
          <w:rPr>
            <w:noProof/>
            <w:webHidden/>
          </w:rPr>
          <w:fldChar w:fldCharType="begin"/>
        </w:r>
        <w:r w:rsidR="007B0C3B">
          <w:rPr>
            <w:noProof/>
            <w:webHidden/>
          </w:rPr>
          <w:instrText xml:space="preserve"> PAGEREF _Toc73434902 \h </w:instrText>
        </w:r>
        <w:r w:rsidR="007B0C3B">
          <w:rPr>
            <w:noProof/>
            <w:webHidden/>
          </w:rPr>
        </w:r>
        <w:r w:rsidR="007B0C3B">
          <w:rPr>
            <w:noProof/>
            <w:webHidden/>
          </w:rPr>
          <w:fldChar w:fldCharType="separate"/>
        </w:r>
        <w:r w:rsidR="007B0C3B">
          <w:rPr>
            <w:noProof/>
            <w:webHidden/>
          </w:rPr>
          <w:t>19</w:t>
        </w:r>
        <w:r w:rsidR="007B0C3B">
          <w:rPr>
            <w:noProof/>
            <w:webHidden/>
          </w:rPr>
          <w:fldChar w:fldCharType="end"/>
        </w:r>
      </w:hyperlink>
    </w:p>
    <w:p w14:paraId="33C8FA72" w14:textId="751B017F" w:rsidR="007B0C3B" w:rsidRDefault="008E63AB">
      <w:pPr>
        <w:pStyle w:val="TOC1"/>
        <w:tabs>
          <w:tab w:val="right" w:leader="dot" w:pos="8296"/>
        </w:tabs>
        <w:rPr>
          <w:rFonts w:asciiTheme="minorHAnsi" w:eastAsiaTheme="minorEastAsia" w:hAnsiTheme="minorHAnsi"/>
          <w:noProof/>
          <w:sz w:val="21"/>
        </w:rPr>
      </w:pPr>
      <w:hyperlink w:anchor="_Toc73434903" w:history="1">
        <w:r w:rsidR="007B0C3B" w:rsidRPr="00013A4F">
          <w:rPr>
            <w:rStyle w:val="af0"/>
            <w:noProof/>
          </w:rPr>
          <w:t>七、创新管理服务体制机制</w:t>
        </w:r>
        <w:r w:rsidR="007B0C3B">
          <w:rPr>
            <w:noProof/>
            <w:webHidden/>
          </w:rPr>
          <w:tab/>
        </w:r>
        <w:r w:rsidR="007B0C3B">
          <w:rPr>
            <w:noProof/>
            <w:webHidden/>
          </w:rPr>
          <w:fldChar w:fldCharType="begin"/>
        </w:r>
        <w:r w:rsidR="007B0C3B">
          <w:rPr>
            <w:noProof/>
            <w:webHidden/>
          </w:rPr>
          <w:instrText xml:space="preserve"> PAGEREF _Toc73434903 \h </w:instrText>
        </w:r>
        <w:r w:rsidR="007B0C3B">
          <w:rPr>
            <w:noProof/>
            <w:webHidden/>
          </w:rPr>
        </w:r>
        <w:r w:rsidR="007B0C3B">
          <w:rPr>
            <w:noProof/>
            <w:webHidden/>
          </w:rPr>
          <w:fldChar w:fldCharType="separate"/>
        </w:r>
        <w:r w:rsidR="007B0C3B">
          <w:rPr>
            <w:noProof/>
            <w:webHidden/>
          </w:rPr>
          <w:t>20</w:t>
        </w:r>
        <w:r w:rsidR="007B0C3B">
          <w:rPr>
            <w:noProof/>
            <w:webHidden/>
          </w:rPr>
          <w:fldChar w:fldCharType="end"/>
        </w:r>
      </w:hyperlink>
    </w:p>
    <w:p w14:paraId="403CB245" w14:textId="388F18E6" w:rsidR="007B0C3B" w:rsidRDefault="008E63AB">
      <w:pPr>
        <w:pStyle w:val="TOC2"/>
        <w:tabs>
          <w:tab w:val="right" w:leader="dot" w:pos="8296"/>
        </w:tabs>
        <w:ind w:left="560"/>
        <w:rPr>
          <w:rFonts w:asciiTheme="minorHAnsi" w:eastAsiaTheme="minorEastAsia" w:hAnsiTheme="minorHAnsi"/>
          <w:noProof/>
          <w:sz w:val="21"/>
        </w:rPr>
      </w:pPr>
      <w:hyperlink w:anchor="_Toc73434904" w:history="1">
        <w:r w:rsidR="007B0C3B" w:rsidRPr="00013A4F">
          <w:rPr>
            <w:rStyle w:val="af0"/>
            <w:noProof/>
          </w:rPr>
          <w:t>（一）完善住房基本制度</w:t>
        </w:r>
        <w:r w:rsidR="007B0C3B">
          <w:rPr>
            <w:noProof/>
            <w:webHidden/>
          </w:rPr>
          <w:tab/>
        </w:r>
        <w:r w:rsidR="007B0C3B">
          <w:rPr>
            <w:noProof/>
            <w:webHidden/>
          </w:rPr>
          <w:fldChar w:fldCharType="begin"/>
        </w:r>
        <w:r w:rsidR="007B0C3B">
          <w:rPr>
            <w:noProof/>
            <w:webHidden/>
          </w:rPr>
          <w:instrText xml:space="preserve"> PAGEREF _Toc73434904 \h </w:instrText>
        </w:r>
        <w:r w:rsidR="007B0C3B">
          <w:rPr>
            <w:noProof/>
            <w:webHidden/>
          </w:rPr>
        </w:r>
        <w:r w:rsidR="007B0C3B">
          <w:rPr>
            <w:noProof/>
            <w:webHidden/>
          </w:rPr>
          <w:fldChar w:fldCharType="separate"/>
        </w:r>
        <w:r w:rsidR="007B0C3B">
          <w:rPr>
            <w:noProof/>
            <w:webHidden/>
          </w:rPr>
          <w:t>20</w:t>
        </w:r>
        <w:r w:rsidR="007B0C3B">
          <w:rPr>
            <w:noProof/>
            <w:webHidden/>
          </w:rPr>
          <w:fldChar w:fldCharType="end"/>
        </w:r>
      </w:hyperlink>
    </w:p>
    <w:p w14:paraId="738FC626" w14:textId="2065C5D1" w:rsidR="007B0C3B" w:rsidRDefault="008E63AB">
      <w:pPr>
        <w:pStyle w:val="TOC2"/>
        <w:tabs>
          <w:tab w:val="right" w:leader="dot" w:pos="8296"/>
        </w:tabs>
        <w:ind w:left="560"/>
        <w:rPr>
          <w:rFonts w:asciiTheme="minorHAnsi" w:eastAsiaTheme="minorEastAsia" w:hAnsiTheme="minorHAnsi"/>
          <w:noProof/>
          <w:sz w:val="21"/>
        </w:rPr>
      </w:pPr>
      <w:hyperlink w:anchor="_Toc73434905" w:history="1">
        <w:r w:rsidR="007B0C3B" w:rsidRPr="00013A4F">
          <w:rPr>
            <w:rStyle w:val="af0"/>
            <w:noProof/>
          </w:rPr>
          <w:t>（二）加强房地产市场监管</w:t>
        </w:r>
        <w:r w:rsidR="007B0C3B">
          <w:rPr>
            <w:noProof/>
            <w:webHidden/>
          </w:rPr>
          <w:tab/>
        </w:r>
        <w:r w:rsidR="007B0C3B">
          <w:rPr>
            <w:noProof/>
            <w:webHidden/>
          </w:rPr>
          <w:fldChar w:fldCharType="begin"/>
        </w:r>
        <w:r w:rsidR="007B0C3B">
          <w:rPr>
            <w:noProof/>
            <w:webHidden/>
          </w:rPr>
          <w:instrText xml:space="preserve"> PAGEREF _Toc73434905 \h </w:instrText>
        </w:r>
        <w:r w:rsidR="007B0C3B">
          <w:rPr>
            <w:noProof/>
            <w:webHidden/>
          </w:rPr>
        </w:r>
        <w:r w:rsidR="007B0C3B">
          <w:rPr>
            <w:noProof/>
            <w:webHidden/>
          </w:rPr>
          <w:fldChar w:fldCharType="separate"/>
        </w:r>
        <w:r w:rsidR="007B0C3B">
          <w:rPr>
            <w:noProof/>
            <w:webHidden/>
          </w:rPr>
          <w:t>20</w:t>
        </w:r>
        <w:r w:rsidR="007B0C3B">
          <w:rPr>
            <w:noProof/>
            <w:webHidden/>
          </w:rPr>
          <w:fldChar w:fldCharType="end"/>
        </w:r>
      </w:hyperlink>
    </w:p>
    <w:p w14:paraId="6DB18BC6" w14:textId="3AEBC05C" w:rsidR="007B0C3B" w:rsidRDefault="008E63AB">
      <w:pPr>
        <w:pStyle w:val="TOC2"/>
        <w:tabs>
          <w:tab w:val="right" w:leader="dot" w:pos="8296"/>
        </w:tabs>
        <w:ind w:left="560"/>
        <w:rPr>
          <w:rFonts w:asciiTheme="minorHAnsi" w:eastAsiaTheme="minorEastAsia" w:hAnsiTheme="minorHAnsi"/>
          <w:noProof/>
          <w:sz w:val="21"/>
        </w:rPr>
      </w:pPr>
      <w:hyperlink w:anchor="_Toc73434906" w:history="1">
        <w:r w:rsidR="007B0C3B" w:rsidRPr="00013A4F">
          <w:rPr>
            <w:rStyle w:val="af0"/>
            <w:noProof/>
          </w:rPr>
          <w:t>（三）优化房地产市场营商环境</w:t>
        </w:r>
        <w:r w:rsidR="007B0C3B">
          <w:rPr>
            <w:noProof/>
            <w:webHidden/>
          </w:rPr>
          <w:tab/>
        </w:r>
        <w:r w:rsidR="007B0C3B">
          <w:rPr>
            <w:noProof/>
            <w:webHidden/>
          </w:rPr>
          <w:fldChar w:fldCharType="begin"/>
        </w:r>
        <w:r w:rsidR="007B0C3B">
          <w:rPr>
            <w:noProof/>
            <w:webHidden/>
          </w:rPr>
          <w:instrText xml:space="preserve"> PAGEREF _Toc73434906 \h </w:instrText>
        </w:r>
        <w:r w:rsidR="007B0C3B">
          <w:rPr>
            <w:noProof/>
            <w:webHidden/>
          </w:rPr>
        </w:r>
        <w:r w:rsidR="007B0C3B">
          <w:rPr>
            <w:noProof/>
            <w:webHidden/>
          </w:rPr>
          <w:fldChar w:fldCharType="separate"/>
        </w:r>
        <w:r w:rsidR="007B0C3B">
          <w:rPr>
            <w:noProof/>
            <w:webHidden/>
          </w:rPr>
          <w:t>21</w:t>
        </w:r>
        <w:r w:rsidR="007B0C3B">
          <w:rPr>
            <w:noProof/>
            <w:webHidden/>
          </w:rPr>
          <w:fldChar w:fldCharType="end"/>
        </w:r>
      </w:hyperlink>
    </w:p>
    <w:p w14:paraId="4F4C2164" w14:textId="23E4D516" w:rsidR="007B0C3B" w:rsidRDefault="008E63AB">
      <w:pPr>
        <w:pStyle w:val="TOC1"/>
        <w:tabs>
          <w:tab w:val="right" w:leader="dot" w:pos="8296"/>
        </w:tabs>
        <w:rPr>
          <w:rFonts w:asciiTheme="minorHAnsi" w:eastAsiaTheme="minorEastAsia" w:hAnsiTheme="minorHAnsi"/>
          <w:noProof/>
          <w:sz w:val="21"/>
        </w:rPr>
      </w:pPr>
      <w:hyperlink w:anchor="_Toc73434907" w:history="1">
        <w:r w:rsidR="007B0C3B" w:rsidRPr="00013A4F">
          <w:rPr>
            <w:rStyle w:val="af0"/>
            <w:noProof/>
          </w:rPr>
          <w:t>八、加强规划实施保障</w:t>
        </w:r>
        <w:r w:rsidR="007B0C3B">
          <w:rPr>
            <w:noProof/>
            <w:webHidden/>
          </w:rPr>
          <w:tab/>
        </w:r>
        <w:r w:rsidR="007B0C3B">
          <w:rPr>
            <w:noProof/>
            <w:webHidden/>
          </w:rPr>
          <w:fldChar w:fldCharType="begin"/>
        </w:r>
        <w:r w:rsidR="007B0C3B">
          <w:rPr>
            <w:noProof/>
            <w:webHidden/>
          </w:rPr>
          <w:instrText xml:space="preserve"> PAGEREF _Toc73434907 \h </w:instrText>
        </w:r>
        <w:r w:rsidR="007B0C3B">
          <w:rPr>
            <w:noProof/>
            <w:webHidden/>
          </w:rPr>
        </w:r>
        <w:r w:rsidR="007B0C3B">
          <w:rPr>
            <w:noProof/>
            <w:webHidden/>
          </w:rPr>
          <w:fldChar w:fldCharType="separate"/>
        </w:r>
        <w:r w:rsidR="007B0C3B">
          <w:rPr>
            <w:noProof/>
            <w:webHidden/>
          </w:rPr>
          <w:t>21</w:t>
        </w:r>
        <w:r w:rsidR="007B0C3B">
          <w:rPr>
            <w:noProof/>
            <w:webHidden/>
          </w:rPr>
          <w:fldChar w:fldCharType="end"/>
        </w:r>
      </w:hyperlink>
    </w:p>
    <w:p w14:paraId="36A9D9E9" w14:textId="66411D92" w:rsidR="007B0C3B" w:rsidRDefault="008E63AB">
      <w:pPr>
        <w:pStyle w:val="TOC2"/>
        <w:tabs>
          <w:tab w:val="right" w:leader="dot" w:pos="8296"/>
        </w:tabs>
        <w:ind w:left="560"/>
        <w:rPr>
          <w:rFonts w:asciiTheme="minorHAnsi" w:eastAsiaTheme="minorEastAsia" w:hAnsiTheme="minorHAnsi"/>
          <w:noProof/>
          <w:sz w:val="21"/>
        </w:rPr>
      </w:pPr>
      <w:hyperlink w:anchor="_Toc73434908" w:history="1">
        <w:r w:rsidR="007B0C3B" w:rsidRPr="00013A4F">
          <w:rPr>
            <w:rStyle w:val="af0"/>
            <w:noProof/>
          </w:rPr>
          <w:t>（一）加强组织领导</w:t>
        </w:r>
        <w:r w:rsidR="007B0C3B">
          <w:rPr>
            <w:noProof/>
            <w:webHidden/>
          </w:rPr>
          <w:tab/>
        </w:r>
        <w:r w:rsidR="007B0C3B">
          <w:rPr>
            <w:noProof/>
            <w:webHidden/>
          </w:rPr>
          <w:fldChar w:fldCharType="begin"/>
        </w:r>
        <w:r w:rsidR="007B0C3B">
          <w:rPr>
            <w:noProof/>
            <w:webHidden/>
          </w:rPr>
          <w:instrText xml:space="preserve"> PAGEREF _Toc73434908 \h </w:instrText>
        </w:r>
        <w:r w:rsidR="007B0C3B">
          <w:rPr>
            <w:noProof/>
            <w:webHidden/>
          </w:rPr>
        </w:r>
        <w:r w:rsidR="007B0C3B">
          <w:rPr>
            <w:noProof/>
            <w:webHidden/>
          </w:rPr>
          <w:fldChar w:fldCharType="separate"/>
        </w:r>
        <w:r w:rsidR="007B0C3B">
          <w:rPr>
            <w:noProof/>
            <w:webHidden/>
          </w:rPr>
          <w:t>21</w:t>
        </w:r>
        <w:r w:rsidR="007B0C3B">
          <w:rPr>
            <w:noProof/>
            <w:webHidden/>
          </w:rPr>
          <w:fldChar w:fldCharType="end"/>
        </w:r>
      </w:hyperlink>
    </w:p>
    <w:p w14:paraId="2D199EA8" w14:textId="6B0EB281" w:rsidR="007B0C3B" w:rsidRDefault="008E63AB">
      <w:pPr>
        <w:pStyle w:val="TOC2"/>
        <w:tabs>
          <w:tab w:val="right" w:leader="dot" w:pos="8296"/>
        </w:tabs>
        <w:ind w:left="560"/>
        <w:rPr>
          <w:rFonts w:asciiTheme="minorHAnsi" w:eastAsiaTheme="minorEastAsia" w:hAnsiTheme="minorHAnsi"/>
          <w:noProof/>
          <w:sz w:val="21"/>
        </w:rPr>
      </w:pPr>
      <w:hyperlink w:anchor="_Toc73434909" w:history="1">
        <w:r w:rsidR="007B0C3B" w:rsidRPr="00013A4F">
          <w:rPr>
            <w:rStyle w:val="af0"/>
            <w:noProof/>
          </w:rPr>
          <w:t>（二）健全住房发展要素保障机制</w:t>
        </w:r>
        <w:r w:rsidR="007B0C3B">
          <w:rPr>
            <w:noProof/>
            <w:webHidden/>
          </w:rPr>
          <w:tab/>
        </w:r>
        <w:r w:rsidR="007B0C3B">
          <w:rPr>
            <w:noProof/>
            <w:webHidden/>
          </w:rPr>
          <w:fldChar w:fldCharType="begin"/>
        </w:r>
        <w:r w:rsidR="007B0C3B">
          <w:rPr>
            <w:noProof/>
            <w:webHidden/>
          </w:rPr>
          <w:instrText xml:space="preserve"> PAGEREF _Toc73434909 \h </w:instrText>
        </w:r>
        <w:r w:rsidR="007B0C3B">
          <w:rPr>
            <w:noProof/>
            <w:webHidden/>
          </w:rPr>
        </w:r>
        <w:r w:rsidR="007B0C3B">
          <w:rPr>
            <w:noProof/>
            <w:webHidden/>
          </w:rPr>
          <w:fldChar w:fldCharType="separate"/>
        </w:r>
        <w:r w:rsidR="007B0C3B">
          <w:rPr>
            <w:noProof/>
            <w:webHidden/>
          </w:rPr>
          <w:t>22</w:t>
        </w:r>
        <w:r w:rsidR="007B0C3B">
          <w:rPr>
            <w:noProof/>
            <w:webHidden/>
          </w:rPr>
          <w:fldChar w:fldCharType="end"/>
        </w:r>
      </w:hyperlink>
    </w:p>
    <w:p w14:paraId="4AE852CB" w14:textId="193C7617" w:rsidR="007B0C3B" w:rsidRDefault="008E63AB">
      <w:pPr>
        <w:pStyle w:val="TOC2"/>
        <w:tabs>
          <w:tab w:val="right" w:leader="dot" w:pos="8296"/>
        </w:tabs>
        <w:ind w:left="560"/>
        <w:rPr>
          <w:rFonts w:asciiTheme="minorHAnsi" w:eastAsiaTheme="minorEastAsia" w:hAnsiTheme="minorHAnsi"/>
          <w:noProof/>
          <w:sz w:val="21"/>
        </w:rPr>
      </w:pPr>
      <w:hyperlink w:anchor="_Toc73434910" w:history="1">
        <w:r w:rsidR="007B0C3B" w:rsidRPr="00013A4F">
          <w:rPr>
            <w:rStyle w:val="af0"/>
            <w:noProof/>
          </w:rPr>
          <w:t>（三）完善规划实施的评估机制</w:t>
        </w:r>
        <w:r w:rsidR="007B0C3B">
          <w:rPr>
            <w:noProof/>
            <w:webHidden/>
          </w:rPr>
          <w:tab/>
        </w:r>
        <w:r w:rsidR="007B0C3B">
          <w:rPr>
            <w:noProof/>
            <w:webHidden/>
          </w:rPr>
          <w:fldChar w:fldCharType="begin"/>
        </w:r>
        <w:r w:rsidR="007B0C3B">
          <w:rPr>
            <w:noProof/>
            <w:webHidden/>
          </w:rPr>
          <w:instrText xml:space="preserve"> PAGEREF _Toc73434910 \h </w:instrText>
        </w:r>
        <w:r w:rsidR="007B0C3B">
          <w:rPr>
            <w:noProof/>
            <w:webHidden/>
          </w:rPr>
        </w:r>
        <w:r w:rsidR="007B0C3B">
          <w:rPr>
            <w:noProof/>
            <w:webHidden/>
          </w:rPr>
          <w:fldChar w:fldCharType="separate"/>
        </w:r>
        <w:r w:rsidR="007B0C3B">
          <w:rPr>
            <w:noProof/>
            <w:webHidden/>
          </w:rPr>
          <w:t>22</w:t>
        </w:r>
        <w:r w:rsidR="007B0C3B">
          <w:rPr>
            <w:noProof/>
            <w:webHidden/>
          </w:rPr>
          <w:fldChar w:fldCharType="end"/>
        </w:r>
      </w:hyperlink>
    </w:p>
    <w:p w14:paraId="4DBD25B0" w14:textId="08B97557" w:rsidR="007B0C3B" w:rsidRDefault="008E63AB">
      <w:pPr>
        <w:pStyle w:val="TOC2"/>
        <w:tabs>
          <w:tab w:val="right" w:leader="dot" w:pos="8296"/>
        </w:tabs>
        <w:ind w:left="560"/>
        <w:rPr>
          <w:rFonts w:asciiTheme="minorHAnsi" w:eastAsiaTheme="minorEastAsia" w:hAnsiTheme="minorHAnsi"/>
          <w:noProof/>
          <w:sz w:val="21"/>
        </w:rPr>
      </w:pPr>
      <w:hyperlink w:anchor="_Toc73434911" w:history="1">
        <w:r w:rsidR="007B0C3B" w:rsidRPr="00013A4F">
          <w:rPr>
            <w:rStyle w:val="af0"/>
            <w:noProof/>
          </w:rPr>
          <w:t>（四）做好规划宣传引导工作</w:t>
        </w:r>
        <w:r w:rsidR="007B0C3B">
          <w:rPr>
            <w:noProof/>
            <w:webHidden/>
          </w:rPr>
          <w:tab/>
        </w:r>
        <w:r w:rsidR="007B0C3B">
          <w:rPr>
            <w:noProof/>
            <w:webHidden/>
          </w:rPr>
          <w:fldChar w:fldCharType="begin"/>
        </w:r>
        <w:r w:rsidR="007B0C3B">
          <w:rPr>
            <w:noProof/>
            <w:webHidden/>
          </w:rPr>
          <w:instrText xml:space="preserve"> PAGEREF _Toc73434911 \h </w:instrText>
        </w:r>
        <w:r w:rsidR="007B0C3B">
          <w:rPr>
            <w:noProof/>
            <w:webHidden/>
          </w:rPr>
        </w:r>
        <w:r w:rsidR="007B0C3B">
          <w:rPr>
            <w:noProof/>
            <w:webHidden/>
          </w:rPr>
          <w:fldChar w:fldCharType="separate"/>
        </w:r>
        <w:r w:rsidR="007B0C3B">
          <w:rPr>
            <w:noProof/>
            <w:webHidden/>
          </w:rPr>
          <w:t>22</w:t>
        </w:r>
        <w:r w:rsidR="007B0C3B">
          <w:rPr>
            <w:noProof/>
            <w:webHidden/>
          </w:rPr>
          <w:fldChar w:fldCharType="end"/>
        </w:r>
      </w:hyperlink>
    </w:p>
    <w:p w14:paraId="6C5BB903" w14:textId="6100FE6F" w:rsidR="007B0C3B" w:rsidRDefault="008E63AB">
      <w:pPr>
        <w:pStyle w:val="TOC1"/>
        <w:tabs>
          <w:tab w:val="right" w:leader="dot" w:pos="8296"/>
        </w:tabs>
        <w:rPr>
          <w:rFonts w:asciiTheme="minorHAnsi" w:eastAsiaTheme="minorEastAsia" w:hAnsiTheme="minorHAnsi"/>
          <w:noProof/>
          <w:sz w:val="21"/>
        </w:rPr>
      </w:pPr>
      <w:hyperlink w:anchor="_Toc73434912" w:history="1">
        <w:r w:rsidR="007B0C3B" w:rsidRPr="00013A4F">
          <w:rPr>
            <w:rStyle w:val="af0"/>
            <w:noProof/>
          </w:rPr>
          <w:t>附表</w:t>
        </w:r>
        <w:r w:rsidR="007B0C3B">
          <w:rPr>
            <w:noProof/>
            <w:webHidden/>
          </w:rPr>
          <w:tab/>
        </w:r>
        <w:r w:rsidR="007B0C3B">
          <w:rPr>
            <w:noProof/>
            <w:webHidden/>
          </w:rPr>
          <w:fldChar w:fldCharType="begin"/>
        </w:r>
        <w:r w:rsidR="007B0C3B">
          <w:rPr>
            <w:noProof/>
            <w:webHidden/>
          </w:rPr>
          <w:instrText xml:space="preserve"> PAGEREF _Toc73434912 \h </w:instrText>
        </w:r>
        <w:r w:rsidR="007B0C3B">
          <w:rPr>
            <w:noProof/>
            <w:webHidden/>
          </w:rPr>
        </w:r>
        <w:r w:rsidR="007B0C3B">
          <w:rPr>
            <w:noProof/>
            <w:webHidden/>
          </w:rPr>
          <w:fldChar w:fldCharType="separate"/>
        </w:r>
        <w:r w:rsidR="007B0C3B">
          <w:rPr>
            <w:noProof/>
            <w:webHidden/>
          </w:rPr>
          <w:t>23</w:t>
        </w:r>
        <w:r w:rsidR="007B0C3B">
          <w:rPr>
            <w:noProof/>
            <w:webHidden/>
          </w:rPr>
          <w:fldChar w:fldCharType="end"/>
        </w:r>
      </w:hyperlink>
    </w:p>
    <w:p w14:paraId="0BE2CE62" w14:textId="15D58D65" w:rsidR="00A51C0F" w:rsidRDefault="001F3920" w:rsidP="00BF6481">
      <w:pPr>
        <w:spacing w:line="360" w:lineRule="auto"/>
        <w:rPr>
          <w:rFonts w:eastAsia="黑体"/>
        </w:rPr>
      </w:pPr>
      <w:r>
        <w:rPr>
          <w:rFonts w:eastAsia="黑体"/>
        </w:rPr>
        <w:fldChar w:fldCharType="end"/>
      </w:r>
    </w:p>
    <w:p w14:paraId="2DCC75E8" w14:textId="463600F3" w:rsidR="0093396F" w:rsidRDefault="0093396F" w:rsidP="00BF6481">
      <w:pPr>
        <w:spacing w:line="360" w:lineRule="auto"/>
        <w:rPr>
          <w:rFonts w:eastAsia="黑体"/>
        </w:rPr>
      </w:pPr>
    </w:p>
    <w:p w14:paraId="413DBA0E" w14:textId="77777777" w:rsidR="0093396F" w:rsidRPr="0093396F" w:rsidRDefault="0093396F" w:rsidP="00BF6481">
      <w:pPr>
        <w:spacing w:line="360" w:lineRule="auto"/>
      </w:pPr>
    </w:p>
    <w:p w14:paraId="171443F2" w14:textId="77777777" w:rsidR="00A51C0F" w:rsidRDefault="00A51C0F">
      <w:pPr>
        <w:sectPr w:rsidR="00A51C0F">
          <w:pgSz w:w="11906" w:h="16838"/>
          <w:pgMar w:top="1440" w:right="1800" w:bottom="1440" w:left="1800" w:header="851" w:footer="992" w:gutter="0"/>
          <w:cols w:space="425"/>
          <w:docGrid w:type="lines" w:linePitch="312"/>
        </w:sectPr>
      </w:pPr>
    </w:p>
    <w:p w14:paraId="05A4EA84" w14:textId="4B3C5377" w:rsidR="0093396F" w:rsidRPr="0093396F" w:rsidRDefault="0093396F" w:rsidP="00C56648">
      <w:pPr>
        <w:pStyle w:val="1"/>
        <w:spacing w:before="312" w:after="312"/>
        <w:ind w:firstLineChars="0" w:firstLine="0"/>
        <w:jc w:val="center"/>
      </w:pPr>
      <w:bookmarkStart w:id="0" w:name="_Toc12561076"/>
      <w:bookmarkStart w:id="1" w:name="_Toc25008742"/>
      <w:bookmarkStart w:id="2" w:name="_Toc73434878"/>
      <w:r w:rsidRPr="0093396F">
        <w:rPr>
          <w:rFonts w:hint="eastAsia"/>
        </w:rPr>
        <w:lastRenderedPageBreak/>
        <w:t>前</w:t>
      </w:r>
      <w:r w:rsidRPr="0093396F">
        <w:t xml:space="preserve">  </w:t>
      </w:r>
      <w:r w:rsidRPr="0093396F">
        <w:rPr>
          <w:rFonts w:hint="eastAsia"/>
        </w:rPr>
        <w:t>言</w:t>
      </w:r>
      <w:bookmarkEnd w:id="0"/>
      <w:bookmarkEnd w:id="1"/>
      <w:bookmarkEnd w:id="2"/>
    </w:p>
    <w:p w14:paraId="22C57C75" w14:textId="7FAAE017" w:rsidR="0093396F" w:rsidRDefault="0093396F" w:rsidP="00382E3E">
      <w:pPr>
        <w:ind w:firstLineChars="200" w:firstLine="560"/>
      </w:pPr>
      <w:r>
        <w:rPr>
          <w:rFonts w:hint="eastAsia"/>
        </w:rPr>
        <w:t>“十四五”时期</w:t>
      </w:r>
      <w:r>
        <w:t>是我国</w:t>
      </w:r>
      <w:r w:rsidRPr="002B3788">
        <w:rPr>
          <w:rFonts w:hint="eastAsia"/>
        </w:rPr>
        <w:t>开启全面建设社会主义现代化国家新征程的第一个五年</w:t>
      </w:r>
      <w:r>
        <w:rPr>
          <w:rFonts w:hint="eastAsia"/>
        </w:rPr>
        <w:t>，</w:t>
      </w:r>
      <w:r w:rsidR="003835FA">
        <w:rPr>
          <w:rFonts w:hint="eastAsia"/>
        </w:rPr>
        <w:t>也</w:t>
      </w:r>
      <w:r>
        <w:rPr>
          <w:rFonts w:hint="eastAsia"/>
        </w:rPr>
        <w:t>是</w:t>
      </w:r>
      <w:r w:rsidR="00901E9E">
        <w:rPr>
          <w:rFonts w:hint="eastAsia"/>
        </w:rPr>
        <w:t>湛江市</w:t>
      </w:r>
      <w:r w:rsidR="00901E9E" w:rsidRPr="00901E9E">
        <w:rPr>
          <w:rFonts w:hint="eastAsia"/>
        </w:rPr>
        <w:t>加快</w:t>
      </w:r>
      <w:r w:rsidR="00901E9E">
        <w:rPr>
          <w:rFonts w:hint="eastAsia"/>
        </w:rPr>
        <w:t>建设</w:t>
      </w:r>
      <w:r w:rsidR="00901E9E" w:rsidRPr="00901E9E">
        <w:rPr>
          <w:rFonts w:hint="eastAsia"/>
        </w:rPr>
        <w:t>成为现代化沿海经济带重要发展极、广东省域副中心城市</w:t>
      </w:r>
      <w:r w:rsidR="00901E9E">
        <w:rPr>
          <w:rFonts w:hint="eastAsia"/>
        </w:rPr>
        <w:t>的</w:t>
      </w:r>
      <w:r w:rsidRPr="00586625">
        <w:rPr>
          <w:rFonts w:hint="eastAsia"/>
        </w:rPr>
        <w:t>关键</w:t>
      </w:r>
      <w:r w:rsidR="00901E9E">
        <w:rPr>
          <w:rFonts w:hint="eastAsia"/>
        </w:rPr>
        <w:t>时期</w:t>
      </w:r>
      <w:r>
        <w:t>。</w:t>
      </w:r>
      <w:r>
        <w:rPr>
          <w:rFonts w:hint="eastAsia"/>
        </w:rPr>
        <w:t>为</w:t>
      </w:r>
      <w:r>
        <w:t>贯彻</w:t>
      </w:r>
      <w:r>
        <w:rPr>
          <w:rFonts w:hint="eastAsia"/>
        </w:rPr>
        <w:t>落实</w:t>
      </w:r>
      <w:r w:rsidR="00382E3E" w:rsidRPr="00382E3E">
        <w:rPr>
          <w:rFonts w:hint="eastAsia"/>
        </w:rPr>
        <w:t>根据国家、省和市的有关工作要求</w:t>
      </w:r>
      <w:r w:rsidR="00382E3E">
        <w:rPr>
          <w:rFonts w:hint="eastAsia"/>
        </w:rPr>
        <w:t>，以及各级</w:t>
      </w:r>
      <w:r w:rsidRPr="002B3788">
        <w:rPr>
          <w:rFonts w:hint="eastAsia"/>
        </w:rPr>
        <w:t>国民经济和社会发展</w:t>
      </w:r>
      <w:r w:rsidRPr="00835C71">
        <w:rPr>
          <w:rFonts w:hint="eastAsia"/>
        </w:rPr>
        <w:t>第十四个五年规划和</w:t>
      </w:r>
      <w:r w:rsidRPr="00835C71">
        <w:rPr>
          <w:rFonts w:hint="eastAsia"/>
        </w:rPr>
        <w:t>2035</w:t>
      </w:r>
      <w:r w:rsidRPr="00835C71">
        <w:rPr>
          <w:rFonts w:hint="eastAsia"/>
        </w:rPr>
        <w:t>年远景目标纲要</w:t>
      </w:r>
      <w:r w:rsidR="003835FA">
        <w:rPr>
          <w:rFonts w:hint="eastAsia"/>
        </w:rPr>
        <w:t>等文件精神</w:t>
      </w:r>
      <w:r w:rsidRPr="002B3788">
        <w:rPr>
          <w:rFonts w:hint="eastAsia"/>
        </w:rPr>
        <w:t>，</w:t>
      </w:r>
      <w:r w:rsidR="00901E9E">
        <w:rPr>
          <w:rFonts w:hint="eastAsia"/>
        </w:rPr>
        <w:t>更好地发挥好住房建设对湛江市经济、社会和人口发展的支持作用，</w:t>
      </w:r>
      <w:r>
        <w:t>制定本规划。</w:t>
      </w:r>
      <w:r w:rsidR="00901E9E">
        <w:rPr>
          <w:rFonts w:hint="eastAsia"/>
        </w:rPr>
        <w:t>本规划</w:t>
      </w:r>
      <w:r w:rsidR="00901E9E" w:rsidRPr="00901E9E">
        <w:rPr>
          <w:rFonts w:hint="eastAsia"/>
        </w:rPr>
        <w:t>旨在阐明规划期内我市人口发展的</w:t>
      </w:r>
      <w:r w:rsidR="006A0861">
        <w:rPr>
          <w:rFonts w:hint="eastAsia"/>
        </w:rPr>
        <w:t>总体思路、</w:t>
      </w:r>
      <w:r w:rsidR="006C06CE">
        <w:rPr>
          <w:rFonts w:hint="eastAsia"/>
        </w:rPr>
        <w:t>发展</w:t>
      </w:r>
      <w:r w:rsidR="00901E9E" w:rsidRPr="00901E9E">
        <w:rPr>
          <w:rFonts w:hint="eastAsia"/>
        </w:rPr>
        <w:t>目标</w:t>
      </w:r>
      <w:r w:rsidR="006A0861">
        <w:rPr>
          <w:rFonts w:hint="eastAsia"/>
        </w:rPr>
        <w:t>和主要</w:t>
      </w:r>
      <w:r w:rsidR="006C06CE">
        <w:rPr>
          <w:rFonts w:hint="eastAsia"/>
        </w:rPr>
        <w:t>任务</w:t>
      </w:r>
      <w:r w:rsidR="00901E9E" w:rsidRPr="00901E9E">
        <w:rPr>
          <w:rFonts w:hint="eastAsia"/>
        </w:rPr>
        <w:t>，</w:t>
      </w:r>
      <w:r>
        <w:t>是今后五年</w:t>
      </w:r>
      <w:r>
        <w:rPr>
          <w:rFonts w:hint="eastAsia"/>
        </w:rPr>
        <w:t>推进</w:t>
      </w:r>
      <w:r w:rsidR="00901E9E">
        <w:rPr>
          <w:rFonts w:hint="eastAsia"/>
        </w:rPr>
        <w:t>湛江</w:t>
      </w:r>
      <w:r>
        <w:t>市</w:t>
      </w:r>
      <w:r w:rsidR="00901E9E">
        <w:rPr>
          <w:rFonts w:hint="eastAsia"/>
        </w:rPr>
        <w:t>住房市场和住房保障</w:t>
      </w:r>
      <w:r>
        <w:t>发展的</w:t>
      </w:r>
      <w:r>
        <w:rPr>
          <w:rFonts w:hint="eastAsia"/>
        </w:rPr>
        <w:t>综合</w:t>
      </w:r>
      <w:r>
        <w:t>性和指导性文件</w:t>
      </w:r>
      <w:r>
        <w:rPr>
          <w:rFonts w:hint="eastAsia"/>
        </w:rPr>
        <w:t>。</w:t>
      </w:r>
    </w:p>
    <w:p w14:paraId="7F7F532F" w14:textId="00E21988" w:rsidR="00A51C0F" w:rsidRDefault="00AC22D2">
      <w:pPr>
        <w:pStyle w:val="1"/>
        <w:spacing w:before="312" w:after="312"/>
        <w:ind w:firstLine="640"/>
      </w:pPr>
      <w:bookmarkStart w:id="3" w:name="_Toc73434879"/>
      <w:r>
        <w:rPr>
          <w:rFonts w:hint="eastAsia"/>
        </w:rPr>
        <w:t>一、</w:t>
      </w:r>
      <w:r w:rsidR="00D55B18">
        <w:rPr>
          <w:rFonts w:hint="eastAsia"/>
        </w:rPr>
        <w:t>规划背景</w:t>
      </w:r>
      <w:bookmarkEnd w:id="3"/>
    </w:p>
    <w:p w14:paraId="33B9AD17" w14:textId="4A3B2011" w:rsidR="00161A83" w:rsidRPr="00161A83" w:rsidRDefault="00C11765" w:rsidP="00B61604">
      <w:pPr>
        <w:pStyle w:val="2"/>
        <w:spacing w:before="312" w:after="312"/>
        <w:ind w:firstLine="602"/>
      </w:pPr>
      <w:bookmarkStart w:id="4" w:name="_Toc73434880"/>
      <w:r>
        <w:rPr>
          <w:rFonts w:hint="eastAsia"/>
        </w:rPr>
        <w:t>（一）</w:t>
      </w:r>
      <w:r w:rsidR="00D55B18">
        <w:rPr>
          <w:rFonts w:hint="eastAsia"/>
        </w:rPr>
        <w:t>住房现状</w:t>
      </w:r>
      <w:bookmarkEnd w:id="4"/>
    </w:p>
    <w:p w14:paraId="7805E919" w14:textId="282638C1" w:rsidR="003148D2" w:rsidRPr="003148D2" w:rsidRDefault="003148D2" w:rsidP="003148D2">
      <w:pPr>
        <w:ind w:firstLineChars="200" w:firstLine="560"/>
      </w:pPr>
      <w:r w:rsidRPr="003148D2">
        <w:rPr>
          <w:rFonts w:hint="eastAsia"/>
        </w:rPr>
        <w:t>“十三五”时期，我市认真贯彻落实党中央、国务院和省委、省政府关于住房工作的决策部署，坚持房子是用来住的、不是用来炒的定位，不断完善住房市场体系和保障体系</w:t>
      </w:r>
      <w:r w:rsidRPr="003148D2">
        <w:t>，</w:t>
      </w:r>
      <w:r w:rsidRPr="003148D2">
        <w:rPr>
          <w:rFonts w:hint="eastAsia"/>
        </w:rPr>
        <w:t>加强房地产市场监督管理，稳步推进保障性安居工程，在推动经济产业、人口发展方面取得积极成效，全市住房发展呈现以下特点：</w:t>
      </w:r>
    </w:p>
    <w:p w14:paraId="4AD930DD" w14:textId="2CE7CC40" w:rsidR="00841185" w:rsidRPr="00564B5A" w:rsidRDefault="007A1918" w:rsidP="00841185">
      <w:pPr>
        <w:ind w:firstLineChars="200" w:firstLine="562"/>
      </w:pPr>
      <w:r w:rsidRPr="00564B5A">
        <w:rPr>
          <w:rFonts w:hint="eastAsia"/>
          <w:b/>
          <w:bCs/>
        </w:rPr>
        <w:t>1</w:t>
      </w:r>
      <w:r w:rsidRPr="00564B5A">
        <w:rPr>
          <w:b/>
          <w:bCs/>
        </w:rPr>
        <w:t>.</w:t>
      </w:r>
      <w:r w:rsidR="00D249E2">
        <w:rPr>
          <w:b/>
          <w:bCs/>
        </w:rPr>
        <w:t xml:space="preserve"> </w:t>
      </w:r>
      <w:r w:rsidRPr="00564B5A">
        <w:rPr>
          <w:rFonts w:hint="eastAsia"/>
          <w:b/>
          <w:bCs/>
        </w:rPr>
        <w:t>居住水平持续改善。</w:t>
      </w:r>
      <w:r w:rsidRPr="00564B5A">
        <w:rPr>
          <w:rFonts w:hint="eastAsia"/>
        </w:rPr>
        <w:t>“十三五”时期，</w:t>
      </w:r>
      <w:r w:rsidR="00841185" w:rsidRPr="00564B5A">
        <w:rPr>
          <w:rFonts w:hint="eastAsia"/>
        </w:rPr>
        <w:t>湛江市人均住房面积稳步提升，高品质住房供给持续增加，</w:t>
      </w:r>
      <w:r w:rsidRPr="00564B5A">
        <w:rPr>
          <w:rFonts w:hint="eastAsia"/>
        </w:rPr>
        <w:t>全市累计开工商品住房</w:t>
      </w:r>
      <w:r w:rsidRPr="00564B5A">
        <w:t>2734</w:t>
      </w:r>
      <w:r w:rsidRPr="00564B5A">
        <w:rPr>
          <w:rFonts w:hint="eastAsia"/>
        </w:rPr>
        <w:t>万平方米，同比“十二五”时期增长</w:t>
      </w:r>
      <w:r w:rsidRPr="00564B5A">
        <w:t>90</w:t>
      </w:r>
      <w:r w:rsidRPr="00564B5A">
        <w:rPr>
          <w:rFonts w:hint="eastAsia"/>
        </w:rPr>
        <w:t>%</w:t>
      </w:r>
      <w:r w:rsidR="00C11765">
        <w:rPr>
          <w:rFonts w:hint="eastAsia"/>
        </w:rPr>
        <w:t>；累计</w:t>
      </w:r>
      <w:r w:rsidR="001F4E97">
        <w:rPr>
          <w:rFonts w:hint="eastAsia"/>
        </w:rPr>
        <w:t>开工棚户区改造</w:t>
      </w:r>
      <w:r w:rsidR="00C11765">
        <w:rPr>
          <w:rFonts w:hint="eastAsia"/>
        </w:rPr>
        <w:t>安置房</w:t>
      </w:r>
      <w:r w:rsidR="001F4E97">
        <w:t>11255</w:t>
      </w:r>
      <w:r w:rsidR="001F4E97">
        <w:rPr>
          <w:rFonts w:hint="eastAsia"/>
        </w:rPr>
        <w:t>户，</w:t>
      </w:r>
      <w:r w:rsidR="00841185" w:rsidRPr="00564B5A">
        <w:rPr>
          <w:rFonts w:hint="eastAsia"/>
        </w:rPr>
        <w:t>“三旧”改造和老旧小区改造</w:t>
      </w:r>
      <w:r w:rsidR="001F4E97">
        <w:rPr>
          <w:rFonts w:hint="eastAsia"/>
        </w:rPr>
        <w:t>等工作</w:t>
      </w:r>
      <w:r w:rsidR="00841185" w:rsidRPr="00564B5A">
        <w:rPr>
          <w:rFonts w:hint="eastAsia"/>
        </w:rPr>
        <w:t>稳步推进，城镇住房</w:t>
      </w:r>
      <w:r w:rsidR="00841185" w:rsidRPr="00564B5A">
        <w:t>结</w:t>
      </w:r>
      <w:r w:rsidR="00841185" w:rsidRPr="00564B5A">
        <w:lastRenderedPageBreak/>
        <w:t>构</w:t>
      </w:r>
      <w:r w:rsidR="00841185" w:rsidRPr="00564B5A">
        <w:rPr>
          <w:rFonts w:hint="eastAsia"/>
        </w:rPr>
        <w:t>和</w:t>
      </w:r>
      <w:r w:rsidR="00564B5A">
        <w:rPr>
          <w:rFonts w:hint="eastAsia"/>
        </w:rPr>
        <w:t>居住</w:t>
      </w:r>
      <w:r w:rsidR="001E201E">
        <w:rPr>
          <w:rFonts w:hint="eastAsia"/>
        </w:rPr>
        <w:t>条件</w:t>
      </w:r>
      <w:r w:rsidR="00841185" w:rsidRPr="00564B5A">
        <w:t>不断优化</w:t>
      </w:r>
      <w:r w:rsidR="00841185" w:rsidRPr="00564B5A">
        <w:rPr>
          <w:rFonts w:hint="eastAsia"/>
        </w:rPr>
        <w:t>。</w:t>
      </w:r>
    </w:p>
    <w:p w14:paraId="07AAD929" w14:textId="6C359145" w:rsidR="000F1701" w:rsidRDefault="000F1701" w:rsidP="002B3788">
      <w:pPr>
        <w:ind w:firstLineChars="200" w:firstLine="562"/>
        <w:rPr>
          <w:color w:val="000000" w:themeColor="text1"/>
        </w:rPr>
      </w:pPr>
      <w:r w:rsidRPr="009C5571">
        <w:rPr>
          <w:rFonts w:hint="eastAsia"/>
          <w:b/>
          <w:bCs/>
          <w:color w:val="000000" w:themeColor="text1"/>
        </w:rPr>
        <w:t>2</w:t>
      </w:r>
      <w:r w:rsidRPr="009C5571">
        <w:rPr>
          <w:rFonts w:hint="eastAsia"/>
          <w:b/>
          <w:bCs/>
          <w:color w:val="000000" w:themeColor="text1"/>
        </w:rPr>
        <w:t>．</w:t>
      </w:r>
      <w:r w:rsidR="009C5571">
        <w:rPr>
          <w:rFonts w:hint="eastAsia"/>
          <w:b/>
          <w:bCs/>
          <w:color w:val="000000" w:themeColor="text1"/>
        </w:rPr>
        <w:t>房地产业发展迅速。</w:t>
      </w:r>
      <w:r w:rsidR="009C5571">
        <w:rPr>
          <w:rFonts w:hint="eastAsia"/>
          <w:color w:val="000000" w:themeColor="text1"/>
        </w:rPr>
        <w:t>“十三五”</w:t>
      </w:r>
      <w:r w:rsidR="00564B5A">
        <w:rPr>
          <w:rFonts w:hint="eastAsia"/>
          <w:color w:val="000000" w:themeColor="text1"/>
        </w:rPr>
        <w:t>时期，</w:t>
      </w:r>
      <w:r w:rsidRPr="009C5571">
        <w:rPr>
          <w:rFonts w:hint="eastAsia"/>
          <w:color w:val="000000" w:themeColor="text1"/>
        </w:rPr>
        <w:t>房地产业增加值从</w:t>
      </w:r>
      <w:r w:rsidRPr="009C5571">
        <w:rPr>
          <w:rFonts w:hint="eastAsia"/>
          <w:color w:val="000000" w:themeColor="text1"/>
        </w:rPr>
        <w:t>1</w:t>
      </w:r>
      <w:r w:rsidRPr="009C5571">
        <w:rPr>
          <w:color w:val="000000" w:themeColor="text1"/>
        </w:rPr>
        <w:t>32.70</w:t>
      </w:r>
      <w:r w:rsidRPr="009C5571">
        <w:rPr>
          <w:rFonts w:hint="eastAsia"/>
          <w:color w:val="000000" w:themeColor="text1"/>
        </w:rPr>
        <w:t>亿元提升至</w:t>
      </w:r>
      <w:r w:rsidRPr="009C5571">
        <w:rPr>
          <w:rFonts w:hint="eastAsia"/>
          <w:color w:val="000000" w:themeColor="text1"/>
        </w:rPr>
        <w:t>2</w:t>
      </w:r>
      <w:r w:rsidRPr="009C5571">
        <w:rPr>
          <w:color w:val="000000" w:themeColor="text1"/>
        </w:rPr>
        <w:t>65.59</w:t>
      </w:r>
      <w:r w:rsidRPr="009C5571">
        <w:rPr>
          <w:rFonts w:hint="eastAsia"/>
          <w:color w:val="000000" w:themeColor="text1"/>
        </w:rPr>
        <w:t>亿元，发挥了稳定经济增长的重要作用。</w:t>
      </w:r>
      <w:r w:rsidRPr="009C5571">
        <w:rPr>
          <w:rFonts w:hint="eastAsia"/>
          <w:color w:val="000000" w:themeColor="text1"/>
        </w:rPr>
        <w:t>2</w:t>
      </w:r>
      <w:r w:rsidRPr="009C5571">
        <w:rPr>
          <w:color w:val="000000" w:themeColor="text1"/>
        </w:rPr>
        <w:t>016-2020</w:t>
      </w:r>
      <w:r w:rsidRPr="009C5571">
        <w:rPr>
          <w:rFonts w:hint="eastAsia"/>
          <w:color w:val="000000" w:themeColor="text1"/>
        </w:rPr>
        <w:t>年</w:t>
      </w:r>
      <w:r w:rsidR="00564B5A">
        <w:rPr>
          <w:rFonts w:hint="eastAsia"/>
          <w:color w:val="000000" w:themeColor="text1"/>
        </w:rPr>
        <w:t>，</w:t>
      </w:r>
      <w:r w:rsidRPr="009C5571">
        <w:rPr>
          <w:rFonts w:hint="eastAsia"/>
          <w:color w:val="000000" w:themeColor="text1"/>
        </w:rPr>
        <w:t>全市新建商品住房销售面积累计</w:t>
      </w:r>
      <w:r w:rsidR="00FD25A2" w:rsidRPr="009C5571">
        <w:rPr>
          <w:color w:val="000000" w:themeColor="text1"/>
        </w:rPr>
        <w:t>2520</w:t>
      </w:r>
      <w:r w:rsidRPr="009C5571">
        <w:rPr>
          <w:rFonts w:hint="eastAsia"/>
          <w:color w:val="000000" w:themeColor="text1"/>
        </w:rPr>
        <w:t>万平方米，年均</w:t>
      </w:r>
      <w:r w:rsidRPr="009C5571">
        <w:rPr>
          <w:color w:val="000000" w:themeColor="text1"/>
        </w:rPr>
        <w:t>销售</w:t>
      </w:r>
      <w:r w:rsidR="00FD25A2" w:rsidRPr="009C5571">
        <w:rPr>
          <w:rFonts w:hint="eastAsia"/>
          <w:color w:val="000000" w:themeColor="text1"/>
        </w:rPr>
        <w:t>5</w:t>
      </w:r>
      <w:r w:rsidR="00FD25A2" w:rsidRPr="009C5571">
        <w:rPr>
          <w:color w:val="000000" w:themeColor="text1"/>
        </w:rPr>
        <w:t>04</w:t>
      </w:r>
      <w:r w:rsidRPr="009C5571">
        <w:rPr>
          <w:rFonts w:hint="eastAsia"/>
          <w:color w:val="000000" w:themeColor="text1"/>
        </w:rPr>
        <w:t>万</w:t>
      </w:r>
      <w:r w:rsidRPr="009C5571">
        <w:rPr>
          <w:color w:val="000000" w:themeColor="text1"/>
        </w:rPr>
        <w:t>平方米</w:t>
      </w:r>
      <w:r w:rsidRPr="009C5571">
        <w:rPr>
          <w:rFonts w:hint="eastAsia"/>
          <w:color w:val="000000" w:themeColor="text1"/>
        </w:rPr>
        <w:t>，较</w:t>
      </w:r>
      <w:r w:rsidRPr="009C5571">
        <w:rPr>
          <w:rFonts w:hint="eastAsia"/>
          <w:color w:val="000000" w:themeColor="text1"/>
        </w:rPr>
        <w:t>2011-2015</w:t>
      </w:r>
      <w:r w:rsidRPr="009C5571">
        <w:rPr>
          <w:rFonts w:hint="eastAsia"/>
          <w:color w:val="000000" w:themeColor="text1"/>
        </w:rPr>
        <w:t>年年均销售</w:t>
      </w:r>
      <w:r w:rsidRPr="009C5571">
        <w:rPr>
          <w:color w:val="000000" w:themeColor="text1"/>
        </w:rPr>
        <w:t>水平</w:t>
      </w:r>
      <w:r w:rsidRPr="009C5571">
        <w:rPr>
          <w:rFonts w:hint="eastAsia"/>
          <w:color w:val="000000" w:themeColor="text1"/>
        </w:rPr>
        <w:t>增长</w:t>
      </w:r>
      <w:r w:rsidR="00FD25A2" w:rsidRPr="009C5571">
        <w:rPr>
          <w:rFonts w:hint="eastAsia"/>
          <w:color w:val="000000" w:themeColor="text1"/>
        </w:rPr>
        <w:t>约</w:t>
      </w:r>
      <w:r w:rsidR="00FD25A2" w:rsidRPr="009C5571">
        <w:rPr>
          <w:color w:val="000000" w:themeColor="text1"/>
        </w:rPr>
        <w:t>107</w:t>
      </w:r>
      <w:r w:rsidRPr="009C5571">
        <w:rPr>
          <w:color w:val="000000" w:themeColor="text1"/>
        </w:rPr>
        <w:t>%</w:t>
      </w:r>
      <w:r w:rsidR="009C5571">
        <w:rPr>
          <w:rFonts w:hint="eastAsia"/>
          <w:color w:val="000000" w:themeColor="text1"/>
        </w:rPr>
        <w:t>，</w:t>
      </w:r>
      <w:r w:rsidRPr="009C5571">
        <w:rPr>
          <w:rFonts w:hint="eastAsia"/>
          <w:color w:val="000000" w:themeColor="text1"/>
        </w:rPr>
        <w:t>新建商品住房库存消化周期处于合理区间，基本实现供需平衡。</w:t>
      </w:r>
    </w:p>
    <w:p w14:paraId="49DD0DFA" w14:textId="69F94AB1" w:rsidR="001F4E97" w:rsidRPr="009A2B03" w:rsidRDefault="001F4E97" w:rsidP="002B3788">
      <w:pPr>
        <w:ind w:firstLineChars="200" w:firstLine="562"/>
      </w:pPr>
      <w:r w:rsidRPr="009A2B03">
        <w:rPr>
          <w:b/>
          <w:bCs/>
        </w:rPr>
        <w:t>3</w:t>
      </w:r>
      <w:r w:rsidR="007B0C3B" w:rsidRPr="009C5571">
        <w:rPr>
          <w:rFonts w:hint="eastAsia"/>
          <w:b/>
          <w:bCs/>
          <w:color w:val="000000" w:themeColor="text1"/>
        </w:rPr>
        <w:t>．</w:t>
      </w:r>
      <w:r w:rsidRPr="009A2B03">
        <w:rPr>
          <w:rFonts w:hint="eastAsia"/>
          <w:b/>
          <w:bCs/>
        </w:rPr>
        <w:t>住房租赁市场不断规范。</w:t>
      </w:r>
      <w:r w:rsidR="0041033F" w:rsidRPr="009A2B03">
        <w:rPr>
          <w:rFonts w:hint="eastAsia"/>
        </w:rPr>
        <w:t>有序开展房屋租赁</w:t>
      </w:r>
      <w:r w:rsidR="009A2B03" w:rsidRPr="009A2B03">
        <w:rPr>
          <w:rFonts w:hint="eastAsia"/>
        </w:rPr>
        <w:t>市场</w:t>
      </w:r>
      <w:r w:rsidR="0041033F" w:rsidRPr="009A2B03">
        <w:rPr>
          <w:rFonts w:hint="eastAsia"/>
        </w:rPr>
        <w:t>管理工作，房屋登记备案率有所提升，登记备案</w:t>
      </w:r>
      <w:r w:rsidR="009A2B03" w:rsidRPr="009A2B03">
        <w:rPr>
          <w:rFonts w:hint="eastAsia"/>
        </w:rPr>
        <w:t>服务流程不断优化，积极推进房屋租赁网签备案系统建立，</w:t>
      </w:r>
      <w:r w:rsidR="009A2B03" w:rsidRPr="009A2B03">
        <w:rPr>
          <w:rFonts w:hint="eastAsia"/>
        </w:rPr>
        <w:t>2</w:t>
      </w:r>
      <w:r w:rsidR="009A2B03" w:rsidRPr="009A2B03">
        <w:t>019</w:t>
      </w:r>
      <w:r w:rsidR="009A2B03" w:rsidRPr="009A2B03">
        <w:rPr>
          <w:rFonts w:hint="eastAsia"/>
        </w:rPr>
        <w:t>年，</w:t>
      </w:r>
      <w:r w:rsidR="0041033F" w:rsidRPr="009A2B03">
        <w:rPr>
          <w:rFonts w:hint="eastAsia"/>
        </w:rPr>
        <w:t>出台《湛江市市区房屋租赁市场指导性租金》，</w:t>
      </w:r>
      <w:r w:rsidR="009A2B03" w:rsidRPr="009A2B03">
        <w:rPr>
          <w:rFonts w:hint="eastAsia"/>
        </w:rPr>
        <w:t>促进住房租赁市场交易信息公开。</w:t>
      </w:r>
    </w:p>
    <w:p w14:paraId="0408B35B" w14:textId="4D1BCA44" w:rsidR="009C5571" w:rsidRDefault="001F4E97" w:rsidP="009C5571">
      <w:pPr>
        <w:ind w:firstLineChars="200" w:firstLine="562"/>
        <w:rPr>
          <w:color w:val="000000" w:themeColor="text1"/>
        </w:rPr>
      </w:pPr>
      <w:r>
        <w:rPr>
          <w:b/>
          <w:bCs/>
          <w:color w:val="000000" w:themeColor="text1"/>
        </w:rPr>
        <w:t>4</w:t>
      </w:r>
      <w:r w:rsidR="007B0C3B" w:rsidRPr="009C5571">
        <w:rPr>
          <w:rFonts w:hint="eastAsia"/>
          <w:b/>
          <w:bCs/>
          <w:color w:val="000000" w:themeColor="text1"/>
        </w:rPr>
        <w:t>．</w:t>
      </w:r>
      <w:r w:rsidR="007A1918">
        <w:rPr>
          <w:rFonts w:hint="eastAsia"/>
          <w:b/>
          <w:bCs/>
          <w:color w:val="000000" w:themeColor="text1"/>
        </w:rPr>
        <w:t>住房保障</w:t>
      </w:r>
      <w:r w:rsidR="00564B5A">
        <w:rPr>
          <w:rFonts w:hint="eastAsia"/>
          <w:b/>
          <w:bCs/>
          <w:color w:val="000000" w:themeColor="text1"/>
        </w:rPr>
        <w:t>体系持续优化</w:t>
      </w:r>
      <w:r w:rsidR="007A1918">
        <w:rPr>
          <w:rFonts w:hint="eastAsia"/>
          <w:b/>
          <w:bCs/>
          <w:color w:val="000000" w:themeColor="text1"/>
        </w:rPr>
        <w:t>。</w:t>
      </w:r>
      <w:r w:rsidR="00564B5A" w:rsidRPr="00564B5A">
        <w:rPr>
          <w:rFonts w:hint="eastAsia"/>
          <w:color w:val="000000" w:themeColor="text1"/>
        </w:rPr>
        <w:t>“十三五”时期，住房保障覆盖面逐步扩大，住房保障条件不断放宽，保障性住房供给有效增加，累计</w:t>
      </w:r>
      <w:r>
        <w:rPr>
          <w:rFonts w:hint="eastAsia"/>
          <w:color w:val="000000" w:themeColor="text1"/>
        </w:rPr>
        <w:t>供应公共租赁住房</w:t>
      </w:r>
      <w:r w:rsidR="00210081">
        <w:rPr>
          <w:color w:val="000000" w:themeColor="text1"/>
        </w:rPr>
        <w:t>2412</w:t>
      </w:r>
      <w:r>
        <w:rPr>
          <w:rFonts w:hint="eastAsia"/>
          <w:color w:val="000000" w:themeColor="text1"/>
        </w:rPr>
        <w:t>套</w:t>
      </w:r>
      <w:r w:rsidR="00564B5A" w:rsidRPr="00564B5A">
        <w:rPr>
          <w:rFonts w:hint="eastAsia"/>
          <w:color w:val="000000" w:themeColor="text1"/>
        </w:rPr>
        <w:t>，发放租赁补贴</w:t>
      </w:r>
      <w:r w:rsidR="00564B5A" w:rsidRPr="00564B5A">
        <w:rPr>
          <w:rFonts w:hint="eastAsia"/>
          <w:color w:val="000000" w:themeColor="text1"/>
        </w:rPr>
        <w:t>2</w:t>
      </w:r>
      <w:r w:rsidR="00564B5A" w:rsidRPr="00564B5A">
        <w:rPr>
          <w:color w:val="000000" w:themeColor="text1"/>
        </w:rPr>
        <w:t>823</w:t>
      </w:r>
      <w:r w:rsidR="00564B5A" w:rsidRPr="00564B5A">
        <w:rPr>
          <w:rFonts w:hint="eastAsia"/>
          <w:color w:val="000000" w:themeColor="text1"/>
        </w:rPr>
        <w:t>户，基本实现低保、低收入家庭应保尽保，城镇中低收入家庭住房条件明显改善，新市民住房困难得到有效缓解。</w:t>
      </w:r>
    </w:p>
    <w:p w14:paraId="247AEB3F" w14:textId="257C64D0" w:rsidR="00F21C60" w:rsidRDefault="001F4E97" w:rsidP="009C5571">
      <w:pPr>
        <w:ind w:firstLineChars="200" w:firstLine="562"/>
        <w:rPr>
          <w:color w:val="000000" w:themeColor="text1"/>
        </w:rPr>
      </w:pPr>
      <w:r w:rsidRPr="00CE0868">
        <w:rPr>
          <w:b/>
          <w:bCs/>
          <w:color w:val="000000" w:themeColor="text1"/>
        </w:rPr>
        <w:t>5</w:t>
      </w:r>
      <w:r w:rsidR="007B0C3B" w:rsidRPr="009C5571">
        <w:rPr>
          <w:rFonts w:hint="eastAsia"/>
          <w:b/>
          <w:bCs/>
          <w:color w:val="000000" w:themeColor="text1"/>
        </w:rPr>
        <w:t>．</w:t>
      </w:r>
      <w:r w:rsidRPr="00CE0868">
        <w:rPr>
          <w:rFonts w:hint="eastAsia"/>
          <w:b/>
          <w:bCs/>
          <w:color w:val="000000" w:themeColor="text1"/>
        </w:rPr>
        <w:t>人才</w:t>
      </w:r>
      <w:r w:rsidR="00F21C60" w:rsidRPr="00CE0868">
        <w:rPr>
          <w:rFonts w:hint="eastAsia"/>
          <w:b/>
          <w:bCs/>
          <w:color w:val="000000" w:themeColor="text1"/>
        </w:rPr>
        <w:t>安居</w:t>
      </w:r>
      <w:r w:rsidR="009A2B03" w:rsidRPr="00CE0868">
        <w:rPr>
          <w:rFonts w:hint="eastAsia"/>
          <w:b/>
          <w:bCs/>
          <w:color w:val="000000" w:themeColor="text1"/>
        </w:rPr>
        <w:t>稳步推进。</w:t>
      </w:r>
      <w:r w:rsidR="00F21C60">
        <w:rPr>
          <w:rFonts w:hint="eastAsia"/>
          <w:color w:val="000000" w:themeColor="text1"/>
        </w:rPr>
        <w:t>“十三五”期间，人才住房筹建工作稳步推进，</w:t>
      </w:r>
      <w:r w:rsidR="00CE0868">
        <w:rPr>
          <w:rFonts w:hint="eastAsia"/>
          <w:color w:val="000000" w:themeColor="text1"/>
        </w:rPr>
        <w:t>已</w:t>
      </w:r>
      <w:r w:rsidR="00F21C60">
        <w:rPr>
          <w:rFonts w:hint="eastAsia"/>
          <w:color w:val="000000" w:themeColor="text1"/>
        </w:rPr>
        <w:t>筹集人才公寓</w:t>
      </w:r>
      <w:r w:rsidR="00F21C60">
        <w:rPr>
          <w:rFonts w:hint="eastAsia"/>
          <w:color w:val="000000" w:themeColor="text1"/>
        </w:rPr>
        <w:t>1</w:t>
      </w:r>
      <w:r w:rsidR="00F21C60">
        <w:rPr>
          <w:color w:val="000000" w:themeColor="text1"/>
        </w:rPr>
        <w:t>650</w:t>
      </w:r>
      <w:r w:rsidR="00F21C60">
        <w:rPr>
          <w:rFonts w:hint="eastAsia"/>
          <w:color w:val="000000" w:themeColor="text1"/>
        </w:rPr>
        <w:t>套</w:t>
      </w:r>
      <w:r w:rsidR="00210081">
        <w:rPr>
          <w:rFonts w:hint="eastAsia"/>
          <w:color w:val="000000" w:themeColor="text1"/>
        </w:rPr>
        <w:t>。</w:t>
      </w:r>
      <w:r w:rsidR="00CE0868">
        <w:rPr>
          <w:rFonts w:hint="eastAsia"/>
          <w:color w:val="000000" w:themeColor="text1"/>
        </w:rPr>
        <w:t>人才安居体制机制</w:t>
      </w:r>
      <w:r w:rsidR="00F21C60">
        <w:rPr>
          <w:rFonts w:hint="eastAsia"/>
          <w:color w:val="000000" w:themeColor="text1"/>
        </w:rPr>
        <w:t>不断健全</w:t>
      </w:r>
      <w:r w:rsidR="00CE0868">
        <w:rPr>
          <w:rFonts w:hint="eastAsia"/>
          <w:color w:val="000000" w:themeColor="text1"/>
        </w:rPr>
        <w:t>，</w:t>
      </w:r>
      <w:r w:rsidR="00F21C60">
        <w:rPr>
          <w:rFonts w:hint="eastAsia"/>
          <w:color w:val="000000" w:themeColor="text1"/>
        </w:rPr>
        <w:t>2</w:t>
      </w:r>
      <w:r w:rsidR="00F21C60">
        <w:rPr>
          <w:color w:val="000000" w:themeColor="text1"/>
        </w:rPr>
        <w:t>020</w:t>
      </w:r>
      <w:r w:rsidR="00F21C60">
        <w:rPr>
          <w:rFonts w:hint="eastAsia"/>
          <w:color w:val="000000" w:themeColor="text1"/>
        </w:rPr>
        <w:t>年</w:t>
      </w:r>
      <w:r w:rsidR="00CE0868">
        <w:rPr>
          <w:rFonts w:hint="eastAsia"/>
          <w:color w:val="000000" w:themeColor="text1"/>
        </w:rPr>
        <w:t>出台《</w:t>
      </w:r>
      <w:r w:rsidR="00CE0868" w:rsidRPr="00CE0868">
        <w:rPr>
          <w:rFonts w:hint="eastAsia"/>
          <w:color w:val="000000" w:themeColor="text1"/>
        </w:rPr>
        <w:t>湛江市市区人才公寓管理办法</w:t>
      </w:r>
      <w:r w:rsidR="00CE0868">
        <w:rPr>
          <w:rFonts w:hint="eastAsia"/>
          <w:color w:val="000000" w:themeColor="text1"/>
        </w:rPr>
        <w:t>》，人才公寓分配和管理</w:t>
      </w:r>
      <w:r w:rsidR="003835FA">
        <w:rPr>
          <w:rFonts w:hint="eastAsia"/>
          <w:color w:val="000000" w:themeColor="text1"/>
        </w:rPr>
        <w:t>机制不断规范</w:t>
      </w:r>
      <w:r w:rsidR="00CE0868">
        <w:rPr>
          <w:rFonts w:hint="eastAsia"/>
          <w:color w:val="000000" w:themeColor="text1"/>
        </w:rPr>
        <w:t>。</w:t>
      </w:r>
    </w:p>
    <w:p w14:paraId="6F7CE104" w14:textId="097181C1" w:rsidR="00D55B18" w:rsidRDefault="00D55B18" w:rsidP="00D55B18">
      <w:pPr>
        <w:pStyle w:val="2"/>
        <w:spacing w:before="312" w:after="312"/>
        <w:ind w:firstLine="602"/>
      </w:pPr>
      <w:bookmarkStart w:id="5" w:name="_Toc73434881"/>
      <w:r w:rsidRPr="008A31F7">
        <w:rPr>
          <w:rFonts w:hint="eastAsia"/>
        </w:rPr>
        <w:t>（二）</w:t>
      </w:r>
      <w:r>
        <w:rPr>
          <w:rFonts w:hint="eastAsia"/>
        </w:rPr>
        <w:t>发展形势</w:t>
      </w:r>
      <w:bookmarkEnd w:id="5"/>
    </w:p>
    <w:p w14:paraId="6571B24B" w14:textId="610F1057" w:rsidR="00693BE1" w:rsidRDefault="00886C41" w:rsidP="00721E35">
      <w:pPr>
        <w:ind w:firstLineChars="200" w:firstLine="562"/>
        <w:outlineLvl w:val="2"/>
        <w:rPr>
          <w:b/>
          <w:bCs/>
        </w:rPr>
      </w:pPr>
      <w:r>
        <w:rPr>
          <w:rFonts w:hint="eastAsia"/>
          <w:b/>
          <w:bCs/>
        </w:rPr>
        <w:t>1</w:t>
      </w:r>
      <w:r w:rsidR="007B0C3B" w:rsidRPr="009C5571">
        <w:rPr>
          <w:rFonts w:hint="eastAsia"/>
          <w:b/>
          <w:bCs/>
          <w:color w:val="000000" w:themeColor="text1"/>
        </w:rPr>
        <w:t>．</w:t>
      </w:r>
      <w:r w:rsidR="00693BE1">
        <w:rPr>
          <w:rFonts w:hint="eastAsia"/>
          <w:b/>
          <w:bCs/>
        </w:rPr>
        <w:t>住房市场和住房保障体系不断健全，住房</w:t>
      </w:r>
      <w:r w:rsidR="009810EF">
        <w:rPr>
          <w:rFonts w:hint="eastAsia"/>
          <w:b/>
          <w:bCs/>
        </w:rPr>
        <w:t>逐渐</w:t>
      </w:r>
      <w:r w:rsidR="00693BE1">
        <w:rPr>
          <w:rFonts w:hint="eastAsia"/>
          <w:b/>
          <w:bCs/>
        </w:rPr>
        <w:t>回归居住属性。</w:t>
      </w:r>
    </w:p>
    <w:p w14:paraId="6692B9D7" w14:textId="230185AD" w:rsidR="00117477" w:rsidRDefault="00117477" w:rsidP="00CA3CCA">
      <w:pPr>
        <w:ind w:firstLineChars="200" w:firstLine="560"/>
      </w:pPr>
      <w:r>
        <w:rPr>
          <w:rFonts w:hint="eastAsia"/>
        </w:rPr>
        <w:lastRenderedPageBreak/>
        <w:t>“</w:t>
      </w:r>
      <w:r w:rsidR="009810EF">
        <w:rPr>
          <w:rFonts w:hint="eastAsia"/>
        </w:rPr>
        <w:t>十三五</w:t>
      </w:r>
      <w:r>
        <w:rPr>
          <w:rFonts w:hint="eastAsia"/>
        </w:rPr>
        <w:t>”</w:t>
      </w:r>
      <w:r w:rsidR="009810EF">
        <w:rPr>
          <w:rFonts w:hint="eastAsia"/>
        </w:rPr>
        <w:t>期间，国家反复强调</w:t>
      </w:r>
      <w:r w:rsidR="009810EF" w:rsidRPr="009810EF">
        <w:rPr>
          <w:rFonts w:hint="eastAsia"/>
        </w:rPr>
        <w:t>坚持</w:t>
      </w:r>
      <w:r>
        <w:rPr>
          <w:rFonts w:hint="eastAsia"/>
        </w:rPr>
        <w:t>“</w:t>
      </w:r>
      <w:r w:rsidR="009810EF" w:rsidRPr="009810EF">
        <w:rPr>
          <w:rFonts w:hint="eastAsia"/>
        </w:rPr>
        <w:t>房子是用来住的、不是用来炒</w:t>
      </w:r>
      <w:r>
        <w:rPr>
          <w:rFonts w:hint="eastAsia"/>
        </w:rPr>
        <w:t>”</w:t>
      </w:r>
      <w:r w:rsidR="009810EF" w:rsidRPr="009810EF">
        <w:rPr>
          <w:rFonts w:hint="eastAsia"/>
        </w:rPr>
        <w:t>的定位，加快建立多主体供给、多渠道保障、租购并举的住房制度，让全体人民住有所居、职住平衡。</w:t>
      </w:r>
      <w:r>
        <w:rPr>
          <w:rFonts w:hint="eastAsia"/>
        </w:rPr>
        <w:t>在住房市场方面，要求地市加快建立健全房地产市场平稳健康发展长效机制，实现稳定地价、房价和预期，在住房保障方面，</w:t>
      </w:r>
      <w:r w:rsidR="00376C75">
        <w:rPr>
          <w:rFonts w:hint="eastAsia"/>
        </w:rPr>
        <w:t>要求</w:t>
      </w:r>
      <w:r>
        <w:rPr>
          <w:rFonts w:hint="eastAsia"/>
        </w:rPr>
        <w:t>处理</w:t>
      </w:r>
      <w:r w:rsidR="00376C75">
        <w:rPr>
          <w:rFonts w:hint="eastAsia"/>
        </w:rPr>
        <w:t>好</w:t>
      </w:r>
      <w:r>
        <w:rPr>
          <w:rFonts w:hint="eastAsia"/>
        </w:rPr>
        <w:t>基本保障和非基本保障的关系，稳步增加公租房保障、扩大保障性租赁住房供给，</w:t>
      </w:r>
      <w:r w:rsidR="00376C75">
        <w:rPr>
          <w:rFonts w:hint="eastAsia"/>
        </w:rPr>
        <w:t>因地制宜发展共有产权住房。“十四五”时期，湛江市住房发展应按照国家、省的新形势新要求，不断完善住房市场和保障体系，适应和满足居民多样化居住需求。</w:t>
      </w:r>
    </w:p>
    <w:p w14:paraId="76E83A50" w14:textId="136CD974" w:rsidR="00D10D5E" w:rsidRDefault="00376C75" w:rsidP="00721E35">
      <w:pPr>
        <w:ind w:firstLineChars="200" w:firstLine="562"/>
        <w:outlineLvl w:val="2"/>
        <w:rPr>
          <w:b/>
          <w:bCs/>
        </w:rPr>
      </w:pPr>
      <w:r>
        <w:rPr>
          <w:b/>
          <w:bCs/>
        </w:rPr>
        <w:t>2</w:t>
      </w:r>
      <w:r w:rsidR="007B0C3B" w:rsidRPr="009C5571">
        <w:rPr>
          <w:rFonts w:hint="eastAsia"/>
          <w:b/>
          <w:bCs/>
          <w:color w:val="000000" w:themeColor="text1"/>
        </w:rPr>
        <w:t>．</w:t>
      </w:r>
      <w:r w:rsidR="00EA6C8A" w:rsidRPr="00886C41">
        <w:rPr>
          <w:rFonts w:hint="eastAsia"/>
          <w:b/>
          <w:bCs/>
        </w:rPr>
        <w:t>湛江城市战略地位不断提升</w:t>
      </w:r>
      <w:r w:rsidR="00EA6C8A">
        <w:rPr>
          <w:rFonts w:hint="eastAsia"/>
          <w:b/>
          <w:bCs/>
        </w:rPr>
        <w:t>，产业和资本要素加速集聚</w:t>
      </w:r>
      <w:r w:rsidR="002C7D58">
        <w:rPr>
          <w:rFonts w:hint="eastAsia"/>
          <w:b/>
          <w:bCs/>
        </w:rPr>
        <w:t>，住房发展</w:t>
      </w:r>
      <w:r w:rsidR="00B54E68">
        <w:rPr>
          <w:rFonts w:hint="eastAsia"/>
          <w:b/>
          <w:bCs/>
        </w:rPr>
        <w:t>前景良好</w:t>
      </w:r>
      <w:r w:rsidR="00D33A20">
        <w:rPr>
          <w:rFonts w:hint="eastAsia"/>
          <w:b/>
          <w:bCs/>
        </w:rPr>
        <w:t>。</w:t>
      </w:r>
    </w:p>
    <w:p w14:paraId="5E75324F" w14:textId="2CF6109E" w:rsidR="00CA3CCA" w:rsidRDefault="00CA3CCA" w:rsidP="00CA3CCA">
      <w:pPr>
        <w:ind w:firstLineChars="200" w:firstLine="560"/>
      </w:pPr>
      <w:r w:rsidRPr="00886C41">
        <w:rPr>
          <w:rFonts w:hint="eastAsia"/>
        </w:rPr>
        <w:t>习近平总书记赋予湛江“打造现代化沿海经济带重要发展极”和“与海南相向而行”的时代使命，省委、省政府明确支持湛江全力建设省域副中心城市，随着粤港澳大湾区、海南自贸港、西部陆海新通道等加快建设，湛江市区位优势更加凸显</w:t>
      </w:r>
      <w:r w:rsidR="00B54E68">
        <w:rPr>
          <w:rFonts w:hint="eastAsia"/>
        </w:rPr>
        <w:t>。</w:t>
      </w:r>
      <w:r>
        <w:rPr>
          <w:rFonts w:hint="eastAsia"/>
        </w:rPr>
        <w:t>城市交通格局持续改善，</w:t>
      </w:r>
      <w:r w:rsidRPr="00CA3CCA">
        <w:rPr>
          <w:rFonts w:hint="eastAsia"/>
        </w:rPr>
        <w:t>“五龙入湛”高铁新格局加快形成，</w:t>
      </w:r>
      <w:r w:rsidR="00B54E68" w:rsidRPr="00B54E68">
        <w:rPr>
          <w:rFonts w:hint="eastAsia"/>
        </w:rPr>
        <w:t>现代产业体系发展提速</w:t>
      </w:r>
      <w:r w:rsidR="00B54E68">
        <w:rPr>
          <w:rFonts w:hint="eastAsia"/>
        </w:rPr>
        <w:t>，</w:t>
      </w:r>
      <w:r w:rsidR="00B54E68" w:rsidRPr="00B54E68">
        <w:rPr>
          <w:rFonts w:hint="eastAsia"/>
        </w:rPr>
        <w:t>工业增加值增速居全省第三</w:t>
      </w:r>
      <w:r w:rsidR="00B54E68">
        <w:rPr>
          <w:rFonts w:hint="eastAsia"/>
        </w:rPr>
        <w:t>；</w:t>
      </w:r>
      <w:r w:rsidR="00B54E68" w:rsidRPr="00B54E68">
        <w:rPr>
          <w:rFonts w:hint="eastAsia"/>
        </w:rPr>
        <w:t>固定资产投资有效扩大，年均投资超</w:t>
      </w:r>
      <w:r w:rsidR="00B54E68" w:rsidRPr="00B54E68">
        <w:rPr>
          <w:rFonts w:hint="eastAsia"/>
        </w:rPr>
        <w:t>1000</w:t>
      </w:r>
      <w:r w:rsidR="00B54E68" w:rsidRPr="00B54E68">
        <w:rPr>
          <w:rFonts w:hint="eastAsia"/>
        </w:rPr>
        <w:t>亿元</w:t>
      </w:r>
      <w:r w:rsidR="00317696">
        <w:rPr>
          <w:rFonts w:hint="eastAsia"/>
        </w:rPr>
        <w:t>；</w:t>
      </w:r>
      <w:r w:rsidR="00317696" w:rsidRPr="00B54E68">
        <w:rPr>
          <w:rFonts w:hint="eastAsia"/>
        </w:rPr>
        <w:t>国家海洋经济发展示范区、湛江国家高新区、南方海洋科学与工程广东省实验室（湛江湾实验室）、海洋科技产业创新中心顺利建设</w:t>
      </w:r>
      <w:r w:rsidR="00317696">
        <w:rPr>
          <w:rFonts w:hint="eastAsia"/>
        </w:rPr>
        <w:t>。产业发展</w:t>
      </w:r>
      <w:r w:rsidR="00FC1A82">
        <w:rPr>
          <w:rFonts w:hint="eastAsia"/>
        </w:rPr>
        <w:t>为深入推进新型城镇化提供动能</w:t>
      </w:r>
      <w:r w:rsidR="00317696">
        <w:rPr>
          <w:rFonts w:hint="eastAsia"/>
        </w:rPr>
        <w:t>，创造就业促进人口导入</w:t>
      </w:r>
      <w:r w:rsidR="00FC1A82">
        <w:rPr>
          <w:rFonts w:hint="eastAsia"/>
        </w:rPr>
        <w:t>湛江</w:t>
      </w:r>
      <w:r w:rsidR="00317696">
        <w:rPr>
          <w:rFonts w:hint="eastAsia"/>
        </w:rPr>
        <w:t>，</w:t>
      </w:r>
      <w:r w:rsidR="00FC1A82">
        <w:rPr>
          <w:rFonts w:hint="eastAsia"/>
        </w:rPr>
        <w:t>有效支持房地产业持续快速发展。</w:t>
      </w:r>
    </w:p>
    <w:p w14:paraId="75BCDA2F" w14:textId="71654F5A" w:rsidR="002C7D58" w:rsidRDefault="00376C75" w:rsidP="00721E35">
      <w:pPr>
        <w:ind w:firstLineChars="200" w:firstLine="562"/>
        <w:outlineLvl w:val="2"/>
        <w:rPr>
          <w:b/>
          <w:bCs/>
        </w:rPr>
      </w:pPr>
      <w:r>
        <w:rPr>
          <w:b/>
          <w:bCs/>
        </w:rPr>
        <w:t>3</w:t>
      </w:r>
      <w:r w:rsidR="007B0C3B" w:rsidRPr="009C5571">
        <w:rPr>
          <w:rFonts w:hint="eastAsia"/>
          <w:b/>
          <w:bCs/>
          <w:color w:val="000000" w:themeColor="text1"/>
        </w:rPr>
        <w:t>．</w:t>
      </w:r>
      <w:r w:rsidR="002C7D58">
        <w:rPr>
          <w:rFonts w:hint="eastAsia"/>
          <w:b/>
          <w:bCs/>
        </w:rPr>
        <w:t>现代化宜居生态海湾城市格局逐步形成，</w:t>
      </w:r>
      <w:r w:rsidR="00EA0879">
        <w:rPr>
          <w:rFonts w:hint="eastAsia"/>
          <w:b/>
          <w:bCs/>
        </w:rPr>
        <w:t>城市高品质住房需</w:t>
      </w:r>
      <w:r w:rsidR="00EA0879">
        <w:rPr>
          <w:rFonts w:hint="eastAsia"/>
          <w:b/>
          <w:bCs/>
        </w:rPr>
        <w:lastRenderedPageBreak/>
        <w:t>求旺盛</w:t>
      </w:r>
      <w:r w:rsidR="00085353">
        <w:rPr>
          <w:rFonts w:hint="eastAsia"/>
          <w:b/>
          <w:bCs/>
        </w:rPr>
        <w:t>。</w:t>
      </w:r>
    </w:p>
    <w:p w14:paraId="2884C1D9" w14:textId="3B16E768" w:rsidR="00D10D5E" w:rsidRDefault="00FC1A82" w:rsidP="00D10D5E">
      <w:pPr>
        <w:ind w:firstLineChars="200" w:firstLine="560"/>
      </w:pPr>
      <w:r w:rsidRPr="00FD5665">
        <w:rPr>
          <w:rFonts w:hint="eastAsia"/>
        </w:rPr>
        <w:t>湛江市</w:t>
      </w:r>
      <w:r w:rsidR="00D10D5E">
        <w:rPr>
          <w:rFonts w:hint="eastAsia"/>
        </w:rPr>
        <w:t>在金沙湾片区成功实践基础上，</w:t>
      </w:r>
      <w:r w:rsidR="00D10D5E" w:rsidRPr="00FD5665">
        <w:rPr>
          <w:rFonts w:hint="eastAsia"/>
        </w:rPr>
        <w:t>以“湛江湾”为核心</w:t>
      </w:r>
      <w:r w:rsidR="00D10D5E">
        <w:rPr>
          <w:rFonts w:hint="eastAsia"/>
        </w:rPr>
        <w:t>，加</w:t>
      </w:r>
      <w:r w:rsidR="00FB111F" w:rsidRPr="00FB111F">
        <w:rPr>
          <w:rFonts w:hint="eastAsia"/>
        </w:rPr>
        <w:t>快实施旧大天然片区、金沙湾、调顺岛、东堤等区域连片综合更新改造，打造高端服务城市功能区和城市地标群。</w:t>
      </w:r>
      <w:r w:rsidR="00FB111F">
        <w:rPr>
          <w:rFonts w:hint="eastAsia"/>
        </w:rPr>
        <w:t>随着</w:t>
      </w:r>
      <w:r w:rsidR="00D10D5E" w:rsidRPr="00FD5665">
        <w:rPr>
          <w:rFonts w:hint="eastAsia"/>
        </w:rPr>
        <w:t>招商游轮港</w:t>
      </w:r>
      <w:r w:rsidR="00D10D5E">
        <w:rPr>
          <w:rFonts w:hint="eastAsia"/>
        </w:rPr>
        <w:t>、</w:t>
      </w:r>
      <w:r w:rsidR="00D10D5E" w:rsidRPr="00FD5665">
        <w:rPr>
          <w:rFonts w:hint="eastAsia"/>
        </w:rPr>
        <w:t>华侨城欢乐海岸等</w:t>
      </w:r>
      <w:r w:rsidR="00D10D5E">
        <w:rPr>
          <w:rFonts w:hint="eastAsia"/>
        </w:rPr>
        <w:t>大型综合</w:t>
      </w:r>
      <w:r w:rsidR="00D10D5E" w:rsidRPr="00FD5665">
        <w:rPr>
          <w:rFonts w:hint="eastAsia"/>
        </w:rPr>
        <w:t>项目</w:t>
      </w:r>
      <w:r w:rsidR="00D10D5E">
        <w:rPr>
          <w:rFonts w:hint="eastAsia"/>
        </w:rPr>
        <w:t>的</w:t>
      </w:r>
      <w:r w:rsidR="00590882">
        <w:rPr>
          <w:rFonts w:hint="eastAsia"/>
        </w:rPr>
        <w:t>落地</w:t>
      </w:r>
      <w:r w:rsidR="00FB111F">
        <w:rPr>
          <w:rFonts w:hint="eastAsia"/>
        </w:rPr>
        <w:t>，城市</w:t>
      </w:r>
      <w:r w:rsidR="00590882">
        <w:rPr>
          <w:rFonts w:hint="eastAsia"/>
        </w:rPr>
        <w:t>高品质住房和公共服务设施供给</w:t>
      </w:r>
      <w:r w:rsidR="00590882" w:rsidRPr="00FD5665">
        <w:rPr>
          <w:rFonts w:hint="eastAsia"/>
        </w:rPr>
        <w:t>有效</w:t>
      </w:r>
      <w:r w:rsidR="00590882">
        <w:rPr>
          <w:rFonts w:hint="eastAsia"/>
        </w:rPr>
        <w:t>拉动了城市</w:t>
      </w:r>
      <w:r w:rsidR="00590882" w:rsidRPr="00FD5665">
        <w:rPr>
          <w:rFonts w:hint="eastAsia"/>
        </w:rPr>
        <w:t>居民</w:t>
      </w:r>
      <w:r w:rsidR="00590882">
        <w:rPr>
          <w:rFonts w:hint="eastAsia"/>
        </w:rPr>
        <w:t>的</w:t>
      </w:r>
      <w:r w:rsidR="00590882" w:rsidRPr="00FD5665">
        <w:rPr>
          <w:rFonts w:hint="eastAsia"/>
        </w:rPr>
        <w:t>改善性住房</w:t>
      </w:r>
      <w:r w:rsidR="00590882">
        <w:rPr>
          <w:rFonts w:hint="eastAsia"/>
        </w:rPr>
        <w:t>和生活</w:t>
      </w:r>
      <w:r w:rsidR="00590882" w:rsidRPr="00FD5665">
        <w:rPr>
          <w:rFonts w:hint="eastAsia"/>
        </w:rPr>
        <w:t>消费需求</w:t>
      </w:r>
      <w:r w:rsidR="00590882">
        <w:rPr>
          <w:rFonts w:hint="eastAsia"/>
        </w:rPr>
        <w:t>，</w:t>
      </w:r>
      <w:r w:rsidR="00FB111F">
        <w:rPr>
          <w:rFonts w:hint="eastAsia"/>
        </w:rPr>
        <w:t>湛江湾沿海地区</w:t>
      </w:r>
      <w:r w:rsidR="00590882">
        <w:rPr>
          <w:rFonts w:hint="eastAsia"/>
        </w:rPr>
        <w:t>房价上涨较快。随着湛江市城市建设水平、基础设施和公共服务水平全面提升，居民改善性</w:t>
      </w:r>
      <w:r w:rsidR="00FB111F">
        <w:rPr>
          <w:rFonts w:hint="eastAsia"/>
        </w:rPr>
        <w:t>住房</w:t>
      </w:r>
      <w:r w:rsidR="00590882">
        <w:rPr>
          <w:rFonts w:hint="eastAsia"/>
        </w:rPr>
        <w:t>需求将从湛江湾向内陆传导，满足更多居民对美好的生活向往。</w:t>
      </w:r>
    </w:p>
    <w:p w14:paraId="2D1ADE8C" w14:textId="22E42C9E" w:rsidR="00D33A20" w:rsidRDefault="00376C75" w:rsidP="00721E35">
      <w:pPr>
        <w:ind w:firstLineChars="200" w:firstLine="562"/>
        <w:outlineLvl w:val="2"/>
        <w:rPr>
          <w:b/>
          <w:bCs/>
        </w:rPr>
      </w:pPr>
      <w:r>
        <w:rPr>
          <w:b/>
          <w:bCs/>
        </w:rPr>
        <w:t>4</w:t>
      </w:r>
      <w:r w:rsidR="007B0C3B" w:rsidRPr="009C5571">
        <w:rPr>
          <w:rFonts w:hint="eastAsia"/>
          <w:b/>
          <w:bCs/>
          <w:color w:val="000000" w:themeColor="text1"/>
        </w:rPr>
        <w:t>．</w:t>
      </w:r>
      <w:r w:rsidR="00EA6C8A">
        <w:rPr>
          <w:rFonts w:hint="eastAsia"/>
          <w:b/>
          <w:bCs/>
        </w:rPr>
        <w:t>农业转移人口市民化步伐加快，</w:t>
      </w:r>
      <w:r w:rsidR="00EA0879">
        <w:rPr>
          <w:rFonts w:hint="eastAsia"/>
          <w:b/>
          <w:bCs/>
        </w:rPr>
        <w:t>以</w:t>
      </w:r>
      <w:r w:rsidR="00B62CFD">
        <w:rPr>
          <w:rFonts w:hint="eastAsia"/>
          <w:b/>
          <w:bCs/>
        </w:rPr>
        <w:t>县域</w:t>
      </w:r>
      <w:r w:rsidR="00EA0879">
        <w:rPr>
          <w:rFonts w:hint="eastAsia"/>
          <w:b/>
          <w:bCs/>
        </w:rPr>
        <w:t>为主要载体的</w:t>
      </w:r>
      <w:r w:rsidR="00EA6C8A">
        <w:rPr>
          <w:rFonts w:hint="eastAsia"/>
          <w:b/>
          <w:bCs/>
        </w:rPr>
        <w:t>内生住房</w:t>
      </w:r>
      <w:r w:rsidR="00B62CFD">
        <w:rPr>
          <w:rFonts w:hint="eastAsia"/>
          <w:b/>
          <w:bCs/>
        </w:rPr>
        <w:t>消费</w:t>
      </w:r>
      <w:r w:rsidR="00EA6C8A">
        <w:rPr>
          <w:rFonts w:hint="eastAsia"/>
          <w:b/>
          <w:bCs/>
        </w:rPr>
        <w:t>需求</w:t>
      </w:r>
      <w:r w:rsidR="00EA0879">
        <w:rPr>
          <w:rFonts w:hint="eastAsia"/>
          <w:b/>
          <w:bCs/>
        </w:rPr>
        <w:t>持续释放</w:t>
      </w:r>
      <w:r w:rsidR="002C7D58">
        <w:rPr>
          <w:rFonts w:hint="eastAsia"/>
          <w:b/>
          <w:bCs/>
        </w:rPr>
        <w:t>。</w:t>
      </w:r>
    </w:p>
    <w:p w14:paraId="792A6EB3" w14:textId="1F6E6643" w:rsidR="00F3328D" w:rsidRDefault="00FB111F" w:rsidP="00831387">
      <w:pPr>
        <w:ind w:firstLineChars="200" w:firstLine="560"/>
      </w:pPr>
      <w:r w:rsidRPr="00FB111F">
        <w:rPr>
          <w:rFonts w:hint="eastAsia"/>
        </w:rPr>
        <w:t>2</w:t>
      </w:r>
      <w:r w:rsidRPr="00FB111F">
        <w:t>019</w:t>
      </w:r>
      <w:r w:rsidRPr="00FB111F">
        <w:rPr>
          <w:rFonts w:hint="eastAsia"/>
        </w:rPr>
        <w:t>年</w:t>
      </w:r>
      <w:r w:rsidR="00F3328D">
        <w:rPr>
          <w:rFonts w:hint="eastAsia"/>
        </w:rPr>
        <w:t>湛江市</w:t>
      </w:r>
      <w:r w:rsidRPr="00FB111F">
        <w:rPr>
          <w:rFonts w:hint="eastAsia"/>
        </w:rPr>
        <w:t>常住人口</w:t>
      </w:r>
      <w:r w:rsidRPr="00FB111F">
        <w:rPr>
          <w:rFonts w:hint="eastAsia"/>
        </w:rPr>
        <w:t>7</w:t>
      </w:r>
      <w:r w:rsidRPr="00FB111F">
        <w:t>36</w:t>
      </w:r>
      <w:r w:rsidRPr="00FB111F">
        <w:rPr>
          <w:rFonts w:hint="eastAsia"/>
        </w:rPr>
        <w:t>万人，城镇化率仅</w:t>
      </w:r>
      <w:r w:rsidRPr="00FB111F">
        <w:rPr>
          <w:rFonts w:hint="eastAsia"/>
        </w:rPr>
        <w:t>4</w:t>
      </w:r>
      <w:r w:rsidRPr="00FB111F">
        <w:t>4</w:t>
      </w:r>
      <w:r w:rsidRPr="00FB111F">
        <w:rPr>
          <w:rFonts w:hint="eastAsia"/>
        </w:rPr>
        <w:t>%</w:t>
      </w:r>
      <w:r w:rsidRPr="00FB111F">
        <w:rPr>
          <w:rFonts w:hint="eastAsia"/>
        </w:rPr>
        <w:t>，</w:t>
      </w:r>
      <w:r w:rsidR="00F3328D">
        <w:rPr>
          <w:rFonts w:hint="eastAsia"/>
        </w:rPr>
        <w:t>仍有大量农业人口未进入城镇，</w:t>
      </w:r>
      <w:r w:rsidRPr="00FB111F">
        <w:rPr>
          <w:rFonts w:hint="eastAsia"/>
        </w:rPr>
        <w:t>未来城镇化发展的潜力较大。</w:t>
      </w:r>
      <w:r>
        <w:rPr>
          <w:rFonts w:hint="eastAsia"/>
        </w:rPr>
        <w:t>随着湛江市战略地位提升，</w:t>
      </w:r>
      <w:r w:rsidRPr="00FB111F">
        <w:rPr>
          <w:rFonts w:hint="eastAsia"/>
        </w:rPr>
        <w:t>产业和资本要素加速集聚</w:t>
      </w:r>
      <w:r>
        <w:rPr>
          <w:rFonts w:hint="eastAsia"/>
        </w:rPr>
        <w:t>，</w:t>
      </w:r>
      <w:r w:rsidR="00F3328D">
        <w:rPr>
          <w:rFonts w:hint="eastAsia"/>
        </w:rPr>
        <w:t>将有效促进湛江市就业岗位增长。湛江市</w:t>
      </w:r>
      <w:r w:rsidRPr="00FB111F">
        <w:rPr>
          <w:rFonts w:hint="eastAsia"/>
        </w:rPr>
        <w:t>深化户籍制度改革</w:t>
      </w:r>
      <w:r w:rsidR="00F3328D">
        <w:rPr>
          <w:rFonts w:hint="eastAsia"/>
        </w:rPr>
        <w:t>，为</w:t>
      </w:r>
      <w:r w:rsidR="00F3328D" w:rsidRPr="00F3328D">
        <w:rPr>
          <w:rFonts w:hint="eastAsia"/>
        </w:rPr>
        <w:t>有能力在城镇稳定就业和生活的农业转移人口和其他常住人口</w:t>
      </w:r>
      <w:r w:rsidR="00F3328D">
        <w:rPr>
          <w:rFonts w:hint="eastAsia"/>
        </w:rPr>
        <w:t>进入城镇创造条件。</w:t>
      </w:r>
      <w:r w:rsidR="00B62CFD">
        <w:rPr>
          <w:rFonts w:hint="eastAsia"/>
        </w:rPr>
        <w:t>2</w:t>
      </w:r>
      <w:r w:rsidR="00B62CFD">
        <w:t>019</w:t>
      </w:r>
      <w:r w:rsidR="00B62CFD">
        <w:rPr>
          <w:rFonts w:hint="eastAsia"/>
        </w:rPr>
        <w:t>年，湛江市县域常住人口占全市的比例为</w:t>
      </w:r>
      <w:r w:rsidR="00B62CFD">
        <w:rPr>
          <w:rFonts w:hint="eastAsia"/>
        </w:rPr>
        <w:t>7</w:t>
      </w:r>
      <w:r w:rsidR="00B62CFD">
        <w:t>7</w:t>
      </w:r>
      <w:r w:rsidR="00B62CFD">
        <w:rPr>
          <w:rFonts w:hint="eastAsia"/>
        </w:rPr>
        <w:t>%</w:t>
      </w:r>
      <w:r w:rsidR="00B62CFD">
        <w:rPr>
          <w:rFonts w:hint="eastAsia"/>
        </w:rPr>
        <w:t>，本地农业转移人口和外出务工返乡人员</w:t>
      </w:r>
      <w:r w:rsidR="00B30556">
        <w:rPr>
          <w:rFonts w:hint="eastAsia"/>
        </w:rPr>
        <w:t>进入进城置业所带来的内生</w:t>
      </w:r>
      <w:r w:rsidR="00B62CFD">
        <w:rPr>
          <w:rFonts w:hint="eastAsia"/>
        </w:rPr>
        <w:t>住房消费需求</w:t>
      </w:r>
      <w:r w:rsidR="00B30556">
        <w:rPr>
          <w:rFonts w:hint="eastAsia"/>
        </w:rPr>
        <w:t>，将有效促进县域经济发展</w:t>
      </w:r>
      <w:r w:rsidR="00B62CFD">
        <w:rPr>
          <w:rFonts w:hint="eastAsia"/>
        </w:rPr>
        <w:t>。</w:t>
      </w:r>
    </w:p>
    <w:p w14:paraId="54AAE12D" w14:textId="2B919E8F" w:rsidR="00D33A20" w:rsidRDefault="00376C75" w:rsidP="00721E35">
      <w:pPr>
        <w:ind w:firstLineChars="200" w:firstLine="562"/>
        <w:outlineLvl w:val="2"/>
        <w:rPr>
          <w:b/>
          <w:bCs/>
        </w:rPr>
      </w:pPr>
      <w:r>
        <w:rPr>
          <w:b/>
          <w:bCs/>
        </w:rPr>
        <w:t>5</w:t>
      </w:r>
      <w:r w:rsidR="007B0C3B" w:rsidRPr="009C5571">
        <w:rPr>
          <w:rFonts w:hint="eastAsia"/>
          <w:b/>
          <w:bCs/>
          <w:color w:val="000000" w:themeColor="text1"/>
        </w:rPr>
        <w:t>．</w:t>
      </w:r>
      <w:r w:rsidR="002C7D58" w:rsidRPr="002C7D58">
        <w:rPr>
          <w:rFonts w:hint="eastAsia"/>
          <w:b/>
          <w:bCs/>
        </w:rPr>
        <w:t>优质</w:t>
      </w:r>
      <w:r w:rsidR="00FC1A82">
        <w:rPr>
          <w:rFonts w:hint="eastAsia"/>
          <w:b/>
          <w:bCs/>
        </w:rPr>
        <w:t>热带</w:t>
      </w:r>
      <w:r w:rsidR="002C7D58" w:rsidRPr="002C7D58">
        <w:rPr>
          <w:rFonts w:hint="eastAsia"/>
          <w:b/>
          <w:bCs/>
        </w:rPr>
        <w:t>滨海资源深度开发，</w:t>
      </w:r>
      <w:r w:rsidR="00085353">
        <w:rPr>
          <w:rFonts w:hint="eastAsia"/>
          <w:b/>
          <w:bCs/>
        </w:rPr>
        <w:t>房地产</w:t>
      </w:r>
      <w:r w:rsidR="00085353">
        <w:rPr>
          <w:rFonts w:hint="eastAsia"/>
          <w:b/>
          <w:bCs/>
        </w:rPr>
        <w:t>+</w:t>
      </w:r>
      <w:r w:rsidR="00085353">
        <w:rPr>
          <w:rFonts w:hint="eastAsia"/>
          <w:b/>
          <w:bCs/>
        </w:rPr>
        <w:t>旅游</w:t>
      </w:r>
      <w:r w:rsidR="00085353">
        <w:rPr>
          <w:rFonts w:hint="eastAsia"/>
          <w:b/>
          <w:bCs/>
        </w:rPr>
        <w:t>+</w:t>
      </w:r>
      <w:r w:rsidR="00EA0879">
        <w:rPr>
          <w:rFonts w:hint="eastAsia"/>
          <w:b/>
          <w:bCs/>
        </w:rPr>
        <w:t>度假</w:t>
      </w:r>
      <w:r w:rsidR="00085353">
        <w:rPr>
          <w:rFonts w:hint="eastAsia"/>
          <w:b/>
          <w:bCs/>
        </w:rPr>
        <w:t>+</w:t>
      </w:r>
      <w:r w:rsidR="00EA0879">
        <w:rPr>
          <w:rFonts w:hint="eastAsia"/>
          <w:b/>
          <w:bCs/>
        </w:rPr>
        <w:t>养老</w:t>
      </w:r>
      <w:r w:rsidR="00085353">
        <w:rPr>
          <w:rFonts w:hint="eastAsia"/>
          <w:b/>
          <w:bCs/>
        </w:rPr>
        <w:t>一体化融合加速。</w:t>
      </w:r>
    </w:p>
    <w:p w14:paraId="17F401CF" w14:textId="13638FFD" w:rsidR="00EA143F" w:rsidRDefault="00B30556" w:rsidP="001C38CF">
      <w:pPr>
        <w:ind w:firstLineChars="200" w:firstLine="560"/>
      </w:pPr>
      <w:r w:rsidRPr="003960E6">
        <w:rPr>
          <w:rFonts w:hint="eastAsia"/>
        </w:rPr>
        <w:t>湛江是我国唯一热带半岛，与世界“旅游天堂”的夏威夷岛处于</w:t>
      </w:r>
      <w:r w:rsidRPr="003960E6">
        <w:rPr>
          <w:rFonts w:hint="eastAsia"/>
        </w:rPr>
        <w:lastRenderedPageBreak/>
        <w:t>同一纬度</w:t>
      </w:r>
      <w:r w:rsidR="001C38CF">
        <w:rPr>
          <w:rFonts w:hint="eastAsia"/>
        </w:rPr>
        <w:t>，</w:t>
      </w:r>
      <w:r w:rsidR="001C38CF" w:rsidRPr="003960E6">
        <w:rPr>
          <w:rFonts w:hint="eastAsia"/>
        </w:rPr>
        <w:t>生态资源禀赋优越</w:t>
      </w:r>
      <w:r w:rsidR="001C38CF">
        <w:rPr>
          <w:rFonts w:hint="eastAsia"/>
        </w:rPr>
        <w:t>；省层面</w:t>
      </w:r>
      <w:r w:rsidR="001C38CF" w:rsidRPr="001C38CF">
        <w:rPr>
          <w:rFonts w:hint="eastAsia"/>
        </w:rPr>
        <w:t>明确支持湛江与海南在健康医养等领域开展深度合作，携手共建一批世界级旅游景区和度假区，</w:t>
      </w:r>
      <w:r w:rsidR="001C38CF">
        <w:rPr>
          <w:rFonts w:hint="eastAsia"/>
        </w:rPr>
        <w:t>为湛江旅游产业发展带来重大机遇。</w:t>
      </w:r>
      <w:r w:rsidR="003960E6">
        <w:rPr>
          <w:rFonts w:hint="eastAsia"/>
        </w:rPr>
        <w:t>近年来，房地产参与旅游、度假、养老产业发展程度不断加深，</w:t>
      </w:r>
      <w:r w:rsidR="001C38CF">
        <w:rPr>
          <w:rFonts w:hint="eastAsia"/>
        </w:rPr>
        <w:t>参与湛江市全域旅游开发，有效推动了城市旅游品牌建设和大型文化旅游设施建设，促进湛江市旅游品牌“走出去”，以旅游度假养老为概念的商品住房项目市场反馈良好，客源辐射全国。</w:t>
      </w:r>
      <w:r w:rsidR="001C38CF">
        <w:t xml:space="preserve"> </w:t>
      </w:r>
    </w:p>
    <w:p w14:paraId="36F4388F" w14:textId="11A432D0" w:rsidR="00401B30" w:rsidRPr="008A31F7" w:rsidRDefault="00401B30" w:rsidP="008A31F7">
      <w:pPr>
        <w:pStyle w:val="2"/>
        <w:spacing w:before="312" w:after="312"/>
        <w:ind w:firstLine="602"/>
      </w:pPr>
      <w:bookmarkStart w:id="6" w:name="_Toc73434882"/>
      <w:r w:rsidRPr="008A31F7">
        <w:rPr>
          <w:rFonts w:hint="eastAsia"/>
        </w:rPr>
        <w:t>（</w:t>
      </w:r>
      <w:r w:rsidR="00D252F6">
        <w:rPr>
          <w:rFonts w:hint="eastAsia"/>
        </w:rPr>
        <w:t>三</w:t>
      </w:r>
      <w:r w:rsidRPr="008A31F7">
        <w:rPr>
          <w:rFonts w:hint="eastAsia"/>
        </w:rPr>
        <w:t>）</w:t>
      </w:r>
      <w:r w:rsidR="00D249E2">
        <w:rPr>
          <w:rFonts w:hint="eastAsia"/>
        </w:rPr>
        <w:t>短板不足</w:t>
      </w:r>
      <w:bookmarkEnd w:id="6"/>
    </w:p>
    <w:p w14:paraId="03923513" w14:textId="2C0E8E94" w:rsidR="00D5780C" w:rsidRDefault="003835FA" w:rsidP="009C5571">
      <w:pPr>
        <w:ind w:firstLineChars="200" w:firstLine="560"/>
      </w:pPr>
      <w:r>
        <w:rPr>
          <w:rFonts w:hint="eastAsia"/>
        </w:rPr>
        <w:t>在</w:t>
      </w:r>
      <w:r w:rsidR="00D5780C">
        <w:rPr>
          <w:rFonts w:hint="eastAsia"/>
        </w:rPr>
        <w:t>湛江市</w:t>
      </w:r>
      <w:r w:rsidR="001C38CF">
        <w:rPr>
          <w:rFonts w:hint="eastAsia"/>
        </w:rPr>
        <w:t>加强</w:t>
      </w:r>
      <w:r w:rsidR="00D5780C">
        <w:rPr>
          <w:rFonts w:hint="eastAsia"/>
        </w:rPr>
        <w:t>融入国家战略</w:t>
      </w:r>
      <w:r w:rsidR="001C38CF">
        <w:rPr>
          <w:rFonts w:hint="eastAsia"/>
        </w:rPr>
        <w:t>，</w:t>
      </w:r>
      <w:r w:rsidR="001C38CF" w:rsidRPr="001C38CF">
        <w:rPr>
          <w:rFonts w:hint="eastAsia"/>
        </w:rPr>
        <w:t>全力建设省域副中心城市、加快打造现代化沿海经济带重要发展极</w:t>
      </w:r>
      <w:r w:rsidR="00D5780C">
        <w:rPr>
          <w:rFonts w:hint="eastAsia"/>
        </w:rPr>
        <w:t>的</w:t>
      </w:r>
      <w:r>
        <w:rPr>
          <w:rFonts w:hint="eastAsia"/>
        </w:rPr>
        <w:t>新形势新定位</w:t>
      </w:r>
      <w:r w:rsidR="001770E7">
        <w:rPr>
          <w:rFonts w:hint="eastAsia"/>
        </w:rPr>
        <w:t>下</w:t>
      </w:r>
      <w:r w:rsidR="00D5780C">
        <w:rPr>
          <w:rFonts w:hint="eastAsia"/>
        </w:rPr>
        <w:t>，住房发展的短板不足逐渐显现：</w:t>
      </w:r>
    </w:p>
    <w:p w14:paraId="1B622A86" w14:textId="3D220441" w:rsidR="00850C4B" w:rsidRDefault="00B005C8" w:rsidP="00693BE1">
      <w:pPr>
        <w:ind w:firstLineChars="200" w:firstLine="562"/>
        <w:outlineLvl w:val="2"/>
      </w:pPr>
      <w:r w:rsidRPr="00A970B7">
        <w:rPr>
          <w:b/>
          <w:bCs/>
        </w:rPr>
        <w:t>1.</w:t>
      </w:r>
      <w:r w:rsidR="00BE501A">
        <w:rPr>
          <w:rFonts w:hint="eastAsia"/>
          <w:b/>
          <w:bCs/>
        </w:rPr>
        <w:t>城镇</w:t>
      </w:r>
      <w:r w:rsidR="00816BDF">
        <w:rPr>
          <w:rFonts w:hint="eastAsia"/>
          <w:b/>
          <w:bCs/>
        </w:rPr>
        <w:t>住房</w:t>
      </w:r>
      <w:r w:rsidR="00D817FB">
        <w:rPr>
          <w:rFonts w:hint="eastAsia"/>
          <w:b/>
          <w:bCs/>
        </w:rPr>
        <w:t>消费</w:t>
      </w:r>
      <w:r w:rsidR="00BE501A">
        <w:rPr>
          <w:rFonts w:hint="eastAsia"/>
          <w:b/>
          <w:bCs/>
        </w:rPr>
        <w:t>梯度</w:t>
      </w:r>
      <w:r w:rsidR="00693BE1">
        <w:rPr>
          <w:rFonts w:hint="eastAsia"/>
          <w:b/>
          <w:bCs/>
        </w:rPr>
        <w:t>与人口结构不相适应</w:t>
      </w:r>
      <w:r w:rsidRPr="00A970B7">
        <w:rPr>
          <w:rFonts w:hint="eastAsia"/>
          <w:b/>
          <w:bCs/>
        </w:rPr>
        <w:t>。</w:t>
      </w:r>
      <w:r w:rsidR="00816BDF" w:rsidRPr="00816BDF">
        <w:rPr>
          <w:rFonts w:hint="eastAsia"/>
        </w:rPr>
        <w:t>中心城市房地产开发“填充式”开发，城市核心地段的</w:t>
      </w:r>
      <w:r w:rsidR="00E13F4A">
        <w:rPr>
          <w:rFonts w:hint="eastAsia"/>
        </w:rPr>
        <w:t>优质公共设施、</w:t>
      </w:r>
      <w:r w:rsidR="00816BDF" w:rsidRPr="00816BDF">
        <w:rPr>
          <w:rFonts w:hint="eastAsia"/>
        </w:rPr>
        <w:t>高端消费性设施和生产性服务设施配套不足，城</w:t>
      </w:r>
      <w:r w:rsidR="00850C4B">
        <w:rPr>
          <w:rFonts w:hint="eastAsia"/>
        </w:rPr>
        <w:t>市</w:t>
      </w:r>
      <w:r w:rsidR="00816BDF" w:rsidRPr="00816BDF">
        <w:rPr>
          <w:rFonts w:hint="eastAsia"/>
        </w:rPr>
        <w:t>基础设施和公共服务</w:t>
      </w:r>
      <w:r w:rsidR="00D817FB">
        <w:rPr>
          <w:rFonts w:hint="eastAsia"/>
        </w:rPr>
        <w:t>供给存在滞后</w:t>
      </w:r>
      <w:r w:rsidR="00850C4B">
        <w:rPr>
          <w:rFonts w:hint="eastAsia"/>
        </w:rPr>
        <w:t>，土地价值未得到充分挖掘。</w:t>
      </w:r>
      <w:r w:rsidR="00D817FB">
        <w:rPr>
          <w:rFonts w:hint="eastAsia"/>
        </w:rPr>
        <w:t>同时，</w:t>
      </w:r>
      <w:r w:rsidR="00A3721D">
        <w:rPr>
          <w:rFonts w:hint="eastAsia"/>
        </w:rPr>
        <w:t>县城商品住房</w:t>
      </w:r>
      <w:r w:rsidR="00D817FB">
        <w:rPr>
          <w:rFonts w:hint="eastAsia"/>
        </w:rPr>
        <w:t>供应对象以</w:t>
      </w:r>
      <w:r w:rsidR="00850C4B">
        <w:rPr>
          <w:rFonts w:hint="eastAsia"/>
        </w:rPr>
        <w:t>本地</w:t>
      </w:r>
      <w:r w:rsidR="00A3721D">
        <w:rPr>
          <w:rFonts w:hint="eastAsia"/>
        </w:rPr>
        <w:t>改善</w:t>
      </w:r>
      <w:r w:rsidR="00D817FB">
        <w:rPr>
          <w:rFonts w:hint="eastAsia"/>
        </w:rPr>
        <w:t>换房家庭</w:t>
      </w:r>
      <w:r w:rsidR="00A3721D">
        <w:rPr>
          <w:rFonts w:hint="eastAsia"/>
        </w:rPr>
        <w:t>和外出</w:t>
      </w:r>
      <w:r w:rsidR="00D817FB">
        <w:rPr>
          <w:rFonts w:hint="eastAsia"/>
        </w:rPr>
        <w:t>务工</w:t>
      </w:r>
      <w:r w:rsidR="00A3721D">
        <w:rPr>
          <w:rFonts w:hint="eastAsia"/>
        </w:rPr>
        <w:t>返乡</w:t>
      </w:r>
      <w:r w:rsidR="00D817FB">
        <w:rPr>
          <w:rFonts w:hint="eastAsia"/>
        </w:rPr>
        <w:t>人员</w:t>
      </w:r>
      <w:r w:rsidR="00A3721D">
        <w:rPr>
          <w:rFonts w:hint="eastAsia"/>
        </w:rPr>
        <w:t>购房</w:t>
      </w:r>
      <w:r w:rsidR="00850C4B">
        <w:rPr>
          <w:rFonts w:hint="eastAsia"/>
        </w:rPr>
        <w:t>需求</w:t>
      </w:r>
      <w:r w:rsidR="00D817FB">
        <w:rPr>
          <w:rFonts w:hint="eastAsia"/>
        </w:rPr>
        <w:t>为主</w:t>
      </w:r>
      <w:r w:rsidR="00850C4B">
        <w:rPr>
          <w:rFonts w:hint="eastAsia"/>
        </w:rPr>
        <w:t>，</w:t>
      </w:r>
      <w:r w:rsidR="00A3721D">
        <w:rPr>
          <w:rFonts w:hint="eastAsia"/>
        </w:rPr>
        <w:t>本地</w:t>
      </w:r>
      <w:r w:rsidR="0077115C">
        <w:rPr>
          <w:rFonts w:hint="eastAsia"/>
        </w:rPr>
        <w:t>农民</w:t>
      </w:r>
      <w:r w:rsidR="00A3721D">
        <w:rPr>
          <w:rFonts w:hint="eastAsia"/>
        </w:rPr>
        <w:t>收入低，</w:t>
      </w:r>
      <w:r w:rsidR="00D817FB">
        <w:rPr>
          <w:rFonts w:hint="eastAsia"/>
        </w:rPr>
        <w:t>购房消费超出可负担范围，</w:t>
      </w:r>
      <w:r w:rsidR="00850C4B">
        <w:rPr>
          <w:rFonts w:hint="eastAsia"/>
        </w:rPr>
        <w:t>不利于</w:t>
      </w:r>
      <w:r w:rsidR="00D817FB">
        <w:rPr>
          <w:rFonts w:hint="eastAsia"/>
        </w:rPr>
        <w:t>推进</w:t>
      </w:r>
      <w:r w:rsidR="0077115C">
        <w:rPr>
          <w:rFonts w:hint="eastAsia"/>
        </w:rPr>
        <w:t>农业转移人口市民化</w:t>
      </w:r>
      <w:r w:rsidR="00850C4B">
        <w:rPr>
          <w:rFonts w:hint="eastAsia"/>
        </w:rPr>
        <w:t>。</w:t>
      </w:r>
    </w:p>
    <w:p w14:paraId="7FBB98E4" w14:textId="2C518E45" w:rsidR="00B328CB" w:rsidRDefault="00E13F4A" w:rsidP="008977AF">
      <w:pPr>
        <w:ind w:firstLineChars="200" w:firstLine="562"/>
        <w:outlineLvl w:val="2"/>
      </w:pPr>
      <w:r>
        <w:rPr>
          <w:b/>
          <w:bCs/>
        </w:rPr>
        <w:t>2.</w:t>
      </w:r>
      <w:r w:rsidR="00D817FB">
        <w:rPr>
          <w:rFonts w:hint="eastAsia"/>
          <w:b/>
          <w:bCs/>
        </w:rPr>
        <w:t>住房对新型工业化的支持力度不足</w:t>
      </w:r>
      <w:r w:rsidR="001C275E" w:rsidRPr="00D02380">
        <w:rPr>
          <w:rFonts w:hint="eastAsia"/>
          <w:b/>
          <w:bCs/>
        </w:rPr>
        <w:t>。</w:t>
      </w:r>
      <w:r w:rsidR="00E117A6" w:rsidRPr="00E117A6">
        <w:rPr>
          <w:rFonts w:hint="eastAsia"/>
        </w:rPr>
        <w:t>长期以来，湛江市产业发展以重化工业和传统制造业为主，对产业园区</w:t>
      </w:r>
      <w:r w:rsidR="00B328CB">
        <w:rPr>
          <w:rFonts w:hint="eastAsia"/>
        </w:rPr>
        <w:t>空间利用比较粗放，对生产办公空间、</w:t>
      </w:r>
      <w:r w:rsidR="00E117A6" w:rsidRPr="00E117A6">
        <w:rPr>
          <w:rFonts w:hint="eastAsia"/>
        </w:rPr>
        <w:t>居住和生活设施</w:t>
      </w:r>
      <w:r w:rsidR="00B328CB">
        <w:rPr>
          <w:rFonts w:hint="eastAsia"/>
        </w:rPr>
        <w:t>配套</w:t>
      </w:r>
      <w:r w:rsidR="00E117A6" w:rsidRPr="00E117A6">
        <w:rPr>
          <w:rFonts w:hint="eastAsia"/>
        </w:rPr>
        <w:t>考虑不足，</w:t>
      </w:r>
      <w:r w:rsidR="00B328CB">
        <w:rPr>
          <w:rFonts w:hint="eastAsia"/>
        </w:rPr>
        <w:t>如</w:t>
      </w:r>
      <w:r w:rsidR="00E117A6" w:rsidRPr="00E117A6">
        <w:rPr>
          <w:rFonts w:hint="eastAsia"/>
        </w:rPr>
        <w:t>东海岛、麻章经开区等重点产业集聚区</w:t>
      </w:r>
      <w:r w:rsidR="00B328CB">
        <w:rPr>
          <w:rFonts w:hint="eastAsia"/>
        </w:rPr>
        <w:t>在空间上呈</w:t>
      </w:r>
      <w:r w:rsidR="00E117A6" w:rsidRPr="00E117A6">
        <w:rPr>
          <w:rFonts w:hint="eastAsia"/>
        </w:rPr>
        <w:t>“有产无城”或“产城不融”</w:t>
      </w:r>
      <w:r w:rsidR="00B328CB">
        <w:rPr>
          <w:rFonts w:hint="eastAsia"/>
        </w:rPr>
        <w:t>特征，</w:t>
      </w:r>
      <w:r w:rsidR="00B328CB">
        <w:rPr>
          <w:rFonts w:hint="eastAsia"/>
        </w:rPr>
        <w:lastRenderedPageBreak/>
        <w:t>难以适应高端人才对良好工作和居住环境的需求。同时，湛江市</w:t>
      </w:r>
      <w:r w:rsidR="009307DF">
        <w:rPr>
          <w:rFonts w:hint="eastAsia"/>
        </w:rPr>
        <w:t>人才</w:t>
      </w:r>
      <w:r w:rsidR="002534D2">
        <w:rPr>
          <w:rFonts w:hint="eastAsia"/>
        </w:rPr>
        <w:t>公寓</w:t>
      </w:r>
      <w:r w:rsidR="009307DF">
        <w:rPr>
          <w:rFonts w:hint="eastAsia"/>
        </w:rPr>
        <w:t>面向</w:t>
      </w:r>
      <w:r w:rsidR="00B328CB">
        <w:rPr>
          <w:rFonts w:hint="eastAsia"/>
        </w:rPr>
        <w:t>高层次人才，</w:t>
      </w:r>
      <w:r w:rsidR="002534D2">
        <w:rPr>
          <w:rFonts w:hint="eastAsia"/>
        </w:rPr>
        <w:t>暂未覆盖一般技术人才和熟练技术工人。</w:t>
      </w:r>
      <w:r w:rsidR="00B328CB">
        <w:rPr>
          <w:rFonts w:hint="eastAsia"/>
        </w:rPr>
        <w:t>重点产业</w:t>
      </w:r>
      <w:r w:rsidR="007462AF">
        <w:rPr>
          <w:rFonts w:hint="eastAsia"/>
        </w:rPr>
        <w:t>园区</w:t>
      </w:r>
      <w:r w:rsidR="00D817FB">
        <w:rPr>
          <w:rFonts w:hint="eastAsia"/>
        </w:rPr>
        <w:t>平台</w:t>
      </w:r>
      <w:r w:rsidR="00B328CB">
        <w:rPr>
          <w:rFonts w:hint="eastAsia"/>
        </w:rPr>
        <w:t>、</w:t>
      </w:r>
      <w:r w:rsidR="002534D2">
        <w:rPr>
          <w:rFonts w:hint="eastAsia"/>
        </w:rPr>
        <w:t>高校</w:t>
      </w:r>
      <w:r w:rsidR="00B328CB">
        <w:rPr>
          <w:rFonts w:hint="eastAsia"/>
        </w:rPr>
        <w:t>科研</w:t>
      </w:r>
      <w:r w:rsidR="00CE7540">
        <w:rPr>
          <w:rFonts w:hint="eastAsia"/>
        </w:rPr>
        <w:t>院所</w:t>
      </w:r>
      <w:r w:rsidR="007462AF">
        <w:rPr>
          <w:rFonts w:hint="eastAsia"/>
        </w:rPr>
        <w:t>、</w:t>
      </w:r>
      <w:r w:rsidR="00CE7540">
        <w:rPr>
          <w:rFonts w:hint="eastAsia"/>
        </w:rPr>
        <w:t>海洋科技</w:t>
      </w:r>
      <w:r w:rsidR="002534D2">
        <w:rPr>
          <w:rFonts w:hint="eastAsia"/>
        </w:rPr>
        <w:t>产业</w:t>
      </w:r>
      <w:r w:rsidR="007462AF">
        <w:rPr>
          <w:rFonts w:hint="eastAsia"/>
        </w:rPr>
        <w:t>创新基地等</w:t>
      </w:r>
      <w:r w:rsidR="009307DF">
        <w:rPr>
          <w:rFonts w:hint="eastAsia"/>
        </w:rPr>
        <w:t>人才需求比较大的区域</w:t>
      </w:r>
      <w:r w:rsidR="00D817FB">
        <w:rPr>
          <w:rFonts w:hint="eastAsia"/>
        </w:rPr>
        <w:t>的人才保障有待加强</w:t>
      </w:r>
      <w:r w:rsidR="007462AF">
        <w:rPr>
          <w:rFonts w:hint="eastAsia"/>
        </w:rPr>
        <w:t>。</w:t>
      </w:r>
    </w:p>
    <w:p w14:paraId="31CCAF6A" w14:textId="01D9BC41" w:rsidR="002534D2" w:rsidRDefault="004F1450" w:rsidP="008977AF">
      <w:pPr>
        <w:ind w:firstLineChars="200" w:firstLine="562"/>
        <w:outlineLvl w:val="2"/>
      </w:pPr>
      <w:r>
        <w:rPr>
          <w:b/>
          <w:bCs/>
        </w:rPr>
        <w:t>3</w:t>
      </w:r>
      <w:r w:rsidR="00D02380" w:rsidRPr="00D02380">
        <w:rPr>
          <w:b/>
          <w:bCs/>
        </w:rPr>
        <w:t>.</w:t>
      </w:r>
      <w:r w:rsidR="00BE501A">
        <w:rPr>
          <w:rFonts w:hint="eastAsia"/>
          <w:b/>
          <w:bCs/>
        </w:rPr>
        <w:t>房地产业</w:t>
      </w:r>
      <w:r w:rsidR="00D817FB">
        <w:rPr>
          <w:rFonts w:hint="eastAsia"/>
          <w:b/>
          <w:bCs/>
        </w:rPr>
        <w:t>与</w:t>
      </w:r>
      <w:r w:rsidR="00BE501A">
        <w:rPr>
          <w:rFonts w:hint="eastAsia"/>
          <w:b/>
          <w:bCs/>
        </w:rPr>
        <w:t>本地旅游</w:t>
      </w:r>
      <w:r w:rsidR="002534D2">
        <w:rPr>
          <w:rFonts w:hint="eastAsia"/>
          <w:b/>
          <w:bCs/>
        </w:rPr>
        <w:t>产业联动</w:t>
      </w:r>
      <w:r w:rsidR="00AA4F0A">
        <w:rPr>
          <w:rFonts w:hint="eastAsia"/>
          <w:b/>
          <w:bCs/>
        </w:rPr>
        <w:t>合作有待加强</w:t>
      </w:r>
      <w:r w:rsidR="00BE501A">
        <w:rPr>
          <w:rFonts w:hint="eastAsia"/>
          <w:b/>
          <w:bCs/>
        </w:rPr>
        <w:t>。</w:t>
      </w:r>
      <w:r w:rsidR="002534D2" w:rsidRPr="002534D2">
        <w:rPr>
          <w:rFonts w:hint="eastAsia"/>
        </w:rPr>
        <w:t>湛江</w:t>
      </w:r>
      <w:r w:rsidR="002534D2">
        <w:rPr>
          <w:rFonts w:hint="eastAsia"/>
        </w:rPr>
        <w:t>市</w:t>
      </w:r>
      <w:r w:rsidR="002534D2" w:rsidRPr="002534D2">
        <w:rPr>
          <w:rFonts w:hint="eastAsia"/>
        </w:rPr>
        <w:t>的大型旅游度假</w:t>
      </w:r>
      <w:r w:rsidR="002534D2">
        <w:rPr>
          <w:rFonts w:hint="eastAsia"/>
        </w:rPr>
        <w:t>区的开发主要依靠房地产推动，通过商品住房销售来平衡旅游设施开发所需资金，如吴川鼎龙湾、吉兆湾等。</w:t>
      </w:r>
      <w:r w:rsidR="00561D01">
        <w:rPr>
          <w:rFonts w:hint="eastAsia"/>
        </w:rPr>
        <w:t>由于这些项目属于外源植入，</w:t>
      </w:r>
      <w:r w:rsidR="00561D01" w:rsidRPr="00561D01">
        <w:rPr>
          <w:rFonts w:hint="eastAsia"/>
        </w:rPr>
        <w:t>项目建设运营与本地居民</w:t>
      </w:r>
      <w:r w:rsidR="00561D01">
        <w:rPr>
          <w:rFonts w:hint="eastAsia"/>
        </w:rPr>
        <w:t>生活就业</w:t>
      </w:r>
      <w:r w:rsidR="00561D01" w:rsidRPr="00561D01">
        <w:rPr>
          <w:rFonts w:hint="eastAsia"/>
        </w:rPr>
        <w:t>完全</w:t>
      </w:r>
      <w:r w:rsidR="00561D01">
        <w:rPr>
          <w:rFonts w:hint="eastAsia"/>
        </w:rPr>
        <w:t>分离，</w:t>
      </w:r>
      <w:r w:rsidR="002534D2">
        <w:rPr>
          <w:rFonts w:hint="eastAsia"/>
        </w:rPr>
        <w:t>随着开发商受惠前提投入成本以后，高额的</w:t>
      </w:r>
      <w:r w:rsidR="00561D01">
        <w:rPr>
          <w:rFonts w:hint="eastAsia"/>
        </w:rPr>
        <w:t>旅游设施运营净成本支出，将对设施的后期持续运营带来风险。</w:t>
      </w:r>
    </w:p>
    <w:p w14:paraId="6A041DCD" w14:textId="0EE15D5F" w:rsidR="00213818" w:rsidRDefault="00561D01" w:rsidP="00213818">
      <w:pPr>
        <w:ind w:firstLineChars="200" w:firstLine="562"/>
        <w:outlineLvl w:val="2"/>
      </w:pPr>
      <w:r>
        <w:rPr>
          <w:b/>
          <w:bCs/>
        </w:rPr>
        <w:t>4</w:t>
      </w:r>
      <w:r w:rsidR="00D02380" w:rsidRPr="00D02380">
        <w:rPr>
          <w:b/>
          <w:bCs/>
        </w:rPr>
        <w:t>.</w:t>
      </w:r>
      <w:r w:rsidR="00D02380" w:rsidRPr="00D02380">
        <w:rPr>
          <w:rFonts w:hint="eastAsia"/>
          <w:b/>
          <w:bCs/>
        </w:rPr>
        <w:t>住房</w:t>
      </w:r>
      <w:r>
        <w:rPr>
          <w:rFonts w:hint="eastAsia"/>
          <w:b/>
          <w:bCs/>
        </w:rPr>
        <w:t>有关</w:t>
      </w:r>
      <w:r w:rsidR="00721E35">
        <w:rPr>
          <w:rFonts w:hint="eastAsia"/>
          <w:b/>
          <w:bCs/>
        </w:rPr>
        <w:t>配套管理政策</w:t>
      </w:r>
      <w:r w:rsidR="00D557B0">
        <w:rPr>
          <w:rFonts w:hint="eastAsia"/>
          <w:b/>
          <w:bCs/>
        </w:rPr>
        <w:t>须进一步健全</w:t>
      </w:r>
      <w:r>
        <w:rPr>
          <w:rFonts w:hint="eastAsia"/>
          <w:b/>
          <w:bCs/>
        </w:rPr>
        <w:t>。</w:t>
      </w:r>
      <w:r w:rsidR="00A04864">
        <w:rPr>
          <w:rFonts w:hint="eastAsia"/>
        </w:rPr>
        <w:t>湛江市</w:t>
      </w:r>
      <w:r w:rsidR="00213818">
        <w:rPr>
          <w:rFonts w:hint="eastAsia"/>
        </w:rPr>
        <w:t>房地产开发与城市基础设施和公共服务供给、产业园区建设等不够协同，</w:t>
      </w:r>
      <w:r w:rsidR="00316678">
        <w:rPr>
          <w:rFonts w:hint="eastAsia"/>
        </w:rPr>
        <w:t>城市更新项目片区统筹不足，</w:t>
      </w:r>
      <w:r w:rsidR="00213818">
        <w:rPr>
          <w:rFonts w:hint="eastAsia"/>
        </w:rPr>
        <w:t>城市开发建设缺乏经营意识，</w:t>
      </w:r>
      <w:r w:rsidR="00316678">
        <w:rPr>
          <w:rFonts w:hint="eastAsia"/>
        </w:rPr>
        <w:t>管理不够精细，</w:t>
      </w:r>
      <w:r w:rsidR="00A04864">
        <w:rPr>
          <w:rFonts w:hint="eastAsia"/>
        </w:rPr>
        <w:t>土地价值未得到充分挖掘。</w:t>
      </w:r>
      <w:r w:rsidR="00213818">
        <w:rPr>
          <w:rFonts w:hint="eastAsia"/>
        </w:rPr>
        <w:t>房地产开发项目</w:t>
      </w:r>
      <w:r w:rsidR="00316678">
        <w:rPr>
          <w:rFonts w:hint="eastAsia"/>
        </w:rPr>
        <w:t>的</w:t>
      </w:r>
      <w:r w:rsidR="00213818">
        <w:rPr>
          <w:rFonts w:hint="eastAsia"/>
        </w:rPr>
        <w:t>行政审批流程</w:t>
      </w:r>
      <w:r w:rsidR="00316678">
        <w:rPr>
          <w:rFonts w:hint="eastAsia"/>
        </w:rPr>
        <w:t>较长，不确定性大，住宅用地闲置情况较多，房地产开发项目全流程监管</w:t>
      </w:r>
      <w:r w:rsidR="00CE7540">
        <w:rPr>
          <w:rFonts w:hint="eastAsia"/>
        </w:rPr>
        <w:t>有待加强</w:t>
      </w:r>
      <w:r w:rsidR="00316678">
        <w:rPr>
          <w:rFonts w:hint="eastAsia"/>
        </w:rPr>
        <w:t>。</w:t>
      </w:r>
    </w:p>
    <w:p w14:paraId="7F61BB50" w14:textId="3DE6C27E" w:rsidR="00A51C0F" w:rsidRDefault="006A05FC" w:rsidP="006A05FC">
      <w:pPr>
        <w:pStyle w:val="1"/>
        <w:spacing w:before="312" w:after="312"/>
        <w:ind w:firstLine="640"/>
      </w:pPr>
      <w:bookmarkStart w:id="7" w:name="_Toc73434883"/>
      <w:r>
        <w:rPr>
          <w:rFonts w:hint="eastAsia"/>
        </w:rPr>
        <w:t>二</w:t>
      </w:r>
      <w:r>
        <w:t>、总体</w:t>
      </w:r>
      <w:r w:rsidR="003314F0">
        <w:rPr>
          <w:rFonts w:hint="eastAsia"/>
        </w:rPr>
        <w:t>思路和发展目标</w:t>
      </w:r>
      <w:bookmarkEnd w:id="7"/>
    </w:p>
    <w:p w14:paraId="5457675F" w14:textId="0114B3B0" w:rsidR="006A05FC" w:rsidRDefault="006A05FC" w:rsidP="006A05FC">
      <w:pPr>
        <w:pStyle w:val="2"/>
        <w:spacing w:before="312" w:after="312"/>
        <w:ind w:firstLine="602"/>
      </w:pPr>
      <w:bookmarkStart w:id="8" w:name="_Toc73434884"/>
      <w:r>
        <w:rPr>
          <w:rFonts w:hint="eastAsia"/>
        </w:rPr>
        <w:t>（一）指导</w:t>
      </w:r>
      <w:r>
        <w:t>思想</w:t>
      </w:r>
      <w:bookmarkEnd w:id="8"/>
    </w:p>
    <w:p w14:paraId="0D71F907" w14:textId="308F6F33" w:rsidR="00EC002B" w:rsidRDefault="00E063CE" w:rsidP="000B342E">
      <w:pPr>
        <w:ind w:firstLineChars="200" w:firstLine="560"/>
      </w:pPr>
      <w:r w:rsidRPr="00FA7634">
        <w:rPr>
          <w:rFonts w:hint="eastAsia"/>
        </w:rPr>
        <w:t>以习近平新时代中国特色社会主义思想为指导，全面贯彻党的十九大和十九届二中、三中、四中、五中全会精神，深入贯彻习近平总书记</w:t>
      </w:r>
      <w:r w:rsidR="00E41D73" w:rsidRPr="00FA7634">
        <w:rPr>
          <w:rFonts w:hint="eastAsia"/>
        </w:rPr>
        <w:t>关于</w:t>
      </w:r>
      <w:r w:rsidR="000B342E" w:rsidRPr="00FA7634">
        <w:rPr>
          <w:rFonts w:hint="eastAsia"/>
        </w:rPr>
        <w:t>广东</w:t>
      </w:r>
      <w:r w:rsidRPr="00FA7634">
        <w:rPr>
          <w:rFonts w:hint="eastAsia"/>
        </w:rPr>
        <w:t>重要讲话和重要指示批示精神，</w:t>
      </w:r>
      <w:r w:rsidR="000B342E" w:rsidRPr="00FA7634">
        <w:rPr>
          <w:rFonts w:hint="eastAsia"/>
        </w:rPr>
        <w:t>坚定不移贯彻新发展理念，</w:t>
      </w:r>
      <w:r w:rsidR="000B342E" w:rsidRPr="00CE7540">
        <w:rPr>
          <w:rFonts w:hint="eastAsia"/>
        </w:rPr>
        <w:t>始终把解决人民群众住房问题作为出发点和落脚点，</w:t>
      </w:r>
      <w:r w:rsidR="000B342E" w:rsidRPr="00FA7634">
        <w:rPr>
          <w:rFonts w:hint="eastAsia"/>
        </w:rPr>
        <w:t>坚持房子是</w:t>
      </w:r>
      <w:r w:rsidR="000B342E" w:rsidRPr="00FA7634">
        <w:rPr>
          <w:rFonts w:hint="eastAsia"/>
        </w:rPr>
        <w:lastRenderedPageBreak/>
        <w:t>用来住的、不是用来炒的定位，</w:t>
      </w:r>
      <w:bookmarkStart w:id="9" w:name="_Hlk73366894"/>
      <w:r w:rsidR="000B342E" w:rsidRPr="00FA7634">
        <w:rPr>
          <w:rFonts w:hint="eastAsia"/>
        </w:rPr>
        <w:t>加快建立多主体供给、多渠道保障、租购并举的住房制度，</w:t>
      </w:r>
      <w:r w:rsidR="00EC002B">
        <w:rPr>
          <w:rFonts w:hint="eastAsia"/>
        </w:rPr>
        <w:t>不断完善住房市场和保障体系</w:t>
      </w:r>
      <w:bookmarkEnd w:id="9"/>
      <w:r w:rsidR="00EC002B">
        <w:rPr>
          <w:rFonts w:hint="eastAsia"/>
        </w:rPr>
        <w:t>，</w:t>
      </w:r>
      <w:r w:rsidR="00EC002B" w:rsidRPr="00EC002B">
        <w:rPr>
          <w:rFonts w:hint="eastAsia"/>
        </w:rPr>
        <w:t>促进房地产市场平稳健康发展</w:t>
      </w:r>
      <w:r w:rsidR="00EC002B">
        <w:rPr>
          <w:rFonts w:hint="eastAsia"/>
        </w:rPr>
        <w:t>，促进</w:t>
      </w:r>
      <w:r w:rsidR="00EC002B" w:rsidRPr="00EC002B">
        <w:rPr>
          <w:rFonts w:hint="eastAsia"/>
        </w:rPr>
        <w:t>湛江市加快成为现代化沿海经济带重要发展极、广东省域副中心城市、北部湾城市群中心城市、“一带一路”海上合作支点城市、粤港澳大湾区和海南自贸港重要战略腹地和支撑区。</w:t>
      </w:r>
    </w:p>
    <w:p w14:paraId="311DD75F" w14:textId="71060B28" w:rsidR="006A05FC" w:rsidRPr="00E41D73" w:rsidRDefault="006A05FC" w:rsidP="006A05FC">
      <w:pPr>
        <w:pStyle w:val="2"/>
        <w:spacing w:before="312" w:after="312"/>
        <w:ind w:firstLine="602"/>
        <w:rPr>
          <w:color w:val="FF0000"/>
        </w:rPr>
      </w:pPr>
      <w:bookmarkStart w:id="10" w:name="_Toc73434885"/>
      <w:r>
        <w:rPr>
          <w:rFonts w:hint="eastAsia"/>
        </w:rPr>
        <w:t>（二）</w:t>
      </w:r>
      <w:r w:rsidR="00BB19D6">
        <w:rPr>
          <w:rFonts w:hint="eastAsia"/>
        </w:rPr>
        <w:t>战略定位</w:t>
      </w:r>
      <w:bookmarkEnd w:id="10"/>
    </w:p>
    <w:p w14:paraId="479D320F" w14:textId="739F2BEF" w:rsidR="005408B3" w:rsidRPr="00D37E4D" w:rsidRDefault="006713C8" w:rsidP="006713C8">
      <w:pPr>
        <w:ind w:firstLineChars="200" w:firstLine="562"/>
        <w:outlineLvl w:val="2"/>
      </w:pPr>
      <w:r>
        <w:rPr>
          <w:rFonts w:hint="eastAsia"/>
          <w:b/>
          <w:bCs/>
        </w:rPr>
        <w:t>1</w:t>
      </w:r>
      <w:r>
        <w:rPr>
          <w:b/>
          <w:bCs/>
        </w:rPr>
        <w:t>.</w:t>
      </w:r>
      <w:r w:rsidR="00CF2327">
        <w:rPr>
          <w:rFonts w:hint="eastAsia"/>
          <w:b/>
          <w:bCs/>
        </w:rPr>
        <w:t>健全</w:t>
      </w:r>
      <w:r w:rsidR="005408B3" w:rsidRPr="002871B9">
        <w:rPr>
          <w:rFonts w:hint="eastAsia"/>
          <w:b/>
          <w:bCs/>
        </w:rPr>
        <w:t>多层次、高品质的现代化住房</w:t>
      </w:r>
      <w:r w:rsidR="00E25FC9">
        <w:rPr>
          <w:rFonts w:hint="eastAsia"/>
          <w:b/>
          <w:bCs/>
        </w:rPr>
        <w:t>供给</w:t>
      </w:r>
      <w:r w:rsidR="005408B3" w:rsidRPr="002871B9">
        <w:rPr>
          <w:rFonts w:hint="eastAsia"/>
          <w:b/>
          <w:bCs/>
        </w:rPr>
        <w:t>体系。</w:t>
      </w:r>
      <w:r w:rsidR="002871B9" w:rsidRPr="00D37E4D">
        <w:rPr>
          <w:rFonts w:hint="eastAsia"/>
        </w:rPr>
        <w:t>始终坚持“以人为本”，深化</w:t>
      </w:r>
      <w:r w:rsidR="002871B9" w:rsidRPr="00D37E4D">
        <w:t>住房供给侧改革</w:t>
      </w:r>
      <w:r w:rsidR="002871B9" w:rsidRPr="00D37E4D">
        <w:rPr>
          <w:rFonts w:hint="eastAsia"/>
        </w:rPr>
        <w:t>，适应居民多层次的住房消费，</w:t>
      </w:r>
      <w:r w:rsidR="00CE7540" w:rsidRPr="00D37E4D">
        <w:rPr>
          <w:rFonts w:hint="eastAsia"/>
        </w:rPr>
        <w:t>稳步增加商品住房供给，</w:t>
      </w:r>
      <w:r w:rsidR="00E25FC9">
        <w:rPr>
          <w:rFonts w:hint="eastAsia"/>
        </w:rPr>
        <w:t>不断</w:t>
      </w:r>
      <w:r w:rsidR="002871B9" w:rsidRPr="00D37E4D">
        <w:rPr>
          <w:rFonts w:hint="eastAsia"/>
        </w:rPr>
        <w:t>提升住房保障水平，</w:t>
      </w:r>
      <w:r w:rsidR="00FD0994">
        <w:rPr>
          <w:rFonts w:hint="eastAsia"/>
        </w:rPr>
        <w:t>加强优质公共服务配套，</w:t>
      </w:r>
      <w:r w:rsidR="002871B9" w:rsidRPr="00D37E4D">
        <w:rPr>
          <w:rFonts w:hint="eastAsia"/>
        </w:rPr>
        <w:t>促进全体人民</w:t>
      </w:r>
      <w:r w:rsidR="00CE7540" w:rsidRPr="00D37E4D">
        <w:rPr>
          <w:rFonts w:hint="eastAsia"/>
        </w:rPr>
        <w:t>“住有所居”、“住有宜居”</w:t>
      </w:r>
      <w:r w:rsidR="002871B9" w:rsidRPr="00D37E4D">
        <w:rPr>
          <w:rFonts w:hint="eastAsia"/>
        </w:rPr>
        <w:t>。</w:t>
      </w:r>
    </w:p>
    <w:p w14:paraId="60CE7B28" w14:textId="04B78C81" w:rsidR="005408B3" w:rsidRPr="005408B3" w:rsidRDefault="006713C8" w:rsidP="006713C8">
      <w:pPr>
        <w:ind w:firstLineChars="200" w:firstLine="562"/>
        <w:outlineLvl w:val="2"/>
      </w:pPr>
      <w:r>
        <w:rPr>
          <w:rFonts w:hint="eastAsia"/>
          <w:b/>
          <w:bCs/>
        </w:rPr>
        <w:t>2</w:t>
      </w:r>
      <w:r>
        <w:rPr>
          <w:b/>
          <w:bCs/>
        </w:rPr>
        <w:t>.</w:t>
      </w:r>
      <w:r w:rsidR="005408B3" w:rsidRPr="002871B9">
        <w:rPr>
          <w:rFonts w:hint="eastAsia"/>
          <w:b/>
          <w:bCs/>
        </w:rPr>
        <w:t>助力打造产城融合</w:t>
      </w:r>
      <w:r w:rsidR="0012618C">
        <w:rPr>
          <w:rFonts w:hint="eastAsia"/>
          <w:b/>
          <w:bCs/>
        </w:rPr>
        <w:t>、军民融合高质量</w:t>
      </w:r>
      <w:r w:rsidR="005408B3" w:rsidRPr="002871B9">
        <w:rPr>
          <w:rFonts w:hint="eastAsia"/>
          <w:b/>
          <w:bCs/>
        </w:rPr>
        <w:t>样板。</w:t>
      </w:r>
      <w:r w:rsidR="00CE7540">
        <w:rPr>
          <w:rFonts w:hint="eastAsia"/>
        </w:rPr>
        <w:t>进一步</w:t>
      </w:r>
      <w:r w:rsidR="002871B9" w:rsidRPr="000B342E">
        <w:rPr>
          <w:rFonts w:hint="eastAsia"/>
        </w:rPr>
        <w:t>发挥</w:t>
      </w:r>
      <w:r w:rsidR="002871B9" w:rsidRPr="000B342E">
        <w:t>住房发展对于实体经济的</w:t>
      </w:r>
      <w:r w:rsidR="002871B9" w:rsidRPr="000B342E">
        <w:rPr>
          <w:rFonts w:hint="eastAsia"/>
        </w:rPr>
        <w:t>促进</w:t>
      </w:r>
      <w:r w:rsidR="002871B9" w:rsidRPr="000B342E">
        <w:t>作用</w:t>
      </w:r>
      <w:r w:rsidR="002871B9" w:rsidRPr="000B342E">
        <w:rPr>
          <w:rFonts w:hint="eastAsia"/>
        </w:rPr>
        <w:t>，</w:t>
      </w:r>
      <w:r w:rsidR="00CE7540">
        <w:rPr>
          <w:rFonts w:hint="eastAsia"/>
        </w:rPr>
        <w:t>加大人才住房支持力度，加强重</w:t>
      </w:r>
      <w:r w:rsidR="007E7F9B">
        <w:rPr>
          <w:rFonts w:hint="eastAsia"/>
        </w:rPr>
        <w:t>点</w:t>
      </w:r>
      <w:r w:rsidR="00CE7540">
        <w:rPr>
          <w:rFonts w:hint="eastAsia"/>
        </w:rPr>
        <w:t>产业发展平台、高校科研院所、海洋科技产业创新基地等的</w:t>
      </w:r>
      <w:r w:rsidR="00D362B3">
        <w:rPr>
          <w:rFonts w:hint="eastAsia"/>
        </w:rPr>
        <w:t>居住</w:t>
      </w:r>
      <w:r w:rsidR="00CE7540">
        <w:rPr>
          <w:rFonts w:hint="eastAsia"/>
        </w:rPr>
        <w:t>和生活配套，</w:t>
      </w:r>
      <w:r w:rsidR="0012618C">
        <w:rPr>
          <w:rFonts w:hint="eastAsia"/>
        </w:rPr>
        <w:t>积极推进军民融合建设，</w:t>
      </w:r>
      <w:r w:rsidR="00FF1D54">
        <w:rPr>
          <w:rFonts w:hint="eastAsia"/>
        </w:rPr>
        <w:t>全力支持湛江</w:t>
      </w:r>
      <w:r w:rsidR="0012618C">
        <w:rPr>
          <w:rFonts w:hint="eastAsia"/>
        </w:rPr>
        <w:t>构建特色现代产业体系，加快打造</w:t>
      </w:r>
      <w:r w:rsidR="00FF1D54">
        <w:rPr>
          <w:rFonts w:hint="eastAsia"/>
        </w:rPr>
        <w:t>现代化沿海经济带重要发展极</w:t>
      </w:r>
      <w:r w:rsidR="002871B9">
        <w:rPr>
          <w:rFonts w:hint="eastAsia"/>
        </w:rPr>
        <w:t>。</w:t>
      </w:r>
    </w:p>
    <w:p w14:paraId="16A89A91" w14:textId="0C7CA88C" w:rsidR="002E04D1" w:rsidRDefault="006713C8" w:rsidP="005627A3">
      <w:pPr>
        <w:ind w:firstLineChars="200" w:firstLine="562"/>
        <w:outlineLvl w:val="2"/>
      </w:pPr>
      <w:r>
        <w:rPr>
          <w:rFonts w:hint="eastAsia"/>
          <w:b/>
          <w:bCs/>
        </w:rPr>
        <w:t>3</w:t>
      </w:r>
      <w:r>
        <w:rPr>
          <w:b/>
          <w:bCs/>
        </w:rPr>
        <w:t>.</w:t>
      </w:r>
      <w:r w:rsidR="002E04D1">
        <w:rPr>
          <w:rFonts w:hint="eastAsia"/>
          <w:b/>
          <w:bCs/>
        </w:rPr>
        <w:t>促进房地产与</w:t>
      </w:r>
      <w:r w:rsidR="005D3F32">
        <w:rPr>
          <w:rFonts w:hint="eastAsia"/>
          <w:b/>
          <w:bCs/>
        </w:rPr>
        <w:t>旅游产业</w:t>
      </w:r>
      <w:r w:rsidR="002E04D1">
        <w:rPr>
          <w:rFonts w:hint="eastAsia"/>
          <w:b/>
          <w:bCs/>
        </w:rPr>
        <w:t>深度融合</w:t>
      </w:r>
      <w:r w:rsidR="002871B9" w:rsidRPr="002871B9">
        <w:rPr>
          <w:rFonts w:hint="eastAsia"/>
          <w:b/>
          <w:bCs/>
        </w:rPr>
        <w:t>。</w:t>
      </w:r>
      <w:r w:rsidR="002E04D1">
        <w:rPr>
          <w:rFonts w:hint="eastAsia"/>
        </w:rPr>
        <w:t>发挥湛江市拥有国内唯一的热带半岛优势，</w:t>
      </w:r>
      <w:r w:rsidR="00721E35">
        <w:rPr>
          <w:rFonts w:hint="eastAsia"/>
        </w:rPr>
        <w:t>加强旅游服务产业和文旅</w:t>
      </w:r>
      <w:r w:rsidR="000D05E3">
        <w:rPr>
          <w:rFonts w:hint="eastAsia"/>
        </w:rPr>
        <w:t>、康养</w:t>
      </w:r>
      <w:r w:rsidR="00721E35">
        <w:rPr>
          <w:rFonts w:hint="eastAsia"/>
        </w:rPr>
        <w:t>地产招商，</w:t>
      </w:r>
      <w:r w:rsidR="00333DD7">
        <w:rPr>
          <w:rFonts w:hint="eastAsia"/>
        </w:rPr>
        <w:t>高起点规划、高标准建设，</w:t>
      </w:r>
      <w:r w:rsidR="00721E35">
        <w:rPr>
          <w:rFonts w:hint="eastAsia"/>
        </w:rPr>
        <w:t>培育一批</w:t>
      </w:r>
      <w:r w:rsidR="002E04D1" w:rsidRPr="00333DD7">
        <w:rPr>
          <w:rFonts w:hint="eastAsia"/>
        </w:rPr>
        <w:t>房地产与</w:t>
      </w:r>
      <w:r w:rsidR="00721E35">
        <w:rPr>
          <w:rFonts w:hint="eastAsia"/>
        </w:rPr>
        <w:t>湛江</w:t>
      </w:r>
      <w:r w:rsidR="007B0C3B">
        <w:rPr>
          <w:rFonts w:hint="eastAsia"/>
        </w:rPr>
        <w:t>特色</w:t>
      </w:r>
      <w:r w:rsidR="00721E35">
        <w:rPr>
          <w:rFonts w:hint="eastAsia"/>
        </w:rPr>
        <w:t>文化、滨海</w:t>
      </w:r>
      <w:r w:rsidR="005D3F32">
        <w:rPr>
          <w:rFonts w:hint="eastAsia"/>
        </w:rPr>
        <w:t>旅游</w:t>
      </w:r>
      <w:r w:rsidR="002E04D1" w:rsidRPr="00333DD7">
        <w:rPr>
          <w:rFonts w:hint="eastAsia"/>
        </w:rPr>
        <w:t>、健康养老</w:t>
      </w:r>
      <w:r w:rsidR="00721E35">
        <w:rPr>
          <w:rFonts w:hint="eastAsia"/>
        </w:rPr>
        <w:t>等</w:t>
      </w:r>
      <w:r w:rsidR="002E04D1">
        <w:rPr>
          <w:rFonts w:hint="eastAsia"/>
        </w:rPr>
        <w:t>深度</w:t>
      </w:r>
      <w:r w:rsidR="002E04D1" w:rsidRPr="00333DD7">
        <w:rPr>
          <w:rFonts w:hint="eastAsia"/>
        </w:rPr>
        <w:t>融合</w:t>
      </w:r>
      <w:r w:rsidR="00721E35">
        <w:rPr>
          <w:rFonts w:hint="eastAsia"/>
        </w:rPr>
        <w:t>的综合型高端度假区，加快</w:t>
      </w:r>
      <w:r w:rsidR="005627A3" w:rsidRPr="00333DD7">
        <w:rPr>
          <w:rFonts w:hint="eastAsia"/>
        </w:rPr>
        <w:t>推进全域旅游开发</w:t>
      </w:r>
      <w:r w:rsidR="002E04D1">
        <w:rPr>
          <w:rFonts w:hint="eastAsia"/>
        </w:rPr>
        <w:t>和</w:t>
      </w:r>
      <w:r w:rsidR="005D3F32">
        <w:rPr>
          <w:rFonts w:hint="eastAsia"/>
        </w:rPr>
        <w:t>旅游服务</w:t>
      </w:r>
      <w:r w:rsidR="00721E35">
        <w:rPr>
          <w:rFonts w:hint="eastAsia"/>
        </w:rPr>
        <w:t>产</w:t>
      </w:r>
      <w:r w:rsidR="005D3F32">
        <w:rPr>
          <w:rFonts w:hint="eastAsia"/>
        </w:rPr>
        <w:t>业发展</w:t>
      </w:r>
      <w:r w:rsidR="005627A3">
        <w:rPr>
          <w:rFonts w:hint="eastAsia"/>
        </w:rPr>
        <w:t>，与海南相向而行，联动北部湾城市群，</w:t>
      </w:r>
      <w:r w:rsidR="002E04D1" w:rsidRPr="002E04D1">
        <w:rPr>
          <w:rFonts w:hint="eastAsia"/>
        </w:rPr>
        <w:t>共创共建世界级滨海热带旅游度假高地</w:t>
      </w:r>
      <w:r w:rsidR="002E04D1">
        <w:rPr>
          <w:rFonts w:hint="eastAsia"/>
        </w:rPr>
        <w:t>。</w:t>
      </w:r>
    </w:p>
    <w:p w14:paraId="41DB744C" w14:textId="1E48CEFA" w:rsidR="00C30C21" w:rsidRPr="00D37E4D" w:rsidRDefault="006713C8" w:rsidP="00D37E4D">
      <w:pPr>
        <w:ind w:firstLineChars="200" w:firstLine="562"/>
        <w:outlineLvl w:val="2"/>
      </w:pPr>
      <w:r>
        <w:rPr>
          <w:rFonts w:hint="eastAsia"/>
          <w:b/>
          <w:bCs/>
        </w:rPr>
        <w:lastRenderedPageBreak/>
        <w:t>4</w:t>
      </w:r>
      <w:r>
        <w:rPr>
          <w:b/>
          <w:bCs/>
        </w:rPr>
        <w:t>.</w:t>
      </w:r>
      <w:r w:rsidR="002871B9" w:rsidRPr="00FF1D54">
        <w:rPr>
          <w:rFonts w:hint="eastAsia"/>
          <w:b/>
          <w:bCs/>
        </w:rPr>
        <w:t>努力</w:t>
      </w:r>
      <w:r w:rsidR="00D37E4D">
        <w:rPr>
          <w:rFonts w:hint="eastAsia"/>
          <w:b/>
          <w:bCs/>
        </w:rPr>
        <w:t>创造</w:t>
      </w:r>
      <w:r w:rsidR="00E25FC9">
        <w:rPr>
          <w:rFonts w:hint="eastAsia"/>
          <w:b/>
          <w:bCs/>
        </w:rPr>
        <w:t>新时代住房治理现代化格局</w:t>
      </w:r>
      <w:r w:rsidR="002871B9" w:rsidRPr="00FF1D54">
        <w:rPr>
          <w:rFonts w:hint="eastAsia"/>
          <w:b/>
          <w:bCs/>
        </w:rPr>
        <w:t>。</w:t>
      </w:r>
      <w:r w:rsidR="00D37E4D" w:rsidRPr="00D37E4D">
        <w:rPr>
          <w:rFonts w:hint="eastAsia"/>
        </w:rPr>
        <w:t>对标粤港澳大湾区</w:t>
      </w:r>
      <w:r w:rsidR="00D37E4D">
        <w:rPr>
          <w:rFonts w:hint="eastAsia"/>
        </w:rPr>
        <w:t>核心城市</w:t>
      </w:r>
      <w:r w:rsidR="00D37E4D" w:rsidRPr="00D37E4D">
        <w:rPr>
          <w:rFonts w:hint="eastAsia"/>
        </w:rPr>
        <w:t>，</w:t>
      </w:r>
      <w:r w:rsidR="00D37E4D">
        <w:rPr>
          <w:rFonts w:hint="eastAsia"/>
        </w:rPr>
        <w:t>加快</w:t>
      </w:r>
      <w:r w:rsidR="00E25FC9">
        <w:rPr>
          <w:rFonts w:hint="eastAsia"/>
        </w:rPr>
        <w:t>构建湛江市</w:t>
      </w:r>
      <w:r w:rsidR="00D37E4D" w:rsidRPr="00D37E4D">
        <w:rPr>
          <w:rFonts w:hint="eastAsia"/>
        </w:rPr>
        <w:t>“</w:t>
      </w:r>
      <w:r w:rsidR="00D37E4D" w:rsidRPr="00D37E4D">
        <w:rPr>
          <w:rFonts w:hint="eastAsia"/>
        </w:rPr>
        <w:t>1+N</w:t>
      </w:r>
      <w:r w:rsidR="00D37E4D" w:rsidRPr="00D37E4D">
        <w:rPr>
          <w:rFonts w:hint="eastAsia"/>
        </w:rPr>
        <w:t>”的住房政策体系</w:t>
      </w:r>
      <w:r w:rsidR="00D37E4D">
        <w:rPr>
          <w:rFonts w:hint="eastAsia"/>
        </w:rPr>
        <w:t>，</w:t>
      </w:r>
      <w:r w:rsidR="00C30C21" w:rsidRPr="00D37E4D">
        <w:rPr>
          <w:rFonts w:hint="eastAsia"/>
        </w:rPr>
        <w:t>因城施策，健全房地产市场平稳健康发展长效机制</w:t>
      </w:r>
      <w:r w:rsidR="00D37E4D">
        <w:rPr>
          <w:rFonts w:hint="eastAsia"/>
        </w:rPr>
        <w:t>，</w:t>
      </w:r>
      <w:r w:rsidR="00C30C21" w:rsidRPr="00D37E4D">
        <w:rPr>
          <w:rFonts w:hint="eastAsia"/>
        </w:rPr>
        <w:t>联动有关部门，共同营造一流的城市营商环境。</w:t>
      </w:r>
    </w:p>
    <w:p w14:paraId="491C1C8B" w14:textId="24852F08" w:rsidR="00E41D73" w:rsidRPr="001F3920" w:rsidRDefault="006A05FC" w:rsidP="006A05FC">
      <w:pPr>
        <w:pStyle w:val="2"/>
        <w:spacing w:before="312" w:after="312"/>
        <w:ind w:firstLine="602"/>
      </w:pPr>
      <w:bookmarkStart w:id="11" w:name="_Toc73434886"/>
      <w:r w:rsidRPr="001F3920">
        <w:rPr>
          <w:rFonts w:hint="eastAsia"/>
        </w:rPr>
        <w:t>（三）</w:t>
      </w:r>
      <w:r w:rsidR="00ED2970">
        <w:rPr>
          <w:rFonts w:hint="eastAsia"/>
        </w:rPr>
        <w:t>住房</w:t>
      </w:r>
      <w:r w:rsidRPr="001F3920">
        <w:t>目标</w:t>
      </w:r>
      <w:bookmarkEnd w:id="11"/>
    </w:p>
    <w:p w14:paraId="1A86EEBD" w14:textId="53F8C921" w:rsidR="003F6108" w:rsidRPr="007C23D8" w:rsidRDefault="001F3920" w:rsidP="007C23D8">
      <w:pPr>
        <w:ind w:firstLineChars="200" w:firstLine="560"/>
        <w:outlineLvl w:val="2"/>
      </w:pPr>
      <w:r>
        <w:rPr>
          <w:rFonts w:hint="eastAsia"/>
        </w:rPr>
        <w:t>“十四五”</w:t>
      </w:r>
      <w:r w:rsidR="00427D28" w:rsidRPr="007C23D8">
        <w:rPr>
          <w:rFonts w:hint="eastAsia"/>
        </w:rPr>
        <w:t>期间</w:t>
      </w:r>
      <w:r w:rsidR="00793B63" w:rsidRPr="007C23D8">
        <w:rPr>
          <w:rFonts w:hint="eastAsia"/>
        </w:rPr>
        <w:t>，</w:t>
      </w:r>
      <w:r w:rsidR="001B0755">
        <w:rPr>
          <w:rFonts w:hint="eastAsia"/>
        </w:rPr>
        <w:t>规划新增各类住房</w:t>
      </w:r>
      <w:r w:rsidR="001B0755">
        <w:t>34.95-47.25</w:t>
      </w:r>
      <w:r w:rsidR="001B0755">
        <w:rPr>
          <w:rFonts w:hint="eastAsia"/>
        </w:rPr>
        <w:t>万套</w:t>
      </w:r>
      <w:r w:rsidR="00427D28" w:rsidRPr="007C23D8">
        <w:rPr>
          <w:rFonts w:hint="eastAsia"/>
        </w:rPr>
        <w:t>，其中：</w:t>
      </w:r>
      <w:r w:rsidR="00793B63" w:rsidRPr="007C23D8">
        <w:rPr>
          <w:rFonts w:hint="eastAsia"/>
        </w:rPr>
        <w:t>新增供应新建商品住房</w:t>
      </w:r>
      <w:r w:rsidR="0012618C">
        <w:t>34.2-46.5</w:t>
      </w:r>
      <w:r w:rsidR="0012618C">
        <w:rPr>
          <w:rFonts w:hint="eastAsia"/>
        </w:rPr>
        <w:t>万</w:t>
      </w:r>
      <w:r w:rsidR="00793B63" w:rsidRPr="007C23D8">
        <w:rPr>
          <w:rFonts w:hint="eastAsia"/>
        </w:rPr>
        <w:t>套，</w:t>
      </w:r>
      <w:r w:rsidR="00426272" w:rsidRPr="007C23D8">
        <w:rPr>
          <w:rFonts w:hint="eastAsia"/>
        </w:rPr>
        <w:t>筹集建设公共租赁住房</w:t>
      </w:r>
      <w:r w:rsidR="00427D28" w:rsidRPr="007C23D8">
        <w:rPr>
          <w:rFonts w:hint="eastAsia"/>
        </w:rPr>
        <w:t>不低于</w:t>
      </w:r>
      <w:r w:rsidR="00D16CCF">
        <w:t>2000</w:t>
      </w:r>
      <w:r w:rsidR="00427D28" w:rsidRPr="007C23D8">
        <w:rPr>
          <w:rFonts w:hint="eastAsia"/>
        </w:rPr>
        <w:t>套，新增发放租赁补贴不低于</w:t>
      </w:r>
      <w:r w:rsidR="00D16CCF">
        <w:t>3000</w:t>
      </w:r>
      <w:r w:rsidR="00427D28" w:rsidRPr="007C23D8">
        <w:rPr>
          <w:rFonts w:hint="eastAsia"/>
        </w:rPr>
        <w:t>套，筹建</w:t>
      </w:r>
      <w:r w:rsidR="003F6108">
        <w:rPr>
          <w:rFonts w:hint="eastAsia"/>
        </w:rPr>
        <w:t>保障性租赁住房</w:t>
      </w:r>
      <w:r w:rsidR="00427D28" w:rsidRPr="007C23D8">
        <w:rPr>
          <w:rFonts w:hint="eastAsia"/>
        </w:rPr>
        <w:t>、共有产权住房、人才公寓不低于</w:t>
      </w:r>
      <w:r w:rsidR="00D16CCF">
        <w:t>2000</w:t>
      </w:r>
      <w:r w:rsidR="00427D28" w:rsidRPr="007C23D8">
        <w:rPr>
          <w:rFonts w:hint="eastAsia"/>
        </w:rPr>
        <w:t>套，新开工棚户区改造住房</w:t>
      </w:r>
      <w:r w:rsidR="00D16CCF">
        <w:rPr>
          <w:rFonts w:hint="eastAsia"/>
        </w:rPr>
        <w:t>5</w:t>
      </w:r>
      <w:r w:rsidR="00D16CCF">
        <w:t>00</w:t>
      </w:r>
      <w:r w:rsidR="00427D28" w:rsidRPr="007C23D8">
        <w:rPr>
          <w:rFonts w:hint="eastAsia"/>
        </w:rPr>
        <w:t>套。</w:t>
      </w:r>
      <w:r w:rsidR="003F6108" w:rsidRPr="000D05E3">
        <w:rPr>
          <w:rFonts w:hint="eastAsia"/>
        </w:rPr>
        <w:t>“十四五”住房发展预计需要住宅用地</w:t>
      </w:r>
      <w:r w:rsidR="000D05E3" w:rsidRPr="000D05E3">
        <w:rPr>
          <w:rFonts w:hint="eastAsia"/>
        </w:rPr>
        <w:t>1</w:t>
      </w:r>
      <w:r w:rsidR="000D05E3" w:rsidRPr="000D05E3">
        <w:t>210-</w:t>
      </w:r>
      <w:r w:rsidR="003F6108" w:rsidRPr="000D05E3">
        <w:rPr>
          <w:rFonts w:hint="eastAsia"/>
        </w:rPr>
        <w:t>1</w:t>
      </w:r>
      <w:r w:rsidR="003F6108" w:rsidRPr="000D05E3">
        <w:t>640</w:t>
      </w:r>
      <w:r w:rsidR="003F6108" w:rsidRPr="000D05E3">
        <w:rPr>
          <w:rFonts w:hint="eastAsia"/>
        </w:rPr>
        <w:t>公顷，平均每年约</w:t>
      </w:r>
      <w:r w:rsidR="000D05E3" w:rsidRPr="000D05E3">
        <w:rPr>
          <w:rFonts w:hint="eastAsia"/>
        </w:rPr>
        <w:t>2</w:t>
      </w:r>
      <w:r w:rsidR="000D05E3" w:rsidRPr="000D05E3">
        <w:t>42-</w:t>
      </w:r>
      <w:r w:rsidR="003F6108" w:rsidRPr="000D05E3">
        <w:rPr>
          <w:rFonts w:hint="eastAsia"/>
        </w:rPr>
        <w:t>3</w:t>
      </w:r>
      <w:r w:rsidR="003F6108" w:rsidRPr="000D05E3">
        <w:t>28</w:t>
      </w:r>
      <w:r w:rsidR="003F6108" w:rsidRPr="000D05E3">
        <w:rPr>
          <w:rFonts w:hint="eastAsia"/>
        </w:rPr>
        <w:t>公顷</w:t>
      </w:r>
      <w:r w:rsidR="003F6108">
        <w:rPr>
          <w:rFonts w:hint="eastAsia"/>
        </w:rPr>
        <w:t>。</w:t>
      </w:r>
    </w:p>
    <w:p w14:paraId="333F37A0" w14:textId="5A543DA9" w:rsidR="008977AF" w:rsidRDefault="002D21F5" w:rsidP="002D21F5">
      <w:pPr>
        <w:pStyle w:val="1"/>
        <w:spacing w:before="312" w:after="312"/>
        <w:ind w:firstLine="640"/>
      </w:pPr>
      <w:bookmarkStart w:id="12" w:name="_Toc73434887"/>
      <w:r>
        <w:rPr>
          <w:rFonts w:hint="eastAsia"/>
        </w:rPr>
        <w:t>三、</w:t>
      </w:r>
      <w:r w:rsidR="00845910">
        <w:rPr>
          <w:rFonts w:hint="eastAsia"/>
        </w:rPr>
        <w:t>促进房地产市场健康</w:t>
      </w:r>
      <w:r w:rsidR="00CD7A9C">
        <w:rPr>
          <w:rFonts w:hint="eastAsia"/>
        </w:rPr>
        <w:t>发展</w:t>
      </w:r>
      <w:bookmarkEnd w:id="12"/>
    </w:p>
    <w:p w14:paraId="405A6F25" w14:textId="37EABDA9" w:rsidR="00C2169A" w:rsidRDefault="00667899" w:rsidP="00667899">
      <w:pPr>
        <w:pStyle w:val="2"/>
        <w:spacing w:before="312" w:after="312"/>
        <w:ind w:left="562" w:firstLineChars="0" w:firstLine="0"/>
      </w:pPr>
      <w:bookmarkStart w:id="13" w:name="_Toc73434888"/>
      <w:r>
        <w:rPr>
          <w:rFonts w:hint="eastAsia"/>
        </w:rPr>
        <w:t>（一）健全土地供应制度</w:t>
      </w:r>
      <w:bookmarkEnd w:id="13"/>
    </w:p>
    <w:p w14:paraId="0018AFAF" w14:textId="47F32E07" w:rsidR="00C2169A" w:rsidRDefault="009E0671" w:rsidP="009E0671">
      <w:pPr>
        <w:ind w:firstLineChars="200" w:firstLine="562"/>
      </w:pPr>
      <w:r w:rsidRPr="009E0671">
        <w:rPr>
          <w:rFonts w:hint="eastAsia"/>
          <w:b/>
          <w:bCs/>
        </w:rPr>
        <w:t>加强人</w:t>
      </w:r>
      <w:r w:rsidRPr="009E0671">
        <w:rPr>
          <w:rFonts w:hint="eastAsia"/>
          <w:b/>
          <w:bCs/>
        </w:rPr>
        <w:t>-</w:t>
      </w:r>
      <w:r w:rsidRPr="009E0671">
        <w:rPr>
          <w:rFonts w:hint="eastAsia"/>
          <w:b/>
          <w:bCs/>
        </w:rPr>
        <w:t>房</w:t>
      </w:r>
      <w:r w:rsidRPr="009E0671">
        <w:rPr>
          <w:rFonts w:hint="eastAsia"/>
          <w:b/>
          <w:bCs/>
        </w:rPr>
        <w:t>-</w:t>
      </w:r>
      <w:r w:rsidRPr="009E0671">
        <w:rPr>
          <w:rFonts w:hint="eastAsia"/>
          <w:b/>
          <w:bCs/>
        </w:rPr>
        <w:t>地联动</w:t>
      </w:r>
      <w:r>
        <w:rPr>
          <w:rFonts w:hint="eastAsia"/>
        </w:rPr>
        <w:t>，建立与人口增长相挂钩的住宅用地供应机制</w:t>
      </w:r>
      <w:r w:rsidRPr="00C2169A">
        <w:rPr>
          <w:rFonts w:hint="eastAsia"/>
        </w:rPr>
        <w:t>，</w:t>
      </w:r>
      <w:r w:rsidR="00486707" w:rsidRPr="00486707">
        <w:rPr>
          <w:rFonts w:hint="eastAsia"/>
        </w:rPr>
        <w:t>以住房需求为导向配置土地资源，增加住房建设用地供给</w:t>
      </w:r>
      <w:r w:rsidR="00486707">
        <w:rPr>
          <w:rFonts w:hint="eastAsia"/>
        </w:rPr>
        <w:t>，</w:t>
      </w:r>
      <w:r w:rsidR="00486707" w:rsidRPr="00486707">
        <w:rPr>
          <w:rFonts w:hint="eastAsia"/>
        </w:rPr>
        <w:t>建立以需求定供给、以效益定供给的城市建设用地供应机制，提高土地利用效益</w:t>
      </w:r>
      <w:r w:rsidR="00486707">
        <w:rPr>
          <w:rFonts w:hint="eastAsia"/>
        </w:rPr>
        <w:t>。</w:t>
      </w:r>
      <w:r>
        <w:rPr>
          <w:rFonts w:hint="eastAsia"/>
        </w:rPr>
        <w:t>根据商品住房消化周期，及时调整住宅用地供应规模和节奏，防止房价地价大起大落。对商品住房消化周期在</w:t>
      </w:r>
      <w:r>
        <w:t>36</w:t>
      </w:r>
      <w:r>
        <w:rPr>
          <w:rFonts w:hint="eastAsia"/>
        </w:rPr>
        <w:t>个月以上的，应停止供地；</w:t>
      </w:r>
      <w:r>
        <w:t>36-18</w:t>
      </w:r>
      <w:r>
        <w:rPr>
          <w:rFonts w:hint="eastAsia"/>
        </w:rPr>
        <w:t>个月的，要减少供地；</w:t>
      </w:r>
      <w:r>
        <w:t>12-6</w:t>
      </w:r>
      <w:r>
        <w:rPr>
          <w:rFonts w:hint="eastAsia"/>
        </w:rPr>
        <w:t>个月的，要增加供地；</w:t>
      </w:r>
      <w:r>
        <w:t>6</w:t>
      </w:r>
      <w:r>
        <w:rPr>
          <w:rFonts w:hint="eastAsia"/>
        </w:rPr>
        <w:t>个月以下的，要显著增加供地，加快供地节奏。</w:t>
      </w:r>
    </w:p>
    <w:p w14:paraId="609D0673" w14:textId="42AD4E23" w:rsidR="00A150E6" w:rsidRPr="00A150E6" w:rsidRDefault="00486707" w:rsidP="009E0671">
      <w:pPr>
        <w:ind w:firstLineChars="200" w:firstLine="562"/>
      </w:pPr>
      <w:r w:rsidRPr="00224EE4">
        <w:rPr>
          <w:rFonts w:hint="eastAsia"/>
          <w:b/>
          <w:bCs/>
        </w:rPr>
        <w:lastRenderedPageBreak/>
        <w:t>深入实施城市更新行动。</w:t>
      </w:r>
      <w:r w:rsidRPr="00A150E6">
        <w:rPr>
          <w:rFonts w:hint="eastAsia"/>
        </w:rPr>
        <w:t>推动城市建设从大规模增量建设转为存量提质改造和增量结构调整并重，</w:t>
      </w:r>
      <w:r w:rsidR="00224EE4">
        <w:rPr>
          <w:rFonts w:hint="eastAsia"/>
        </w:rPr>
        <w:t>促进湛江城市</w:t>
      </w:r>
      <w:r w:rsidR="00EA0D29">
        <w:rPr>
          <w:rFonts w:hint="eastAsia"/>
        </w:rPr>
        <w:t>土地</w:t>
      </w:r>
      <w:r w:rsidR="00224EE4">
        <w:rPr>
          <w:rFonts w:hint="eastAsia"/>
        </w:rPr>
        <w:t>提质增效</w:t>
      </w:r>
      <w:r w:rsidR="00A150E6" w:rsidRPr="00A150E6">
        <w:rPr>
          <w:rFonts w:hint="eastAsia"/>
        </w:rPr>
        <w:t>。在保障产业发展空间前提下，</w:t>
      </w:r>
      <w:r w:rsidRPr="00A150E6">
        <w:rPr>
          <w:rFonts w:hint="eastAsia"/>
        </w:rPr>
        <w:t>加大“三旧”改造和棚户区改造力度，盘活城市存量土地</w:t>
      </w:r>
      <w:r w:rsidR="00A150E6" w:rsidRPr="00A150E6">
        <w:rPr>
          <w:rFonts w:hint="eastAsia"/>
        </w:rPr>
        <w:t>，有效增加住房供应</w:t>
      </w:r>
      <w:r w:rsidRPr="00A150E6">
        <w:rPr>
          <w:rFonts w:hint="eastAsia"/>
        </w:rPr>
        <w:t>；鼓励</w:t>
      </w:r>
      <w:r w:rsidR="00A150E6" w:rsidRPr="00A150E6">
        <w:rPr>
          <w:rFonts w:hint="eastAsia"/>
        </w:rPr>
        <w:t>企事业单位、部队等盘活利用自有闲置建设用地增加保障性租赁住房、人才住房以及城市公共服务设施供给。</w:t>
      </w:r>
    </w:p>
    <w:p w14:paraId="6EDED65E" w14:textId="1EEB690C" w:rsidR="009E0671" w:rsidRDefault="00A150E6" w:rsidP="009E0671">
      <w:pPr>
        <w:ind w:firstLineChars="200" w:firstLine="562"/>
      </w:pPr>
      <w:r w:rsidRPr="00EA0D29">
        <w:rPr>
          <w:rFonts w:hint="eastAsia"/>
          <w:b/>
          <w:bCs/>
        </w:rPr>
        <w:t>优化住宅</w:t>
      </w:r>
      <w:r w:rsidR="00486707" w:rsidRPr="00EA0D29">
        <w:rPr>
          <w:rFonts w:hint="eastAsia"/>
          <w:b/>
          <w:bCs/>
        </w:rPr>
        <w:t>用地</w:t>
      </w:r>
      <w:r w:rsidRPr="00EA0D29">
        <w:rPr>
          <w:rFonts w:hint="eastAsia"/>
          <w:b/>
          <w:bCs/>
        </w:rPr>
        <w:t>供应</w:t>
      </w:r>
      <w:r w:rsidR="00486707" w:rsidRPr="00EA0D29">
        <w:rPr>
          <w:rFonts w:hint="eastAsia"/>
          <w:b/>
          <w:bCs/>
        </w:rPr>
        <w:t>管理</w:t>
      </w:r>
      <w:r w:rsidRPr="00EA0D29">
        <w:rPr>
          <w:rFonts w:hint="eastAsia"/>
          <w:b/>
          <w:bCs/>
        </w:rPr>
        <w:t>机制。</w:t>
      </w:r>
      <w:r w:rsidR="00EA0D29" w:rsidRPr="00EA0D29">
        <w:rPr>
          <w:rFonts w:hint="eastAsia"/>
        </w:rPr>
        <w:t>多渠道收储土地</w:t>
      </w:r>
      <w:r w:rsidR="00EA0D29">
        <w:rPr>
          <w:rFonts w:hint="eastAsia"/>
        </w:rPr>
        <w:t>、</w:t>
      </w:r>
      <w:r w:rsidR="00EA0D29" w:rsidRPr="00EA0D29">
        <w:rPr>
          <w:rFonts w:hint="eastAsia"/>
        </w:rPr>
        <w:t>督促各县（市、区）政府（管委会）落实征地拆迁主体责任，</w:t>
      </w:r>
      <w:r w:rsidR="00EA0D29">
        <w:rPr>
          <w:rFonts w:hint="eastAsia"/>
        </w:rPr>
        <w:t>争取做到</w:t>
      </w:r>
      <w:r w:rsidR="007E7F9B">
        <w:rPr>
          <w:rFonts w:hint="eastAsia"/>
        </w:rPr>
        <w:t>熟地出让</w:t>
      </w:r>
      <w:r w:rsidR="00EA0D29" w:rsidRPr="00EA0D29">
        <w:rPr>
          <w:rFonts w:hint="eastAsia"/>
        </w:rPr>
        <w:t>，</w:t>
      </w:r>
      <w:r w:rsidR="00EA0D29">
        <w:rPr>
          <w:rFonts w:hint="eastAsia"/>
        </w:rPr>
        <w:t>探索</w:t>
      </w:r>
      <w:r>
        <w:rPr>
          <w:rFonts w:hint="eastAsia"/>
        </w:rPr>
        <w:t>建设用地一</w:t>
      </w:r>
      <w:r w:rsidR="00EA0D29">
        <w:rPr>
          <w:rFonts w:hint="eastAsia"/>
        </w:rPr>
        <w:t>、</w:t>
      </w:r>
      <w:r>
        <w:rPr>
          <w:rFonts w:hint="eastAsia"/>
        </w:rPr>
        <w:t>二级</w:t>
      </w:r>
      <w:r w:rsidR="007E7F9B">
        <w:rPr>
          <w:rFonts w:hint="eastAsia"/>
        </w:rPr>
        <w:t>土地</w:t>
      </w:r>
      <w:r>
        <w:rPr>
          <w:rFonts w:hint="eastAsia"/>
        </w:rPr>
        <w:t>联动</w:t>
      </w:r>
      <w:r w:rsidR="00EA0D29">
        <w:rPr>
          <w:rFonts w:hint="eastAsia"/>
        </w:rPr>
        <w:t>开发、</w:t>
      </w:r>
      <w:r>
        <w:rPr>
          <w:rFonts w:hint="eastAsia"/>
        </w:rPr>
        <w:t>“毛地挂牌、</w:t>
      </w:r>
      <w:r w:rsidR="007E7F9B">
        <w:rPr>
          <w:rFonts w:hint="eastAsia"/>
        </w:rPr>
        <w:t>熟地</w:t>
      </w:r>
      <w:r>
        <w:rPr>
          <w:rFonts w:hint="eastAsia"/>
        </w:rPr>
        <w:t>出让”</w:t>
      </w:r>
      <w:r w:rsidR="00224EE4">
        <w:rPr>
          <w:rFonts w:hint="eastAsia"/>
        </w:rPr>
        <w:t>等创新性土地</w:t>
      </w:r>
      <w:r w:rsidR="007E7F9B">
        <w:rPr>
          <w:rFonts w:hint="eastAsia"/>
        </w:rPr>
        <w:t>供应</w:t>
      </w:r>
      <w:r w:rsidR="00224EE4">
        <w:rPr>
          <w:rFonts w:hint="eastAsia"/>
        </w:rPr>
        <w:t>机制。规范土地市场，</w:t>
      </w:r>
      <w:r w:rsidR="00224EE4" w:rsidRPr="00224EE4">
        <w:rPr>
          <w:rFonts w:hint="eastAsia"/>
        </w:rPr>
        <w:t>住宅用地必须自土地交付之日起一年内开工建设，自开工之日起三年内竣工</w:t>
      </w:r>
      <w:r w:rsidR="00EA0D29">
        <w:rPr>
          <w:rFonts w:hint="eastAsia"/>
        </w:rPr>
        <w:t>，及时排查已供应未开工住宅用地和闲置住宅用地情况，</w:t>
      </w:r>
      <w:r w:rsidR="00EA0D29" w:rsidRPr="00EA0D29">
        <w:rPr>
          <w:rFonts w:hint="eastAsia"/>
        </w:rPr>
        <w:t>对未动工开发满两年的住宅用地按规定无偿收回</w:t>
      </w:r>
      <w:r w:rsidR="00224EE4">
        <w:rPr>
          <w:rFonts w:hint="eastAsia"/>
        </w:rPr>
        <w:t>。</w:t>
      </w:r>
    </w:p>
    <w:p w14:paraId="5D4024D4" w14:textId="5095379A" w:rsidR="00D557B0" w:rsidRDefault="00667899" w:rsidP="00667899">
      <w:pPr>
        <w:pStyle w:val="2"/>
        <w:spacing w:before="312" w:after="312"/>
        <w:ind w:left="562" w:firstLineChars="0" w:firstLine="0"/>
      </w:pPr>
      <w:bookmarkStart w:id="14" w:name="_Toc73434889"/>
      <w:r>
        <w:rPr>
          <w:rFonts w:hint="eastAsia"/>
        </w:rPr>
        <w:t>（二）</w:t>
      </w:r>
      <w:r w:rsidR="002A6CFC">
        <w:rPr>
          <w:rFonts w:hint="eastAsia"/>
        </w:rPr>
        <w:t>促进</w:t>
      </w:r>
      <w:r w:rsidR="005D3F32" w:rsidRPr="005D3F32">
        <w:rPr>
          <w:rFonts w:hint="eastAsia"/>
        </w:rPr>
        <w:t>住房梯度消费</w:t>
      </w:r>
      <w:bookmarkEnd w:id="14"/>
    </w:p>
    <w:p w14:paraId="2E8C7A22" w14:textId="28E9FD67" w:rsidR="00905D78" w:rsidRDefault="00905D78" w:rsidP="00D557B0">
      <w:pPr>
        <w:ind w:firstLineChars="200" w:firstLine="562"/>
      </w:pPr>
      <w:r w:rsidRPr="00D226AB">
        <w:rPr>
          <w:rFonts w:hint="eastAsia"/>
          <w:b/>
          <w:bCs/>
        </w:rPr>
        <w:t>提升城市商品住房品质</w:t>
      </w:r>
      <w:r w:rsidR="00D226AB">
        <w:rPr>
          <w:rFonts w:hint="eastAsia"/>
        </w:rPr>
        <w:t>。加强城市整体</w:t>
      </w:r>
      <w:r w:rsidR="00AA4F0A">
        <w:rPr>
          <w:rFonts w:hint="eastAsia"/>
        </w:rPr>
        <w:t>规划</w:t>
      </w:r>
      <w:r w:rsidR="00D226AB">
        <w:rPr>
          <w:rFonts w:hint="eastAsia"/>
        </w:rPr>
        <w:t>策划，</w:t>
      </w:r>
      <w:r w:rsidR="00887705">
        <w:rPr>
          <w:rFonts w:hint="eastAsia"/>
        </w:rPr>
        <w:t>统筹考虑产业、住房</w:t>
      </w:r>
      <w:r w:rsidR="007E7F9B">
        <w:rPr>
          <w:rFonts w:hint="eastAsia"/>
        </w:rPr>
        <w:t>和</w:t>
      </w:r>
      <w:r w:rsidR="00887705">
        <w:rPr>
          <w:rFonts w:hint="eastAsia"/>
        </w:rPr>
        <w:t>公共配套设施布局</w:t>
      </w:r>
      <w:r w:rsidR="00AA4F0A">
        <w:rPr>
          <w:rFonts w:hint="eastAsia"/>
        </w:rPr>
        <w:t>和开发节奏</w:t>
      </w:r>
      <w:r w:rsidR="00887705">
        <w:rPr>
          <w:rFonts w:hint="eastAsia"/>
        </w:rPr>
        <w:t>。</w:t>
      </w:r>
      <w:r w:rsidR="00D226AB">
        <w:rPr>
          <w:rFonts w:hint="eastAsia"/>
        </w:rPr>
        <w:t>坚持先规划后建设，引导</w:t>
      </w:r>
      <w:r w:rsidR="00AA4F0A">
        <w:rPr>
          <w:rFonts w:hint="eastAsia"/>
        </w:rPr>
        <w:t>各类</w:t>
      </w:r>
      <w:r w:rsidR="00887705">
        <w:rPr>
          <w:rFonts w:hint="eastAsia"/>
        </w:rPr>
        <w:t>市场</w:t>
      </w:r>
      <w:r w:rsidR="00D226AB">
        <w:rPr>
          <w:rFonts w:hint="eastAsia"/>
        </w:rPr>
        <w:t>主体</w:t>
      </w:r>
      <w:r w:rsidR="00AA4F0A">
        <w:rPr>
          <w:rFonts w:hint="eastAsia"/>
        </w:rPr>
        <w:t>参与</w:t>
      </w:r>
      <w:r w:rsidR="00D226AB" w:rsidRPr="00905D78">
        <w:rPr>
          <w:rFonts w:hint="eastAsia"/>
        </w:rPr>
        <w:t>建设功能完善、绿色宜居、健康安全的高品质</w:t>
      </w:r>
      <w:r w:rsidR="00887705">
        <w:rPr>
          <w:rFonts w:hint="eastAsia"/>
        </w:rPr>
        <w:t>住区</w:t>
      </w:r>
      <w:r w:rsidR="00AA4F0A">
        <w:rPr>
          <w:rFonts w:hint="eastAsia"/>
        </w:rPr>
        <w:t>。</w:t>
      </w:r>
      <w:r>
        <w:rPr>
          <w:rFonts w:hint="eastAsia"/>
        </w:rPr>
        <w:t>完善住房建设标准规范，</w:t>
      </w:r>
      <w:r w:rsidR="00D226AB">
        <w:rPr>
          <w:rFonts w:hint="eastAsia"/>
        </w:rPr>
        <w:t>提高城市</w:t>
      </w:r>
      <w:r w:rsidRPr="00905D78">
        <w:rPr>
          <w:rFonts w:hint="eastAsia"/>
        </w:rPr>
        <w:t>住房设计和建造水平</w:t>
      </w:r>
      <w:r w:rsidR="00D226AB">
        <w:rPr>
          <w:rFonts w:hint="eastAsia"/>
        </w:rPr>
        <w:t>，</w:t>
      </w:r>
      <w:r w:rsidR="00AA4F0A">
        <w:rPr>
          <w:rFonts w:hint="eastAsia"/>
        </w:rPr>
        <w:t>不断满足</w:t>
      </w:r>
      <w:r w:rsidR="002A6CFC">
        <w:rPr>
          <w:rFonts w:hint="eastAsia"/>
        </w:rPr>
        <w:t>人民群众对美好生活</w:t>
      </w:r>
      <w:r w:rsidR="00AA4F0A">
        <w:rPr>
          <w:rFonts w:hint="eastAsia"/>
        </w:rPr>
        <w:t>的需要</w:t>
      </w:r>
      <w:r w:rsidRPr="00905D78">
        <w:rPr>
          <w:rFonts w:hint="eastAsia"/>
        </w:rPr>
        <w:t>。</w:t>
      </w:r>
    </w:p>
    <w:p w14:paraId="2B8E451A" w14:textId="2AEF4EA9" w:rsidR="00887705" w:rsidRDefault="00C2169A" w:rsidP="00887705">
      <w:pPr>
        <w:ind w:firstLineChars="200" w:firstLine="562"/>
      </w:pPr>
      <w:r w:rsidRPr="00D226AB">
        <w:rPr>
          <w:rFonts w:hint="eastAsia"/>
          <w:b/>
          <w:bCs/>
        </w:rPr>
        <w:t>优化调整商品住房套型结构</w:t>
      </w:r>
      <w:r w:rsidR="00D226AB">
        <w:rPr>
          <w:rFonts w:hint="eastAsia"/>
        </w:rPr>
        <w:t>。促进商品住房总价与</w:t>
      </w:r>
      <w:r w:rsidR="00887705">
        <w:rPr>
          <w:rFonts w:hint="eastAsia"/>
        </w:rPr>
        <w:t>本地</w:t>
      </w:r>
      <w:r w:rsidR="00D226AB">
        <w:rPr>
          <w:rFonts w:hint="eastAsia"/>
        </w:rPr>
        <w:t>居民购买力</w:t>
      </w:r>
      <w:r w:rsidR="00095A3E">
        <w:rPr>
          <w:rFonts w:hint="eastAsia"/>
        </w:rPr>
        <w:t>相</w:t>
      </w:r>
      <w:r w:rsidR="00D226AB">
        <w:rPr>
          <w:rFonts w:hint="eastAsia"/>
        </w:rPr>
        <w:t>匹配，</w:t>
      </w:r>
      <w:r w:rsidR="00887705">
        <w:rPr>
          <w:rFonts w:hint="eastAsia"/>
        </w:rPr>
        <w:t>商品住房开发项目应提供多个面积段和户型，满足居民多</w:t>
      </w:r>
      <w:r w:rsidR="00887705">
        <w:rPr>
          <w:rFonts w:hint="eastAsia"/>
        </w:rPr>
        <w:lastRenderedPageBreak/>
        <w:t>层次的购房需求。湛江市</w:t>
      </w:r>
      <w:r w:rsidRPr="00C2169A">
        <w:rPr>
          <w:rFonts w:hint="eastAsia"/>
        </w:rPr>
        <w:t>中心城区和人口持续流入、房价上涨较快的</w:t>
      </w:r>
      <w:r w:rsidR="00887705">
        <w:rPr>
          <w:rFonts w:hint="eastAsia"/>
        </w:rPr>
        <w:t>县城应</w:t>
      </w:r>
      <w:r w:rsidRPr="00C2169A">
        <w:rPr>
          <w:rFonts w:hint="eastAsia"/>
        </w:rPr>
        <w:t>增加</w:t>
      </w:r>
      <w:r w:rsidR="00887705">
        <w:rPr>
          <w:rFonts w:hint="eastAsia"/>
        </w:rPr>
        <w:t>9</w:t>
      </w:r>
      <w:r w:rsidR="00887705">
        <w:t>0</w:t>
      </w:r>
      <w:r w:rsidR="00887705">
        <w:rPr>
          <w:rFonts w:hint="eastAsia"/>
        </w:rPr>
        <w:t>平方米以下</w:t>
      </w:r>
      <w:r w:rsidRPr="00C2169A">
        <w:rPr>
          <w:rFonts w:hint="eastAsia"/>
        </w:rPr>
        <w:t>中小套型</w:t>
      </w:r>
      <w:r w:rsidR="00887705">
        <w:rPr>
          <w:rFonts w:hint="eastAsia"/>
        </w:rPr>
        <w:t>商品住房的占比</w:t>
      </w:r>
      <w:r>
        <w:rPr>
          <w:rFonts w:hint="eastAsia"/>
        </w:rPr>
        <w:t>，</w:t>
      </w:r>
      <w:r w:rsidR="00887705">
        <w:rPr>
          <w:rFonts w:hint="eastAsia"/>
        </w:rPr>
        <w:t>降低</w:t>
      </w:r>
      <w:r>
        <w:rPr>
          <w:rFonts w:hint="eastAsia"/>
        </w:rPr>
        <w:t>外来人口</w:t>
      </w:r>
      <w:r w:rsidR="00887705">
        <w:rPr>
          <w:rFonts w:hint="eastAsia"/>
        </w:rPr>
        <w:t>定居、</w:t>
      </w:r>
      <w:r>
        <w:rPr>
          <w:rFonts w:hint="eastAsia"/>
        </w:rPr>
        <w:t>本地农业转移人口</w:t>
      </w:r>
      <w:r w:rsidR="00887705">
        <w:rPr>
          <w:rFonts w:hint="eastAsia"/>
        </w:rPr>
        <w:t>市民化成本。</w:t>
      </w:r>
    </w:p>
    <w:p w14:paraId="33119507" w14:textId="34A3FD33" w:rsidR="005D3F32" w:rsidRDefault="00905D2D" w:rsidP="005D3F32">
      <w:pPr>
        <w:ind w:firstLineChars="200" w:firstLine="562"/>
      </w:pPr>
      <w:r w:rsidRPr="00F343CB">
        <w:rPr>
          <w:rFonts w:hint="eastAsia"/>
          <w:b/>
          <w:bCs/>
        </w:rPr>
        <w:t>深入推进租购同权。</w:t>
      </w:r>
      <w:r w:rsidR="005D3F32" w:rsidRPr="00D22C68">
        <w:rPr>
          <w:rFonts w:hint="eastAsia"/>
        </w:rPr>
        <w:t>建立</w:t>
      </w:r>
      <w:r w:rsidR="005D3F32">
        <w:rPr>
          <w:rFonts w:hint="eastAsia"/>
        </w:rPr>
        <w:t>健全</w:t>
      </w:r>
      <w:r w:rsidR="005D3F32" w:rsidRPr="00D22C68">
        <w:rPr>
          <w:rFonts w:hint="eastAsia"/>
        </w:rPr>
        <w:t>承租人公共服务权益清单制，全面推进居住、办证、社会保障、就业服务等基本公共服务实现“租购同权”</w:t>
      </w:r>
      <w:r>
        <w:rPr>
          <w:rFonts w:hint="eastAsia"/>
        </w:rPr>
        <w:t>，</w:t>
      </w:r>
      <w:r w:rsidR="005D3F32" w:rsidRPr="00D22C68">
        <w:rPr>
          <w:rFonts w:hint="eastAsia"/>
        </w:rPr>
        <w:t>赋予符合条件的承租人子女享有就近入学等公共服务权益，保障租购同权。</w:t>
      </w:r>
      <w:r w:rsidR="005D3F32" w:rsidRPr="00A85DBB">
        <w:rPr>
          <w:rFonts w:hint="eastAsia"/>
        </w:rPr>
        <w:t>切实加强规范住房租赁市场秩序，保护各方权益，推动形成长期稳定的租赁关系健全长期稳定租赁关系</w:t>
      </w:r>
      <w:r w:rsidR="005D3F32">
        <w:rPr>
          <w:rFonts w:hint="eastAsia"/>
        </w:rPr>
        <w:t>。</w:t>
      </w:r>
    </w:p>
    <w:p w14:paraId="245B6360" w14:textId="2F71187C" w:rsidR="00F343CB" w:rsidRDefault="00F343CB" w:rsidP="00F343CB">
      <w:pPr>
        <w:ind w:firstLineChars="200" w:firstLine="562"/>
        <w:rPr>
          <w:b/>
          <w:bCs/>
        </w:rPr>
      </w:pPr>
      <w:r w:rsidRPr="00F343CB">
        <w:rPr>
          <w:rFonts w:hint="eastAsia"/>
          <w:b/>
          <w:bCs/>
        </w:rPr>
        <w:t>多渠道促进农民进城安居。</w:t>
      </w:r>
      <w:r w:rsidRPr="00F343CB">
        <w:rPr>
          <w:rFonts w:hint="eastAsia"/>
        </w:rPr>
        <w:t>引导和鼓励农民住房消费，</w:t>
      </w:r>
      <w:r w:rsidRPr="00905D2D">
        <w:rPr>
          <w:rFonts w:hint="eastAsia"/>
        </w:rPr>
        <w:t>探索通过政企合作模式，向进城购房的农民提供购房及家电等相关产品消费补贴，</w:t>
      </w:r>
      <w:r>
        <w:rPr>
          <w:rFonts w:hint="eastAsia"/>
        </w:rPr>
        <w:t>稳步推进生态移民、扶贫异地搬迁，引导农民向城区、产业集聚区等地区梯度转移。</w:t>
      </w:r>
    </w:p>
    <w:p w14:paraId="57EBF7F6" w14:textId="6DA83606" w:rsidR="00A34EC9" w:rsidRDefault="00A34EC9" w:rsidP="00667899">
      <w:pPr>
        <w:pStyle w:val="2"/>
        <w:spacing w:before="312" w:after="312"/>
        <w:ind w:firstLine="602"/>
      </w:pPr>
      <w:bookmarkStart w:id="15" w:name="_Toc73434890"/>
      <w:r>
        <w:rPr>
          <w:rFonts w:hint="eastAsia"/>
        </w:rPr>
        <w:t>（</w:t>
      </w:r>
      <w:r w:rsidR="003A0D54">
        <w:rPr>
          <w:rFonts w:hint="eastAsia"/>
        </w:rPr>
        <w:t>三</w:t>
      </w:r>
      <w:r>
        <w:rPr>
          <w:rFonts w:hint="eastAsia"/>
        </w:rPr>
        <w:t>）完善房地产金融政策</w:t>
      </w:r>
      <w:bookmarkEnd w:id="15"/>
    </w:p>
    <w:p w14:paraId="60588FAF" w14:textId="133299CF" w:rsidR="00667899" w:rsidRPr="00667899" w:rsidRDefault="00667899" w:rsidP="005E61F4">
      <w:pPr>
        <w:ind w:firstLineChars="200" w:firstLine="562"/>
      </w:pPr>
      <w:r w:rsidRPr="00667899">
        <w:rPr>
          <w:rFonts w:hint="eastAsia"/>
          <w:b/>
          <w:bCs/>
        </w:rPr>
        <w:t>发挥金融对居民合理自住购房支持作用</w:t>
      </w:r>
      <w:r>
        <w:rPr>
          <w:rFonts w:hint="eastAsia"/>
          <w:b/>
          <w:bCs/>
        </w:rPr>
        <w:t>。</w:t>
      </w:r>
      <w:r w:rsidRPr="00667899">
        <w:rPr>
          <w:rFonts w:hint="eastAsia"/>
        </w:rPr>
        <w:t>完善差别化住房信贷政策。改进和完善住房公积金缴存、提取、使用与监管机制，进一步扩大住房公积金覆盖面，全力推进民营企业建立住房公积金制度，支持灵活就业人员缴存住房公积金。住房公积金个贷率维持在</w:t>
      </w:r>
      <w:r w:rsidRPr="00667899">
        <w:rPr>
          <w:rFonts w:hint="eastAsia"/>
        </w:rPr>
        <w:t>85%</w:t>
      </w:r>
      <w:r w:rsidRPr="00667899">
        <w:rPr>
          <w:rFonts w:hint="eastAsia"/>
        </w:rPr>
        <w:t>左右，</w:t>
      </w:r>
      <w:r>
        <w:rPr>
          <w:rFonts w:hint="eastAsia"/>
        </w:rPr>
        <w:t>优先满足</w:t>
      </w:r>
      <w:r w:rsidR="006F1C24">
        <w:rPr>
          <w:rFonts w:hint="eastAsia"/>
        </w:rPr>
        <w:t>购买</w:t>
      </w:r>
      <w:r w:rsidRPr="00667899">
        <w:rPr>
          <w:rFonts w:hint="eastAsia"/>
        </w:rPr>
        <w:t>首套</w:t>
      </w:r>
      <w:r w:rsidR="006F1C24">
        <w:rPr>
          <w:rFonts w:hint="eastAsia"/>
        </w:rPr>
        <w:t>和首套改善性住房的</w:t>
      </w:r>
      <w:r>
        <w:rPr>
          <w:rFonts w:hint="eastAsia"/>
        </w:rPr>
        <w:t>住房公积金</w:t>
      </w:r>
      <w:r w:rsidRPr="00667899">
        <w:rPr>
          <w:rFonts w:hint="eastAsia"/>
        </w:rPr>
        <w:t>信贷支持</w:t>
      </w:r>
      <w:r w:rsidR="002A6CFC">
        <w:rPr>
          <w:rFonts w:hint="eastAsia"/>
        </w:rPr>
        <w:t>，</w:t>
      </w:r>
      <w:r w:rsidR="002A6CFC" w:rsidRPr="00330547">
        <w:rPr>
          <w:rFonts w:hint="eastAsia"/>
        </w:rPr>
        <w:t>支持职工按湛江市房屋租赁部门的指导性租金标准</w:t>
      </w:r>
      <w:r w:rsidR="002A6CFC">
        <w:rPr>
          <w:rFonts w:hint="eastAsia"/>
        </w:rPr>
        <w:t>，按季度</w:t>
      </w:r>
      <w:r w:rsidR="002A6CFC" w:rsidRPr="00330547">
        <w:rPr>
          <w:rFonts w:hint="eastAsia"/>
        </w:rPr>
        <w:t>提取住</w:t>
      </w:r>
      <w:r w:rsidR="002A6CFC" w:rsidRPr="00095A3E">
        <w:rPr>
          <w:rFonts w:hint="eastAsia"/>
        </w:rPr>
        <w:t>房公积金支付房租</w:t>
      </w:r>
      <w:r w:rsidR="002A6CFC">
        <w:rPr>
          <w:rFonts w:hint="eastAsia"/>
        </w:rPr>
        <w:t>。</w:t>
      </w:r>
    </w:p>
    <w:p w14:paraId="7F16A4D5" w14:textId="04797184" w:rsidR="00A34EC9" w:rsidRDefault="00A34EC9" w:rsidP="00887705">
      <w:pPr>
        <w:ind w:firstLineChars="200" w:firstLine="562"/>
      </w:pPr>
      <w:r w:rsidRPr="00A34EC9">
        <w:rPr>
          <w:rFonts w:hint="eastAsia"/>
          <w:b/>
          <w:bCs/>
        </w:rPr>
        <w:t>及时防范房地产金融风险。</w:t>
      </w:r>
      <w:r w:rsidRPr="00A34EC9">
        <w:rPr>
          <w:rFonts w:hint="eastAsia"/>
        </w:rPr>
        <w:t>贯彻执行国家、省有关房地产贷款的</w:t>
      </w:r>
      <w:r w:rsidRPr="00A34EC9">
        <w:rPr>
          <w:rFonts w:hint="eastAsia"/>
        </w:rPr>
        <w:lastRenderedPageBreak/>
        <w:t>调控政策，支持居民首套和改善</w:t>
      </w:r>
      <w:r w:rsidR="006F1C24">
        <w:rPr>
          <w:rFonts w:hint="eastAsia"/>
        </w:rPr>
        <w:t>性</w:t>
      </w:r>
      <w:r w:rsidRPr="00A34EC9">
        <w:rPr>
          <w:rFonts w:hint="eastAsia"/>
        </w:rPr>
        <w:t>购房，坚决遏制投机炒房行为，严禁各种类型的首付贷、尾款贷等违法违规“加杠杆”金融产品和服务。</w:t>
      </w:r>
    </w:p>
    <w:p w14:paraId="5FBC3B7A" w14:textId="113F3169" w:rsidR="003644F1" w:rsidRDefault="00AD6756" w:rsidP="007067BB">
      <w:pPr>
        <w:pStyle w:val="1"/>
        <w:spacing w:before="312" w:after="312"/>
        <w:ind w:firstLine="640"/>
      </w:pPr>
      <w:bookmarkStart w:id="16" w:name="_Toc73434891"/>
      <w:r>
        <w:rPr>
          <w:rFonts w:hint="eastAsia"/>
        </w:rPr>
        <w:t>四</w:t>
      </w:r>
      <w:r w:rsidR="007067BB">
        <w:rPr>
          <w:rFonts w:hint="eastAsia"/>
        </w:rPr>
        <w:t>、健全完善</w:t>
      </w:r>
      <w:r w:rsidR="003644F1">
        <w:rPr>
          <w:rFonts w:hint="eastAsia"/>
        </w:rPr>
        <w:t>住房保障水平</w:t>
      </w:r>
      <w:bookmarkEnd w:id="16"/>
    </w:p>
    <w:p w14:paraId="4CAD31A3" w14:textId="278284FF" w:rsidR="007067BB" w:rsidRDefault="007067BB" w:rsidP="007C23D8">
      <w:pPr>
        <w:pStyle w:val="2"/>
        <w:spacing w:before="312" w:after="312"/>
        <w:ind w:firstLine="602"/>
      </w:pPr>
      <w:bookmarkStart w:id="17" w:name="_Toc73434892"/>
      <w:r>
        <w:rPr>
          <w:rFonts w:hint="eastAsia"/>
        </w:rPr>
        <w:t>（一）稳步提升住房保障水平</w:t>
      </w:r>
      <w:bookmarkEnd w:id="17"/>
    </w:p>
    <w:p w14:paraId="57330CB5" w14:textId="2779AE22" w:rsidR="00303DBF" w:rsidRDefault="00C90342" w:rsidP="00954682">
      <w:pPr>
        <w:ind w:firstLineChars="200" w:firstLine="562"/>
      </w:pPr>
      <w:r w:rsidRPr="00142DCC">
        <w:rPr>
          <w:rFonts w:hint="eastAsia"/>
          <w:b/>
          <w:bCs/>
        </w:rPr>
        <w:t>筑牢住房领域民生兜底保障</w:t>
      </w:r>
      <w:r w:rsidR="00142DCC">
        <w:rPr>
          <w:rFonts w:hint="eastAsia"/>
        </w:rPr>
        <w:t>。</w:t>
      </w:r>
      <w:r w:rsidRPr="00C90342">
        <w:rPr>
          <w:rFonts w:hint="eastAsia"/>
        </w:rPr>
        <w:t>稳步增加</w:t>
      </w:r>
      <w:r w:rsidR="00954682" w:rsidRPr="00C90342">
        <w:rPr>
          <w:rFonts w:hint="eastAsia"/>
        </w:rPr>
        <w:t>公租房实物和租赁补贴</w:t>
      </w:r>
      <w:r w:rsidRPr="00C90342">
        <w:rPr>
          <w:rFonts w:hint="eastAsia"/>
        </w:rPr>
        <w:t>供给</w:t>
      </w:r>
      <w:r w:rsidR="00303DBF">
        <w:rPr>
          <w:rFonts w:hint="eastAsia"/>
        </w:rPr>
        <w:t>，</w:t>
      </w:r>
      <w:r>
        <w:rPr>
          <w:rFonts w:hint="eastAsia"/>
        </w:rPr>
        <w:t>重点落实</w:t>
      </w:r>
      <w:r w:rsidR="00A65E8E">
        <w:rPr>
          <w:rFonts w:hint="eastAsia"/>
        </w:rPr>
        <w:t>住房困难的</w:t>
      </w:r>
      <w:r w:rsidR="00954682" w:rsidRPr="00954682">
        <w:rPr>
          <w:rFonts w:hint="eastAsia"/>
        </w:rPr>
        <w:t>城镇</w:t>
      </w:r>
      <w:r w:rsidR="00A65E8E">
        <w:rPr>
          <w:rFonts w:hint="eastAsia"/>
        </w:rPr>
        <w:t>户籍</w:t>
      </w:r>
      <w:r w:rsidR="00954682" w:rsidRPr="00954682">
        <w:rPr>
          <w:rFonts w:hint="eastAsia"/>
        </w:rPr>
        <w:t>低收入</w:t>
      </w:r>
      <w:r w:rsidR="00A65E8E" w:rsidRPr="00954682">
        <w:rPr>
          <w:rFonts w:hint="eastAsia"/>
        </w:rPr>
        <w:t>特别是低保家庭、分散供养特困人员</w:t>
      </w:r>
      <w:r w:rsidR="00954682" w:rsidRPr="00954682">
        <w:rPr>
          <w:rFonts w:hint="eastAsia"/>
        </w:rPr>
        <w:t>应保尽保</w:t>
      </w:r>
      <w:r>
        <w:rPr>
          <w:rFonts w:hint="eastAsia"/>
        </w:rPr>
        <w:t>，</w:t>
      </w:r>
      <w:r w:rsidR="00A65E8E" w:rsidRPr="00A65E8E">
        <w:rPr>
          <w:rFonts w:hint="eastAsia"/>
        </w:rPr>
        <w:t>持续做好城镇中等偏下收入住房困难家庭的保障工作</w:t>
      </w:r>
      <w:r w:rsidR="00A65E8E">
        <w:rPr>
          <w:rFonts w:hint="eastAsia"/>
        </w:rPr>
        <w:t>，在合理轮候期内予以保障。</w:t>
      </w:r>
    </w:p>
    <w:p w14:paraId="6D44A536" w14:textId="7EB0F17B" w:rsidR="00A65E8E" w:rsidRDefault="00303DBF" w:rsidP="00954682">
      <w:pPr>
        <w:ind w:firstLineChars="200" w:firstLine="562"/>
      </w:pPr>
      <w:r w:rsidRPr="00303DBF">
        <w:rPr>
          <w:rFonts w:hint="eastAsia"/>
          <w:b/>
          <w:bCs/>
        </w:rPr>
        <w:t>逐步扩大住房保障</w:t>
      </w:r>
      <w:r>
        <w:rPr>
          <w:rFonts w:hint="eastAsia"/>
          <w:b/>
          <w:bCs/>
        </w:rPr>
        <w:t>覆盖</w:t>
      </w:r>
      <w:r w:rsidRPr="00303DBF">
        <w:rPr>
          <w:rFonts w:hint="eastAsia"/>
          <w:b/>
          <w:bCs/>
        </w:rPr>
        <w:t>范围。</w:t>
      </w:r>
      <w:r w:rsidR="00A65E8E">
        <w:rPr>
          <w:rFonts w:hint="eastAsia"/>
        </w:rPr>
        <w:t>贯彻国家要求，逐步将住房保障覆盖面扩大至</w:t>
      </w:r>
      <w:r w:rsidR="00A65E8E" w:rsidRPr="00A65E8E">
        <w:rPr>
          <w:rFonts w:hint="eastAsia"/>
        </w:rPr>
        <w:t>新就业人员、青年医生、青年教师</w:t>
      </w:r>
      <w:r w:rsidR="00A65E8E">
        <w:rPr>
          <w:rFonts w:hint="eastAsia"/>
        </w:rPr>
        <w:t>、</w:t>
      </w:r>
      <w:r w:rsidR="00A65E8E" w:rsidRPr="00A65E8E">
        <w:rPr>
          <w:rFonts w:hint="eastAsia"/>
        </w:rPr>
        <w:t>环卫工人、公交司机</w:t>
      </w:r>
      <w:r w:rsidR="00A65E8E">
        <w:rPr>
          <w:rFonts w:hint="eastAsia"/>
        </w:rPr>
        <w:t>，</w:t>
      </w:r>
      <w:r w:rsidR="00C90342">
        <w:rPr>
          <w:rFonts w:hint="eastAsia"/>
        </w:rPr>
        <w:t>缓解</w:t>
      </w:r>
      <w:r w:rsidR="00A65E8E" w:rsidRPr="00A65E8E">
        <w:rPr>
          <w:rFonts w:hint="eastAsia"/>
        </w:rPr>
        <w:t>新市民、青年人特别是从事基本公共服务人员等住房困难群体的住房问题</w:t>
      </w:r>
      <w:r w:rsidR="00A65E8E">
        <w:rPr>
          <w:rFonts w:hint="eastAsia"/>
        </w:rPr>
        <w:t>。</w:t>
      </w:r>
    </w:p>
    <w:p w14:paraId="52B9D8FC" w14:textId="35F1D8E9" w:rsidR="00826201" w:rsidRDefault="003F6108" w:rsidP="00826201">
      <w:pPr>
        <w:ind w:firstLineChars="200" w:firstLine="562"/>
      </w:pPr>
      <w:r w:rsidRPr="003F6108">
        <w:rPr>
          <w:rFonts w:hint="eastAsia"/>
          <w:b/>
          <w:bCs/>
        </w:rPr>
        <w:t>探索保障性租赁住房和共有产权</w:t>
      </w:r>
      <w:r w:rsidR="00826201">
        <w:rPr>
          <w:rFonts w:hint="eastAsia"/>
          <w:b/>
          <w:bCs/>
        </w:rPr>
        <w:t>发展</w:t>
      </w:r>
      <w:r w:rsidRPr="003F6108">
        <w:rPr>
          <w:rFonts w:hint="eastAsia"/>
        </w:rPr>
        <w:t>。</w:t>
      </w:r>
      <w:r w:rsidR="00826201">
        <w:rPr>
          <w:rFonts w:hint="eastAsia"/>
        </w:rPr>
        <w:t>加快出台保障性租赁住房和共有产权住房试点政策，</w:t>
      </w:r>
      <w:r w:rsidR="00826201" w:rsidRPr="003F6108">
        <w:rPr>
          <w:rFonts w:hint="eastAsia"/>
        </w:rPr>
        <w:t>保障性租赁住房以小户型住房为主，建筑面积不超过</w:t>
      </w:r>
      <w:r w:rsidR="00826201" w:rsidRPr="003F6108">
        <w:rPr>
          <w:rFonts w:hint="eastAsia"/>
        </w:rPr>
        <w:t>70</w:t>
      </w:r>
      <w:r w:rsidR="00826201" w:rsidRPr="003F6108">
        <w:rPr>
          <w:rFonts w:hint="eastAsia"/>
        </w:rPr>
        <w:t>平方米，面向城镇无房新市民、青年人供应，租金水平一般低于同地段、同品质的市场租赁住房租金。共有产权住房建筑面积不超过</w:t>
      </w:r>
      <w:r w:rsidR="00826201" w:rsidRPr="003F6108">
        <w:rPr>
          <w:rFonts w:hint="eastAsia"/>
        </w:rPr>
        <w:t>120</w:t>
      </w:r>
      <w:r w:rsidR="00826201" w:rsidRPr="003F6108">
        <w:rPr>
          <w:rFonts w:hint="eastAsia"/>
        </w:rPr>
        <w:t>平方米，面向符合当地规定条件的城镇无房家庭供应，承购人的产权份额为共有产权住房销售价格占评估价格的比例，原则上不低于</w:t>
      </w:r>
      <w:r w:rsidR="00826201" w:rsidRPr="003F6108">
        <w:rPr>
          <w:rFonts w:hint="eastAsia"/>
        </w:rPr>
        <w:t>50%</w:t>
      </w:r>
      <w:r w:rsidR="00826201" w:rsidRPr="003F6108">
        <w:rPr>
          <w:rFonts w:hint="eastAsia"/>
        </w:rPr>
        <w:t>，其余部分为政府产权份额。</w:t>
      </w:r>
      <w:r w:rsidRPr="003F6108">
        <w:rPr>
          <w:rFonts w:hint="eastAsia"/>
        </w:rPr>
        <w:t>在人口流入集中、住房供需矛盾突出的区域</w:t>
      </w:r>
      <w:r w:rsidR="00826201">
        <w:rPr>
          <w:rFonts w:hint="eastAsia"/>
        </w:rPr>
        <w:t>探索</w:t>
      </w:r>
      <w:r w:rsidRPr="003F6108">
        <w:rPr>
          <w:rFonts w:hint="eastAsia"/>
        </w:rPr>
        <w:t>试点项目</w:t>
      </w:r>
      <w:r w:rsidR="00826201">
        <w:rPr>
          <w:rFonts w:hint="eastAsia"/>
        </w:rPr>
        <w:t>，为住房困难群众提供多样化住房保障选择。</w:t>
      </w:r>
    </w:p>
    <w:p w14:paraId="6A98D3FD" w14:textId="407CE89C" w:rsidR="00C90342" w:rsidRDefault="007067BB" w:rsidP="007C23D8">
      <w:pPr>
        <w:pStyle w:val="2"/>
        <w:spacing w:before="312" w:after="312"/>
        <w:ind w:firstLine="602"/>
      </w:pPr>
      <w:bookmarkStart w:id="18" w:name="_Toc73434893"/>
      <w:r>
        <w:rPr>
          <w:rFonts w:hint="eastAsia"/>
        </w:rPr>
        <w:lastRenderedPageBreak/>
        <w:t>（</w:t>
      </w:r>
      <w:r w:rsidR="00B8534A">
        <w:rPr>
          <w:rFonts w:hint="eastAsia"/>
        </w:rPr>
        <w:t>二</w:t>
      </w:r>
      <w:r>
        <w:rPr>
          <w:rFonts w:hint="eastAsia"/>
        </w:rPr>
        <w:t>）加大高层次人才安居</w:t>
      </w:r>
      <w:bookmarkEnd w:id="18"/>
    </w:p>
    <w:p w14:paraId="2221B37A" w14:textId="5AFF78AD" w:rsidR="00142DCC" w:rsidRDefault="00BC1F4F" w:rsidP="00C90342">
      <w:pPr>
        <w:ind w:firstLineChars="200" w:firstLine="562"/>
      </w:pPr>
      <w:r>
        <w:rPr>
          <w:rFonts w:hint="eastAsia"/>
          <w:b/>
          <w:bCs/>
        </w:rPr>
        <w:t>推进</w:t>
      </w:r>
      <w:r w:rsidR="00640F22" w:rsidRPr="00BC1F4F">
        <w:rPr>
          <w:rFonts w:hint="eastAsia"/>
          <w:b/>
          <w:bCs/>
        </w:rPr>
        <w:t>国际</w:t>
      </w:r>
      <w:r w:rsidR="00142DCC">
        <w:rPr>
          <w:rFonts w:hint="eastAsia"/>
          <w:b/>
          <w:bCs/>
        </w:rPr>
        <w:t>化</w:t>
      </w:r>
      <w:r w:rsidR="00640F22" w:rsidRPr="00BC1F4F">
        <w:rPr>
          <w:rFonts w:hint="eastAsia"/>
          <w:b/>
          <w:bCs/>
        </w:rPr>
        <w:t>人才社区</w:t>
      </w:r>
      <w:r>
        <w:rPr>
          <w:rFonts w:hint="eastAsia"/>
          <w:b/>
          <w:bCs/>
        </w:rPr>
        <w:t>建设</w:t>
      </w:r>
      <w:r w:rsidR="00640F22" w:rsidRPr="00BC1F4F">
        <w:rPr>
          <w:rFonts w:hint="eastAsia"/>
          <w:b/>
          <w:bCs/>
        </w:rPr>
        <w:t>。</w:t>
      </w:r>
      <w:r w:rsidR="00EC2767">
        <w:rPr>
          <w:rFonts w:hint="eastAsia"/>
        </w:rPr>
        <w:t>聚焦我市</w:t>
      </w:r>
      <w:r w:rsidR="00640F22" w:rsidRPr="00640F22">
        <w:rPr>
          <w:rFonts w:hint="eastAsia"/>
        </w:rPr>
        <w:t>全力建设省域副中心城市、加快打造现代化沿海经济带重要发展极</w:t>
      </w:r>
      <w:r w:rsidR="00640F22">
        <w:rPr>
          <w:rFonts w:hint="eastAsia"/>
        </w:rPr>
        <w:t>的新定位新形势，</w:t>
      </w:r>
      <w:r w:rsidR="00EC2767" w:rsidRPr="00EC2767">
        <w:rPr>
          <w:rFonts w:hint="eastAsia"/>
        </w:rPr>
        <w:t>把握粤港澳大湾区、深圳先行示范区建设重大战略机遇</w:t>
      </w:r>
      <w:r w:rsidR="00EC2767">
        <w:rPr>
          <w:rFonts w:hint="eastAsia"/>
        </w:rPr>
        <w:t>，</w:t>
      </w:r>
      <w:r w:rsidR="00640F22">
        <w:rPr>
          <w:rFonts w:hint="eastAsia"/>
        </w:rPr>
        <w:t>在湛江市</w:t>
      </w:r>
      <w:r>
        <w:rPr>
          <w:rFonts w:hint="eastAsia"/>
        </w:rPr>
        <w:t>中心城区选择</w:t>
      </w:r>
      <w:r w:rsidR="00640F22">
        <w:rPr>
          <w:rFonts w:hint="eastAsia"/>
        </w:rPr>
        <w:t>优质地段，对标国际</w:t>
      </w:r>
      <w:r>
        <w:rPr>
          <w:rFonts w:hint="eastAsia"/>
        </w:rPr>
        <w:t>国内先进</w:t>
      </w:r>
      <w:r w:rsidR="00640F22">
        <w:rPr>
          <w:rFonts w:hint="eastAsia"/>
        </w:rPr>
        <w:t>水平</w:t>
      </w:r>
      <w:r>
        <w:rPr>
          <w:rFonts w:hint="eastAsia"/>
        </w:rPr>
        <w:t>，</w:t>
      </w:r>
      <w:r w:rsidR="00142DCC">
        <w:rPr>
          <w:rFonts w:hint="eastAsia"/>
        </w:rPr>
        <w:t>打造适应高层次人才生活工作需求的</w:t>
      </w:r>
      <w:r w:rsidR="002A5F05">
        <w:rPr>
          <w:rFonts w:hint="eastAsia"/>
        </w:rPr>
        <w:t>高端</w:t>
      </w:r>
      <w:r w:rsidR="00142DCC">
        <w:rPr>
          <w:rFonts w:hint="eastAsia"/>
        </w:rPr>
        <w:t>社区。以国际化人才社区为平台，为高层次人才提供更优质的人才服务和住房安居支持，支持湛江市打造人才高地，汇聚全球精英人才。</w:t>
      </w:r>
    </w:p>
    <w:p w14:paraId="6FE8B6FF" w14:textId="5C363DA9" w:rsidR="00E77A3A" w:rsidRDefault="00E77A3A" w:rsidP="00E77A3A">
      <w:pPr>
        <w:ind w:firstLineChars="200" w:firstLine="562"/>
      </w:pPr>
      <w:r>
        <w:rPr>
          <w:rFonts w:hint="eastAsia"/>
          <w:b/>
          <w:bCs/>
        </w:rPr>
        <w:t>提供多样化的人才安居选择。</w:t>
      </w:r>
      <w:r w:rsidRPr="00E77A3A">
        <w:rPr>
          <w:rFonts w:hint="eastAsia"/>
        </w:rPr>
        <w:t>逐步健全“租售补”相结合的人才住房体系</w:t>
      </w:r>
      <w:r w:rsidR="00210081">
        <w:rPr>
          <w:rFonts w:hint="eastAsia"/>
        </w:rPr>
        <w:t>，不断优化完善住房补贴和人才公寓保障机制</w:t>
      </w:r>
      <w:r>
        <w:rPr>
          <w:rFonts w:hint="eastAsia"/>
        </w:rPr>
        <w:t>，鼓励有条件的地区探索通过“先租后售”、产权共有等方式向高层次人才提供产权性住房，以及对承租市场租赁住房的高层次人才进行租金补贴等，为高层次人才提供多样化居住选择。</w:t>
      </w:r>
    </w:p>
    <w:p w14:paraId="3EA55D3A" w14:textId="7A0F00E9" w:rsidR="00E84820" w:rsidRDefault="00CB09DE" w:rsidP="007C23D8">
      <w:pPr>
        <w:pStyle w:val="2"/>
        <w:spacing w:before="312" w:after="312"/>
        <w:ind w:firstLine="602"/>
      </w:pPr>
      <w:bookmarkStart w:id="19" w:name="_Toc73434894"/>
      <w:r>
        <w:rPr>
          <w:rFonts w:hint="eastAsia"/>
        </w:rPr>
        <w:t>（</w:t>
      </w:r>
      <w:r w:rsidR="00B8534A">
        <w:rPr>
          <w:rFonts w:hint="eastAsia"/>
        </w:rPr>
        <w:t>三</w:t>
      </w:r>
      <w:r>
        <w:rPr>
          <w:rFonts w:hint="eastAsia"/>
        </w:rPr>
        <w:t>）创新重点行业</w:t>
      </w:r>
      <w:r w:rsidR="003040A2">
        <w:rPr>
          <w:rFonts w:hint="eastAsia"/>
        </w:rPr>
        <w:t>人员</w:t>
      </w:r>
      <w:r>
        <w:rPr>
          <w:rFonts w:hint="eastAsia"/>
        </w:rPr>
        <w:t>保障机制</w:t>
      </w:r>
      <w:bookmarkEnd w:id="19"/>
    </w:p>
    <w:p w14:paraId="549C6672" w14:textId="52B4C1A4" w:rsidR="00CD44B4" w:rsidRDefault="00D7638A" w:rsidP="00E77A3A">
      <w:pPr>
        <w:ind w:firstLineChars="200" w:firstLine="562"/>
      </w:pPr>
      <w:r>
        <w:rPr>
          <w:rFonts w:hint="eastAsia"/>
          <w:b/>
          <w:bCs/>
        </w:rPr>
        <w:t>统筹部分房源</w:t>
      </w:r>
      <w:r w:rsidR="00CD44B4" w:rsidRPr="00CD44B4">
        <w:rPr>
          <w:rFonts w:hint="eastAsia"/>
          <w:b/>
          <w:bCs/>
        </w:rPr>
        <w:t>向重点企事业单位</w:t>
      </w:r>
      <w:r>
        <w:rPr>
          <w:rFonts w:hint="eastAsia"/>
          <w:b/>
          <w:bCs/>
        </w:rPr>
        <w:t>配租</w:t>
      </w:r>
      <w:r w:rsidR="00CD44B4" w:rsidRPr="00CD44B4">
        <w:rPr>
          <w:rFonts w:hint="eastAsia"/>
          <w:b/>
          <w:bCs/>
        </w:rPr>
        <w:t>。</w:t>
      </w:r>
      <w:r w:rsidR="00303DBF" w:rsidRPr="00E77A3A">
        <w:rPr>
          <w:rFonts w:hint="eastAsia"/>
        </w:rPr>
        <w:t>探索</w:t>
      </w:r>
      <w:r w:rsidR="003040A2">
        <w:rPr>
          <w:rFonts w:hint="eastAsia"/>
        </w:rPr>
        <w:t>设定人才安居重点企事业单位遴选条件</w:t>
      </w:r>
      <w:r w:rsidR="000F4E79">
        <w:rPr>
          <w:rFonts w:hint="eastAsia"/>
        </w:rPr>
        <w:t>和单位评级，</w:t>
      </w:r>
      <w:r w:rsidR="000F4E79" w:rsidRPr="00E77A3A">
        <w:rPr>
          <w:rFonts w:hint="eastAsia"/>
        </w:rPr>
        <w:t>建立</w:t>
      </w:r>
      <w:r w:rsidR="000F4E79">
        <w:rPr>
          <w:rFonts w:hint="eastAsia"/>
        </w:rPr>
        <w:t>湛江市</w:t>
      </w:r>
      <w:r w:rsidR="000F4E79" w:rsidRPr="00E77A3A">
        <w:rPr>
          <w:rFonts w:hint="eastAsia"/>
        </w:rPr>
        <w:t>人才安居重点企事业单位名录</w:t>
      </w:r>
      <w:r>
        <w:rPr>
          <w:rFonts w:hint="eastAsia"/>
        </w:rPr>
        <w:t>。在做好公租房基本保障，</w:t>
      </w:r>
      <w:r w:rsidR="00210081">
        <w:rPr>
          <w:rFonts w:hint="eastAsia"/>
        </w:rPr>
        <w:t>满足</w:t>
      </w:r>
      <w:r>
        <w:rPr>
          <w:rFonts w:hint="eastAsia"/>
        </w:rPr>
        <w:t>高层次人才安居的基础上，政府可统筹一部分房源面向</w:t>
      </w:r>
      <w:r w:rsidR="00210081">
        <w:rPr>
          <w:rFonts w:hint="eastAsia"/>
        </w:rPr>
        <w:t>重点企事业单位符合条件</w:t>
      </w:r>
      <w:r>
        <w:rPr>
          <w:rFonts w:hint="eastAsia"/>
        </w:rPr>
        <w:t>的无房职工配租，</w:t>
      </w:r>
      <w:r w:rsidR="000F4E79">
        <w:rPr>
          <w:rFonts w:hint="eastAsia"/>
        </w:rPr>
        <w:t>支持</w:t>
      </w:r>
      <w:r w:rsidR="00210081">
        <w:rPr>
          <w:rFonts w:hint="eastAsia"/>
        </w:rPr>
        <w:t>我市</w:t>
      </w:r>
      <w:r w:rsidR="000F4E79">
        <w:rPr>
          <w:rFonts w:hint="eastAsia"/>
        </w:rPr>
        <w:t>重点行业企业吸引和留住人才。</w:t>
      </w:r>
    </w:p>
    <w:p w14:paraId="277CB227" w14:textId="2A18F9AA" w:rsidR="003040A2" w:rsidRDefault="00CD44B4" w:rsidP="00E77A3A">
      <w:pPr>
        <w:ind w:firstLineChars="200" w:firstLine="562"/>
      </w:pPr>
      <w:r w:rsidRPr="00CD44B4">
        <w:rPr>
          <w:rFonts w:hint="eastAsia"/>
          <w:b/>
          <w:bCs/>
        </w:rPr>
        <w:t>鼓励用人单位自建自筹房源</w:t>
      </w:r>
      <w:r w:rsidR="00D7638A">
        <w:rPr>
          <w:rFonts w:hint="eastAsia"/>
          <w:b/>
          <w:bCs/>
        </w:rPr>
        <w:t>保障职工</w:t>
      </w:r>
      <w:r>
        <w:rPr>
          <w:rFonts w:hint="eastAsia"/>
        </w:rPr>
        <w:t>。</w:t>
      </w:r>
      <w:r w:rsidR="000F4E79">
        <w:rPr>
          <w:rFonts w:hint="eastAsia"/>
        </w:rPr>
        <w:t>鼓励</w:t>
      </w:r>
      <w:r w:rsidR="00D7638A">
        <w:rPr>
          <w:rFonts w:hint="eastAsia"/>
        </w:rPr>
        <w:t>拥有</w:t>
      </w:r>
      <w:r w:rsidR="00210081">
        <w:rPr>
          <w:rFonts w:hint="eastAsia"/>
        </w:rPr>
        <w:t>存量闲置</w:t>
      </w:r>
      <w:r w:rsidR="00D7638A">
        <w:rPr>
          <w:rFonts w:hint="eastAsia"/>
        </w:rPr>
        <w:t>建设用地的</w:t>
      </w:r>
      <w:r w:rsidR="000F4E79">
        <w:rPr>
          <w:rFonts w:hint="eastAsia"/>
        </w:rPr>
        <w:t>用人单位自筹资金建设人才公寓，</w:t>
      </w:r>
      <w:r w:rsidR="00210081">
        <w:rPr>
          <w:rFonts w:hint="eastAsia"/>
        </w:rPr>
        <w:t>探索</w:t>
      </w:r>
      <w:r w:rsidR="00D7638A">
        <w:rPr>
          <w:rFonts w:hint="eastAsia"/>
        </w:rPr>
        <w:t>通过民主评议程序</w:t>
      </w:r>
      <w:r w:rsidR="00BF2A2F">
        <w:rPr>
          <w:rFonts w:hint="eastAsia"/>
        </w:rPr>
        <w:t>确定</w:t>
      </w:r>
      <w:r w:rsidR="00D7638A">
        <w:rPr>
          <w:rFonts w:hint="eastAsia"/>
        </w:rPr>
        <w:t>人</w:t>
      </w:r>
      <w:r w:rsidR="00D7638A">
        <w:rPr>
          <w:rFonts w:hint="eastAsia"/>
        </w:rPr>
        <w:lastRenderedPageBreak/>
        <w:t>才分配标准，</w:t>
      </w:r>
      <w:r w:rsidR="00BF2A2F">
        <w:rPr>
          <w:rFonts w:hint="eastAsia"/>
        </w:rPr>
        <w:t>满足</w:t>
      </w:r>
      <w:r w:rsidR="00D7638A">
        <w:rPr>
          <w:rFonts w:hint="eastAsia"/>
        </w:rPr>
        <w:t>本单位</w:t>
      </w:r>
      <w:r w:rsidR="00BF2A2F">
        <w:rPr>
          <w:rFonts w:hint="eastAsia"/>
        </w:rPr>
        <w:t>职工</w:t>
      </w:r>
      <w:r w:rsidR="00D7638A">
        <w:rPr>
          <w:rFonts w:hint="eastAsia"/>
        </w:rPr>
        <w:t>人才住房需求</w:t>
      </w:r>
      <w:r w:rsidR="000F4E79">
        <w:rPr>
          <w:rFonts w:hint="eastAsia"/>
        </w:rPr>
        <w:t>。</w:t>
      </w:r>
    </w:p>
    <w:p w14:paraId="5F8A6B89" w14:textId="77777777" w:rsidR="00235514" w:rsidRDefault="00235514" w:rsidP="00235514">
      <w:pPr>
        <w:pStyle w:val="1"/>
        <w:spacing w:before="312" w:after="312"/>
        <w:ind w:firstLine="640"/>
      </w:pPr>
      <w:bookmarkStart w:id="20" w:name="_Toc73434895"/>
      <w:r>
        <w:rPr>
          <w:rFonts w:hint="eastAsia"/>
        </w:rPr>
        <w:t>六、科学配置公共服务资源</w:t>
      </w:r>
      <w:bookmarkEnd w:id="20"/>
    </w:p>
    <w:p w14:paraId="5C4C54FD" w14:textId="77777777" w:rsidR="00235514" w:rsidRDefault="00235514" w:rsidP="00235514">
      <w:pPr>
        <w:pStyle w:val="2"/>
        <w:spacing w:before="312" w:after="312"/>
        <w:ind w:firstLine="602"/>
      </w:pPr>
      <w:bookmarkStart w:id="21" w:name="_Toc73434896"/>
      <w:r>
        <w:rPr>
          <w:rFonts w:hint="eastAsia"/>
        </w:rPr>
        <w:t>（一）创建宜居活力社区</w:t>
      </w:r>
      <w:bookmarkEnd w:id="21"/>
    </w:p>
    <w:p w14:paraId="77654F2A" w14:textId="229B7BB2" w:rsidR="00235514" w:rsidRDefault="00CB42C8" w:rsidP="00235514">
      <w:pPr>
        <w:ind w:firstLineChars="200" w:firstLine="562"/>
      </w:pPr>
      <w:r w:rsidRPr="00CB42C8">
        <w:rPr>
          <w:rFonts w:hint="eastAsia"/>
          <w:b/>
          <w:bCs/>
        </w:rPr>
        <w:t>促进社区居住就业适度平衡。</w:t>
      </w:r>
      <w:r w:rsidR="00235514" w:rsidRPr="004F60BA">
        <w:rPr>
          <w:rFonts w:hint="eastAsia"/>
        </w:rPr>
        <w:t>为促进本地居民获得更丰富的城市生活，加快促进农业转移人口市民化，以步行十五分钟为空间尺度，倡导社区功能混合布局和土地混合利用。按照居住区规划人口规模和合理服务半径，合理配置教育、医疗、养老等公共服务</w:t>
      </w:r>
      <w:r w:rsidR="00183E2B">
        <w:rPr>
          <w:rFonts w:hint="eastAsia"/>
        </w:rPr>
        <w:t>和</w:t>
      </w:r>
      <w:r w:rsidR="00235514" w:rsidRPr="004F60BA">
        <w:rPr>
          <w:rFonts w:hint="eastAsia"/>
        </w:rPr>
        <w:t>社区服务设施</w:t>
      </w:r>
      <w:r w:rsidR="005E61F4">
        <w:rPr>
          <w:rFonts w:hint="eastAsia"/>
        </w:rPr>
        <w:t>，</w:t>
      </w:r>
      <w:r w:rsidR="0093310C">
        <w:rPr>
          <w:rFonts w:hint="eastAsia"/>
        </w:rPr>
        <w:t>优化布局</w:t>
      </w:r>
      <w:r w:rsidR="00235514" w:rsidRPr="004F60BA">
        <w:rPr>
          <w:rFonts w:hint="eastAsia"/>
        </w:rPr>
        <w:t>街区商业、综合商场和商务办公空间，为居民就近消费和就业</w:t>
      </w:r>
      <w:r w:rsidR="005E61F4">
        <w:rPr>
          <w:rFonts w:hint="eastAsia"/>
        </w:rPr>
        <w:t>生活</w:t>
      </w:r>
      <w:r w:rsidR="00235514" w:rsidRPr="004F60BA">
        <w:rPr>
          <w:rFonts w:hint="eastAsia"/>
        </w:rPr>
        <w:t>提供</w:t>
      </w:r>
      <w:r w:rsidR="005E61F4">
        <w:rPr>
          <w:rFonts w:hint="eastAsia"/>
        </w:rPr>
        <w:t>优质</w:t>
      </w:r>
      <w:r w:rsidR="00235514" w:rsidRPr="004F60BA">
        <w:rPr>
          <w:rFonts w:hint="eastAsia"/>
        </w:rPr>
        <w:t>空间载体。</w:t>
      </w:r>
    </w:p>
    <w:p w14:paraId="47714CFA" w14:textId="2F2796A3" w:rsidR="00CB42C8" w:rsidRDefault="00CB42C8" w:rsidP="00703BC2">
      <w:pPr>
        <w:ind w:firstLineChars="200" w:firstLine="562"/>
      </w:pPr>
      <w:r w:rsidRPr="00E016F2">
        <w:rPr>
          <w:rFonts w:hint="eastAsia"/>
          <w:b/>
          <w:bCs/>
        </w:rPr>
        <w:t>健全设施配套协同机制。</w:t>
      </w:r>
      <w:r w:rsidR="0093310C">
        <w:rPr>
          <w:rFonts w:hint="eastAsia"/>
        </w:rPr>
        <w:t>健全</w:t>
      </w:r>
      <w:r w:rsidR="00703BC2" w:rsidRPr="00E016F2">
        <w:rPr>
          <w:rFonts w:hint="eastAsia"/>
        </w:rPr>
        <w:t>民政、教育、卫健等有关部门应对接自然资源部门，建立配套设施台账，将需要配套建设和无偿移交的设施纳入</w:t>
      </w:r>
      <w:r w:rsidRPr="00E016F2">
        <w:rPr>
          <w:rFonts w:hint="eastAsia"/>
        </w:rPr>
        <w:t>新增居住用地公开出让的条件，一并确定建设义务主体</w:t>
      </w:r>
      <w:r w:rsidR="00703BC2" w:rsidRPr="00E016F2">
        <w:rPr>
          <w:rFonts w:hint="eastAsia"/>
        </w:rPr>
        <w:t>，</w:t>
      </w:r>
      <w:r w:rsidRPr="00E016F2">
        <w:rPr>
          <w:rFonts w:hint="eastAsia"/>
        </w:rPr>
        <w:t>同步设计、同步施工、同步验收。</w:t>
      </w:r>
      <w:r w:rsidR="00E016F2">
        <w:rPr>
          <w:rFonts w:hint="eastAsia"/>
        </w:rPr>
        <w:t>加快推进公共服务供给制度改革，进一步借助市场，引入社会资本和专业队伍，多渠道提升公共服务供给能力和服务水平。</w:t>
      </w:r>
    </w:p>
    <w:p w14:paraId="679FE191" w14:textId="441A94FB" w:rsidR="003B7425" w:rsidRPr="00AF30BD" w:rsidRDefault="003B7425" w:rsidP="003B7425">
      <w:pPr>
        <w:ind w:firstLineChars="200" w:firstLine="562"/>
      </w:pPr>
      <w:r w:rsidRPr="003B7425">
        <w:rPr>
          <w:rFonts w:hint="eastAsia"/>
          <w:b/>
          <w:bCs/>
        </w:rPr>
        <w:t>打造生态</w:t>
      </w:r>
      <w:r>
        <w:rPr>
          <w:rFonts w:hint="eastAsia"/>
          <w:b/>
          <w:bCs/>
        </w:rPr>
        <w:t>友好型</w:t>
      </w:r>
      <w:r w:rsidRPr="003B7425">
        <w:rPr>
          <w:rFonts w:hint="eastAsia"/>
          <w:b/>
          <w:bCs/>
        </w:rPr>
        <w:t>社区。</w:t>
      </w:r>
      <w:r w:rsidRPr="00AF30BD">
        <w:rPr>
          <w:rFonts w:hint="eastAsia"/>
        </w:rPr>
        <w:t>推动住房建设领域实现绿色转型发展，落实海绵城市理念，</w:t>
      </w:r>
      <w:r w:rsidR="00AF30BD" w:rsidRPr="00AF30BD">
        <w:rPr>
          <w:rFonts w:hint="eastAsia"/>
        </w:rPr>
        <w:t>支持和引导房地产开发企业加大绿色新型建材、新型节能科技</w:t>
      </w:r>
      <w:r w:rsidR="00183E2B">
        <w:rPr>
          <w:rFonts w:hint="eastAsia"/>
        </w:rPr>
        <w:t>、环境卫生设施</w:t>
      </w:r>
      <w:r w:rsidR="00AF30BD" w:rsidRPr="00AF30BD">
        <w:rPr>
          <w:rFonts w:hint="eastAsia"/>
        </w:rPr>
        <w:t>等方面的投入，</w:t>
      </w:r>
      <w:r w:rsidRPr="00AF30BD">
        <w:rPr>
          <w:rFonts w:hint="eastAsia"/>
        </w:rPr>
        <w:t>完善住宅小区</w:t>
      </w:r>
      <w:r w:rsidR="00AF30BD" w:rsidRPr="00AF30BD">
        <w:rPr>
          <w:rFonts w:hint="eastAsia"/>
        </w:rPr>
        <w:t>绿色基础设施配套，</w:t>
      </w:r>
      <w:r w:rsidR="00183E2B" w:rsidRPr="00AF30BD">
        <w:rPr>
          <w:rFonts w:hint="eastAsia"/>
        </w:rPr>
        <w:t>打造新一代绿色</w:t>
      </w:r>
      <w:r w:rsidR="00183E2B">
        <w:rPr>
          <w:rFonts w:hint="eastAsia"/>
        </w:rPr>
        <w:t>健康</w:t>
      </w:r>
      <w:r w:rsidR="00183E2B" w:rsidRPr="00AF30BD">
        <w:rPr>
          <w:rFonts w:hint="eastAsia"/>
        </w:rPr>
        <w:t>住宅</w:t>
      </w:r>
      <w:r w:rsidR="00183E2B">
        <w:rPr>
          <w:rFonts w:hint="eastAsia"/>
        </w:rPr>
        <w:t>，</w:t>
      </w:r>
      <w:r w:rsidR="00AF30BD">
        <w:rPr>
          <w:rFonts w:hint="eastAsia"/>
        </w:rPr>
        <w:t>通过促进绿色</w:t>
      </w:r>
      <w:r w:rsidR="00183E2B">
        <w:rPr>
          <w:rFonts w:hint="eastAsia"/>
        </w:rPr>
        <w:t>健康</w:t>
      </w:r>
      <w:r w:rsidR="00AF30BD">
        <w:rPr>
          <w:rFonts w:hint="eastAsia"/>
        </w:rPr>
        <w:t>新消费。</w:t>
      </w:r>
    </w:p>
    <w:p w14:paraId="2AFB109D" w14:textId="77777777" w:rsidR="003B7425" w:rsidRDefault="003B7425" w:rsidP="003B7425">
      <w:pPr>
        <w:ind w:firstLineChars="200" w:firstLine="562"/>
        <w:rPr>
          <w:b/>
          <w:bCs/>
        </w:rPr>
      </w:pPr>
    </w:p>
    <w:p w14:paraId="049AF59F" w14:textId="631F4AC9" w:rsidR="00235514" w:rsidRDefault="00235514" w:rsidP="00235514">
      <w:pPr>
        <w:pStyle w:val="2"/>
        <w:spacing w:before="312" w:after="312"/>
        <w:ind w:firstLine="602"/>
      </w:pPr>
      <w:bookmarkStart w:id="22" w:name="_Toc73434897"/>
      <w:r>
        <w:rPr>
          <w:rFonts w:hint="eastAsia"/>
        </w:rPr>
        <w:lastRenderedPageBreak/>
        <w:t>（二）打造</w:t>
      </w:r>
      <w:r w:rsidR="00B7721D">
        <w:rPr>
          <w:rFonts w:hint="eastAsia"/>
        </w:rPr>
        <w:t>基础</w:t>
      </w:r>
      <w:r>
        <w:rPr>
          <w:rFonts w:hint="eastAsia"/>
        </w:rPr>
        <w:t>教育高地</w:t>
      </w:r>
      <w:bookmarkEnd w:id="22"/>
    </w:p>
    <w:p w14:paraId="47CD95E0" w14:textId="09E67CDD" w:rsidR="00235514" w:rsidRDefault="00FD0421" w:rsidP="00235514">
      <w:pPr>
        <w:ind w:firstLineChars="200" w:firstLine="562"/>
      </w:pPr>
      <w:r w:rsidRPr="00FD0421">
        <w:rPr>
          <w:rFonts w:hint="eastAsia"/>
          <w:b/>
          <w:bCs/>
        </w:rPr>
        <w:t>推动教育产业高质量发展。</w:t>
      </w:r>
      <w:r w:rsidR="00235514">
        <w:rPr>
          <w:rFonts w:hint="eastAsia"/>
        </w:rPr>
        <w:t>高度重视基础教育对人口的牵引作用，对标湾区先进城市，</w:t>
      </w:r>
      <w:r w:rsidR="00235514" w:rsidRPr="00235514">
        <w:rPr>
          <w:rFonts w:hint="eastAsia"/>
        </w:rPr>
        <w:t>加强基础教育补短板，</w:t>
      </w:r>
      <w:r>
        <w:rPr>
          <w:rFonts w:hint="eastAsia"/>
        </w:rPr>
        <w:t>推动基础教育资源服务供给侧改革，</w:t>
      </w:r>
      <w:r w:rsidR="00235514">
        <w:rPr>
          <w:rFonts w:hint="eastAsia"/>
        </w:rPr>
        <w:t>积极引导社会力量举办非营利性民办学校，规范</w:t>
      </w:r>
      <w:r w:rsidR="00B7721D">
        <w:rPr>
          <w:rFonts w:hint="eastAsia"/>
        </w:rPr>
        <w:t>营</w:t>
      </w:r>
      <w:r w:rsidR="00235514">
        <w:rPr>
          <w:rFonts w:hint="eastAsia"/>
        </w:rPr>
        <w:t>利性民办学校管理，多措并举促进基础教育</w:t>
      </w:r>
      <w:r w:rsidR="005E61F4">
        <w:rPr>
          <w:rFonts w:hint="eastAsia"/>
        </w:rPr>
        <w:t>优质</w:t>
      </w:r>
      <w:r w:rsidR="00235514">
        <w:rPr>
          <w:rFonts w:hint="eastAsia"/>
        </w:rPr>
        <w:t>学位</w:t>
      </w:r>
      <w:r w:rsidR="00B7721D">
        <w:rPr>
          <w:rFonts w:hint="eastAsia"/>
        </w:rPr>
        <w:t>有效</w:t>
      </w:r>
      <w:r w:rsidR="00235514">
        <w:rPr>
          <w:rFonts w:hint="eastAsia"/>
        </w:rPr>
        <w:t>增加。探索</w:t>
      </w:r>
      <w:r w:rsidR="00235514" w:rsidRPr="001974B5">
        <w:rPr>
          <w:rFonts w:hint="eastAsia"/>
        </w:rPr>
        <w:t>推进</w:t>
      </w:r>
      <w:r w:rsidR="00235514">
        <w:rPr>
          <w:rFonts w:hint="eastAsia"/>
        </w:rPr>
        <w:t>本地优质中小学</w:t>
      </w:r>
      <w:r w:rsidR="00235514" w:rsidRPr="001974B5">
        <w:rPr>
          <w:rFonts w:hint="eastAsia"/>
        </w:rPr>
        <w:t>集团化办学</w:t>
      </w:r>
      <w:r w:rsidR="00235514">
        <w:rPr>
          <w:rFonts w:hint="eastAsia"/>
        </w:rPr>
        <w:t>，带动新建中小学教育管理水平和教学质量稳步提升。推进</w:t>
      </w:r>
      <w:r w:rsidR="00235514" w:rsidRPr="001974B5">
        <w:rPr>
          <w:rFonts w:hint="eastAsia"/>
        </w:rPr>
        <w:t>“名校</w:t>
      </w:r>
      <w:r w:rsidR="00235514" w:rsidRPr="001974B5">
        <w:rPr>
          <w:rFonts w:hint="eastAsia"/>
        </w:rPr>
        <w:t>+</w:t>
      </w:r>
      <w:r w:rsidR="00235514" w:rsidRPr="001974B5">
        <w:rPr>
          <w:rFonts w:hint="eastAsia"/>
        </w:rPr>
        <w:t>”战略</w:t>
      </w:r>
      <w:r w:rsidR="00235514">
        <w:rPr>
          <w:rFonts w:hint="eastAsia"/>
        </w:rPr>
        <w:t>，支持和鼓励市场投资主体签约国内知名中小学，将一流的办学理念和师资队伍引入湛江，力争打造具有区域影响力的教育高地。</w:t>
      </w:r>
    </w:p>
    <w:p w14:paraId="1AFE875C" w14:textId="3598EFA3" w:rsidR="003965A8" w:rsidRDefault="003965A8" w:rsidP="003965A8">
      <w:pPr>
        <w:pStyle w:val="2"/>
        <w:spacing w:before="312" w:after="312"/>
        <w:ind w:firstLine="602"/>
      </w:pPr>
      <w:bookmarkStart w:id="23" w:name="_Toc73434898"/>
      <w:r>
        <w:rPr>
          <w:rFonts w:hint="eastAsia"/>
        </w:rPr>
        <w:t>（</w:t>
      </w:r>
      <w:r w:rsidR="002F1662">
        <w:rPr>
          <w:rFonts w:hint="eastAsia"/>
        </w:rPr>
        <w:t>三</w:t>
      </w:r>
      <w:r>
        <w:rPr>
          <w:rFonts w:hint="eastAsia"/>
        </w:rPr>
        <w:t>）推进全域旅游开发</w:t>
      </w:r>
      <w:bookmarkEnd w:id="23"/>
    </w:p>
    <w:p w14:paraId="6E08CAB8" w14:textId="7F078BF8" w:rsidR="00D640D6" w:rsidRDefault="002A6CFC" w:rsidP="00FF7F50">
      <w:pPr>
        <w:ind w:firstLineChars="200" w:firstLine="562"/>
      </w:pPr>
      <w:r w:rsidRPr="00B7721D">
        <w:rPr>
          <w:rFonts w:hint="eastAsia"/>
          <w:b/>
          <w:bCs/>
        </w:rPr>
        <w:t>构建全域旅游新格局</w:t>
      </w:r>
      <w:r w:rsidR="00217CBD" w:rsidRPr="00B7721D">
        <w:rPr>
          <w:rFonts w:hint="eastAsia"/>
          <w:b/>
          <w:bCs/>
        </w:rPr>
        <w:t>。</w:t>
      </w:r>
      <w:r w:rsidR="00B7721D">
        <w:rPr>
          <w:rFonts w:hint="eastAsia"/>
        </w:rPr>
        <w:t>把握“</w:t>
      </w:r>
      <w:r w:rsidR="00B7721D" w:rsidRPr="00DE181D">
        <w:rPr>
          <w:rFonts w:hint="eastAsia"/>
        </w:rPr>
        <w:t>五龙入湛</w:t>
      </w:r>
      <w:r w:rsidR="00B7721D">
        <w:rPr>
          <w:rFonts w:hint="eastAsia"/>
        </w:rPr>
        <w:t>”机遇，</w:t>
      </w:r>
      <w:r w:rsidR="00FF7F50">
        <w:rPr>
          <w:rFonts w:hint="eastAsia"/>
        </w:rPr>
        <w:t>围绕</w:t>
      </w:r>
      <w:r w:rsidR="00FF7F50" w:rsidRPr="00FF7F50">
        <w:rPr>
          <w:rFonts w:hint="eastAsia"/>
        </w:rPr>
        <w:t>“一湾两岸、一核四轴、多组团”</w:t>
      </w:r>
      <w:r w:rsidR="00FF7F50">
        <w:rPr>
          <w:rFonts w:hint="eastAsia"/>
        </w:rPr>
        <w:t>城市空间结构，加快推进旅游景区改造提升、</w:t>
      </w:r>
      <w:r w:rsidR="00FF7F50" w:rsidRPr="00D640D6">
        <w:rPr>
          <w:rFonts w:hint="eastAsia"/>
        </w:rPr>
        <w:t>旅游配套设施开发</w:t>
      </w:r>
      <w:r w:rsidR="00FF7F50">
        <w:rPr>
          <w:rFonts w:hint="eastAsia"/>
        </w:rPr>
        <w:t>以及市内交通设施提升等工程，打造差别化的特色旅游度假区和配套服务区。加大旅游项目的引进力度，</w:t>
      </w:r>
      <w:r w:rsidR="00FF7F50" w:rsidRPr="00FF7F50">
        <w:rPr>
          <w:rFonts w:hint="eastAsia"/>
        </w:rPr>
        <w:t>推动旅游与</w:t>
      </w:r>
      <w:r w:rsidR="00FF7F50">
        <w:rPr>
          <w:rFonts w:hint="eastAsia"/>
        </w:rPr>
        <w:t>房地产</w:t>
      </w:r>
      <w:r w:rsidR="00FF7F50" w:rsidRPr="00FF7F50">
        <w:rPr>
          <w:rFonts w:hint="eastAsia"/>
        </w:rPr>
        <w:t>业深度融合发展</w:t>
      </w:r>
      <w:r w:rsidR="00FF7F50">
        <w:rPr>
          <w:rFonts w:hint="eastAsia"/>
        </w:rPr>
        <w:t>，通过新建、改建或维护修缮等多种方式，</w:t>
      </w:r>
      <w:r w:rsidR="00D640D6">
        <w:rPr>
          <w:rFonts w:hint="eastAsia"/>
        </w:rPr>
        <w:t>打造</w:t>
      </w:r>
      <w:r w:rsidR="00FF7F50">
        <w:rPr>
          <w:rFonts w:hint="eastAsia"/>
        </w:rPr>
        <w:t>一批具有热带滨海特色的高品质旅游标杆项目</w:t>
      </w:r>
      <w:r w:rsidR="00D640D6">
        <w:rPr>
          <w:rFonts w:hint="eastAsia"/>
        </w:rPr>
        <w:t>。</w:t>
      </w:r>
    </w:p>
    <w:p w14:paraId="60B66B5D" w14:textId="221ABBDF" w:rsidR="002142B6" w:rsidRPr="002142B6" w:rsidRDefault="00DE181D" w:rsidP="002142B6">
      <w:pPr>
        <w:ind w:firstLineChars="200" w:firstLine="562"/>
      </w:pPr>
      <w:r w:rsidRPr="002142B6">
        <w:rPr>
          <w:rFonts w:hint="eastAsia"/>
          <w:b/>
          <w:bCs/>
        </w:rPr>
        <w:t>健全旅游融合发展新机制。</w:t>
      </w:r>
      <w:r w:rsidRPr="002142B6">
        <w:rPr>
          <w:rFonts w:hint="eastAsia"/>
        </w:rPr>
        <w:t>强化</w:t>
      </w:r>
      <w:r w:rsidR="002142B6" w:rsidRPr="002142B6">
        <w:rPr>
          <w:rFonts w:hint="eastAsia"/>
        </w:rPr>
        <w:t>可持续的</w:t>
      </w:r>
      <w:r w:rsidRPr="002142B6">
        <w:rPr>
          <w:rFonts w:hint="eastAsia"/>
        </w:rPr>
        <w:t>“</w:t>
      </w:r>
      <w:r w:rsidR="002142B6" w:rsidRPr="002142B6">
        <w:rPr>
          <w:rFonts w:hint="eastAsia"/>
        </w:rPr>
        <w:t>运营</w:t>
      </w:r>
      <w:r w:rsidRPr="002142B6">
        <w:rPr>
          <w:rFonts w:hint="eastAsia"/>
        </w:rPr>
        <w:t>”</w:t>
      </w:r>
      <w:r w:rsidR="002142B6" w:rsidRPr="002142B6">
        <w:rPr>
          <w:rFonts w:hint="eastAsia"/>
        </w:rPr>
        <w:t>理念，转变房地产开发与旅游产业设施供给</w:t>
      </w:r>
      <w:r w:rsidR="004533CA">
        <w:rPr>
          <w:rFonts w:hint="eastAsia"/>
        </w:rPr>
        <w:t>和营利</w:t>
      </w:r>
      <w:r w:rsidR="002142B6" w:rsidRPr="002142B6">
        <w:rPr>
          <w:rFonts w:hint="eastAsia"/>
        </w:rPr>
        <w:t>模式，以</w:t>
      </w:r>
      <w:r w:rsidR="00AA4F0A">
        <w:rPr>
          <w:rFonts w:hint="eastAsia"/>
        </w:rPr>
        <w:t>“</w:t>
      </w:r>
      <w:r w:rsidR="002142B6" w:rsidRPr="002142B6">
        <w:rPr>
          <w:rFonts w:hint="eastAsia"/>
        </w:rPr>
        <w:t>慢周转</w:t>
      </w:r>
      <w:r w:rsidR="00AA4F0A">
        <w:rPr>
          <w:rFonts w:hint="eastAsia"/>
        </w:rPr>
        <w:t>”</w:t>
      </w:r>
      <w:r w:rsidR="002142B6" w:rsidRPr="002142B6">
        <w:rPr>
          <w:rFonts w:hint="eastAsia"/>
        </w:rPr>
        <w:t>模式打造文旅</w:t>
      </w:r>
      <w:r w:rsidR="004533CA">
        <w:rPr>
          <w:rFonts w:hint="eastAsia"/>
        </w:rPr>
        <w:t>、康养</w:t>
      </w:r>
      <w:r w:rsidR="002142B6" w:rsidRPr="002142B6">
        <w:rPr>
          <w:rFonts w:hint="eastAsia"/>
        </w:rPr>
        <w:t>项目，</w:t>
      </w:r>
      <w:r w:rsidR="004533CA">
        <w:rPr>
          <w:rFonts w:hint="eastAsia"/>
        </w:rPr>
        <w:t>坚持配套设施先行，同时，适当增加项目自持物业占比，</w:t>
      </w:r>
      <w:r w:rsidR="00852DA2">
        <w:rPr>
          <w:rFonts w:hint="eastAsia"/>
        </w:rPr>
        <w:t>引导</w:t>
      </w:r>
      <w:r w:rsidR="004533CA">
        <w:rPr>
          <w:rFonts w:hint="eastAsia"/>
        </w:rPr>
        <w:t>投资企业</w:t>
      </w:r>
      <w:r w:rsidR="002142B6" w:rsidRPr="002142B6">
        <w:rPr>
          <w:rFonts w:hint="eastAsia"/>
        </w:rPr>
        <w:t>通过</w:t>
      </w:r>
      <w:r w:rsidR="002142B6">
        <w:rPr>
          <w:rFonts w:hint="eastAsia"/>
        </w:rPr>
        <w:t>持续</w:t>
      </w:r>
      <w:r w:rsidR="00ED0C60">
        <w:rPr>
          <w:rFonts w:hint="eastAsia"/>
        </w:rPr>
        <w:t>提供</w:t>
      </w:r>
      <w:r w:rsidR="004533CA">
        <w:rPr>
          <w:rFonts w:hint="eastAsia"/>
        </w:rPr>
        <w:t>优质</w:t>
      </w:r>
      <w:r w:rsidR="00852DA2">
        <w:rPr>
          <w:rFonts w:hint="eastAsia"/>
        </w:rPr>
        <w:t>运营</w:t>
      </w:r>
      <w:r w:rsidR="00ED0C60">
        <w:rPr>
          <w:rFonts w:hint="eastAsia"/>
        </w:rPr>
        <w:t>服务</w:t>
      </w:r>
      <w:r w:rsidR="00852DA2">
        <w:rPr>
          <w:rFonts w:hint="eastAsia"/>
        </w:rPr>
        <w:t>，分享</w:t>
      </w:r>
      <w:r w:rsidR="002142B6" w:rsidRPr="002142B6">
        <w:rPr>
          <w:rFonts w:hint="eastAsia"/>
        </w:rPr>
        <w:t>项目整体价值提升</w:t>
      </w:r>
      <w:r w:rsidR="00852DA2">
        <w:rPr>
          <w:rFonts w:hint="eastAsia"/>
        </w:rPr>
        <w:t>红利</w:t>
      </w:r>
      <w:r w:rsidR="002142B6" w:rsidRPr="002142B6">
        <w:rPr>
          <w:rFonts w:hint="eastAsia"/>
        </w:rPr>
        <w:t>。</w:t>
      </w:r>
    </w:p>
    <w:p w14:paraId="47B834AF" w14:textId="0A65AD7A" w:rsidR="002F1662" w:rsidRPr="002F1662" w:rsidRDefault="00ED0C60" w:rsidP="00C87671">
      <w:pPr>
        <w:ind w:firstLineChars="200" w:firstLine="562"/>
      </w:pPr>
      <w:r w:rsidRPr="0093526B">
        <w:rPr>
          <w:rFonts w:hint="eastAsia"/>
          <w:b/>
          <w:bCs/>
        </w:rPr>
        <w:lastRenderedPageBreak/>
        <w:t>推进</w:t>
      </w:r>
      <w:r w:rsidR="00D45251">
        <w:rPr>
          <w:rFonts w:hint="eastAsia"/>
          <w:b/>
          <w:bCs/>
        </w:rPr>
        <w:t>旅游服务</w:t>
      </w:r>
      <w:r w:rsidR="0093526B" w:rsidRPr="0093526B">
        <w:rPr>
          <w:rFonts w:hint="eastAsia"/>
          <w:b/>
          <w:bCs/>
        </w:rPr>
        <w:t>为</w:t>
      </w:r>
      <w:r w:rsidRPr="0093526B">
        <w:rPr>
          <w:rFonts w:hint="eastAsia"/>
          <w:b/>
          <w:bCs/>
        </w:rPr>
        <w:t>旅游</w:t>
      </w:r>
      <w:r w:rsidR="00D45251">
        <w:rPr>
          <w:rFonts w:hint="eastAsia"/>
          <w:b/>
          <w:bCs/>
        </w:rPr>
        <w:t>地产</w:t>
      </w:r>
      <w:r w:rsidRPr="0093526B">
        <w:rPr>
          <w:rFonts w:hint="eastAsia"/>
          <w:b/>
          <w:bCs/>
        </w:rPr>
        <w:t>赋能。</w:t>
      </w:r>
      <w:r w:rsidR="00D45251" w:rsidRPr="00583D61">
        <w:rPr>
          <w:rFonts w:hint="eastAsia"/>
        </w:rPr>
        <w:t>发挥湛江本地高校优势，</w:t>
      </w:r>
      <w:r>
        <w:rPr>
          <w:rFonts w:hint="eastAsia"/>
        </w:rPr>
        <w:t>推进</w:t>
      </w:r>
      <w:r w:rsidR="00D45251">
        <w:rPr>
          <w:rFonts w:hint="eastAsia"/>
        </w:rPr>
        <w:t>旅游地产项目与</w:t>
      </w:r>
      <w:r>
        <w:rPr>
          <w:rFonts w:hint="eastAsia"/>
        </w:rPr>
        <w:t>岭南师范学院、广东医科大学、广东海洋大学等院校</w:t>
      </w:r>
      <w:r w:rsidR="00D45251">
        <w:rPr>
          <w:rFonts w:hint="eastAsia"/>
        </w:rPr>
        <w:t>开展</w:t>
      </w:r>
      <w:r>
        <w:rPr>
          <w:rFonts w:hint="eastAsia"/>
        </w:rPr>
        <w:t>“产学研”</w:t>
      </w:r>
      <w:r w:rsidR="0093526B">
        <w:rPr>
          <w:rFonts w:hint="eastAsia"/>
        </w:rPr>
        <w:t>一体化</w:t>
      </w:r>
      <w:r w:rsidR="00D45251">
        <w:rPr>
          <w:rFonts w:hint="eastAsia"/>
        </w:rPr>
        <w:t>合作</w:t>
      </w:r>
      <w:r>
        <w:rPr>
          <w:rFonts w:hint="eastAsia"/>
        </w:rPr>
        <w:t>，</w:t>
      </w:r>
      <w:r w:rsidR="00583D61">
        <w:rPr>
          <w:rFonts w:hint="eastAsia"/>
        </w:rPr>
        <w:t>扩大旅游相关服务专业招生，为旅游产业发展输送专业人才，</w:t>
      </w:r>
      <w:r w:rsidR="00FD0421">
        <w:rPr>
          <w:rFonts w:hint="eastAsia"/>
        </w:rPr>
        <w:t>加强旅游从业人员教育培训，全面提升旅游服务队伍素质</w:t>
      </w:r>
      <w:r w:rsidR="00583D61">
        <w:rPr>
          <w:rFonts w:hint="eastAsia"/>
        </w:rPr>
        <w:t>。鼓励本地居民参与，保护和发扬本地传统</w:t>
      </w:r>
      <w:r w:rsidR="00D45251">
        <w:rPr>
          <w:rFonts w:hint="eastAsia"/>
        </w:rPr>
        <w:t>民俗文化、</w:t>
      </w:r>
      <w:r w:rsidR="00583D61">
        <w:rPr>
          <w:rFonts w:hint="eastAsia"/>
        </w:rPr>
        <w:t>特色</w:t>
      </w:r>
      <w:r w:rsidR="00D45251">
        <w:rPr>
          <w:rFonts w:hint="eastAsia"/>
        </w:rPr>
        <w:t>美食等</w:t>
      </w:r>
      <w:r w:rsidR="00583D61">
        <w:rPr>
          <w:rFonts w:hint="eastAsia"/>
        </w:rPr>
        <w:t>，</w:t>
      </w:r>
      <w:r w:rsidR="00D45251">
        <w:rPr>
          <w:rFonts w:hint="eastAsia"/>
        </w:rPr>
        <w:t>形成</w:t>
      </w:r>
      <w:r w:rsidR="00583D61">
        <w:rPr>
          <w:rFonts w:hint="eastAsia"/>
        </w:rPr>
        <w:t>湛江市独特的</w:t>
      </w:r>
      <w:r w:rsidR="007E13EA">
        <w:rPr>
          <w:rFonts w:hint="eastAsia"/>
        </w:rPr>
        <w:t>旅游</w:t>
      </w:r>
      <w:r w:rsidR="00D45251">
        <w:rPr>
          <w:rFonts w:hint="eastAsia"/>
        </w:rPr>
        <w:t>文化</w:t>
      </w:r>
      <w:r w:rsidR="007E13EA">
        <w:rPr>
          <w:rFonts w:hint="eastAsia"/>
        </w:rPr>
        <w:t>氛围</w:t>
      </w:r>
      <w:r w:rsidR="00D45251">
        <w:rPr>
          <w:rFonts w:hint="eastAsia"/>
        </w:rPr>
        <w:t>。</w:t>
      </w:r>
    </w:p>
    <w:p w14:paraId="0629B672" w14:textId="5A1AC306" w:rsidR="008977AF" w:rsidRDefault="00AD6756" w:rsidP="002D21F5">
      <w:pPr>
        <w:pStyle w:val="1"/>
        <w:spacing w:before="312" w:after="312"/>
        <w:ind w:firstLine="640"/>
      </w:pPr>
      <w:bookmarkStart w:id="24" w:name="_Toc73434899"/>
      <w:r>
        <w:rPr>
          <w:rFonts w:hint="eastAsia"/>
        </w:rPr>
        <w:t>五</w:t>
      </w:r>
      <w:r w:rsidR="002D21F5">
        <w:rPr>
          <w:rFonts w:hint="eastAsia"/>
        </w:rPr>
        <w:t>、</w:t>
      </w:r>
      <w:r w:rsidR="007067BB">
        <w:rPr>
          <w:rFonts w:hint="eastAsia"/>
        </w:rPr>
        <w:t>构建</w:t>
      </w:r>
      <w:r w:rsidR="003644F1">
        <w:rPr>
          <w:rFonts w:hint="eastAsia"/>
        </w:rPr>
        <w:t>合理住房空间布局</w:t>
      </w:r>
      <w:bookmarkEnd w:id="24"/>
    </w:p>
    <w:p w14:paraId="66CE1431" w14:textId="77777777" w:rsidR="003965A8" w:rsidRDefault="00845910" w:rsidP="007C23D8">
      <w:pPr>
        <w:pStyle w:val="2"/>
        <w:spacing w:before="312" w:after="312"/>
        <w:ind w:firstLine="602"/>
      </w:pPr>
      <w:bookmarkStart w:id="25" w:name="_Toc73434900"/>
      <w:r>
        <w:rPr>
          <w:rFonts w:hint="eastAsia"/>
        </w:rPr>
        <w:t>（</w:t>
      </w:r>
      <w:r w:rsidR="003644F1">
        <w:rPr>
          <w:rFonts w:hint="eastAsia"/>
        </w:rPr>
        <w:t>一</w:t>
      </w:r>
      <w:r>
        <w:rPr>
          <w:rFonts w:hint="eastAsia"/>
        </w:rPr>
        <w:t>）</w:t>
      </w:r>
      <w:r w:rsidR="003644F1">
        <w:rPr>
          <w:rFonts w:hint="eastAsia"/>
        </w:rPr>
        <w:t>推动中心城区</w:t>
      </w:r>
      <w:r w:rsidR="00667E72">
        <w:rPr>
          <w:rFonts w:hint="eastAsia"/>
        </w:rPr>
        <w:t>强芯</w:t>
      </w:r>
      <w:r w:rsidR="00CB09DE">
        <w:rPr>
          <w:rFonts w:hint="eastAsia"/>
        </w:rPr>
        <w:t>提质</w:t>
      </w:r>
      <w:bookmarkEnd w:id="25"/>
    </w:p>
    <w:p w14:paraId="77972D03" w14:textId="1C8A8AB0" w:rsidR="009404A6" w:rsidRDefault="00217CBD" w:rsidP="00F00500">
      <w:pPr>
        <w:ind w:firstLineChars="200" w:firstLine="562"/>
      </w:pPr>
      <w:r w:rsidRPr="00217CBD">
        <w:rPr>
          <w:rFonts w:hint="eastAsia"/>
          <w:b/>
          <w:bCs/>
        </w:rPr>
        <w:t>打造城市高品质服务核。</w:t>
      </w:r>
      <w:r w:rsidR="00854CE1">
        <w:rPr>
          <w:rFonts w:hint="eastAsia"/>
        </w:rPr>
        <w:t>以湛江湾为核心组织功能，</w:t>
      </w:r>
      <w:r w:rsidR="003948E0" w:rsidRPr="003948E0">
        <w:rPr>
          <w:rFonts w:hint="eastAsia"/>
        </w:rPr>
        <w:t>实施城市更新行动，加快</w:t>
      </w:r>
      <w:r w:rsidR="006A0861">
        <w:rPr>
          <w:rFonts w:hint="eastAsia"/>
        </w:rPr>
        <w:t>推进中心城区</w:t>
      </w:r>
      <w:r w:rsidR="003948E0" w:rsidRPr="003948E0">
        <w:rPr>
          <w:rFonts w:hint="eastAsia"/>
        </w:rPr>
        <w:t>连片</w:t>
      </w:r>
      <w:r w:rsidR="006A0861">
        <w:rPr>
          <w:rFonts w:hint="eastAsia"/>
        </w:rPr>
        <w:t>开发和</w:t>
      </w:r>
      <w:r w:rsidR="003948E0" w:rsidRPr="003948E0">
        <w:rPr>
          <w:rFonts w:hint="eastAsia"/>
        </w:rPr>
        <w:t>综合更新改造</w:t>
      </w:r>
      <w:r w:rsidR="009404A6">
        <w:rPr>
          <w:rFonts w:hint="eastAsia"/>
        </w:rPr>
        <w:t>，</w:t>
      </w:r>
      <w:r w:rsidR="006A0861">
        <w:rPr>
          <w:rFonts w:hint="eastAsia"/>
        </w:rPr>
        <w:t>围绕</w:t>
      </w:r>
      <w:r w:rsidR="003948E0" w:rsidRPr="003948E0">
        <w:rPr>
          <w:rFonts w:hint="eastAsia"/>
        </w:rPr>
        <w:t>高端服务城市功能区</w:t>
      </w:r>
      <w:r w:rsidR="003948E0">
        <w:rPr>
          <w:rFonts w:hint="eastAsia"/>
        </w:rPr>
        <w:t>和城市地标群</w:t>
      </w:r>
      <w:r w:rsidR="006A0861">
        <w:rPr>
          <w:rFonts w:hint="eastAsia"/>
        </w:rPr>
        <w:t>外围</w:t>
      </w:r>
      <w:r w:rsidR="003948E0">
        <w:rPr>
          <w:rFonts w:hint="eastAsia"/>
        </w:rPr>
        <w:t>，</w:t>
      </w:r>
      <w:r w:rsidR="006A0861">
        <w:rPr>
          <w:rFonts w:hint="eastAsia"/>
        </w:rPr>
        <w:t>借鉴</w:t>
      </w:r>
      <w:r w:rsidR="00E44C82">
        <w:rPr>
          <w:rFonts w:hint="eastAsia"/>
        </w:rPr>
        <w:t>大湾区核心城市</w:t>
      </w:r>
      <w:r w:rsidR="006A0861">
        <w:rPr>
          <w:rFonts w:hint="eastAsia"/>
        </w:rPr>
        <w:t>先进经验</w:t>
      </w:r>
      <w:r w:rsidR="00E44C82">
        <w:rPr>
          <w:rFonts w:hint="eastAsia"/>
        </w:rPr>
        <w:t>，</w:t>
      </w:r>
      <w:r w:rsidR="006A0861">
        <w:rPr>
          <w:rFonts w:hint="eastAsia"/>
        </w:rPr>
        <w:t>建设</w:t>
      </w:r>
      <w:r w:rsidR="00E44C82">
        <w:rPr>
          <w:rFonts w:hint="eastAsia"/>
        </w:rPr>
        <w:t>高端宜居社区</w:t>
      </w:r>
      <w:r w:rsidR="009404A6">
        <w:rPr>
          <w:rFonts w:hint="eastAsia"/>
        </w:rPr>
        <w:t>，引进优质公共服务设施，推进住房管理智慧化、信息化，打造海湾城市高品质居住样板，吸引国内外和本地的精英人才来湛江</w:t>
      </w:r>
      <w:r w:rsidR="006A0861">
        <w:rPr>
          <w:rFonts w:hint="eastAsia"/>
        </w:rPr>
        <w:t>市</w:t>
      </w:r>
      <w:r w:rsidR="009404A6">
        <w:rPr>
          <w:rFonts w:hint="eastAsia"/>
        </w:rPr>
        <w:t>定居。</w:t>
      </w:r>
    </w:p>
    <w:p w14:paraId="1156F3B2" w14:textId="1E2D9ADB" w:rsidR="0070495E" w:rsidRDefault="00217CBD" w:rsidP="00F00500">
      <w:pPr>
        <w:ind w:firstLineChars="200" w:firstLine="562"/>
      </w:pPr>
      <w:r w:rsidRPr="00217CBD">
        <w:rPr>
          <w:rFonts w:hint="eastAsia"/>
          <w:b/>
          <w:bCs/>
        </w:rPr>
        <w:t>促进高水平产城融合</w:t>
      </w:r>
      <w:r>
        <w:rPr>
          <w:rFonts w:hint="eastAsia"/>
        </w:rPr>
        <w:t>。</w:t>
      </w:r>
      <w:r w:rsidR="0070495E">
        <w:rPr>
          <w:rFonts w:hint="eastAsia"/>
        </w:rPr>
        <w:t>围绕开发区、</w:t>
      </w:r>
      <w:r w:rsidR="006A0861">
        <w:rPr>
          <w:rFonts w:hint="eastAsia"/>
        </w:rPr>
        <w:t>麻章经开区、</w:t>
      </w:r>
      <w:r w:rsidR="0070495E">
        <w:rPr>
          <w:rFonts w:hint="eastAsia"/>
        </w:rPr>
        <w:t>东海岛、空港经济区等重点平台的</w:t>
      </w:r>
      <w:r w:rsidR="00AD06DD">
        <w:rPr>
          <w:rFonts w:hint="eastAsia"/>
        </w:rPr>
        <w:t>产业</w:t>
      </w:r>
      <w:r w:rsidR="0070495E">
        <w:rPr>
          <w:rFonts w:hint="eastAsia"/>
        </w:rPr>
        <w:t>发展，整体谋划生产功能区和生活配套区建设，</w:t>
      </w:r>
      <w:r w:rsidR="00AD06DD">
        <w:rPr>
          <w:rFonts w:hint="eastAsia"/>
        </w:rPr>
        <w:t>结合产业人才需求，适当增加中小套型商品住房、租赁住房和人才住房等，完善配套商业</w:t>
      </w:r>
      <w:r w:rsidR="00FD00D3">
        <w:rPr>
          <w:rFonts w:hint="eastAsia"/>
        </w:rPr>
        <w:t>、</w:t>
      </w:r>
      <w:r w:rsidR="00AD06DD">
        <w:rPr>
          <w:rFonts w:hint="eastAsia"/>
        </w:rPr>
        <w:t>公共服务设施</w:t>
      </w:r>
      <w:r w:rsidR="00FD00D3">
        <w:rPr>
          <w:rFonts w:hint="eastAsia"/>
        </w:rPr>
        <w:t>和公共交通设施</w:t>
      </w:r>
      <w:r w:rsidR="00AD06DD">
        <w:rPr>
          <w:rFonts w:hint="eastAsia"/>
        </w:rPr>
        <w:t>，</w:t>
      </w:r>
      <w:r>
        <w:rPr>
          <w:rFonts w:hint="eastAsia"/>
        </w:rPr>
        <w:t>打造优质产业社区</w:t>
      </w:r>
      <w:r w:rsidR="00AD06DD">
        <w:rPr>
          <w:rFonts w:hint="eastAsia"/>
        </w:rPr>
        <w:t>。</w:t>
      </w:r>
    </w:p>
    <w:p w14:paraId="20828040" w14:textId="5BEBEB6A" w:rsidR="0070495E" w:rsidRPr="00FD00D3" w:rsidRDefault="00FD00D3" w:rsidP="00F00500">
      <w:pPr>
        <w:ind w:firstLineChars="200" w:firstLine="562"/>
      </w:pPr>
      <w:r w:rsidRPr="00217CBD">
        <w:rPr>
          <w:rFonts w:hint="eastAsia"/>
          <w:b/>
          <w:bCs/>
        </w:rPr>
        <w:t>继续做大中心城区</w:t>
      </w:r>
      <w:r w:rsidR="00217CBD">
        <w:rPr>
          <w:rFonts w:hint="eastAsia"/>
        </w:rPr>
        <w:t>。</w:t>
      </w:r>
      <w:r>
        <w:rPr>
          <w:rFonts w:hint="eastAsia"/>
        </w:rPr>
        <w:t>稳步增加赤坎、霞山、麻章、坡头和开发区的住房供给，</w:t>
      </w:r>
      <w:r w:rsidR="00785D5A">
        <w:rPr>
          <w:rFonts w:hint="eastAsia"/>
        </w:rPr>
        <w:t>重点</w:t>
      </w:r>
      <w:r>
        <w:rPr>
          <w:rFonts w:hint="eastAsia"/>
        </w:rPr>
        <w:t>补齐公共服务短板，</w:t>
      </w:r>
      <w:r w:rsidR="00785D5A">
        <w:rPr>
          <w:rFonts w:hint="eastAsia"/>
        </w:rPr>
        <w:t>加快推进湛遂同城发展，加强</w:t>
      </w:r>
      <w:r w:rsidR="00785D5A">
        <w:rPr>
          <w:rFonts w:hint="eastAsia"/>
        </w:rPr>
        <w:lastRenderedPageBreak/>
        <w:t>与雷州、吴川联动发展，高质量推进中心城区新型城镇化</w:t>
      </w:r>
      <w:r w:rsidR="00C3271A">
        <w:rPr>
          <w:rFonts w:hint="eastAsia"/>
        </w:rPr>
        <w:t>。</w:t>
      </w:r>
    </w:p>
    <w:p w14:paraId="53620504" w14:textId="3A841D84" w:rsidR="003965A8" w:rsidRDefault="003644F1" w:rsidP="007C23D8">
      <w:pPr>
        <w:pStyle w:val="2"/>
        <w:spacing w:before="312" w:after="312"/>
        <w:ind w:firstLine="602"/>
      </w:pPr>
      <w:bookmarkStart w:id="26" w:name="_Toc73434901"/>
      <w:r>
        <w:rPr>
          <w:rFonts w:hint="eastAsia"/>
        </w:rPr>
        <w:t>（二）</w:t>
      </w:r>
      <w:r w:rsidR="003965A8">
        <w:rPr>
          <w:rFonts w:hint="eastAsia"/>
        </w:rPr>
        <w:t>支持</w:t>
      </w:r>
      <w:r w:rsidR="003965A8">
        <w:t>县域</w:t>
      </w:r>
      <w:r w:rsidR="00056E07">
        <w:rPr>
          <w:rFonts w:hint="eastAsia"/>
        </w:rPr>
        <w:t>高质量</w:t>
      </w:r>
      <w:r w:rsidR="003965A8">
        <w:t>城镇化</w:t>
      </w:r>
      <w:bookmarkEnd w:id="26"/>
    </w:p>
    <w:p w14:paraId="425C3754" w14:textId="7AB00BBF" w:rsidR="00785D5A" w:rsidRDefault="00852DA2" w:rsidP="00ED39F2">
      <w:pPr>
        <w:ind w:firstLineChars="200" w:firstLine="562"/>
      </w:pPr>
      <w:r w:rsidRPr="00217CBD">
        <w:rPr>
          <w:rFonts w:hint="eastAsia"/>
          <w:b/>
          <w:bCs/>
        </w:rPr>
        <w:t>深入</w:t>
      </w:r>
      <w:r w:rsidR="00F51304">
        <w:rPr>
          <w:rFonts w:hint="eastAsia"/>
          <w:b/>
          <w:bCs/>
        </w:rPr>
        <w:t>推进县市</w:t>
      </w:r>
      <w:r w:rsidRPr="00217CBD">
        <w:rPr>
          <w:rFonts w:hint="eastAsia"/>
          <w:b/>
          <w:bCs/>
        </w:rPr>
        <w:t>“一城一策”</w:t>
      </w:r>
      <w:r>
        <w:rPr>
          <w:rFonts w:hint="eastAsia"/>
        </w:rPr>
        <w:t>。</w:t>
      </w:r>
      <w:r w:rsidRPr="00852DA2">
        <w:rPr>
          <w:rFonts w:hint="eastAsia"/>
        </w:rPr>
        <w:t>促进各县市差异化发展，</w:t>
      </w:r>
      <w:r w:rsidR="00785D5A" w:rsidRPr="00785D5A">
        <w:rPr>
          <w:rFonts w:hint="eastAsia"/>
        </w:rPr>
        <w:t>重点</w:t>
      </w:r>
      <w:r w:rsidR="00826201">
        <w:rPr>
          <w:rFonts w:hint="eastAsia"/>
        </w:rPr>
        <w:t>增加</w:t>
      </w:r>
      <w:r w:rsidR="00785D5A" w:rsidRPr="00785D5A">
        <w:rPr>
          <w:rFonts w:hint="eastAsia"/>
        </w:rPr>
        <w:t>廉江</w:t>
      </w:r>
      <w:r w:rsidR="00826201">
        <w:rPr>
          <w:rFonts w:hint="eastAsia"/>
        </w:rPr>
        <w:t>市、</w:t>
      </w:r>
      <w:r w:rsidR="00785D5A" w:rsidRPr="00785D5A">
        <w:rPr>
          <w:rFonts w:hint="eastAsia"/>
        </w:rPr>
        <w:t>吴川</w:t>
      </w:r>
      <w:r w:rsidR="00826201">
        <w:rPr>
          <w:rFonts w:hint="eastAsia"/>
        </w:rPr>
        <w:t>市</w:t>
      </w:r>
      <w:r w:rsidR="00785D5A" w:rsidRPr="00785D5A">
        <w:rPr>
          <w:rFonts w:hint="eastAsia"/>
        </w:rPr>
        <w:t>的住房供给，</w:t>
      </w:r>
      <w:r w:rsidR="00EA5DFF">
        <w:rPr>
          <w:rFonts w:hint="eastAsia"/>
        </w:rPr>
        <w:t>稳步增加</w:t>
      </w:r>
      <w:r w:rsidR="001C1A62">
        <w:rPr>
          <w:rFonts w:hint="eastAsia"/>
        </w:rPr>
        <w:t>遂溪、雷州、徐闻的</w:t>
      </w:r>
      <w:r w:rsidR="00EA5DFF">
        <w:rPr>
          <w:rFonts w:hint="eastAsia"/>
        </w:rPr>
        <w:t>住房供给，</w:t>
      </w:r>
      <w:r w:rsidR="00ED39F2">
        <w:rPr>
          <w:rFonts w:hint="eastAsia"/>
        </w:rPr>
        <w:t>健全多层次的住房供给体系，促进城镇和农村地区的住房需求有效释放</w:t>
      </w:r>
      <w:r w:rsidR="00EA1121">
        <w:rPr>
          <w:rFonts w:hint="eastAsia"/>
        </w:rPr>
        <w:t>，将县城打造成为县域</w:t>
      </w:r>
      <w:r w:rsidR="00EA1121" w:rsidRPr="00785D5A">
        <w:rPr>
          <w:rFonts w:hint="eastAsia"/>
        </w:rPr>
        <w:t>农民的重要阵地和扩大内需的重要支撑点</w:t>
      </w:r>
      <w:r w:rsidR="00EA1121">
        <w:rPr>
          <w:rFonts w:hint="eastAsia"/>
        </w:rPr>
        <w:t>。</w:t>
      </w:r>
      <w:r w:rsidR="00EA5DFF">
        <w:rPr>
          <w:rFonts w:hint="eastAsia"/>
        </w:rPr>
        <w:t>加强廉江高新区、空港经济区、奋勇</w:t>
      </w:r>
      <w:r w:rsidR="00EA5DFF">
        <w:rPr>
          <w:rFonts w:hint="eastAsia"/>
        </w:rPr>
        <w:t>-</w:t>
      </w:r>
      <w:r w:rsidR="00EA5DFF">
        <w:rPr>
          <w:rFonts w:hint="eastAsia"/>
        </w:rPr>
        <w:t>沈塘产业园、粤海特别合作区等县域重点</w:t>
      </w:r>
      <w:r w:rsidR="00EA1121">
        <w:rPr>
          <w:rFonts w:hint="eastAsia"/>
        </w:rPr>
        <w:t>产业</w:t>
      </w:r>
      <w:r w:rsidR="00EA5DFF">
        <w:rPr>
          <w:rFonts w:hint="eastAsia"/>
        </w:rPr>
        <w:t>平台的居住生活配套，促进产城融合发展</w:t>
      </w:r>
      <w:r w:rsidR="00ED39F2">
        <w:rPr>
          <w:rFonts w:hint="eastAsia"/>
        </w:rPr>
        <w:t>。</w:t>
      </w:r>
      <w:r w:rsidR="00F51304">
        <w:rPr>
          <w:rFonts w:hint="eastAsia"/>
        </w:rPr>
        <w:t>依托各县市优势资源，</w:t>
      </w:r>
      <w:r w:rsidR="00ED39F2">
        <w:rPr>
          <w:rFonts w:hint="eastAsia"/>
        </w:rPr>
        <w:t>加大</w:t>
      </w:r>
      <w:r w:rsidR="00ED39F2" w:rsidRPr="00ED39F2">
        <w:rPr>
          <w:rFonts w:hint="eastAsia"/>
        </w:rPr>
        <w:t>文旅</w:t>
      </w:r>
      <w:r w:rsidR="00ED39F2">
        <w:rPr>
          <w:rFonts w:hint="eastAsia"/>
        </w:rPr>
        <w:t>、康养</w:t>
      </w:r>
      <w:r w:rsidR="00ED39F2" w:rsidRPr="00ED39F2">
        <w:rPr>
          <w:rFonts w:hint="eastAsia"/>
        </w:rPr>
        <w:t>项目</w:t>
      </w:r>
      <w:r w:rsidR="00ED39F2">
        <w:rPr>
          <w:rFonts w:hint="eastAsia"/>
        </w:rPr>
        <w:t>引进和投资力度，开发多样化的康养、休闲居住产品，加快完善旅游公路和文化、餐饮、体验等配套设施建设，“以点串线、以点带面”，</w:t>
      </w:r>
      <w:r w:rsidR="00ED39F2" w:rsidRPr="00ED39F2">
        <w:rPr>
          <w:rFonts w:hint="eastAsia"/>
        </w:rPr>
        <w:t>打造中国南方冬休基地、国家全域旅游示范市和国内外知名的全域旅游目的地</w:t>
      </w:r>
      <w:r w:rsidR="00ED39F2">
        <w:rPr>
          <w:rFonts w:hint="eastAsia"/>
        </w:rPr>
        <w:t>。</w:t>
      </w:r>
    </w:p>
    <w:p w14:paraId="6F35846D" w14:textId="04DBEF56" w:rsidR="00001B7B" w:rsidRPr="00852DA2" w:rsidRDefault="00852DA2" w:rsidP="00F00500">
      <w:pPr>
        <w:ind w:firstLineChars="200" w:firstLine="562"/>
      </w:pPr>
      <w:r w:rsidRPr="00852DA2">
        <w:rPr>
          <w:rFonts w:hint="eastAsia"/>
          <w:b/>
          <w:bCs/>
        </w:rPr>
        <w:t>全面提升</w:t>
      </w:r>
      <w:r w:rsidR="00F51304">
        <w:rPr>
          <w:rFonts w:hint="eastAsia"/>
          <w:b/>
          <w:bCs/>
        </w:rPr>
        <w:t>县城</w:t>
      </w:r>
      <w:r w:rsidR="00ED39F2">
        <w:rPr>
          <w:rFonts w:hint="eastAsia"/>
          <w:b/>
          <w:bCs/>
        </w:rPr>
        <w:t>综合</w:t>
      </w:r>
      <w:r w:rsidRPr="00852DA2">
        <w:rPr>
          <w:rFonts w:hint="eastAsia"/>
          <w:b/>
          <w:bCs/>
        </w:rPr>
        <w:t>服务能力</w:t>
      </w:r>
      <w:r w:rsidR="00785D5A">
        <w:rPr>
          <w:rFonts w:hint="eastAsia"/>
        </w:rPr>
        <w:t>。</w:t>
      </w:r>
      <w:r w:rsidR="00F51304">
        <w:rPr>
          <w:rFonts w:hint="eastAsia"/>
        </w:rPr>
        <w:t>重点</w:t>
      </w:r>
      <w:r w:rsidR="002B0E9A">
        <w:rPr>
          <w:rFonts w:hint="eastAsia"/>
        </w:rPr>
        <w:t>完善县城对内对外道路交通系统，推进县城组团式综合开发，</w:t>
      </w:r>
      <w:r w:rsidR="00F51304">
        <w:rPr>
          <w:rFonts w:hint="eastAsia"/>
        </w:rPr>
        <w:t>发挥好房地产开发对城镇建设的带动作用，</w:t>
      </w:r>
      <w:r w:rsidR="002B0E9A">
        <w:rPr>
          <w:rFonts w:hint="eastAsia"/>
        </w:rPr>
        <w:t>加快推进县城、特大镇补短板，全面提升</w:t>
      </w:r>
      <w:r w:rsidR="00F51304">
        <w:rPr>
          <w:rFonts w:hint="eastAsia"/>
        </w:rPr>
        <w:t>城镇</w:t>
      </w:r>
      <w:r w:rsidR="00F51304" w:rsidRPr="00667E72">
        <w:rPr>
          <w:rFonts w:hint="eastAsia"/>
        </w:rPr>
        <w:t>建设</w:t>
      </w:r>
      <w:r w:rsidR="00F51304">
        <w:rPr>
          <w:rFonts w:hint="eastAsia"/>
        </w:rPr>
        <w:t>和社区服务水平，促进农村转移人口有序向县城转移。</w:t>
      </w:r>
    </w:p>
    <w:p w14:paraId="3B4959ED" w14:textId="77777777" w:rsidR="003965A8" w:rsidRDefault="003644F1" w:rsidP="00F00500">
      <w:pPr>
        <w:pStyle w:val="2"/>
        <w:spacing w:before="312" w:after="312"/>
        <w:ind w:firstLine="602"/>
      </w:pPr>
      <w:bookmarkStart w:id="27" w:name="_Toc73434902"/>
      <w:r>
        <w:rPr>
          <w:rFonts w:hint="eastAsia"/>
        </w:rPr>
        <w:t>（三）</w:t>
      </w:r>
      <w:r w:rsidR="007067BB">
        <w:rPr>
          <w:rFonts w:hint="eastAsia"/>
        </w:rPr>
        <w:t>引导</w:t>
      </w:r>
      <w:r>
        <w:rPr>
          <w:rFonts w:hint="eastAsia"/>
        </w:rPr>
        <w:t>小城镇</w:t>
      </w:r>
      <w:r w:rsidR="003965A8">
        <w:rPr>
          <w:rFonts w:hint="eastAsia"/>
        </w:rPr>
        <w:t>特色发展</w:t>
      </w:r>
      <w:bookmarkEnd w:id="27"/>
    </w:p>
    <w:p w14:paraId="669DE789" w14:textId="11EB3E58" w:rsidR="00C3271A" w:rsidRDefault="008647E7" w:rsidP="00F00500">
      <w:pPr>
        <w:ind w:firstLineChars="200" w:firstLine="562"/>
      </w:pPr>
      <w:r w:rsidRPr="008647E7">
        <w:rPr>
          <w:rFonts w:hint="eastAsia"/>
          <w:b/>
          <w:bCs/>
        </w:rPr>
        <w:t>创新乡镇住房发展模式。</w:t>
      </w:r>
      <w:r w:rsidR="00927FDE" w:rsidRPr="00927FDE">
        <w:rPr>
          <w:rFonts w:hint="eastAsia"/>
        </w:rPr>
        <w:t>控制</w:t>
      </w:r>
      <w:r w:rsidR="00C3271A">
        <w:rPr>
          <w:rFonts w:hint="eastAsia"/>
        </w:rPr>
        <w:t>一般乡镇和农村地区</w:t>
      </w:r>
      <w:r w:rsidR="001A024C">
        <w:rPr>
          <w:rFonts w:hint="eastAsia"/>
        </w:rPr>
        <w:t>新增城镇</w:t>
      </w:r>
      <w:r w:rsidR="00C3271A">
        <w:rPr>
          <w:rFonts w:hint="eastAsia"/>
        </w:rPr>
        <w:t>住房供给，引导居民向县城聚集。</w:t>
      </w:r>
      <w:r w:rsidR="001A024C">
        <w:rPr>
          <w:rFonts w:hint="eastAsia"/>
        </w:rPr>
        <w:t>重点发展</w:t>
      </w:r>
      <w:r w:rsidR="00927FDE" w:rsidRPr="00927FDE">
        <w:rPr>
          <w:rFonts w:hint="eastAsia"/>
        </w:rPr>
        <w:t>以</w:t>
      </w:r>
      <w:r w:rsidR="00927FDE">
        <w:rPr>
          <w:rFonts w:hint="eastAsia"/>
        </w:rPr>
        <w:t>现代</w:t>
      </w:r>
      <w:r w:rsidR="00927FDE" w:rsidRPr="00927FDE">
        <w:rPr>
          <w:rFonts w:hint="eastAsia"/>
        </w:rPr>
        <w:t>农业、观光旅游</w:t>
      </w:r>
      <w:r w:rsidR="00927FDE">
        <w:rPr>
          <w:rFonts w:hint="eastAsia"/>
        </w:rPr>
        <w:t>、电商</w:t>
      </w:r>
      <w:r w:rsidR="00927FDE" w:rsidRPr="00927FDE">
        <w:rPr>
          <w:rFonts w:hint="eastAsia"/>
        </w:rPr>
        <w:t>等</w:t>
      </w:r>
      <w:r w:rsidR="00927FDE">
        <w:rPr>
          <w:rFonts w:hint="eastAsia"/>
        </w:rPr>
        <w:t>产业</w:t>
      </w:r>
      <w:r w:rsidR="00927FDE" w:rsidRPr="00927FDE">
        <w:rPr>
          <w:rFonts w:hint="eastAsia"/>
        </w:rPr>
        <w:t>为基础的特色小镇</w:t>
      </w:r>
      <w:r w:rsidR="00927FDE">
        <w:rPr>
          <w:rFonts w:hint="eastAsia"/>
        </w:rPr>
        <w:t>，</w:t>
      </w:r>
      <w:r w:rsidR="00C3271A" w:rsidRPr="00927FDE">
        <w:rPr>
          <w:rFonts w:hint="eastAsia"/>
        </w:rPr>
        <w:t>促进“一二三产”融合，</w:t>
      </w:r>
      <w:r w:rsidR="005E278A">
        <w:rPr>
          <w:rFonts w:hint="eastAsia"/>
        </w:rPr>
        <w:t>住</w:t>
      </w:r>
      <w:r w:rsidR="00C3271A">
        <w:rPr>
          <w:rFonts w:hint="eastAsia"/>
        </w:rPr>
        <w:t>避免房地产化。</w:t>
      </w:r>
      <w:bookmarkStart w:id="28" w:name="_Hlk73395668"/>
      <w:r w:rsidR="005E278A">
        <w:rPr>
          <w:rFonts w:hint="eastAsia"/>
        </w:rPr>
        <w:lastRenderedPageBreak/>
        <w:t>多渠道提升存量宅基地和农房的使用效率</w:t>
      </w:r>
      <w:bookmarkEnd w:id="28"/>
      <w:r w:rsidR="005E278A">
        <w:rPr>
          <w:rFonts w:hint="eastAsia"/>
        </w:rPr>
        <w:t>，鼓励</w:t>
      </w:r>
      <w:r w:rsidR="00C3271A">
        <w:rPr>
          <w:rFonts w:hint="eastAsia"/>
        </w:rPr>
        <w:t>农村地区居民</w:t>
      </w:r>
      <w:r w:rsidR="001A024C">
        <w:rPr>
          <w:rFonts w:hint="eastAsia"/>
        </w:rPr>
        <w:t>通过拆除重建宅基地上</w:t>
      </w:r>
      <w:r w:rsidR="005E278A">
        <w:rPr>
          <w:rFonts w:hint="eastAsia"/>
        </w:rPr>
        <w:t>的</w:t>
      </w:r>
      <w:r w:rsidR="001A024C">
        <w:rPr>
          <w:rFonts w:hint="eastAsia"/>
        </w:rPr>
        <w:t>房屋</w:t>
      </w:r>
      <w:r w:rsidR="005E278A">
        <w:rPr>
          <w:rFonts w:hint="eastAsia"/>
        </w:rPr>
        <w:t>以</w:t>
      </w:r>
      <w:r w:rsidR="001A024C">
        <w:rPr>
          <w:rFonts w:hint="eastAsia"/>
        </w:rPr>
        <w:t>改善居住条件，支持农村低收入居民对自有</w:t>
      </w:r>
      <w:r w:rsidR="00C3271A">
        <w:rPr>
          <w:rFonts w:hint="eastAsia"/>
        </w:rPr>
        <w:t>危房</w:t>
      </w:r>
      <w:r w:rsidR="001A024C">
        <w:rPr>
          <w:rFonts w:hint="eastAsia"/>
        </w:rPr>
        <w:t>进行</w:t>
      </w:r>
      <w:r w:rsidR="00C3271A">
        <w:rPr>
          <w:rFonts w:hint="eastAsia"/>
        </w:rPr>
        <w:t>改造，</w:t>
      </w:r>
      <w:r w:rsidR="00C3271A" w:rsidRPr="00C3271A">
        <w:rPr>
          <w:rFonts w:hint="eastAsia"/>
        </w:rPr>
        <w:t>探索对</w:t>
      </w:r>
      <w:r w:rsidR="005E278A">
        <w:rPr>
          <w:rFonts w:hint="eastAsia"/>
        </w:rPr>
        <w:t>下乡</w:t>
      </w:r>
      <w:r w:rsidR="00C3271A" w:rsidRPr="00C3271A">
        <w:rPr>
          <w:rFonts w:hint="eastAsia"/>
        </w:rPr>
        <w:t>返乡</w:t>
      </w:r>
      <w:r w:rsidR="001A024C">
        <w:rPr>
          <w:rFonts w:hint="eastAsia"/>
        </w:rPr>
        <w:t>创业</w:t>
      </w:r>
      <w:r w:rsidR="00C3271A" w:rsidRPr="00C3271A">
        <w:rPr>
          <w:rFonts w:hint="eastAsia"/>
        </w:rPr>
        <w:t>人员提供房屋修缮补贴或住房租赁补贴等支持</w:t>
      </w:r>
      <w:r w:rsidR="00C3271A">
        <w:rPr>
          <w:rFonts w:hint="eastAsia"/>
        </w:rPr>
        <w:t>，</w:t>
      </w:r>
      <w:r w:rsidR="005E278A">
        <w:rPr>
          <w:rFonts w:hint="eastAsia"/>
        </w:rPr>
        <w:t>促进</w:t>
      </w:r>
      <w:r w:rsidR="00C3271A">
        <w:rPr>
          <w:rFonts w:hint="eastAsia"/>
        </w:rPr>
        <w:t>乡村</w:t>
      </w:r>
      <w:r w:rsidR="001A024C">
        <w:rPr>
          <w:rFonts w:hint="eastAsia"/>
        </w:rPr>
        <w:t>发展和产业</w:t>
      </w:r>
      <w:r w:rsidR="00C3271A">
        <w:rPr>
          <w:rFonts w:hint="eastAsia"/>
        </w:rPr>
        <w:t>振兴</w:t>
      </w:r>
      <w:r w:rsidR="00C3271A" w:rsidRPr="00C3271A">
        <w:rPr>
          <w:rFonts w:hint="eastAsia"/>
        </w:rPr>
        <w:t>。</w:t>
      </w:r>
    </w:p>
    <w:p w14:paraId="4EB0CEB4" w14:textId="72E51B05" w:rsidR="00045814" w:rsidRDefault="002D21F5" w:rsidP="002D21F5">
      <w:pPr>
        <w:pStyle w:val="1"/>
        <w:spacing w:before="312" w:after="312"/>
        <w:ind w:firstLine="640"/>
      </w:pPr>
      <w:bookmarkStart w:id="29" w:name="_Toc73434903"/>
      <w:r>
        <w:rPr>
          <w:rFonts w:hint="eastAsia"/>
        </w:rPr>
        <w:t>七、</w:t>
      </w:r>
      <w:r w:rsidR="008977AF">
        <w:rPr>
          <w:rFonts w:hint="eastAsia"/>
        </w:rPr>
        <w:t>创新管理服务体制机制</w:t>
      </w:r>
      <w:bookmarkEnd w:id="29"/>
    </w:p>
    <w:p w14:paraId="11108AB3" w14:textId="3EA0B177" w:rsidR="002A5A77" w:rsidRDefault="002A5A77" w:rsidP="007C23D8">
      <w:pPr>
        <w:pStyle w:val="2"/>
        <w:spacing w:before="312" w:after="312"/>
        <w:ind w:firstLine="602"/>
      </w:pPr>
      <w:bookmarkStart w:id="30" w:name="_Toc73434904"/>
      <w:r>
        <w:rPr>
          <w:rFonts w:hint="eastAsia"/>
        </w:rPr>
        <w:t>（一）</w:t>
      </w:r>
      <w:r w:rsidR="00075EE1">
        <w:rPr>
          <w:rFonts w:hint="eastAsia"/>
        </w:rPr>
        <w:t>完善住房</w:t>
      </w:r>
      <w:r w:rsidR="00A34EC9">
        <w:rPr>
          <w:rFonts w:hint="eastAsia"/>
        </w:rPr>
        <w:t>基本</w:t>
      </w:r>
      <w:r w:rsidR="00075EE1">
        <w:rPr>
          <w:rFonts w:hint="eastAsia"/>
        </w:rPr>
        <w:t>制度</w:t>
      </w:r>
      <w:bookmarkEnd w:id="30"/>
    </w:p>
    <w:p w14:paraId="50221386" w14:textId="78AA5BC8" w:rsidR="003C05EF" w:rsidRDefault="003C05EF" w:rsidP="003C05EF">
      <w:pPr>
        <w:ind w:firstLineChars="200" w:firstLine="562"/>
      </w:pPr>
      <w:r w:rsidRPr="009404A6">
        <w:rPr>
          <w:rFonts w:hint="eastAsia"/>
          <w:b/>
          <w:bCs/>
        </w:rPr>
        <w:t>强化住房发展的政策支撑</w:t>
      </w:r>
      <w:r w:rsidR="009404A6">
        <w:rPr>
          <w:rFonts w:hint="eastAsia"/>
        </w:rPr>
        <w:t>。</w:t>
      </w:r>
      <w:r w:rsidRPr="003C05EF">
        <w:rPr>
          <w:rFonts w:hint="eastAsia"/>
        </w:rPr>
        <w:t>制定《</w:t>
      </w:r>
      <w:r w:rsidR="00996A57">
        <w:rPr>
          <w:rFonts w:hint="eastAsia"/>
        </w:rPr>
        <w:t>湛江市</w:t>
      </w:r>
      <w:r w:rsidRPr="003C05EF">
        <w:rPr>
          <w:rFonts w:hint="eastAsia"/>
        </w:rPr>
        <w:t>关于建立健全“多主体供给、多渠道保障、租购并举”住房体系的指导意见》作为</w:t>
      </w:r>
      <w:r>
        <w:rPr>
          <w:rFonts w:hint="eastAsia"/>
        </w:rPr>
        <w:t>住房基本制度的</w:t>
      </w:r>
      <w:r w:rsidRPr="003C05EF">
        <w:rPr>
          <w:rFonts w:hint="eastAsia"/>
        </w:rPr>
        <w:t>总纲领，</w:t>
      </w:r>
      <w:r w:rsidR="00594248">
        <w:rPr>
          <w:rFonts w:hint="eastAsia"/>
        </w:rPr>
        <w:t>建议</w:t>
      </w:r>
      <w:r w:rsidRPr="003C05EF">
        <w:rPr>
          <w:rFonts w:hint="eastAsia"/>
        </w:rPr>
        <w:t>出台（或修订）《</w:t>
      </w:r>
      <w:r w:rsidR="00996A57">
        <w:rPr>
          <w:rFonts w:hint="eastAsia"/>
        </w:rPr>
        <w:t>湛江市</w:t>
      </w:r>
      <w:r w:rsidRPr="003C05EF">
        <w:rPr>
          <w:rFonts w:hint="eastAsia"/>
        </w:rPr>
        <w:t>关于促进房地产市场平稳健康发展的意见》、《</w:t>
      </w:r>
      <w:r w:rsidR="00996A57">
        <w:rPr>
          <w:rFonts w:hint="eastAsia"/>
        </w:rPr>
        <w:t>湛江市</w:t>
      </w:r>
      <w:r w:rsidRPr="003C05EF">
        <w:rPr>
          <w:rFonts w:hint="eastAsia"/>
        </w:rPr>
        <w:t>关于加快培育和发展住房租赁市场的实施意见》</w:t>
      </w:r>
      <w:r>
        <w:rPr>
          <w:rFonts w:hint="eastAsia"/>
        </w:rPr>
        <w:t>、</w:t>
      </w:r>
      <w:r w:rsidRPr="003C05EF">
        <w:rPr>
          <w:rFonts w:hint="eastAsia"/>
        </w:rPr>
        <w:t>《</w:t>
      </w:r>
      <w:r w:rsidR="00996A57">
        <w:rPr>
          <w:rFonts w:hint="eastAsia"/>
        </w:rPr>
        <w:t>湛江市</w:t>
      </w:r>
      <w:r w:rsidRPr="003C05EF">
        <w:rPr>
          <w:rFonts w:hint="eastAsia"/>
        </w:rPr>
        <w:t>公共租赁住房建设管理办法》</w:t>
      </w:r>
      <w:r w:rsidR="00594248">
        <w:rPr>
          <w:rFonts w:hint="eastAsia"/>
        </w:rPr>
        <w:t>《湛江市保障性租赁住房试点实施方案》</w:t>
      </w:r>
      <w:r w:rsidR="00996A57">
        <w:rPr>
          <w:rFonts w:hint="eastAsia"/>
        </w:rPr>
        <w:t>等</w:t>
      </w:r>
      <w:r w:rsidR="00996A57" w:rsidRPr="00996A57">
        <w:rPr>
          <w:rFonts w:hint="eastAsia"/>
        </w:rPr>
        <w:t>N</w:t>
      </w:r>
      <w:r w:rsidR="00996A57" w:rsidRPr="00996A57">
        <w:rPr>
          <w:rFonts w:hint="eastAsia"/>
        </w:rPr>
        <w:t>个办法措施，形成</w:t>
      </w:r>
      <w:bookmarkStart w:id="31" w:name="_Hlk70347214"/>
      <w:r w:rsidR="00996A57" w:rsidRPr="00996A57">
        <w:rPr>
          <w:rFonts w:hint="eastAsia"/>
        </w:rPr>
        <w:t>“</w:t>
      </w:r>
      <w:r w:rsidR="00996A57" w:rsidRPr="00996A57">
        <w:rPr>
          <w:rFonts w:hint="eastAsia"/>
        </w:rPr>
        <w:t>1+N</w:t>
      </w:r>
      <w:r w:rsidR="00996A57" w:rsidRPr="00996A57">
        <w:rPr>
          <w:rFonts w:hint="eastAsia"/>
        </w:rPr>
        <w:t>”的住房政策体系</w:t>
      </w:r>
      <w:bookmarkEnd w:id="31"/>
      <w:r w:rsidR="00996A57" w:rsidRPr="00996A57">
        <w:rPr>
          <w:rFonts w:hint="eastAsia"/>
        </w:rPr>
        <w:t>，</w:t>
      </w:r>
      <w:r w:rsidR="00594248">
        <w:rPr>
          <w:rFonts w:hint="eastAsia"/>
        </w:rPr>
        <w:t>促进</w:t>
      </w:r>
      <w:r w:rsidR="00996A57">
        <w:rPr>
          <w:rFonts w:hint="eastAsia"/>
        </w:rPr>
        <w:t>湛江</w:t>
      </w:r>
      <w:r w:rsidR="00996A57" w:rsidRPr="00996A57">
        <w:rPr>
          <w:rFonts w:hint="eastAsia"/>
        </w:rPr>
        <w:t>市住房</w:t>
      </w:r>
      <w:r w:rsidR="00594248">
        <w:rPr>
          <w:rFonts w:hint="eastAsia"/>
        </w:rPr>
        <w:t>有序</w:t>
      </w:r>
      <w:r w:rsidR="00996A57" w:rsidRPr="00996A57">
        <w:rPr>
          <w:rFonts w:hint="eastAsia"/>
        </w:rPr>
        <w:t>发展</w:t>
      </w:r>
      <w:r w:rsidR="00996A57">
        <w:rPr>
          <w:rFonts w:hint="eastAsia"/>
        </w:rPr>
        <w:t>。</w:t>
      </w:r>
    </w:p>
    <w:p w14:paraId="2EADCE83" w14:textId="3A514E57" w:rsidR="00A34EC9" w:rsidRDefault="00A34EC9" w:rsidP="00A34EC9">
      <w:pPr>
        <w:pStyle w:val="2"/>
        <w:spacing w:before="312" w:after="312"/>
        <w:ind w:firstLine="602"/>
      </w:pPr>
      <w:bookmarkStart w:id="32" w:name="_Toc73434905"/>
      <w:r>
        <w:rPr>
          <w:rFonts w:hint="eastAsia"/>
        </w:rPr>
        <w:t>（</w:t>
      </w:r>
      <w:r w:rsidR="003C05EF">
        <w:rPr>
          <w:rFonts w:hint="eastAsia"/>
        </w:rPr>
        <w:t>二</w:t>
      </w:r>
      <w:r>
        <w:rPr>
          <w:rFonts w:hint="eastAsia"/>
        </w:rPr>
        <w:t>）</w:t>
      </w:r>
      <w:r w:rsidR="002A6CFC">
        <w:rPr>
          <w:rFonts w:hint="eastAsia"/>
        </w:rPr>
        <w:t>加强房地产市场监管</w:t>
      </w:r>
      <w:bookmarkEnd w:id="32"/>
    </w:p>
    <w:p w14:paraId="5CD84D75" w14:textId="77777777" w:rsidR="00A34EC9" w:rsidRPr="002A6CFC" w:rsidRDefault="00A34EC9" w:rsidP="00A34EC9">
      <w:pPr>
        <w:ind w:firstLineChars="200" w:firstLine="562"/>
      </w:pPr>
      <w:r w:rsidRPr="002A6CFC">
        <w:rPr>
          <w:rFonts w:hint="eastAsia"/>
          <w:b/>
          <w:bCs/>
        </w:rPr>
        <w:t>加强房地产项目动态管理。</w:t>
      </w:r>
      <w:r w:rsidRPr="002A6CFC">
        <w:rPr>
          <w:rFonts w:hint="eastAsia"/>
        </w:rPr>
        <w:t>推进数字住房（粤安居）一体化平台建设，加强对土地供应、规划审批和施工许可后的跟踪服务和监督，实现房地产项目全流程服务与监管，及时针对发展问题提出解决对策。</w:t>
      </w:r>
    </w:p>
    <w:p w14:paraId="3C9B58E3" w14:textId="77777777" w:rsidR="00A34EC9" w:rsidRPr="002A6CFC" w:rsidRDefault="00A34EC9" w:rsidP="0097323E">
      <w:pPr>
        <w:ind w:firstLineChars="200" w:firstLine="562"/>
      </w:pPr>
      <w:r w:rsidRPr="002A6CFC">
        <w:rPr>
          <w:rFonts w:hint="eastAsia"/>
          <w:b/>
          <w:bCs/>
        </w:rPr>
        <w:t>加强房地产市场监测分析。</w:t>
      </w:r>
      <w:r w:rsidRPr="002A6CFC">
        <w:rPr>
          <w:rFonts w:hint="eastAsia"/>
        </w:rPr>
        <w:t>建立健全房地产市场监测分析机制，构建湛江特色房地产市场监测指标体系，实时动态掌握湛江城市发展和房地产市场运行情况，定期发布分析报告，稳定市场预期，引导和</w:t>
      </w:r>
      <w:r w:rsidRPr="002A6CFC">
        <w:rPr>
          <w:rFonts w:hint="eastAsia"/>
        </w:rPr>
        <w:lastRenderedPageBreak/>
        <w:t>鼓励市场力量参与湛江城市发展。</w:t>
      </w:r>
    </w:p>
    <w:p w14:paraId="6044FA93" w14:textId="61354E6D" w:rsidR="00CB09DE" w:rsidRPr="00667E72" w:rsidRDefault="00667E72" w:rsidP="007C23D8">
      <w:pPr>
        <w:pStyle w:val="2"/>
        <w:spacing w:before="312" w:after="312"/>
        <w:ind w:firstLine="602"/>
      </w:pPr>
      <w:bookmarkStart w:id="33" w:name="_Toc73434906"/>
      <w:r>
        <w:rPr>
          <w:rFonts w:hint="eastAsia"/>
        </w:rPr>
        <w:t>（</w:t>
      </w:r>
      <w:r w:rsidR="003C05EF">
        <w:rPr>
          <w:rFonts w:hint="eastAsia"/>
        </w:rPr>
        <w:t>三</w:t>
      </w:r>
      <w:r>
        <w:rPr>
          <w:rFonts w:hint="eastAsia"/>
        </w:rPr>
        <w:t>）</w:t>
      </w:r>
      <w:r w:rsidR="00A34EC9">
        <w:rPr>
          <w:rFonts w:hint="eastAsia"/>
        </w:rPr>
        <w:t>优化</w:t>
      </w:r>
      <w:r w:rsidR="007B0C3B">
        <w:rPr>
          <w:rFonts w:hint="eastAsia"/>
        </w:rPr>
        <w:t>房地产</w:t>
      </w:r>
      <w:r w:rsidR="00A34EC9">
        <w:rPr>
          <w:rFonts w:hint="eastAsia"/>
        </w:rPr>
        <w:t>市场营商环境</w:t>
      </w:r>
      <w:bookmarkEnd w:id="33"/>
    </w:p>
    <w:p w14:paraId="00C0CFDC" w14:textId="14F811DF" w:rsidR="00A4280E" w:rsidRPr="00943532" w:rsidRDefault="00674551" w:rsidP="00A34EC9">
      <w:pPr>
        <w:ind w:firstLineChars="200" w:firstLine="562"/>
      </w:pPr>
      <w:r>
        <w:rPr>
          <w:rFonts w:hint="eastAsia"/>
          <w:b/>
          <w:bCs/>
        </w:rPr>
        <w:t>稳步推进工程建设领域审批制度改革</w:t>
      </w:r>
      <w:r w:rsidR="00A34EC9" w:rsidRPr="00943532">
        <w:rPr>
          <w:rFonts w:hint="eastAsia"/>
          <w:b/>
          <w:bCs/>
        </w:rPr>
        <w:t>。</w:t>
      </w:r>
      <w:r w:rsidR="00A4280E" w:rsidRPr="00943532">
        <w:rPr>
          <w:rFonts w:hint="eastAsia"/>
        </w:rPr>
        <w:t>贯彻落实国家工程建设项目制度改革要求，</w:t>
      </w:r>
      <w:r w:rsidR="003B15C7" w:rsidRPr="00943532">
        <w:rPr>
          <w:rFonts w:hint="eastAsia"/>
        </w:rPr>
        <w:t>规范和统一审批管理体系，房地产开发项目报建“一窗受理、并联审批”，</w:t>
      </w:r>
      <w:r w:rsidR="00A66CAE">
        <w:rPr>
          <w:rFonts w:hint="eastAsia"/>
        </w:rPr>
        <w:t>由</w:t>
      </w:r>
      <w:r w:rsidR="003C05EF">
        <w:rPr>
          <w:rFonts w:hint="eastAsia"/>
        </w:rPr>
        <w:t>市</w:t>
      </w:r>
      <w:r w:rsidR="00A66CAE">
        <w:rPr>
          <w:rFonts w:hint="eastAsia"/>
        </w:rPr>
        <w:t>住建局牵头，</w:t>
      </w:r>
      <w:r w:rsidR="003B15C7" w:rsidRPr="00943532">
        <w:rPr>
          <w:rFonts w:hint="eastAsia"/>
        </w:rPr>
        <w:t>进一步明确</w:t>
      </w:r>
      <w:r w:rsidR="003C05EF">
        <w:rPr>
          <w:rFonts w:hint="eastAsia"/>
        </w:rPr>
        <w:t>各</w:t>
      </w:r>
      <w:r w:rsidR="003B15C7" w:rsidRPr="00943532">
        <w:rPr>
          <w:rFonts w:hint="eastAsia"/>
        </w:rPr>
        <w:t>部门职责，明晰工作规程，规范审批行为，</w:t>
      </w:r>
      <w:r w:rsidRPr="00674551">
        <w:rPr>
          <w:rFonts w:hint="eastAsia"/>
        </w:rPr>
        <w:t>简化缩短项目审批流程</w:t>
      </w:r>
      <w:r>
        <w:rPr>
          <w:rFonts w:hint="eastAsia"/>
        </w:rPr>
        <w:t>，</w:t>
      </w:r>
      <w:r w:rsidR="003B15C7" w:rsidRPr="00943532">
        <w:rPr>
          <w:rFonts w:hint="eastAsia"/>
        </w:rPr>
        <w:t>确保审批各阶段、各环节无缝衔接。建立审批协调机制，及时协调解决部门意见分歧。建立跟踪督办制度，实时跟踪审批办理情况，对全过程实施督办。</w:t>
      </w:r>
    </w:p>
    <w:p w14:paraId="6710B4E3" w14:textId="01B67C7A" w:rsidR="00A34EC9" w:rsidRDefault="00674551" w:rsidP="00A34EC9">
      <w:pPr>
        <w:ind w:firstLineChars="200" w:firstLine="562"/>
      </w:pPr>
      <w:r>
        <w:rPr>
          <w:rFonts w:hint="eastAsia"/>
          <w:b/>
          <w:bCs/>
        </w:rPr>
        <w:t>创造更加公平的市场参与机制。</w:t>
      </w:r>
      <w:r w:rsidR="00A34EC9" w:rsidRPr="00674551">
        <w:rPr>
          <w:rFonts w:hint="eastAsia"/>
        </w:rPr>
        <w:t>规范房地产市场主体行为</w:t>
      </w:r>
      <w:r>
        <w:rPr>
          <w:rFonts w:hint="eastAsia"/>
        </w:rPr>
        <w:t>，</w:t>
      </w:r>
      <w:r w:rsidR="00A34EC9" w:rsidRPr="00584AD6">
        <w:rPr>
          <w:rFonts w:hint="eastAsia"/>
        </w:rPr>
        <w:t>加强房地产开发建设行为监管，</w:t>
      </w:r>
      <w:r w:rsidR="00A34EC9">
        <w:rPr>
          <w:rFonts w:hint="eastAsia"/>
        </w:rPr>
        <w:t>逐步健全</w:t>
      </w:r>
      <w:r w:rsidR="00A34EC9" w:rsidRPr="00584AD6">
        <w:rPr>
          <w:rFonts w:hint="eastAsia"/>
        </w:rPr>
        <w:t>房地产开发企业资信情况、房地产中介企业资信情况、房地产经济机构和经纪人员登记备案及信用情况公示</w:t>
      </w:r>
      <w:r w:rsidR="00A34EC9">
        <w:rPr>
          <w:rFonts w:hint="eastAsia"/>
        </w:rPr>
        <w:t>机制，将存在违法违规行为的房地产开发企业和中介企业纳入“负面清单”。</w:t>
      </w:r>
    </w:p>
    <w:p w14:paraId="41564301" w14:textId="17520D0A" w:rsidR="002D21F5" w:rsidRDefault="002D21F5" w:rsidP="002D21F5">
      <w:pPr>
        <w:pStyle w:val="1"/>
        <w:spacing w:before="312" w:after="312"/>
        <w:ind w:firstLine="640"/>
      </w:pPr>
      <w:bookmarkStart w:id="34" w:name="_Toc73434907"/>
      <w:r>
        <w:rPr>
          <w:rFonts w:hint="eastAsia"/>
        </w:rPr>
        <w:t>八、加强规划实施保障</w:t>
      </w:r>
      <w:bookmarkEnd w:id="34"/>
    </w:p>
    <w:p w14:paraId="6719216D" w14:textId="77C9A792" w:rsidR="00673F37" w:rsidRDefault="00AD6756" w:rsidP="007C23D8">
      <w:pPr>
        <w:pStyle w:val="2"/>
        <w:spacing w:before="312" w:after="312"/>
        <w:ind w:firstLine="602"/>
      </w:pPr>
      <w:bookmarkStart w:id="35" w:name="_Toc73434908"/>
      <w:r>
        <w:rPr>
          <w:rFonts w:hint="eastAsia"/>
        </w:rPr>
        <w:t>（一）</w:t>
      </w:r>
      <w:r w:rsidR="00AD1B5E">
        <w:rPr>
          <w:rFonts w:hint="eastAsia"/>
        </w:rPr>
        <w:t>加强</w:t>
      </w:r>
      <w:r w:rsidR="00673F37">
        <w:rPr>
          <w:rFonts w:hint="eastAsia"/>
        </w:rPr>
        <w:t>组织领导</w:t>
      </w:r>
      <w:bookmarkEnd w:id="35"/>
    </w:p>
    <w:p w14:paraId="2E326826" w14:textId="764C2B7E" w:rsidR="00671D75" w:rsidRPr="00AD1B5E" w:rsidRDefault="00AD1B5E" w:rsidP="00AD1B5E">
      <w:pPr>
        <w:widowControl/>
        <w:ind w:firstLineChars="200" w:firstLine="560"/>
        <w:rPr>
          <w:b/>
        </w:rPr>
      </w:pPr>
      <w:r>
        <w:rPr>
          <w:rFonts w:hint="eastAsia"/>
        </w:rPr>
        <w:t>充分发挥市住房和房地产工作领导小组的作用，定期召开工作会议，统筹协调规划实施的有关事宜，研究解决住房和房地产发展过程中遇到的重大问题。支持各</w:t>
      </w:r>
      <w:r w:rsidR="00957E1D">
        <w:rPr>
          <w:rFonts w:hint="eastAsia"/>
        </w:rPr>
        <w:t>县（市、区）</w:t>
      </w:r>
      <w:r>
        <w:rPr>
          <w:rFonts w:hint="eastAsia"/>
        </w:rPr>
        <w:t>成立住房和房地产工作领导小组。夯实各</w:t>
      </w:r>
      <w:r w:rsidR="00957E1D">
        <w:rPr>
          <w:rFonts w:hint="eastAsia"/>
        </w:rPr>
        <w:t>县（市、区）</w:t>
      </w:r>
      <w:r>
        <w:rPr>
          <w:rFonts w:hint="eastAsia"/>
        </w:rPr>
        <w:t>主体责任，加强对各</w:t>
      </w:r>
      <w:r w:rsidR="00957E1D">
        <w:rPr>
          <w:rFonts w:hint="eastAsia"/>
        </w:rPr>
        <w:t>县（市、区）</w:t>
      </w:r>
      <w:r>
        <w:rPr>
          <w:rFonts w:hint="eastAsia"/>
        </w:rPr>
        <w:t>工作的指导和监督，对落实规划不力以及违法规划行为，启动问责机制。</w:t>
      </w:r>
    </w:p>
    <w:p w14:paraId="42F9AD9E" w14:textId="63725CDD" w:rsidR="00673F37" w:rsidRDefault="00AD6756" w:rsidP="007C23D8">
      <w:pPr>
        <w:pStyle w:val="2"/>
        <w:spacing w:before="312" w:after="312"/>
        <w:ind w:firstLine="602"/>
      </w:pPr>
      <w:bookmarkStart w:id="36" w:name="_Toc73434909"/>
      <w:r>
        <w:rPr>
          <w:rFonts w:hint="eastAsia"/>
        </w:rPr>
        <w:lastRenderedPageBreak/>
        <w:t>（二）</w:t>
      </w:r>
      <w:r w:rsidR="00957E1D">
        <w:rPr>
          <w:rFonts w:hint="eastAsia"/>
        </w:rPr>
        <w:t>健全住房发展</w:t>
      </w:r>
      <w:r w:rsidR="00673F37">
        <w:rPr>
          <w:rFonts w:hint="eastAsia"/>
        </w:rPr>
        <w:t>要素</w:t>
      </w:r>
      <w:r w:rsidR="00B41FB2">
        <w:rPr>
          <w:rFonts w:hint="eastAsia"/>
        </w:rPr>
        <w:t>保障</w:t>
      </w:r>
      <w:r w:rsidR="00957E1D">
        <w:rPr>
          <w:rFonts w:hint="eastAsia"/>
        </w:rPr>
        <w:t>机制</w:t>
      </w:r>
      <w:bookmarkEnd w:id="36"/>
    </w:p>
    <w:p w14:paraId="511CAE4B" w14:textId="19BAC120" w:rsidR="00957E1D" w:rsidRDefault="00957E1D" w:rsidP="003C05EF">
      <w:pPr>
        <w:ind w:firstLineChars="200" w:firstLine="560"/>
      </w:pPr>
      <w:r w:rsidRPr="00957E1D">
        <w:rPr>
          <w:rFonts w:hint="eastAsia"/>
        </w:rPr>
        <w:t>围绕住房发展规划确立的总体目标和要求，</w:t>
      </w:r>
      <w:r w:rsidR="00BB2B83">
        <w:rPr>
          <w:rFonts w:hint="eastAsia"/>
        </w:rPr>
        <w:t>健全多渠道的住宅用地供应</w:t>
      </w:r>
      <w:r w:rsidR="00B41FB2">
        <w:rPr>
          <w:rFonts w:hint="eastAsia"/>
        </w:rPr>
        <w:t>机制</w:t>
      </w:r>
      <w:r w:rsidR="00BB2B83">
        <w:rPr>
          <w:rFonts w:hint="eastAsia"/>
        </w:rPr>
        <w:t>，</w:t>
      </w:r>
      <w:r w:rsidR="003C05EF">
        <w:rPr>
          <w:rFonts w:hint="eastAsia"/>
        </w:rPr>
        <w:t>稳步增加住宅用地供给，不断</w:t>
      </w:r>
      <w:r w:rsidR="00B41FB2">
        <w:rPr>
          <w:rFonts w:hint="eastAsia"/>
        </w:rPr>
        <w:t>提升城市住宅用地供给能力和供给效率；</w:t>
      </w:r>
      <w:r w:rsidR="00BB2B83" w:rsidRPr="00957E1D">
        <w:rPr>
          <w:rFonts w:hint="eastAsia"/>
        </w:rPr>
        <w:t>统筹用好各项</w:t>
      </w:r>
      <w:r w:rsidR="00BB2B83">
        <w:rPr>
          <w:rFonts w:hint="eastAsia"/>
        </w:rPr>
        <w:t>政府</w:t>
      </w:r>
      <w:r w:rsidR="00BB2B83" w:rsidRPr="00957E1D">
        <w:rPr>
          <w:rFonts w:hint="eastAsia"/>
        </w:rPr>
        <w:t>资金</w:t>
      </w:r>
      <w:r w:rsidR="00BB2B83">
        <w:rPr>
          <w:rFonts w:hint="eastAsia"/>
        </w:rPr>
        <w:t>，</w:t>
      </w:r>
      <w:r w:rsidR="00BB2B83" w:rsidRPr="00957E1D">
        <w:rPr>
          <w:rFonts w:hint="eastAsia"/>
        </w:rPr>
        <w:t>引导社会资金参与</w:t>
      </w:r>
      <w:r w:rsidR="003C05EF" w:rsidRPr="00957E1D">
        <w:rPr>
          <w:rFonts w:hint="eastAsia"/>
        </w:rPr>
        <w:t>保障性住房</w:t>
      </w:r>
      <w:r w:rsidR="003C05EF">
        <w:rPr>
          <w:rFonts w:hint="eastAsia"/>
        </w:rPr>
        <w:t>的</w:t>
      </w:r>
      <w:r w:rsidR="003C05EF" w:rsidRPr="00957E1D">
        <w:rPr>
          <w:rFonts w:hint="eastAsia"/>
        </w:rPr>
        <w:t>建设</w:t>
      </w:r>
      <w:r w:rsidR="003C05EF">
        <w:rPr>
          <w:rFonts w:hint="eastAsia"/>
        </w:rPr>
        <w:t>、</w:t>
      </w:r>
      <w:r w:rsidR="003C05EF" w:rsidRPr="00957E1D">
        <w:rPr>
          <w:rFonts w:hint="eastAsia"/>
        </w:rPr>
        <w:t>运营</w:t>
      </w:r>
      <w:r w:rsidR="003C05EF">
        <w:rPr>
          <w:rFonts w:hint="eastAsia"/>
        </w:rPr>
        <w:t>和</w:t>
      </w:r>
      <w:r w:rsidR="003C05EF" w:rsidRPr="00957E1D">
        <w:rPr>
          <w:rFonts w:hint="eastAsia"/>
        </w:rPr>
        <w:t>管理</w:t>
      </w:r>
      <w:r w:rsidR="003C05EF">
        <w:rPr>
          <w:rFonts w:hint="eastAsia"/>
        </w:rPr>
        <w:t>，</w:t>
      </w:r>
      <w:r w:rsidR="003C05EF" w:rsidRPr="00957E1D">
        <w:rPr>
          <w:rFonts w:hint="eastAsia"/>
        </w:rPr>
        <w:t>支持成立住房保障专营机构，</w:t>
      </w:r>
      <w:r w:rsidR="003C05EF" w:rsidRPr="003C05EF">
        <w:rPr>
          <w:rFonts w:hint="eastAsia"/>
        </w:rPr>
        <w:t>确保</w:t>
      </w:r>
      <w:r w:rsidR="003C05EF">
        <w:rPr>
          <w:rFonts w:hint="eastAsia"/>
        </w:rPr>
        <w:t>住房保障目标任务有效</w:t>
      </w:r>
      <w:r w:rsidR="003C05EF" w:rsidRPr="003C05EF">
        <w:rPr>
          <w:rFonts w:hint="eastAsia"/>
        </w:rPr>
        <w:t>落实</w:t>
      </w:r>
      <w:r w:rsidRPr="00957E1D">
        <w:rPr>
          <w:rFonts w:hint="eastAsia"/>
        </w:rPr>
        <w:t>。</w:t>
      </w:r>
    </w:p>
    <w:p w14:paraId="6C2BBB9C" w14:textId="31E1A411" w:rsidR="00673F37" w:rsidRDefault="00AD6756" w:rsidP="007C23D8">
      <w:pPr>
        <w:pStyle w:val="2"/>
        <w:spacing w:before="312" w:after="312"/>
        <w:ind w:firstLine="602"/>
      </w:pPr>
      <w:bookmarkStart w:id="37" w:name="_Toc73434910"/>
      <w:r>
        <w:rPr>
          <w:rFonts w:hint="eastAsia"/>
        </w:rPr>
        <w:t>（三）</w:t>
      </w:r>
      <w:r w:rsidR="00957E1D">
        <w:rPr>
          <w:rFonts w:hint="eastAsia"/>
        </w:rPr>
        <w:t>完善</w:t>
      </w:r>
      <w:r w:rsidR="00673F37">
        <w:rPr>
          <w:rFonts w:hint="eastAsia"/>
        </w:rPr>
        <w:t>规划实施</w:t>
      </w:r>
      <w:r w:rsidR="00957E1D">
        <w:rPr>
          <w:rFonts w:hint="eastAsia"/>
        </w:rPr>
        <w:t>的</w:t>
      </w:r>
      <w:r w:rsidR="00673F37">
        <w:rPr>
          <w:rFonts w:hint="eastAsia"/>
        </w:rPr>
        <w:t>评估</w:t>
      </w:r>
      <w:r w:rsidR="00957E1D">
        <w:rPr>
          <w:rFonts w:hint="eastAsia"/>
        </w:rPr>
        <w:t>机制</w:t>
      </w:r>
      <w:bookmarkEnd w:id="37"/>
    </w:p>
    <w:p w14:paraId="3A3AB5CD" w14:textId="0C8803B1" w:rsidR="00AD1B5E" w:rsidRPr="00AD1B5E" w:rsidRDefault="00AD1B5E" w:rsidP="00AD1B5E">
      <w:pPr>
        <w:ind w:firstLineChars="200" w:firstLine="560"/>
      </w:pPr>
      <w:r w:rsidRPr="00AD1B5E">
        <w:rPr>
          <w:rFonts w:hint="eastAsia"/>
        </w:rPr>
        <w:t>贯彻落实规划制定的目标任务，根据每年经济社会发展的实际情况，编制住房发展年度实施计划。及时监测、跟踪规划执行情况，及时发现和解决住房发展过程中存在的问题。在规划的中期，由主管部门会同有关部门共同对本规划的实施进行评估，对相关目标进行修正调整，确保规划的顺利实施。</w:t>
      </w:r>
    </w:p>
    <w:p w14:paraId="24741432" w14:textId="550E8BF4" w:rsidR="00673F37" w:rsidRDefault="00AD6756" w:rsidP="00671D75">
      <w:pPr>
        <w:pStyle w:val="2"/>
        <w:spacing w:before="312" w:after="312"/>
        <w:ind w:firstLine="602"/>
      </w:pPr>
      <w:bookmarkStart w:id="38" w:name="_Toc73434911"/>
      <w:r>
        <w:rPr>
          <w:rFonts w:hint="eastAsia"/>
        </w:rPr>
        <w:t>（四）</w:t>
      </w:r>
      <w:r w:rsidR="00957E1D">
        <w:rPr>
          <w:rFonts w:hint="eastAsia"/>
        </w:rPr>
        <w:t>做好</w:t>
      </w:r>
      <w:r w:rsidR="007B0C3B">
        <w:rPr>
          <w:rFonts w:hint="eastAsia"/>
        </w:rPr>
        <w:t>规划</w:t>
      </w:r>
      <w:r w:rsidR="00673F37">
        <w:rPr>
          <w:rFonts w:hint="eastAsia"/>
        </w:rPr>
        <w:t>宣传引导</w:t>
      </w:r>
      <w:r w:rsidR="00957E1D">
        <w:rPr>
          <w:rFonts w:hint="eastAsia"/>
        </w:rPr>
        <w:t>工作</w:t>
      </w:r>
      <w:bookmarkEnd w:id="38"/>
    </w:p>
    <w:p w14:paraId="49324E6A" w14:textId="1F48FB4C" w:rsidR="00671D75" w:rsidRPr="00671D75" w:rsidRDefault="00671D75" w:rsidP="00671D75">
      <w:pPr>
        <w:ind w:firstLineChars="200" w:firstLine="560"/>
      </w:pPr>
      <w:r w:rsidRPr="00671D75">
        <w:rPr>
          <w:rFonts w:hint="eastAsia"/>
        </w:rPr>
        <w:t>坚持正确舆论导向，深入开展住房发展规划和住房相关政策的宣传解读，及时解答社会各界关注的热点问题，主动回应社会关切，合理引导社会预期。充分发挥各类媒体的作用，加强正面引导，对规划实施过程中的典型经验和成效及时进行总结宣传，在全社会营造有利于房地产市场平稳健康发展的舆论氛围。</w:t>
      </w:r>
    </w:p>
    <w:p w14:paraId="764EEFCF" w14:textId="18DF828C" w:rsidR="00671D75" w:rsidRPr="00671D75" w:rsidRDefault="00671D75" w:rsidP="006839E7">
      <w:pPr>
        <w:jc w:val="center"/>
        <w:rPr>
          <w:rFonts w:ascii="黑体" w:eastAsia="黑体" w:hAnsi="黑体"/>
        </w:rPr>
        <w:sectPr w:rsidR="00671D75" w:rsidRPr="00671D75" w:rsidSect="00F00500">
          <w:headerReference w:type="default" r:id="rId10"/>
          <w:footerReference w:type="default" r:id="rId11"/>
          <w:pgSz w:w="11906" w:h="16838"/>
          <w:pgMar w:top="1440" w:right="1800" w:bottom="1440" w:left="1800" w:header="851" w:footer="992" w:gutter="0"/>
          <w:cols w:space="425"/>
          <w:docGrid w:type="lines" w:linePitch="312"/>
        </w:sectPr>
      </w:pPr>
    </w:p>
    <w:p w14:paraId="046AA217" w14:textId="77777777" w:rsidR="004B4AFC" w:rsidRDefault="004B4AFC" w:rsidP="004B4AFC">
      <w:pPr>
        <w:pStyle w:val="1"/>
        <w:spacing w:before="381" w:after="381"/>
        <w:ind w:firstLine="640"/>
      </w:pPr>
      <w:bookmarkStart w:id="39" w:name="_Toc73434912"/>
      <w:r>
        <w:rPr>
          <w:rFonts w:hint="eastAsia"/>
        </w:rPr>
        <w:lastRenderedPageBreak/>
        <w:t>附表</w:t>
      </w:r>
      <w:bookmarkEnd w:id="39"/>
    </w:p>
    <w:p w14:paraId="09D8FF89" w14:textId="41D62360" w:rsidR="004B4AFC" w:rsidRPr="00182561" w:rsidRDefault="004B4AFC" w:rsidP="004B4AFC">
      <w:pPr>
        <w:jc w:val="center"/>
        <w:rPr>
          <w:rFonts w:ascii="黑体" w:eastAsia="黑体" w:hAnsi="黑体"/>
        </w:rPr>
      </w:pPr>
      <w:r>
        <w:rPr>
          <w:rFonts w:ascii="黑体" w:eastAsia="黑体" w:hAnsi="黑体" w:hint="eastAsia"/>
        </w:rPr>
        <w:t xml:space="preserve">表1 </w:t>
      </w:r>
      <w:r w:rsidR="00C56648">
        <w:rPr>
          <w:rFonts w:ascii="黑体" w:eastAsia="黑体" w:hAnsi="黑体" w:hint="eastAsia"/>
        </w:rPr>
        <w:t>湛江</w:t>
      </w:r>
      <w:r w:rsidRPr="00182561">
        <w:rPr>
          <w:rFonts w:ascii="黑体" w:eastAsia="黑体" w:hAnsi="黑体" w:hint="eastAsia"/>
        </w:rPr>
        <w:t>市</w:t>
      </w:r>
      <w:r w:rsidR="00A567FC" w:rsidRPr="00182561">
        <w:rPr>
          <w:rFonts w:ascii="黑体" w:eastAsia="黑体" w:hAnsi="黑体" w:hint="eastAsia"/>
        </w:rPr>
        <w:t>“十四五”</w:t>
      </w:r>
      <w:r w:rsidRPr="00182561">
        <w:rPr>
          <w:rFonts w:ascii="黑体" w:eastAsia="黑体" w:hAnsi="黑体" w:hint="eastAsia"/>
        </w:rPr>
        <w:t>住房发展目标指标</w:t>
      </w:r>
      <w:r>
        <w:rPr>
          <w:rFonts w:ascii="黑体" w:eastAsia="黑体" w:hAnsi="黑体"/>
        </w:rPr>
        <w:t>一览表</w:t>
      </w:r>
    </w:p>
    <w:tbl>
      <w:tblPr>
        <w:tblStyle w:val="af4"/>
        <w:tblW w:w="5000" w:type="pct"/>
        <w:jc w:val="center"/>
        <w:tblLook w:val="04A0" w:firstRow="1" w:lastRow="0" w:firstColumn="1" w:lastColumn="0" w:noHBand="0" w:noVBand="1"/>
      </w:tblPr>
      <w:tblGrid>
        <w:gridCol w:w="1419"/>
        <w:gridCol w:w="6676"/>
        <w:gridCol w:w="2360"/>
        <w:gridCol w:w="1696"/>
        <w:gridCol w:w="1797"/>
      </w:tblGrid>
      <w:tr w:rsidR="00D37E4D" w14:paraId="03EA1357" w14:textId="77777777" w:rsidTr="00521252">
        <w:trPr>
          <w:jc w:val="center"/>
        </w:trPr>
        <w:tc>
          <w:tcPr>
            <w:tcW w:w="509" w:type="pct"/>
            <w:tcBorders>
              <w:top w:val="single" w:sz="4" w:space="0" w:color="auto"/>
              <w:left w:val="single" w:sz="4" w:space="0" w:color="auto"/>
              <w:bottom w:val="single" w:sz="4" w:space="0" w:color="auto"/>
              <w:right w:val="single" w:sz="4" w:space="0" w:color="auto"/>
            </w:tcBorders>
            <w:hideMark/>
          </w:tcPr>
          <w:p w14:paraId="46BA504A" w14:textId="77777777" w:rsidR="00D37E4D" w:rsidRDefault="00D37E4D" w:rsidP="00521252">
            <w:pPr>
              <w:spacing w:line="276" w:lineRule="auto"/>
              <w:jc w:val="center"/>
              <w:rPr>
                <w:b/>
                <w:sz w:val="24"/>
                <w:szCs w:val="24"/>
              </w:rPr>
            </w:pPr>
            <w:r>
              <w:rPr>
                <w:rFonts w:hint="eastAsia"/>
                <w:b/>
                <w:sz w:val="24"/>
                <w:szCs w:val="24"/>
              </w:rPr>
              <w:t>序号</w:t>
            </w:r>
          </w:p>
        </w:tc>
        <w:tc>
          <w:tcPr>
            <w:tcW w:w="2393" w:type="pct"/>
            <w:tcBorders>
              <w:top w:val="single" w:sz="4" w:space="0" w:color="auto"/>
              <w:left w:val="single" w:sz="4" w:space="0" w:color="auto"/>
              <w:bottom w:val="single" w:sz="4" w:space="0" w:color="auto"/>
              <w:right w:val="single" w:sz="4" w:space="0" w:color="auto"/>
            </w:tcBorders>
            <w:hideMark/>
          </w:tcPr>
          <w:p w14:paraId="74A6F03C" w14:textId="77777777" w:rsidR="00D37E4D" w:rsidRDefault="00D37E4D" w:rsidP="00521252">
            <w:pPr>
              <w:spacing w:line="276" w:lineRule="auto"/>
              <w:jc w:val="center"/>
              <w:rPr>
                <w:b/>
                <w:sz w:val="24"/>
                <w:szCs w:val="24"/>
              </w:rPr>
            </w:pPr>
            <w:r>
              <w:rPr>
                <w:rFonts w:hint="eastAsia"/>
                <w:b/>
                <w:sz w:val="24"/>
                <w:szCs w:val="24"/>
              </w:rPr>
              <w:t>指标</w:t>
            </w:r>
          </w:p>
        </w:tc>
        <w:tc>
          <w:tcPr>
            <w:tcW w:w="846" w:type="pct"/>
            <w:tcBorders>
              <w:top w:val="single" w:sz="4" w:space="0" w:color="auto"/>
              <w:left w:val="single" w:sz="4" w:space="0" w:color="auto"/>
              <w:bottom w:val="single" w:sz="4" w:space="0" w:color="auto"/>
              <w:right w:val="single" w:sz="4" w:space="0" w:color="auto"/>
            </w:tcBorders>
            <w:hideMark/>
          </w:tcPr>
          <w:p w14:paraId="435B2755" w14:textId="77777777" w:rsidR="00D37E4D" w:rsidRDefault="00D37E4D" w:rsidP="00521252">
            <w:pPr>
              <w:spacing w:line="276" w:lineRule="auto"/>
              <w:jc w:val="center"/>
              <w:rPr>
                <w:b/>
                <w:sz w:val="24"/>
                <w:szCs w:val="24"/>
              </w:rPr>
            </w:pPr>
            <w:r>
              <w:rPr>
                <w:rFonts w:hint="eastAsia"/>
                <w:b/>
                <w:sz w:val="24"/>
                <w:szCs w:val="24"/>
              </w:rPr>
              <w:t>单位</w:t>
            </w:r>
          </w:p>
        </w:tc>
        <w:tc>
          <w:tcPr>
            <w:tcW w:w="608" w:type="pct"/>
            <w:tcBorders>
              <w:top w:val="single" w:sz="4" w:space="0" w:color="auto"/>
              <w:left w:val="single" w:sz="4" w:space="0" w:color="auto"/>
              <w:bottom w:val="single" w:sz="4" w:space="0" w:color="auto"/>
              <w:right w:val="single" w:sz="4" w:space="0" w:color="auto"/>
            </w:tcBorders>
            <w:hideMark/>
          </w:tcPr>
          <w:p w14:paraId="1B00B356" w14:textId="77777777" w:rsidR="00D37E4D" w:rsidRDefault="00D37E4D" w:rsidP="00521252">
            <w:pPr>
              <w:spacing w:line="276" w:lineRule="auto"/>
              <w:jc w:val="center"/>
              <w:rPr>
                <w:b/>
                <w:sz w:val="24"/>
                <w:szCs w:val="24"/>
              </w:rPr>
            </w:pPr>
            <w:r>
              <w:rPr>
                <w:rFonts w:hint="eastAsia"/>
                <w:b/>
                <w:sz w:val="24"/>
                <w:szCs w:val="24"/>
              </w:rPr>
              <w:t>目标</w:t>
            </w:r>
          </w:p>
        </w:tc>
        <w:tc>
          <w:tcPr>
            <w:tcW w:w="644" w:type="pct"/>
            <w:tcBorders>
              <w:top w:val="single" w:sz="4" w:space="0" w:color="auto"/>
              <w:left w:val="single" w:sz="4" w:space="0" w:color="auto"/>
              <w:bottom w:val="single" w:sz="4" w:space="0" w:color="auto"/>
              <w:right w:val="single" w:sz="4" w:space="0" w:color="auto"/>
            </w:tcBorders>
            <w:hideMark/>
          </w:tcPr>
          <w:p w14:paraId="04EC9A5A" w14:textId="77777777" w:rsidR="00D37E4D" w:rsidRDefault="00D37E4D" w:rsidP="00521252">
            <w:pPr>
              <w:spacing w:line="276" w:lineRule="auto"/>
              <w:jc w:val="center"/>
              <w:rPr>
                <w:b/>
                <w:sz w:val="24"/>
                <w:szCs w:val="24"/>
              </w:rPr>
            </w:pPr>
            <w:r>
              <w:rPr>
                <w:rFonts w:hint="eastAsia"/>
                <w:b/>
                <w:sz w:val="24"/>
                <w:szCs w:val="24"/>
              </w:rPr>
              <w:t>属性</w:t>
            </w:r>
          </w:p>
        </w:tc>
      </w:tr>
      <w:tr w:rsidR="00D37E4D" w14:paraId="684396F6" w14:textId="77777777" w:rsidTr="00521252">
        <w:trPr>
          <w:jc w:val="center"/>
        </w:trPr>
        <w:tc>
          <w:tcPr>
            <w:tcW w:w="509" w:type="pct"/>
            <w:tcBorders>
              <w:top w:val="single" w:sz="4" w:space="0" w:color="auto"/>
              <w:left w:val="single" w:sz="4" w:space="0" w:color="auto"/>
              <w:bottom w:val="single" w:sz="4" w:space="0" w:color="auto"/>
              <w:right w:val="single" w:sz="4" w:space="0" w:color="auto"/>
            </w:tcBorders>
            <w:hideMark/>
          </w:tcPr>
          <w:p w14:paraId="45F49D43" w14:textId="77777777" w:rsidR="00D37E4D" w:rsidRDefault="00D37E4D" w:rsidP="00521252">
            <w:pPr>
              <w:spacing w:line="276" w:lineRule="auto"/>
              <w:jc w:val="center"/>
              <w:rPr>
                <w:sz w:val="24"/>
                <w:szCs w:val="24"/>
              </w:rPr>
            </w:pPr>
            <w:r>
              <w:rPr>
                <w:sz w:val="24"/>
                <w:szCs w:val="24"/>
              </w:rPr>
              <w:t>1</w:t>
            </w:r>
          </w:p>
        </w:tc>
        <w:tc>
          <w:tcPr>
            <w:tcW w:w="2393" w:type="pct"/>
            <w:tcBorders>
              <w:top w:val="single" w:sz="4" w:space="0" w:color="auto"/>
              <w:left w:val="single" w:sz="4" w:space="0" w:color="auto"/>
              <w:bottom w:val="single" w:sz="4" w:space="0" w:color="auto"/>
              <w:right w:val="single" w:sz="4" w:space="0" w:color="auto"/>
            </w:tcBorders>
            <w:hideMark/>
          </w:tcPr>
          <w:p w14:paraId="5441F712" w14:textId="77777777" w:rsidR="00D37E4D" w:rsidRDefault="00D37E4D" w:rsidP="00521252">
            <w:pPr>
              <w:spacing w:line="276" w:lineRule="auto"/>
              <w:jc w:val="center"/>
              <w:rPr>
                <w:sz w:val="24"/>
                <w:szCs w:val="24"/>
              </w:rPr>
            </w:pPr>
            <w:r>
              <w:rPr>
                <w:rFonts w:hint="eastAsia"/>
                <w:sz w:val="24"/>
                <w:szCs w:val="24"/>
              </w:rPr>
              <w:t>供应新建商品住房</w:t>
            </w:r>
          </w:p>
        </w:tc>
        <w:tc>
          <w:tcPr>
            <w:tcW w:w="846" w:type="pct"/>
            <w:tcBorders>
              <w:top w:val="single" w:sz="4" w:space="0" w:color="auto"/>
              <w:left w:val="single" w:sz="4" w:space="0" w:color="auto"/>
              <w:bottom w:val="single" w:sz="4" w:space="0" w:color="auto"/>
              <w:right w:val="single" w:sz="4" w:space="0" w:color="auto"/>
            </w:tcBorders>
            <w:hideMark/>
          </w:tcPr>
          <w:p w14:paraId="01B03E51" w14:textId="6A394D62" w:rsidR="00D37E4D" w:rsidRDefault="00594248" w:rsidP="00521252">
            <w:pPr>
              <w:spacing w:line="276" w:lineRule="auto"/>
              <w:jc w:val="center"/>
              <w:rPr>
                <w:sz w:val="24"/>
                <w:szCs w:val="24"/>
              </w:rPr>
            </w:pPr>
            <w:r>
              <w:rPr>
                <w:rFonts w:hint="eastAsia"/>
                <w:sz w:val="24"/>
                <w:szCs w:val="24"/>
              </w:rPr>
              <w:t>万</w:t>
            </w:r>
            <w:r w:rsidR="00D37E4D">
              <w:rPr>
                <w:rFonts w:hint="eastAsia"/>
                <w:sz w:val="24"/>
                <w:szCs w:val="24"/>
              </w:rPr>
              <w:t>套</w:t>
            </w:r>
          </w:p>
        </w:tc>
        <w:tc>
          <w:tcPr>
            <w:tcW w:w="608" w:type="pct"/>
            <w:tcBorders>
              <w:top w:val="single" w:sz="4" w:space="0" w:color="auto"/>
              <w:left w:val="single" w:sz="4" w:space="0" w:color="auto"/>
              <w:bottom w:val="single" w:sz="4" w:space="0" w:color="auto"/>
              <w:right w:val="single" w:sz="4" w:space="0" w:color="auto"/>
            </w:tcBorders>
            <w:hideMark/>
          </w:tcPr>
          <w:p w14:paraId="6153558F" w14:textId="78473E4B" w:rsidR="00D37E4D" w:rsidRDefault="00D37E4D" w:rsidP="00521252">
            <w:pPr>
              <w:spacing w:line="276" w:lineRule="auto"/>
              <w:jc w:val="center"/>
              <w:rPr>
                <w:sz w:val="24"/>
                <w:szCs w:val="24"/>
              </w:rPr>
            </w:pPr>
            <w:r>
              <w:rPr>
                <w:sz w:val="24"/>
                <w:szCs w:val="24"/>
              </w:rPr>
              <w:t>[</w:t>
            </w:r>
            <w:r w:rsidR="00594248">
              <w:rPr>
                <w:sz w:val="24"/>
                <w:szCs w:val="24"/>
              </w:rPr>
              <w:t>34.2-</w:t>
            </w:r>
            <w:r>
              <w:rPr>
                <w:sz w:val="24"/>
                <w:szCs w:val="24"/>
              </w:rPr>
              <w:t>46</w:t>
            </w:r>
            <w:r w:rsidR="00594248">
              <w:rPr>
                <w:sz w:val="24"/>
                <w:szCs w:val="24"/>
              </w:rPr>
              <w:t>.</w:t>
            </w:r>
            <w:r>
              <w:rPr>
                <w:sz w:val="24"/>
                <w:szCs w:val="24"/>
              </w:rPr>
              <w:t>5]</w:t>
            </w:r>
          </w:p>
        </w:tc>
        <w:tc>
          <w:tcPr>
            <w:tcW w:w="644" w:type="pct"/>
            <w:tcBorders>
              <w:top w:val="single" w:sz="4" w:space="0" w:color="auto"/>
              <w:left w:val="single" w:sz="4" w:space="0" w:color="auto"/>
              <w:bottom w:val="single" w:sz="4" w:space="0" w:color="auto"/>
              <w:right w:val="single" w:sz="4" w:space="0" w:color="auto"/>
            </w:tcBorders>
            <w:hideMark/>
          </w:tcPr>
          <w:p w14:paraId="55062844" w14:textId="77777777" w:rsidR="00D37E4D" w:rsidRDefault="00D37E4D" w:rsidP="00521252">
            <w:pPr>
              <w:spacing w:line="276" w:lineRule="auto"/>
              <w:jc w:val="center"/>
              <w:rPr>
                <w:sz w:val="24"/>
                <w:szCs w:val="24"/>
              </w:rPr>
            </w:pPr>
            <w:r>
              <w:rPr>
                <w:rFonts w:hint="eastAsia"/>
                <w:sz w:val="24"/>
                <w:szCs w:val="24"/>
              </w:rPr>
              <w:t>预期性</w:t>
            </w:r>
          </w:p>
        </w:tc>
      </w:tr>
      <w:tr w:rsidR="00D37E4D" w14:paraId="057C90F0" w14:textId="77777777" w:rsidTr="00521252">
        <w:trPr>
          <w:jc w:val="center"/>
        </w:trPr>
        <w:tc>
          <w:tcPr>
            <w:tcW w:w="509" w:type="pct"/>
            <w:tcBorders>
              <w:top w:val="single" w:sz="4" w:space="0" w:color="auto"/>
              <w:left w:val="single" w:sz="4" w:space="0" w:color="auto"/>
              <w:bottom w:val="single" w:sz="4" w:space="0" w:color="auto"/>
              <w:right w:val="single" w:sz="4" w:space="0" w:color="auto"/>
            </w:tcBorders>
            <w:hideMark/>
          </w:tcPr>
          <w:p w14:paraId="0403488B" w14:textId="77777777" w:rsidR="00D37E4D" w:rsidRDefault="00D37E4D" w:rsidP="00521252">
            <w:pPr>
              <w:spacing w:line="276" w:lineRule="auto"/>
              <w:jc w:val="center"/>
              <w:rPr>
                <w:sz w:val="24"/>
                <w:szCs w:val="24"/>
              </w:rPr>
            </w:pPr>
            <w:r>
              <w:rPr>
                <w:sz w:val="24"/>
                <w:szCs w:val="24"/>
              </w:rPr>
              <w:t>2</w:t>
            </w:r>
          </w:p>
        </w:tc>
        <w:tc>
          <w:tcPr>
            <w:tcW w:w="2393" w:type="pct"/>
            <w:tcBorders>
              <w:top w:val="single" w:sz="4" w:space="0" w:color="auto"/>
              <w:left w:val="single" w:sz="4" w:space="0" w:color="auto"/>
              <w:bottom w:val="single" w:sz="4" w:space="0" w:color="auto"/>
              <w:right w:val="single" w:sz="4" w:space="0" w:color="auto"/>
            </w:tcBorders>
            <w:hideMark/>
          </w:tcPr>
          <w:p w14:paraId="0D02A290" w14:textId="77777777" w:rsidR="00D37E4D" w:rsidRDefault="00D37E4D" w:rsidP="00521252">
            <w:pPr>
              <w:spacing w:line="276" w:lineRule="auto"/>
              <w:jc w:val="center"/>
              <w:rPr>
                <w:sz w:val="24"/>
                <w:szCs w:val="24"/>
              </w:rPr>
            </w:pPr>
            <w:r>
              <w:rPr>
                <w:rFonts w:hint="eastAsia"/>
                <w:sz w:val="24"/>
                <w:szCs w:val="24"/>
              </w:rPr>
              <w:t>筹建公共租赁住房</w:t>
            </w:r>
          </w:p>
        </w:tc>
        <w:tc>
          <w:tcPr>
            <w:tcW w:w="846" w:type="pct"/>
            <w:tcBorders>
              <w:top w:val="single" w:sz="4" w:space="0" w:color="auto"/>
              <w:left w:val="single" w:sz="4" w:space="0" w:color="auto"/>
              <w:bottom w:val="single" w:sz="4" w:space="0" w:color="auto"/>
              <w:right w:val="single" w:sz="4" w:space="0" w:color="auto"/>
            </w:tcBorders>
            <w:hideMark/>
          </w:tcPr>
          <w:p w14:paraId="39232C47" w14:textId="77777777" w:rsidR="00D37E4D" w:rsidRDefault="00D37E4D" w:rsidP="00521252">
            <w:pPr>
              <w:spacing w:line="276" w:lineRule="auto"/>
              <w:jc w:val="center"/>
              <w:rPr>
                <w:sz w:val="24"/>
                <w:szCs w:val="24"/>
              </w:rPr>
            </w:pPr>
            <w:r>
              <w:rPr>
                <w:rFonts w:hint="eastAsia"/>
                <w:sz w:val="24"/>
                <w:szCs w:val="24"/>
              </w:rPr>
              <w:t>套</w:t>
            </w:r>
          </w:p>
        </w:tc>
        <w:tc>
          <w:tcPr>
            <w:tcW w:w="608" w:type="pct"/>
            <w:tcBorders>
              <w:top w:val="single" w:sz="4" w:space="0" w:color="auto"/>
              <w:left w:val="single" w:sz="4" w:space="0" w:color="auto"/>
              <w:bottom w:val="single" w:sz="4" w:space="0" w:color="auto"/>
              <w:right w:val="single" w:sz="4" w:space="0" w:color="auto"/>
            </w:tcBorders>
            <w:hideMark/>
          </w:tcPr>
          <w:p w14:paraId="156681F4" w14:textId="77777777" w:rsidR="00D37E4D" w:rsidRDefault="00D37E4D" w:rsidP="00521252">
            <w:pPr>
              <w:spacing w:line="276" w:lineRule="auto"/>
              <w:jc w:val="center"/>
              <w:rPr>
                <w:sz w:val="24"/>
                <w:szCs w:val="24"/>
              </w:rPr>
            </w:pPr>
            <w:r>
              <w:rPr>
                <w:sz w:val="24"/>
                <w:szCs w:val="24"/>
              </w:rPr>
              <w:t>[2000]</w:t>
            </w:r>
          </w:p>
        </w:tc>
        <w:tc>
          <w:tcPr>
            <w:tcW w:w="644" w:type="pct"/>
            <w:tcBorders>
              <w:top w:val="single" w:sz="4" w:space="0" w:color="auto"/>
              <w:left w:val="single" w:sz="4" w:space="0" w:color="auto"/>
              <w:bottom w:val="single" w:sz="4" w:space="0" w:color="auto"/>
              <w:right w:val="single" w:sz="4" w:space="0" w:color="auto"/>
            </w:tcBorders>
            <w:hideMark/>
          </w:tcPr>
          <w:p w14:paraId="18941F2C" w14:textId="77777777" w:rsidR="00D37E4D" w:rsidRDefault="00D37E4D" w:rsidP="00521252">
            <w:pPr>
              <w:spacing w:line="276" w:lineRule="auto"/>
              <w:jc w:val="center"/>
              <w:rPr>
                <w:sz w:val="24"/>
                <w:szCs w:val="24"/>
              </w:rPr>
            </w:pPr>
            <w:r>
              <w:rPr>
                <w:rFonts w:hint="eastAsia"/>
                <w:sz w:val="24"/>
                <w:szCs w:val="24"/>
              </w:rPr>
              <w:t>约束性</w:t>
            </w:r>
          </w:p>
        </w:tc>
      </w:tr>
      <w:tr w:rsidR="00D37E4D" w14:paraId="51B796DE" w14:textId="77777777" w:rsidTr="00521252">
        <w:trPr>
          <w:jc w:val="center"/>
        </w:trPr>
        <w:tc>
          <w:tcPr>
            <w:tcW w:w="509" w:type="pct"/>
            <w:tcBorders>
              <w:top w:val="single" w:sz="4" w:space="0" w:color="auto"/>
              <w:left w:val="single" w:sz="4" w:space="0" w:color="auto"/>
              <w:bottom w:val="single" w:sz="4" w:space="0" w:color="auto"/>
              <w:right w:val="single" w:sz="4" w:space="0" w:color="auto"/>
            </w:tcBorders>
          </w:tcPr>
          <w:p w14:paraId="16D0F246" w14:textId="77777777" w:rsidR="00D37E4D" w:rsidRDefault="00D37E4D" w:rsidP="00521252">
            <w:pPr>
              <w:spacing w:line="276" w:lineRule="auto"/>
              <w:jc w:val="center"/>
              <w:rPr>
                <w:sz w:val="24"/>
                <w:szCs w:val="24"/>
              </w:rPr>
            </w:pPr>
            <w:r>
              <w:rPr>
                <w:sz w:val="24"/>
                <w:szCs w:val="24"/>
              </w:rPr>
              <w:t>3</w:t>
            </w:r>
          </w:p>
        </w:tc>
        <w:tc>
          <w:tcPr>
            <w:tcW w:w="2393" w:type="pct"/>
            <w:tcBorders>
              <w:top w:val="single" w:sz="4" w:space="0" w:color="auto"/>
              <w:left w:val="single" w:sz="4" w:space="0" w:color="auto"/>
              <w:bottom w:val="single" w:sz="4" w:space="0" w:color="auto"/>
              <w:right w:val="single" w:sz="4" w:space="0" w:color="auto"/>
            </w:tcBorders>
          </w:tcPr>
          <w:p w14:paraId="68EB2BE9" w14:textId="77777777" w:rsidR="00D37E4D" w:rsidRDefault="00D37E4D" w:rsidP="00521252">
            <w:pPr>
              <w:spacing w:line="276" w:lineRule="auto"/>
              <w:jc w:val="center"/>
              <w:rPr>
                <w:sz w:val="24"/>
                <w:szCs w:val="24"/>
              </w:rPr>
            </w:pPr>
            <w:r>
              <w:rPr>
                <w:rFonts w:hint="eastAsia"/>
                <w:sz w:val="24"/>
                <w:szCs w:val="24"/>
              </w:rPr>
              <w:t>新增发放租赁补贴</w:t>
            </w:r>
          </w:p>
        </w:tc>
        <w:tc>
          <w:tcPr>
            <w:tcW w:w="846" w:type="pct"/>
            <w:tcBorders>
              <w:top w:val="single" w:sz="4" w:space="0" w:color="auto"/>
              <w:left w:val="single" w:sz="4" w:space="0" w:color="auto"/>
              <w:bottom w:val="single" w:sz="4" w:space="0" w:color="auto"/>
              <w:right w:val="single" w:sz="4" w:space="0" w:color="auto"/>
            </w:tcBorders>
          </w:tcPr>
          <w:p w14:paraId="21008A99" w14:textId="77777777" w:rsidR="00D37E4D" w:rsidRDefault="00D37E4D" w:rsidP="00521252">
            <w:pPr>
              <w:spacing w:line="276" w:lineRule="auto"/>
              <w:jc w:val="center"/>
              <w:rPr>
                <w:sz w:val="24"/>
                <w:szCs w:val="24"/>
              </w:rPr>
            </w:pPr>
            <w:r>
              <w:rPr>
                <w:rFonts w:hint="eastAsia"/>
                <w:sz w:val="24"/>
                <w:szCs w:val="24"/>
              </w:rPr>
              <w:t>户</w:t>
            </w:r>
          </w:p>
        </w:tc>
        <w:tc>
          <w:tcPr>
            <w:tcW w:w="608" w:type="pct"/>
            <w:tcBorders>
              <w:top w:val="single" w:sz="4" w:space="0" w:color="auto"/>
              <w:left w:val="single" w:sz="4" w:space="0" w:color="auto"/>
              <w:bottom w:val="single" w:sz="4" w:space="0" w:color="auto"/>
              <w:right w:val="single" w:sz="4" w:space="0" w:color="auto"/>
            </w:tcBorders>
          </w:tcPr>
          <w:p w14:paraId="2CD1DA36" w14:textId="77777777" w:rsidR="00D37E4D" w:rsidRDefault="00D37E4D" w:rsidP="00521252">
            <w:pPr>
              <w:spacing w:line="276" w:lineRule="auto"/>
              <w:jc w:val="center"/>
              <w:rPr>
                <w:sz w:val="24"/>
                <w:szCs w:val="24"/>
              </w:rPr>
            </w:pPr>
            <w:r>
              <w:rPr>
                <w:sz w:val="24"/>
                <w:szCs w:val="24"/>
              </w:rPr>
              <w:t>[3000]</w:t>
            </w:r>
          </w:p>
        </w:tc>
        <w:tc>
          <w:tcPr>
            <w:tcW w:w="644" w:type="pct"/>
            <w:tcBorders>
              <w:top w:val="single" w:sz="4" w:space="0" w:color="auto"/>
              <w:left w:val="single" w:sz="4" w:space="0" w:color="auto"/>
              <w:bottom w:val="single" w:sz="4" w:space="0" w:color="auto"/>
              <w:right w:val="single" w:sz="4" w:space="0" w:color="auto"/>
            </w:tcBorders>
          </w:tcPr>
          <w:p w14:paraId="09AD202A" w14:textId="77777777" w:rsidR="00D37E4D" w:rsidRDefault="00D37E4D" w:rsidP="00521252">
            <w:pPr>
              <w:spacing w:line="276" w:lineRule="auto"/>
              <w:jc w:val="center"/>
              <w:rPr>
                <w:sz w:val="24"/>
                <w:szCs w:val="24"/>
              </w:rPr>
            </w:pPr>
            <w:r>
              <w:rPr>
                <w:rFonts w:hint="eastAsia"/>
                <w:sz w:val="24"/>
                <w:szCs w:val="24"/>
              </w:rPr>
              <w:t>约束性</w:t>
            </w:r>
          </w:p>
        </w:tc>
      </w:tr>
      <w:tr w:rsidR="00D37E4D" w14:paraId="1229E248" w14:textId="77777777" w:rsidTr="00521252">
        <w:trPr>
          <w:jc w:val="center"/>
        </w:trPr>
        <w:tc>
          <w:tcPr>
            <w:tcW w:w="509" w:type="pct"/>
            <w:tcBorders>
              <w:top w:val="single" w:sz="4" w:space="0" w:color="auto"/>
              <w:left w:val="single" w:sz="4" w:space="0" w:color="auto"/>
              <w:bottom w:val="single" w:sz="4" w:space="0" w:color="auto"/>
              <w:right w:val="single" w:sz="4" w:space="0" w:color="auto"/>
            </w:tcBorders>
            <w:vAlign w:val="center"/>
            <w:hideMark/>
          </w:tcPr>
          <w:p w14:paraId="0B23918D" w14:textId="77777777" w:rsidR="00D37E4D" w:rsidRDefault="00D37E4D" w:rsidP="00521252">
            <w:pPr>
              <w:spacing w:line="276" w:lineRule="auto"/>
              <w:jc w:val="center"/>
              <w:rPr>
                <w:sz w:val="24"/>
                <w:szCs w:val="24"/>
              </w:rPr>
            </w:pPr>
            <w:r>
              <w:rPr>
                <w:sz w:val="24"/>
                <w:szCs w:val="24"/>
              </w:rPr>
              <w:t>4</w:t>
            </w:r>
          </w:p>
        </w:tc>
        <w:tc>
          <w:tcPr>
            <w:tcW w:w="2393" w:type="pct"/>
            <w:tcBorders>
              <w:top w:val="single" w:sz="4" w:space="0" w:color="auto"/>
              <w:left w:val="single" w:sz="4" w:space="0" w:color="auto"/>
              <w:bottom w:val="single" w:sz="4" w:space="0" w:color="auto"/>
              <w:right w:val="single" w:sz="4" w:space="0" w:color="auto"/>
            </w:tcBorders>
            <w:vAlign w:val="center"/>
            <w:hideMark/>
          </w:tcPr>
          <w:p w14:paraId="6E938BF6" w14:textId="2DD27A77" w:rsidR="00D37E4D" w:rsidRDefault="00D37E4D" w:rsidP="00521252">
            <w:pPr>
              <w:spacing w:line="276" w:lineRule="auto"/>
              <w:jc w:val="center"/>
              <w:rPr>
                <w:sz w:val="24"/>
                <w:szCs w:val="24"/>
              </w:rPr>
            </w:pPr>
            <w:r>
              <w:rPr>
                <w:rFonts w:hint="eastAsia"/>
                <w:sz w:val="24"/>
                <w:szCs w:val="24"/>
              </w:rPr>
              <w:t>筹建</w:t>
            </w:r>
            <w:r w:rsidR="003F6108">
              <w:rPr>
                <w:rFonts w:hint="eastAsia"/>
                <w:sz w:val="24"/>
                <w:szCs w:val="24"/>
              </w:rPr>
              <w:t>保障性租赁住房</w:t>
            </w:r>
            <w:r>
              <w:rPr>
                <w:rFonts w:hint="eastAsia"/>
                <w:sz w:val="24"/>
                <w:szCs w:val="24"/>
              </w:rPr>
              <w:t>、共有产权住房、人才公寓</w:t>
            </w:r>
          </w:p>
        </w:tc>
        <w:tc>
          <w:tcPr>
            <w:tcW w:w="846" w:type="pct"/>
            <w:tcBorders>
              <w:top w:val="single" w:sz="4" w:space="0" w:color="auto"/>
              <w:left w:val="single" w:sz="4" w:space="0" w:color="auto"/>
              <w:bottom w:val="single" w:sz="4" w:space="0" w:color="auto"/>
              <w:right w:val="single" w:sz="4" w:space="0" w:color="auto"/>
            </w:tcBorders>
            <w:vAlign w:val="center"/>
            <w:hideMark/>
          </w:tcPr>
          <w:p w14:paraId="2D6D4FFC" w14:textId="77777777" w:rsidR="00D37E4D" w:rsidRDefault="00D37E4D" w:rsidP="00521252">
            <w:pPr>
              <w:spacing w:line="276" w:lineRule="auto"/>
              <w:jc w:val="center"/>
              <w:rPr>
                <w:sz w:val="24"/>
                <w:szCs w:val="24"/>
              </w:rPr>
            </w:pPr>
            <w:r>
              <w:rPr>
                <w:rFonts w:hint="eastAsia"/>
                <w:sz w:val="24"/>
                <w:szCs w:val="24"/>
              </w:rPr>
              <w:t>套</w:t>
            </w:r>
          </w:p>
        </w:tc>
        <w:tc>
          <w:tcPr>
            <w:tcW w:w="608" w:type="pct"/>
            <w:tcBorders>
              <w:top w:val="single" w:sz="4" w:space="0" w:color="auto"/>
              <w:left w:val="single" w:sz="4" w:space="0" w:color="auto"/>
              <w:bottom w:val="single" w:sz="4" w:space="0" w:color="auto"/>
              <w:right w:val="single" w:sz="4" w:space="0" w:color="auto"/>
            </w:tcBorders>
            <w:vAlign w:val="center"/>
            <w:hideMark/>
          </w:tcPr>
          <w:p w14:paraId="55A23483" w14:textId="77777777" w:rsidR="00D37E4D" w:rsidRDefault="00D37E4D" w:rsidP="00521252">
            <w:pPr>
              <w:spacing w:line="276" w:lineRule="auto"/>
              <w:jc w:val="center"/>
              <w:rPr>
                <w:sz w:val="24"/>
                <w:szCs w:val="24"/>
              </w:rPr>
            </w:pPr>
            <w:r>
              <w:rPr>
                <w:sz w:val="24"/>
                <w:szCs w:val="24"/>
              </w:rPr>
              <w:t>[2000]</w:t>
            </w:r>
          </w:p>
        </w:tc>
        <w:tc>
          <w:tcPr>
            <w:tcW w:w="644" w:type="pct"/>
            <w:tcBorders>
              <w:top w:val="single" w:sz="4" w:space="0" w:color="auto"/>
              <w:left w:val="single" w:sz="4" w:space="0" w:color="auto"/>
              <w:bottom w:val="single" w:sz="4" w:space="0" w:color="auto"/>
              <w:right w:val="single" w:sz="4" w:space="0" w:color="auto"/>
            </w:tcBorders>
            <w:vAlign w:val="center"/>
            <w:hideMark/>
          </w:tcPr>
          <w:p w14:paraId="4AC567BF" w14:textId="77777777" w:rsidR="00D37E4D" w:rsidRDefault="00D37E4D" w:rsidP="00521252">
            <w:pPr>
              <w:spacing w:line="276" w:lineRule="auto"/>
              <w:jc w:val="center"/>
              <w:rPr>
                <w:sz w:val="24"/>
                <w:szCs w:val="24"/>
              </w:rPr>
            </w:pPr>
            <w:r>
              <w:rPr>
                <w:rFonts w:hint="eastAsia"/>
                <w:sz w:val="24"/>
                <w:szCs w:val="24"/>
              </w:rPr>
              <w:t>预期性</w:t>
            </w:r>
          </w:p>
        </w:tc>
      </w:tr>
      <w:tr w:rsidR="00D37E4D" w14:paraId="48AC3E19" w14:textId="77777777" w:rsidTr="00521252">
        <w:trPr>
          <w:jc w:val="center"/>
        </w:trPr>
        <w:tc>
          <w:tcPr>
            <w:tcW w:w="509" w:type="pct"/>
            <w:tcBorders>
              <w:top w:val="single" w:sz="4" w:space="0" w:color="auto"/>
              <w:left w:val="single" w:sz="4" w:space="0" w:color="auto"/>
              <w:bottom w:val="single" w:sz="4" w:space="0" w:color="auto"/>
              <w:right w:val="single" w:sz="4" w:space="0" w:color="auto"/>
            </w:tcBorders>
            <w:hideMark/>
          </w:tcPr>
          <w:p w14:paraId="6BDA9A1A" w14:textId="77777777" w:rsidR="00D37E4D" w:rsidRDefault="00D37E4D" w:rsidP="00521252">
            <w:pPr>
              <w:spacing w:line="276" w:lineRule="auto"/>
              <w:jc w:val="center"/>
              <w:rPr>
                <w:sz w:val="24"/>
                <w:szCs w:val="24"/>
              </w:rPr>
            </w:pPr>
            <w:r>
              <w:rPr>
                <w:sz w:val="24"/>
                <w:szCs w:val="24"/>
              </w:rPr>
              <w:t>5</w:t>
            </w:r>
          </w:p>
        </w:tc>
        <w:tc>
          <w:tcPr>
            <w:tcW w:w="2393" w:type="pct"/>
            <w:tcBorders>
              <w:top w:val="single" w:sz="4" w:space="0" w:color="auto"/>
              <w:left w:val="single" w:sz="4" w:space="0" w:color="auto"/>
              <w:bottom w:val="single" w:sz="4" w:space="0" w:color="auto"/>
              <w:right w:val="single" w:sz="4" w:space="0" w:color="auto"/>
            </w:tcBorders>
            <w:hideMark/>
          </w:tcPr>
          <w:p w14:paraId="3C56CF42" w14:textId="77777777" w:rsidR="00D37E4D" w:rsidRDefault="00D37E4D" w:rsidP="00521252">
            <w:pPr>
              <w:spacing w:line="276" w:lineRule="auto"/>
              <w:jc w:val="center"/>
              <w:rPr>
                <w:sz w:val="24"/>
                <w:szCs w:val="24"/>
              </w:rPr>
            </w:pPr>
            <w:r>
              <w:rPr>
                <w:rFonts w:hint="eastAsia"/>
                <w:sz w:val="24"/>
                <w:szCs w:val="24"/>
              </w:rPr>
              <w:t>新开工棚户区改造住房</w:t>
            </w:r>
          </w:p>
        </w:tc>
        <w:tc>
          <w:tcPr>
            <w:tcW w:w="846" w:type="pct"/>
            <w:tcBorders>
              <w:top w:val="single" w:sz="4" w:space="0" w:color="auto"/>
              <w:left w:val="single" w:sz="4" w:space="0" w:color="auto"/>
              <w:bottom w:val="single" w:sz="4" w:space="0" w:color="auto"/>
              <w:right w:val="single" w:sz="4" w:space="0" w:color="auto"/>
            </w:tcBorders>
            <w:hideMark/>
          </w:tcPr>
          <w:p w14:paraId="6959DB89" w14:textId="77777777" w:rsidR="00D37E4D" w:rsidRDefault="00D37E4D" w:rsidP="00521252">
            <w:pPr>
              <w:spacing w:line="276" w:lineRule="auto"/>
              <w:jc w:val="center"/>
              <w:rPr>
                <w:sz w:val="24"/>
                <w:szCs w:val="24"/>
              </w:rPr>
            </w:pPr>
            <w:r>
              <w:rPr>
                <w:rFonts w:hint="eastAsia"/>
                <w:sz w:val="24"/>
                <w:szCs w:val="24"/>
              </w:rPr>
              <w:t>套</w:t>
            </w:r>
          </w:p>
        </w:tc>
        <w:tc>
          <w:tcPr>
            <w:tcW w:w="608" w:type="pct"/>
            <w:tcBorders>
              <w:top w:val="single" w:sz="4" w:space="0" w:color="auto"/>
              <w:left w:val="single" w:sz="4" w:space="0" w:color="auto"/>
              <w:bottom w:val="single" w:sz="4" w:space="0" w:color="auto"/>
              <w:right w:val="single" w:sz="4" w:space="0" w:color="auto"/>
            </w:tcBorders>
            <w:hideMark/>
          </w:tcPr>
          <w:p w14:paraId="3747F854" w14:textId="77777777" w:rsidR="00D37E4D" w:rsidRDefault="00D37E4D" w:rsidP="00521252">
            <w:pPr>
              <w:spacing w:line="276" w:lineRule="auto"/>
              <w:jc w:val="center"/>
              <w:rPr>
                <w:sz w:val="24"/>
                <w:szCs w:val="24"/>
              </w:rPr>
            </w:pPr>
            <w:r>
              <w:rPr>
                <w:sz w:val="24"/>
                <w:szCs w:val="24"/>
              </w:rPr>
              <w:t>[500]</w:t>
            </w:r>
          </w:p>
        </w:tc>
        <w:tc>
          <w:tcPr>
            <w:tcW w:w="644" w:type="pct"/>
            <w:tcBorders>
              <w:top w:val="single" w:sz="4" w:space="0" w:color="auto"/>
              <w:left w:val="single" w:sz="4" w:space="0" w:color="auto"/>
              <w:bottom w:val="single" w:sz="4" w:space="0" w:color="auto"/>
              <w:right w:val="single" w:sz="4" w:space="0" w:color="auto"/>
            </w:tcBorders>
            <w:hideMark/>
          </w:tcPr>
          <w:p w14:paraId="5F0E7506" w14:textId="77777777" w:rsidR="00D37E4D" w:rsidRDefault="00D37E4D" w:rsidP="00521252">
            <w:pPr>
              <w:spacing w:line="276" w:lineRule="auto"/>
              <w:jc w:val="center"/>
              <w:rPr>
                <w:sz w:val="24"/>
                <w:szCs w:val="24"/>
              </w:rPr>
            </w:pPr>
            <w:r>
              <w:rPr>
                <w:rFonts w:hint="eastAsia"/>
                <w:sz w:val="24"/>
                <w:szCs w:val="24"/>
              </w:rPr>
              <w:t>预期性</w:t>
            </w:r>
          </w:p>
        </w:tc>
      </w:tr>
    </w:tbl>
    <w:p w14:paraId="4228E69E" w14:textId="77777777" w:rsidR="004B4AFC" w:rsidRDefault="004B4AFC" w:rsidP="00457F8A">
      <w:pPr>
        <w:spacing w:line="276" w:lineRule="auto"/>
        <w:jc w:val="right"/>
        <w:rPr>
          <w:sz w:val="24"/>
        </w:rPr>
      </w:pPr>
      <w:r w:rsidRPr="00967473">
        <w:rPr>
          <w:rFonts w:hint="eastAsia"/>
          <w:sz w:val="24"/>
        </w:rPr>
        <w:t>注</w:t>
      </w:r>
      <w:r w:rsidRPr="00967473">
        <w:rPr>
          <w:sz w:val="24"/>
        </w:rPr>
        <w:t>：</w:t>
      </w:r>
      <w:r w:rsidRPr="00967473">
        <w:rPr>
          <w:rFonts w:hint="eastAsia"/>
          <w:sz w:val="24"/>
        </w:rPr>
        <w:t>[</w:t>
      </w:r>
      <w:r w:rsidRPr="00967473">
        <w:rPr>
          <w:sz w:val="24"/>
        </w:rPr>
        <w:t xml:space="preserve"> </w:t>
      </w:r>
      <w:r w:rsidRPr="00967473">
        <w:rPr>
          <w:rFonts w:hint="eastAsia"/>
          <w:sz w:val="24"/>
        </w:rPr>
        <w:t>]</w:t>
      </w:r>
      <w:r w:rsidRPr="00967473">
        <w:rPr>
          <w:rFonts w:hint="eastAsia"/>
          <w:sz w:val="24"/>
        </w:rPr>
        <w:t>为</w:t>
      </w:r>
      <w:r w:rsidRPr="00967473">
        <w:rPr>
          <w:sz w:val="24"/>
        </w:rPr>
        <w:t>累计值</w:t>
      </w:r>
    </w:p>
    <w:p w14:paraId="0CFC5E55" w14:textId="3730E215" w:rsidR="00D248BF" w:rsidRDefault="00D248BF" w:rsidP="00D248BF">
      <w:pPr>
        <w:spacing w:line="320" w:lineRule="exact"/>
        <w:rPr>
          <w:rFonts w:cs="Times New Roman"/>
          <w:sz w:val="24"/>
          <w:szCs w:val="21"/>
        </w:rPr>
      </w:pPr>
      <w:r w:rsidRPr="001D3738">
        <w:rPr>
          <w:rFonts w:cs="Times New Roman"/>
          <w:sz w:val="24"/>
          <w:szCs w:val="21"/>
        </w:rPr>
        <w:t>1.</w:t>
      </w:r>
      <w:r>
        <w:rPr>
          <w:rFonts w:cs="Times New Roman" w:hint="eastAsia"/>
          <w:sz w:val="24"/>
          <w:szCs w:val="21"/>
        </w:rPr>
        <w:t>供应新建商品住房为预期性指标，以市住房城乡建设局批准预售口径为准，可在当年年底结合新的市场情况对下一年度供应新建商品住房目标进行动态调整；</w:t>
      </w:r>
    </w:p>
    <w:p w14:paraId="5221D0CF" w14:textId="1F45C489" w:rsidR="00D248BF" w:rsidRPr="001D3738" w:rsidRDefault="00D248BF" w:rsidP="00D248BF">
      <w:pPr>
        <w:spacing w:line="320" w:lineRule="exact"/>
        <w:rPr>
          <w:rFonts w:cs="Times New Roman"/>
          <w:sz w:val="24"/>
          <w:szCs w:val="21"/>
        </w:rPr>
      </w:pPr>
      <w:r>
        <w:rPr>
          <w:rFonts w:cs="Times New Roman" w:hint="eastAsia"/>
          <w:sz w:val="24"/>
          <w:szCs w:val="21"/>
        </w:rPr>
        <w:t>2</w:t>
      </w:r>
      <w:r>
        <w:rPr>
          <w:rFonts w:cs="Times New Roman"/>
          <w:sz w:val="24"/>
          <w:szCs w:val="21"/>
        </w:rPr>
        <w:t>.</w:t>
      </w:r>
      <w:r>
        <w:rPr>
          <w:rFonts w:cs="Times New Roman" w:hint="eastAsia"/>
          <w:sz w:val="24"/>
          <w:szCs w:val="21"/>
        </w:rPr>
        <w:t>筹建公共租赁住房为</w:t>
      </w:r>
      <w:r w:rsidRPr="00A6772D">
        <w:rPr>
          <w:rFonts w:cs="Times New Roman"/>
          <w:sz w:val="24"/>
          <w:szCs w:val="21"/>
        </w:rPr>
        <w:t>约束性目标，房源主要通过</w:t>
      </w:r>
      <w:r>
        <w:rPr>
          <w:rFonts w:cs="Times New Roman" w:hint="eastAsia"/>
          <w:sz w:val="24"/>
          <w:szCs w:val="21"/>
        </w:rPr>
        <w:t>集中新建、</w:t>
      </w:r>
      <w:r w:rsidRPr="00A6772D">
        <w:rPr>
          <w:rFonts w:cs="Times New Roman"/>
          <w:sz w:val="24"/>
          <w:szCs w:val="21"/>
        </w:rPr>
        <w:t>城市更新、招拍挂</w:t>
      </w:r>
      <w:r>
        <w:rPr>
          <w:rFonts w:cs="Times New Roman" w:hint="eastAsia"/>
          <w:sz w:val="24"/>
          <w:szCs w:val="21"/>
        </w:rPr>
        <w:t>项目</w:t>
      </w:r>
      <w:r w:rsidRPr="00A6772D">
        <w:rPr>
          <w:rFonts w:cs="Times New Roman"/>
          <w:sz w:val="24"/>
          <w:szCs w:val="21"/>
        </w:rPr>
        <w:t>配建等渠道筹建</w:t>
      </w:r>
      <w:r>
        <w:rPr>
          <w:rFonts w:cs="Times New Roman" w:hint="eastAsia"/>
          <w:sz w:val="24"/>
          <w:szCs w:val="21"/>
        </w:rPr>
        <w:t>，新建房源须在“十四五”期间实现新开工</w:t>
      </w:r>
      <w:r w:rsidR="003F41BD">
        <w:rPr>
          <w:rFonts w:cs="Times New Roman" w:hint="eastAsia"/>
          <w:sz w:val="24"/>
          <w:szCs w:val="21"/>
        </w:rPr>
        <w:t>，存量房源须正式纳入公共租赁住房系统管理分配；</w:t>
      </w:r>
    </w:p>
    <w:p w14:paraId="7654637F" w14:textId="306D1841" w:rsidR="00D248BF" w:rsidRPr="00A6772D" w:rsidRDefault="003F41BD" w:rsidP="00D248BF">
      <w:pPr>
        <w:spacing w:line="320" w:lineRule="exact"/>
        <w:rPr>
          <w:rFonts w:cs="Times New Roman"/>
          <w:sz w:val="24"/>
          <w:szCs w:val="21"/>
        </w:rPr>
      </w:pPr>
      <w:bookmarkStart w:id="40" w:name="_Hlk70256850"/>
      <w:r>
        <w:rPr>
          <w:rFonts w:cs="Times New Roman"/>
          <w:sz w:val="24"/>
          <w:szCs w:val="21"/>
        </w:rPr>
        <w:t>3</w:t>
      </w:r>
      <w:r w:rsidR="00D248BF" w:rsidRPr="00A6772D">
        <w:rPr>
          <w:rFonts w:cs="Times New Roman"/>
          <w:sz w:val="24"/>
          <w:szCs w:val="21"/>
        </w:rPr>
        <w:t>.</w:t>
      </w:r>
      <w:r w:rsidR="00D248BF" w:rsidRPr="00A6772D">
        <w:rPr>
          <w:rFonts w:cs="Times New Roman"/>
          <w:sz w:val="24"/>
          <w:szCs w:val="21"/>
        </w:rPr>
        <w:t>租赁补贴发放目标为约束性目标，指</w:t>
      </w:r>
      <w:r w:rsidR="00D248BF" w:rsidRPr="00A6772D">
        <w:rPr>
          <w:rFonts w:cs="Times New Roman"/>
          <w:sz w:val="24"/>
          <w:szCs w:val="21"/>
        </w:rPr>
        <w:t>“</w:t>
      </w:r>
      <w:r w:rsidR="00D248BF" w:rsidRPr="00A6772D">
        <w:rPr>
          <w:rFonts w:cs="Times New Roman"/>
          <w:sz w:val="24"/>
          <w:szCs w:val="21"/>
        </w:rPr>
        <w:t>十四五</w:t>
      </w:r>
      <w:r w:rsidR="00D248BF" w:rsidRPr="00A6772D">
        <w:rPr>
          <w:rFonts w:cs="Times New Roman"/>
          <w:sz w:val="24"/>
          <w:szCs w:val="21"/>
        </w:rPr>
        <w:t>”</w:t>
      </w:r>
      <w:r w:rsidR="00D248BF" w:rsidRPr="00A6772D">
        <w:rPr>
          <w:rFonts w:cs="Times New Roman"/>
          <w:sz w:val="24"/>
          <w:szCs w:val="21"/>
        </w:rPr>
        <w:t>期间新签订租赁补贴合同、纳入租赁补贴保障的家庭</w:t>
      </w:r>
      <w:r w:rsidR="00D248BF" w:rsidRPr="00A6772D">
        <w:rPr>
          <w:rFonts w:cs="Times New Roman" w:hint="eastAsia"/>
          <w:sz w:val="24"/>
          <w:szCs w:val="21"/>
        </w:rPr>
        <w:t>户数</w:t>
      </w:r>
      <w:r w:rsidR="00D248BF" w:rsidRPr="00A6772D">
        <w:rPr>
          <w:rFonts w:cs="Times New Roman"/>
          <w:sz w:val="24"/>
          <w:szCs w:val="21"/>
        </w:rPr>
        <w:t>，不含</w:t>
      </w:r>
      <w:r w:rsidR="00D248BF" w:rsidRPr="00A6772D">
        <w:rPr>
          <w:rFonts w:cs="Times New Roman"/>
          <w:sz w:val="24"/>
          <w:szCs w:val="21"/>
        </w:rPr>
        <w:t>“</w:t>
      </w:r>
      <w:r w:rsidR="00D248BF" w:rsidRPr="00A6772D">
        <w:rPr>
          <w:rFonts w:cs="Times New Roman"/>
          <w:sz w:val="24"/>
          <w:szCs w:val="21"/>
        </w:rPr>
        <w:t>十三五</w:t>
      </w:r>
      <w:r w:rsidR="00D248BF" w:rsidRPr="00A6772D">
        <w:rPr>
          <w:rFonts w:cs="Times New Roman"/>
          <w:sz w:val="24"/>
          <w:szCs w:val="21"/>
        </w:rPr>
        <w:t>”</w:t>
      </w:r>
      <w:r w:rsidR="00D248BF" w:rsidRPr="00A6772D">
        <w:rPr>
          <w:rFonts w:cs="Times New Roman"/>
          <w:sz w:val="24"/>
          <w:szCs w:val="21"/>
        </w:rPr>
        <w:t>期间已经领取租赁补贴并在</w:t>
      </w:r>
      <w:r w:rsidR="00D248BF" w:rsidRPr="00A6772D">
        <w:rPr>
          <w:rFonts w:cs="Times New Roman"/>
          <w:sz w:val="24"/>
          <w:szCs w:val="21"/>
        </w:rPr>
        <w:t>“</w:t>
      </w:r>
      <w:r w:rsidR="00D248BF" w:rsidRPr="00A6772D">
        <w:rPr>
          <w:rFonts w:cs="Times New Roman"/>
          <w:sz w:val="24"/>
          <w:szCs w:val="21"/>
        </w:rPr>
        <w:t>十四五</w:t>
      </w:r>
      <w:r w:rsidR="00D248BF" w:rsidRPr="00A6772D">
        <w:rPr>
          <w:rFonts w:cs="Times New Roman"/>
          <w:sz w:val="24"/>
          <w:szCs w:val="21"/>
        </w:rPr>
        <w:t>”</w:t>
      </w:r>
      <w:r w:rsidR="00D248BF" w:rsidRPr="00A6772D">
        <w:rPr>
          <w:rFonts w:cs="Times New Roman"/>
          <w:sz w:val="24"/>
          <w:szCs w:val="21"/>
        </w:rPr>
        <w:t>期间继续领取补贴的家庭，且各年度间不重复统计。</w:t>
      </w:r>
    </w:p>
    <w:bookmarkEnd w:id="40"/>
    <w:p w14:paraId="1E79F839" w14:textId="138DBC83" w:rsidR="00D248BF" w:rsidRPr="001D3738" w:rsidRDefault="003F41BD" w:rsidP="00D248BF">
      <w:pPr>
        <w:spacing w:line="320" w:lineRule="exact"/>
        <w:rPr>
          <w:rFonts w:cs="Times New Roman"/>
          <w:sz w:val="24"/>
          <w:szCs w:val="21"/>
        </w:rPr>
      </w:pPr>
      <w:r>
        <w:rPr>
          <w:rFonts w:cs="Times New Roman"/>
          <w:sz w:val="24"/>
          <w:szCs w:val="21"/>
        </w:rPr>
        <w:t>4</w:t>
      </w:r>
      <w:r w:rsidR="00D248BF" w:rsidRPr="001D3738">
        <w:rPr>
          <w:rFonts w:cs="Times New Roman"/>
          <w:sz w:val="24"/>
          <w:szCs w:val="21"/>
        </w:rPr>
        <w:t>.</w:t>
      </w:r>
      <w:r>
        <w:rPr>
          <w:rFonts w:cs="Times New Roman" w:hint="eastAsia"/>
          <w:sz w:val="24"/>
          <w:szCs w:val="21"/>
        </w:rPr>
        <w:t>筹建</w:t>
      </w:r>
      <w:r w:rsidR="00D248BF">
        <w:rPr>
          <w:rFonts w:cs="Times New Roman"/>
          <w:sz w:val="24"/>
          <w:szCs w:val="21"/>
        </w:rPr>
        <w:t>保障性租赁住房</w:t>
      </w:r>
      <w:r w:rsidR="00D248BF" w:rsidRPr="00A6772D">
        <w:rPr>
          <w:rFonts w:cs="Times New Roman"/>
          <w:sz w:val="24"/>
          <w:szCs w:val="21"/>
        </w:rPr>
        <w:t>、共有产权住房</w:t>
      </w:r>
      <w:r>
        <w:rPr>
          <w:rFonts w:cs="Times New Roman" w:hint="eastAsia"/>
          <w:sz w:val="24"/>
          <w:szCs w:val="21"/>
        </w:rPr>
        <w:t>、人才公寓</w:t>
      </w:r>
      <w:r w:rsidR="00D248BF" w:rsidRPr="00A6772D">
        <w:rPr>
          <w:rFonts w:cs="Times New Roman"/>
          <w:sz w:val="24"/>
          <w:szCs w:val="21"/>
        </w:rPr>
        <w:t>为</w:t>
      </w:r>
      <w:r>
        <w:rPr>
          <w:rFonts w:cs="Times New Roman" w:hint="eastAsia"/>
          <w:sz w:val="24"/>
          <w:szCs w:val="21"/>
        </w:rPr>
        <w:t>预期</w:t>
      </w:r>
      <w:r w:rsidR="00D248BF" w:rsidRPr="00A6772D">
        <w:rPr>
          <w:rFonts w:cs="Times New Roman"/>
          <w:sz w:val="24"/>
          <w:szCs w:val="21"/>
        </w:rPr>
        <w:t>性目标，</w:t>
      </w:r>
      <w:r>
        <w:rPr>
          <w:rFonts w:cs="Times New Roman" w:hint="eastAsia"/>
          <w:sz w:val="24"/>
          <w:szCs w:val="21"/>
        </w:rPr>
        <w:t>新建房源须在“十四五”期间实现新开工，各房源类型之间不得重复统计</w:t>
      </w:r>
      <w:r w:rsidR="00D248BF" w:rsidRPr="00A6772D">
        <w:rPr>
          <w:rFonts w:cs="Times New Roman"/>
          <w:sz w:val="24"/>
          <w:szCs w:val="21"/>
        </w:rPr>
        <w:t>。</w:t>
      </w:r>
    </w:p>
    <w:p w14:paraId="5FED95DF" w14:textId="2C7D2198" w:rsidR="003F41BD" w:rsidRDefault="003F41BD" w:rsidP="00D248BF">
      <w:pPr>
        <w:spacing w:line="320" w:lineRule="exact"/>
        <w:rPr>
          <w:rFonts w:cs="Times New Roman"/>
          <w:sz w:val="24"/>
          <w:szCs w:val="21"/>
        </w:rPr>
      </w:pPr>
      <w:r>
        <w:rPr>
          <w:rFonts w:cs="Times New Roman"/>
          <w:sz w:val="24"/>
          <w:szCs w:val="21"/>
        </w:rPr>
        <w:t>5.</w:t>
      </w:r>
      <w:r>
        <w:rPr>
          <w:rFonts w:cs="Times New Roman" w:hint="eastAsia"/>
          <w:sz w:val="24"/>
          <w:szCs w:val="21"/>
        </w:rPr>
        <w:t>新开工棚户区改造住房</w:t>
      </w:r>
      <w:r w:rsidR="00D248BF" w:rsidRPr="00A6772D">
        <w:rPr>
          <w:rFonts w:cs="Times New Roman"/>
          <w:sz w:val="24"/>
          <w:szCs w:val="21"/>
        </w:rPr>
        <w:t>为</w:t>
      </w:r>
      <w:r>
        <w:rPr>
          <w:rFonts w:cs="Times New Roman" w:hint="eastAsia"/>
          <w:sz w:val="24"/>
          <w:szCs w:val="21"/>
        </w:rPr>
        <w:t>预期性目标</w:t>
      </w:r>
      <w:r w:rsidR="00D248BF" w:rsidRPr="00A6772D">
        <w:rPr>
          <w:rFonts w:cs="Times New Roman"/>
          <w:sz w:val="24"/>
          <w:szCs w:val="21"/>
        </w:rPr>
        <w:t>，</w:t>
      </w:r>
      <w:r>
        <w:rPr>
          <w:rFonts w:cs="Times New Roman" w:hint="eastAsia"/>
          <w:sz w:val="24"/>
          <w:szCs w:val="21"/>
        </w:rPr>
        <w:t>新建房源须在“十四五”期间实现新开工，采取货币补贴对棚户区居民进行补偿安置，可计入新开工。</w:t>
      </w:r>
    </w:p>
    <w:p w14:paraId="42A55099" w14:textId="22E70620" w:rsidR="00427D28" w:rsidRDefault="00427D28" w:rsidP="00427D28">
      <w:pPr>
        <w:jc w:val="center"/>
        <w:rPr>
          <w:rFonts w:ascii="黑体" w:eastAsia="黑体" w:hAnsi="黑体"/>
        </w:rPr>
      </w:pPr>
      <w:r>
        <w:rPr>
          <w:rFonts w:ascii="黑体" w:eastAsia="黑体" w:hAnsi="黑体" w:hint="eastAsia"/>
        </w:rPr>
        <w:lastRenderedPageBreak/>
        <w:t>表2 湛江市</w:t>
      </w:r>
      <w:r w:rsidR="00A567FC">
        <w:rPr>
          <w:rFonts w:ascii="黑体" w:eastAsia="黑体" w:hAnsi="黑体" w:hint="eastAsia"/>
        </w:rPr>
        <w:t>“十四五”</w:t>
      </w:r>
      <w:r>
        <w:rPr>
          <w:rFonts w:ascii="黑体" w:eastAsia="黑体" w:hAnsi="黑体" w:hint="eastAsia"/>
        </w:rPr>
        <w:t>住房发展分区目标一览表</w:t>
      </w:r>
    </w:p>
    <w:p w14:paraId="5B11C5BD" w14:textId="5BBD9763" w:rsidR="00427D28" w:rsidRDefault="00427D28" w:rsidP="00427D28">
      <w:pPr>
        <w:jc w:val="right"/>
        <w:rPr>
          <w:sz w:val="24"/>
        </w:rPr>
      </w:pPr>
      <w:r>
        <w:rPr>
          <w:rFonts w:hint="eastAsia"/>
          <w:sz w:val="24"/>
        </w:rPr>
        <w:t>单位：套</w:t>
      </w:r>
      <w:r w:rsidR="00D37E4D">
        <w:rPr>
          <w:rFonts w:hint="eastAsia"/>
          <w:sz w:val="24"/>
        </w:rPr>
        <w:t>、</w:t>
      </w:r>
      <w:r>
        <w:rPr>
          <w:rFonts w:hint="eastAsia"/>
          <w:sz w:val="24"/>
        </w:rPr>
        <w:t>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154"/>
        <w:gridCol w:w="1785"/>
        <w:gridCol w:w="2050"/>
        <w:gridCol w:w="2050"/>
        <w:gridCol w:w="1361"/>
        <w:gridCol w:w="2703"/>
        <w:gridCol w:w="1186"/>
      </w:tblGrid>
      <w:tr w:rsidR="00594248" w14:paraId="6B19B419" w14:textId="77777777" w:rsidTr="00594248">
        <w:trPr>
          <w:trHeight w:val="524"/>
          <w:tblHeader/>
        </w:trPr>
        <w:tc>
          <w:tcPr>
            <w:tcW w:w="1008" w:type="pct"/>
            <w:gridSpan w:val="2"/>
            <w:vMerge w:val="restart"/>
            <w:tcBorders>
              <w:top w:val="single" w:sz="4" w:space="0" w:color="auto"/>
              <w:left w:val="single" w:sz="4" w:space="0" w:color="auto"/>
              <w:right w:val="single" w:sz="4" w:space="0" w:color="auto"/>
            </w:tcBorders>
            <w:vAlign w:val="center"/>
          </w:tcPr>
          <w:p w14:paraId="547F21B5" w14:textId="77777777" w:rsidR="00594248" w:rsidRDefault="00594248" w:rsidP="00521252">
            <w:pPr>
              <w:spacing w:line="276" w:lineRule="auto"/>
              <w:jc w:val="center"/>
              <w:rPr>
                <w:b/>
                <w:sz w:val="24"/>
                <w:szCs w:val="24"/>
              </w:rPr>
            </w:pPr>
            <w:r>
              <w:rPr>
                <w:rFonts w:hint="eastAsia"/>
                <w:b/>
                <w:sz w:val="24"/>
                <w:szCs w:val="24"/>
              </w:rPr>
              <w:t>分区</w:t>
            </w:r>
          </w:p>
        </w:tc>
        <w:tc>
          <w:tcPr>
            <w:tcW w:w="1375" w:type="pct"/>
            <w:gridSpan w:val="2"/>
            <w:tcBorders>
              <w:top w:val="single" w:sz="4" w:space="0" w:color="auto"/>
              <w:left w:val="single" w:sz="4" w:space="0" w:color="auto"/>
              <w:right w:val="single" w:sz="4" w:space="0" w:color="auto"/>
            </w:tcBorders>
            <w:noWrap/>
            <w:vAlign w:val="center"/>
            <w:hideMark/>
          </w:tcPr>
          <w:p w14:paraId="286BA804" w14:textId="252D6A1E" w:rsidR="00594248" w:rsidRDefault="00594248" w:rsidP="00594248">
            <w:pPr>
              <w:spacing w:line="276" w:lineRule="auto"/>
              <w:jc w:val="center"/>
              <w:rPr>
                <w:b/>
                <w:sz w:val="24"/>
                <w:szCs w:val="24"/>
              </w:rPr>
            </w:pPr>
            <w:r>
              <w:rPr>
                <w:rFonts w:hint="eastAsia"/>
                <w:b/>
                <w:sz w:val="24"/>
                <w:szCs w:val="24"/>
              </w:rPr>
              <w:t>新建商品住房</w:t>
            </w:r>
          </w:p>
        </w:tc>
        <w:tc>
          <w:tcPr>
            <w:tcW w:w="735" w:type="pct"/>
            <w:vMerge w:val="restart"/>
            <w:tcBorders>
              <w:top w:val="single" w:sz="4" w:space="0" w:color="auto"/>
              <w:left w:val="single" w:sz="4" w:space="0" w:color="auto"/>
              <w:right w:val="single" w:sz="4" w:space="0" w:color="auto"/>
            </w:tcBorders>
            <w:noWrap/>
            <w:vAlign w:val="center"/>
            <w:hideMark/>
          </w:tcPr>
          <w:p w14:paraId="47DD9A09" w14:textId="4769298C" w:rsidR="00594248" w:rsidRDefault="00594248" w:rsidP="00521252">
            <w:pPr>
              <w:spacing w:line="276" w:lineRule="auto"/>
              <w:jc w:val="center"/>
              <w:rPr>
                <w:b/>
                <w:sz w:val="24"/>
                <w:szCs w:val="24"/>
              </w:rPr>
            </w:pPr>
            <w:r>
              <w:rPr>
                <w:rFonts w:hint="eastAsia"/>
                <w:b/>
                <w:sz w:val="24"/>
                <w:szCs w:val="24"/>
              </w:rPr>
              <w:t>公共租赁住房</w:t>
            </w:r>
          </w:p>
        </w:tc>
        <w:tc>
          <w:tcPr>
            <w:tcW w:w="488" w:type="pct"/>
            <w:vMerge w:val="restart"/>
            <w:tcBorders>
              <w:top w:val="single" w:sz="4" w:space="0" w:color="auto"/>
              <w:left w:val="single" w:sz="4" w:space="0" w:color="auto"/>
              <w:right w:val="single" w:sz="4" w:space="0" w:color="auto"/>
            </w:tcBorders>
            <w:vAlign w:val="center"/>
          </w:tcPr>
          <w:p w14:paraId="1B6B2A95" w14:textId="77777777" w:rsidR="00594248" w:rsidRDefault="00594248" w:rsidP="00521252">
            <w:pPr>
              <w:spacing w:line="276" w:lineRule="auto"/>
              <w:jc w:val="center"/>
              <w:rPr>
                <w:b/>
                <w:sz w:val="24"/>
                <w:szCs w:val="24"/>
              </w:rPr>
            </w:pPr>
            <w:r>
              <w:rPr>
                <w:rFonts w:hint="eastAsia"/>
                <w:b/>
                <w:sz w:val="24"/>
                <w:szCs w:val="24"/>
              </w:rPr>
              <w:t>租赁补贴</w:t>
            </w:r>
          </w:p>
        </w:tc>
        <w:tc>
          <w:tcPr>
            <w:tcW w:w="969" w:type="pct"/>
            <w:vMerge w:val="restart"/>
            <w:tcBorders>
              <w:top w:val="single" w:sz="4" w:space="0" w:color="auto"/>
              <w:left w:val="single" w:sz="4" w:space="0" w:color="auto"/>
              <w:right w:val="single" w:sz="4" w:space="0" w:color="auto"/>
            </w:tcBorders>
            <w:vAlign w:val="center"/>
          </w:tcPr>
          <w:p w14:paraId="794D4B66" w14:textId="611DC81C" w:rsidR="00594248" w:rsidRDefault="00594248" w:rsidP="00594248">
            <w:pPr>
              <w:spacing w:line="276" w:lineRule="auto"/>
              <w:jc w:val="center"/>
              <w:rPr>
                <w:b/>
                <w:sz w:val="24"/>
                <w:szCs w:val="24"/>
              </w:rPr>
            </w:pPr>
            <w:r>
              <w:rPr>
                <w:rFonts w:hint="eastAsia"/>
                <w:b/>
                <w:sz w:val="24"/>
                <w:szCs w:val="24"/>
              </w:rPr>
              <w:t>保障性租赁住房、共有产权住房、人才公寓</w:t>
            </w:r>
          </w:p>
        </w:tc>
        <w:tc>
          <w:tcPr>
            <w:tcW w:w="425" w:type="pct"/>
            <w:vMerge w:val="restart"/>
            <w:tcBorders>
              <w:top w:val="single" w:sz="4" w:space="0" w:color="auto"/>
              <w:left w:val="single" w:sz="4" w:space="0" w:color="auto"/>
              <w:right w:val="single" w:sz="4" w:space="0" w:color="auto"/>
            </w:tcBorders>
            <w:vAlign w:val="center"/>
            <w:hideMark/>
          </w:tcPr>
          <w:p w14:paraId="25528DE1" w14:textId="77777777" w:rsidR="00594248" w:rsidRDefault="00594248" w:rsidP="00521252">
            <w:pPr>
              <w:spacing w:line="276" w:lineRule="auto"/>
              <w:jc w:val="center"/>
              <w:rPr>
                <w:b/>
                <w:sz w:val="24"/>
                <w:szCs w:val="24"/>
              </w:rPr>
            </w:pPr>
            <w:r>
              <w:rPr>
                <w:rFonts w:hint="eastAsia"/>
                <w:b/>
                <w:sz w:val="24"/>
                <w:szCs w:val="24"/>
              </w:rPr>
              <w:t>棚户区改造住房</w:t>
            </w:r>
          </w:p>
        </w:tc>
      </w:tr>
      <w:tr w:rsidR="00594248" w14:paraId="113E9BB1" w14:textId="77777777" w:rsidTr="00594248">
        <w:trPr>
          <w:trHeight w:val="523"/>
          <w:tblHeader/>
        </w:trPr>
        <w:tc>
          <w:tcPr>
            <w:tcW w:w="1008" w:type="pct"/>
            <w:gridSpan w:val="2"/>
            <w:vMerge/>
            <w:tcBorders>
              <w:left w:val="single" w:sz="4" w:space="0" w:color="auto"/>
              <w:bottom w:val="single" w:sz="4" w:space="0" w:color="auto"/>
              <w:right w:val="single" w:sz="4" w:space="0" w:color="auto"/>
            </w:tcBorders>
            <w:vAlign w:val="center"/>
          </w:tcPr>
          <w:p w14:paraId="339357C6" w14:textId="77777777" w:rsidR="00594248" w:rsidRDefault="00594248" w:rsidP="00521252">
            <w:pPr>
              <w:spacing w:line="276" w:lineRule="auto"/>
              <w:jc w:val="center"/>
              <w:rPr>
                <w:b/>
                <w:sz w:val="24"/>
                <w:szCs w:val="24"/>
              </w:rPr>
            </w:pPr>
          </w:p>
        </w:tc>
        <w:tc>
          <w:tcPr>
            <w:tcW w:w="640" w:type="pct"/>
            <w:tcBorders>
              <w:left w:val="single" w:sz="4" w:space="0" w:color="auto"/>
              <w:bottom w:val="single" w:sz="4" w:space="0" w:color="auto"/>
              <w:right w:val="single" w:sz="4" w:space="0" w:color="auto"/>
            </w:tcBorders>
            <w:noWrap/>
            <w:vAlign w:val="center"/>
          </w:tcPr>
          <w:p w14:paraId="369B20C5" w14:textId="7FA87DD7" w:rsidR="00594248" w:rsidRDefault="00594248" w:rsidP="00521252">
            <w:pPr>
              <w:spacing w:line="276" w:lineRule="auto"/>
              <w:jc w:val="center"/>
              <w:rPr>
                <w:b/>
                <w:sz w:val="24"/>
                <w:szCs w:val="24"/>
              </w:rPr>
            </w:pPr>
            <w:r>
              <w:rPr>
                <w:rFonts w:hint="eastAsia"/>
                <w:b/>
                <w:sz w:val="24"/>
                <w:szCs w:val="24"/>
              </w:rPr>
              <w:t>低目标</w:t>
            </w:r>
          </w:p>
        </w:tc>
        <w:tc>
          <w:tcPr>
            <w:tcW w:w="735" w:type="pct"/>
            <w:tcBorders>
              <w:top w:val="single" w:sz="4" w:space="0" w:color="auto"/>
              <w:left w:val="single" w:sz="4" w:space="0" w:color="auto"/>
              <w:bottom w:val="single" w:sz="4" w:space="0" w:color="auto"/>
              <w:right w:val="single" w:sz="4" w:space="0" w:color="auto"/>
            </w:tcBorders>
            <w:vAlign w:val="center"/>
          </w:tcPr>
          <w:p w14:paraId="7844F73C" w14:textId="13944396" w:rsidR="00594248" w:rsidRDefault="00594248" w:rsidP="00594248">
            <w:pPr>
              <w:spacing w:line="276" w:lineRule="auto"/>
              <w:jc w:val="center"/>
              <w:rPr>
                <w:b/>
                <w:sz w:val="24"/>
                <w:szCs w:val="24"/>
              </w:rPr>
            </w:pPr>
            <w:r>
              <w:rPr>
                <w:rFonts w:hint="eastAsia"/>
                <w:b/>
                <w:sz w:val="24"/>
                <w:szCs w:val="24"/>
              </w:rPr>
              <w:t>高目标</w:t>
            </w:r>
          </w:p>
        </w:tc>
        <w:tc>
          <w:tcPr>
            <w:tcW w:w="735" w:type="pct"/>
            <w:vMerge/>
            <w:tcBorders>
              <w:left w:val="single" w:sz="4" w:space="0" w:color="auto"/>
              <w:bottom w:val="single" w:sz="4" w:space="0" w:color="auto"/>
              <w:right w:val="single" w:sz="4" w:space="0" w:color="auto"/>
            </w:tcBorders>
            <w:noWrap/>
            <w:vAlign w:val="center"/>
          </w:tcPr>
          <w:p w14:paraId="08CDB88E" w14:textId="77777777" w:rsidR="00594248" w:rsidRDefault="00594248" w:rsidP="00521252">
            <w:pPr>
              <w:spacing w:line="276" w:lineRule="auto"/>
              <w:jc w:val="center"/>
              <w:rPr>
                <w:b/>
                <w:sz w:val="24"/>
                <w:szCs w:val="24"/>
              </w:rPr>
            </w:pPr>
          </w:p>
        </w:tc>
        <w:tc>
          <w:tcPr>
            <w:tcW w:w="488" w:type="pct"/>
            <w:vMerge/>
            <w:tcBorders>
              <w:left w:val="single" w:sz="4" w:space="0" w:color="auto"/>
              <w:bottom w:val="single" w:sz="4" w:space="0" w:color="auto"/>
              <w:right w:val="single" w:sz="4" w:space="0" w:color="auto"/>
            </w:tcBorders>
            <w:vAlign w:val="center"/>
          </w:tcPr>
          <w:p w14:paraId="572DC786" w14:textId="77777777" w:rsidR="00594248" w:rsidRDefault="00594248" w:rsidP="00521252">
            <w:pPr>
              <w:spacing w:line="276" w:lineRule="auto"/>
              <w:jc w:val="center"/>
              <w:rPr>
                <w:b/>
                <w:sz w:val="24"/>
                <w:szCs w:val="24"/>
              </w:rPr>
            </w:pPr>
          </w:p>
        </w:tc>
        <w:tc>
          <w:tcPr>
            <w:tcW w:w="969" w:type="pct"/>
            <w:vMerge/>
            <w:tcBorders>
              <w:left w:val="single" w:sz="4" w:space="0" w:color="auto"/>
              <w:bottom w:val="single" w:sz="4" w:space="0" w:color="auto"/>
              <w:right w:val="single" w:sz="4" w:space="0" w:color="auto"/>
            </w:tcBorders>
          </w:tcPr>
          <w:p w14:paraId="124C3267" w14:textId="77777777" w:rsidR="00594248" w:rsidRDefault="00594248" w:rsidP="00521252">
            <w:pPr>
              <w:spacing w:line="276" w:lineRule="auto"/>
              <w:jc w:val="center"/>
              <w:rPr>
                <w:b/>
                <w:sz w:val="24"/>
                <w:szCs w:val="24"/>
              </w:rPr>
            </w:pPr>
          </w:p>
        </w:tc>
        <w:tc>
          <w:tcPr>
            <w:tcW w:w="425" w:type="pct"/>
            <w:vMerge/>
            <w:tcBorders>
              <w:left w:val="single" w:sz="4" w:space="0" w:color="auto"/>
              <w:bottom w:val="single" w:sz="4" w:space="0" w:color="auto"/>
              <w:right w:val="single" w:sz="4" w:space="0" w:color="auto"/>
            </w:tcBorders>
            <w:vAlign w:val="center"/>
          </w:tcPr>
          <w:p w14:paraId="10366147" w14:textId="77777777" w:rsidR="00594248" w:rsidRDefault="00594248" w:rsidP="00521252">
            <w:pPr>
              <w:spacing w:line="276" w:lineRule="auto"/>
              <w:jc w:val="center"/>
              <w:rPr>
                <w:b/>
                <w:sz w:val="24"/>
                <w:szCs w:val="24"/>
              </w:rPr>
            </w:pPr>
          </w:p>
        </w:tc>
      </w:tr>
      <w:tr w:rsidR="00594248" w14:paraId="4EF04076" w14:textId="77777777" w:rsidTr="00594248">
        <w:trPr>
          <w:trHeight w:val="270"/>
        </w:trPr>
        <w:tc>
          <w:tcPr>
            <w:tcW w:w="236" w:type="pct"/>
            <w:vMerge w:val="restart"/>
            <w:tcBorders>
              <w:top w:val="single" w:sz="4" w:space="0" w:color="auto"/>
              <w:left w:val="single" w:sz="4" w:space="0" w:color="auto"/>
              <w:right w:val="single" w:sz="4" w:space="0" w:color="auto"/>
            </w:tcBorders>
            <w:vAlign w:val="center"/>
          </w:tcPr>
          <w:p w14:paraId="541F083C" w14:textId="77777777" w:rsidR="00594248" w:rsidRPr="00E96250" w:rsidRDefault="00594248" w:rsidP="00594248">
            <w:pPr>
              <w:spacing w:line="276" w:lineRule="auto"/>
              <w:jc w:val="center"/>
              <w:rPr>
                <w:bCs/>
                <w:sz w:val="24"/>
                <w:szCs w:val="24"/>
              </w:rPr>
            </w:pPr>
            <w:r>
              <w:rPr>
                <w:rFonts w:hint="eastAsia"/>
                <w:bCs/>
                <w:sz w:val="24"/>
                <w:szCs w:val="24"/>
              </w:rPr>
              <w:t>市区</w:t>
            </w:r>
          </w:p>
        </w:tc>
        <w:tc>
          <w:tcPr>
            <w:tcW w:w="772" w:type="pct"/>
            <w:tcBorders>
              <w:top w:val="single" w:sz="4" w:space="0" w:color="auto"/>
              <w:left w:val="single" w:sz="4" w:space="0" w:color="auto"/>
              <w:bottom w:val="single" w:sz="4" w:space="0" w:color="auto"/>
              <w:right w:val="single" w:sz="4" w:space="0" w:color="auto"/>
            </w:tcBorders>
            <w:noWrap/>
            <w:vAlign w:val="center"/>
            <w:hideMark/>
          </w:tcPr>
          <w:p w14:paraId="458BC807" w14:textId="77777777" w:rsidR="00594248" w:rsidRPr="00E96250" w:rsidRDefault="00594248" w:rsidP="00594248">
            <w:pPr>
              <w:spacing w:line="276" w:lineRule="auto"/>
              <w:jc w:val="center"/>
              <w:rPr>
                <w:bCs/>
                <w:sz w:val="24"/>
                <w:szCs w:val="24"/>
              </w:rPr>
            </w:pPr>
            <w:r w:rsidRPr="00E96250">
              <w:rPr>
                <w:rFonts w:hint="eastAsia"/>
                <w:bCs/>
                <w:sz w:val="24"/>
                <w:szCs w:val="24"/>
              </w:rPr>
              <w:t>赤坎区</w:t>
            </w:r>
          </w:p>
        </w:tc>
        <w:tc>
          <w:tcPr>
            <w:tcW w:w="640" w:type="pct"/>
            <w:tcBorders>
              <w:top w:val="single" w:sz="4" w:space="0" w:color="auto"/>
              <w:left w:val="nil"/>
              <w:bottom w:val="single" w:sz="4" w:space="0" w:color="auto"/>
              <w:right w:val="single" w:sz="4" w:space="0" w:color="auto"/>
            </w:tcBorders>
            <w:noWrap/>
            <w:vAlign w:val="bottom"/>
          </w:tcPr>
          <w:p w14:paraId="1E859368" w14:textId="073D07B7" w:rsidR="00594248" w:rsidRPr="00594248" w:rsidRDefault="00594248" w:rsidP="00594248">
            <w:pPr>
              <w:spacing w:line="276" w:lineRule="auto"/>
              <w:jc w:val="center"/>
              <w:rPr>
                <w:bCs/>
                <w:sz w:val="24"/>
                <w:szCs w:val="24"/>
              </w:rPr>
            </w:pPr>
            <w:r w:rsidRPr="00594248">
              <w:rPr>
                <w:rFonts w:hint="eastAsia"/>
                <w:bCs/>
                <w:sz w:val="24"/>
                <w:szCs w:val="24"/>
              </w:rPr>
              <w:t>40000</w:t>
            </w:r>
          </w:p>
        </w:tc>
        <w:tc>
          <w:tcPr>
            <w:tcW w:w="735" w:type="pct"/>
            <w:tcBorders>
              <w:top w:val="single" w:sz="4" w:space="0" w:color="auto"/>
              <w:left w:val="nil"/>
              <w:bottom w:val="single" w:sz="4" w:space="0" w:color="auto"/>
              <w:right w:val="single" w:sz="4" w:space="0" w:color="auto"/>
            </w:tcBorders>
            <w:vAlign w:val="bottom"/>
          </w:tcPr>
          <w:p w14:paraId="7D25E338" w14:textId="4B54532D" w:rsidR="00594248" w:rsidRPr="00594248" w:rsidRDefault="00594248" w:rsidP="00594248">
            <w:pPr>
              <w:spacing w:line="276" w:lineRule="auto"/>
              <w:jc w:val="center"/>
              <w:rPr>
                <w:bCs/>
                <w:sz w:val="24"/>
                <w:szCs w:val="24"/>
              </w:rPr>
            </w:pPr>
            <w:r w:rsidRPr="00594248">
              <w:rPr>
                <w:bCs/>
                <w:sz w:val="24"/>
                <w:szCs w:val="24"/>
              </w:rPr>
              <w:t>60000</w:t>
            </w:r>
          </w:p>
        </w:tc>
        <w:tc>
          <w:tcPr>
            <w:tcW w:w="735" w:type="pct"/>
            <w:tcBorders>
              <w:top w:val="single" w:sz="4" w:space="0" w:color="auto"/>
              <w:left w:val="single" w:sz="4" w:space="0" w:color="auto"/>
              <w:bottom w:val="single" w:sz="4" w:space="0" w:color="auto"/>
              <w:right w:val="single" w:sz="4" w:space="0" w:color="auto"/>
            </w:tcBorders>
            <w:noWrap/>
            <w:vAlign w:val="bottom"/>
          </w:tcPr>
          <w:p w14:paraId="0574AE9D" w14:textId="45197838" w:rsidR="00594248" w:rsidRPr="00594248" w:rsidRDefault="00594248" w:rsidP="00594248">
            <w:pPr>
              <w:spacing w:line="276" w:lineRule="auto"/>
              <w:jc w:val="center"/>
              <w:rPr>
                <w:bCs/>
                <w:sz w:val="24"/>
                <w:szCs w:val="24"/>
              </w:rPr>
            </w:pPr>
            <w:r w:rsidRPr="00594248">
              <w:rPr>
                <w:rFonts w:hint="eastAsia"/>
                <w:bCs/>
                <w:sz w:val="24"/>
                <w:szCs w:val="24"/>
              </w:rPr>
              <w:t>3</w:t>
            </w:r>
            <w:r w:rsidRPr="00594248">
              <w:rPr>
                <w:bCs/>
                <w:sz w:val="24"/>
                <w:szCs w:val="24"/>
              </w:rPr>
              <w:t>00</w:t>
            </w:r>
          </w:p>
        </w:tc>
        <w:tc>
          <w:tcPr>
            <w:tcW w:w="488" w:type="pct"/>
            <w:vMerge w:val="restart"/>
            <w:tcBorders>
              <w:top w:val="single" w:sz="4" w:space="0" w:color="auto"/>
              <w:left w:val="single" w:sz="4" w:space="0" w:color="auto"/>
              <w:right w:val="single" w:sz="4" w:space="0" w:color="auto"/>
            </w:tcBorders>
            <w:vAlign w:val="center"/>
          </w:tcPr>
          <w:p w14:paraId="685B687E" w14:textId="77777777" w:rsidR="00594248" w:rsidRPr="00594248" w:rsidRDefault="00594248" w:rsidP="00594248">
            <w:pPr>
              <w:spacing w:line="276" w:lineRule="auto"/>
              <w:jc w:val="center"/>
              <w:rPr>
                <w:bCs/>
                <w:sz w:val="24"/>
                <w:szCs w:val="24"/>
              </w:rPr>
            </w:pPr>
            <w:r w:rsidRPr="00594248">
              <w:rPr>
                <w:rFonts w:hint="eastAsia"/>
                <w:bCs/>
                <w:sz w:val="24"/>
                <w:szCs w:val="24"/>
              </w:rPr>
              <w:t>1</w:t>
            </w:r>
            <w:r w:rsidRPr="00594248">
              <w:rPr>
                <w:bCs/>
                <w:sz w:val="24"/>
                <w:szCs w:val="24"/>
              </w:rPr>
              <w:t>180</w:t>
            </w:r>
          </w:p>
        </w:tc>
        <w:tc>
          <w:tcPr>
            <w:tcW w:w="969" w:type="pct"/>
            <w:tcBorders>
              <w:top w:val="single" w:sz="4" w:space="0" w:color="auto"/>
              <w:left w:val="single" w:sz="4" w:space="0" w:color="auto"/>
              <w:bottom w:val="single" w:sz="4" w:space="0" w:color="auto"/>
              <w:right w:val="single" w:sz="4" w:space="0" w:color="auto"/>
            </w:tcBorders>
          </w:tcPr>
          <w:p w14:paraId="15C4911A" w14:textId="77777777" w:rsidR="00594248" w:rsidRPr="00594248" w:rsidRDefault="00594248" w:rsidP="00594248">
            <w:pPr>
              <w:spacing w:line="276" w:lineRule="auto"/>
              <w:jc w:val="center"/>
              <w:rPr>
                <w:bCs/>
                <w:sz w:val="24"/>
                <w:szCs w:val="24"/>
              </w:rPr>
            </w:pPr>
            <w:r w:rsidRPr="00594248">
              <w:rPr>
                <w:rFonts w:hint="eastAsia"/>
                <w:bCs/>
                <w:sz w:val="24"/>
                <w:szCs w:val="24"/>
              </w:rPr>
              <w:t>5</w:t>
            </w:r>
            <w:r w:rsidRPr="00594248">
              <w:rPr>
                <w:bCs/>
                <w:sz w:val="24"/>
                <w:szCs w:val="24"/>
              </w:rPr>
              <w:t>50</w:t>
            </w:r>
          </w:p>
        </w:tc>
        <w:tc>
          <w:tcPr>
            <w:tcW w:w="425" w:type="pct"/>
            <w:tcBorders>
              <w:top w:val="single" w:sz="4" w:space="0" w:color="auto"/>
              <w:left w:val="single" w:sz="4" w:space="0" w:color="auto"/>
              <w:bottom w:val="single" w:sz="4" w:space="0" w:color="auto"/>
              <w:right w:val="single" w:sz="4" w:space="0" w:color="auto"/>
            </w:tcBorders>
            <w:vAlign w:val="bottom"/>
          </w:tcPr>
          <w:p w14:paraId="30FF586E" w14:textId="77777777" w:rsidR="00594248" w:rsidRPr="00594248" w:rsidRDefault="00594248" w:rsidP="00594248">
            <w:pPr>
              <w:spacing w:line="276" w:lineRule="auto"/>
              <w:jc w:val="center"/>
              <w:rPr>
                <w:bCs/>
                <w:sz w:val="24"/>
                <w:szCs w:val="24"/>
              </w:rPr>
            </w:pPr>
            <w:r w:rsidRPr="00594248">
              <w:rPr>
                <w:rFonts w:hint="eastAsia"/>
                <w:bCs/>
                <w:sz w:val="24"/>
                <w:szCs w:val="24"/>
              </w:rPr>
              <w:t>0</w:t>
            </w:r>
          </w:p>
        </w:tc>
      </w:tr>
      <w:tr w:rsidR="00594248" w14:paraId="7A2D6F00" w14:textId="77777777" w:rsidTr="00594248">
        <w:trPr>
          <w:trHeight w:val="270"/>
        </w:trPr>
        <w:tc>
          <w:tcPr>
            <w:tcW w:w="236" w:type="pct"/>
            <w:vMerge/>
            <w:tcBorders>
              <w:left w:val="single" w:sz="4" w:space="0" w:color="auto"/>
              <w:right w:val="single" w:sz="4" w:space="0" w:color="auto"/>
            </w:tcBorders>
          </w:tcPr>
          <w:p w14:paraId="71E5DA29" w14:textId="77777777" w:rsidR="00594248" w:rsidRPr="00E96250" w:rsidRDefault="00594248" w:rsidP="00594248">
            <w:pPr>
              <w:spacing w:line="276" w:lineRule="auto"/>
              <w:jc w:val="center"/>
              <w:rPr>
                <w:bCs/>
                <w:sz w:val="24"/>
                <w:szCs w:val="24"/>
              </w:rPr>
            </w:pPr>
          </w:p>
        </w:tc>
        <w:tc>
          <w:tcPr>
            <w:tcW w:w="772" w:type="pct"/>
            <w:tcBorders>
              <w:top w:val="single" w:sz="4" w:space="0" w:color="auto"/>
              <w:left w:val="single" w:sz="4" w:space="0" w:color="auto"/>
              <w:bottom w:val="single" w:sz="4" w:space="0" w:color="auto"/>
              <w:right w:val="single" w:sz="4" w:space="0" w:color="auto"/>
            </w:tcBorders>
            <w:noWrap/>
            <w:vAlign w:val="center"/>
            <w:hideMark/>
          </w:tcPr>
          <w:p w14:paraId="19EF5B4C" w14:textId="77777777" w:rsidR="00594248" w:rsidRPr="00E96250" w:rsidRDefault="00594248" w:rsidP="00594248">
            <w:pPr>
              <w:spacing w:line="276" w:lineRule="auto"/>
              <w:jc w:val="center"/>
              <w:rPr>
                <w:bCs/>
                <w:sz w:val="24"/>
                <w:szCs w:val="24"/>
              </w:rPr>
            </w:pPr>
            <w:r w:rsidRPr="00E96250">
              <w:rPr>
                <w:rFonts w:hint="eastAsia"/>
                <w:bCs/>
                <w:sz w:val="24"/>
                <w:szCs w:val="24"/>
              </w:rPr>
              <w:t>霞山区</w:t>
            </w:r>
          </w:p>
        </w:tc>
        <w:tc>
          <w:tcPr>
            <w:tcW w:w="640" w:type="pct"/>
            <w:tcBorders>
              <w:top w:val="single" w:sz="4" w:space="0" w:color="auto"/>
              <w:left w:val="nil"/>
              <w:bottom w:val="single" w:sz="4" w:space="0" w:color="auto"/>
              <w:right w:val="single" w:sz="4" w:space="0" w:color="auto"/>
            </w:tcBorders>
            <w:noWrap/>
            <w:vAlign w:val="bottom"/>
          </w:tcPr>
          <w:p w14:paraId="0E8E2497" w14:textId="4B5DBF1D" w:rsidR="00594248" w:rsidRPr="00594248" w:rsidRDefault="00594248" w:rsidP="00594248">
            <w:pPr>
              <w:spacing w:line="276" w:lineRule="auto"/>
              <w:jc w:val="center"/>
              <w:rPr>
                <w:bCs/>
                <w:sz w:val="24"/>
                <w:szCs w:val="24"/>
              </w:rPr>
            </w:pPr>
            <w:r w:rsidRPr="00594248">
              <w:rPr>
                <w:rFonts w:hint="eastAsia"/>
                <w:bCs/>
                <w:sz w:val="24"/>
                <w:szCs w:val="24"/>
              </w:rPr>
              <w:t>45000</w:t>
            </w:r>
          </w:p>
        </w:tc>
        <w:tc>
          <w:tcPr>
            <w:tcW w:w="735" w:type="pct"/>
            <w:tcBorders>
              <w:top w:val="single" w:sz="4" w:space="0" w:color="auto"/>
              <w:left w:val="nil"/>
              <w:bottom w:val="single" w:sz="4" w:space="0" w:color="auto"/>
              <w:right w:val="single" w:sz="4" w:space="0" w:color="auto"/>
            </w:tcBorders>
            <w:vAlign w:val="bottom"/>
          </w:tcPr>
          <w:p w14:paraId="339763C1" w14:textId="7D07BA63" w:rsidR="00594248" w:rsidRPr="00594248" w:rsidRDefault="00594248" w:rsidP="00594248">
            <w:pPr>
              <w:spacing w:line="276" w:lineRule="auto"/>
              <w:jc w:val="center"/>
              <w:rPr>
                <w:bCs/>
                <w:sz w:val="24"/>
                <w:szCs w:val="24"/>
              </w:rPr>
            </w:pPr>
            <w:r w:rsidRPr="00594248">
              <w:rPr>
                <w:bCs/>
                <w:sz w:val="24"/>
                <w:szCs w:val="24"/>
              </w:rPr>
              <w:t>55000</w:t>
            </w:r>
          </w:p>
        </w:tc>
        <w:tc>
          <w:tcPr>
            <w:tcW w:w="735" w:type="pct"/>
            <w:tcBorders>
              <w:top w:val="single" w:sz="4" w:space="0" w:color="auto"/>
              <w:left w:val="single" w:sz="4" w:space="0" w:color="auto"/>
              <w:bottom w:val="single" w:sz="4" w:space="0" w:color="auto"/>
              <w:right w:val="single" w:sz="4" w:space="0" w:color="auto"/>
            </w:tcBorders>
            <w:noWrap/>
            <w:vAlign w:val="bottom"/>
          </w:tcPr>
          <w:p w14:paraId="7E1E6E3F" w14:textId="318AC43F" w:rsidR="00594248" w:rsidRPr="00594248" w:rsidRDefault="00594248" w:rsidP="00594248">
            <w:pPr>
              <w:spacing w:line="276" w:lineRule="auto"/>
              <w:jc w:val="center"/>
              <w:rPr>
                <w:bCs/>
                <w:sz w:val="24"/>
                <w:szCs w:val="24"/>
              </w:rPr>
            </w:pPr>
            <w:r w:rsidRPr="00594248">
              <w:rPr>
                <w:rFonts w:hint="eastAsia"/>
                <w:bCs/>
                <w:sz w:val="24"/>
                <w:szCs w:val="24"/>
              </w:rPr>
              <w:t>6</w:t>
            </w:r>
            <w:r w:rsidRPr="00594248">
              <w:rPr>
                <w:bCs/>
                <w:sz w:val="24"/>
                <w:szCs w:val="24"/>
              </w:rPr>
              <w:t>10</w:t>
            </w:r>
          </w:p>
        </w:tc>
        <w:tc>
          <w:tcPr>
            <w:tcW w:w="488" w:type="pct"/>
            <w:vMerge/>
            <w:tcBorders>
              <w:left w:val="single" w:sz="4" w:space="0" w:color="auto"/>
              <w:right w:val="single" w:sz="4" w:space="0" w:color="auto"/>
            </w:tcBorders>
          </w:tcPr>
          <w:p w14:paraId="70786C55" w14:textId="77777777" w:rsidR="00594248" w:rsidRPr="00594248" w:rsidRDefault="00594248" w:rsidP="00594248">
            <w:pPr>
              <w:spacing w:line="276" w:lineRule="auto"/>
              <w:jc w:val="center"/>
              <w:rPr>
                <w:bCs/>
                <w:sz w:val="24"/>
                <w:szCs w:val="24"/>
              </w:rPr>
            </w:pPr>
          </w:p>
        </w:tc>
        <w:tc>
          <w:tcPr>
            <w:tcW w:w="969" w:type="pct"/>
            <w:tcBorders>
              <w:top w:val="single" w:sz="4" w:space="0" w:color="auto"/>
              <w:left w:val="single" w:sz="4" w:space="0" w:color="auto"/>
              <w:bottom w:val="single" w:sz="4" w:space="0" w:color="auto"/>
              <w:right w:val="single" w:sz="4" w:space="0" w:color="auto"/>
            </w:tcBorders>
          </w:tcPr>
          <w:p w14:paraId="56E0E60C" w14:textId="77777777" w:rsidR="00594248" w:rsidRPr="00594248" w:rsidRDefault="00594248" w:rsidP="00594248">
            <w:pPr>
              <w:spacing w:line="276" w:lineRule="auto"/>
              <w:jc w:val="center"/>
              <w:rPr>
                <w:bCs/>
                <w:sz w:val="24"/>
                <w:szCs w:val="24"/>
              </w:rPr>
            </w:pPr>
            <w:r w:rsidRPr="00594248">
              <w:rPr>
                <w:rFonts w:hint="eastAsia"/>
                <w:bCs/>
                <w:sz w:val="24"/>
                <w:szCs w:val="24"/>
              </w:rPr>
              <w:t>3</w:t>
            </w:r>
            <w:r w:rsidRPr="00594248">
              <w:rPr>
                <w:bCs/>
                <w:sz w:val="24"/>
                <w:szCs w:val="24"/>
              </w:rPr>
              <w:t>00</w:t>
            </w:r>
          </w:p>
        </w:tc>
        <w:tc>
          <w:tcPr>
            <w:tcW w:w="425" w:type="pct"/>
            <w:tcBorders>
              <w:top w:val="single" w:sz="4" w:space="0" w:color="auto"/>
              <w:left w:val="single" w:sz="4" w:space="0" w:color="auto"/>
              <w:bottom w:val="single" w:sz="4" w:space="0" w:color="auto"/>
              <w:right w:val="single" w:sz="4" w:space="0" w:color="auto"/>
            </w:tcBorders>
            <w:vAlign w:val="bottom"/>
          </w:tcPr>
          <w:p w14:paraId="0CE64D3A" w14:textId="77777777" w:rsidR="00594248" w:rsidRPr="00594248" w:rsidRDefault="00594248" w:rsidP="00594248">
            <w:pPr>
              <w:spacing w:line="276" w:lineRule="auto"/>
              <w:jc w:val="center"/>
              <w:rPr>
                <w:bCs/>
                <w:sz w:val="24"/>
                <w:szCs w:val="24"/>
              </w:rPr>
            </w:pPr>
            <w:r w:rsidRPr="00594248">
              <w:rPr>
                <w:rFonts w:hint="eastAsia"/>
                <w:bCs/>
                <w:sz w:val="24"/>
                <w:szCs w:val="24"/>
              </w:rPr>
              <w:t>0</w:t>
            </w:r>
          </w:p>
        </w:tc>
      </w:tr>
      <w:tr w:rsidR="00594248" w14:paraId="2CCEA085" w14:textId="77777777" w:rsidTr="00594248">
        <w:trPr>
          <w:trHeight w:val="270"/>
        </w:trPr>
        <w:tc>
          <w:tcPr>
            <w:tcW w:w="236" w:type="pct"/>
            <w:vMerge/>
            <w:tcBorders>
              <w:left w:val="single" w:sz="4" w:space="0" w:color="auto"/>
              <w:right w:val="single" w:sz="4" w:space="0" w:color="auto"/>
            </w:tcBorders>
          </w:tcPr>
          <w:p w14:paraId="3C085766" w14:textId="77777777" w:rsidR="00594248" w:rsidRPr="00E96250" w:rsidRDefault="00594248" w:rsidP="00594248">
            <w:pPr>
              <w:spacing w:line="276" w:lineRule="auto"/>
              <w:jc w:val="center"/>
              <w:rPr>
                <w:bCs/>
                <w:sz w:val="24"/>
                <w:szCs w:val="24"/>
              </w:rPr>
            </w:pPr>
          </w:p>
        </w:tc>
        <w:tc>
          <w:tcPr>
            <w:tcW w:w="772" w:type="pct"/>
            <w:tcBorders>
              <w:top w:val="single" w:sz="4" w:space="0" w:color="auto"/>
              <w:left w:val="single" w:sz="4" w:space="0" w:color="auto"/>
              <w:bottom w:val="single" w:sz="4" w:space="0" w:color="auto"/>
              <w:right w:val="single" w:sz="4" w:space="0" w:color="auto"/>
            </w:tcBorders>
            <w:noWrap/>
            <w:vAlign w:val="center"/>
            <w:hideMark/>
          </w:tcPr>
          <w:p w14:paraId="270DBC66" w14:textId="77777777" w:rsidR="00594248" w:rsidRPr="00E96250" w:rsidRDefault="00594248" w:rsidP="00594248">
            <w:pPr>
              <w:spacing w:line="276" w:lineRule="auto"/>
              <w:jc w:val="center"/>
              <w:rPr>
                <w:bCs/>
                <w:sz w:val="24"/>
                <w:szCs w:val="24"/>
              </w:rPr>
            </w:pPr>
            <w:r w:rsidRPr="00E96250">
              <w:rPr>
                <w:rFonts w:hint="eastAsia"/>
                <w:bCs/>
                <w:sz w:val="24"/>
                <w:szCs w:val="24"/>
              </w:rPr>
              <w:t>坡头区</w:t>
            </w:r>
          </w:p>
        </w:tc>
        <w:tc>
          <w:tcPr>
            <w:tcW w:w="640" w:type="pct"/>
            <w:tcBorders>
              <w:top w:val="single" w:sz="4" w:space="0" w:color="auto"/>
              <w:left w:val="nil"/>
              <w:bottom w:val="single" w:sz="4" w:space="0" w:color="auto"/>
              <w:right w:val="single" w:sz="4" w:space="0" w:color="auto"/>
            </w:tcBorders>
            <w:noWrap/>
            <w:vAlign w:val="bottom"/>
          </w:tcPr>
          <w:p w14:paraId="55014E73" w14:textId="667987E3" w:rsidR="00594248" w:rsidRPr="00594248" w:rsidRDefault="00594248" w:rsidP="00594248">
            <w:pPr>
              <w:spacing w:line="276" w:lineRule="auto"/>
              <w:jc w:val="center"/>
              <w:rPr>
                <w:bCs/>
                <w:sz w:val="24"/>
                <w:szCs w:val="24"/>
              </w:rPr>
            </w:pPr>
            <w:r w:rsidRPr="00594248">
              <w:rPr>
                <w:rFonts w:hint="eastAsia"/>
                <w:bCs/>
                <w:sz w:val="24"/>
                <w:szCs w:val="24"/>
              </w:rPr>
              <w:t>30000</w:t>
            </w:r>
          </w:p>
        </w:tc>
        <w:tc>
          <w:tcPr>
            <w:tcW w:w="735" w:type="pct"/>
            <w:tcBorders>
              <w:top w:val="single" w:sz="4" w:space="0" w:color="auto"/>
              <w:left w:val="nil"/>
              <w:bottom w:val="single" w:sz="4" w:space="0" w:color="auto"/>
              <w:right w:val="single" w:sz="4" w:space="0" w:color="auto"/>
            </w:tcBorders>
            <w:vAlign w:val="bottom"/>
          </w:tcPr>
          <w:p w14:paraId="4C177646" w14:textId="2C866E63" w:rsidR="00594248" w:rsidRPr="00594248" w:rsidRDefault="00594248" w:rsidP="00594248">
            <w:pPr>
              <w:spacing w:line="276" w:lineRule="auto"/>
              <w:jc w:val="center"/>
              <w:rPr>
                <w:bCs/>
                <w:sz w:val="24"/>
                <w:szCs w:val="24"/>
              </w:rPr>
            </w:pPr>
            <w:r w:rsidRPr="00594248">
              <w:rPr>
                <w:bCs/>
                <w:sz w:val="24"/>
                <w:szCs w:val="24"/>
              </w:rPr>
              <w:t>50000</w:t>
            </w:r>
          </w:p>
        </w:tc>
        <w:tc>
          <w:tcPr>
            <w:tcW w:w="735" w:type="pct"/>
            <w:tcBorders>
              <w:top w:val="single" w:sz="4" w:space="0" w:color="auto"/>
              <w:left w:val="single" w:sz="4" w:space="0" w:color="auto"/>
              <w:bottom w:val="single" w:sz="4" w:space="0" w:color="auto"/>
              <w:right w:val="single" w:sz="4" w:space="0" w:color="auto"/>
            </w:tcBorders>
            <w:noWrap/>
            <w:vAlign w:val="bottom"/>
          </w:tcPr>
          <w:p w14:paraId="2E2B70DD" w14:textId="51DAA5CC" w:rsidR="00594248" w:rsidRPr="00594248" w:rsidRDefault="00594248" w:rsidP="00594248">
            <w:pPr>
              <w:spacing w:line="276" w:lineRule="auto"/>
              <w:jc w:val="center"/>
              <w:rPr>
                <w:bCs/>
                <w:sz w:val="24"/>
                <w:szCs w:val="24"/>
              </w:rPr>
            </w:pPr>
            <w:r w:rsidRPr="00594248">
              <w:rPr>
                <w:rFonts w:hint="eastAsia"/>
                <w:bCs/>
                <w:sz w:val="24"/>
                <w:szCs w:val="24"/>
              </w:rPr>
              <w:t>3</w:t>
            </w:r>
            <w:r w:rsidRPr="00594248">
              <w:rPr>
                <w:bCs/>
                <w:sz w:val="24"/>
                <w:szCs w:val="24"/>
              </w:rPr>
              <w:t>00</w:t>
            </w:r>
          </w:p>
        </w:tc>
        <w:tc>
          <w:tcPr>
            <w:tcW w:w="488" w:type="pct"/>
            <w:vMerge/>
            <w:tcBorders>
              <w:left w:val="single" w:sz="4" w:space="0" w:color="auto"/>
              <w:right w:val="single" w:sz="4" w:space="0" w:color="auto"/>
            </w:tcBorders>
          </w:tcPr>
          <w:p w14:paraId="53959504" w14:textId="77777777" w:rsidR="00594248" w:rsidRPr="00594248" w:rsidRDefault="00594248" w:rsidP="00594248">
            <w:pPr>
              <w:spacing w:line="276" w:lineRule="auto"/>
              <w:jc w:val="center"/>
              <w:rPr>
                <w:bCs/>
                <w:sz w:val="24"/>
                <w:szCs w:val="24"/>
              </w:rPr>
            </w:pPr>
          </w:p>
        </w:tc>
        <w:tc>
          <w:tcPr>
            <w:tcW w:w="969" w:type="pct"/>
            <w:tcBorders>
              <w:top w:val="single" w:sz="4" w:space="0" w:color="auto"/>
              <w:left w:val="single" w:sz="4" w:space="0" w:color="auto"/>
              <w:bottom w:val="single" w:sz="4" w:space="0" w:color="auto"/>
              <w:right w:val="single" w:sz="4" w:space="0" w:color="auto"/>
            </w:tcBorders>
          </w:tcPr>
          <w:p w14:paraId="2C82A647" w14:textId="620CACF1" w:rsidR="00594248" w:rsidRPr="00594248" w:rsidRDefault="00594248" w:rsidP="00594248">
            <w:pPr>
              <w:spacing w:line="276" w:lineRule="auto"/>
              <w:jc w:val="center"/>
              <w:rPr>
                <w:bCs/>
                <w:sz w:val="24"/>
                <w:szCs w:val="24"/>
              </w:rPr>
            </w:pPr>
            <w:r w:rsidRPr="00594248">
              <w:rPr>
                <w:bCs/>
                <w:sz w:val="24"/>
                <w:szCs w:val="24"/>
              </w:rPr>
              <w:t>300</w:t>
            </w:r>
          </w:p>
        </w:tc>
        <w:tc>
          <w:tcPr>
            <w:tcW w:w="425" w:type="pct"/>
            <w:tcBorders>
              <w:top w:val="single" w:sz="4" w:space="0" w:color="auto"/>
              <w:left w:val="single" w:sz="4" w:space="0" w:color="auto"/>
              <w:bottom w:val="single" w:sz="4" w:space="0" w:color="auto"/>
              <w:right w:val="single" w:sz="4" w:space="0" w:color="auto"/>
            </w:tcBorders>
            <w:vAlign w:val="bottom"/>
          </w:tcPr>
          <w:p w14:paraId="2B31B3E2" w14:textId="77777777" w:rsidR="00594248" w:rsidRPr="00594248" w:rsidRDefault="00594248" w:rsidP="00594248">
            <w:pPr>
              <w:spacing w:line="276" w:lineRule="auto"/>
              <w:jc w:val="center"/>
              <w:rPr>
                <w:bCs/>
                <w:sz w:val="24"/>
                <w:szCs w:val="24"/>
              </w:rPr>
            </w:pPr>
            <w:r w:rsidRPr="00594248">
              <w:rPr>
                <w:rFonts w:hint="eastAsia"/>
                <w:bCs/>
                <w:sz w:val="24"/>
                <w:szCs w:val="24"/>
              </w:rPr>
              <w:t>0</w:t>
            </w:r>
          </w:p>
        </w:tc>
      </w:tr>
      <w:tr w:rsidR="00594248" w14:paraId="07E26ED0" w14:textId="77777777" w:rsidTr="00594248">
        <w:trPr>
          <w:trHeight w:val="270"/>
        </w:trPr>
        <w:tc>
          <w:tcPr>
            <w:tcW w:w="236" w:type="pct"/>
            <w:vMerge/>
            <w:tcBorders>
              <w:left w:val="single" w:sz="4" w:space="0" w:color="auto"/>
              <w:right w:val="single" w:sz="4" w:space="0" w:color="auto"/>
            </w:tcBorders>
          </w:tcPr>
          <w:p w14:paraId="0DF0E9BB" w14:textId="77777777" w:rsidR="00594248" w:rsidRPr="00E96250" w:rsidRDefault="00594248" w:rsidP="00594248">
            <w:pPr>
              <w:spacing w:line="276" w:lineRule="auto"/>
              <w:jc w:val="center"/>
              <w:rPr>
                <w:bCs/>
                <w:sz w:val="24"/>
                <w:szCs w:val="24"/>
              </w:rPr>
            </w:pPr>
          </w:p>
        </w:tc>
        <w:tc>
          <w:tcPr>
            <w:tcW w:w="772" w:type="pct"/>
            <w:tcBorders>
              <w:top w:val="single" w:sz="4" w:space="0" w:color="auto"/>
              <w:left w:val="single" w:sz="4" w:space="0" w:color="auto"/>
              <w:bottom w:val="single" w:sz="4" w:space="0" w:color="auto"/>
              <w:right w:val="single" w:sz="4" w:space="0" w:color="auto"/>
            </w:tcBorders>
            <w:noWrap/>
            <w:vAlign w:val="center"/>
            <w:hideMark/>
          </w:tcPr>
          <w:p w14:paraId="6E43757C" w14:textId="77777777" w:rsidR="00594248" w:rsidRPr="00E96250" w:rsidRDefault="00594248" w:rsidP="00594248">
            <w:pPr>
              <w:spacing w:line="276" w:lineRule="auto"/>
              <w:jc w:val="center"/>
              <w:rPr>
                <w:bCs/>
                <w:sz w:val="24"/>
                <w:szCs w:val="24"/>
              </w:rPr>
            </w:pPr>
            <w:r w:rsidRPr="00E96250">
              <w:rPr>
                <w:rFonts w:hint="eastAsia"/>
                <w:bCs/>
                <w:sz w:val="24"/>
                <w:szCs w:val="24"/>
              </w:rPr>
              <w:t>麻章区</w:t>
            </w:r>
          </w:p>
        </w:tc>
        <w:tc>
          <w:tcPr>
            <w:tcW w:w="640" w:type="pct"/>
            <w:tcBorders>
              <w:top w:val="single" w:sz="4" w:space="0" w:color="auto"/>
              <w:left w:val="nil"/>
              <w:bottom w:val="single" w:sz="4" w:space="0" w:color="auto"/>
              <w:right w:val="single" w:sz="4" w:space="0" w:color="auto"/>
            </w:tcBorders>
            <w:noWrap/>
            <w:vAlign w:val="bottom"/>
          </w:tcPr>
          <w:p w14:paraId="2CFF0BFC" w14:textId="5F5EECD3" w:rsidR="00594248" w:rsidRPr="00594248" w:rsidRDefault="00594248" w:rsidP="00594248">
            <w:pPr>
              <w:spacing w:line="276" w:lineRule="auto"/>
              <w:jc w:val="center"/>
              <w:rPr>
                <w:bCs/>
                <w:sz w:val="24"/>
                <w:szCs w:val="24"/>
              </w:rPr>
            </w:pPr>
            <w:r w:rsidRPr="00594248">
              <w:rPr>
                <w:rFonts w:hint="eastAsia"/>
                <w:bCs/>
                <w:sz w:val="24"/>
                <w:szCs w:val="24"/>
              </w:rPr>
              <w:t>22500</w:t>
            </w:r>
          </w:p>
        </w:tc>
        <w:tc>
          <w:tcPr>
            <w:tcW w:w="735" w:type="pct"/>
            <w:tcBorders>
              <w:top w:val="single" w:sz="4" w:space="0" w:color="auto"/>
              <w:left w:val="nil"/>
              <w:bottom w:val="single" w:sz="4" w:space="0" w:color="auto"/>
              <w:right w:val="single" w:sz="4" w:space="0" w:color="auto"/>
            </w:tcBorders>
            <w:vAlign w:val="bottom"/>
          </w:tcPr>
          <w:p w14:paraId="0510BDB7" w14:textId="3C45A0B6" w:rsidR="00594248" w:rsidRPr="00594248" w:rsidRDefault="00594248" w:rsidP="00594248">
            <w:pPr>
              <w:spacing w:line="276" w:lineRule="auto"/>
              <w:jc w:val="center"/>
              <w:rPr>
                <w:bCs/>
                <w:sz w:val="24"/>
                <w:szCs w:val="24"/>
              </w:rPr>
            </w:pPr>
            <w:r w:rsidRPr="00594248">
              <w:rPr>
                <w:bCs/>
                <w:sz w:val="24"/>
                <w:szCs w:val="24"/>
              </w:rPr>
              <w:t>30000</w:t>
            </w:r>
          </w:p>
        </w:tc>
        <w:tc>
          <w:tcPr>
            <w:tcW w:w="735" w:type="pct"/>
            <w:tcBorders>
              <w:top w:val="single" w:sz="4" w:space="0" w:color="auto"/>
              <w:left w:val="single" w:sz="4" w:space="0" w:color="auto"/>
              <w:bottom w:val="single" w:sz="4" w:space="0" w:color="auto"/>
              <w:right w:val="single" w:sz="4" w:space="0" w:color="auto"/>
            </w:tcBorders>
            <w:noWrap/>
            <w:vAlign w:val="bottom"/>
          </w:tcPr>
          <w:p w14:paraId="4F7B98CA" w14:textId="3B213C3D" w:rsidR="00594248" w:rsidRPr="00594248" w:rsidRDefault="00594248" w:rsidP="00594248">
            <w:pPr>
              <w:spacing w:line="276" w:lineRule="auto"/>
              <w:jc w:val="center"/>
              <w:rPr>
                <w:bCs/>
                <w:sz w:val="24"/>
                <w:szCs w:val="24"/>
              </w:rPr>
            </w:pPr>
            <w:r w:rsidRPr="00594248">
              <w:rPr>
                <w:rFonts w:hint="eastAsia"/>
                <w:bCs/>
                <w:sz w:val="24"/>
                <w:szCs w:val="24"/>
              </w:rPr>
              <w:t>0</w:t>
            </w:r>
          </w:p>
        </w:tc>
        <w:tc>
          <w:tcPr>
            <w:tcW w:w="488" w:type="pct"/>
            <w:vMerge/>
            <w:tcBorders>
              <w:left w:val="single" w:sz="4" w:space="0" w:color="auto"/>
              <w:right w:val="single" w:sz="4" w:space="0" w:color="auto"/>
            </w:tcBorders>
          </w:tcPr>
          <w:p w14:paraId="53A159D8" w14:textId="77777777" w:rsidR="00594248" w:rsidRPr="00594248" w:rsidRDefault="00594248" w:rsidP="00594248">
            <w:pPr>
              <w:spacing w:line="276" w:lineRule="auto"/>
              <w:jc w:val="center"/>
              <w:rPr>
                <w:bCs/>
                <w:sz w:val="24"/>
                <w:szCs w:val="24"/>
              </w:rPr>
            </w:pPr>
          </w:p>
        </w:tc>
        <w:tc>
          <w:tcPr>
            <w:tcW w:w="969" w:type="pct"/>
            <w:tcBorders>
              <w:top w:val="single" w:sz="4" w:space="0" w:color="auto"/>
              <w:left w:val="single" w:sz="4" w:space="0" w:color="auto"/>
              <w:bottom w:val="single" w:sz="4" w:space="0" w:color="auto"/>
              <w:right w:val="single" w:sz="4" w:space="0" w:color="auto"/>
            </w:tcBorders>
          </w:tcPr>
          <w:p w14:paraId="700092DA" w14:textId="6BC391E5" w:rsidR="00594248" w:rsidRPr="00594248" w:rsidRDefault="00594248" w:rsidP="00594248">
            <w:pPr>
              <w:spacing w:line="276" w:lineRule="auto"/>
              <w:jc w:val="center"/>
              <w:rPr>
                <w:bCs/>
                <w:sz w:val="24"/>
                <w:szCs w:val="24"/>
              </w:rPr>
            </w:pPr>
            <w:r w:rsidRPr="00594248">
              <w:rPr>
                <w:bCs/>
                <w:sz w:val="24"/>
                <w:szCs w:val="24"/>
              </w:rPr>
              <w:t>0</w:t>
            </w:r>
          </w:p>
        </w:tc>
        <w:tc>
          <w:tcPr>
            <w:tcW w:w="425" w:type="pct"/>
            <w:tcBorders>
              <w:top w:val="single" w:sz="4" w:space="0" w:color="auto"/>
              <w:left w:val="single" w:sz="4" w:space="0" w:color="auto"/>
              <w:bottom w:val="single" w:sz="4" w:space="0" w:color="auto"/>
              <w:right w:val="single" w:sz="4" w:space="0" w:color="auto"/>
            </w:tcBorders>
            <w:vAlign w:val="bottom"/>
          </w:tcPr>
          <w:p w14:paraId="610E97CD" w14:textId="77777777" w:rsidR="00594248" w:rsidRPr="00594248" w:rsidRDefault="00594248" w:rsidP="00594248">
            <w:pPr>
              <w:spacing w:line="276" w:lineRule="auto"/>
              <w:jc w:val="center"/>
              <w:rPr>
                <w:bCs/>
                <w:sz w:val="24"/>
                <w:szCs w:val="24"/>
              </w:rPr>
            </w:pPr>
            <w:r w:rsidRPr="00594248">
              <w:rPr>
                <w:rFonts w:hint="eastAsia"/>
                <w:bCs/>
                <w:sz w:val="24"/>
                <w:szCs w:val="24"/>
              </w:rPr>
              <w:t>0</w:t>
            </w:r>
          </w:p>
        </w:tc>
      </w:tr>
      <w:tr w:rsidR="00594248" w14:paraId="0CC3141D" w14:textId="77777777" w:rsidTr="00594248">
        <w:trPr>
          <w:trHeight w:val="270"/>
        </w:trPr>
        <w:tc>
          <w:tcPr>
            <w:tcW w:w="236" w:type="pct"/>
            <w:vMerge/>
            <w:tcBorders>
              <w:left w:val="single" w:sz="4" w:space="0" w:color="auto"/>
              <w:right w:val="single" w:sz="4" w:space="0" w:color="auto"/>
            </w:tcBorders>
          </w:tcPr>
          <w:p w14:paraId="14C1E527" w14:textId="77777777" w:rsidR="00594248" w:rsidRPr="00E96250" w:rsidRDefault="00594248" w:rsidP="00594248">
            <w:pPr>
              <w:spacing w:line="276" w:lineRule="auto"/>
              <w:jc w:val="center"/>
              <w:rPr>
                <w:bCs/>
                <w:sz w:val="24"/>
                <w:szCs w:val="24"/>
              </w:rPr>
            </w:pPr>
          </w:p>
        </w:tc>
        <w:tc>
          <w:tcPr>
            <w:tcW w:w="772" w:type="pct"/>
            <w:tcBorders>
              <w:top w:val="single" w:sz="4" w:space="0" w:color="auto"/>
              <w:left w:val="single" w:sz="4" w:space="0" w:color="auto"/>
              <w:bottom w:val="single" w:sz="4" w:space="0" w:color="auto"/>
              <w:right w:val="single" w:sz="4" w:space="0" w:color="auto"/>
            </w:tcBorders>
            <w:noWrap/>
            <w:vAlign w:val="center"/>
            <w:hideMark/>
          </w:tcPr>
          <w:p w14:paraId="6D80B67F" w14:textId="77777777" w:rsidR="00594248" w:rsidRPr="00E96250" w:rsidRDefault="00594248" w:rsidP="00594248">
            <w:pPr>
              <w:spacing w:line="276" w:lineRule="auto"/>
              <w:jc w:val="center"/>
              <w:rPr>
                <w:bCs/>
                <w:sz w:val="24"/>
                <w:szCs w:val="24"/>
              </w:rPr>
            </w:pPr>
            <w:r w:rsidRPr="00E96250">
              <w:rPr>
                <w:rFonts w:hint="eastAsia"/>
                <w:bCs/>
                <w:sz w:val="24"/>
                <w:szCs w:val="24"/>
              </w:rPr>
              <w:t>开发区</w:t>
            </w:r>
          </w:p>
        </w:tc>
        <w:tc>
          <w:tcPr>
            <w:tcW w:w="640" w:type="pct"/>
            <w:tcBorders>
              <w:top w:val="single" w:sz="4" w:space="0" w:color="auto"/>
              <w:left w:val="nil"/>
              <w:bottom w:val="single" w:sz="4" w:space="0" w:color="auto"/>
              <w:right w:val="single" w:sz="4" w:space="0" w:color="auto"/>
            </w:tcBorders>
            <w:noWrap/>
            <w:vAlign w:val="bottom"/>
          </w:tcPr>
          <w:p w14:paraId="7DE62237" w14:textId="57B040EE" w:rsidR="00594248" w:rsidRPr="00594248" w:rsidRDefault="00594248" w:rsidP="00594248">
            <w:pPr>
              <w:spacing w:line="276" w:lineRule="auto"/>
              <w:jc w:val="center"/>
              <w:rPr>
                <w:bCs/>
                <w:sz w:val="24"/>
                <w:szCs w:val="24"/>
              </w:rPr>
            </w:pPr>
            <w:r w:rsidRPr="00594248">
              <w:rPr>
                <w:rFonts w:hint="eastAsia"/>
                <w:bCs/>
                <w:sz w:val="24"/>
                <w:szCs w:val="24"/>
              </w:rPr>
              <w:t>35000</w:t>
            </w:r>
          </w:p>
        </w:tc>
        <w:tc>
          <w:tcPr>
            <w:tcW w:w="735" w:type="pct"/>
            <w:tcBorders>
              <w:top w:val="single" w:sz="4" w:space="0" w:color="auto"/>
              <w:left w:val="nil"/>
              <w:bottom w:val="single" w:sz="4" w:space="0" w:color="auto"/>
              <w:right w:val="single" w:sz="4" w:space="0" w:color="auto"/>
            </w:tcBorders>
            <w:vAlign w:val="bottom"/>
          </w:tcPr>
          <w:p w14:paraId="460950CE" w14:textId="56332A4D" w:rsidR="00594248" w:rsidRPr="00594248" w:rsidRDefault="00594248" w:rsidP="00594248">
            <w:pPr>
              <w:spacing w:line="276" w:lineRule="auto"/>
              <w:jc w:val="center"/>
              <w:rPr>
                <w:bCs/>
                <w:sz w:val="24"/>
                <w:szCs w:val="24"/>
              </w:rPr>
            </w:pPr>
            <w:r w:rsidRPr="00594248">
              <w:rPr>
                <w:bCs/>
                <w:sz w:val="24"/>
                <w:szCs w:val="24"/>
              </w:rPr>
              <w:t>45000</w:t>
            </w:r>
          </w:p>
        </w:tc>
        <w:tc>
          <w:tcPr>
            <w:tcW w:w="735" w:type="pct"/>
            <w:tcBorders>
              <w:top w:val="single" w:sz="4" w:space="0" w:color="auto"/>
              <w:left w:val="single" w:sz="4" w:space="0" w:color="auto"/>
              <w:bottom w:val="single" w:sz="4" w:space="0" w:color="auto"/>
              <w:right w:val="single" w:sz="4" w:space="0" w:color="auto"/>
            </w:tcBorders>
            <w:noWrap/>
            <w:vAlign w:val="bottom"/>
          </w:tcPr>
          <w:p w14:paraId="00BB9065" w14:textId="6E4AC8E1" w:rsidR="00594248" w:rsidRPr="00594248" w:rsidRDefault="00594248" w:rsidP="00594248">
            <w:pPr>
              <w:spacing w:line="276" w:lineRule="auto"/>
              <w:jc w:val="center"/>
              <w:rPr>
                <w:bCs/>
                <w:sz w:val="24"/>
                <w:szCs w:val="24"/>
              </w:rPr>
            </w:pPr>
            <w:r w:rsidRPr="00594248">
              <w:rPr>
                <w:rFonts w:hint="eastAsia"/>
                <w:bCs/>
                <w:sz w:val="24"/>
                <w:szCs w:val="24"/>
              </w:rPr>
              <w:t>0</w:t>
            </w:r>
          </w:p>
        </w:tc>
        <w:tc>
          <w:tcPr>
            <w:tcW w:w="488" w:type="pct"/>
            <w:vMerge/>
            <w:tcBorders>
              <w:left w:val="single" w:sz="4" w:space="0" w:color="auto"/>
              <w:bottom w:val="single" w:sz="4" w:space="0" w:color="auto"/>
              <w:right w:val="single" w:sz="4" w:space="0" w:color="auto"/>
            </w:tcBorders>
          </w:tcPr>
          <w:p w14:paraId="369F2246" w14:textId="77777777" w:rsidR="00594248" w:rsidRPr="00594248" w:rsidRDefault="00594248" w:rsidP="00594248">
            <w:pPr>
              <w:spacing w:line="276" w:lineRule="auto"/>
              <w:jc w:val="center"/>
              <w:rPr>
                <w:bCs/>
                <w:sz w:val="24"/>
                <w:szCs w:val="24"/>
              </w:rPr>
            </w:pPr>
          </w:p>
        </w:tc>
        <w:tc>
          <w:tcPr>
            <w:tcW w:w="969" w:type="pct"/>
            <w:tcBorders>
              <w:top w:val="single" w:sz="4" w:space="0" w:color="auto"/>
              <w:left w:val="single" w:sz="4" w:space="0" w:color="auto"/>
              <w:bottom w:val="single" w:sz="4" w:space="0" w:color="auto"/>
              <w:right w:val="single" w:sz="4" w:space="0" w:color="auto"/>
            </w:tcBorders>
          </w:tcPr>
          <w:p w14:paraId="11F29806" w14:textId="7C2FE83A" w:rsidR="00594248" w:rsidRPr="00594248" w:rsidRDefault="00594248" w:rsidP="00594248">
            <w:pPr>
              <w:spacing w:line="276" w:lineRule="auto"/>
              <w:jc w:val="center"/>
              <w:rPr>
                <w:bCs/>
                <w:sz w:val="24"/>
                <w:szCs w:val="24"/>
              </w:rPr>
            </w:pPr>
            <w:r w:rsidRPr="00594248">
              <w:rPr>
                <w:bCs/>
                <w:sz w:val="24"/>
                <w:szCs w:val="24"/>
              </w:rPr>
              <w:t>500</w:t>
            </w:r>
          </w:p>
        </w:tc>
        <w:tc>
          <w:tcPr>
            <w:tcW w:w="425" w:type="pct"/>
            <w:tcBorders>
              <w:top w:val="single" w:sz="4" w:space="0" w:color="auto"/>
              <w:left w:val="single" w:sz="4" w:space="0" w:color="auto"/>
              <w:bottom w:val="single" w:sz="4" w:space="0" w:color="auto"/>
              <w:right w:val="single" w:sz="4" w:space="0" w:color="auto"/>
            </w:tcBorders>
            <w:vAlign w:val="bottom"/>
          </w:tcPr>
          <w:p w14:paraId="22BECCCA" w14:textId="77777777" w:rsidR="00594248" w:rsidRPr="00594248" w:rsidRDefault="00594248" w:rsidP="00594248">
            <w:pPr>
              <w:spacing w:line="276" w:lineRule="auto"/>
              <w:jc w:val="center"/>
              <w:rPr>
                <w:bCs/>
                <w:sz w:val="24"/>
                <w:szCs w:val="24"/>
              </w:rPr>
            </w:pPr>
            <w:r w:rsidRPr="00594248">
              <w:rPr>
                <w:rFonts w:hint="eastAsia"/>
                <w:bCs/>
                <w:sz w:val="24"/>
                <w:szCs w:val="24"/>
              </w:rPr>
              <w:t>2</w:t>
            </w:r>
            <w:r w:rsidRPr="00594248">
              <w:rPr>
                <w:bCs/>
                <w:sz w:val="24"/>
                <w:szCs w:val="24"/>
              </w:rPr>
              <w:t>00</w:t>
            </w:r>
          </w:p>
        </w:tc>
      </w:tr>
      <w:tr w:rsidR="00594248" w14:paraId="68FE0B53" w14:textId="77777777" w:rsidTr="00594248">
        <w:trPr>
          <w:trHeight w:val="270"/>
        </w:trPr>
        <w:tc>
          <w:tcPr>
            <w:tcW w:w="236" w:type="pct"/>
            <w:vMerge/>
            <w:tcBorders>
              <w:left w:val="single" w:sz="4" w:space="0" w:color="auto"/>
              <w:bottom w:val="single" w:sz="4" w:space="0" w:color="auto"/>
              <w:right w:val="single" w:sz="4" w:space="0" w:color="auto"/>
            </w:tcBorders>
          </w:tcPr>
          <w:p w14:paraId="32E74EE3" w14:textId="77777777" w:rsidR="00594248" w:rsidRPr="00E96250" w:rsidRDefault="00594248" w:rsidP="00594248">
            <w:pPr>
              <w:spacing w:line="276" w:lineRule="auto"/>
              <w:jc w:val="center"/>
              <w:rPr>
                <w:bCs/>
                <w:sz w:val="24"/>
                <w:szCs w:val="24"/>
              </w:rPr>
            </w:pPr>
          </w:p>
        </w:tc>
        <w:tc>
          <w:tcPr>
            <w:tcW w:w="772" w:type="pct"/>
            <w:tcBorders>
              <w:top w:val="single" w:sz="4" w:space="0" w:color="auto"/>
              <w:left w:val="single" w:sz="4" w:space="0" w:color="auto"/>
              <w:bottom w:val="single" w:sz="4" w:space="0" w:color="auto"/>
              <w:right w:val="single" w:sz="4" w:space="0" w:color="auto"/>
            </w:tcBorders>
            <w:noWrap/>
            <w:vAlign w:val="center"/>
          </w:tcPr>
          <w:p w14:paraId="6ECA36B3" w14:textId="77777777" w:rsidR="00594248" w:rsidRPr="00E96250" w:rsidRDefault="00594248" w:rsidP="00594248">
            <w:pPr>
              <w:spacing w:line="276" w:lineRule="auto"/>
              <w:jc w:val="center"/>
              <w:rPr>
                <w:bCs/>
                <w:sz w:val="24"/>
                <w:szCs w:val="24"/>
              </w:rPr>
            </w:pPr>
            <w:r>
              <w:rPr>
                <w:rFonts w:hint="eastAsia"/>
                <w:bCs/>
                <w:sz w:val="24"/>
                <w:szCs w:val="24"/>
              </w:rPr>
              <w:t>合计</w:t>
            </w:r>
          </w:p>
        </w:tc>
        <w:tc>
          <w:tcPr>
            <w:tcW w:w="640" w:type="pct"/>
            <w:tcBorders>
              <w:top w:val="single" w:sz="4" w:space="0" w:color="auto"/>
              <w:left w:val="nil"/>
              <w:bottom w:val="single" w:sz="4" w:space="0" w:color="auto"/>
              <w:right w:val="single" w:sz="4" w:space="0" w:color="auto"/>
            </w:tcBorders>
            <w:noWrap/>
            <w:vAlign w:val="bottom"/>
          </w:tcPr>
          <w:p w14:paraId="5EA161DE" w14:textId="63992230" w:rsidR="00594248" w:rsidRPr="00594248" w:rsidRDefault="00594248" w:rsidP="00594248">
            <w:pPr>
              <w:spacing w:line="276" w:lineRule="auto"/>
              <w:jc w:val="center"/>
              <w:rPr>
                <w:bCs/>
                <w:sz w:val="24"/>
                <w:szCs w:val="24"/>
              </w:rPr>
            </w:pPr>
            <w:r w:rsidRPr="00594248">
              <w:rPr>
                <w:rFonts w:hint="eastAsia"/>
                <w:bCs/>
                <w:sz w:val="24"/>
                <w:szCs w:val="24"/>
              </w:rPr>
              <w:t>1</w:t>
            </w:r>
            <w:r w:rsidRPr="00594248">
              <w:rPr>
                <w:bCs/>
                <w:sz w:val="24"/>
                <w:szCs w:val="24"/>
              </w:rPr>
              <w:t>72500</w:t>
            </w:r>
          </w:p>
        </w:tc>
        <w:tc>
          <w:tcPr>
            <w:tcW w:w="735" w:type="pct"/>
            <w:tcBorders>
              <w:top w:val="single" w:sz="4" w:space="0" w:color="auto"/>
              <w:left w:val="nil"/>
              <w:bottom w:val="single" w:sz="4" w:space="0" w:color="auto"/>
              <w:right w:val="single" w:sz="4" w:space="0" w:color="auto"/>
            </w:tcBorders>
            <w:vAlign w:val="bottom"/>
          </w:tcPr>
          <w:p w14:paraId="0548200F" w14:textId="03EAB10E" w:rsidR="00594248" w:rsidRPr="00594248" w:rsidRDefault="00594248" w:rsidP="00594248">
            <w:pPr>
              <w:spacing w:line="276" w:lineRule="auto"/>
              <w:jc w:val="center"/>
              <w:rPr>
                <w:bCs/>
                <w:sz w:val="24"/>
                <w:szCs w:val="24"/>
              </w:rPr>
            </w:pPr>
            <w:r w:rsidRPr="00594248">
              <w:rPr>
                <w:bCs/>
                <w:sz w:val="24"/>
                <w:szCs w:val="24"/>
              </w:rPr>
              <w:t>240000</w:t>
            </w:r>
          </w:p>
        </w:tc>
        <w:tc>
          <w:tcPr>
            <w:tcW w:w="735" w:type="pct"/>
            <w:tcBorders>
              <w:top w:val="single" w:sz="4" w:space="0" w:color="auto"/>
              <w:left w:val="single" w:sz="4" w:space="0" w:color="auto"/>
              <w:bottom w:val="single" w:sz="4" w:space="0" w:color="auto"/>
              <w:right w:val="single" w:sz="4" w:space="0" w:color="auto"/>
            </w:tcBorders>
            <w:noWrap/>
            <w:vAlign w:val="bottom"/>
          </w:tcPr>
          <w:p w14:paraId="703470C4" w14:textId="6E6DCC6B" w:rsidR="00594248" w:rsidRPr="00594248" w:rsidRDefault="00594248" w:rsidP="00594248">
            <w:pPr>
              <w:spacing w:line="276" w:lineRule="auto"/>
              <w:jc w:val="center"/>
              <w:rPr>
                <w:bCs/>
                <w:sz w:val="24"/>
                <w:szCs w:val="24"/>
              </w:rPr>
            </w:pPr>
            <w:r w:rsidRPr="00594248">
              <w:rPr>
                <w:rFonts w:hint="eastAsia"/>
                <w:bCs/>
                <w:sz w:val="24"/>
                <w:szCs w:val="24"/>
              </w:rPr>
              <w:t>1</w:t>
            </w:r>
            <w:r w:rsidRPr="00594248">
              <w:rPr>
                <w:bCs/>
                <w:sz w:val="24"/>
                <w:szCs w:val="24"/>
              </w:rPr>
              <w:t>210</w:t>
            </w:r>
          </w:p>
        </w:tc>
        <w:tc>
          <w:tcPr>
            <w:tcW w:w="488" w:type="pct"/>
            <w:tcBorders>
              <w:left w:val="single" w:sz="4" w:space="0" w:color="auto"/>
              <w:bottom w:val="single" w:sz="4" w:space="0" w:color="auto"/>
              <w:right w:val="single" w:sz="4" w:space="0" w:color="auto"/>
            </w:tcBorders>
          </w:tcPr>
          <w:p w14:paraId="26D6F75B" w14:textId="77777777" w:rsidR="00594248" w:rsidRPr="00594248" w:rsidRDefault="00594248" w:rsidP="00594248">
            <w:pPr>
              <w:spacing w:line="276" w:lineRule="auto"/>
              <w:jc w:val="center"/>
              <w:rPr>
                <w:bCs/>
                <w:sz w:val="24"/>
                <w:szCs w:val="24"/>
              </w:rPr>
            </w:pPr>
            <w:r w:rsidRPr="00594248">
              <w:rPr>
                <w:rFonts w:hint="eastAsia"/>
                <w:bCs/>
                <w:sz w:val="24"/>
                <w:szCs w:val="24"/>
              </w:rPr>
              <w:t>1</w:t>
            </w:r>
            <w:r w:rsidRPr="00594248">
              <w:rPr>
                <w:bCs/>
                <w:sz w:val="24"/>
                <w:szCs w:val="24"/>
              </w:rPr>
              <w:t>180</w:t>
            </w:r>
          </w:p>
        </w:tc>
        <w:tc>
          <w:tcPr>
            <w:tcW w:w="969" w:type="pct"/>
            <w:tcBorders>
              <w:top w:val="single" w:sz="4" w:space="0" w:color="auto"/>
              <w:left w:val="single" w:sz="4" w:space="0" w:color="auto"/>
              <w:bottom w:val="single" w:sz="4" w:space="0" w:color="auto"/>
              <w:right w:val="single" w:sz="4" w:space="0" w:color="auto"/>
            </w:tcBorders>
          </w:tcPr>
          <w:p w14:paraId="1FDC241E" w14:textId="793F7968" w:rsidR="00594248" w:rsidRPr="00594248" w:rsidRDefault="00594248" w:rsidP="00594248">
            <w:pPr>
              <w:spacing w:line="276" w:lineRule="auto"/>
              <w:jc w:val="center"/>
              <w:rPr>
                <w:bCs/>
                <w:sz w:val="24"/>
                <w:szCs w:val="24"/>
              </w:rPr>
            </w:pPr>
            <w:r w:rsidRPr="00594248">
              <w:rPr>
                <w:bCs/>
                <w:sz w:val="24"/>
                <w:szCs w:val="24"/>
              </w:rPr>
              <w:t>1650</w:t>
            </w:r>
          </w:p>
        </w:tc>
        <w:tc>
          <w:tcPr>
            <w:tcW w:w="425" w:type="pct"/>
            <w:tcBorders>
              <w:top w:val="single" w:sz="4" w:space="0" w:color="auto"/>
              <w:left w:val="single" w:sz="4" w:space="0" w:color="auto"/>
              <w:bottom w:val="single" w:sz="4" w:space="0" w:color="auto"/>
              <w:right w:val="single" w:sz="4" w:space="0" w:color="auto"/>
            </w:tcBorders>
            <w:vAlign w:val="bottom"/>
          </w:tcPr>
          <w:p w14:paraId="5B62665E" w14:textId="77777777" w:rsidR="00594248" w:rsidRPr="00594248" w:rsidRDefault="00594248" w:rsidP="00594248">
            <w:pPr>
              <w:spacing w:line="276" w:lineRule="auto"/>
              <w:jc w:val="center"/>
              <w:rPr>
                <w:bCs/>
                <w:sz w:val="24"/>
                <w:szCs w:val="24"/>
              </w:rPr>
            </w:pPr>
            <w:r w:rsidRPr="00594248">
              <w:rPr>
                <w:rFonts w:hint="eastAsia"/>
                <w:bCs/>
                <w:sz w:val="24"/>
                <w:szCs w:val="24"/>
              </w:rPr>
              <w:t>2</w:t>
            </w:r>
            <w:r w:rsidRPr="00594248">
              <w:rPr>
                <w:bCs/>
                <w:sz w:val="24"/>
                <w:szCs w:val="24"/>
              </w:rPr>
              <w:t>00</w:t>
            </w:r>
          </w:p>
        </w:tc>
      </w:tr>
      <w:tr w:rsidR="00594248" w14:paraId="132E29D8" w14:textId="77777777" w:rsidTr="00594248">
        <w:trPr>
          <w:trHeight w:val="270"/>
        </w:trPr>
        <w:tc>
          <w:tcPr>
            <w:tcW w:w="1008" w:type="pct"/>
            <w:gridSpan w:val="2"/>
            <w:tcBorders>
              <w:top w:val="single" w:sz="4" w:space="0" w:color="auto"/>
              <w:left w:val="single" w:sz="4" w:space="0" w:color="auto"/>
              <w:bottom w:val="single" w:sz="4" w:space="0" w:color="auto"/>
              <w:right w:val="single" w:sz="4" w:space="0" w:color="auto"/>
            </w:tcBorders>
          </w:tcPr>
          <w:p w14:paraId="75054D8F" w14:textId="77777777" w:rsidR="00594248" w:rsidRPr="00E96250" w:rsidRDefault="00594248" w:rsidP="00594248">
            <w:pPr>
              <w:spacing w:line="276" w:lineRule="auto"/>
              <w:jc w:val="center"/>
              <w:rPr>
                <w:bCs/>
                <w:sz w:val="24"/>
                <w:szCs w:val="24"/>
              </w:rPr>
            </w:pPr>
            <w:r w:rsidRPr="00E96250">
              <w:rPr>
                <w:rFonts w:hint="eastAsia"/>
                <w:bCs/>
                <w:sz w:val="24"/>
                <w:szCs w:val="24"/>
              </w:rPr>
              <w:t>吴川市</w:t>
            </w:r>
          </w:p>
        </w:tc>
        <w:tc>
          <w:tcPr>
            <w:tcW w:w="640" w:type="pct"/>
            <w:tcBorders>
              <w:top w:val="single" w:sz="4" w:space="0" w:color="auto"/>
              <w:left w:val="nil"/>
              <w:bottom w:val="single" w:sz="4" w:space="0" w:color="auto"/>
              <w:right w:val="single" w:sz="4" w:space="0" w:color="auto"/>
            </w:tcBorders>
            <w:noWrap/>
            <w:vAlign w:val="bottom"/>
          </w:tcPr>
          <w:p w14:paraId="677D620E" w14:textId="411A0C60" w:rsidR="00594248" w:rsidRPr="00594248" w:rsidRDefault="00045CF0" w:rsidP="00594248">
            <w:pPr>
              <w:spacing w:line="276" w:lineRule="auto"/>
              <w:jc w:val="center"/>
              <w:rPr>
                <w:bCs/>
                <w:sz w:val="24"/>
                <w:szCs w:val="24"/>
              </w:rPr>
            </w:pPr>
            <w:r>
              <w:rPr>
                <w:bCs/>
                <w:sz w:val="24"/>
                <w:szCs w:val="24"/>
              </w:rPr>
              <w:t>515</w:t>
            </w:r>
            <w:r w:rsidRPr="00594248">
              <w:rPr>
                <w:rFonts w:hint="eastAsia"/>
                <w:bCs/>
                <w:sz w:val="24"/>
                <w:szCs w:val="24"/>
              </w:rPr>
              <w:t>00</w:t>
            </w:r>
          </w:p>
        </w:tc>
        <w:tc>
          <w:tcPr>
            <w:tcW w:w="735" w:type="pct"/>
            <w:tcBorders>
              <w:top w:val="single" w:sz="4" w:space="0" w:color="auto"/>
              <w:left w:val="nil"/>
              <w:bottom w:val="single" w:sz="4" w:space="0" w:color="auto"/>
              <w:right w:val="single" w:sz="4" w:space="0" w:color="auto"/>
            </w:tcBorders>
            <w:vAlign w:val="bottom"/>
          </w:tcPr>
          <w:p w14:paraId="6A97F91D" w14:textId="6CACBCDD" w:rsidR="00594248" w:rsidRPr="00594248" w:rsidRDefault="00594248" w:rsidP="00594248">
            <w:pPr>
              <w:spacing w:line="276" w:lineRule="auto"/>
              <w:jc w:val="center"/>
              <w:rPr>
                <w:bCs/>
                <w:sz w:val="24"/>
                <w:szCs w:val="24"/>
              </w:rPr>
            </w:pPr>
            <w:r w:rsidRPr="00594248">
              <w:rPr>
                <w:bCs/>
                <w:sz w:val="24"/>
                <w:szCs w:val="24"/>
              </w:rPr>
              <w:t>60000</w:t>
            </w:r>
          </w:p>
        </w:tc>
        <w:tc>
          <w:tcPr>
            <w:tcW w:w="735" w:type="pct"/>
            <w:tcBorders>
              <w:top w:val="single" w:sz="4" w:space="0" w:color="auto"/>
              <w:left w:val="single" w:sz="4" w:space="0" w:color="auto"/>
              <w:bottom w:val="single" w:sz="4" w:space="0" w:color="auto"/>
              <w:right w:val="single" w:sz="4" w:space="0" w:color="auto"/>
            </w:tcBorders>
            <w:noWrap/>
            <w:vAlign w:val="bottom"/>
          </w:tcPr>
          <w:p w14:paraId="50279DB5" w14:textId="3B02843D" w:rsidR="00594248" w:rsidRPr="00594248" w:rsidRDefault="00594248" w:rsidP="00594248">
            <w:pPr>
              <w:spacing w:line="276" w:lineRule="auto"/>
              <w:jc w:val="center"/>
              <w:rPr>
                <w:bCs/>
                <w:sz w:val="24"/>
                <w:szCs w:val="24"/>
              </w:rPr>
            </w:pPr>
            <w:r w:rsidRPr="00594248">
              <w:rPr>
                <w:rFonts w:hint="eastAsia"/>
                <w:bCs/>
                <w:sz w:val="24"/>
                <w:szCs w:val="24"/>
              </w:rPr>
              <w:t>1</w:t>
            </w:r>
            <w:r w:rsidRPr="00594248">
              <w:rPr>
                <w:bCs/>
                <w:sz w:val="24"/>
                <w:szCs w:val="24"/>
              </w:rPr>
              <w:t>00</w:t>
            </w:r>
          </w:p>
        </w:tc>
        <w:tc>
          <w:tcPr>
            <w:tcW w:w="488" w:type="pct"/>
            <w:tcBorders>
              <w:top w:val="single" w:sz="4" w:space="0" w:color="auto"/>
              <w:left w:val="single" w:sz="4" w:space="0" w:color="auto"/>
              <w:bottom w:val="single" w:sz="4" w:space="0" w:color="auto"/>
              <w:right w:val="single" w:sz="4" w:space="0" w:color="auto"/>
            </w:tcBorders>
          </w:tcPr>
          <w:p w14:paraId="1ADA14CE" w14:textId="77777777" w:rsidR="00594248" w:rsidRPr="00594248" w:rsidRDefault="00594248" w:rsidP="00594248">
            <w:pPr>
              <w:spacing w:line="276" w:lineRule="auto"/>
              <w:jc w:val="center"/>
              <w:rPr>
                <w:bCs/>
                <w:sz w:val="24"/>
                <w:szCs w:val="24"/>
              </w:rPr>
            </w:pPr>
            <w:r w:rsidRPr="00594248">
              <w:rPr>
                <w:rFonts w:hint="eastAsia"/>
                <w:bCs/>
                <w:sz w:val="24"/>
                <w:szCs w:val="24"/>
              </w:rPr>
              <w:t>1</w:t>
            </w:r>
            <w:r w:rsidRPr="00594248">
              <w:rPr>
                <w:bCs/>
                <w:sz w:val="24"/>
                <w:szCs w:val="24"/>
              </w:rPr>
              <w:t>60</w:t>
            </w:r>
          </w:p>
        </w:tc>
        <w:tc>
          <w:tcPr>
            <w:tcW w:w="969" w:type="pct"/>
            <w:tcBorders>
              <w:top w:val="single" w:sz="4" w:space="0" w:color="auto"/>
              <w:left w:val="single" w:sz="4" w:space="0" w:color="auto"/>
              <w:bottom w:val="single" w:sz="4" w:space="0" w:color="auto"/>
              <w:right w:val="single" w:sz="4" w:space="0" w:color="auto"/>
            </w:tcBorders>
          </w:tcPr>
          <w:p w14:paraId="3B5CD377" w14:textId="0AE9CBDA" w:rsidR="00594248" w:rsidRPr="00594248" w:rsidRDefault="00594248" w:rsidP="00594248">
            <w:pPr>
              <w:spacing w:line="276" w:lineRule="auto"/>
              <w:jc w:val="center"/>
              <w:rPr>
                <w:bCs/>
                <w:sz w:val="24"/>
                <w:szCs w:val="24"/>
              </w:rPr>
            </w:pPr>
            <w:r w:rsidRPr="00594248">
              <w:rPr>
                <w:bCs/>
                <w:sz w:val="24"/>
                <w:szCs w:val="24"/>
              </w:rPr>
              <w:t>350</w:t>
            </w:r>
          </w:p>
        </w:tc>
        <w:tc>
          <w:tcPr>
            <w:tcW w:w="425" w:type="pct"/>
            <w:tcBorders>
              <w:top w:val="single" w:sz="4" w:space="0" w:color="auto"/>
              <w:left w:val="single" w:sz="4" w:space="0" w:color="auto"/>
              <w:bottom w:val="single" w:sz="4" w:space="0" w:color="auto"/>
              <w:right w:val="single" w:sz="4" w:space="0" w:color="auto"/>
            </w:tcBorders>
            <w:vAlign w:val="bottom"/>
          </w:tcPr>
          <w:p w14:paraId="732951A5" w14:textId="77777777" w:rsidR="00594248" w:rsidRPr="00594248" w:rsidRDefault="00594248" w:rsidP="00594248">
            <w:pPr>
              <w:spacing w:line="276" w:lineRule="auto"/>
              <w:jc w:val="center"/>
              <w:rPr>
                <w:bCs/>
                <w:sz w:val="24"/>
                <w:szCs w:val="24"/>
              </w:rPr>
            </w:pPr>
            <w:r w:rsidRPr="00594248">
              <w:rPr>
                <w:rFonts w:hint="eastAsia"/>
                <w:bCs/>
                <w:sz w:val="24"/>
                <w:szCs w:val="24"/>
              </w:rPr>
              <w:t>7</w:t>
            </w:r>
            <w:r w:rsidRPr="00594248">
              <w:rPr>
                <w:bCs/>
                <w:sz w:val="24"/>
                <w:szCs w:val="24"/>
              </w:rPr>
              <w:t>0</w:t>
            </w:r>
          </w:p>
        </w:tc>
      </w:tr>
      <w:tr w:rsidR="00594248" w14:paraId="40D88E91" w14:textId="77777777" w:rsidTr="00594248">
        <w:trPr>
          <w:trHeight w:val="270"/>
        </w:trPr>
        <w:tc>
          <w:tcPr>
            <w:tcW w:w="1008" w:type="pct"/>
            <w:gridSpan w:val="2"/>
            <w:tcBorders>
              <w:top w:val="single" w:sz="4" w:space="0" w:color="auto"/>
              <w:left w:val="single" w:sz="4" w:space="0" w:color="auto"/>
              <w:bottom w:val="single" w:sz="4" w:space="0" w:color="auto"/>
              <w:right w:val="single" w:sz="4" w:space="0" w:color="auto"/>
            </w:tcBorders>
          </w:tcPr>
          <w:p w14:paraId="6D080388" w14:textId="77777777" w:rsidR="00594248" w:rsidRPr="00E96250" w:rsidRDefault="00594248" w:rsidP="00594248">
            <w:pPr>
              <w:spacing w:line="276" w:lineRule="auto"/>
              <w:jc w:val="center"/>
              <w:rPr>
                <w:bCs/>
                <w:sz w:val="24"/>
                <w:szCs w:val="24"/>
              </w:rPr>
            </w:pPr>
            <w:r w:rsidRPr="00E96250">
              <w:rPr>
                <w:rFonts w:hint="eastAsia"/>
                <w:bCs/>
                <w:sz w:val="24"/>
                <w:szCs w:val="24"/>
              </w:rPr>
              <w:t>徐闻县</w:t>
            </w:r>
          </w:p>
        </w:tc>
        <w:tc>
          <w:tcPr>
            <w:tcW w:w="640" w:type="pct"/>
            <w:tcBorders>
              <w:top w:val="single" w:sz="4" w:space="0" w:color="auto"/>
              <w:left w:val="nil"/>
              <w:bottom w:val="single" w:sz="4" w:space="0" w:color="auto"/>
              <w:right w:val="single" w:sz="4" w:space="0" w:color="auto"/>
            </w:tcBorders>
            <w:noWrap/>
            <w:vAlign w:val="bottom"/>
          </w:tcPr>
          <w:p w14:paraId="677C5DDB" w14:textId="1F598F93" w:rsidR="00594248" w:rsidRPr="00594248" w:rsidRDefault="00045CF0" w:rsidP="00594248">
            <w:pPr>
              <w:spacing w:line="276" w:lineRule="auto"/>
              <w:jc w:val="center"/>
              <w:rPr>
                <w:bCs/>
                <w:sz w:val="24"/>
                <w:szCs w:val="24"/>
              </w:rPr>
            </w:pPr>
            <w:r w:rsidRPr="00594248">
              <w:rPr>
                <w:rFonts w:hint="eastAsia"/>
                <w:bCs/>
                <w:sz w:val="24"/>
                <w:szCs w:val="24"/>
              </w:rPr>
              <w:t>2</w:t>
            </w:r>
            <w:r>
              <w:rPr>
                <w:bCs/>
                <w:sz w:val="24"/>
                <w:szCs w:val="24"/>
              </w:rPr>
              <w:t>5</w:t>
            </w:r>
            <w:r w:rsidRPr="00594248">
              <w:rPr>
                <w:rFonts w:hint="eastAsia"/>
                <w:bCs/>
                <w:sz w:val="24"/>
                <w:szCs w:val="24"/>
              </w:rPr>
              <w:t>000</w:t>
            </w:r>
          </w:p>
        </w:tc>
        <w:tc>
          <w:tcPr>
            <w:tcW w:w="735" w:type="pct"/>
            <w:tcBorders>
              <w:top w:val="single" w:sz="4" w:space="0" w:color="auto"/>
              <w:left w:val="nil"/>
              <w:bottom w:val="single" w:sz="4" w:space="0" w:color="auto"/>
              <w:right w:val="single" w:sz="4" w:space="0" w:color="auto"/>
            </w:tcBorders>
            <w:vAlign w:val="bottom"/>
          </w:tcPr>
          <w:p w14:paraId="2EECDA7D" w14:textId="39D64FD0" w:rsidR="00594248" w:rsidRPr="00594248" w:rsidRDefault="00594248" w:rsidP="00594248">
            <w:pPr>
              <w:spacing w:line="276" w:lineRule="auto"/>
              <w:jc w:val="center"/>
              <w:rPr>
                <w:bCs/>
                <w:sz w:val="24"/>
                <w:szCs w:val="24"/>
              </w:rPr>
            </w:pPr>
            <w:r w:rsidRPr="00594248">
              <w:rPr>
                <w:bCs/>
                <w:sz w:val="24"/>
                <w:szCs w:val="24"/>
              </w:rPr>
              <w:t>37000</w:t>
            </w:r>
          </w:p>
        </w:tc>
        <w:tc>
          <w:tcPr>
            <w:tcW w:w="735" w:type="pct"/>
            <w:tcBorders>
              <w:top w:val="single" w:sz="4" w:space="0" w:color="auto"/>
              <w:left w:val="single" w:sz="4" w:space="0" w:color="auto"/>
              <w:bottom w:val="single" w:sz="4" w:space="0" w:color="auto"/>
              <w:right w:val="single" w:sz="4" w:space="0" w:color="auto"/>
            </w:tcBorders>
            <w:noWrap/>
            <w:vAlign w:val="bottom"/>
          </w:tcPr>
          <w:p w14:paraId="292998AA" w14:textId="633CCF62" w:rsidR="00594248" w:rsidRPr="00594248" w:rsidRDefault="00594248" w:rsidP="00594248">
            <w:pPr>
              <w:spacing w:line="276" w:lineRule="auto"/>
              <w:jc w:val="center"/>
              <w:rPr>
                <w:bCs/>
                <w:sz w:val="24"/>
                <w:szCs w:val="24"/>
              </w:rPr>
            </w:pPr>
            <w:r w:rsidRPr="00594248">
              <w:rPr>
                <w:rFonts w:hint="eastAsia"/>
                <w:bCs/>
                <w:sz w:val="24"/>
                <w:szCs w:val="24"/>
              </w:rPr>
              <w:t>1</w:t>
            </w:r>
            <w:r w:rsidRPr="00594248">
              <w:rPr>
                <w:bCs/>
                <w:sz w:val="24"/>
                <w:szCs w:val="24"/>
              </w:rPr>
              <w:t>00</w:t>
            </w:r>
          </w:p>
        </w:tc>
        <w:tc>
          <w:tcPr>
            <w:tcW w:w="488" w:type="pct"/>
            <w:tcBorders>
              <w:top w:val="single" w:sz="4" w:space="0" w:color="auto"/>
              <w:left w:val="single" w:sz="4" w:space="0" w:color="auto"/>
              <w:bottom w:val="single" w:sz="4" w:space="0" w:color="auto"/>
              <w:right w:val="single" w:sz="4" w:space="0" w:color="auto"/>
            </w:tcBorders>
          </w:tcPr>
          <w:p w14:paraId="3BD28022" w14:textId="77777777" w:rsidR="00594248" w:rsidRPr="00594248" w:rsidRDefault="00594248" w:rsidP="00594248">
            <w:pPr>
              <w:spacing w:line="276" w:lineRule="auto"/>
              <w:jc w:val="center"/>
              <w:rPr>
                <w:bCs/>
                <w:sz w:val="24"/>
                <w:szCs w:val="24"/>
              </w:rPr>
            </w:pPr>
            <w:r w:rsidRPr="00594248">
              <w:rPr>
                <w:rFonts w:hint="eastAsia"/>
                <w:bCs/>
                <w:sz w:val="24"/>
                <w:szCs w:val="24"/>
              </w:rPr>
              <w:t>1</w:t>
            </w:r>
            <w:r w:rsidRPr="00594248">
              <w:rPr>
                <w:bCs/>
                <w:sz w:val="24"/>
                <w:szCs w:val="24"/>
              </w:rPr>
              <w:t>60</w:t>
            </w:r>
          </w:p>
        </w:tc>
        <w:tc>
          <w:tcPr>
            <w:tcW w:w="969" w:type="pct"/>
            <w:tcBorders>
              <w:top w:val="single" w:sz="4" w:space="0" w:color="auto"/>
              <w:left w:val="single" w:sz="4" w:space="0" w:color="auto"/>
              <w:bottom w:val="single" w:sz="4" w:space="0" w:color="auto"/>
              <w:right w:val="single" w:sz="4" w:space="0" w:color="auto"/>
            </w:tcBorders>
          </w:tcPr>
          <w:p w14:paraId="158A720B" w14:textId="77777777" w:rsidR="00594248" w:rsidRPr="00594248" w:rsidRDefault="00594248" w:rsidP="00594248">
            <w:pPr>
              <w:spacing w:line="276" w:lineRule="auto"/>
              <w:jc w:val="center"/>
              <w:rPr>
                <w:bCs/>
                <w:sz w:val="24"/>
                <w:szCs w:val="24"/>
              </w:rPr>
            </w:pPr>
            <w:r w:rsidRPr="00594248">
              <w:rPr>
                <w:bCs/>
                <w:sz w:val="24"/>
                <w:szCs w:val="24"/>
              </w:rPr>
              <w:t>0</w:t>
            </w:r>
          </w:p>
        </w:tc>
        <w:tc>
          <w:tcPr>
            <w:tcW w:w="425" w:type="pct"/>
            <w:tcBorders>
              <w:top w:val="single" w:sz="4" w:space="0" w:color="auto"/>
              <w:left w:val="single" w:sz="4" w:space="0" w:color="auto"/>
              <w:bottom w:val="single" w:sz="4" w:space="0" w:color="auto"/>
              <w:right w:val="single" w:sz="4" w:space="0" w:color="auto"/>
            </w:tcBorders>
            <w:vAlign w:val="bottom"/>
          </w:tcPr>
          <w:p w14:paraId="7B45D3BA" w14:textId="77777777" w:rsidR="00594248" w:rsidRPr="00594248" w:rsidRDefault="00594248" w:rsidP="00594248">
            <w:pPr>
              <w:spacing w:line="276" w:lineRule="auto"/>
              <w:jc w:val="center"/>
              <w:rPr>
                <w:bCs/>
                <w:sz w:val="24"/>
                <w:szCs w:val="24"/>
              </w:rPr>
            </w:pPr>
            <w:r w:rsidRPr="00594248">
              <w:rPr>
                <w:rFonts w:hint="eastAsia"/>
                <w:bCs/>
                <w:sz w:val="24"/>
                <w:szCs w:val="24"/>
              </w:rPr>
              <w:t>8</w:t>
            </w:r>
            <w:r w:rsidRPr="00594248">
              <w:rPr>
                <w:bCs/>
                <w:sz w:val="24"/>
                <w:szCs w:val="24"/>
              </w:rPr>
              <w:t>0</w:t>
            </w:r>
          </w:p>
        </w:tc>
      </w:tr>
      <w:tr w:rsidR="00594248" w14:paraId="0FBD55CF" w14:textId="77777777" w:rsidTr="00594248">
        <w:trPr>
          <w:trHeight w:val="270"/>
        </w:trPr>
        <w:tc>
          <w:tcPr>
            <w:tcW w:w="1008" w:type="pct"/>
            <w:gridSpan w:val="2"/>
            <w:tcBorders>
              <w:top w:val="single" w:sz="4" w:space="0" w:color="auto"/>
              <w:left w:val="single" w:sz="4" w:space="0" w:color="auto"/>
              <w:bottom w:val="single" w:sz="4" w:space="0" w:color="auto"/>
              <w:right w:val="single" w:sz="4" w:space="0" w:color="auto"/>
            </w:tcBorders>
          </w:tcPr>
          <w:p w14:paraId="4EE21E3A" w14:textId="77777777" w:rsidR="00594248" w:rsidRPr="00E96250" w:rsidRDefault="00594248" w:rsidP="00594248">
            <w:pPr>
              <w:spacing w:line="276" w:lineRule="auto"/>
              <w:jc w:val="center"/>
              <w:rPr>
                <w:bCs/>
                <w:sz w:val="24"/>
                <w:szCs w:val="24"/>
              </w:rPr>
            </w:pPr>
            <w:r w:rsidRPr="00E96250">
              <w:rPr>
                <w:rFonts w:hint="eastAsia"/>
                <w:bCs/>
                <w:sz w:val="24"/>
                <w:szCs w:val="24"/>
              </w:rPr>
              <w:t>雷州市</w:t>
            </w:r>
          </w:p>
        </w:tc>
        <w:tc>
          <w:tcPr>
            <w:tcW w:w="640" w:type="pct"/>
            <w:tcBorders>
              <w:top w:val="single" w:sz="4" w:space="0" w:color="auto"/>
              <w:left w:val="nil"/>
              <w:bottom w:val="single" w:sz="4" w:space="0" w:color="auto"/>
              <w:right w:val="single" w:sz="4" w:space="0" w:color="auto"/>
            </w:tcBorders>
            <w:noWrap/>
            <w:vAlign w:val="bottom"/>
          </w:tcPr>
          <w:p w14:paraId="53AE70D5" w14:textId="49E5C5EE" w:rsidR="00594248" w:rsidRPr="00594248" w:rsidRDefault="00045CF0" w:rsidP="00594248">
            <w:pPr>
              <w:spacing w:line="276" w:lineRule="auto"/>
              <w:jc w:val="center"/>
              <w:rPr>
                <w:bCs/>
                <w:sz w:val="24"/>
                <w:szCs w:val="24"/>
              </w:rPr>
            </w:pPr>
            <w:r>
              <w:rPr>
                <w:bCs/>
                <w:sz w:val="24"/>
                <w:szCs w:val="24"/>
              </w:rPr>
              <w:t>23</w:t>
            </w:r>
            <w:r w:rsidRPr="00594248">
              <w:rPr>
                <w:rFonts w:hint="eastAsia"/>
                <w:bCs/>
                <w:sz w:val="24"/>
                <w:szCs w:val="24"/>
              </w:rPr>
              <w:t>000</w:t>
            </w:r>
          </w:p>
        </w:tc>
        <w:tc>
          <w:tcPr>
            <w:tcW w:w="735" w:type="pct"/>
            <w:tcBorders>
              <w:top w:val="single" w:sz="4" w:space="0" w:color="auto"/>
              <w:left w:val="nil"/>
              <w:bottom w:val="single" w:sz="4" w:space="0" w:color="auto"/>
              <w:right w:val="single" w:sz="4" w:space="0" w:color="auto"/>
            </w:tcBorders>
            <w:vAlign w:val="bottom"/>
          </w:tcPr>
          <w:p w14:paraId="7E6ECCC0" w14:textId="6DC0BD32" w:rsidR="00594248" w:rsidRPr="00594248" w:rsidRDefault="00594248" w:rsidP="00594248">
            <w:pPr>
              <w:spacing w:line="276" w:lineRule="auto"/>
              <w:jc w:val="center"/>
              <w:rPr>
                <w:bCs/>
                <w:sz w:val="24"/>
                <w:szCs w:val="24"/>
              </w:rPr>
            </w:pPr>
            <w:r w:rsidRPr="00594248">
              <w:rPr>
                <w:bCs/>
                <w:sz w:val="24"/>
                <w:szCs w:val="24"/>
              </w:rPr>
              <w:t>36000</w:t>
            </w:r>
          </w:p>
        </w:tc>
        <w:tc>
          <w:tcPr>
            <w:tcW w:w="735" w:type="pct"/>
            <w:tcBorders>
              <w:top w:val="single" w:sz="4" w:space="0" w:color="auto"/>
              <w:left w:val="single" w:sz="4" w:space="0" w:color="auto"/>
              <w:bottom w:val="single" w:sz="4" w:space="0" w:color="auto"/>
              <w:right w:val="single" w:sz="4" w:space="0" w:color="auto"/>
            </w:tcBorders>
            <w:noWrap/>
            <w:vAlign w:val="bottom"/>
          </w:tcPr>
          <w:p w14:paraId="662B8C72" w14:textId="4F86B8DD" w:rsidR="00594248" w:rsidRPr="00594248" w:rsidRDefault="00594248" w:rsidP="00594248">
            <w:pPr>
              <w:spacing w:line="276" w:lineRule="auto"/>
              <w:jc w:val="center"/>
              <w:rPr>
                <w:bCs/>
                <w:sz w:val="24"/>
                <w:szCs w:val="24"/>
              </w:rPr>
            </w:pPr>
            <w:r w:rsidRPr="00594248">
              <w:rPr>
                <w:rFonts w:hint="eastAsia"/>
                <w:bCs/>
                <w:sz w:val="24"/>
                <w:szCs w:val="24"/>
              </w:rPr>
              <w:t>2</w:t>
            </w:r>
            <w:r w:rsidRPr="00594248">
              <w:rPr>
                <w:bCs/>
                <w:sz w:val="24"/>
                <w:szCs w:val="24"/>
              </w:rPr>
              <w:t>90</w:t>
            </w:r>
          </w:p>
        </w:tc>
        <w:tc>
          <w:tcPr>
            <w:tcW w:w="488" w:type="pct"/>
            <w:tcBorders>
              <w:top w:val="single" w:sz="4" w:space="0" w:color="auto"/>
              <w:left w:val="single" w:sz="4" w:space="0" w:color="auto"/>
              <w:bottom w:val="single" w:sz="4" w:space="0" w:color="auto"/>
              <w:right w:val="single" w:sz="4" w:space="0" w:color="auto"/>
            </w:tcBorders>
          </w:tcPr>
          <w:p w14:paraId="2FB7CEED" w14:textId="77777777" w:rsidR="00594248" w:rsidRPr="00594248" w:rsidRDefault="00594248" w:rsidP="00594248">
            <w:pPr>
              <w:spacing w:line="276" w:lineRule="auto"/>
              <w:jc w:val="center"/>
              <w:rPr>
                <w:bCs/>
                <w:sz w:val="24"/>
                <w:szCs w:val="24"/>
              </w:rPr>
            </w:pPr>
            <w:r w:rsidRPr="00594248">
              <w:rPr>
                <w:rFonts w:hint="eastAsia"/>
                <w:bCs/>
                <w:sz w:val="24"/>
                <w:szCs w:val="24"/>
              </w:rPr>
              <w:t>4</w:t>
            </w:r>
            <w:r w:rsidRPr="00594248">
              <w:rPr>
                <w:bCs/>
                <w:sz w:val="24"/>
                <w:szCs w:val="24"/>
              </w:rPr>
              <w:t>30</w:t>
            </w:r>
          </w:p>
        </w:tc>
        <w:tc>
          <w:tcPr>
            <w:tcW w:w="969" w:type="pct"/>
            <w:tcBorders>
              <w:top w:val="single" w:sz="4" w:space="0" w:color="auto"/>
              <w:left w:val="single" w:sz="4" w:space="0" w:color="auto"/>
              <w:bottom w:val="single" w:sz="4" w:space="0" w:color="auto"/>
              <w:right w:val="single" w:sz="4" w:space="0" w:color="auto"/>
            </w:tcBorders>
          </w:tcPr>
          <w:p w14:paraId="398A27F3" w14:textId="77777777" w:rsidR="00594248" w:rsidRPr="00594248" w:rsidRDefault="00594248" w:rsidP="00594248">
            <w:pPr>
              <w:spacing w:line="276" w:lineRule="auto"/>
              <w:jc w:val="center"/>
              <w:rPr>
                <w:bCs/>
                <w:sz w:val="24"/>
                <w:szCs w:val="24"/>
              </w:rPr>
            </w:pPr>
            <w:r w:rsidRPr="00594248">
              <w:rPr>
                <w:bCs/>
                <w:sz w:val="24"/>
                <w:szCs w:val="24"/>
              </w:rPr>
              <w:t>0</w:t>
            </w:r>
          </w:p>
        </w:tc>
        <w:tc>
          <w:tcPr>
            <w:tcW w:w="425" w:type="pct"/>
            <w:tcBorders>
              <w:top w:val="single" w:sz="4" w:space="0" w:color="auto"/>
              <w:left w:val="single" w:sz="4" w:space="0" w:color="auto"/>
              <w:bottom w:val="single" w:sz="4" w:space="0" w:color="auto"/>
              <w:right w:val="single" w:sz="4" w:space="0" w:color="auto"/>
            </w:tcBorders>
            <w:vAlign w:val="bottom"/>
          </w:tcPr>
          <w:p w14:paraId="042B648E" w14:textId="77777777" w:rsidR="00594248" w:rsidRPr="00594248" w:rsidRDefault="00594248" w:rsidP="00594248">
            <w:pPr>
              <w:spacing w:line="276" w:lineRule="auto"/>
              <w:jc w:val="center"/>
              <w:rPr>
                <w:bCs/>
                <w:sz w:val="24"/>
                <w:szCs w:val="24"/>
              </w:rPr>
            </w:pPr>
            <w:r w:rsidRPr="00594248">
              <w:rPr>
                <w:rFonts w:hint="eastAsia"/>
                <w:bCs/>
                <w:sz w:val="24"/>
                <w:szCs w:val="24"/>
              </w:rPr>
              <w:t>8</w:t>
            </w:r>
            <w:r w:rsidRPr="00594248">
              <w:rPr>
                <w:bCs/>
                <w:sz w:val="24"/>
                <w:szCs w:val="24"/>
              </w:rPr>
              <w:t>0</w:t>
            </w:r>
          </w:p>
        </w:tc>
      </w:tr>
      <w:tr w:rsidR="00594248" w14:paraId="12013C2B" w14:textId="77777777" w:rsidTr="00594248">
        <w:trPr>
          <w:trHeight w:val="270"/>
        </w:trPr>
        <w:tc>
          <w:tcPr>
            <w:tcW w:w="1008" w:type="pct"/>
            <w:gridSpan w:val="2"/>
            <w:tcBorders>
              <w:top w:val="single" w:sz="4" w:space="0" w:color="auto"/>
              <w:left w:val="single" w:sz="4" w:space="0" w:color="auto"/>
              <w:bottom w:val="single" w:sz="4" w:space="0" w:color="auto"/>
              <w:right w:val="single" w:sz="4" w:space="0" w:color="auto"/>
            </w:tcBorders>
          </w:tcPr>
          <w:p w14:paraId="6D919ED8" w14:textId="77777777" w:rsidR="00594248" w:rsidRPr="00E96250" w:rsidRDefault="00594248" w:rsidP="00594248">
            <w:pPr>
              <w:spacing w:line="276" w:lineRule="auto"/>
              <w:jc w:val="center"/>
              <w:rPr>
                <w:bCs/>
                <w:sz w:val="24"/>
                <w:szCs w:val="24"/>
              </w:rPr>
            </w:pPr>
            <w:r w:rsidRPr="00E96250">
              <w:rPr>
                <w:rFonts w:hint="eastAsia"/>
                <w:bCs/>
                <w:sz w:val="24"/>
                <w:szCs w:val="24"/>
              </w:rPr>
              <w:t>遂溪县</w:t>
            </w:r>
          </w:p>
        </w:tc>
        <w:tc>
          <w:tcPr>
            <w:tcW w:w="640" w:type="pct"/>
            <w:tcBorders>
              <w:top w:val="single" w:sz="4" w:space="0" w:color="auto"/>
              <w:left w:val="nil"/>
              <w:bottom w:val="single" w:sz="4" w:space="0" w:color="auto"/>
              <w:right w:val="single" w:sz="4" w:space="0" w:color="auto"/>
            </w:tcBorders>
            <w:noWrap/>
            <w:vAlign w:val="bottom"/>
          </w:tcPr>
          <w:p w14:paraId="0687AA9A" w14:textId="0EE718E6" w:rsidR="00594248" w:rsidRPr="00594248" w:rsidRDefault="00045CF0" w:rsidP="00594248">
            <w:pPr>
              <w:spacing w:line="276" w:lineRule="auto"/>
              <w:jc w:val="center"/>
              <w:rPr>
                <w:bCs/>
                <w:sz w:val="24"/>
                <w:szCs w:val="24"/>
              </w:rPr>
            </w:pPr>
            <w:r>
              <w:rPr>
                <w:bCs/>
                <w:sz w:val="24"/>
                <w:szCs w:val="24"/>
              </w:rPr>
              <w:t>300</w:t>
            </w:r>
            <w:r w:rsidRPr="00594248">
              <w:rPr>
                <w:rFonts w:hint="eastAsia"/>
                <w:bCs/>
                <w:sz w:val="24"/>
                <w:szCs w:val="24"/>
              </w:rPr>
              <w:t>00</w:t>
            </w:r>
          </w:p>
        </w:tc>
        <w:tc>
          <w:tcPr>
            <w:tcW w:w="735" w:type="pct"/>
            <w:tcBorders>
              <w:top w:val="single" w:sz="4" w:space="0" w:color="auto"/>
              <w:left w:val="nil"/>
              <w:bottom w:val="single" w:sz="4" w:space="0" w:color="auto"/>
              <w:right w:val="single" w:sz="4" w:space="0" w:color="auto"/>
            </w:tcBorders>
            <w:vAlign w:val="bottom"/>
          </w:tcPr>
          <w:p w14:paraId="6FFCF8FE" w14:textId="162710D1" w:rsidR="00594248" w:rsidRPr="00594248" w:rsidRDefault="00594248" w:rsidP="00594248">
            <w:pPr>
              <w:spacing w:line="276" w:lineRule="auto"/>
              <w:jc w:val="center"/>
              <w:rPr>
                <w:bCs/>
                <w:sz w:val="24"/>
                <w:szCs w:val="24"/>
              </w:rPr>
            </w:pPr>
            <w:r w:rsidRPr="00594248">
              <w:rPr>
                <w:bCs/>
                <w:sz w:val="24"/>
                <w:szCs w:val="24"/>
              </w:rPr>
              <w:t>40000</w:t>
            </w:r>
          </w:p>
        </w:tc>
        <w:tc>
          <w:tcPr>
            <w:tcW w:w="735" w:type="pct"/>
            <w:tcBorders>
              <w:top w:val="single" w:sz="4" w:space="0" w:color="auto"/>
              <w:left w:val="single" w:sz="4" w:space="0" w:color="auto"/>
              <w:bottom w:val="single" w:sz="4" w:space="0" w:color="auto"/>
              <w:right w:val="single" w:sz="4" w:space="0" w:color="auto"/>
            </w:tcBorders>
            <w:noWrap/>
            <w:vAlign w:val="bottom"/>
          </w:tcPr>
          <w:p w14:paraId="1DA8793D" w14:textId="7BB1D31D" w:rsidR="00594248" w:rsidRPr="00594248" w:rsidRDefault="00594248" w:rsidP="00594248">
            <w:pPr>
              <w:spacing w:line="276" w:lineRule="auto"/>
              <w:jc w:val="center"/>
              <w:rPr>
                <w:bCs/>
                <w:sz w:val="24"/>
                <w:szCs w:val="24"/>
              </w:rPr>
            </w:pPr>
            <w:r w:rsidRPr="00594248">
              <w:rPr>
                <w:rFonts w:hint="eastAsia"/>
                <w:bCs/>
                <w:sz w:val="24"/>
                <w:szCs w:val="24"/>
              </w:rPr>
              <w:t>7</w:t>
            </w:r>
            <w:r w:rsidRPr="00594248">
              <w:rPr>
                <w:bCs/>
                <w:sz w:val="24"/>
                <w:szCs w:val="24"/>
              </w:rPr>
              <w:t>0</w:t>
            </w:r>
          </w:p>
        </w:tc>
        <w:tc>
          <w:tcPr>
            <w:tcW w:w="488" w:type="pct"/>
            <w:tcBorders>
              <w:top w:val="single" w:sz="4" w:space="0" w:color="auto"/>
              <w:left w:val="single" w:sz="4" w:space="0" w:color="auto"/>
              <w:bottom w:val="single" w:sz="4" w:space="0" w:color="auto"/>
              <w:right w:val="single" w:sz="4" w:space="0" w:color="auto"/>
            </w:tcBorders>
          </w:tcPr>
          <w:p w14:paraId="633FE1D7" w14:textId="77777777" w:rsidR="00594248" w:rsidRPr="00594248" w:rsidRDefault="00594248" w:rsidP="00594248">
            <w:pPr>
              <w:spacing w:line="276" w:lineRule="auto"/>
              <w:jc w:val="center"/>
              <w:rPr>
                <w:bCs/>
                <w:sz w:val="24"/>
                <w:szCs w:val="24"/>
              </w:rPr>
            </w:pPr>
            <w:r w:rsidRPr="00594248">
              <w:rPr>
                <w:rFonts w:hint="eastAsia"/>
                <w:bCs/>
                <w:sz w:val="24"/>
                <w:szCs w:val="24"/>
              </w:rPr>
              <w:t>1</w:t>
            </w:r>
            <w:r w:rsidRPr="00594248">
              <w:rPr>
                <w:bCs/>
                <w:sz w:val="24"/>
                <w:szCs w:val="24"/>
              </w:rPr>
              <w:t>60</w:t>
            </w:r>
          </w:p>
        </w:tc>
        <w:tc>
          <w:tcPr>
            <w:tcW w:w="969" w:type="pct"/>
            <w:tcBorders>
              <w:top w:val="single" w:sz="4" w:space="0" w:color="auto"/>
              <w:left w:val="single" w:sz="4" w:space="0" w:color="auto"/>
              <w:bottom w:val="single" w:sz="4" w:space="0" w:color="auto"/>
              <w:right w:val="single" w:sz="4" w:space="0" w:color="auto"/>
            </w:tcBorders>
          </w:tcPr>
          <w:p w14:paraId="24C7D64A" w14:textId="77777777" w:rsidR="00594248" w:rsidRPr="00594248" w:rsidRDefault="00594248" w:rsidP="00594248">
            <w:pPr>
              <w:spacing w:line="276" w:lineRule="auto"/>
              <w:jc w:val="center"/>
              <w:rPr>
                <w:bCs/>
                <w:sz w:val="24"/>
                <w:szCs w:val="24"/>
              </w:rPr>
            </w:pPr>
            <w:r w:rsidRPr="00594248">
              <w:rPr>
                <w:bCs/>
                <w:sz w:val="24"/>
                <w:szCs w:val="24"/>
              </w:rPr>
              <w:t>0</w:t>
            </w:r>
          </w:p>
        </w:tc>
        <w:tc>
          <w:tcPr>
            <w:tcW w:w="425" w:type="pct"/>
            <w:tcBorders>
              <w:top w:val="single" w:sz="4" w:space="0" w:color="auto"/>
              <w:left w:val="single" w:sz="4" w:space="0" w:color="auto"/>
              <w:bottom w:val="single" w:sz="4" w:space="0" w:color="auto"/>
              <w:right w:val="single" w:sz="4" w:space="0" w:color="auto"/>
            </w:tcBorders>
            <w:vAlign w:val="bottom"/>
          </w:tcPr>
          <w:p w14:paraId="21749EEA" w14:textId="77777777" w:rsidR="00594248" w:rsidRPr="00594248" w:rsidRDefault="00594248" w:rsidP="00594248">
            <w:pPr>
              <w:spacing w:line="276" w:lineRule="auto"/>
              <w:jc w:val="center"/>
              <w:rPr>
                <w:bCs/>
                <w:sz w:val="24"/>
                <w:szCs w:val="24"/>
              </w:rPr>
            </w:pPr>
            <w:r w:rsidRPr="00594248">
              <w:rPr>
                <w:rFonts w:hint="eastAsia"/>
                <w:bCs/>
                <w:sz w:val="24"/>
                <w:szCs w:val="24"/>
              </w:rPr>
              <w:t>7</w:t>
            </w:r>
            <w:r w:rsidRPr="00594248">
              <w:rPr>
                <w:bCs/>
                <w:sz w:val="24"/>
                <w:szCs w:val="24"/>
              </w:rPr>
              <w:t>0</w:t>
            </w:r>
          </w:p>
        </w:tc>
      </w:tr>
      <w:tr w:rsidR="00594248" w14:paraId="6ADEC178" w14:textId="77777777" w:rsidTr="00594248">
        <w:trPr>
          <w:trHeight w:val="270"/>
        </w:trPr>
        <w:tc>
          <w:tcPr>
            <w:tcW w:w="1008" w:type="pct"/>
            <w:gridSpan w:val="2"/>
            <w:tcBorders>
              <w:top w:val="single" w:sz="4" w:space="0" w:color="auto"/>
              <w:left w:val="single" w:sz="4" w:space="0" w:color="auto"/>
              <w:bottom w:val="single" w:sz="4" w:space="0" w:color="auto"/>
              <w:right w:val="single" w:sz="4" w:space="0" w:color="auto"/>
            </w:tcBorders>
          </w:tcPr>
          <w:p w14:paraId="546E0A32" w14:textId="77777777" w:rsidR="00594248" w:rsidRPr="00E96250" w:rsidRDefault="00594248" w:rsidP="00594248">
            <w:pPr>
              <w:spacing w:line="276" w:lineRule="auto"/>
              <w:jc w:val="center"/>
              <w:rPr>
                <w:bCs/>
                <w:sz w:val="24"/>
                <w:szCs w:val="24"/>
              </w:rPr>
            </w:pPr>
            <w:r w:rsidRPr="00E96250">
              <w:rPr>
                <w:rFonts w:hint="eastAsia"/>
                <w:bCs/>
                <w:sz w:val="24"/>
                <w:szCs w:val="24"/>
              </w:rPr>
              <w:t>廉江市</w:t>
            </w:r>
          </w:p>
        </w:tc>
        <w:tc>
          <w:tcPr>
            <w:tcW w:w="640" w:type="pct"/>
            <w:tcBorders>
              <w:top w:val="single" w:sz="4" w:space="0" w:color="auto"/>
              <w:left w:val="nil"/>
              <w:bottom w:val="single" w:sz="4" w:space="0" w:color="auto"/>
              <w:right w:val="single" w:sz="4" w:space="0" w:color="auto"/>
            </w:tcBorders>
            <w:noWrap/>
            <w:vAlign w:val="bottom"/>
          </w:tcPr>
          <w:p w14:paraId="1C8A126F" w14:textId="52B2F670" w:rsidR="00594248" w:rsidRPr="00594248" w:rsidRDefault="00045CF0" w:rsidP="00594248">
            <w:pPr>
              <w:spacing w:line="276" w:lineRule="auto"/>
              <w:jc w:val="center"/>
              <w:rPr>
                <w:bCs/>
                <w:sz w:val="24"/>
                <w:szCs w:val="24"/>
              </w:rPr>
            </w:pPr>
            <w:r>
              <w:rPr>
                <w:bCs/>
                <w:sz w:val="24"/>
                <w:szCs w:val="24"/>
              </w:rPr>
              <w:t>40</w:t>
            </w:r>
            <w:r w:rsidRPr="00594248">
              <w:rPr>
                <w:rFonts w:hint="eastAsia"/>
                <w:bCs/>
                <w:sz w:val="24"/>
                <w:szCs w:val="24"/>
              </w:rPr>
              <w:t>000</w:t>
            </w:r>
          </w:p>
        </w:tc>
        <w:tc>
          <w:tcPr>
            <w:tcW w:w="735" w:type="pct"/>
            <w:tcBorders>
              <w:top w:val="single" w:sz="4" w:space="0" w:color="auto"/>
              <w:left w:val="nil"/>
              <w:bottom w:val="single" w:sz="4" w:space="0" w:color="auto"/>
              <w:right w:val="single" w:sz="4" w:space="0" w:color="auto"/>
            </w:tcBorders>
            <w:vAlign w:val="bottom"/>
          </w:tcPr>
          <w:p w14:paraId="468C870E" w14:textId="73BCD9E5" w:rsidR="00594248" w:rsidRPr="00594248" w:rsidRDefault="00594248" w:rsidP="00594248">
            <w:pPr>
              <w:spacing w:line="276" w:lineRule="auto"/>
              <w:jc w:val="center"/>
              <w:rPr>
                <w:bCs/>
                <w:sz w:val="24"/>
                <w:szCs w:val="24"/>
              </w:rPr>
            </w:pPr>
            <w:r w:rsidRPr="00594248">
              <w:rPr>
                <w:bCs/>
                <w:sz w:val="24"/>
                <w:szCs w:val="24"/>
              </w:rPr>
              <w:t>52000</w:t>
            </w:r>
          </w:p>
        </w:tc>
        <w:tc>
          <w:tcPr>
            <w:tcW w:w="735" w:type="pct"/>
            <w:tcBorders>
              <w:top w:val="single" w:sz="4" w:space="0" w:color="auto"/>
              <w:left w:val="single" w:sz="4" w:space="0" w:color="auto"/>
              <w:bottom w:val="single" w:sz="4" w:space="0" w:color="auto"/>
              <w:right w:val="single" w:sz="4" w:space="0" w:color="auto"/>
            </w:tcBorders>
            <w:noWrap/>
            <w:vAlign w:val="bottom"/>
          </w:tcPr>
          <w:p w14:paraId="77F1DFDF" w14:textId="56E9130C" w:rsidR="00594248" w:rsidRPr="00594248" w:rsidRDefault="00594248" w:rsidP="00594248">
            <w:pPr>
              <w:spacing w:line="276" w:lineRule="auto"/>
              <w:jc w:val="center"/>
              <w:rPr>
                <w:bCs/>
                <w:sz w:val="24"/>
                <w:szCs w:val="24"/>
              </w:rPr>
            </w:pPr>
            <w:r w:rsidRPr="00594248">
              <w:rPr>
                <w:bCs/>
                <w:sz w:val="24"/>
                <w:szCs w:val="24"/>
              </w:rPr>
              <w:t>230</w:t>
            </w:r>
          </w:p>
        </w:tc>
        <w:tc>
          <w:tcPr>
            <w:tcW w:w="488" w:type="pct"/>
            <w:tcBorders>
              <w:top w:val="single" w:sz="4" w:space="0" w:color="auto"/>
              <w:left w:val="single" w:sz="4" w:space="0" w:color="auto"/>
              <w:bottom w:val="single" w:sz="4" w:space="0" w:color="auto"/>
              <w:right w:val="single" w:sz="4" w:space="0" w:color="auto"/>
            </w:tcBorders>
          </w:tcPr>
          <w:p w14:paraId="15266D05" w14:textId="77777777" w:rsidR="00594248" w:rsidRPr="00594248" w:rsidRDefault="00594248" w:rsidP="00594248">
            <w:pPr>
              <w:spacing w:line="276" w:lineRule="auto"/>
              <w:jc w:val="center"/>
              <w:rPr>
                <w:bCs/>
                <w:sz w:val="24"/>
                <w:szCs w:val="24"/>
              </w:rPr>
            </w:pPr>
            <w:r w:rsidRPr="00594248">
              <w:rPr>
                <w:rFonts w:hint="eastAsia"/>
                <w:bCs/>
                <w:sz w:val="24"/>
                <w:szCs w:val="24"/>
              </w:rPr>
              <w:t>9</w:t>
            </w:r>
            <w:r w:rsidRPr="00594248">
              <w:rPr>
                <w:bCs/>
                <w:sz w:val="24"/>
                <w:szCs w:val="24"/>
              </w:rPr>
              <w:t>10</w:t>
            </w:r>
          </w:p>
        </w:tc>
        <w:tc>
          <w:tcPr>
            <w:tcW w:w="969" w:type="pct"/>
            <w:tcBorders>
              <w:top w:val="single" w:sz="4" w:space="0" w:color="auto"/>
              <w:left w:val="single" w:sz="4" w:space="0" w:color="auto"/>
              <w:bottom w:val="single" w:sz="4" w:space="0" w:color="auto"/>
              <w:right w:val="single" w:sz="4" w:space="0" w:color="auto"/>
            </w:tcBorders>
          </w:tcPr>
          <w:p w14:paraId="7E3107CB" w14:textId="77777777" w:rsidR="00594248" w:rsidRPr="00594248" w:rsidRDefault="00594248" w:rsidP="00594248">
            <w:pPr>
              <w:spacing w:line="276" w:lineRule="auto"/>
              <w:jc w:val="center"/>
              <w:rPr>
                <w:bCs/>
                <w:sz w:val="24"/>
                <w:szCs w:val="24"/>
              </w:rPr>
            </w:pPr>
            <w:r w:rsidRPr="00594248">
              <w:rPr>
                <w:bCs/>
                <w:sz w:val="24"/>
                <w:szCs w:val="24"/>
              </w:rPr>
              <w:t>0</w:t>
            </w:r>
          </w:p>
        </w:tc>
        <w:tc>
          <w:tcPr>
            <w:tcW w:w="425" w:type="pct"/>
            <w:tcBorders>
              <w:top w:val="single" w:sz="4" w:space="0" w:color="auto"/>
              <w:left w:val="single" w:sz="4" w:space="0" w:color="auto"/>
              <w:bottom w:val="single" w:sz="4" w:space="0" w:color="auto"/>
              <w:right w:val="single" w:sz="4" w:space="0" w:color="auto"/>
            </w:tcBorders>
            <w:vAlign w:val="bottom"/>
          </w:tcPr>
          <w:p w14:paraId="3A04F2AE" w14:textId="77777777" w:rsidR="00594248" w:rsidRPr="00594248" w:rsidRDefault="00594248" w:rsidP="00594248">
            <w:pPr>
              <w:spacing w:line="276" w:lineRule="auto"/>
              <w:jc w:val="center"/>
              <w:rPr>
                <w:bCs/>
                <w:sz w:val="24"/>
                <w:szCs w:val="24"/>
              </w:rPr>
            </w:pPr>
            <w:r w:rsidRPr="00594248">
              <w:rPr>
                <w:rFonts w:hint="eastAsia"/>
                <w:bCs/>
                <w:sz w:val="24"/>
                <w:szCs w:val="24"/>
              </w:rPr>
              <w:t>0</w:t>
            </w:r>
          </w:p>
        </w:tc>
      </w:tr>
      <w:tr w:rsidR="00594248" w14:paraId="23DFA7CD" w14:textId="77777777" w:rsidTr="00594248">
        <w:trPr>
          <w:trHeight w:val="270"/>
        </w:trPr>
        <w:tc>
          <w:tcPr>
            <w:tcW w:w="1008" w:type="pct"/>
            <w:gridSpan w:val="2"/>
            <w:tcBorders>
              <w:top w:val="single" w:sz="4" w:space="0" w:color="auto"/>
              <w:left w:val="single" w:sz="4" w:space="0" w:color="auto"/>
              <w:bottom w:val="single" w:sz="4" w:space="0" w:color="auto"/>
              <w:right w:val="single" w:sz="4" w:space="0" w:color="auto"/>
            </w:tcBorders>
          </w:tcPr>
          <w:p w14:paraId="7EB104A3" w14:textId="77777777" w:rsidR="00594248" w:rsidRPr="00E96250" w:rsidRDefault="00594248" w:rsidP="00594248">
            <w:pPr>
              <w:spacing w:line="276" w:lineRule="auto"/>
              <w:jc w:val="center"/>
              <w:rPr>
                <w:bCs/>
                <w:sz w:val="24"/>
                <w:szCs w:val="24"/>
              </w:rPr>
            </w:pPr>
            <w:r w:rsidRPr="00E96250">
              <w:rPr>
                <w:rFonts w:hint="eastAsia"/>
                <w:bCs/>
                <w:sz w:val="24"/>
                <w:szCs w:val="24"/>
              </w:rPr>
              <w:t>全市</w:t>
            </w:r>
          </w:p>
        </w:tc>
        <w:tc>
          <w:tcPr>
            <w:tcW w:w="640" w:type="pct"/>
            <w:tcBorders>
              <w:top w:val="single" w:sz="4" w:space="0" w:color="auto"/>
              <w:left w:val="nil"/>
              <w:bottom w:val="single" w:sz="4" w:space="0" w:color="auto"/>
              <w:right w:val="single" w:sz="4" w:space="0" w:color="auto"/>
            </w:tcBorders>
            <w:noWrap/>
            <w:vAlign w:val="bottom"/>
          </w:tcPr>
          <w:p w14:paraId="680BDEB8" w14:textId="1AED0240" w:rsidR="00594248" w:rsidRPr="00594248" w:rsidRDefault="00594248" w:rsidP="00594248">
            <w:pPr>
              <w:spacing w:line="276" w:lineRule="auto"/>
              <w:jc w:val="center"/>
              <w:rPr>
                <w:bCs/>
                <w:sz w:val="24"/>
                <w:szCs w:val="24"/>
              </w:rPr>
            </w:pPr>
            <w:r w:rsidRPr="00594248">
              <w:rPr>
                <w:rFonts w:hint="eastAsia"/>
                <w:bCs/>
                <w:sz w:val="24"/>
                <w:szCs w:val="24"/>
              </w:rPr>
              <w:t>3</w:t>
            </w:r>
            <w:r w:rsidRPr="00594248">
              <w:rPr>
                <w:bCs/>
                <w:sz w:val="24"/>
                <w:szCs w:val="24"/>
              </w:rPr>
              <w:t>42000</w:t>
            </w:r>
          </w:p>
        </w:tc>
        <w:tc>
          <w:tcPr>
            <w:tcW w:w="735" w:type="pct"/>
            <w:tcBorders>
              <w:top w:val="single" w:sz="4" w:space="0" w:color="auto"/>
              <w:left w:val="nil"/>
              <w:bottom w:val="single" w:sz="4" w:space="0" w:color="auto"/>
              <w:right w:val="single" w:sz="4" w:space="0" w:color="auto"/>
            </w:tcBorders>
            <w:vAlign w:val="bottom"/>
          </w:tcPr>
          <w:p w14:paraId="03ED25E3" w14:textId="2F001A55" w:rsidR="00594248" w:rsidRPr="00594248" w:rsidRDefault="00594248" w:rsidP="00594248">
            <w:pPr>
              <w:spacing w:line="276" w:lineRule="auto"/>
              <w:jc w:val="center"/>
              <w:rPr>
                <w:bCs/>
                <w:sz w:val="24"/>
                <w:szCs w:val="24"/>
              </w:rPr>
            </w:pPr>
            <w:r w:rsidRPr="00594248">
              <w:rPr>
                <w:rFonts w:hint="eastAsia"/>
                <w:bCs/>
                <w:sz w:val="24"/>
                <w:szCs w:val="24"/>
              </w:rPr>
              <w:t>4</w:t>
            </w:r>
            <w:r w:rsidRPr="00594248">
              <w:rPr>
                <w:bCs/>
                <w:sz w:val="24"/>
                <w:szCs w:val="24"/>
              </w:rPr>
              <w:t>65000</w:t>
            </w:r>
          </w:p>
        </w:tc>
        <w:tc>
          <w:tcPr>
            <w:tcW w:w="735" w:type="pct"/>
            <w:tcBorders>
              <w:top w:val="single" w:sz="4" w:space="0" w:color="auto"/>
              <w:left w:val="single" w:sz="4" w:space="0" w:color="auto"/>
              <w:bottom w:val="single" w:sz="4" w:space="0" w:color="auto"/>
              <w:right w:val="single" w:sz="4" w:space="0" w:color="auto"/>
            </w:tcBorders>
            <w:noWrap/>
            <w:vAlign w:val="bottom"/>
          </w:tcPr>
          <w:p w14:paraId="2A6C1C46" w14:textId="1825F9CF" w:rsidR="00594248" w:rsidRPr="00594248" w:rsidRDefault="00594248" w:rsidP="00594248">
            <w:pPr>
              <w:spacing w:line="276" w:lineRule="auto"/>
              <w:jc w:val="center"/>
              <w:rPr>
                <w:bCs/>
                <w:sz w:val="24"/>
                <w:szCs w:val="24"/>
              </w:rPr>
            </w:pPr>
            <w:r w:rsidRPr="00594248">
              <w:rPr>
                <w:rFonts w:hint="eastAsia"/>
                <w:bCs/>
                <w:sz w:val="24"/>
                <w:szCs w:val="24"/>
              </w:rPr>
              <w:t>2</w:t>
            </w:r>
            <w:r w:rsidRPr="00594248">
              <w:rPr>
                <w:bCs/>
                <w:sz w:val="24"/>
                <w:szCs w:val="24"/>
              </w:rPr>
              <w:t>000</w:t>
            </w:r>
          </w:p>
        </w:tc>
        <w:tc>
          <w:tcPr>
            <w:tcW w:w="488" w:type="pct"/>
            <w:tcBorders>
              <w:top w:val="single" w:sz="4" w:space="0" w:color="auto"/>
              <w:left w:val="single" w:sz="4" w:space="0" w:color="auto"/>
              <w:bottom w:val="single" w:sz="4" w:space="0" w:color="auto"/>
              <w:right w:val="single" w:sz="4" w:space="0" w:color="auto"/>
            </w:tcBorders>
          </w:tcPr>
          <w:p w14:paraId="108584B2" w14:textId="77777777" w:rsidR="00594248" w:rsidRPr="00594248" w:rsidRDefault="00594248" w:rsidP="00594248">
            <w:pPr>
              <w:spacing w:line="276" w:lineRule="auto"/>
              <w:jc w:val="center"/>
              <w:rPr>
                <w:bCs/>
                <w:sz w:val="24"/>
                <w:szCs w:val="24"/>
              </w:rPr>
            </w:pPr>
            <w:r w:rsidRPr="00594248">
              <w:rPr>
                <w:rFonts w:hint="eastAsia"/>
                <w:bCs/>
                <w:sz w:val="24"/>
                <w:szCs w:val="24"/>
              </w:rPr>
              <w:t>3</w:t>
            </w:r>
            <w:r w:rsidRPr="00594248">
              <w:rPr>
                <w:bCs/>
                <w:sz w:val="24"/>
                <w:szCs w:val="24"/>
              </w:rPr>
              <w:t>000</w:t>
            </w:r>
          </w:p>
        </w:tc>
        <w:tc>
          <w:tcPr>
            <w:tcW w:w="969" w:type="pct"/>
            <w:tcBorders>
              <w:top w:val="single" w:sz="4" w:space="0" w:color="auto"/>
              <w:left w:val="single" w:sz="4" w:space="0" w:color="auto"/>
              <w:bottom w:val="single" w:sz="4" w:space="0" w:color="auto"/>
              <w:right w:val="single" w:sz="4" w:space="0" w:color="auto"/>
            </w:tcBorders>
          </w:tcPr>
          <w:p w14:paraId="6D405D47" w14:textId="77777777" w:rsidR="00594248" w:rsidRPr="00594248" w:rsidRDefault="00594248" w:rsidP="00594248">
            <w:pPr>
              <w:spacing w:line="276" w:lineRule="auto"/>
              <w:jc w:val="center"/>
              <w:rPr>
                <w:bCs/>
                <w:sz w:val="24"/>
                <w:szCs w:val="24"/>
              </w:rPr>
            </w:pPr>
            <w:r w:rsidRPr="00594248">
              <w:rPr>
                <w:rFonts w:hint="eastAsia"/>
                <w:bCs/>
                <w:sz w:val="24"/>
                <w:szCs w:val="24"/>
              </w:rPr>
              <w:t>2</w:t>
            </w:r>
            <w:r w:rsidRPr="00594248">
              <w:rPr>
                <w:bCs/>
                <w:sz w:val="24"/>
                <w:szCs w:val="24"/>
              </w:rPr>
              <w:t>000</w:t>
            </w:r>
          </w:p>
        </w:tc>
        <w:tc>
          <w:tcPr>
            <w:tcW w:w="425" w:type="pct"/>
            <w:tcBorders>
              <w:top w:val="single" w:sz="4" w:space="0" w:color="auto"/>
              <w:left w:val="single" w:sz="4" w:space="0" w:color="auto"/>
              <w:bottom w:val="single" w:sz="4" w:space="0" w:color="auto"/>
              <w:right w:val="single" w:sz="4" w:space="0" w:color="auto"/>
            </w:tcBorders>
            <w:vAlign w:val="bottom"/>
          </w:tcPr>
          <w:p w14:paraId="59476AF9" w14:textId="77777777" w:rsidR="00594248" w:rsidRPr="00594248" w:rsidRDefault="00594248" w:rsidP="00594248">
            <w:pPr>
              <w:spacing w:line="276" w:lineRule="auto"/>
              <w:jc w:val="center"/>
              <w:rPr>
                <w:bCs/>
                <w:sz w:val="24"/>
                <w:szCs w:val="24"/>
              </w:rPr>
            </w:pPr>
            <w:r w:rsidRPr="00594248">
              <w:rPr>
                <w:rFonts w:hint="eastAsia"/>
                <w:bCs/>
                <w:sz w:val="24"/>
                <w:szCs w:val="24"/>
              </w:rPr>
              <w:t>5</w:t>
            </w:r>
            <w:r w:rsidRPr="00594248">
              <w:rPr>
                <w:bCs/>
                <w:sz w:val="24"/>
                <w:szCs w:val="24"/>
              </w:rPr>
              <w:t>00</w:t>
            </w:r>
          </w:p>
        </w:tc>
      </w:tr>
    </w:tbl>
    <w:p w14:paraId="0834640D" w14:textId="1EDEE94E" w:rsidR="006839E7" w:rsidRDefault="006839E7">
      <w:pPr>
        <w:widowControl/>
        <w:jc w:val="left"/>
      </w:pPr>
    </w:p>
    <w:p w14:paraId="62AB80A4" w14:textId="68730F48" w:rsidR="00D248BF" w:rsidRDefault="00D248BF" w:rsidP="00A567FC">
      <w:pPr>
        <w:jc w:val="center"/>
        <w:rPr>
          <w:rFonts w:ascii="黑体" w:eastAsia="黑体" w:hAnsi="黑体"/>
        </w:rPr>
      </w:pPr>
    </w:p>
    <w:p w14:paraId="211E3917" w14:textId="77777777" w:rsidR="00D248BF" w:rsidRDefault="00D248BF" w:rsidP="00A567FC">
      <w:pPr>
        <w:jc w:val="center"/>
        <w:rPr>
          <w:rFonts w:ascii="黑体" w:eastAsia="黑体" w:hAnsi="黑体"/>
        </w:rPr>
      </w:pPr>
    </w:p>
    <w:p w14:paraId="3BD7564A" w14:textId="7DC0A5F4" w:rsidR="00A567FC" w:rsidRDefault="00A567FC" w:rsidP="00A567FC">
      <w:pPr>
        <w:jc w:val="center"/>
        <w:rPr>
          <w:rFonts w:ascii="黑体" w:eastAsia="黑体" w:hAnsi="黑体"/>
        </w:rPr>
      </w:pPr>
      <w:r>
        <w:rPr>
          <w:rFonts w:ascii="黑体" w:eastAsia="黑体" w:hAnsi="黑体" w:hint="eastAsia"/>
        </w:rPr>
        <w:t>表</w:t>
      </w:r>
      <w:r>
        <w:rPr>
          <w:rFonts w:ascii="黑体" w:eastAsia="黑体" w:hAnsi="黑体"/>
        </w:rPr>
        <w:t>3</w:t>
      </w:r>
      <w:r>
        <w:rPr>
          <w:rFonts w:ascii="黑体" w:eastAsia="黑体" w:hAnsi="黑体" w:hint="eastAsia"/>
        </w:rPr>
        <w:t xml:space="preserve"> 湛江市“十四五”住房发展所需住宅用地一览表</w:t>
      </w:r>
    </w:p>
    <w:p w14:paraId="4F162E7F" w14:textId="57719FE1" w:rsidR="00A567FC" w:rsidRDefault="00A567FC" w:rsidP="00A567FC">
      <w:pPr>
        <w:jc w:val="right"/>
        <w:rPr>
          <w:sz w:val="24"/>
        </w:rPr>
      </w:pPr>
      <w:r>
        <w:rPr>
          <w:rFonts w:hint="eastAsia"/>
          <w:sz w:val="24"/>
        </w:rPr>
        <w:t>单位：</w:t>
      </w:r>
      <w:r w:rsidR="003F41BD">
        <w:rPr>
          <w:rFonts w:hint="eastAsia"/>
          <w:sz w:val="24"/>
        </w:rPr>
        <w:t>公顷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190"/>
        <w:gridCol w:w="1819"/>
        <w:gridCol w:w="1819"/>
        <w:gridCol w:w="2089"/>
        <w:gridCol w:w="1328"/>
        <w:gridCol w:w="2815"/>
        <w:gridCol w:w="1216"/>
      </w:tblGrid>
      <w:tr w:rsidR="00594248" w14:paraId="454564BF" w14:textId="77777777" w:rsidTr="000D05E3">
        <w:trPr>
          <w:trHeight w:val="621"/>
          <w:tblHeader/>
        </w:trPr>
        <w:tc>
          <w:tcPr>
            <w:tcW w:w="1026" w:type="pct"/>
            <w:gridSpan w:val="2"/>
            <w:vMerge w:val="restart"/>
            <w:tcBorders>
              <w:top w:val="single" w:sz="4" w:space="0" w:color="auto"/>
              <w:left w:val="single" w:sz="4" w:space="0" w:color="auto"/>
              <w:right w:val="single" w:sz="4" w:space="0" w:color="auto"/>
            </w:tcBorders>
            <w:vAlign w:val="center"/>
          </w:tcPr>
          <w:p w14:paraId="2102A145" w14:textId="77777777" w:rsidR="00594248" w:rsidRDefault="00594248" w:rsidP="00D817FB">
            <w:pPr>
              <w:spacing w:line="276" w:lineRule="auto"/>
              <w:jc w:val="center"/>
              <w:rPr>
                <w:b/>
                <w:sz w:val="24"/>
                <w:szCs w:val="24"/>
              </w:rPr>
            </w:pPr>
            <w:r>
              <w:rPr>
                <w:rFonts w:hint="eastAsia"/>
                <w:b/>
                <w:sz w:val="24"/>
                <w:szCs w:val="24"/>
              </w:rPr>
              <w:t>分区</w:t>
            </w:r>
          </w:p>
        </w:tc>
        <w:tc>
          <w:tcPr>
            <w:tcW w:w="1304" w:type="pct"/>
            <w:gridSpan w:val="2"/>
            <w:tcBorders>
              <w:top w:val="single" w:sz="4" w:space="0" w:color="auto"/>
              <w:left w:val="single" w:sz="4" w:space="0" w:color="auto"/>
              <w:bottom w:val="single" w:sz="4" w:space="0" w:color="auto"/>
              <w:right w:val="single" w:sz="4" w:space="0" w:color="auto"/>
            </w:tcBorders>
            <w:vAlign w:val="center"/>
          </w:tcPr>
          <w:p w14:paraId="5AB2BC9B" w14:textId="5CEE64B5" w:rsidR="00594248" w:rsidRDefault="00594248" w:rsidP="000D05E3">
            <w:pPr>
              <w:spacing w:line="276" w:lineRule="auto"/>
              <w:jc w:val="center"/>
              <w:rPr>
                <w:b/>
                <w:sz w:val="24"/>
                <w:szCs w:val="24"/>
              </w:rPr>
            </w:pPr>
            <w:r>
              <w:rPr>
                <w:rFonts w:hint="eastAsia"/>
                <w:b/>
                <w:sz w:val="24"/>
                <w:szCs w:val="24"/>
              </w:rPr>
              <w:t>新建商品住房</w:t>
            </w:r>
          </w:p>
        </w:tc>
        <w:tc>
          <w:tcPr>
            <w:tcW w:w="749" w:type="pct"/>
            <w:vMerge w:val="restart"/>
            <w:tcBorders>
              <w:top w:val="single" w:sz="4" w:space="0" w:color="auto"/>
              <w:left w:val="single" w:sz="4" w:space="0" w:color="auto"/>
              <w:right w:val="single" w:sz="4" w:space="0" w:color="auto"/>
            </w:tcBorders>
            <w:noWrap/>
            <w:vAlign w:val="center"/>
            <w:hideMark/>
          </w:tcPr>
          <w:p w14:paraId="15FA5CB4" w14:textId="77777777" w:rsidR="00594248" w:rsidRDefault="00594248" w:rsidP="000D05E3">
            <w:pPr>
              <w:spacing w:line="276" w:lineRule="auto"/>
              <w:jc w:val="center"/>
              <w:rPr>
                <w:b/>
                <w:sz w:val="24"/>
                <w:szCs w:val="24"/>
              </w:rPr>
            </w:pPr>
            <w:r>
              <w:rPr>
                <w:rFonts w:hint="eastAsia"/>
                <w:b/>
                <w:sz w:val="24"/>
                <w:szCs w:val="24"/>
              </w:rPr>
              <w:t>公共租赁住房</w:t>
            </w:r>
          </w:p>
        </w:tc>
        <w:tc>
          <w:tcPr>
            <w:tcW w:w="476" w:type="pct"/>
            <w:vMerge w:val="restart"/>
            <w:tcBorders>
              <w:top w:val="single" w:sz="4" w:space="0" w:color="auto"/>
              <w:left w:val="single" w:sz="4" w:space="0" w:color="auto"/>
              <w:right w:val="single" w:sz="4" w:space="0" w:color="auto"/>
            </w:tcBorders>
            <w:vAlign w:val="center"/>
          </w:tcPr>
          <w:p w14:paraId="40C3296D" w14:textId="77777777" w:rsidR="00594248" w:rsidRDefault="00594248" w:rsidP="000D05E3">
            <w:pPr>
              <w:spacing w:line="276" w:lineRule="auto"/>
              <w:jc w:val="center"/>
              <w:rPr>
                <w:b/>
                <w:sz w:val="24"/>
                <w:szCs w:val="24"/>
              </w:rPr>
            </w:pPr>
            <w:r>
              <w:rPr>
                <w:rFonts w:hint="eastAsia"/>
                <w:b/>
                <w:sz w:val="24"/>
                <w:szCs w:val="24"/>
              </w:rPr>
              <w:t>租赁补贴</w:t>
            </w:r>
          </w:p>
        </w:tc>
        <w:tc>
          <w:tcPr>
            <w:tcW w:w="1009" w:type="pct"/>
            <w:vMerge w:val="restart"/>
            <w:tcBorders>
              <w:top w:val="single" w:sz="4" w:space="0" w:color="auto"/>
              <w:left w:val="single" w:sz="4" w:space="0" w:color="auto"/>
              <w:right w:val="single" w:sz="4" w:space="0" w:color="auto"/>
            </w:tcBorders>
            <w:vAlign w:val="center"/>
          </w:tcPr>
          <w:p w14:paraId="1A1911BE" w14:textId="77777777" w:rsidR="00594248" w:rsidRDefault="00594248" w:rsidP="000D05E3">
            <w:pPr>
              <w:spacing w:line="276" w:lineRule="auto"/>
              <w:jc w:val="center"/>
              <w:rPr>
                <w:b/>
                <w:sz w:val="24"/>
                <w:szCs w:val="24"/>
              </w:rPr>
            </w:pPr>
            <w:r>
              <w:rPr>
                <w:rFonts w:hint="eastAsia"/>
                <w:b/>
                <w:sz w:val="24"/>
                <w:szCs w:val="24"/>
              </w:rPr>
              <w:t>保障性租赁住房、共有产权住房、人才公寓</w:t>
            </w:r>
          </w:p>
        </w:tc>
        <w:tc>
          <w:tcPr>
            <w:tcW w:w="436" w:type="pct"/>
            <w:vMerge w:val="restart"/>
            <w:tcBorders>
              <w:top w:val="single" w:sz="4" w:space="0" w:color="auto"/>
              <w:left w:val="single" w:sz="4" w:space="0" w:color="auto"/>
              <w:right w:val="single" w:sz="4" w:space="0" w:color="auto"/>
            </w:tcBorders>
            <w:vAlign w:val="center"/>
            <w:hideMark/>
          </w:tcPr>
          <w:p w14:paraId="4ECA6304" w14:textId="77777777" w:rsidR="00594248" w:rsidRDefault="00594248" w:rsidP="000D05E3">
            <w:pPr>
              <w:spacing w:line="276" w:lineRule="auto"/>
              <w:jc w:val="center"/>
              <w:rPr>
                <w:b/>
                <w:sz w:val="24"/>
                <w:szCs w:val="24"/>
              </w:rPr>
            </w:pPr>
            <w:r>
              <w:rPr>
                <w:rFonts w:hint="eastAsia"/>
                <w:b/>
                <w:sz w:val="24"/>
                <w:szCs w:val="24"/>
              </w:rPr>
              <w:t>棚户区改造住房</w:t>
            </w:r>
          </w:p>
        </w:tc>
      </w:tr>
      <w:tr w:rsidR="00594248" w14:paraId="6F4746C5" w14:textId="77777777" w:rsidTr="000D05E3">
        <w:trPr>
          <w:trHeight w:val="621"/>
          <w:tblHeader/>
        </w:trPr>
        <w:tc>
          <w:tcPr>
            <w:tcW w:w="1026" w:type="pct"/>
            <w:gridSpan w:val="2"/>
            <w:vMerge/>
            <w:tcBorders>
              <w:left w:val="single" w:sz="4" w:space="0" w:color="auto"/>
              <w:bottom w:val="single" w:sz="4" w:space="0" w:color="auto"/>
              <w:right w:val="single" w:sz="4" w:space="0" w:color="auto"/>
            </w:tcBorders>
            <w:vAlign w:val="center"/>
          </w:tcPr>
          <w:p w14:paraId="2D92424D" w14:textId="77777777" w:rsidR="00594248" w:rsidRDefault="00594248" w:rsidP="00594248">
            <w:pPr>
              <w:spacing w:line="276" w:lineRule="auto"/>
              <w:jc w:val="center"/>
              <w:rPr>
                <w:b/>
                <w:sz w:val="24"/>
                <w:szCs w:val="24"/>
              </w:rPr>
            </w:pPr>
          </w:p>
        </w:tc>
        <w:tc>
          <w:tcPr>
            <w:tcW w:w="652" w:type="pct"/>
            <w:tcBorders>
              <w:top w:val="single" w:sz="4" w:space="0" w:color="auto"/>
              <w:left w:val="single" w:sz="4" w:space="0" w:color="auto"/>
              <w:bottom w:val="single" w:sz="4" w:space="0" w:color="auto"/>
              <w:right w:val="single" w:sz="4" w:space="0" w:color="auto"/>
            </w:tcBorders>
            <w:vAlign w:val="center"/>
          </w:tcPr>
          <w:p w14:paraId="5F06490E" w14:textId="48973C0C" w:rsidR="00594248" w:rsidRDefault="00594248" w:rsidP="00594248">
            <w:pPr>
              <w:spacing w:line="276" w:lineRule="auto"/>
              <w:jc w:val="center"/>
              <w:rPr>
                <w:b/>
                <w:sz w:val="24"/>
                <w:szCs w:val="24"/>
              </w:rPr>
            </w:pPr>
            <w:r>
              <w:rPr>
                <w:rFonts w:hint="eastAsia"/>
                <w:b/>
                <w:sz w:val="24"/>
                <w:szCs w:val="24"/>
              </w:rPr>
              <w:t>低目标</w:t>
            </w:r>
          </w:p>
        </w:tc>
        <w:tc>
          <w:tcPr>
            <w:tcW w:w="652" w:type="pct"/>
            <w:tcBorders>
              <w:left w:val="single" w:sz="4" w:space="0" w:color="auto"/>
              <w:bottom w:val="single" w:sz="4" w:space="0" w:color="auto"/>
              <w:right w:val="single" w:sz="4" w:space="0" w:color="auto"/>
            </w:tcBorders>
            <w:noWrap/>
          </w:tcPr>
          <w:p w14:paraId="0F2D8A10" w14:textId="6CE77964" w:rsidR="00594248" w:rsidRDefault="00594248" w:rsidP="00594248">
            <w:pPr>
              <w:spacing w:line="276" w:lineRule="auto"/>
              <w:jc w:val="center"/>
              <w:rPr>
                <w:b/>
                <w:sz w:val="24"/>
                <w:szCs w:val="24"/>
              </w:rPr>
            </w:pPr>
            <w:r>
              <w:rPr>
                <w:rFonts w:hint="eastAsia"/>
                <w:b/>
                <w:sz w:val="24"/>
                <w:szCs w:val="24"/>
              </w:rPr>
              <w:t>高目标</w:t>
            </w:r>
          </w:p>
        </w:tc>
        <w:tc>
          <w:tcPr>
            <w:tcW w:w="749" w:type="pct"/>
            <w:vMerge/>
            <w:tcBorders>
              <w:left w:val="single" w:sz="4" w:space="0" w:color="auto"/>
              <w:bottom w:val="single" w:sz="4" w:space="0" w:color="auto"/>
              <w:right w:val="single" w:sz="4" w:space="0" w:color="auto"/>
            </w:tcBorders>
            <w:noWrap/>
            <w:vAlign w:val="center"/>
          </w:tcPr>
          <w:p w14:paraId="61163179" w14:textId="77777777" w:rsidR="00594248" w:rsidRDefault="00594248" w:rsidP="00594248">
            <w:pPr>
              <w:spacing w:line="276" w:lineRule="auto"/>
              <w:jc w:val="center"/>
              <w:rPr>
                <w:b/>
                <w:sz w:val="24"/>
                <w:szCs w:val="24"/>
              </w:rPr>
            </w:pPr>
          </w:p>
        </w:tc>
        <w:tc>
          <w:tcPr>
            <w:tcW w:w="476" w:type="pct"/>
            <w:vMerge/>
            <w:tcBorders>
              <w:left w:val="single" w:sz="4" w:space="0" w:color="auto"/>
              <w:bottom w:val="single" w:sz="4" w:space="0" w:color="auto"/>
              <w:right w:val="single" w:sz="4" w:space="0" w:color="auto"/>
            </w:tcBorders>
            <w:vAlign w:val="center"/>
          </w:tcPr>
          <w:p w14:paraId="2B74C87F" w14:textId="77777777" w:rsidR="00594248" w:rsidRDefault="00594248" w:rsidP="00594248">
            <w:pPr>
              <w:spacing w:line="276" w:lineRule="auto"/>
              <w:jc w:val="center"/>
              <w:rPr>
                <w:b/>
                <w:sz w:val="24"/>
                <w:szCs w:val="24"/>
              </w:rPr>
            </w:pPr>
          </w:p>
        </w:tc>
        <w:tc>
          <w:tcPr>
            <w:tcW w:w="1009" w:type="pct"/>
            <w:vMerge/>
            <w:tcBorders>
              <w:left w:val="single" w:sz="4" w:space="0" w:color="auto"/>
              <w:bottom w:val="single" w:sz="4" w:space="0" w:color="auto"/>
              <w:right w:val="single" w:sz="4" w:space="0" w:color="auto"/>
            </w:tcBorders>
          </w:tcPr>
          <w:p w14:paraId="3A3C8C4D" w14:textId="77777777" w:rsidR="00594248" w:rsidRDefault="00594248" w:rsidP="00594248">
            <w:pPr>
              <w:spacing w:line="276" w:lineRule="auto"/>
              <w:jc w:val="center"/>
              <w:rPr>
                <w:b/>
                <w:sz w:val="24"/>
                <w:szCs w:val="24"/>
              </w:rPr>
            </w:pPr>
          </w:p>
        </w:tc>
        <w:tc>
          <w:tcPr>
            <w:tcW w:w="436" w:type="pct"/>
            <w:vMerge/>
            <w:tcBorders>
              <w:left w:val="single" w:sz="4" w:space="0" w:color="auto"/>
              <w:bottom w:val="single" w:sz="4" w:space="0" w:color="auto"/>
              <w:right w:val="single" w:sz="4" w:space="0" w:color="auto"/>
            </w:tcBorders>
            <w:vAlign w:val="center"/>
          </w:tcPr>
          <w:p w14:paraId="3FDF297C" w14:textId="77777777" w:rsidR="00594248" w:rsidRDefault="00594248" w:rsidP="00594248">
            <w:pPr>
              <w:spacing w:line="276" w:lineRule="auto"/>
              <w:jc w:val="center"/>
              <w:rPr>
                <w:b/>
                <w:sz w:val="24"/>
                <w:szCs w:val="24"/>
              </w:rPr>
            </w:pPr>
          </w:p>
        </w:tc>
      </w:tr>
      <w:tr w:rsidR="00594248" w14:paraId="0E9A788E" w14:textId="77777777" w:rsidTr="000D05E3">
        <w:trPr>
          <w:trHeight w:val="270"/>
        </w:trPr>
        <w:tc>
          <w:tcPr>
            <w:tcW w:w="241" w:type="pct"/>
            <w:vMerge w:val="restart"/>
            <w:tcBorders>
              <w:top w:val="single" w:sz="4" w:space="0" w:color="auto"/>
              <w:left w:val="single" w:sz="4" w:space="0" w:color="auto"/>
              <w:right w:val="single" w:sz="4" w:space="0" w:color="auto"/>
            </w:tcBorders>
            <w:vAlign w:val="center"/>
          </w:tcPr>
          <w:p w14:paraId="1236DA7E" w14:textId="77777777" w:rsidR="00594248" w:rsidRPr="00E96250" w:rsidRDefault="00594248" w:rsidP="00594248">
            <w:pPr>
              <w:spacing w:line="276" w:lineRule="auto"/>
              <w:jc w:val="center"/>
              <w:rPr>
                <w:bCs/>
                <w:sz w:val="24"/>
                <w:szCs w:val="24"/>
              </w:rPr>
            </w:pPr>
            <w:r>
              <w:rPr>
                <w:rFonts w:hint="eastAsia"/>
                <w:bCs/>
                <w:sz w:val="24"/>
                <w:szCs w:val="24"/>
              </w:rPr>
              <w:t>市区</w:t>
            </w:r>
          </w:p>
        </w:tc>
        <w:tc>
          <w:tcPr>
            <w:tcW w:w="785" w:type="pct"/>
            <w:tcBorders>
              <w:top w:val="single" w:sz="4" w:space="0" w:color="auto"/>
              <w:left w:val="single" w:sz="4" w:space="0" w:color="auto"/>
              <w:bottom w:val="single" w:sz="4" w:space="0" w:color="auto"/>
              <w:right w:val="single" w:sz="4" w:space="0" w:color="auto"/>
            </w:tcBorders>
            <w:noWrap/>
            <w:vAlign w:val="center"/>
            <w:hideMark/>
          </w:tcPr>
          <w:p w14:paraId="5D68C4DA" w14:textId="77777777" w:rsidR="00594248" w:rsidRPr="00E96250" w:rsidRDefault="00594248" w:rsidP="00594248">
            <w:pPr>
              <w:spacing w:line="276" w:lineRule="auto"/>
              <w:jc w:val="center"/>
              <w:rPr>
                <w:bCs/>
                <w:sz w:val="24"/>
                <w:szCs w:val="24"/>
              </w:rPr>
            </w:pPr>
            <w:r w:rsidRPr="00E96250">
              <w:rPr>
                <w:rFonts w:hint="eastAsia"/>
                <w:bCs/>
                <w:sz w:val="24"/>
                <w:szCs w:val="24"/>
              </w:rPr>
              <w:t>赤坎区</w:t>
            </w:r>
          </w:p>
        </w:tc>
        <w:tc>
          <w:tcPr>
            <w:tcW w:w="652" w:type="pct"/>
            <w:tcBorders>
              <w:top w:val="single" w:sz="4" w:space="0" w:color="auto"/>
              <w:left w:val="nil"/>
              <w:bottom w:val="single" w:sz="4" w:space="0" w:color="auto"/>
              <w:right w:val="single" w:sz="4" w:space="0" w:color="auto"/>
            </w:tcBorders>
            <w:vAlign w:val="center"/>
          </w:tcPr>
          <w:p w14:paraId="71A71BC2" w14:textId="62335D1E" w:rsidR="00594248" w:rsidRPr="000D05E3" w:rsidRDefault="00594248" w:rsidP="00594248">
            <w:pPr>
              <w:spacing w:line="276" w:lineRule="auto"/>
              <w:jc w:val="center"/>
              <w:rPr>
                <w:bCs/>
                <w:sz w:val="24"/>
                <w:szCs w:val="24"/>
              </w:rPr>
            </w:pPr>
            <w:r w:rsidRPr="000D05E3">
              <w:rPr>
                <w:bCs/>
                <w:sz w:val="24"/>
                <w:szCs w:val="24"/>
              </w:rPr>
              <w:t>140.0</w:t>
            </w:r>
          </w:p>
        </w:tc>
        <w:tc>
          <w:tcPr>
            <w:tcW w:w="652" w:type="pct"/>
            <w:tcBorders>
              <w:top w:val="single" w:sz="4" w:space="0" w:color="auto"/>
              <w:left w:val="single" w:sz="4" w:space="0" w:color="auto"/>
              <w:bottom w:val="single" w:sz="4" w:space="0" w:color="auto"/>
              <w:right w:val="single" w:sz="4" w:space="0" w:color="auto"/>
            </w:tcBorders>
            <w:noWrap/>
            <w:vAlign w:val="center"/>
          </w:tcPr>
          <w:p w14:paraId="1754B810" w14:textId="33C397E6" w:rsidR="00594248" w:rsidRPr="000D05E3" w:rsidRDefault="00594248" w:rsidP="00594248">
            <w:pPr>
              <w:spacing w:line="276" w:lineRule="auto"/>
              <w:jc w:val="center"/>
              <w:rPr>
                <w:bCs/>
                <w:sz w:val="24"/>
                <w:szCs w:val="24"/>
              </w:rPr>
            </w:pPr>
            <w:r w:rsidRPr="000D05E3">
              <w:rPr>
                <w:bCs/>
                <w:sz w:val="24"/>
                <w:szCs w:val="24"/>
              </w:rPr>
              <w:t>210.0</w:t>
            </w:r>
          </w:p>
        </w:tc>
        <w:tc>
          <w:tcPr>
            <w:tcW w:w="749" w:type="pct"/>
            <w:tcBorders>
              <w:top w:val="single" w:sz="4" w:space="0" w:color="auto"/>
              <w:left w:val="nil"/>
              <w:bottom w:val="single" w:sz="4" w:space="0" w:color="auto"/>
              <w:right w:val="single" w:sz="4" w:space="0" w:color="auto"/>
            </w:tcBorders>
            <w:noWrap/>
            <w:vAlign w:val="center"/>
          </w:tcPr>
          <w:p w14:paraId="282601A0" w14:textId="72F2BF81" w:rsidR="00594248" w:rsidRPr="000D05E3" w:rsidRDefault="00594248" w:rsidP="00594248">
            <w:pPr>
              <w:spacing w:line="276" w:lineRule="auto"/>
              <w:jc w:val="center"/>
              <w:rPr>
                <w:bCs/>
                <w:sz w:val="24"/>
                <w:szCs w:val="24"/>
              </w:rPr>
            </w:pPr>
            <w:r w:rsidRPr="000D05E3">
              <w:rPr>
                <w:bCs/>
                <w:sz w:val="24"/>
                <w:szCs w:val="24"/>
              </w:rPr>
              <w:t>1.1</w:t>
            </w:r>
          </w:p>
        </w:tc>
        <w:tc>
          <w:tcPr>
            <w:tcW w:w="476" w:type="pct"/>
            <w:vMerge w:val="restart"/>
            <w:tcBorders>
              <w:top w:val="single" w:sz="4" w:space="0" w:color="auto"/>
              <w:left w:val="single" w:sz="4" w:space="0" w:color="auto"/>
              <w:right w:val="single" w:sz="4" w:space="0" w:color="auto"/>
            </w:tcBorders>
            <w:vAlign w:val="center"/>
          </w:tcPr>
          <w:p w14:paraId="5519195C" w14:textId="33410A1A" w:rsidR="00594248" w:rsidRPr="000D05E3" w:rsidRDefault="00594248" w:rsidP="00594248">
            <w:pPr>
              <w:spacing w:line="276" w:lineRule="auto"/>
              <w:jc w:val="center"/>
              <w:rPr>
                <w:bCs/>
                <w:sz w:val="24"/>
                <w:szCs w:val="24"/>
              </w:rPr>
            </w:pPr>
            <w:r w:rsidRPr="000D05E3">
              <w:rPr>
                <w:rFonts w:hint="eastAsia"/>
                <w:bCs/>
                <w:sz w:val="24"/>
                <w:szCs w:val="24"/>
              </w:rPr>
              <w:t>——</w:t>
            </w:r>
          </w:p>
        </w:tc>
        <w:tc>
          <w:tcPr>
            <w:tcW w:w="1009" w:type="pct"/>
            <w:tcBorders>
              <w:top w:val="single" w:sz="4" w:space="0" w:color="auto"/>
              <w:left w:val="single" w:sz="4" w:space="0" w:color="auto"/>
              <w:bottom w:val="single" w:sz="4" w:space="0" w:color="auto"/>
              <w:right w:val="single" w:sz="4" w:space="0" w:color="auto"/>
            </w:tcBorders>
            <w:vAlign w:val="center"/>
          </w:tcPr>
          <w:p w14:paraId="3EEECE24" w14:textId="6DF6BFEA" w:rsidR="00594248" w:rsidRPr="000D05E3" w:rsidRDefault="00594248" w:rsidP="00594248">
            <w:pPr>
              <w:spacing w:line="276" w:lineRule="auto"/>
              <w:jc w:val="center"/>
              <w:rPr>
                <w:bCs/>
                <w:sz w:val="24"/>
                <w:szCs w:val="24"/>
              </w:rPr>
            </w:pPr>
            <w:r w:rsidRPr="000D05E3">
              <w:rPr>
                <w:bCs/>
                <w:sz w:val="24"/>
                <w:szCs w:val="24"/>
              </w:rPr>
              <w:t>1.3</w:t>
            </w:r>
          </w:p>
        </w:tc>
        <w:tc>
          <w:tcPr>
            <w:tcW w:w="436" w:type="pct"/>
            <w:tcBorders>
              <w:top w:val="single" w:sz="4" w:space="0" w:color="auto"/>
              <w:left w:val="single" w:sz="4" w:space="0" w:color="auto"/>
              <w:bottom w:val="single" w:sz="4" w:space="0" w:color="auto"/>
              <w:right w:val="single" w:sz="4" w:space="0" w:color="auto"/>
            </w:tcBorders>
            <w:vAlign w:val="center"/>
          </w:tcPr>
          <w:p w14:paraId="6A670E3F" w14:textId="68DC2DA9" w:rsidR="00594248" w:rsidRPr="000D05E3" w:rsidRDefault="00594248" w:rsidP="00594248">
            <w:pPr>
              <w:spacing w:line="276" w:lineRule="auto"/>
              <w:jc w:val="center"/>
              <w:rPr>
                <w:bCs/>
                <w:sz w:val="24"/>
                <w:szCs w:val="24"/>
              </w:rPr>
            </w:pPr>
            <w:r w:rsidRPr="000D05E3">
              <w:rPr>
                <w:bCs/>
                <w:sz w:val="24"/>
                <w:szCs w:val="24"/>
              </w:rPr>
              <w:t>0</w:t>
            </w:r>
          </w:p>
        </w:tc>
      </w:tr>
      <w:tr w:rsidR="00594248" w14:paraId="48CDFD1C" w14:textId="77777777" w:rsidTr="000D05E3">
        <w:trPr>
          <w:trHeight w:val="270"/>
        </w:trPr>
        <w:tc>
          <w:tcPr>
            <w:tcW w:w="241" w:type="pct"/>
            <w:vMerge/>
            <w:tcBorders>
              <w:left w:val="single" w:sz="4" w:space="0" w:color="auto"/>
              <w:right w:val="single" w:sz="4" w:space="0" w:color="auto"/>
            </w:tcBorders>
          </w:tcPr>
          <w:p w14:paraId="570FA81E" w14:textId="77777777" w:rsidR="00594248" w:rsidRPr="00E96250" w:rsidRDefault="00594248" w:rsidP="00594248">
            <w:pPr>
              <w:spacing w:line="276" w:lineRule="auto"/>
              <w:jc w:val="center"/>
              <w:rPr>
                <w:bCs/>
                <w:sz w:val="24"/>
                <w:szCs w:val="24"/>
              </w:rPr>
            </w:pPr>
          </w:p>
        </w:tc>
        <w:tc>
          <w:tcPr>
            <w:tcW w:w="785" w:type="pct"/>
            <w:tcBorders>
              <w:top w:val="single" w:sz="4" w:space="0" w:color="auto"/>
              <w:left w:val="single" w:sz="4" w:space="0" w:color="auto"/>
              <w:bottom w:val="single" w:sz="4" w:space="0" w:color="auto"/>
              <w:right w:val="single" w:sz="4" w:space="0" w:color="auto"/>
            </w:tcBorders>
            <w:noWrap/>
            <w:vAlign w:val="center"/>
            <w:hideMark/>
          </w:tcPr>
          <w:p w14:paraId="0EB15A26" w14:textId="77777777" w:rsidR="00594248" w:rsidRPr="00E96250" w:rsidRDefault="00594248" w:rsidP="00594248">
            <w:pPr>
              <w:spacing w:line="276" w:lineRule="auto"/>
              <w:jc w:val="center"/>
              <w:rPr>
                <w:bCs/>
                <w:sz w:val="24"/>
                <w:szCs w:val="24"/>
              </w:rPr>
            </w:pPr>
            <w:r w:rsidRPr="00E96250">
              <w:rPr>
                <w:rFonts w:hint="eastAsia"/>
                <w:bCs/>
                <w:sz w:val="24"/>
                <w:szCs w:val="24"/>
              </w:rPr>
              <w:t>霞山区</w:t>
            </w:r>
          </w:p>
        </w:tc>
        <w:tc>
          <w:tcPr>
            <w:tcW w:w="652" w:type="pct"/>
            <w:tcBorders>
              <w:top w:val="single" w:sz="4" w:space="0" w:color="auto"/>
              <w:left w:val="nil"/>
              <w:bottom w:val="single" w:sz="4" w:space="0" w:color="auto"/>
              <w:right w:val="single" w:sz="4" w:space="0" w:color="auto"/>
            </w:tcBorders>
            <w:vAlign w:val="center"/>
          </w:tcPr>
          <w:p w14:paraId="75282572" w14:textId="67883AD6" w:rsidR="00594248" w:rsidRPr="000D05E3" w:rsidRDefault="00594248" w:rsidP="00594248">
            <w:pPr>
              <w:spacing w:line="276" w:lineRule="auto"/>
              <w:jc w:val="center"/>
              <w:rPr>
                <w:bCs/>
                <w:sz w:val="24"/>
                <w:szCs w:val="24"/>
              </w:rPr>
            </w:pPr>
            <w:r w:rsidRPr="000D05E3">
              <w:rPr>
                <w:bCs/>
                <w:sz w:val="24"/>
                <w:szCs w:val="24"/>
              </w:rPr>
              <w:t>157.5</w:t>
            </w:r>
          </w:p>
        </w:tc>
        <w:tc>
          <w:tcPr>
            <w:tcW w:w="652" w:type="pct"/>
            <w:tcBorders>
              <w:top w:val="single" w:sz="4" w:space="0" w:color="auto"/>
              <w:left w:val="single" w:sz="4" w:space="0" w:color="auto"/>
              <w:bottom w:val="single" w:sz="4" w:space="0" w:color="auto"/>
              <w:right w:val="single" w:sz="4" w:space="0" w:color="auto"/>
            </w:tcBorders>
            <w:noWrap/>
            <w:vAlign w:val="center"/>
          </w:tcPr>
          <w:p w14:paraId="44DC0FB6" w14:textId="32E0CD13" w:rsidR="00594248" w:rsidRPr="000D05E3" w:rsidRDefault="00594248" w:rsidP="00594248">
            <w:pPr>
              <w:spacing w:line="276" w:lineRule="auto"/>
              <w:jc w:val="center"/>
              <w:rPr>
                <w:bCs/>
                <w:sz w:val="24"/>
                <w:szCs w:val="24"/>
              </w:rPr>
            </w:pPr>
            <w:r w:rsidRPr="000D05E3">
              <w:rPr>
                <w:bCs/>
                <w:sz w:val="24"/>
                <w:szCs w:val="24"/>
              </w:rPr>
              <w:t>192.5</w:t>
            </w:r>
          </w:p>
        </w:tc>
        <w:tc>
          <w:tcPr>
            <w:tcW w:w="749" w:type="pct"/>
            <w:tcBorders>
              <w:top w:val="single" w:sz="4" w:space="0" w:color="auto"/>
              <w:left w:val="nil"/>
              <w:bottom w:val="single" w:sz="4" w:space="0" w:color="auto"/>
              <w:right w:val="single" w:sz="4" w:space="0" w:color="auto"/>
            </w:tcBorders>
            <w:noWrap/>
            <w:vAlign w:val="center"/>
          </w:tcPr>
          <w:p w14:paraId="4953A3E4" w14:textId="74FB722A" w:rsidR="00594248" w:rsidRPr="000D05E3" w:rsidRDefault="00594248" w:rsidP="00594248">
            <w:pPr>
              <w:spacing w:line="276" w:lineRule="auto"/>
              <w:jc w:val="center"/>
              <w:rPr>
                <w:bCs/>
                <w:sz w:val="24"/>
                <w:szCs w:val="24"/>
              </w:rPr>
            </w:pPr>
            <w:r w:rsidRPr="000D05E3">
              <w:rPr>
                <w:bCs/>
                <w:sz w:val="24"/>
                <w:szCs w:val="24"/>
              </w:rPr>
              <w:t>2.1</w:t>
            </w:r>
          </w:p>
        </w:tc>
        <w:tc>
          <w:tcPr>
            <w:tcW w:w="476" w:type="pct"/>
            <w:vMerge/>
            <w:tcBorders>
              <w:left w:val="single" w:sz="4" w:space="0" w:color="auto"/>
              <w:right w:val="single" w:sz="4" w:space="0" w:color="auto"/>
            </w:tcBorders>
            <w:vAlign w:val="center"/>
          </w:tcPr>
          <w:p w14:paraId="28C33573" w14:textId="77777777" w:rsidR="00594248" w:rsidRPr="000D05E3" w:rsidRDefault="00594248" w:rsidP="00594248">
            <w:pPr>
              <w:spacing w:line="276" w:lineRule="auto"/>
              <w:jc w:val="center"/>
              <w:rPr>
                <w:bCs/>
                <w:sz w:val="24"/>
                <w:szCs w:val="24"/>
              </w:rPr>
            </w:pPr>
          </w:p>
        </w:tc>
        <w:tc>
          <w:tcPr>
            <w:tcW w:w="1009" w:type="pct"/>
            <w:tcBorders>
              <w:top w:val="single" w:sz="4" w:space="0" w:color="auto"/>
              <w:left w:val="single" w:sz="4" w:space="0" w:color="auto"/>
              <w:bottom w:val="single" w:sz="4" w:space="0" w:color="auto"/>
              <w:right w:val="single" w:sz="4" w:space="0" w:color="auto"/>
            </w:tcBorders>
            <w:vAlign w:val="center"/>
          </w:tcPr>
          <w:p w14:paraId="63E64B86" w14:textId="1BD6A695" w:rsidR="00594248" w:rsidRPr="000D05E3" w:rsidRDefault="00594248" w:rsidP="00594248">
            <w:pPr>
              <w:spacing w:line="276" w:lineRule="auto"/>
              <w:jc w:val="center"/>
              <w:rPr>
                <w:bCs/>
                <w:sz w:val="24"/>
                <w:szCs w:val="24"/>
              </w:rPr>
            </w:pPr>
            <w:r w:rsidRPr="000D05E3">
              <w:rPr>
                <w:bCs/>
                <w:sz w:val="24"/>
                <w:szCs w:val="24"/>
              </w:rPr>
              <w:t>0.7</w:t>
            </w:r>
          </w:p>
        </w:tc>
        <w:tc>
          <w:tcPr>
            <w:tcW w:w="436" w:type="pct"/>
            <w:tcBorders>
              <w:top w:val="single" w:sz="4" w:space="0" w:color="auto"/>
              <w:left w:val="single" w:sz="4" w:space="0" w:color="auto"/>
              <w:bottom w:val="single" w:sz="4" w:space="0" w:color="auto"/>
              <w:right w:val="single" w:sz="4" w:space="0" w:color="auto"/>
            </w:tcBorders>
            <w:vAlign w:val="center"/>
          </w:tcPr>
          <w:p w14:paraId="14EC5037" w14:textId="67E2EEAE" w:rsidR="00594248" w:rsidRPr="000D05E3" w:rsidRDefault="00594248" w:rsidP="00594248">
            <w:pPr>
              <w:spacing w:line="276" w:lineRule="auto"/>
              <w:jc w:val="center"/>
              <w:rPr>
                <w:bCs/>
                <w:sz w:val="24"/>
                <w:szCs w:val="24"/>
              </w:rPr>
            </w:pPr>
            <w:r w:rsidRPr="000D05E3">
              <w:rPr>
                <w:bCs/>
                <w:sz w:val="24"/>
                <w:szCs w:val="24"/>
              </w:rPr>
              <w:t>0</w:t>
            </w:r>
          </w:p>
        </w:tc>
      </w:tr>
      <w:tr w:rsidR="00594248" w14:paraId="3DB70579" w14:textId="77777777" w:rsidTr="000D05E3">
        <w:trPr>
          <w:trHeight w:val="270"/>
        </w:trPr>
        <w:tc>
          <w:tcPr>
            <w:tcW w:w="241" w:type="pct"/>
            <w:vMerge/>
            <w:tcBorders>
              <w:left w:val="single" w:sz="4" w:space="0" w:color="auto"/>
              <w:right w:val="single" w:sz="4" w:space="0" w:color="auto"/>
            </w:tcBorders>
          </w:tcPr>
          <w:p w14:paraId="2173FEAE" w14:textId="77777777" w:rsidR="00594248" w:rsidRPr="00E96250" w:rsidRDefault="00594248" w:rsidP="00594248">
            <w:pPr>
              <w:spacing w:line="276" w:lineRule="auto"/>
              <w:jc w:val="center"/>
              <w:rPr>
                <w:bCs/>
                <w:sz w:val="24"/>
                <w:szCs w:val="24"/>
              </w:rPr>
            </w:pPr>
          </w:p>
        </w:tc>
        <w:tc>
          <w:tcPr>
            <w:tcW w:w="785" w:type="pct"/>
            <w:tcBorders>
              <w:top w:val="single" w:sz="4" w:space="0" w:color="auto"/>
              <w:left w:val="single" w:sz="4" w:space="0" w:color="auto"/>
              <w:bottom w:val="single" w:sz="4" w:space="0" w:color="auto"/>
              <w:right w:val="single" w:sz="4" w:space="0" w:color="auto"/>
            </w:tcBorders>
            <w:noWrap/>
            <w:vAlign w:val="center"/>
            <w:hideMark/>
          </w:tcPr>
          <w:p w14:paraId="79FE1513" w14:textId="77777777" w:rsidR="00594248" w:rsidRPr="00E96250" w:rsidRDefault="00594248" w:rsidP="00594248">
            <w:pPr>
              <w:spacing w:line="276" w:lineRule="auto"/>
              <w:jc w:val="center"/>
              <w:rPr>
                <w:bCs/>
                <w:sz w:val="24"/>
                <w:szCs w:val="24"/>
              </w:rPr>
            </w:pPr>
            <w:r w:rsidRPr="00E96250">
              <w:rPr>
                <w:rFonts w:hint="eastAsia"/>
                <w:bCs/>
                <w:sz w:val="24"/>
                <w:szCs w:val="24"/>
              </w:rPr>
              <w:t>坡头区</w:t>
            </w:r>
          </w:p>
        </w:tc>
        <w:tc>
          <w:tcPr>
            <w:tcW w:w="652" w:type="pct"/>
            <w:tcBorders>
              <w:top w:val="single" w:sz="4" w:space="0" w:color="auto"/>
              <w:left w:val="nil"/>
              <w:bottom w:val="single" w:sz="4" w:space="0" w:color="auto"/>
              <w:right w:val="single" w:sz="4" w:space="0" w:color="auto"/>
            </w:tcBorders>
            <w:vAlign w:val="center"/>
          </w:tcPr>
          <w:p w14:paraId="24516C64" w14:textId="70461601" w:rsidR="00594248" w:rsidRPr="000D05E3" w:rsidRDefault="00594248" w:rsidP="00594248">
            <w:pPr>
              <w:spacing w:line="276" w:lineRule="auto"/>
              <w:jc w:val="center"/>
              <w:rPr>
                <w:bCs/>
                <w:sz w:val="24"/>
                <w:szCs w:val="24"/>
              </w:rPr>
            </w:pPr>
            <w:r w:rsidRPr="000D05E3">
              <w:rPr>
                <w:bCs/>
                <w:sz w:val="24"/>
                <w:szCs w:val="24"/>
              </w:rPr>
              <w:t>105.0</w:t>
            </w:r>
          </w:p>
        </w:tc>
        <w:tc>
          <w:tcPr>
            <w:tcW w:w="652" w:type="pct"/>
            <w:tcBorders>
              <w:top w:val="single" w:sz="4" w:space="0" w:color="auto"/>
              <w:left w:val="single" w:sz="4" w:space="0" w:color="auto"/>
              <w:bottom w:val="single" w:sz="4" w:space="0" w:color="auto"/>
              <w:right w:val="single" w:sz="4" w:space="0" w:color="auto"/>
            </w:tcBorders>
            <w:noWrap/>
            <w:vAlign w:val="center"/>
          </w:tcPr>
          <w:p w14:paraId="237B7F20" w14:textId="20317490" w:rsidR="00594248" w:rsidRPr="000D05E3" w:rsidRDefault="00594248" w:rsidP="00594248">
            <w:pPr>
              <w:spacing w:line="276" w:lineRule="auto"/>
              <w:jc w:val="center"/>
              <w:rPr>
                <w:bCs/>
                <w:sz w:val="24"/>
                <w:szCs w:val="24"/>
              </w:rPr>
            </w:pPr>
            <w:r w:rsidRPr="000D05E3">
              <w:rPr>
                <w:bCs/>
                <w:sz w:val="24"/>
                <w:szCs w:val="24"/>
              </w:rPr>
              <w:t>175.0</w:t>
            </w:r>
          </w:p>
        </w:tc>
        <w:tc>
          <w:tcPr>
            <w:tcW w:w="749" w:type="pct"/>
            <w:tcBorders>
              <w:top w:val="single" w:sz="4" w:space="0" w:color="auto"/>
              <w:left w:val="nil"/>
              <w:bottom w:val="single" w:sz="4" w:space="0" w:color="auto"/>
              <w:right w:val="single" w:sz="4" w:space="0" w:color="auto"/>
            </w:tcBorders>
            <w:noWrap/>
            <w:vAlign w:val="center"/>
          </w:tcPr>
          <w:p w14:paraId="53C8C6F7" w14:textId="76E85DFB" w:rsidR="00594248" w:rsidRPr="000D05E3" w:rsidRDefault="00594248" w:rsidP="00594248">
            <w:pPr>
              <w:spacing w:line="276" w:lineRule="auto"/>
              <w:jc w:val="center"/>
              <w:rPr>
                <w:bCs/>
                <w:sz w:val="24"/>
                <w:szCs w:val="24"/>
              </w:rPr>
            </w:pPr>
            <w:r w:rsidRPr="000D05E3">
              <w:rPr>
                <w:bCs/>
                <w:sz w:val="24"/>
                <w:szCs w:val="24"/>
              </w:rPr>
              <w:t>1.1</w:t>
            </w:r>
          </w:p>
        </w:tc>
        <w:tc>
          <w:tcPr>
            <w:tcW w:w="476" w:type="pct"/>
            <w:vMerge/>
            <w:tcBorders>
              <w:left w:val="single" w:sz="4" w:space="0" w:color="auto"/>
              <w:right w:val="single" w:sz="4" w:space="0" w:color="auto"/>
            </w:tcBorders>
            <w:vAlign w:val="center"/>
          </w:tcPr>
          <w:p w14:paraId="5885D17D" w14:textId="77777777" w:rsidR="00594248" w:rsidRPr="000D05E3" w:rsidRDefault="00594248" w:rsidP="00594248">
            <w:pPr>
              <w:spacing w:line="276" w:lineRule="auto"/>
              <w:jc w:val="center"/>
              <w:rPr>
                <w:bCs/>
                <w:sz w:val="24"/>
                <w:szCs w:val="24"/>
              </w:rPr>
            </w:pPr>
          </w:p>
        </w:tc>
        <w:tc>
          <w:tcPr>
            <w:tcW w:w="1009" w:type="pct"/>
            <w:tcBorders>
              <w:top w:val="single" w:sz="4" w:space="0" w:color="auto"/>
              <w:left w:val="single" w:sz="4" w:space="0" w:color="auto"/>
              <w:bottom w:val="single" w:sz="4" w:space="0" w:color="auto"/>
              <w:right w:val="single" w:sz="4" w:space="0" w:color="auto"/>
            </w:tcBorders>
            <w:vAlign w:val="center"/>
          </w:tcPr>
          <w:p w14:paraId="20C2877F" w14:textId="5B4DE6D4" w:rsidR="00594248" w:rsidRPr="000D05E3" w:rsidRDefault="00594248" w:rsidP="00594248">
            <w:pPr>
              <w:spacing w:line="276" w:lineRule="auto"/>
              <w:jc w:val="center"/>
              <w:rPr>
                <w:bCs/>
                <w:sz w:val="24"/>
                <w:szCs w:val="24"/>
              </w:rPr>
            </w:pPr>
            <w:r w:rsidRPr="000D05E3">
              <w:rPr>
                <w:bCs/>
                <w:sz w:val="24"/>
                <w:szCs w:val="24"/>
              </w:rPr>
              <w:t>0.7</w:t>
            </w:r>
          </w:p>
        </w:tc>
        <w:tc>
          <w:tcPr>
            <w:tcW w:w="436" w:type="pct"/>
            <w:tcBorders>
              <w:top w:val="single" w:sz="4" w:space="0" w:color="auto"/>
              <w:left w:val="single" w:sz="4" w:space="0" w:color="auto"/>
              <w:bottom w:val="single" w:sz="4" w:space="0" w:color="auto"/>
              <w:right w:val="single" w:sz="4" w:space="0" w:color="auto"/>
            </w:tcBorders>
            <w:vAlign w:val="center"/>
          </w:tcPr>
          <w:p w14:paraId="61D4D9DE" w14:textId="0324A0B9" w:rsidR="00594248" w:rsidRPr="000D05E3" w:rsidRDefault="00594248" w:rsidP="00594248">
            <w:pPr>
              <w:spacing w:line="276" w:lineRule="auto"/>
              <w:jc w:val="center"/>
              <w:rPr>
                <w:bCs/>
                <w:sz w:val="24"/>
                <w:szCs w:val="24"/>
              </w:rPr>
            </w:pPr>
            <w:r w:rsidRPr="000D05E3">
              <w:rPr>
                <w:bCs/>
                <w:sz w:val="24"/>
                <w:szCs w:val="24"/>
              </w:rPr>
              <w:t>0</w:t>
            </w:r>
          </w:p>
        </w:tc>
      </w:tr>
      <w:tr w:rsidR="00594248" w14:paraId="3C1AAD63" w14:textId="77777777" w:rsidTr="000D05E3">
        <w:trPr>
          <w:trHeight w:val="270"/>
        </w:trPr>
        <w:tc>
          <w:tcPr>
            <w:tcW w:w="241" w:type="pct"/>
            <w:vMerge/>
            <w:tcBorders>
              <w:left w:val="single" w:sz="4" w:space="0" w:color="auto"/>
              <w:right w:val="single" w:sz="4" w:space="0" w:color="auto"/>
            </w:tcBorders>
          </w:tcPr>
          <w:p w14:paraId="3159B50C" w14:textId="77777777" w:rsidR="00594248" w:rsidRPr="00E96250" w:rsidRDefault="00594248" w:rsidP="00594248">
            <w:pPr>
              <w:spacing w:line="276" w:lineRule="auto"/>
              <w:jc w:val="center"/>
              <w:rPr>
                <w:bCs/>
                <w:sz w:val="24"/>
                <w:szCs w:val="24"/>
              </w:rPr>
            </w:pPr>
          </w:p>
        </w:tc>
        <w:tc>
          <w:tcPr>
            <w:tcW w:w="785" w:type="pct"/>
            <w:tcBorders>
              <w:top w:val="single" w:sz="4" w:space="0" w:color="auto"/>
              <w:left w:val="single" w:sz="4" w:space="0" w:color="auto"/>
              <w:bottom w:val="single" w:sz="4" w:space="0" w:color="auto"/>
              <w:right w:val="single" w:sz="4" w:space="0" w:color="auto"/>
            </w:tcBorders>
            <w:noWrap/>
            <w:vAlign w:val="center"/>
            <w:hideMark/>
          </w:tcPr>
          <w:p w14:paraId="598348C7" w14:textId="77777777" w:rsidR="00594248" w:rsidRPr="00E96250" w:rsidRDefault="00594248" w:rsidP="00594248">
            <w:pPr>
              <w:spacing w:line="276" w:lineRule="auto"/>
              <w:jc w:val="center"/>
              <w:rPr>
                <w:bCs/>
                <w:sz w:val="24"/>
                <w:szCs w:val="24"/>
              </w:rPr>
            </w:pPr>
            <w:r w:rsidRPr="00E96250">
              <w:rPr>
                <w:rFonts w:hint="eastAsia"/>
                <w:bCs/>
                <w:sz w:val="24"/>
                <w:szCs w:val="24"/>
              </w:rPr>
              <w:t>麻章区</w:t>
            </w:r>
          </w:p>
        </w:tc>
        <w:tc>
          <w:tcPr>
            <w:tcW w:w="652" w:type="pct"/>
            <w:tcBorders>
              <w:top w:val="single" w:sz="4" w:space="0" w:color="auto"/>
              <w:left w:val="nil"/>
              <w:bottom w:val="single" w:sz="4" w:space="0" w:color="auto"/>
              <w:right w:val="single" w:sz="4" w:space="0" w:color="auto"/>
            </w:tcBorders>
            <w:vAlign w:val="center"/>
          </w:tcPr>
          <w:p w14:paraId="463F9F9A" w14:textId="4BC724A4" w:rsidR="00594248" w:rsidRPr="000D05E3" w:rsidRDefault="00594248" w:rsidP="00594248">
            <w:pPr>
              <w:spacing w:line="276" w:lineRule="auto"/>
              <w:jc w:val="center"/>
              <w:rPr>
                <w:bCs/>
                <w:sz w:val="24"/>
                <w:szCs w:val="24"/>
              </w:rPr>
            </w:pPr>
            <w:r w:rsidRPr="000D05E3">
              <w:rPr>
                <w:bCs/>
                <w:sz w:val="24"/>
                <w:szCs w:val="24"/>
              </w:rPr>
              <w:t>78.8</w:t>
            </w:r>
          </w:p>
        </w:tc>
        <w:tc>
          <w:tcPr>
            <w:tcW w:w="652" w:type="pct"/>
            <w:tcBorders>
              <w:top w:val="single" w:sz="4" w:space="0" w:color="auto"/>
              <w:left w:val="single" w:sz="4" w:space="0" w:color="auto"/>
              <w:bottom w:val="single" w:sz="4" w:space="0" w:color="auto"/>
              <w:right w:val="single" w:sz="4" w:space="0" w:color="auto"/>
            </w:tcBorders>
            <w:noWrap/>
            <w:vAlign w:val="center"/>
          </w:tcPr>
          <w:p w14:paraId="1C8BD5B5" w14:textId="62B7F505" w:rsidR="00594248" w:rsidRPr="000D05E3" w:rsidRDefault="00594248" w:rsidP="00594248">
            <w:pPr>
              <w:spacing w:line="276" w:lineRule="auto"/>
              <w:jc w:val="center"/>
              <w:rPr>
                <w:bCs/>
                <w:sz w:val="24"/>
                <w:szCs w:val="24"/>
              </w:rPr>
            </w:pPr>
            <w:r w:rsidRPr="000D05E3">
              <w:rPr>
                <w:bCs/>
                <w:sz w:val="24"/>
                <w:szCs w:val="24"/>
              </w:rPr>
              <w:t>105.0</w:t>
            </w:r>
          </w:p>
        </w:tc>
        <w:tc>
          <w:tcPr>
            <w:tcW w:w="749" w:type="pct"/>
            <w:tcBorders>
              <w:top w:val="single" w:sz="4" w:space="0" w:color="auto"/>
              <w:left w:val="nil"/>
              <w:bottom w:val="single" w:sz="4" w:space="0" w:color="auto"/>
              <w:right w:val="single" w:sz="4" w:space="0" w:color="auto"/>
            </w:tcBorders>
            <w:noWrap/>
            <w:vAlign w:val="center"/>
          </w:tcPr>
          <w:p w14:paraId="3B924B4F" w14:textId="3D7A5CF2" w:rsidR="00594248" w:rsidRPr="000D05E3" w:rsidRDefault="00594248" w:rsidP="00594248">
            <w:pPr>
              <w:spacing w:line="276" w:lineRule="auto"/>
              <w:jc w:val="center"/>
              <w:rPr>
                <w:bCs/>
                <w:sz w:val="24"/>
                <w:szCs w:val="24"/>
              </w:rPr>
            </w:pPr>
            <w:r w:rsidRPr="000D05E3">
              <w:rPr>
                <w:bCs/>
                <w:sz w:val="24"/>
                <w:szCs w:val="24"/>
              </w:rPr>
              <w:t>0</w:t>
            </w:r>
          </w:p>
        </w:tc>
        <w:tc>
          <w:tcPr>
            <w:tcW w:w="476" w:type="pct"/>
            <w:vMerge/>
            <w:tcBorders>
              <w:left w:val="single" w:sz="4" w:space="0" w:color="auto"/>
              <w:right w:val="single" w:sz="4" w:space="0" w:color="auto"/>
            </w:tcBorders>
            <w:vAlign w:val="center"/>
          </w:tcPr>
          <w:p w14:paraId="765FE545" w14:textId="77777777" w:rsidR="00594248" w:rsidRPr="000D05E3" w:rsidRDefault="00594248" w:rsidP="00594248">
            <w:pPr>
              <w:spacing w:line="276" w:lineRule="auto"/>
              <w:jc w:val="center"/>
              <w:rPr>
                <w:bCs/>
                <w:sz w:val="24"/>
                <w:szCs w:val="24"/>
              </w:rPr>
            </w:pPr>
          </w:p>
        </w:tc>
        <w:tc>
          <w:tcPr>
            <w:tcW w:w="1009" w:type="pct"/>
            <w:tcBorders>
              <w:top w:val="single" w:sz="4" w:space="0" w:color="auto"/>
              <w:left w:val="single" w:sz="4" w:space="0" w:color="auto"/>
              <w:bottom w:val="single" w:sz="4" w:space="0" w:color="auto"/>
              <w:right w:val="single" w:sz="4" w:space="0" w:color="auto"/>
            </w:tcBorders>
            <w:vAlign w:val="center"/>
          </w:tcPr>
          <w:p w14:paraId="57EB8485" w14:textId="68866B71" w:rsidR="00594248" w:rsidRPr="000D05E3" w:rsidRDefault="00594248" w:rsidP="00594248">
            <w:pPr>
              <w:spacing w:line="276" w:lineRule="auto"/>
              <w:jc w:val="center"/>
              <w:rPr>
                <w:bCs/>
                <w:sz w:val="24"/>
                <w:szCs w:val="24"/>
              </w:rPr>
            </w:pPr>
            <w:r w:rsidRPr="000D05E3">
              <w:rPr>
                <w:bCs/>
                <w:sz w:val="24"/>
                <w:szCs w:val="24"/>
              </w:rPr>
              <w:t>0.0</w:t>
            </w:r>
          </w:p>
        </w:tc>
        <w:tc>
          <w:tcPr>
            <w:tcW w:w="436" w:type="pct"/>
            <w:tcBorders>
              <w:top w:val="single" w:sz="4" w:space="0" w:color="auto"/>
              <w:left w:val="single" w:sz="4" w:space="0" w:color="auto"/>
              <w:bottom w:val="single" w:sz="4" w:space="0" w:color="auto"/>
              <w:right w:val="single" w:sz="4" w:space="0" w:color="auto"/>
            </w:tcBorders>
            <w:vAlign w:val="center"/>
          </w:tcPr>
          <w:p w14:paraId="0147D749" w14:textId="398D8EE9" w:rsidR="00594248" w:rsidRPr="000D05E3" w:rsidRDefault="00594248" w:rsidP="00594248">
            <w:pPr>
              <w:spacing w:line="276" w:lineRule="auto"/>
              <w:jc w:val="center"/>
              <w:rPr>
                <w:bCs/>
                <w:sz w:val="24"/>
                <w:szCs w:val="24"/>
              </w:rPr>
            </w:pPr>
            <w:r w:rsidRPr="000D05E3">
              <w:rPr>
                <w:bCs/>
                <w:sz w:val="24"/>
                <w:szCs w:val="24"/>
              </w:rPr>
              <w:t>0</w:t>
            </w:r>
          </w:p>
        </w:tc>
      </w:tr>
      <w:tr w:rsidR="00594248" w14:paraId="45CAEFF0" w14:textId="77777777" w:rsidTr="000D05E3">
        <w:trPr>
          <w:trHeight w:val="270"/>
        </w:trPr>
        <w:tc>
          <w:tcPr>
            <w:tcW w:w="241" w:type="pct"/>
            <w:vMerge/>
            <w:tcBorders>
              <w:left w:val="single" w:sz="4" w:space="0" w:color="auto"/>
              <w:right w:val="single" w:sz="4" w:space="0" w:color="auto"/>
            </w:tcBorders>
          </w:tcPr>
          <w:p w14:paraId="667A8CB3" w14:textId="77777777" w:rsidR="00594248" w:rsidRPr="00E96250" w:rsidRDefault="00594248" w:rsidP="00594248">
            <w:pPr>
              <w:spacing w:line="276" w:lineRule="auto"/>
              <w:jc w:val="center"/>
              <w:rPr>
                <w:bCs/>
                <w:sz w:val="24"/>
                <w:szCs w:val="24"/>
              </w:rPr>
            </w:pPr>
          </w:p>
        </w:tc>
        <w:tc>
          <w:tcPr>
            <w:tcW w:w="785" w:type="pct"/>
            <w:tcBorders>
              <w:top w:val="single" w:sz="4" w:space="0" w:color="auto"/>
              <w:left w:val="single" w:sz="4" w:space="0" w:color="auto"/>
              <w:bottom w:val="single" w:sz="4" w:space="0" w:color="auto"/>
              <w:right w:val="single" w:sz="4" w:space="0" w:color="auto"/>
            </w:tcBorders>
            <w:noWrap/>
            <w:vAlign w:val="center"/>
            <w:hideMark/>
          </w:tcPr>
          <w:p w14:paraId="06749D40" w14:textId="77777777" w:rsidR="00594248" w:rsidRPr="00E96250" w:rsidRDefault="00594248" w:rsidP="00594248">
            <w:pPr>
              <w:spacing w:line="276" w:lineRule="auto"/>
              <w:jc w:val="center"/>
              <w:rPr>
                <w:bCs/>
                <w:sz w:val="24"/>
                <w:szCs w:val="24"/>
              </w:rPr>
            </w:pPr>
            <w:r w:rsidRPr="00E96250">
              <w:rPr>
                <w:rFonts w:hint="eastAsia"/>
                <w:bCs/>
                <w:sz w:val="24"/>
                <w:szCs w:val="24"/>
              </w:rPr>
              <w:t>开发区</w:t>
            </w:r>
          </w:p>
        </w:tc>
        <w:tc>
          <w:tcPr>
            <w:tcW w:w="652" w:type="pct"/>
            <w:tcBorders>
              <w:top w:val="single" w:sz="4" w:space="0" w:color="auto"/>
              <w:left w:val="nil"/>
              <w:bottom w:val="single" w:sz="4" w:space="0" w:color="auto"/>
              <w:right w:val="single" w:sz="4" w:space="0" w:color="auto"/>
            </w:tcBorders>
            <w:vAlign w:val="center"/>
          </w:tcPr>
          <w:p w14:paraId="0C724F91" w14:textId="31D58038" w:rsidR="00594248" w:rsidRPr="000D05E3" w:rsidRDefault="00594248" w:rsidP="00594248">
            <w:pPr>
              <w:spacing w:line="276" w:lineRule="auto"/>
              <w:jc w:val="center"/>
              <w:rPr>
                <w:bCs/>
                <w:sz w:val="24"/>
                <w:szCs w:val="24"/>
              </w:rPr>
            </w:pPr>
            <w:r w:rsidRPr="000D05E3">
              <w:rPr>
                <w:bCs/>
                <w:sz w:val="24"/>
                <w:szCs w:val="24"/>
              </w:rPr>
              <w:t>122.5</w:t>
            </w:r>
          </w:p>
        </w:tc>
        <w:tc>
          <w:tcPr>
            <w:tcW w:w="652" w:type="pct"/>
            <w:tcBorders>
              <w:top w:val="single" w:sz="4" w:space="0" w:color="auto"/>
              <w:left w:val="single" w:sz="4" w:space="0" w:color="auto"/>
              <w:bottom w:val="single" w:sz="4" w:space="0" w:color="auto"/>
              <w:right w:val="single" w:sz="4" w:space="0" w:color="auto"/>
            </w:tcBorders>
            <w:noWrap/>
            <w:vAlign w:val="center"/>
          </w:tcPr>
          <w:p w14:paraId="42C15B25" w14:textId="11DAA82C" w:rsidR="00594248" w:rsidRPr="000D05E3" w:rsidRDefault="00594248" w:rsidP="00594248">
            <w:pPr>
              <w:spacing w:line="276" w:lineRule="auto"/>
              <w:jc w:val="center"/>
              <w:rPr>
                <w:bCs/>
                <w:sz w:val="24"/>
                <w:szCs w:val="24"/>
              </w:rPr>
            </w:pPr>
            <w:r w:rsidRPr="000D05E3">
              <w:rPr>
                <w:bCs/>
                <w:sz w:val="24"/>
                <w:szCs w:val="24"/>
              </w:rPr>
              <w:t>157.5</w:t>
            </w:r>
          </w:p>
        </w:tc>
        <w:tc>
          <w:tcPr>
            <w:tcW w:w="749" w:type="pct"/>
            <w:tcBorders>
              <w:top w:val="single" w:sz="4" w:space="0" w:color="auto"/>
              <w:left w:val="nil"/>
              <w:bottom w:val="single" w:sz="4" w:space="0" w:color="auto"/>
              <w:right w:val="single" w:sz="4" w:space="0" w:color="auto"/>
            </w:tcBorders>
            <w:noWrap/>
            <w:vAlign w:val="center"/>
          </w:tcPr>
          <w:p w14:paraId="0ED26B71" w14:textId="071C4DF8" w:rsidR="00594248" w:rsidRPr="000D05E3" w:rsidRDefault="00594248" w:rsidP="00594248">
            <w:pPr>
              <w:spacing w:line="276" w:lineRule="auto"/>
              <w:jc w:val="center"/>
              <w:rPr>
                <w:bCs/>
                <w:sz w:val="24"/>
                <w:szCs w:val="24"/>
              </w:rPr>
            </w:pPr>
            <w:r w:rsidRPr="000D05E3">
              <w:rPr>
                <w:bCs/>
                <w:sz w:val="24"/>
                <w:szCs w:val="24"/>
              </w:rPr>
              <w:t>0</w:t>
            </w:r>
          </w:p>
        </w:tc>
        <w:tc>
          <w:tcPr>
            <w:tcW w:w="476" w:type="pct"/>
            <w:vMerge/>
            <w:tcBorders>
              <w:left w:val="single" w:sz="4" w:space="0" w:color="auto"/>
              <w:bottom w:val="single" w:sz="4" w:space="0" w:color="auto"/>
              <w:right w:val="single" w:sz="4" w:space="0" w:color="auto"/>
            </w:tcBorders>
            <w:vAlign w:val="center"/>
          </w:tcPr>
          <w:p w14:paraId="39708F17" w14:textId="77777777" w:rsidR="00594248" w:rsidRPr="000D05E3" w:rsidRDefault="00594248" w:rsidP="00594248">
            <w:pPr>
              <w:spacing w:line="276" w:lineRule="auto"/>
              <w:jc w:val="center"/>
              <w:rPr>
                <w:bCs/>
                <w:sz w:val="24"/>
                <w:szCs w:val="24"/>
              </w:rPr>
            </w:pPr>
          </w:p>
        </w:tc>
        <w:tc>
          <w:tcPr>
            <w:tcW w:w="1009" w:type="pct"/>
            <w:tcBorders>
              <w:top w:val="single" w:sz="4" w:space="0" w:color="auto"/>
              <w:left w:val="single" w:sz="4" w:space="0" w:color="auto"/>
              <w:bottom w:val="single" w:sz="4" w:space="0" w:color="auto"/>
              <w:right w:val="single" w:sz="4" w:space="0" w:color="auto"/>
            </w:tcBorders>
            <w:vAlign w:val="center"/>
          </w:tcPr>
          <w:p w14:paraId="2E2E324F" w14:textId="076722E8" w:rsidR="00594248" w:rsidRPr="000D05E3" w:rsidRDefault="00594248" w:rsidP="00594248">
            <w:pPr>
              <w:spacing w:line="276" w:lineRule="auto"/>
              <w:jc w:val="center"/>
              <w:rPr>
                <w:bCs/>
                <w:sz w:val="24"/>
                <w:szCs w:val="24"/>
              </w:rPr>
            </w:pPr>
            <w:r w:rsidRPr="000D05E3">
              <w:rPr>
                <w:bCs/>
                <w:sz w:val="24"/>
                <w:szCs w:val="24"/>
              </w:rPr>
              <w:t>1.2</w:t>
            </w:r>
          </w:p>
        </w:tc>
        <w:tc>
          <w:tcPr>
            <w:tcW w:w="436" w:type="pct"/>
            <w:tcBorders>
              <w:top w:val="single" w:sz="4" w:space="0" w:color="auto"/>
              <w:left w:val="single" w:sz="4" w:space="0" w:color="auto"/>
              <w:bottom w:val="single" w:sz="4" w:space="0" w:color="auto"/>
              <w:right w:val="single" w:sz="4" w:space="0" w:color="auto"/>
            </w:tcBorders>
            <w:vAlign w:val="center"/>
          </w:tcPr>
          <w:p w14:paraId="3D4CC915" w14:textId="098D06E2" w:rsidR="00594248" w:rsidRPr="000D05E3" w:rsidRDefault="00594248" w:rsidP="00594248">
            <w:pPr>
              <w:spacing w:line="276" w:lineRule="auto"/>
              <w:jc w:val="center"/>
              <w:rPr>
                <w:bCs/>
                <w:sz w:val="24"/>
                <w:szCs w:val="24"/>
              </w:rPr>
            </w:pPr>
            <w:r w:rsidRPr="000D05E3">
              <w:rPr>
                <w:bCs/>
                <w:sz w:val="24"/>
                <w:szCs w:val="24"/>
              </w:rPr>
              <w:t>0.6</w:t>
            </w:r>
          </w:p>
        </w:tc>
      </w:tr>
      <w:tr w:rsidR="00594248" w14:paraId="20C7DF4A" w14:textId="77777777" w:rsidTr="000D05E3">
        <w:trPr>
          <w:trHeight w:val="270"/>
        </w:trPr>
        <w:tc>
          <w:tcPr>
            <w:tcW w:w="241" w:type="pct"/>
            <w:vMerge/>
            <w:tcBorders>
              <w:left w:val="single" w:sz="4" w:space="0" w:color="auto"/>
              <w:bottom w:val="single" w:sz="4" w:space="0" w:color="auto"/>
              <w:right w:val="single" w:sz="4" w:space="0" w:color="auto"/>
            </w:tcBorders>
          </w:tcPr>
          <w:p w14:paraId="1563A4B4" w14:textId="77777777" w:rsidR="00594248" w:rsidRPr="00E96250" w:rsidRDefault="00594248" w:rsidP="00594248">
            <w:pPr>
              <w:spacing w:line="276" w:lineRule="auto"/>
              <w:jc w:val="center"/>
              <w:rPr>
                <w:bCs/>
                <w:sz w:val="24"/>
                <w:szCs w:val="24"/>
              </w:rPr>
            </w:pPr>
          </w:p>
        </w:tc>
        <w:tc>
          <w:tcPr>
            <w:tcW w:w="785" w:type="pct"/>
            <w:tcBorders>
              <w:top w:val="single" w:sz="4" w:space="0" w:color="auto"/>
              <w:left w:val="single" w:sz="4" w:space="0" w:color="auto"/>
              <w:bottom w:val="single" w:sz="4" w:space="0" w:color="auto"/>
              <w:right w:val="single" w:sz="4" w:space="0" w:color="auto"/>
            </w:tcBorders>
            <w:noWrap/>
            <w:vAlign w:val="center"/>
          </w:tcPr>
          <w:p w14:paraId="2AB2510D" w14:textId="77777777" w:rsidR="00594248" w:rsidRPr="00E96250" w:rsidRDefault="00594248" w:rsidP="00594248">
            <w:pPr>
              <w:spacing w:line="276" w:lineRule="auto"/>
              <w:jc w:val="center"/>
              <w:rPr>
                <w:bCs/>
                <w:sz w:val="24"/>
                <w:szCs w:val="24"/>
              </w:rPr>
            </w:pPr>
            <w:r>
              <w:rPr>
                <w:rFonts w:hint="eastAsia"/>
                <w:bCs/>
                <w:sz w:val="24"/>
                <w:szCs w:val="24"/>
              </w:rPr>
              <w:t>合计</w:t>
            </w:r>
          </w:p>
        </w:tc>
        <w:tc>
          <w:tcPr>
            <w:tcW w:w="652" w:type="pct"/>
            <w:tcBorders>
              <w:top w:val="single" w:sz="4" w:space="0" w:color="auto"/>
              <w:left w:val="nil"/>
              <w:bottom w:val="single" w:sz="4" w:space="0" w:color="auto"/>
              <w:right w:val="single" w:sz="4" w:space="0" w:color="auto"/>
            </w:tcBorders>
            <w:vAlign w:val="center"/>
          </w:tcPr>
          <w:p w14:paraId="2FF2B036" w14:textId="66A4B99C" w:rsidR="00594248" w:rsidRPr="000D05E3" w:rsidRDefault="00594248" w:rsidP="00594248">
            <w:pPr>
              <w:spacing w:line="276" w:lineRule="auto"/>
              <w:jc w:val="center"/>
              <w:rPr>
                <w:bCs/>
                <w:sz w:val="24"/>
                <w:szCs w:val="24"/>
              </w:rPr>
            </w:pPr>
            <w:r w:rsidRPr="000D05E3">
              <w:rPr>
                <w:bCs/>
                <w:sz w:val="24"/>
                <w:szCs w:val="24"/>
              </w:rPr>
              <w:t>603.8</w:t>
            </w:r>
          </w:p>
        </w:tc>
        <w:tc>
          <w:tcPr>
            <w:tcW w:w="652" w:type="pct"/>
            <w:tcBorders>
              <w:top w:val="single" w:sz="4" w:space="0" w:color="auto"/>
              <w:left w:val="single" w:sz="4" w:space="0" w:color="auto"/>
              <w:bottom w:val="single" w:sz="4" w:space="0" w:color="auto"/>
              <w:right w:val="single" w:sz="4" w:space="0" w:color="auto"/>
            </w:tcBorders>
            <w:noWrap/>
            <w:vAlign w:val="center"/>
          </w:tcPr>
          <w:p w14:paraId="15DC3A64" w14:textId="18632E44" w:rsidR="00594248" w:rsidRPr="000D05E3" w:rsidRDefault="00594248" w:rsidP="00594248">
            <w:pPr>
              <w:spacing w:line="276" w:lineRule="auto"/>
              <w:jc w:val="center"/>
              <w:rPr>
                <w:bCs/>
                <w:sz w:val="24"/>
                <w:szCs w:val="24"/>
              </w:rPr>
            </w:pPr>
            <w:r w:rsidRPr="000D05E3">
              <w:rPr>
                <w:bCs/>
                <w:sz w:val="24"/>
                <w:szCs w:val="24"/>
              </w:rPr>
              <w:t>840.0</w:t>
            </w:r>
          </w:p>
        </w:tc>
        <w:tc>
          <w:tcPr>
            <w:tcW w:w="749" w:type="pct"/>
            <w:tcBorders>
              <w:top w:val="single" w:sz="4" w:space="0" w:color="auto"/>
              <w:left w:val="nil"/>
              <w:bottom w:val="single" w:sz="4" w:space="0" w:color="auto"/>
              <w:right w:val="single" w:sz="4" w:space="0" w:color="auto"/>
            </w:tcBorders>
            <w:noWrap/>
            <w:vAlign w:val="center"/>
          </w:tcPr>
          <w:p w14:paraId="3CB8B990" w14:textId="67DF931B" w:rsidR="00594248" w:rsidRPr="000D05E3" w:rsidRDefault="00594248" w:rsidP="00594248">
            <w:pPr>
              <w:spacing w:line="276" w:lineRule="auto"/>
              <w:jc w:val="center"/>
              <w:rPr>
                <w:bCs/>
                <w:sz w:val="24"/>
                <w:szCs w:val="24"/>
              </w:rPr>
            </w:pPr>
            <w:r w:rsidRPr="000D05E3">
              <w:rPr>
                <w:bCs/>
                <w:sz w:val="24"/>
                <w:szCs w:val="24"/>
              </w:rPr>
              <w:t>4.2</w:t>
            </w:r>
          </w:p>
        </w:tc>
        <w:tc>
          <w:tcPr>
            <w:tcW w:w="476" w:type="pct"/>
            <w:tcBorders>
              <w:left w:val="single" w:sz="4" w:space="0" w:color="auto"/>
              <w:bottom w:val="single" w:sz="4" w:space="0" w:color="auto"/>
              <w:right w:val="single" w:sz="4" w:space="0" w:color="auto"/>
            </w:tcBorders>
            <w:vAlign w:val="center"/>
          </w:tcPr>
          <w:p w14:paraId="15B39BBD" w14:textId="7C722E9C" w:rsidR="00594248" w:rsidRPr="000D05E3" w:rsidRDefault="00594248" w:rsidP="00594248">
            <w:pPr>
              <w:spacing w:line="276" w:lineRule="auto"/>
              <w:jc w:val="center"/>
              <w:rPr>
                <w:bCs/>
                <w:sz w:val="24"/>
                <w:szCs w:val="24"/>
              </w:rPr>
            </w:pPr>
            <w:r w:rsidRPr="000D05E3">
              <w:rPr>
                <w:rFonts w:hint="eastAsia"/>
                <w:bCs/>
                <w:sz w:val="24"/>
                <w:szCs w:val="24"/>
              </w:rPr>
              <w:t>——</w:t>
            </w:r>
          </w:p>
        </w:tc>
        <w:tc>
          <w:tcPr>
            <w:tcW w:w="1009" w:type="pct"/>
            <w:tcBorders>
              <w:top w:val="single" w:sz="4" w:space="0" w:color="auto"/>
              <w:left w:val="single" w:sz="4" w:space="0" w:color="auto"/>
              <w:bottom w:val="single" w:sz="4" w:space="0" w:color="auto"/>
              <w:right w:val="single" w:sz="4" w:space="0" w:color="auto"/>
            </w:tcBorders>
            <w:vAlign w:val="center"/>
          </w:tcPr>
          <w:p w14:paraId="266A4DA5" w14:textId="56C74C6F" w:rsidR="00594248" w:rsidRPr="000D05E3" w:rsidRDefault="00594248" w:rsidP="00594248">
            <w:pPr>
              <w:spacing w:line="276" w:lineRule="auto"/>
              <w:jc w:val="center"/>
              <w:rPr>
                <w:bCs/>
                <w:sz w:val="24"/>
                <w:szCs w:val="24"/>
              </w:rPr>
            </w:pPr>
            <w:r w:rsidRPr="000D05E3">
              <w:rPr>
                <w:bCs/>
                <w:sz w:val="24"/>
                <w:szCs w:val="24"/>
              </w:rPr>
              <w:t>3.9</w:t>
            </w:r>
          </w:p>
        </w:tc>
        <w:tc>
          <w:tcPr>
            <w:tcW w:w="436" w:type="pct"/>
            <w:tcBorders>
              <w:top w:val="single" w:sz="4" w:space="0" w:color="auto"/>
              <w:left w:val="single" w:sz="4" w:space="0" w:color="auto"/>
              <w:bottom w:val="single" w:sz="4" w:space="0" w:color="auto"/>
              <w:right w:val="single" w:sz="4" w:space="0" w:color="auto"/>
            </w:tcBorders>
            <w:vAlign w:val="center"/>
          </w:tcPr>
          <w:p w14:paraId="57317E51" w14:textId="10BC321E" w:rsidR="00594248" w:rsidRPr="000D05E3" w:rsidRDefault="00594248" w:rsidP="00594248">
            <w:pPr>
              <w:spacing w:line="276" w:lineRule="auto"/>
              <w:jc w:val="center"/>
              <w:rPr>
                <w:bCs/>
                <w:sz w:val="24"/>
                <w:szCs w:val="24"/>
              </w:rPr>
            </w:pPr>
            <w:r w:rsidRPr="000D05E3">
              <w:rPr>
                <w:bCs/>
                <w:sz w:val="24"/>
                <w:szCs w:val="24"/>
              </w:rPr>
              <w:t>0.6</w:t>
            </w:r>
          </w:p>
        </w:tc>
      </w:tr>
      <w:tr w:rsidR="00594248" w14:paraId="4CC2391D" w14:textId="77777777" w:rsidTr="000D05E3">
        <w:trPr>
          <w:trHeight w:val="270"/>
        </w:trPr>
        <w:tc>
          <w:tcPr>
            <w:tcW w:w="1026" w:type="pct"/>
            <w:gridSpan w:val="2"/>
            <w:tcBorders>
              <w:top w:val="single" w:sz="4" w:space="0" w:color="auto"/>
              <w:left w:val="single" w:sz="4" w:space="0" w:color="auto"/>
              <w:bottom w:val="single" w:sz="4" w:space="0" w:color="auto"/>
              <w:right w:val="single" w:sz="4" w:space="0" w:color="auto"/>
            </w:tcBorders>
          </w:tcPr>
          <w:p w14:paraId="2ECDE902" w14:textId="77777777" w:rsidR="00594248" w:rsidRPr="00E96250" w:rsidRDefault="00594248" w:rsidP="00594248">
            <w:pPr>
              <w:spacing w:line="276" w:lineRule="auto"/>
              <w:jc w:val="center"/>
              <w:rPr>
                <w:bCs/>
                <w:sz w:val="24"/>
                <w:szCs w:val="24"/>
              </w:rPr>
            </w:pPr>
            <w:r w:rsidRPr="00E96250">
              <w:rPr>
                <w:rFonts w:hint="eastAsia"/>
                <w:bCs/>
                <w:sz w:val="24"/>
                <w:szCs w:val="24"/>
              </w:rPr>
              <w:t>吴川市</w:t>
            </w:r>
          </w:p>
        </w:tc>
        <w:tc>
          <w:tcPr>
            <w:tcW w:w="652" w:type="pct"/>
            <w:tcBorders>
              <w:top w:val="single" w:sz="4" w:space="0" w:color="auto"/>
              <w:left w:val="nil"/>
              <w:bottom w:val="single" w:sz="4" w:space="0" w:color="auto"/>
              <w:right w:val="single" w:sz="4" w:space="0" w:color="auto"/>
            </w:tcBorders>
            <w:vAlign w:val="center"/>
          </w:tcPr>
          <w:p w14:paraId="2A532CD9" w14:textId="36A4FA15" w:rsidR="00594248" w:rsidRPr="000D05E3" w:rsidRDefault="00045CF0" w:rsidP="00594248">
            <w:pPr>
              <w:spacing w:line="276" w:lineRule="auto"/>
              <w:jc w:val="center"/>
              <w:rPr>
                <w:bCs/>
                <w:sz w:val="24"/>
                <w:szCs w:val="24"/>
              </w:rPr>
            </w:pPr>
            <w:r>
              <w:rPr>
                <w:bCs/>
                <w:sz w:val="24"/>
                <w:szCs w:val="24"/>
              </w:rPr>
              <w:t>180.3</w:t>
            </w:r>
          </w:p>
        </w:tc>
        <w:tc>
          <w:tcPr>
            <w:tcW w:w="652" w:type="pct"/>
            <w:tcBorders>
              <w:top w:val="single" w:sz="4" w:space="0" w:color="auto"/>
              <w:left w:val="single" w:sz="4" w:space="0" w:color="auto"/>
              <w:bottom w:val="single" w:sz="4" w:space="0" w:color="auto"/>
              <w:right w:val="single" w:sz="4" w:space="0" w:color="auto"/>
            </w:tcBorders>
            <w:noWrap/>
            <w:vAlign w:val="center"/>
          </w:tcPr>
          <w:p w14:paraId="2C70C460" w14:textId="0C5EC25D" w:rsidR="00594248" w:rsidRPr="000D05E3" w:rsidRDefault="00594248" w:rsidP="00594248">
            <w:pPr>
              <w:spacing w:line="276" w:lineRule="auto"/>
              <w:jc w:val="center"/>
              <w:rPr>
                <w:bCs/>
                <w:sz w:val="24"/>
                <w:szCs w:val="24"/>
              </w:rPr>
            </w:pPr>
            <w:r w:rsidRPr="000D05E3">
              <w:rPr>
                <w:bCs/>
                <w:sz w:val="24"/>
                <w:szCs w:val="24"/>
              </w:rPr>
              <w:t>210.0</w:t>
            </w:r>
          </w:p>
        </w:tc>
        <w:tc>
          <w:tcPr>
            <w:tcW w:w="749" w:type="pct"/>
            <w:tcBorders>
              <w:top w:val="single" w:sz="4" w:space="0" w:color="auto"/>
              <w:left w:val="nil"/>
              <w:bottom w:val="single" w:sz="4" w:space="0" w:color="auto"/>
              <w:right w:val="single" w:sz="4" w:space="0" w:color="auto"/>
            </w:tcBorders>
            <w:noWrap/>
            <w:vAlign w:val="center"/>
          </w:tcPr>
          <w:p w14:paraId="7D2A57C2" w14:textId="2DDE8A7B" w:rsidR="00594248" w:rsidRPr="000D05E3" w:rsidRDefault="00594248" w:rsidP="00594248">
            <w:pPr>
              <w:spacing w:line="276" w:lineRule="auto"/>
              <w:jc w:val="center"/>
              <w:rPr>
                <w:bCs/>
                <w:sz w:val="24"/>
                <w:szCs w:val="24"/>
              </w:rPr>
            </w:pPr>
            <w:r w:rsidRPr="000D05E3">
              <w:rPr>
                <w:bCs/>
                <w:sz w:val="24"/>
                <w:szCs w:val="24"/>
              </w:rPr>
              <w:t>0.4</w:t>
            </w:r>
          </w:p>
        </w:tc>
        <w:tc>
          <w:tcPr>
            <w:tcW w:w="476" w:type="pct"/>
            <w:tcBorders>
              <w:top w:val="single" w:sz="4" w:space="0" w:color="auto"/>
              <w:left w:val="single" w:sz="4" w:space="0" w:color="auto"/>
              <w:bottom w:val="single" w:sz="4" w:space="0" w:color="auto"/>
              <w:right w:val="single" w:sz="4" w:space="0" w:color="auto"/>
            </w:tcBorders>
            <w:vAlign w:val="center"/>
          </w:tcPr>
          <w:p w14:paraId="5C75B937" w14:textId="11226DA5" w:rsidR="00594248" w:rsidRPr="000D05E3" w:rsidRDefault="00594248" w:rsidP="00594248">
            <w:pPr>
              <w:spacing w:line="276" w:lineRule="auto"/>
              <w:jc w:val="center"/>
              <w:rPr>
                <w:bCs/>
                <w:sz w:val="24"/>
                <w:szCs w:val="24"/>
              </w:rPr>
            </w:pPr>
            <w:r w:rsidRPr="000D05E3">
              <w:rPr>
                <w:rFonts w:hint="eastAsia"/>
                <w:bCs/>
                <w:sz w:val="24"/>
                <w:szCs w:val="24"/>
              </w:rPr>
              <w:t>——</w:t>
            </w:r>
          </w:p>
        </w:tc>
        <w:tc>
          <w:tcPr>
            <w:tcW w:w="1009" w:type="pct"/>
            <w:tcBorders>
              <w:top w:val="single" w:sz="4" w:space="0" w:color="auto"/>
              <w:left w:val="single" w:sz="4" w:space="0" w:color="auto"/>
              <w:bottom w:val="single" w:sz="4" w:space="0" w:color="auto"/>
              <w:right w:val="single" w:sz="4" w:space="0" w:color="auto"/>
            </w:tcBorders>
            <w:vAlign w:val="center"/>
          </w:tcPr>
          <w:p w14:paraId="2B4F6A0B" w14:textId="0E108452" w:rsidR="00594248" w:rsidRPr="000D05E3" w:rsidRDefault="00594248" w:rsidP="00594248">
            <w:pPr>
              <w:spacing w:line="276" w:lineRule="auto"/>
              <w:jc w:val="center"/>
              <w:rPr>
                <w:bCs/>
                <w:sz w:val="24"/>
                <w:szCs w:val="24"/>
              </w:rPr>
            </w:pPr>
            <w:r w:rsidRPr="000D05E3">
              <w:rPr>
                <w:bCs/>
                <w:sz w:val="24"/>
                <w:szCs w:val="24"/>
              </w:rPr>
              <w:t>0.8</w:t>
            </w:r>
          </w:p>
        </w:tc>
        <w:tc>
          <w:tcPr>
            <w:tcW w:w="436" w:type="pct"/>
            <w:tcBorders>
              <w:top w:val="single" w:sz="4" w:space="0" w:color="auto"/>
              <w:left w:val="single" w:sz="4" w:space="0" w:color="auto"/>
              <w:bottom w:val="single" w:sz="4" w:space="0" w:color="auto"/>
              <w:right w:val="single" w:sz="4" w:space="0" w:color="auto"/>
            </w:tcBorders>
            <w:vAlign w:val="center"/>
          </w:tcPr>
          <w:p w14:paraId="20A3F387" w14:textId="528AC99B" w:rsidR="00594248" w:rsidRPr="000D05E3" w:rsidRDefault="00594248" w:rsidP="00594248">
            <w:pPr>
              <w:spacing w:line="276" w:lineRule="auto"/>
              <w:jc w:val="center"/>
              <w:rPr>
                <w:bCs/>
                <w:sz w:val="24"/>
                <w:szCs w:val="24"/>
              </w:rPr>
            </w:pPr>
            <w:r w:rsidRPr="000D05E3">
              <w:rPr>
                <w:bCs/>
                <w:sz w:val="24"/>
                <w:szCs w:val="24"/>
              </w:rPr>
              <w:t>0.8</w:t>
            </w:r>
          </w:p>
        </w:tc>
      </w:tr>
      <w:tr w:rsidR="00594248" w14:paraId="36D308A0" w14:textId="77777777" w:rsidTr="000D05E3">
        <w:trPr>
          <w:trHeight w:val="270"/>
        </w:trPr>
        <w:tc>
          <w:tcPr>
            <w:tcW w:w="1026" w:type="pct"/>
            <w:gridSpan w:val="2"/>
            <w:tcBorders>
              <w:top w:val="single" w:sz="4" w:space="0" w:color="auto"/>
              <w:left w:val="single" w:sz="4" w:space="0" w:color="auto"/>
              <w:bottom w:val="single" w:sz="4" w:space="0" w:color="auto"/>
              <w:right w:val="single" w:sz="4" w:space="0" w:color="auto"/>
            </w:tcBorders>
          </w:tcPr>
          <w:p w14:paraId="5215FAC8" w14:textId="77777777" w:rsidR="00594248" w:rsidRPr="00E96250" w:rsidRDefault="00594248" w:rsidP="00594248">
            <w:pPr>
              <w:spacing w:line="276" w:lineRule="auto"/>
              <w:jc w:val="center"/>
              <w:rPr>
                <w:bCs/>
                <w:sz w:val="24"/>
                <w:szCs w:val="24"/>
              </w:rPr>
            </w:pPr>
            <w:r w:rsidRPr="00E96250">
              <w:rPr>
                <w:rFonts w:hint="eastAsia"/>
                <w:bCs/>
                <w:sz w:val="24"/>
                <w:szCs w:val="24"/>
              </w:rPr>
              <w:t>徐闻县</w:t>
            </w:r>
          </w:p>
        </w:tc>
        <w:tc>
          <w:tcPr>
            <w:tcW w:w="652" w:type="pct"/>
            <w:tcBorders>
              <w:top w:val="single" w:sz="4" w:space="0" w:color="auto"/>
              <w:left w:val="nil"/>
              <w:bottom w:val="single" w:sz="4" w:space="0" w:color="auto"/>
              <w:right w:val="single" w:sz="4" w:space="0" w:color="auto"/>
            </w:tcBorders>
            <w:vAlign w:val="center"/>
          </w:tcPr>
          <w:p w14:paraId="2AE406BD" w14:textId="721AD7D6" w:rsidR="00594248" w:rsidRPr="000D05E3" w:rsidRDefault="00045CF0" w:rsidP="00594248">
            <w:pPr>
              <w:spacing w:line="276" w:lineRule="auto"/>
              <w:jc w:val="center"/>
              <w:rPr>
                <w:bCs/>
                <w:sz w:val="24"/>
                <w:szCs w:val="24"/>
              </w:rPr>
            </w:pPr>
            <w:r>
              <w:rPr>
                <w:bCs/>
                <w:sz w:val="24"/>
                <w:szCs w:val="24"/>
              </w:rPr>
              <w:t>87.5</w:t>
            </w:r>
          </w:p>
        </w:tc>
        <w:tc>
          <w:tcPr>
            <w:tcW w:w="652" w:type="pct"/>
            <w:tcBorders>
              <w:top w:val="single" w:sz="4" w:space="0" w:color="auto"/>
              <w:left w:val="single" w:sz="4" w:space="0" w:color="auto"/>
              <w:bottom w:val="single" w:sz="4" w:space="0" w:color="auto"/>
              <w:right w:val="single" w:sz="4" w:space="0" w:color="auto"/>
            </w:tcBorders>
            <w:noWrap/>
            <w:vAlign w:val="center"/>
          </w:tcPr>
          <w:p w14:paraId="30429E0D" w14:textId="53EC4A1C" w:rsidR="00594248" w:rsidRPr="000D05E3" w:rsidRDefault="00594248" w:rsidP="00594248">
            <w:pPr>
              <w:spacing w:line="276" w:lineRule="auto"/>
              <w:jc w:val="center"/>
              <w:rPr>
                <w:bCs/>
                <w:sz w:val="24"/>
                <w:szCs w:val="24"/>
              </w:rPr>
            </w:pPr>
            <w:r w:rsidRPr="000D05E3">
              <w:rPr>
                <w:bCs/>
                <w:sz w:val="24"/>
                <w:szCs w:val="24"/>
              </w:rPr>
              <w:t>129.5</w:t>
            </w:r>
          </w:p>
        </w:tc>
        <w:tc>
          <w:tcPr>
            <w:tcW w:w="749" w:type="pct"/>
            <w:tcBorders>
              <w:top w:val="single" w:sz="4" w:space="0" w:color="auto"/>
              <w:left w:val="nil"/>
              <w:bottom w:val="single" w:sz="4" w:space="0" w:color="auto"/>
              <w:right w:val="single" w:sz="4" w:space="0" w:color="auto"/>
            </w:tcBorders>
            <w:noWrap/>
            <w:vAlign w:val="center"/>
          </w:tcPr>
          <w:p w14:paraId="06B638EF" w14:textId="5BED94D7" w:rsidR="00594248" w:rsidRPr="000D05E3" w:rsidRDefault="00594248" w:rsidP="00594248">
            <w:pPr>
              <w:spacing w:line="276" w:lineRule="auto"/>
              <w:jc w:val="center"/>
              <w:rPr>
                <w:bCs/>
                <w:sz w:val="24"/>
                <w:szCs w:val="24"/>
              </w:rPr>
            </w:pPr>
            <w:r w:rsidRPr="000D05E3">
              <w:rPr>
                <w:bCs/>
                <w:sz w:val="24"/>
                <w:szCs w:val="24"/>
              </w:rPr>
              <w:t>0.4</w:t>
            </w:r>
          </w:p>
        </w:tc>
        <w:tc>
          <w:tcPr>
            <w:tcW w:w="476" w:type="pct"/>
            <w:tcBorders>
              <w:top w:val="single" w:sz="4" w:space="0" w:color="auto"/>
              <w:left w:val="single" w:sz="4" w:space="0" w:color="auto"/>
              <w:bottom w:val="single" w:sz="4" w:space="0" w:color="auto"/>
              <w:right w:val="single" w:sz="4" w:space="0" w:color="auto"/>
            </w:tcBorders>
            <w:vAlign w:val="center"/>
          </w:tcPr>
          <w:p w14:paraId="17B2E4FF" w14:textId="15559056" w:rsidR="00594248" w:rsidRPr="000D05E3" w:rsidRDefault="00594248" w:rsidP="00594248">
            <w:pPr>
              <w:spacing w:line="276" w:lineRule="auto"/>
              <w:jc w:val="center"/>
              <w:rPr>
                <w:bCs/>
                <w:sz w:val="24"/>
                <w:szCs w:val="24"/>
              </w:rPr>
            </w:pPr>
            <w:r w:rsidRPr="000D05E3">
              <w:rPr>
                <w:rFonts w:hint="eastAsia"/>
                <w:bCs/>
                <w:sz w:val="24"/>
                <w:szCs w:val="24"/>
              </w:rPr>
              <w:t>——</w:t>
            </w:r>
          </w:p>
        </w:tc>
        <w:tc>
          <w:tcPr>
            <w:tcW w:w="1009" w:type="pct"/>
            <w:tcBorders>
              <w:top w:val="single" w:sz="4" w:space="0" w:color="auto"/>
              <w:left w:val="single" w:sz="4" w:space="0" w:color="auto"/>
              <w:bottom w:val="single" w:sz="4" w:space="0" w:color="auto"/>
              <w:right w:val="single" w:sz="4" w:space="0" w:color="auto"/>
            </w:tcBorders>
            <w:vAlign w:val="center"/>
          </w:tcPr>
          <w:p w14:paraId="4507B8A5" w14:textId="075F7AB9" w:rsidR="00594248" w:rsidRPr="000D05E3" w:rsidRDefault="00594248" w:rsidP="00594248">
            <w:pPr>
              <w:spacing w:line="276" w:lineRule="auto"/>
              <w:jc w:val="center"/>
              <w:rPr>
                <w:bCs/>
                <w:sz w:val="24"/>
                <w:szCs w:val="24"/>
              </w:rPr>
            </w:pPr>
            <w:r w:rsidRPr="000D05E3">
              <w:rPr>
                <w:bCs/>
                <w:sz w:val="24"/>
                <w:szCs w:val="24"/>
              </w:rPr>
              <w:t>0</w:t>
            </w:r>
          </w:p>
        </w:tc>
        <w:tc>
          <w:tcPr>
            <w:tcW w:w="436" w:type="pct"/>
            <w:tcBorders>
              <w:top w:val="single" w:sz="4" w:space="0" w:color="auto"/>
              <w:left w:val="single" w:sz="4" w:space="0" w:color="auto"/>
              <w:bottom w:val="single" w:sz="4" w:space="0" w:color="auto"/>
              <w:right w:val="single" w:sz="4" w:space="0" w:color="auto"/>
            </w:tcBorders>
            <w:vAlign w:val="center"/>
          </w:tcPr>
          <w:p w14:paraId="544359A6" w14:textId="482BB71F" w:rsidR="00594248" w:rsidRPr="000D05E3" w:rsidRDefault="00594248" w:rsidP="00594248">
            <w:pPr>
              <w:spacing w:line="276" w:lineRule="auto"/>
              <w:jc w:val="center"/>
              <w:rPr>
                <w:bCs/>
                <w:sz w:val="24"/>
                <w:szCs w:val="24"/>
              </w:rPr>
            </w:pPr>
            <w:r w:rsidRPr="000D05E3">
              <w:rPr>
                <w:bCs/>
                <w:sz w:val="24"/>
                <w:szCs w:val="24"/>
              </w:rPr>
              <w:t>0.2</w:t>
            </w:r>
          </w:p>
        </w:tc>
      </w:tr>
      <w:tr w:rsidR="00594248" w14:paraId="781BF200" w14:textId="77777777" w:rsidTr="000D05E3">
        <w:trPr>
          <w:trHeight w:val="270"/>
        </w:trPr>
        <w:tc>
          <w:tcPr>
            <w:tcW w:w="1026" w:type="pct"/>
            <w:gridSpan w:val="2"/>
            <w:tcBorders>
              <w:top w:val="single" w:sz="4" w:space="0" w:color="auto"/>
              <w:left w:val="single" w:sz="4" w:space="0" w:color="auto"/>
              <w:bottom w:val="single" w:sz="4" w:space="0" w:color="auto"/>
              <w:right w:val="single" w:sz="4" w:space="0" w:color="auto"/>
            </w:tcBorders>
          </w:tcPr>
          <w:p w14:paraId="58FEBB5D" w14:textId="77777777" w:rsidR="00594248" w:rsidRPr="00E96250" w:rsidRDefault="00594248" w:rsidP="00594248">
            <w:pPr>
              <w:spacing w:line="276" w:lineRule="auto"/>
              <w:jc w:val="center"/>
              <w:rPr>
                <w:bCs/>
                <w:sz w:val="24"/>
                <w:szCs w:val="24"/>
              </w:rPr>
            </w:pPr>
            <w:r w:rsidRPr="00E96250">
              <w:rPr>
                <w:rFonts w:hint="eastAsia"/>
                <w:bCs/>
                <w:sz w:val="24"/>
                <w:szCs w:val="24"/>
              </w:rPr>
              <w:t>雷州市</w:t>
            </w:r>
          </w:p>
        </w:tc>
        <w:tc>
          <w:tcPr>
            <w:tcW w:w="652" w:type="pct"/>
            <w:tcBorders>
              <w:top w:val="single" w:sz="4" w:space="0" w:color="auto"/>
              <w:left w:val="nil"/>
              <w:bottom w:val="single" w:sz="4" w:space="0" w:color="auto"/>
              <w:right w:val="single" w:sz="4" w:space="0" w:color="auto"/>
            </w:tcBorders>
            <w:vAlign w:val="center"/>
          </w:tcPr>
          <w:p w14:paraId="13842427" w14:textId="0AD70F47" w:rsidR="00594248" w:rsidRPr="000D05E3" w:rsidRDefault="00045CF0" w:rsidP="00594248">
            <w:pPr>
              <w:spacing w:line="276" w:lineRule="auto"/>
              <w:jc w:val="center"/>
              <w:rPr>
                <w:bCs/>
                <w:sz w:val="24"/>
                <w:szCs w:val="24"/>
              </w:rPr>
            </w:pPr>
            <w:r>
              <w:rPr>
                <w:bCs/>
                <w:sz w:val="24"/>
                <w:szCs w:val="24"/>
              </w:rPr>
              <w:t>80.5</w:t>
            </w:r>
          </w:p>
        </w:tc>
        <w:tc>
          <w:tcPr>
            <w:tcW w:w="652" w:type="pct"/>
            <w:tcBorders>
              <w:top w:val="single" w:sz="4" w:space="0" w:color="auto"/>
              <w:left w:val="single" w:sz="4" w:space="0" w:color="auto"/>
              <w:bottom w:val="single" w:sz="4" w:space="0" w:color="auto"/>
              <w:right w:val="single" w:sz="4" w:space="0" w:color="auto"/>
            </w:tcBorders>
            <w:noWrap/>
            <w:vAlign w:val="center"/>
          </w:tcPr>
          <w:p w14:paraId="3F66C570" w14:textId="08E35016" w:rsidR="00594248" w:rsidRPr="000D05E3" w:rsidRDefault="00594248" w:rsidP="00594248">
            <w:pPr>
              <w:spacing w:line="276" w:lineRule="auto"/>
              <w:jc w:val="center"/>
              <w:rPr>
                <w:bCs/>
                <w:sz w:val="24"/>
                <w:szCs w:val="24"/>
              </w:rPr>
            </w:pPr>
            <w:r w:rsidRPr="000D05E3">
              <w:rPr>
                <w:bCs/>
                <w:sz w:val="24"/>
                <w:szCs w:val="24"/>
              </w:rPr>
              <w:t>126.0</w:t>
            </w:r>
          </w:p>
        </w:tc>
        <w:tc>
          <w:tcPr>
            <w:tcW w:w="749" w:type="pct"/>
            <w:tcBorders>
              <w:top w:val="single" w:sz="4" w:space="0" w:color="auto"/>
              <w:left w:val="nil"/>
              <w:bottom w:val="single" w:sz="4" w:space="0" w:color="auto"/>
              <w:right w:val="single" w:sz="4" w:space="0" w:color="auto"/>
            </w:tcBorders>
            <w:noWrap/>
            <w:vAlign w:val="center"/>
          </w:tcPr>
          <w:p w14:paraId="64B12DAE" w14:textId="2A8D3A78" w:rsidR="00594248" w:rsidRPr="000D05E3" w:rsidRDefault="00594248" w:rsidP="00594248">
            <w:pPr>
              <w:spacing w:line="276" w:lineRule="auto"/>
              <w:jc w:val="center"/>
              <w:rPr>
                <w:bCs/>
                <w:sz w:val="24"/>
                <w:szCs w:val="24"/>
              </w:rPr>
            </w:pPr>
            <w:r w:rsidRPr="000D05E3">
              <w:rPr>
                <w:bCs/>
                <w:sz w:val="24"/>
                <w:szCs w:val="24"/>
              </w:rPr>
              <w:t>1.0</w:t>
            </w:r>
          </w:p>
        </w:tc>
        <w:tc>
          <w:tcPr>
            <w:tcW w:w="476" w:type="pct"/>
            <w:tcBorders>
              <w:top w:val="single" w:sz="4" w:space="0" w:color="auto"/>
              <w:left w:val="single" w:sz="4" w:space="0" w:color="auto"/>
              <w:bottom w:val="single" w:sz="4" w:space="0" w:color="auto"/>
              <w:right w:val="single" w:sz="4" w:space="0" w:color="auto"/>
            </w:tcBorders>
            <w:vAlign w:val="center"/>
          </w:tcPr>
          <w:p w14:paraId="7C325DCD" w14:textId="72268A3E" w:rsidR="00594248" w:rsidRPr="000D05E3" w:rsidRDefault="00594248" w:rsidP="00594248">
            <w:pPr>
              <w:spacing w:line="276" w:lineRule="auto"/>
              <w:jc w:val="center"/>
              <w:rPr>
                <w:bCs/>
                <w:sz w:val="24"/>
                <w:szCs w:val="24"/>
              </w:rPr>
            </w:pPr>
            <w:r w:rsidRPr="000D05E3">
              <w:rPr>
                <w:rFonts w:hint="eastAsia"/>
                <w:bCs/>
                <w:sz w:val="24"/>
                <w:szCs w:val="24"/>
              </w:rPr>
              <w:t>——</w:t>
            </w:r>
          </w:p>
        </w:tc>
        <w:tc>
          <w:tcPr>
            <w:tcW w:w="1009" w:type="pct"/>
            <w:tcBorders>
              <w:top w:val="single" w:sz="4" w:space="0" w:color="auto"/>
              <w:left w:val="single" w:sz="4" w:space="0" w:color="auto"/>
              <w:bottom w:val="single" w:sz="4" w:space="0" w:color="auto"/>
              <w:right w:val="single" w:sz="4" w:space="0" w:color="auto"/>
            </w:tcBorders>
            <w:vAlign w:val="center"/>
          </w:tcPr>
          <w:p w14:paraId="33456966" w14:textId="045CF5FB" w:rsidR="00594248" w:rsidRPr="000D05E3" w:rsidRDefault="00594248" w:rsidP="00594248">
            <w:pPr>
              <w:spacing w:line="276" w:lineRule="auto"/>
              <w:jc w:val="center"/>
              <w:rPr>
                <w:bCs/>
                <w:sz w:val="24"/>
                <w:szCs w:val="24"/>
              </w:rPr>
            </w:pPr>
            <w:r w:rsidRPr="000D05E3">
              <w:rPr>
                <w:bCs/>
                <w:sz w:val="24"/>
                <w:szCs w:val="24"/>
              </w:rPr>
              <w:t>0</w:t>
            </w:r>
          </w:p>
        </w:tc>
        <w:tc>
          <w:tcPr>
            <w:tcW w:w="436" w:type="pct"/>
            <w:tcBorders>
              <w:top w:val="single" w:sz="4" w:space="0" w:color="auto"/>
              <w:left w:val="single" w:sz="4" w:space="0" w:color="auto"/>
              <w:bottom w:val="single" w:sz="4" w:space="0" w:color="auto"/>
              <w:right w:val="single" w:sz="4" w:space="0" w:color="auto"/>
            </w:tcBorders>
            <w:vAlign w:val="center"/>
          </w:tcPr>
          <w:p w14:paraId="08E94580" w14:textId="4DAECC1E" w:rsidR="00594248" w:rsidRPr="000D05E3" w:rsidRDefault="00594248" w:rsidP="00594248">
            <w:pPr>
              <w:spacing w:line="276" w:lineRule="auto"/>
              <w:jc w:val="center"/>
              <w:rPr>
                <w:bCs/>
                <w:sz w:val="24"/>
                <w:szCs w:val="24"/>
              </w:rPr>
            </w:pPr>
            <w:r w:rsidRPr="000D05E3">
              <w:rPr>
                <w:bCs/>
                <w:sz w:val="24"/>
                <w:szCs w:val="24"/>
              </w:rPr>
              <w:t>0.2</w:t>
            </w:r>
          </w:p>
        </w:tc>
      </w:tr>
      <w:tr w:rsidR="00594248" w14:paraId="53D0BCD2" w14:textId="77777777" w:rsidTr="000D05E3">
        <w:trPr>
          <w:trHeight w:val="270"/>
        </w:trPr>
        <w:tc>
          <w:tcPr>
            <w:tcW w:w="1026" w:type="pct"/>
            <w:gridSpan w:val="2"/>
            <w:tcBorders>
              <w:top w:val="single" w:sz="4" w:space="0" w:color="auto"/>
              <w:left w:val="single" w:sz="4" w:space="0" w:color="auto"/>
              <w:bottom w:val="single" w:sz="4" w:space="0" w:color="auto"/>
              <w:right w:val="single" w:sz="4" w:space="0" w:color="auto"/>
            </w:tcBorders>
          </w:tcPr>
          <w:p w14:paraId="631FD42C" w14:textId="77777777" w:rsidR="00594248" w:rsidRPr="00E96250" w:rsidRDefault="00594248" w:rsidP="00594248">
            <w:pPr>
              <w:spacing w:line="276" w:lineRule="auto"/>
              <w:jc w:val="center"/>
              <w:rPr>
                <w:bCs/>
                <w:sz w:val="24"/>
                <w:szCs w:val="24"/>
              </w:rPr>
            </w:pPr>
            <w:r w:rsidRPr="00E96250">
              <w:rPr>
                <w:rFonts w:hint="eastAsia"/>
                <w:bCs/>
                <w:sz w:val="24"/>
                <w:szCs w:val="24"/>
              </w:rPr>
              <w:t>遂溪县</w:t>
            </w:r>
          </w:p>
        </w:tc>
        <w:tc>
          <w:tcPr>
            <w:tcW w:w="652" w:type="pct"/>
            <w:tcBorders>
              <w:top w:val="single" w:sz="4" w:space="0" w:color="auto"/>
              <w:left w:val="nil"/>
              <w:bottom w:val="single" w:sz="4" w:space="0" w:color="auto"/>
              <w:right w:val="single" w:sz="4" w:space="0" w:color="auto"/>
            </w:tcBorders>
            <w:vAlign w:val="center"/>
          </w:tcPr>
          <w:p w14:paraId="6E6273EA" w14:textId="7771C4DF" w:rsidR="00594248" w:rsidRPr="000D05E3" w:rsidRDefault="00045CF0" w:rsidP="00594248">
            <w:pPr>
              <w:spacing w:line="276" w:lineRule="auto"/>
              <w:jc w:val="center"/>
              <w:rPr>
                <w:bCs/>
                <w:sz w:val="24"/>
                <w:szCs w:val="24"/>
              </w:rPr>
            </w:pPr>
            <w:r>
              <w:rPr>
                <w:bCs/>
                <w:sz w:val="24"/>
                <w:szCs w:val="24"/>
              </w:rPr>
              <w:t>105.0</w:t>
            </w:r>
          </w:p>
        </w:tc>
        <w:tc>
          <w:tcPr>
            <w:tcW w:w="652" w:type="pct"/>
            <w:tcBorders>
              <w:top w:val="single" w:sz="4" w:space="0" w:color="auto"/>
              <w:left w:val="single" w:sz="4" w:space="0" w:color="auto"/>
              <w:bottom w:val="single" w:sz="4" w:space="0" w:color="auto"/>
              <w:right w:val="single" w:sz="4" w:space="0" w:color="auto"/>
            </w:tcBorders>
            <w:noWrap/>
            <w:vAlign w:val="center"/>
          </w:tcPr>
          <w:p w14:paraId="571B84A8" w14:textId="4F6B9C92" w:rsidR="00594248" w:rsidRPr="000D05E3" w:rsidRDefault="00594248" w:rsidP="00594248">
            <w:pPr>
              <w:spacing w:line="276" w:lineRule="auto"/>
              <w:jc w:val="center"/>
              <w:rPr>
                <w:bCs/>
                <w:sz w:val="24"/>
                <w:szCs w:val="24"/>
              </w:rPr>
            </w:pPr>
            <w:r w:rsidRPr="000D05E3">
              <w:rPr>
                <w:bCs/>
                <w:sz w:val="24"/>
                <w:szCs w:val="24"/>
              </w:rPr>
              <w:t>140.0</w:t>
            </w:r>
          </w:p>
        </w:tc>
        <w:tc>
          <w:tcPr>
            <w:tcW w:w="749" w:type="pct"/>
            <w:tcBorders>
              <w:top w:val="single" w:sz="4" w:space="0" w:color="auto"/>
              <w:left w:val="nil"/>
              <w:bottom w:val="single" w:sz="4" w:space="0" w:color="auto"/>
              <w:right w:val="single" w:sz="4" w:space="0" w:color="auto"/>
            </w:tcBorders>
            <w:noWrap/>
            <w:vAlign w:val="center"/>
          </w:tcPr>
          <w:p w14:paraId="55BD17B7" w14:textId="771A133E" w:rsidR="00594248" w:rsidRPr="000D05E3" w:rsidRDefault="00594248" w:rsidP="00594248">
            <w:pPr>
              <w:spacing w:line="276" w:lineRule="auto"/>
              <w:jc w:val="center"/>
              <w:rPr>
                <w:bCs/>
                <w:sz w:val="24"/>
                <w:szCs w:val="24"/>
              </w:rPr>
            </w:pPr>
            <w:r w:rsidRPr="000D05E3">
              <w:rPr>
                <w:bCs/>
                <w:sz w:val="24"/>
                <w:szCs w:val="24"/>
              </w:rPr>
              <w:t>0.2</w:t>
            </w:r>
          </w:p>
        </w:tc>
        <w:tc>
          <w:tcPr>
            <w:tcW w:w="476" w:type="pct"/>
            <w:tcBorders>
              <w:top w:val="single" w:sz="4" w:space="0" w:color="auto"/>
              <w:left w:val="single" w:sz="4" w:space="0" w:color="auto"/>
              <w:bottom w:val="single" w:sz="4" w:space="0" w:color="auto"/>
              <w:right w:val="single" w:sz="4" w:space="0" w:color="auto"/>
            </w:tcBorders>
            <w:vAlign w:val="center"/>
          </w:tcPr>
          <w:p w14:paraId="5243BCE4" w14:textId="5266FB2B" w:rsidR="00594248" w:rsidRPr="000D05E3" w:rsidRDefault="00594248" w:rsidP="00594248">
            <w:pPr>
              <w:spacing w:line="276" w:lineRule="auto"/>
              <w:jc w:val="center"/>
              <w:rPr>
                <w:bCs/>
                <w:sz w:val="24"/>
                <w:szCs w:val="24"/>
              </w:rPr>
            </w:pPr>
            <w:r w:rsidRPr="000D05E3">
              <w:rPr>
                <w:rFonts w:hint="eastAsia"/>
                <w:bCs/>
                <w:sz w:val="24"/>
                <w:szCs w:val="24"/>
              </w:rPr>
              <w:t>——</w:t>
            </w:r>
          </w:p>
        </w:tc>
        <w:tc>
          <w:tcPr>
            <w:tcW w:w="1009" w:type="pct"/>
            <w:tcBorders>
              <w:top w:val="single" w:sz="4" w:space="0" w:color="auto"/>
              <w:left w:val="single" w:sz="4" w:space="0" w:color="auto"/>
              <w:bottom w:val="single" w:sz="4" w:space="0" w:color="auto"/>
              <w:right w:val="single" w:sz="4" w:space="0" w:color="auto"/>
            </w:tcBorders>
            <w:vAlign w:val="center"/>
          </w:tcPr>
          <w:p w14:paraId="0BB268DF" w14:textId="42A5453A" w:rsidR="00594248" w:rsidRPr="000D05E3" w:rsidRDefault="00594248" w:rsidP="00594248">
            <w:pPr>
              <w:spacing w:line="276" w:lineRule="auto"/>
              <w:jc w:val="center"/>
              <w:rPr>
                <w:bCs/>
                <w:sz w:val="24"/>
                <w:szCs w:val="24"/>
              </w:rPr>
            </w:pPr>
            <w:r w:rsidRPr="000D05E3">
              <w:rPr>
                <w:bCs/>
                <w:sz w:val="24"/>
                <w:szCs w:val="24"/>
              </w:rPr>
              <w:t>0</w:t>
            </w:r>
          </w:p>
        </w:tc>
        <w:tc>
          <w:tcPr>
            <w:tcW w:w="436" w:type="pct"/>
            <w:tcBorders>
              <w:top w:val="single" w:sz="4" w:space="0" w:color="auto"/>
              <w:left w:val="single" w:sz="4" w:space="0" w:color="auto"/>
              <w:bottom w:val="single" w:sz="4" w:space="0" w:color="auto"/>
              <w:right w:val="single" w:sz="4" w:space="0" w:color="auto"/>
            </w:tcBorders>
            <w:vAlign w:val="center"/>
          </w:tcPr>
          <w:p w14:paraId="566DF805" w14:textId="798EB028" w:rsidR="00594248" w:rsidRPr="000D05E3" w:rsidRDefault="00594248" w:rsidP="00594248">
            <w:pPr>
              <w:spacing w:line="276" w:lineRule="auto"/>
              <w:jc w:val="center"/>
              <w:rPr>
                <w:bCs/>
                <w:sz w:val="24"/>
                <w:szCs w:val="24"/>
              </w:rPr>
            </w:pPr>
            <w:r w:rsidRPr="000D05E3">
              <w:rPr>
                <w:bCs/>
                <w:sz w:val="24"/>
                <w:szCs w:val="24"/>
              </w:rPr>
              <w:t>0.2</w:t>
            </w:r>
          </w:p>
        </w:tc>
      </w:tr>
      <w:tr w:rsidR="00594248" w14:paraId="0D013DBC" w14:textId="77777777" w:rsidTr="000D05E3">
        <w:trPr>
          <w:trHeight w:val="270"/>
        </w:trPr>
        <w:tc>
          <w:tcPr>
            <w:tcW w:w="1026" w:type="pct"/>
            <w:gridSpan w:val="2"/>
            <w:tcBorders>
              <w:top w:val="single" w:sz="4" w:space="0" w:color="auto"/>
              <w:left w:val="single" w:sz="4" w:space="0" w:color="auto"/>
              <w:bottom w:val="single" w:sz="4" w:space="0" w:color="auto"/>
              <w:right w:val="single" w:sz="4" w:space="0" w:color="auto"/>
            </w:tcBorders>
          </w:tcPr>
          <w:p w14:paraId="09E89870" w14:textId="77777777" w:rsidR="00594248" w:rsidRPr="00E96250" w:rsidRDefault="00594248" w:rsidP="00594248">
            <w:pPr>
              <w:spacing w:line="276" w:lineRule="auto"/>
              <w:jc w:val="center"/>
              <w:rPr>
                <w:bCs/>
                <w:sz w:val="24"/>
                <w:szCs w:val="24"/>
              </w:rPr>
            </w:pPr>
            <w:r w:rsidRPr="00E96250">
              <w:rPr>
                <w:rFonts w:hint="eastAsia"/>
                <w:bCs/>
                <w:sz w:val="24"/>
                <w:szCs w:val="24"/>
              </w:rPr>
              <w:t>廉江市</w:t>
            </w:r>
          </w:p>
        </w:tc>
        <w:tc>
          <w:tcPr>
            <w:tcW w:w="652" w:type="pct"/>
            <w:tcBorders>
              <w:top w:val="single" w:sz="4" w:space="0" w:color="auto"/>
              <w:left w:val="nil"/>
              <w:bottom w:val="single" w:sz="4" w:space="0" w:color="auto"/>
              <w:right w:val="single" w:sz="4" w:space="0" w:color="auto"/>
            </w:tcBorders>
            <w:vAlign w:val="center"/>
          </w:tcPr>
          <w:p w14:paraId="41C66982" w14:textId="629A940C" w:rsidR="00594248" w:rsidRPr="000D05E3" w:rsidRDefault="00045CF0" w:rsidP="00594248">
            <w:pPr>
              <w:spacing w:line="276" w:lineRule="auto"/>
              <w:jc w:val="center"/>
              <w:rPr>
                <w:bCs/>
                <w:sz w:val="24"/>
                <w:szCs w:val="24"/>
              </w:rPr>
            </w:pPr>
            <w:r>
              <w:rPr>
                <w:bCs/>
                <w:sz w:val="24"/>
                <w:szCs w:val="24"/>
              </w:rPr>
              <w:t>140.0</w:t>
            </w:r>
          </w:p>
        </w:tc>
        <w:tc>
          <w:tcPr>
            <w:tcW w:w="652" w:type="pct"/>
            <w:tcBorders>
              <w:top w:val="single" w:sz="4" w:space="0" w:color="auto"/>
              <w:left w:val="single" w:sz="4" w:space="0" w:color="auto"/>
              <w:bottom w:val="single" w:sz="4" w:space="0" w:color="auto"/>
              <w:right w:val="single" w:sz="4" w:space="0" w:color="auto"/>
            </w:tcBorders>
            <w:noWrap/>
            <w:vAlign w:val="center"/>
          </w:tcPr>
          <w:p w14:paraId="3B2CB37D" w14:textId="5205C0E8" w:rsidR="00594248" w:rsidRPr="000D05E3" w:rsidRDefault="00594248" w:rsidP="00594248">
            <w:pPr>
              <w:spacing w:line="276" w:lineRule="auto"/>
              <w:jc w:val="center"/>
              <w:rPr>
                <w:bCs/>
                <w:sz w:val="24"/>
                <w:szCs w:val="24"/>
              </w:rPr>
            </w:pPr>
            <w:r w:rsidRPr="000D05E3">
              <w:rPr>
                <w:bCs/>
                <w:sz w:val="24"/>
                <w:szCs w:val="24"/>
              </w:rPr>
              <w:t>182.0</w:t>
            </w:r>
          </w:p>
        </w:tc>
        <w:tc>
          <w:tcPr>
            <w:tcW w:w="749" w:type="pct"/>
            <w:tcBorders>
              <w:top w:val="single" w:sz="4" w:space="0" w:color="auto"/>
              <w:left w:val="nil"/>
              <w:bottom w:val="single" w:sz="4" w:space="0" w:color="auto"/>
              <w:right w:val="single" w:sz="4" w:space="0" w:color="auto"/>
            </w:tcBorders>
            <w:noWrap/>
            <w:vAlign w:val="center"/>
          </w:tcPr>
          <w:p w14:paraId="3CEEA218" w14:textId="2E36E6ED" w:rsidR="00594248" w:rsidRPr="000D05E3" w:rsidRDefault="00594248" w:rsidP="00594248">
            <w:pPr>
              <w:spacing w:line="276" w:lineRule="auto"/>
              <w:jc w:val="center"/>
              <w:rPr>
                <w:bCs/>
                <w:sz w:val="24"/>
                <w:szCs w:val="24"/>
              </w:rPr>
            </w:pPr>
            <w:r w:rsidRPr="000D05E3">
              <w:rPr>
                <w:bCs/>
                <w:sz w:val="24"/>
                <w:szCs w:val="24"/>
              </w:rPr>
              <w:t>0.8</w:t>
            </w:r>
          </w:p>
        </w:tc>
        <w:tc>
          <w:tcPr>
            <w:tcW w:w="476" w:type="pct"/>
            <w:tcBorders>
              <w:top w:val="single" w:sz="4" w:space="0" w:color="auto"/>
              <w:left w:val="single" w:sz="4" w:space="0" w:color="auto"/>
              <w:bottom w:val="single" w:sz="4" w:space="0" w:color="auto"/>
              <w:right w:val="single" w:sz="4" w:space="0" w:color="auto"/>
            </w:tcBorders>
            <w:vAlign w:val="center"/>
          </w:tcPr>
          <w:p w14:paraId="29CD4AD6" w14:textId="56BEC8A9" w:rsidR="00594248" w:rsidRPr="000D05E3" w:rsidRDefault="00594248" w:rsidP="00594248">
            <w:pPr>
              <w:spacing w:line="276" w:lineRule="auto"/>
              <w:jc w:val="center"/>
              <w:rPr>
                <w:bCs/>
                <w:sz w:val="24"/>
                <w:szCs w:val="24"/>
              </w:rPr>
            </w:pPr>
            <w:r w:rsidRPr="000D05E3">
              <w:rPr>
                <w:rFonts w:hint="eastAsia"/>
                <w:bCs/>
                <w:sz w:val="24"/>
                <w:szCs w:val="24"/>
              </w:rPr>
              <w:t>——</w:t>
            </w:r>
          </w:p>
        </w:tc>
        <w:tc>
          <w:tcPr>
            <w:tcW w:w="1009" w:type="pct"/>
            <w:tcBorders>
              <w:top w:val="single" w:sz="4" w:space="0" w:color="auto"/>
              <w:left w:val="single" w:sz="4" w:space="0" w:color="auto"/>
              <w:bottom w:val="single" w:sz="4" w:space="0" w:color="auto"/>
              <w:right w:val="single" w:sz="4" w:space="0" w:color="auto"/>
            </w:tcBorders>
            <w:vAlign w:val="center"/>
          </w:tcPr>
          <w:p w14:paraId="43BCBE98" w14:textId="587419CE" w:rsidR="00594248" w:rsidRPr="000D05E3" w:rsidRDefault="00594248" w:rsidP="00594248">
            <w:pPr>
              <w:spacing w:line="276" w:lineRule="auto"/>
              <w:jc w:val="center"/>
              <w:rPr>
                <w:bCs/>
                <w:sz w:val="24"/>
                <w:szCs w:val="24"/>
              </w:rPr>
            </w:pPr>
            <w:r w:rsidRPr="000D05E3">
              <w:rPr>
                <w:bCs/>
                <w:sz w:val="24"/>
                <w:szCs w:val="24"/>
              </w:rPr>
              <w:t>0</w:t>
            </w:r>
          </w:p>
        </w:tc>
        <w:tc>
          <w:tcPr>
            <w:tcW w:w="436" w:type="pct"/>
            <w:tcBorders>
              <w:top w:val="single" w:sz="4" w:space="0" w:color="auto"/>
              <w:left w:val="single" w:sz="4" w:space="0" w:color="auto"/>
              <w:bottom w:val="single" w:sz="4" w:space="0" w:color="auto"/>
              <w:right w:val="single" w:sz="4" w:space="0" w:color="auto"/>
            </w:tcBorders>
            <w:vAlign w:val="center"/>
          </w:tcPr>
          <w:p w14:paraId="3AE8B8AB" w14:textId="4B0E93D3" w:rsidR="00594248" w:rsidRPr="000D05E3" w:rsidRDefault="00594248" w:rsidP="00594248">
            <w:pPr>
              <w:spacing w:line="276" w:lineRule="auto"/>
              <w:jc w:val="center"/>
              <w:rPr>
                <w:bCs/>
                <w:sz w:val="24"/>
                <w:szCs w:val="24"/>
              </w:rPr>
            </w:pPr>
            <w:r w:rsidRPr="000D05E3">
              <w:rPr>
                <w:bCs/>
                <w:sz w:val="24"/>
                <w:szCs w:val="24"/>
              </w:rPr>
              <w:t>0.0</w:t>
            </w:r>
          </w:p>
        </w:tc>
      </w:tr>
      <w:tr w:rsidR="00594248" w14:paraId="09CE6F5A" w14:textId="77777777" w:rsidTr="000D05E3">
        <w:trPr>
          <w:trHeight w:val="270"/>
        </w:trPr>
        <w:tc>
          <w:tcPr>
            <w:tcW w:w="1026" w:type="pct"/>
            <w:gridSpan w:val="2"/>
            <w:tcBorders>
              <w:top w:val="single" w:sz="4" w:space="0" w:color="auto"/>
              <w:left w:val="single" w:sz="4" w:space="0" w:color="auto"/>
              <w:bottom w:val="single" w:sz="4" w:space="0" w:color="auto"/>
              <w:right w:val="single" w:sz="4" w:space="0" w:color="auto"/>
            </w:tcBorders>
          </w:tcPr>
          <w:p w14:paraId="03A9FEF6" w14:textId="77777777" w:rsidR="00594248" w:rsidRPr="00E96250" w:rsidRDefault="00594248" w:rsidP="00594248">
            <w:pPr>
              <w:spacing w:line="276" w:lineRule="auto"/>
              <w:jc w:val="center"/>
              <w:rPr>
                <w:bCs/>
                <w:sz w:val="24"/>
                <w:szCs w:val="24"/>
              </w:rPr>
            </w:pPr>
            <w:r w:rsidRPr="00E96250">
              <w:rPr>
                <w:rFonts w:hint="eastAsia"/>
                <w:bCs/>
                <w:sz w:val="24"/>
                <w:szCs w:val="24"/>
              </w:rPr>
              <w:t>全市</w:t>
            </w:r>
          </w:p>
        </w:tc>
        <w:tc>
          <w:tcPr>
            <w:tcW w:w="652" w:type="pct"/>
            <w:tcBorders>
              <w:top w:val="single" w:sz="4" w:space="0" w:color="auto"/>
              <w:left w:val="nil"/>
              <w:bottom w:val="single" w:sz="4" w:space="0" w:color="auto"/>
              <w:right w:val="single" w:sz="4" w:space="0" w:color="auto"/>
            </w:tcBorders>
            <w:vAlign w:val="center"/>
          </w:tcPr>
          <w:p w14:paraId="3C013598" w14:textId="0F9FD5B2" w:rsidR="00594248" w:rsidRPr="000D05E3" w:rsidRDefault="00594248" w:rsidP="00594248">
            <w:pPr>
              <w:spacing w:line="276" w:lineRule="auto"/>
              <w:jc w:val="center"/>
              <w:rPr>
                <w:bCs/>
                <w:sz w:val="24"/>
                <w:szCs w:val="24"/>
              </w:rPr>
            </w:pPr>
            <w:r w:rsidRPr="000D05E3">
              <w:rPr>
                <w:bCs/>
                <w:sz w:val="24"/>
                <w:szCs w:val="24"/>
              </w:rPr>
              <w:t>1197.0</w:t>
            </w:r>
          </w:p>
        </w:tc>
        <w:tc>
          <w:tcPr>
            <w:tcW w:w="652" w:type="pct"/>
            <w:tcBorders>
              <w:top w:val="single" w:sz="4" w:space="0" w:color="auto"/>
              <w:left w:val="single" w:sz="4" w:space="0" w:color="auto"/>
              <w:bottom w:val="single" w:sz="4" w:space="0" w:color="auto"/>
              <w:right w:val="single" w:sz="4" w:space="0" w:color="auto"/>
            </w:tcBorders>
            <w:noWrap/>
            <w:vAlign w:val="center"/>
          </w:tcPr>
          <w:p w14:paraId="2BA6D68B" w14:textId="73CA8946" w:rsidR="00594248" w:rsidRPr="000D05E3" w:rsidRDefault="00594248" w:rsidP="00594248">
            <w:pPr>
              <w:spacing w:line="276" w:lineRule="auto"/>
              <w:jc w:val="center"/>
              <w:rPr>
                <w:bCs/>
                <w:sz w:val="24"/>
                <w:szCs w:val="24"/>
              </w:rPr>
            </w:pPr>
            <w:r w:rsidRPr="000D05E3">
              <w:rPr>
                <w:bCs/>
                <w:sz w:val="24"/>
                <w:szCs w:val="24"/>
              </w:rPr>
              <w:t>1627.5</w:t>
            </w:r>
          </w:p>
        </w:tc>
        <w:tc>
          <w:tcPr>
            <w:tcW w:w="749" w:type="pct"/>
            <w:tcBorders>
              <w:top w:val="single" w:sz="4" w:space="0" w:color="auto"/>
              <w:left w:val="nil"/>
              <w:bottom w:val="single" w:sz="4" w:space="0" w:color="auto"/>
              <w:right w:val="single" w:sz="4" w:space="0" w:color="auto"/>
            </w:tcBorders>
            <w:noWrap/>
            <w:vAlign w:val="center"/>
          </w:tcPr>
          <w:p w14:paraId="3A816EA9" w14:textId="13E68E75" w:rsidR="00594248" w:rsidRPr="000D05E3" w:rsidRDefault="00594248" w:rsidP="00594248">
            <w:pPr>
              <w:spacing w:line="276" w:lineRule="auto"/>
              <w:jc w:val="center"/>
              <w:rPr>
                <w:bCs/>
                <w:sz w:val="24"/>
                <w:szCs w:val="24"/>
              </w:rPr>
            </w:pPr>
            <w:r w:rsidRPr="000D05E3">
              <w:rPr>
                <w:bCs/>
                <w:sz w:val="24"/>
                <w:szCs w:val="24"/>
              </w:rPr>
              <w:t>7.0</w:t>
            </w:r>
          </w:p>
        </w:tc>
        <w:tc>
          <w:tcPr>
            <w:tcW w:w="476" w:type="pct"/>
            <w:tcBorders>
              <w:top w:val="single" w:sz="4" w:space="0" w:color="auto"/>
              <w:left w:val="single" w:sz="4" w:space="0" w:color="auto"/>
              <w:bottom w:val="single" w:sz="4" w:space="0" w:color="auto"/>
              <w:right w:val="single" w:sz="4" w:space="0" w:color="auto"/>
            </w:tcBorders>
            <w:vAlign w:val="center"/>
          </w:tcPr>
          <w:p w14:paraId="127F0CE8" w14:textId="13F5B8D6" w:rsidR="00594248" w:rsidRPr="000D05E3" w:rsidRDefault="00594248" w:rsidP="00594248">
            <w:pPr>
              <w:spacing w:line="276" w:lineRule="auto"/>
              <w:jc w:val="center"/>
              <w:rPr>
                <w:bCs/>
                <w:sz w:val="24"/>
                <w:szCs w:val="24"/>
              </w:rPr>
            </w:pPr>
            <w:r w:rsidRPr="000D05E3">
              <w:rPr>
                <w:rFonts w:hint="eastAsia"/>
                <w:bCs/>
                <w:sz w:val="24"/>
                <w:szCs w:val="24"/>
              </w:rPr>
              <w:t>——</w:t>
            </w:r>
          </w:p>
        </w:tc>
        <w:tc>
          <w:tcPr>
            <w:tcW w:w="1009" w:type="pct"/>
            <w:tcBorders>
              <w:top w:val="single" w:sz="4" w:space="0" w:color="auto"/>
              <w:left w:val="single" w:sz="4" w:space="0" w:color="auto"/>
              <w:bottom w:val="single" w:sz="4" w:space="0" w:color="auto"/>
              <w:right w:val="single" w:sz="4" w:space="0" w:color="auto"/>
            </w:tcBorders>
            <w:vAlign w:val="center"/>
          </w:tcPr>
          <w:p w14:paraId="2F1EED02" w14:textId="74099FAE" w:rsidR="00594248" w:rsidRPr="000D05E3" w:rsidRDefault="00594248" w:rsidP="00594248">
            <w:pPr>
              <w:spacing w:line="276" w:lineRule="auto"/>
              <w:jc w:val="center"/>
              <w:rPr>
                <w:bCs/>
                <w:sz w:val="24"/>
                <w:szCs w:val="24"/>
              </w:rPr>
            </w:pPr>
            <w:r w:rsidRPr="000D05E3">
              <w:rPr>
                <w:bCs/>
                <w:sz w:val="24"/>
                <w:szCs w:val="24"/>
              </w:rPr>
              <w:t>4.7</w:t>
            </w:r>
          </w:p>
        </w:tc>
        <w:tc>
          <w:tcPr>
            <w:tcW w:w="436" w:type="pct"/>
            <w:tcBorders>
              <w:top w:val="single" w:sz="4" w:space="0" w:color="auto"/>
              <w:left w:val="single" w:sz="4" w:space="0" w:color="auto"/>
              <w:bottom w:val="single" w:sz="4" w:space="0" w:color="auto"/>
              <w:right w:val="single" w:sz="4" w:space="0" w:color="auto"/>
            </w:tcBorders>
            <w:vAlign w:val="center"/>
          </w:tcPr>
          <w:p w14:paraId="50773F91" w14:textId="1C8A2CD3" w:rsidR="00594248" w:rsidRPr="000D05E3" w:rsidRDefault="00594248" w:rsidP="00594248">
            <w:pPr>
              <w:spacing w:line="276" w:lineRule="auto"/>
              <w:jc w:val="center"/>
              <w:rPr>
                <w:bCs/>
                <w:sz w:val="24"/>
                <w:szCs w:val="24"/>
              </w:rPr>
            </w:pPr>
            <w:r w:rsidRPr="000D05E3">
              <w:rPr>
                <w:bCs/>
                <w:sz w:val="24"/>
                <w:szCs w:val="24"/>
              </w:rPr>
              <w:t>1.5</w:t>
            </w:r>
          </w:p>
        </w:tc>
      </w:tr>
    </w:tbl>
    <w:p w14:paraId="4F9282B9" w14:textId="653AA4A5" w:rsidR="00A567FC" w:rsidRDefault="00A567FC" w:rsidP="00A567FC"/>
    <w:p w14:paraId="5F2B8D50" w14:textId="102D99FE" w:rsidR="000B5F27" w:rsidRDefault="000B5F27" w:rsidP="000B5F27">
      <w:pPr>
        <w:jc w:val="center"/>
        <w:rPr>
          <w:rFonts w:ascii="黑体" w:eastAsia="黑体" w:hAnsi="黑体"/>
        </w:rPr>
      </w:pPr>
      <w:r>
        <w:rPr>
          <w:rFonts w:ascii="黑体" w:eastAsia="黑体" w:hAnsi="黑体" w:hint="eastAsia"/>
        </w:rPr>
        <w:lastRenderedPageBreak/>
        <w:t>表</w:t>
      </w:r>
      <w:r w:rsidR="00E450FF">
        <w:rPr>
          <w:rFonts w:ascii="黑体" w:eastAsia="黑体" w:hAnsi="黑体"/>
        </w:rPr>
        <w:t>4</w:t>
      </w:r>
      <w:r>
        <w:rPr>
          <w:rFonts w:ascii="黑体" w:eastAsia="黑体" w:hAnsi="黑体" w:hint="eastAsia"/>
        </w:rPr>
        <w:t xml:space="preserve"> 湛江市“十四五”住房发展年度计划一览表</w:t>
      </w:r>
    </w:p>
    <w:p w14:paraId="24D9252F" w14:textId="77777777" w:rsidR="000B5F27" w:rsidRDefault="000B5F27" w:rsidP="000B5F27">
      <w:pPr>
        <w:jc w:val="right"/>
        <w:rPr>
          <w:sz w:val="24"/>
        </w:rPr>
      </w:pPr>
      <w:r>
        <w:rPr>
          <w:rFonts w:hint="eastAsia"/>
          <w:sz w:val="24"/>
        </w:rPr>
        <w:t>单位：公顷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972"/>
        <w:gridCol w:w="1972"/>
        <w:gridCol w:w="1972"/>
        <w:gridCol w:w="1409"/>
        <w:gridCol w:w="3046"/>
        <w:gridCol w:w="1604"/>
      </w:tblGrid>
      <w:tr w:rsidR="006641A2" w14:paraId="23E36F11" w14:textId="7DAE3BB5" w:rsidTr="006641A2">
        <w:trPr>
          <w:trHeight w:val="173"/>
          <w:tblHeader/>
        </w:trPr>
        <w:tc>
          <w:tcPr>
            <w:tcW w:w="707" w:type="pct"/>
            <w:vMerge w:val="restart"/>
            <w:tcBorders>
              <w:top w:val="single" w:sz="4" w:space="0" w:color="auto"/>
              <w:left w:val="single" w:sz="4" w:space="0" w:color="auto"/>
              <w:right w:val="single" w:sz="4" w:space="0" w:color="auto"/>
            </w:tcBorders>
            <w:vAlign w:val="center"/>
          </w:tcPr>
          <w:p w14:paraId="39743DDD" w14:textId="17FC2B1F" w:rsidR="006641A2" w:rsidRDefault="006641A2" w:rsidP="00E450FF">
            <w:pPr>
              <w:spacing w:line="276" w:lineRule="auto"/>
              <w:jc w:val="center"/>
              <w:rPr>
                <w:b/>
                <w:sz w:val="24"/>
                <w:szCs w:val="24"/>
              </w:rPr>
            </w:pPr>
            <w:r>
              <w:rPr>
                <w:rFonts w:hint="eastAsia"/>
                <w:b/>
                <w:sz w:val="24"/>
                <w:szCs w:val="24"/>
              </w:rPr>
              <w:t>年度</w:t>
            </w:r>
          </w:p>
        </w:tc>
        <w:tc>
          <w:tcPr>
            <w:tcW w:w="1414" w:type="pct"/>
            <w:gridSpan w:val="2"/>
            <w:tcBorders>
              <w:top w:val="single" w:sz="4" w:space="0" w:color="auto"/>
              <w:left w:val="single" w:sz="4" w:space="0" w:color="auto"/>
              <w:bottom w:val="single" w:sz="4" w:space="0" w:color="auto"/>
              <w:right w:val="single" w:sz="4" w:space="0" w:color="auto"/>
            </w:tcBorders>
          </w:tcPr>
          <w:p w14:paraId="3AE4FCB3" w14:textId="48C640DF" w:rsidR="006641A2" w:rsidRDefault="006641A2" w:rsidP="006641A2">
            <w:pPr>
              <w:spacing w:line="276" w:lineRule="auto"/>
              <w:jc w:val="center"/>
              <w:rPr>
                <w:b/>
                <w:sz w:val="24"/>
                <w:szCs w:val="24"/>
              </w:rPr>
            </w:pPr>
            <w:r>
              <w:rPr>
                <w:rFonts w:hint="eastAsia"/>
                <w:b/>
                <w:sz w:val="24"/>
                <w:szCs w:val="24"/>
              </w:rPr>
              <w:t>新建商品住房</w:t>
            </w:r>
          </w:p>
        </w:tc>
        <w:tc>
          <w:tcPr>
            <w:tcW w:w="707" w:type="pct"/>
            <w:vMerge w:val="restart"/>
            <w:tcBorders>
              <w:top w:val="single" w:sz="4" w:space="0" w:color="auto"/>
              <w:left w:val="single" w:sz="4" w:space="0" w:color="auto"/>
              <w:right w:val="single" w:sz="4" w:space="0" w:color="auto"/>
            </w:tcBorders>
            <w:noWrap/>
            <w:vAlign w:val="center"/>
            <w:hideMark/>
          </w:tcPr>
          <w:p w14:paraId="7DBF2814" w14:textId="77777777" w:rsidR="006641A2" w:rsidRDefault="006641A2" w:rsidP="00E450FF">
            <w:pPr>
              <w:spacing w:line="276" w:lineRule="auto"/>
              <w:jc w:val="center"/>
              <w:rPr>
                <w:b/>
                <w:sz w:val="24"/>
                <w:szCs w:val="24"/>
              </w:rPr>
            </w:pPr>
            <w:r>
              <w:rPr>
                <w:rFonts w:hint="eastAsia"/>
                <w:b/>
                <w:sz w:val="24"/>
                <w:szCs w:val="24"/>
              </w:rPr>
              <w:t>公共租赁住房</w:t>
            </w:r>
          </w:p>
        </w:tc>
        <w:tc>
          <w:tcPr>
            <w:tcW w:w="505" w:type="pct"/>
            <w:vMerge w:val="restart"/>
            <w:tcBorders>
              <w:top w:val="single" w:sz="4" w:space="0" w:color="auto"/>
              <w:left w:val="single" w:sz="4" w:space="0" w:color="auto"/>
              <w:right w:val="single" w:sz="4" w:space="0" w:color="auto"/>
            </w:tcBorders>
            <w:vAlign w:val="center"/>
          </w:tcPr>
          <w:p w14:paraId="29718B4A" w14:textId="77777777" w:rsidR="006641A2" w:rsidRDefault="006641A2" w:rsidP="00E450FF">
            <w:pPr>
              <w:spacing w:line="276" w:lineRule="auto"/>
              <w:jc w:val="center"/>
              <w:rPr>
                <w:b/>
                <w:sz w:val="24"/>
                <w:szCs w:val="24"/>
              </w:rPr>
            </w:pPr>
            <w:r>
              <w:rPr>
                <w:rFonts w:hint="eastAsia"/>
                <w:b/>
                <w:sz w:val="24"/>
                <w:szCs w:val="24"/>
              </w:rPr>
              <w:t>租赁补贴</w:t>
            </w:r>
          </w:p>
        </w:tc>
        <w:tc>
          <w:tcPr>
            <w:tcW w:w="1092" w:type="pct"/>
            <w:vMerge w:val="restart"/>
            <w:tcBorders>
              <w:top w:val="single" w:sz="4" w:space="0" w:color="auto"/>
              <w:left w:val="single" w:sz="4" w:space="0" w:color="auto"/>
              <w:right w:val="single" w:sz="4" w:space="0" w:color="auto"/>
            </w:tcBorders>
            <w:vAlign w:val="center"/>
          </w:tcPr>
          <w:p w14:paraId="03F971D3" w14:textId="77777777" w:rsidR="006641A2" w:rsidRDefault="006641A2" w:rsidP="00E450FF">
            <w:pPr>
              <w:spacing w:line="276" w:lineRule="auto"/>
              <w:jc w:val="center"/>
              <w:rPr>
                <w:b/>
                <w:sz w:val="24"/>
                <w:szCs w:val="24"/>
              </w:rPr>
            </w:pPr>
            <w:r>
              <w:rPr>
                <w:rFonts w:hint="eastAsia"/>
                <w:b/>
                <w:sz w:val="24"/>
                <w:szCs w:val="24"/>
              </w:rPr>
              <w:t>保障性租赁住房、共有产权住房、人才公寓</w:t>
            </w:r>
          </w:p>
        </w:tc>
        <w:tc>
          <w:tcPr>
            <w:tcW w:w="575" w:type="pct"/>
            <w:vMerge w:val="restart"/>
            <w:tcBorders>
              <w:top w:val="single" w:sz="4" w:space="0" w:color="auto"/>
              <w:left w:val="single" w:sz="4" w:space="0" w:color="auto"/>
              <w:right w:val="single" w:sz="4" w:space="0" w:color="auto"/>
            </w:tcBorders>
            <w:vAlign w:val="center"/>
            <w:hideMark/>
          </w:tcPr>
          <w:p w14:paraId="13905A43" w14:textId="77777777" w:rsidR="006641A2" w:rsidRDefault="006641A2" w:rsidP="00E450FF">
            <w:pPr>
              <w:spacing w:line="276" w:lineRule="auto"/>
              <w:jc w:val="center"/>
              <w:rPr>
                <w:b/>
                <w:sz w:val="24"/>
                <w:szCs w:val="24"/>
              </w:rPr>
            </w:pPr>
            <w:r>
              <w:rPr>
                <w:rFonts w:hint="eastAsia"/>
                <w:b/>
                <w:sz w:val="24"/>
                <w:szCs w:val="24"/>
              </w:rPr>
              <w:t>棚户区改造住房</w:t>
            </w:r>
          </w:p>
        </w:tc>
      </w:tr>
      <w:tr w:rsidR="006641A2" w14:paraId="4C1705E4" w14:textId="77777777" w:rsidTr="006641A2">
        <w:trPr>
          <w:trHeight w:val="172"/>
          <w:tblHeader/>
        </w:trPr>
        <w:tc>
          <w:tcPr>
            <w:tcW w:w="707" w:type="pct"/>
            <w:vMerge/>
            <w:tcBorders>
              <w:left w:val="single" w:sz="4" w:space="0" w:color="auto"/>
              <w:bottom w:val="single" w:sz="4" w:space="0" w:color="auto"/>
              <w:right w:val="single" w:sz="4" w:space="0" w:color="auto"/>
            </w:tcBorders>
            <w:vAlign w:val="center"/>
          </w:tcPr>
          <w:p w14:paraId="7F6A36A2" w14:textId="77777777" w:rsidR="006641A2" w:rsidRDefault="006641A2" w:rsidP="006641A2">
            <w:pPr>
              <w:spacing w:line="276" w:lineRule="auto"/>
              <w:jc w:val="center"/>
              <w:rPr>
                <w:b/>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14:paraId="28BEEE7F" w14:textId="58D9E2A5" w:rsidR="006641A2" w:rsidRDefault="006641A2" w:rsidP="006641A2">
            <w:pPr>
              <w:spacing w:line="276" w:lineRule="auto"/>
              <w:jc w:val="center"/>
              <w:rPr>
                <w:b/>
                <w:sz w:val="24"/>
                <w:szCs w:val="24"/>
              </w:rPr>
            </w:pPr>
            <w:r>
              <w:rPr>
                <w:rFonts w:hint="eastAsia"/>
                <w:b/>
                <w:sz w:val="24"/>
                <w:szCs w:val="24"/>
              </w:rPr>
              <w:t>低目标</w:t>
            </w:r>
          </w:p>
        </w:tc>
        <w:tc>
          <w:tcPr>
            <w:tcW w:w="707" w:type="pct"/>
            <w:tcBorders>
              <w:left w:val="single" w:sz="4" w:space="0" w:color="auto"/>
              <w:bottom w:val="single" w:sz="4" w:space="0" w:color="auto"/>
              <w:right w:val="single" w:sz="4" w:space="0" w:color="auto"/>
            </w:tcBorders>
            <w:noWrap/>
            <w:vAlign w:val="center"/>
          </w:tcPr>
          <w:p w14:paraId="3FD04B8A" w14:textId="39D8AF34" w:rsidR="006641A2" w:rsidRDefault="006641A2" w:rsidP="006641A2">
            <w:pPr>
              <w:spacing w:line="276" w:lineRule="auto"/>
              <w:jc w:val="center"/>
              <w:rPr>
                <w:b/>
                <w:sz w:val="24"/>
                <w:szCs w:val="24"/>
              </w:rPr>
            </w:pPr>
            <w:r>
              <w:rPr>
                <w:rFonts w:hint="eastAsia"/>
                <w:b/>
                <w:sz w:val="24"/>
                <w:szCs w:val="24"/>
              </w:rPr>
              <w:t>高目标</w:t>
            </w:r>
          </w:p>
        </w:tc>
        <w:tc>
          <w:tcPr>
            <w:tcW w:w="707" w:type="pct"/>
            <w:vMerge/>
            <w:tcBorders>
              <w:left w:val="single" w:sz="4" w:space="0" w:color="auto"/>
              <w:bottom w:val="single" w:sz="4" w:space="0" w:color="auto"/>
              <w:right w:val="single" w:sz="4" w:space="0" w:color="auto"/>
            </w:tcBorders>
            <w:noWrap/>
            <w:vAlign w:val="center"/>
          </w:tcPr>
          <w:p w14:paraId="34EEB8F6" w14:textId="77777777" w:rsidR="006641A2" w:rsidRDefault="006641A2" w:rsidP="006641A2">
            <w:pPr>
              <w:spacing w:line="276" w:lineRule="auto"/>
              <w:jc w:val="center"/>
              <w:rPr>
                <w:b/>
                <w:sz w:val="24"/>
                <w:szCs w:val="24"/>
              </w:rPr>
            </w:pPr>
          </w:p>
        </w:tc>
        <w:tc>
          <w:tcPr>
            <w:tcW w:w="505" w:type="pct"/>
            <w:vMerge/>
            <w:tcBorders>
              <w:left w:val="single" w:sz="4" w:space="0" w:color="auto"/>
              <w:bottom w:val="single" w:sz="4" w:space="0" w:color="auto"/>
              <w:right w:val="single" w:sz="4" w:space="0" w:color="auto"/>
            </w:tcBorders>
            <w:vAlign w:val="center"/>
          </w:tcPr>
          <w:p w14:paraId="453A8850" w14:textId="77777777" w:rsidR="006641A2" w:rsidRDefault="006641A2" w:rsidP="006641A2">
            <w:pPr>
              <w:spacing w:line="276" w:lineRule="auto"/>
              <w:jc w:val="center"/>
              <w:rPr>
                <w:b/>
                <w:sz w:val="24"/>
                <w:szCs w:val="24"/>
              </w:rPr>
            </w:pPr>
          </w:p>
        </w:tc>
        <w:tc>
          <w:tcPr>
            <w:tcW w:w="1092" w:type="pct"/>
            <w:vMerge/>
            <w:tcBorders>
              <w:left w:val="single" w:sz="4" w:space="0" w:color="auto"/>
              <w:bottom w:val="single" w:sz="4" w:space="0" w:color="auto"/>
              <w:right w:val="single" w:sz="4" w:space="0" w:color="auto"/>
            </w:tcBorders>
            <w:vAlign w:val="center"/>
          </w:tcPr>
          <w:p w14:paraId="718C41D2" w14:textId="77777777" w:rsidR="006641A2" w:rsidRDefault="006641A2" w:rsidP="006641A2">
            <w:pPr>
              <w:spacing w:line="276" w:lineRule="auto"/>
              <w:jc w:val="center"/>
              <w:rPr>
                <w:b/>
                <w:sz w:val="24"/>
                <w:szCs w:val="24"/>
              </w:rPr>
            </w:pPr>
          </w:p>
        </w:tc>
        <w:tc>
          <w:tcPr>
            <w:tcW w:w="575" w:type="pct"/>
            <w:vMerge/>
            <w:tcBorders>
              <w:left w:val="single" w:sz="4" w:space="0" w:color="auto"/>
              <w:bottom w:val="single" w:sz="4" w:space="0" w:color="auto"/>
              <w:right w:val="single" w:sz="4" w:space="0" w:color="auto"/>
            </w:tcBorders>
            <w:vAlign w:val="center"/>
          </w:tcPr>
          <w:p w14:paraId="2CC6108C" w14:textId="77777777" w:rsidR="006641A2" w:rsidRDefault="006641A2" w:rsidP="006641A2">
            <w:pPr>
              <w:spacing w:line="276" w:lineRule="auto"/>
              <w:jc w:val="center"/>
              <w:rPr>
                <w:b/>
                <w:sz w:val="24"/>
                <w:szCs w:val="24"/>
              </w:rPr>
            </w:pPr>
          </w:p>
        </w:tc>
      </w:tr>
      <w:tr w:rsidR="006641A2" w14:paraId="4CCA27CE" w14:textId="405B6E87" w:rsidTr="006641A2">
        <w:trPr>
          <w:trHeight w:val="270"/>
          <w:tblHeader/>
        </w:trPr>
        <w:tc>
          <w:tcPr>
            <w:tcW w:w="707" w:type="pct"/>
            <w:tcBorders>
              <w:top w:val="single" w:sz="4" w:space="0" w:color="auto"/>
              <w:left w:val="single" w:sz="4" w:space="0" w:color="auto"/>
              <w:bottom w:val="single" w:sz="4" w:space="0" w:color="auto"/>
              <w:right w:val="single" w:sz="4" w:space="0" w:color="auto"/>
            </w:tcBorders>
            <w:vAlign w:val="center"/>
          </w:tcPr>
          <w:p w14:paraId="17CF67A0" w14:textId="19341F3A" w:rsidR="006641A2" w:rsidRPr="006641A2" w:rsidRDefault="006641A2" w:rsidP="00E450FF">
            <w:pPr>
              <w:spacing w:line="276" w:lineRule="auto"/>
              <w:jc w:val="center"/>
              <w:rPr>
                <w:bCs/>
                <w:sz w:val="24"/>
                <w:szCs w:val="24"/>
              </w:rPr>
            </w:pPr>
            <w:r w:rsidRPr="006641A2">
              <w:rPr>
                <w:rFonts w:hint="eastAsia"/>
                <w:bCs/>
                <w:sz w:val="24"/>
                <w:szCs w:val="24"/>
              </w:rPr>
              <w:t>2</w:t>
            </w:r>
            <w:r w:rsidRPr="006641A2">
              <w:rPr>
                <w:bCs/>
                <w:sz w:val="24"/>
                <w:szCs w:val="24"/>
              </w:rPr>
              <w:t>021</w:t>
            </w:r>
          </w:p>
        </w:tc>
        <w:tc>
          <w:tcPr>
            <w:tcW w:w="707" w:type="pct"/>
            <w:tcBorders>
              <w:top w:val="single" w:sz="4" w:space="0" w:color="auto"/>
              <w:left w:val="single" w:sz="4" w:space="0" w:color="auto"/>
              <w:bottom w:val="single" w:sz="4" w:space="0" w:color="auto"/>
              <w:right w:val="single" w:sz="4" w:space="0" w:color="auto"/>
            </w:tcBorders>
          </w:tcPr>
          <w:p w14:paraId="54DAB057" w14:textId="581FC09D" w:rsidR="006641A2" w:rsidRPr="006641A2" w:rsidRDefault="006641A2" w:rsidP="00E450FF">
            <w:pPr>
              <w:widowControl/>
              <w:jc w:val="center"/>
              <w:rPr>
                <w:bCs/>
                <w:sz w:val="24"/>
                <w:szCs w:val="24"/>
              </w:rPr>
            </w:pPr>
            <w:r>
              <w:rPr>
                <w:rFonts w:hint="eastAsia"/>
                <w:bCs/>
                <w:sz w:val="24"/>
                <w:szCs w:val="24"/>
              </w:rPr>
              <w:t>5</w:t>
            </w:r>
            <w:r>
              <w:rPr>
                <w:bCs/>
                <w:sz w:val="24"/>
                <w:szCs w:val="24"/>
              </w:rPr>
              <w:t>5500</w:t>
            </w:r>
          </w:p>
        </w:tc>
        <w:tc>
          <w:tcPr>
            <w:tcW w:w="707" w:type="pct"/>
            <w:tcBorders>
              <w:top w:val="single" w:sz="4" w:space="0" w:color="auto"/>
              <w:left w:val="single" w:sz="4" w:space="0" w:color="auto"/>
              <w:bottom w:val="single" w:sz="4" w:space="0" w:color="auto"/>
              <w:right w:val="single" w:sz="4" w:space="0" w:color="auto"/>
            </w:tcBorders>
            <w:noWrap/>
            <w:vAlign w:val="center"/>
          </w:tcPr>
          <w:p w14:paraId="0AC71C6D" w14:textId="2AF0041E" w:rsidR="006641A2" w:rsidRPr="006641A2" w:rsidRDefault="006641A2" w:rsidP="00E450FF">
            <w:pPr>
              <w:widowControl/>
              <w:jc w:val="center"/>
              <w:rPr>
                <w:bCs/>
                <w:sz w:val="24"/>
                <w:szCs w:val="24"/>
              </w:rPr>
            </w:pPr>
            <w:r w:rsidRPr="006641A2">
              <w:rPr>
                <w:bCs/>
                <w:sz w:val="24"/>
                <w:szCs w:val="24"/>
              </w:rPr>
              <w:t>65000</w:t>
            </w:r>
          </w:p>
        </w:tc>
        <w:tc>
          <w:tcPr>
            <w:tcW w:w="707" w:type="pct"/>
            <w:tcBorders>
              <w:top w:val="single" w:sz="4" w:space="0" w:color="auto"/>
              <w:left w:val="single" w:sz="4" w:space="0" w:color="auto"/>
              <w:bottom w:val="single" w:sz="4" w:space="0" w:color="auto"/>
              <w:right w:val="single" w:sz="4" w:space="0" w:color="auto"/>
            </w:tcBorders>
            <w:noWrap/>
            <w:vAlign w:val="center"/>
          </w:tcPr>
          <w:p w14:paraId="139A3706" w14:textId="34C9F5C7" w:rsidR="006641A2" w:rsidRPr="006641A2" w:rsidRDefault="006641A2" w:rsidP="00E450FF">
            <w:pPr>
              <w:spacing w:line="276" w:lineRule="auto"/>
              <w:jc w:val="center"/>
              <w:rPr>
                <w:bCs/>
                <w:sz w:val="24"/>
                <w:szCs w:val="24"/>
              </w:rPr>
            </w:pPr>
            <w:r w:rsidRPr="006641A2">
              <w:rPr>
                <w:rFonts w:hint="eastAsia"/>
                <w:bCs/>
                <w:sz w:val="24"/>
                <w:szCs w:val="24"/>
              </w:rPr>
              <w:t>2</w:t>
            </w:r>
            <w:r w:rsidRPr="006641A2">
              <w:rPr>
                <w:bCs/>
                <w:sz w:val="24"/>
                <w:szCs w:val="24"/>
              </w:rPr>
              <w:t>30</w:t>
            </w:r>
          </w:p>
        </w:tc>
        <w:tc>
          <w:tcPr>
            <w:tcW w:w="505" w:type="pct"/>
            <w:tcBorders>
              <w:top w:val="single" w:sz="4" w:space="0" w:color="auto"/>
              <w:left w:val="single" w:sz="4" w:space="0" w:color="auto"/>
              <w:bottom w:val="single" w:sz="4" w:space="0" w:color="auto"/>
              <w:right w:val="single" w:sz="4" w:space="0" w:color="auto"/>
            </w:tcBorders>
            <w:vAlign w:val="center"/>
          </w:tcPr>
          <w:p w14:paraId="1E3DA837" w14:textId="5EBA8909" w:rsidR="006641A2" w:rsidRPr="006641A2" w:rsidRDefault="006641A2" w:rsidP="00E450FF">
            <w:pPr>
              <w:spacing w:line="276" w:lineRule="auto"/>
              <w:jc w:val="center"/>
              <w:rPr>
                <w:bCs/>
                <w:sz w:val="24"/>
                <w:szCs w:val="24"/>
              </w:rPr>
            </w:pPr>
            <w:r w:rsidRPr="006641A2">
              <w:rPr>
                <w:rFonts w:hint="eastAsia"/>
                <w:bCs/>
                <w:sz w:val="24"/>
                <w:szCs w:val="24"/>
              </w:rPr>
              <w:t>2</w:t>
            </w:r>
            <w:r w:rsidRPr="006641A2">
              <w:rPr>
                <w:bCs/>
                <w:sz w:val="24"/>
                <w:szCs w:val="24"/>
              </w:rPr>
              <w:t>40</w:t>
            </w:r>
          </w:p>
        </w:tc>
        <w:tc>
          <w:tcPr>
            <w:tcW w:w="1092" w:type="pct"/>
            <w:tcBorders>
              <w:top w:val="single" w:sz="4" w:space="0" w:color="auto"/>
              <w:left w:val="single" w:sz="4" w:space="0" w:color="auto"/>
              <w:bottom w:val="single" w:sz="4" w:space="0" w:color="auto"/>
              <w:right w:val="single" w:sz="4" w:space="0" w:color="auto"/>
            </w:tcBorders>
            <w:vAlign w:val="center"/>
          </w:tcPr>
          <w:p w14:paraId="3E6B00F3" w14:textId="4A6C3F92" w:rsidR="006641A2" w:rsidRPr="006641A2" w:rsidRDefault="006641A2" w:rsidP="00E450FF">
            <w:pPr>
              <w:spacing w:line="276" w:lineRule="auto"/>
              <w:jc w:val="center"/>
              <w:rPr>
                <w:bCs/>
                <w:sz w:val="24"/>
                <w:szCs w:val="24"/>
              </w:rPr>
            </w:pPr>
            <w:r w:rsidRPr="006641A2">
              <w:rPr>
                <w:rFonts w:hint="eastAsia"/>
                <w:bCs/>
                <w:sz w:val="24"/>
                <w:szCs w:val="24"/>
              </w:rPr>
              <w:t>5</w:t>
            </w:r>
            <w:r w:rsidRPr="006641A2">
              <w:rPr>
                <w:bCs/>
                <w:sz w:val="24"/>
                <w:szCs w:val="24"/>
              </w:rPr>
              <w:t>50</w:t>
            </w:r>
          </w:p>
        </w:tc>
        <w:tc>
          <w:tcPr>
            <w:tcW w:w="575" w:type="pct"/>
            <w:tcBorders>
              <w:top w:val="single" w:sz="4" w:space="0" w:color="auto"/>
              <w:left w:val="single" w:sz="4" w:space="0" w:color="auto"/>
              <w:bottom w:val="single" w:sz="4" w:space="0" w:color="auto"/>
              <w:right w:val="single" w:sz="4" w:space="0" w:color="auto"/>
            </w:tcBorders>
            <w:vAlign w:val="center"/>
          </w:tcPr>
          <w:p w14:paraId="2A10423F" w14:textId="053C9286" w:rsidR="006641A2" w:rsidRPr="006641A2" w:rsidRDefault="006641A2" w:rsidP="00E450FF">
            <w:pPr>
              <w:spacing w:line="276" w:lineRule="auto"/>
              <w:jc w:val="center"/>
              <w:rPr>
                <w:bCs/>
                <w:sz w:val="24"/>
                <w:szCs w:val="24"/>
              </w:rPr>
            </w:pPr>
            <w:r w:rsidRPr="006641A2">
              <w:rPr>
                <w:rFonts w:hint="eastAsia"/>
                <w:bCs/>
                <w:sz w:val="24"/>
                <w:szCs w:val="24"/>
              </w:rPr>
              <w:t>0</w:t>
            </w:r>
          </w:p>
        </w:tc>
      </w:tr>
      <w:tr w:rsidR="006641A2" w14:paraId="574929BB" w14:textId="7ABF9F89" w:rsidTr="006641A2">
        <w:trPr>
          <w:trHeight w:val="270"/>
          <w:tblHeader/>
        </w:trPr>
        <w:tc>
          <w:tcPr>
            <w:tcW w:w="707" w:type="pct"/>
            <w:tcBorders>
              <w:top w:val="single" w:sz="4" w:space="0" w:color="auto"/>
              <w:left w:val="single" w:sz="4" w:space="0" w:color="auto"/>
              <w:bottom w:val="single" w:sz="4" w:space="0" w:color="auto"/>
              <w:right w:val="single" w:sz="4" w:space="0" w:color="auto"/>
            </w:tcBorders>
            <w:vAlign w:val="center"/>
          </w:tcPr>
          <w:p w14:paraId="3DDE7ADD" w14:textId="09C5ADAA" w:rsidR="006641A2" w:rsidRPr="006641A2" w:rsidRDefault="006641A2" w:rsidP="00E450FF">
            <w:pPr>
              <w:spacing w:line="276" w:lineRule="auto"/>
              <w:jc w:val="center"/>
              <w:rPr>
                <w:bCs/>
                <w:sz w:val="24"/>
                <w:szCs w:val="24"/>
              </w:rPr>
            </w:pPr>
            <w:r w:rsidRPr="006641A2">
              <w:rPr>
                <w:rFonts w:hint="eastAsia"/>
                <w:bCs/>
                <w:sz w:val="24"/>
                <w:szCs w:val="24"/>
              </w:rPr>
              <w:t>2</w:t>
            </w:r>
            <w:r w:rsidRPr="006641A2">
              <w:rPr>
                <w:bCs/>
                <w:sz w:val="24"/>
                <w:szCs w:val="24"/>
              </w:rPr>
              <w:t>022</w:t>
            </w:r>
          </w:p>
        </w:tc>
        <w:tc>
          <w:tcPr>
            <w:tcW w:w="707" w:type="pct"/>
            <w:tcBorders>
              <w:top w:val="single" w:sz="4" w:space="0" w:color="auto"/>
              <w:left w:val="single" w:sz="4" w:space="0" w:color="auto"/>
              <w:bottom w:val="single" w:sz="4" w:space="0" w:color="auto"/>
              <w:right w:val="single" w:sz="4" w:space="0" w:color="auto"/>
            </w:tcBorders>
          </w:tcPr>
          <w:p w14:paraId="2E8B11B5" w14:textId="0B50E597" w:rsidR="006641A2" w:rsidRPr="006641A2" w:rsidRDefault="006641A2" w:rsidP="00E450FF">
            <w:pPr>
              <w:spacing w:line="276" w:lineRule="auto"/>
              <w:jc w:val="center"/>
              <w:rPr>
                <w:bCs/>
                <w:sz w:val="24"/>
                <w:szCs w:val="24"/>
              </w:rPr>
            </w:pPr>
            <w:r>
              <w:rPr>
                <w:rFonts w:hint="eastAsia"/>
                <w:bCs/>
                <w:sz w:val="24"/>
                <w:szCs w:val="24"/>
              </w:rPr>
              <w:t>6</w:t>
            </w:r>
            <w:r>
              <w:rPr>
                <w:bCs/>
                <w:sz w:val="24"/>
                <w:szCs w:val="24"/>
              </w:rPr>
              <w:t>2000</w:t>
            </w:r>
          </w:p>
        </w:tc>
        <w:tc>
          <w:tcPr>
            <w:tcW w:w="707" w:type="pct"/>
            <w:tcBorders>
              <w:top w:val="single" w:sz="4" w:space="0" w:color="auto"/>
              <w:left w:val="single" w:sz="4" w:space="0" w:color="auto"/>
              <w:bottom w:val="single" w:sz="4" w:space="0" w:color="auto"/>
              <w:right w:val="single" w:sz="4" w:space="0" w:color="auto"/>
            </w:tcBorders>
            <w:noWrap/>
            <w:vAlign w:val="center"/>
          </w:tcPr>
          <w:p w14:paraId="1B1C3539" w14:textId="64ABD158" w:rsidR="006641A2" w:rsidRPr="006641A2" w:rsidRDefault="006641A2" w:rsidP="00E450FF">
            <w:pPr>
              <w:spacing w:line="276" w:lineRule="auto"/>
              <w:jc w:val="center"/>
              <w:rPr>
                <w:bCs/>
                <w:sz w:val="24"/>
                <w:szCs w:val="24"/>
              </w:rPr>
            </w:pPr>
            <w:r w:rsidRPr="006641A2">
              <w:rPr>
                <w:rFonts w:hint="eastAsia"/>
                <w:bCs/>
                <w:sz w:val="24"/>
                <w:szCs w:val="24"/>
              </w:rPr>
              <w:t>7</w:t>
            </w:r>
            <w:r w:rsidRPr="006641A2">
              <w:rPr>
                <w:bCs/>
                <w:sz w:val="24"/>
                <w:szCs w:val="24"/>
              </w:rPr>
              <w:t>8000</w:t>
            </w:r>
          </w:p>
        </w:tc>
        <w:tc>
          <w:tcPr>
            <w:tcW w:w="707" w:type="pct"/>
            <w:tcBorders>
              <w:top w:val="single" w:sz="4" w:space="0" w:color="auto"/>
              <w:left w:val="single" w:sz="4" w:space="0" w:color="auto"/>
              <w:bottom w:val="single" w:sz="4" w:space="0" w:color="auto"/>
              <w:right w:val="single" w:sz="4" w:space="0" w:color="auto"/>
            </w:tcBorders>
            <w:noWrap/>
            <w:vAlign w:val="center"/>
          </w:tcPr>
          <w:p w14:paraId="24328361" w14:textId="28DFFF58" w:rsidR="006641A2" w:rsidRPr="006641A2" w:rsidRDefault="006641A2" w:rsidP="00E450FF">
            <w:pPr>
              <w:spacing w:line="276" w:lineRule="auto"/>
              <w:jc w:val="center"/>
              <w:rPr>
                <w:bCs/>
                <w:sz w:val="24"/>
                <w:szCs w:val="24"/>
              </w:rPr>
            </w:pPr>
            <w:r w:rsidRPr="006641A2">
              <w:rPr>
                <w:rFonts w:hint="eastAsia"/>
                <w:bCs/>
                <w:sz w:val="24"/>
                <w:szCs w:val="24"/>
              </w:rPr>
              <w:t>5</w:t>
            </w:r>
            <w:r w:rsidRPr="006641A2">
              <w:rPr>
                <w:bCs/>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14:paraId="40E6F881" w14:textId="6FB3195F" w:rsidR="006641A2" w:rsidRPr="006641A2" w:rsidRDefault="006641A2" w:rsidP="00E450FF">
            <w:pPr>
              <w:spacing w:line="276" w:lineRule="auto"/>
              <w:jc w:val="center"/>
              <w:rPr>
                <w:bCs/>
                <w:sz w:val="24"/>
                <w:szCs w:val="24"/>
              </w:rPr>
            </w:pPr>
            <w:r w:rsidRPr="006641A2">
              <w:rPr>
                <w:rFonts w:hint="eastAsia"/>
                <w:bCs/>
                <w:sz w:val="24"/>
                <w:szCs w:val="24"/>
              </w:rPr>
              <w:t>5</w:t>
            </w:r>
            <w:r w:rsidRPr="006641A2">
              <w:rPr>
                <w:bCs/>
                <w:sz w:val="24"/>
                <w:szCs w:val="24"/>
              </w:rPr>
              <w:t>00</w:t>
            </w:r>
          </w:p>
        </w:tc>
        <w:tc>
          <w:tcPr>
            <w:tcW w:w="1092" w:type="pct"/>
            <w:tcBorders>
              <w:top w:val="single" w:sz="4" w:space="0" w:color="auto"/>
              <w:left w:val="single" w:sz="4" w:space="0" w:color="auto"/>
              <w:bottom w:val="single" w:sz="4" w:space="0" w:color="auto"/>
              <w:right w:val="single" w:sz="4" w:space="0" w:color="auto"/>
            </w:tcBorders>
            <w:vAlign w:val="center"/>
          </w:tcPr>
          <w:p w14:paraId="77D845A6" w14:textId="14A3F050" w:rsidR="006641A2" w:rsidRPr="006641A2" w:rsidRDefault="006641A2" w:rsidP="00E450FF">
            <w:pPr>
              <w:spacing w:line="276" w:lineRule="auto"/>
              <w:jc w:val="center"/>
              <w:rPr>
                <w:bCs/>
                <w:sz w:val="24"/>
                <w:szCs w:val="24"/>
              </w:rPr>
            </w:pPr>
            <w:r w:rsidRPr="006641A2">
              <w:rPr>
                <w:rFonts w:hint="eastAsia"/>
                <w:bCs/>
                <w:sz w:val="24"/>
                <w:szCs w:val="24"/>
              </w:rPr>
              <w:t>5</w:t>
            </w:r>
            <w:r w:rsidRPr="006641A2">
              <w:rPr>
                <w:bCs/>
                <w:sz w:val="24"/>
                <w:szCs w:val="24"/>
              </w:rPr>
              <w:t>00</w:t>
            </w:r>
          </w:p>
        </w:tc>
        <w:tc>
          <w:tcPr>
            <w:tcW w:w="575" w:type="pct"/>
            <w:tcBorders>
              <w:top w:val="single" w:sz="4" w:space="0" w:color="auto"/>
              <w:left w:val="single" w:sz="4" w:space="0" w:color="auto"/>
              <w:bottom w:val="single" w:sz="4" w:space="0" w:color="auto"/>
              <w:right w:val="single" w:sz="4" w:space="0" w:color="auto"/>
            </w:tcBorders>
            <w:vAlign w:val="center"/>
          </w:tcPr>
          <w:p w14:paraId="3EF4FAE0" w14:textId="65A7F247" w:rsidR="006641A2" w:rsidRPr="006641A2" w:rsidRDefault="006641A2" w:rsidP="00E450FF">
            <w:pPr>
              <w:spacing w:line="276" w:lineRule="auto"/>
              <w:jc w:val="center"/>
              <w:rPr>
                <w:bCs/>
                <w:sz w:val="24"/>
                <w:szCs w:val="24"/>
              </w:rPr>
            </w:pPr>
            <w:r w:rsidRPr="006641A2">
              <w:rPr>
                <w:rFonts w:hint="eastAsia"/>
                <w:bCs/>
                <w:sz w:val="24"/>
                <w:szCs w:val="24"/>
              </w:rPr>
              <w:t>1</w:t>
            </w:r>
            <w:r w:rsidRPr="006641A2">
              <w:rPr>
                <w:bCs/>
                <w:sz w:val="24"/>
                <w:szCs w:val="24"/>
              </w:rPr>
              <w:t>60</w:t>
            </w:r>
          </w:p>
        </w:tc>
      </w:tr>
      <w:tr w:rsidR="006641A2" w14:paraId="48EBC375" w14:textId="69582EC0" w:rsidTr="006641A2">
        <w:trPr>
          <w:trHeight w:val="270"/>
          <w:tblHeader/>
        </w:trPr>
        <w:tc>
          <w:tcPr>
            <w:tcW w:w="707" w:type="pct"/>
            <w:tcBorders>
              <w:top w:val="single" w:sz="4" w:space="0" w:color="auto"/>
              <w:left w:val="single" w:sz="4" w:space="0" w:color="auto"/>
              <w:bottom w:val="single" w:sz="4" w:space="0" w:color="auto"/>
              <w:right w:val="single" w:sz="4" w:space="0" w:color="auto"/>
            </w:tcBorders>
            <w:vAlign w:val="center"/>
          </w:tcPr>
          <w:p w14:paraId="2A5529B4" w14:textId="09F002C8" w:rsidR="006641A2" w:rsidRPr="006641A2" w:rsidRDefault="006641A2" w:rsidP="00E450FF">
            <w:pPr>
              <w:spacing w:line="276" w:lineRule="auto"/>
              <w:jc w:val="center"/>
              <w:rPr>
                <w:bCs/>
                <w:sz w:val="24"/>
                <w:szCs w:val="24"/>
              </w:rPr>
            </w:pPr>
            <w:r w:rsidRPr="006641A2">
              <w:rPr>
                <w:rFonts w:hint="eastAsia"/>
                <w:bCs/>
                <w:sz w:val="24"/>
                <w:szCs w:val="24"/>
              </w:rPr>
              <w:t>2</w:t>
            </w:r>
            <w:r w:rsidRPr="006641A2">
              <w:rPr>
                <w:bCs/>
                <w:sz w:val="24"/>
                <w:szCs w:val="24"/>
              </w:rPr>
              <w:t>023</w:t>
            </w:r>
          </w:p>
        </w:tc>
        <w:tc>
          <w:tcPr>
            <w:tcW w:w="707" w:type="pct"/>
            <w:tcBorders>
              <w:top w:val="single" w:sz="4" w:space="0" w:color="auto"/>
              <w:left w:val="single" w:sz="4" w:space="0" w:color="auto"/>
              <w:bottom w:val="single" w:sz="4" w:space="0" w:color="auto"/>
              <w:right w:val="single" w:sz="4" w:space="0" w:color="auto"/>
            </w:tcBorders>
          </w:tcPr>
          <w:p w14:paraId="4D56A726" w14:textId="0EB948E4" w:rsidR="006641A2" w:rsidRPr="006641A2" w:rsidRDefault="006641A2" w:rsidP="00E450FF">
            <w:pPr>
              <w:spacing w:line="276" w:lineRule="auto"/>
              <w:jc w:val="center"/>
              <w:rPr>
                <w:bCs/>
                <w:sz w:val="24"/>
                <w:szCs w:val="24"/>
              </w:rPr>
            </w:pPr>
            <w:r>
              <w:rPr>
                <w:rFonts w:hint="eastAsia"/>
                <w:bCs/>
                <w:sz w:val="24"/>
                <w:szCs w:val="24"/>
              </w:rPr>
              <w:t>6</w:t>
            </w:r>
            <w:r>
              <w:rPr>
                <w:bCs/>
                <w:sz w:val="24"/>
                <w:szCs w:val="24"/>
              </w:rPr>
              <w:t>9000</w:t>
            </w:r>
          </w:p>
        </w:tc>
        <w:tc>
          <w:tcPr>
            <w:tcW w:w="707" w:type="pct"/>
            <w:tcBorders>
              <w:top w:val="single" w:sz="4" w:space="0" w:color="auto"/>
              <w:left w:val="single" w:sz="4" w:space="0" w:color="auto"/>
              <w:bottom w:val="single" w:sz="4" w:space="0" w:color="auto"/>
              <w:right w:val="single" w:sz="4" w:space="0" w:color="auto"/>
            </w:tcBorders>
            <w:noWrap/>
            <w:vAlign w:val="center"/>
          </w:tcPr>
          <w:p w14:paraId="202DB2C3" w14:textId="28332672" w:rsidR="006641A2" w:rsidRPr="006641A2" w:rsidRDefault="006641A2" w:rsidP="00E450FF">
            <w:pPr>
              <w:spacing w:line="276" w:lineRule="auto"/>
              <w:jc w:val="center"/>
              <w:rPr>
                <w:bCs/>
                <w:sz w:val="24"/>
                <w:szCs w:val="24"/>
              </w:rPr>
            </w:pPr>
            <w:r w:rsidRPr="006641A2">
              <w:rPr>
                <w:rFonts w:hint="eastAsia"/>
                <w:bCs/>
                <w:sz w:val="24"/>
                <w:szCs w:val="24"/>
              </w:rPr>
              <w:t>9</w:t>
            </w:r>
            <w:r w:rsidRPr="006641A2">
              <w:rPr>
                <w:bCs/>
                <w:sz w:val="24"/>
                <w:szCs w:val="24"/>
              </w:rPr>
              <w:t>2000</w:t>
            </w:r>
          </w:p>
        </w:tc>
        <w:tc>
          <w:tcPr>
            <w:tcW w:w="707" w:type="pct"/>
            <w:tcBorders>
              <w:top w:val="single" w:sz="4" w:space="0" w:color="auto"/>
              <w:left w:val="single" w:sz="4" w:space="0" w:color="auto"/>
              <w:bottom w:val="single" w:sz="4" w:space="0" w:color="auto"/>
              <w:right w:val="single" w:sz="4" w:space="0" w:color="auto"/>
            </w:tcBorders>
            <w:noWrap/>
            <w:vAlign w:val="center"/>
          </w:tcPr>
          <w:p w14:paraId="142FAA8D" w14:textId="47458D42" w:rsidR="006641A2" w:rsidRPr="006641A2" w:rsidRDefault="006641A2" w:rsidP="00E450FF">
            <w:pPr>
              <w:spacing w:line="276" w:lineRule="auto"/>
              <w:jc w:val="center"/>
              <w:rPr>
                <w:bCs/>
                <w:sz w:val="24"/>
                <w:szCs w:val="24"/>
              </w:rPr>
            </w:pPr>
            <w:r w:rsidRPr="006641A2">
              <w:rPr>
                <w:rFonts w:hint="eastAsia"/>
                <w:bCs/>
                <w:sz w:val="24"/>
                <w:szCs w:val="24"/>
              </w:rPr>
              <w:t>5</w:t>
            </w:r>
            <w:r w:rsidRPr="006641A2">
              <w:rPr>
                <w:bCs/>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14:paraId="03AE902F" w14:textId="52C5F001" w:rsidR="006641A2" w:rsidRPr="006641A2" w:rsidRDefault="006641A2" w:rsidP="00E450FF">
            <w:pPr>
              <w:spacing w:line="276" w:lineRule="auto"/>
              <w:jc w:val="center"/>
              <w:rPr>
                <w:bCs/>
                <w:sz w:val="24"/>
                <w:szCs w:val="24"/>
              </w:rPr>
            </w:pPr>
            <w:r w:rsidRPr="006641A2">
              <w:rPr>
                <w:rFonts w:hint="eastAsia"/>
                <w:bCs/>
                <w:sz w:val="24"/>
                <w:szCs w:val="24"/>
              </w:rPr>
              <w:t>8</w:t>
            </w:r>
            <w:r w:rsidRPr="006641A2">
              <w:rPr>
                <w:bCs/>
                <w:sz w:val="24"/>
                <w:szCs w:val="24"/>
              </w:rPr>
              <w:t>00</w:t>
            </w:r>
          </w:p>
        </w:tc>
        <w:tc>
          <w:tcPr>
            <w:tcW w:w="1092" w:type="pct"/>
            <w:tcBorders>
              <w:top w:val="single" w:sz="4" w:space="0" w:color="auto"/>
              <w:left w:val="single" w:sz="4" w:space="0" w:color="auto"/>
              <w:bottom w:val="single" w:sz="4" w:space="0" w:color="auto"/>
              <w:right w:val="single" w:sz="4" w:space="0" w:color="auto"/>
            </w:tcBorders>
            <w:vAlign w:val="center"/>
          </w:tcPr>
          <w:p w14:paraId="5ADE0DF3" w14:textId="7026E64B" w:rsidR="006641A2" w:rsidRPr="006641A2" w:rsidRDefault="006641A2" w:rsidP="00E450FF">
            <w:pPr>
              <w:spacing w:line="276" w:lineRule="auto"/>
              <w:jc w:val="center"/>
              <w:rPr>
                <w:bCs/>
                <w:sz w:val="24"/>
                <w:szCs w:val="24"/>
              </w:rPr>
            </w:pPr>
            <w:r w:rsidRPr="006641A2">
              <w:rPr>
                <w:rFonts w:hint="eastAsia"/>
                <w:bCs/>
                <w:sz w:val="24"/>
                <w:szCs w:val="24"/>
              </w:rPr>
              <w:t>4</w:t>
            </w:r>
            <w:r w:rsidRPr="006641A2">
              <w:rPr>
                <w:bCs/>
                <w:sz w:val="24"/>
                <w:szCs w:val="24"/>
              </w:rPr>
              <w:t>00</w:t>
            </w:r>
          </w:p>
        </w:tc>
        <w:tc>
          <w:tcPr>
            <w:tcW w:w="575" w:type="pct"/>
            <w:tcBorders>
              <w:top w:val="single" w:sz="4" w:space="0" w:color="auto"/>
              <w:left w:val="single" w:sz="4" w:space="0" w:color="auto"/>
              <w:bottom w:val="single" w:sz="4" w:space="0" w:color="auto"/>
              <w:right w:val="single" w:sz="4" w:space="0" w:color="auto"/>
            </w:tcBorders>
            <w:vAlign w:val="center"/>
          </w:tcPr>
          <w:p w14:paraId="13CA09EF" w14:textId="37502B89" w:rsidR="006641A2" w:rsidRPr="006641A2" w:rsidRDefault="006641A2" w:rsidP="00E450FF">
            <w:pPr>
              <w:spacing w:line="276" w:lineRule="auto"/>
              <w:jc w:val="center"/>
              <w:rPr>
                <w:bCs/>
                <w:sz w:val="24"/>
                <w:szCs w:val="24"/>
              </w:rPr>
            </w:pPr>
            <w:r w:rsidRPr="006641A2">
              <w:rPr>
                <w:rFonts w:hint="eastAsia"/>
                <w:bCs/>
                <w:sz w:val="24"/>
                <w:szCs w:val="24"/>
              </w:rPr>
              <w:t>2</w:t>
            </w:r>
            <w:r w:rsidRPr="006641A2">
              <w:rPr>
                <w:bCs/>
                <w:sz w:val="24"/>
                <w:szCs w:val="24"/>
              </w:rPr>
              <w:t>00</w:t>
            </w:r>
          </w:p>
        </w:tc>
      </w:tr>
      <w:tr w:rsidR="006641A2" w14:paraId="33B75F3E" w14:textId="4F1BADD2" w:rsidTr="006641A2">
        <w:trPr>
          <w:trHeight w:val="270"/>
          <w:tblHeader/>
        </w:trPr>
        <w:tc>
          <w:tcPr>
            <w:tcW w:w="707" w:type="pct"/>
            <w:tcBorders>
              <w:top w:val="single" w:sz="4" w:space="0" w:color="auto"/>
              <w:left w:val="single" w:sz="4" w:space="0" w:color="auto"/>
              <w:bottom w:val="single" w:sz="4" w:space="0" w:color="auto"/>
              <w:right w:val="single" w:sz="4" w:space="0" w:color="auto"/>
            </w:tcBorders>
            <w:vAlign w:val="center"/>
          </w:tcPr>
          <w:p w14:paraId="22074BE4" w14:textId="2E2743CB" w:rsidR="006641A2" w:rsidRPr="006641A2" w:rsidRDefault="006641A2" w:rsidP="00E450FF">
            <w:pPr>
              <w:spacing w:line="276" w:lineRule="auto"/>
              <w:jc w:val="center"/>
              <w:rPr>
                <w:bCs/>
                <w:sz w:val="24"/>
                <w:szCs w:val="24"/>
              </w:rPr>
            </w:pPr>
            <w:r w:rsidRPr="006641A2">
              <w:rPr>
                <w:rFonts w:hint="eastAsia"/>
                <w:bCs/>
                <w:sz w:val="24"/>
                <w:szCs w:val="24"/>
              </w:rPr>
              <w:t>2</w:t>
            </w:r>
            <w:r w:rsidRPr="006641A2">
              <w:rPr>
                <w:bCs/>
                <w:sz w:val="24"/>
                <w:szCs w:val="24"/>
              </w:rPr>
              <w:t>024</w:t>
            </w:r>
          </w:p>
        </w:tc>
        <w:tc>
          <w:tcPr>
            <w:tcW w:w="707" w:type="pct"/>
            <w:tcBorders>
              <w:top w:val="single" w:sz="4" w:space="0" w:color="auto"/>
              <w:left w:val="single" w:sz="4" w:space="0" w:color="auto"/>
              <w:bottom w:val="single" w:sz="4" w:space="0" w:color="auto"/>
              <w:right w:val="single" w:sz="4" w:space="0" w:color="auto"/>
            </w:tcBorders>
          </w:tcPr>
          <w:p w14:paraId="7E031C29" w14:textId="50823F14" w:rsidR="006641A2" w:rsidRPr="006641A2" w:rsidRDefault="006641A2" w:rsidP="00E450FF">
            <w:pPr>
              <w:spacing w:line="276" w:lineRule="auto"/>
              <w:jc w:val="center"/>
              <w:rPr>
                <w:bCs/>
                <w:sz w:val="24"/>
                <w:szCs w:val="24"/>
              </w:rPr>
            </w:pPr>
            <w:r>
              <w:rPr>
                <w:rFonts w:hint="eastAsia"/>
                <w:bCs/>
                <w:sz w:val="24"/>
                <w:szCs w:val="24"/>
              </w:rPr>
              <w:t>7</w:t>
            </w:r>
            <w:r>
              <w:rPr>
                <w:bCs/>
                <w:sz w:val="24"/>
                <w:szCs w:val="24"/>
              </w:rPr>
              <w:t>5500</w:t>
            </w:r>
          </w:p>
        </w:tc>
        <w:tc>
          <w:tcPr>
            <w:tcW w:w="707" w:type="pct"/>
            <w:tcBorders>
              <w:top w:val="single" w:sz="4" w:space="0" w:color="auto"/>
              <w:left w:val="single" w:sz="4" w:space="0" w:color="auto"/>
              <w:bottom w:val="single" w:sz="4" w:space="0" w:color="auto"/>
              <w:right w:val="single" w:sz="4" w:space="0" w:color="auto"/>
            </w:tcBorders>
            <w:noWrap/>
            <w:vAlign w:val="center"/>
          </w:tcPr>
          <w:p w14:paraId="0CF72134" w14:textId="10573E71" w:rsidR="006641A2" w:rsidRPr="006641A2" w:rsidRDefault="006641A2" w:rsidP="00E450FF">
            <w:pPr>
              <w:spacing w:line="276" w:lineRule="auto"/>
              <w:jc w:val="center"/>
              <w:rPr>
                <w:bCs/>
                <w:sz w:val="24"/>
                <w:szCs w:val="24"/>
              </w:rPr>
            </w:pPr>
            <w:r w:rsidRPr="006641A2">
              <w:rPr>
                <w:rFonts w:hint="eastAsia"/>
                <w:bCs/>
                <w:sz w:val="24"/>
                <w:szCs w:val="24"/>
              </w:rPr>
              <w:t>1</w:t>
            </w:r>
            <w:r w:rsidRPr="006641A2">
              <w:rPr>
                <w:bCs/>
                <w:sz w:val="24"/>
                <w:szCs w:val="24"/>
              </w:rPr>
              <w:t>07000</w:t>
            </w:r>
          </w:p>
        </w:tc>
        <w:tc>
          <w:tcPr>
            <w:tcW w:w="707" w:type="pct"/>
            <w:tcBorders>
              <w:top w:val="single" w:sz="4" w:space="0" w:color="auto"/>
              <w:left w:val="single" w:sz="4" w:space="0" w:color="auto"/>
              <w:bottom w:val="single" w:sz="4" w:space="0" w:color="auto"/>
              <w:right w:val="single" w:sz="4" w:space="0" w:color="auto"/>
            </w:tcBorders>
            <w:noWrap/>
            <w:vAlign w:val="center"/>
          </w:tcPr>
          <w:p w14:paraId="7FC18447" w14:textId="5D11C938" w:rsidR="006641A2" w:rsidRPr="006641A2" w:rsidRDefault="006641A2" w:rsidP="00E450FF">
            <w:pPr>
              <w:spacing w:line="276" w:lineRule="auto"/>
              <w:jc w:val="center"/>
              <w:rPr>
                <w:bCs/>
                <w:sz w:val="24"/>
                <w:szCs w:val="24"/>
              </w:rPr>
            </w:pPr>
            <w:r w:rsidRPr="006641A2">
              <w:rPr>
                <w:rFonts w:hint="eastAsia"/>
                <w:bCs/>
                <w:sz w:val="24"/>
                <w:szCs w:val="24"/>
              </w:rPr>
              <w:t>5</w:t>
            </w:r>
            <w:r w:rsidRPr="006641A2">
              <w:rPr>
                <w:bCs/>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14:paraId="3DFCA76E" w14:textId="5236D9EE" w:rsidR="006641A2" w:rsidRPr="006641A2" w:rsidRDefault="006641A2" w:rsidP="00E450FF">
            <w:pPr>
              <w:spacing w:line="276" w:lineRule="auto"/>
              <w:jc w:val="center"/>
              <w:rPr>
                <w:bCs/>
                <w:sz w:val="24"/>
                <w:szCs w:val="24"/>
              </w:rPr>
            </w:pPr>
            <w:r w:rsidRPr="006641A2">
              <w:rPr>
                <w:rFonts w:hint="eastAsia"/>
                <w:bCs/>
                <w:sz w:val="24"/>
                <w:szCs w:val="24"/>
              </w:rPr>
              <w:t>7</w:t>
            </w:r>
            <w:r w:rsidRPr="006641A2">
              <w:rPr>
                <w:bCs/>
                <w:sz w:val="24"/>
                <w:szCs w:val="24"/>
              </w:rPr>
              <w:t>60</w:t>
            </w:r>
          </w:p>
        </w:tc>
        <w:tc>
          <w:tcPr>
            <w:tcW w:w="1092" w:type="pct"/>
            <w:tcBorders>
              <w:top w:val="single" w:sz="4" w:space="0" w:color="auto"/>
              <w:left w:val="single" w:sz="4" w:space="0" w:color="auto"/>
              <w:bottom w:val="single" w:sz="4" w:space="0" w:color="auto"/>
              <w:right w:val="single" w:sz="4" w:space="0" w:color="auto"/>
            </w:tcBorders>
            <w:vAlign w:val="center"/>
          </w:tcPr>
          <w:p w14:paraId="20B008BF" w14:textId="64C321C8" w:rsidR="006641A2" w:rsidRPr="006641A2" w:rsidRDefault="006641A2" w:rsidP="00E450FF">
            <w:pPr>
              <w:spacing w:line="276" w:lineRule="auto"/>
              <w:jc w:val="center"/>
              <w:rPr>
                <w:bCs/>
                <w:sz w:val="24"/>
                <w:szCs w:val="24"/>
              </w:rPr>
            </w:pPr>
            <w:r w:rsidRPr="006641A2">
              <w:rPr>
                <w:bCs/>
                <w:sz w:val="24"/>
                <w:szCs w:val="24"/>
              </w:rPr>
              <w:t>300</w:t>
            </w:r>
          </w:p>
        </w:tc>
        <w:tc>
          <w:tcPr>
            <w:tcW w:w="575" w:type="pct"/>
            <w:tcBorders>
              <w:top w:val="single" w:sz="4" w:space="0" w:color="auto"/>
              <w:left w:val="single" w:sz="4" w:space="0" w:color="auto"/>
              <w:bottom w:val="single" w:sz="4" w:space="0" w:color="auto"/>
              <w:right w:val="single" w:sz="4" w:space="0" w:color="auto"/>
            </w:tcBorders>
            <w:vAlign w:val="center"/>
          </w:tcPr>
          <w:p w14:paraId="1C4C3C70" w14:textId="1E834507" w:rsidR="006641A2" w:rsidRPr="006641A2" w:rsidRDefault="006641A2" w:rsidP="00E450FF">
            <w:pPr>
              <w:spacing w:line="276" w:lineRule="auto"/>
              <w:jc w:val="center"/>
              <w:rPr>
                <w:bCs/>
                <w:sz w:val="24"/>
                <w:szCs w:val="24"/>
              </w:rPr>
            </w:pPr>
            <w:r w:rsidRPr="006641A2">
              <w:rPr>
                <w:rFonts w:hint="eastAsia"/>
                <w:bCs/>
                <w:sz w:val="24"/>
                <w:szCs w:val="24"/>
              </w:rPr>
              <w:t>7</w:t>
            </w:r>
            <w:r w:rsidRPr="006641A2">
              <w:rPr>
                <w:bCs/>
                <w:sz w:val="24"/>
                <w:szCs w:val="24"/>
              </w:rPr>
              <w:t>0</w:t>
            </w:r>
          </w:p>
        </w:tc>
      </w:tr>
      <w:tr w:rsidR="006641A2" w14:paraId="31FCC25A" w14:textId="2D4F9CB6" w:rsidTr="006641A2">
        <w:trPr>
          <w:trHeight w:val="270"/>
          <w:tblHeader/>
        </w:trPr>
        <w:tc>
          <w:tcPr>
            <w:tcW w:w="707" w:type="pct"/>
            <w:tcBorders>
              <w:top w:val="single" w:sz="4" w:space="0" w:color="auto"/>
              <w:left w:val="single" w:sz="4" w:space="0" w:color="auto"/>
              <w:bottom w:val="single" w:sz="4" w:space="0" w:color="auto"/>
              <w:right w:val="single" w:sz="4" w:space="0" w:color="auto"/>
            </w:tcBorders>
            <w:vAlign w:val="center"/>
          </w:tcPr>
          <w:p w14:paraId="7683562C" w14:textId="61783696" w:rsidR="006641A2" w:rsidRPr="006641A2" w:rsidRDefault="006641A2" w:rsidP="00E450FF">
            <w:pPr>
              <w:spacing w:line="276" w:lineRule="auto"/>
              <w:jc w:val="center"/>
              <w:rPr>
                <w:bCs/>
                <w:sz w:val="24"/>
                <w:szCs w:val="24"/>
              </w:rPr>
            </w:pPr>
            <w:r w:rsidRPr="006641A2">
              <w:rPr>
                <w:rFonts w:hint="eastAsia"/>
                <w:bCs/>
                <w:sz w:val="24"/>
                <w:szCs w:val="24"/>
              </w:rPr>
              <w:t>2</w:t>
            </w:r>
            <w:r w:rsidRPr="006641A2">
              <w:rPr>
                <w:bCs/>
                <w:sz w:val="24"/>
                <w:szCs w:val="24"/>
              </w:rPr>
              <w:t>025</w:t>
            </w:r>
          </w:p>
        </w:tc>
        <w:tc>
          <w:tcPr>
            <w:tcW w:w="707" w:type="pct"/>
            <w:tcBorders>
              <w:top w:val="single" w:sz="4" w:space="0" w:color="auto"/>
              <w:left w:val="single" w:sz="4" w:space="0" w:color="auto"/>
              <w:bottom w:val="single" w:sz="4" w:space="0" w:color="auto"/>
              <w:right w:val="single" w:sz="4" w:space="0" w:color="auto"/>
            </w:tcBorders>
          </w:tcPr>
          <w:p w14:paraId="6791C9FC" w14:textId="4FCC88AA" w:rsidR="006641A2" w:rsidRPr="006641A2" w:rsidRDefault="006641A2" w:rsidP="00E450FF">
            <w:pPr>
              <w:spacing w:line="276" w:lineRule="auto"/>
              <w:jc w:val="center"/>
              <w:rPr>
                <w:bCs/>
                <w:sz w:val="24"/>
                <w:szCs w:val="24"/>
              </w:rPr>
            </w:pPr>
            <w:r>
              <w:rPr>
                <w:rFonts w:hint="eastAsia"/>
                <w:bCs/>
                <w:sz w:val="24"/>
                <w:szCs w:val="24"/>
              </w:rPr>
              <w:t>8</w:t>
            </w:r>
            <w:r>
              <w:rPr>
                <w:bCs/>
                <w:sz w:val="24"/>
                <w:szCs w:val="24"/>
              </w:rPr>
              <w:t>0000</w:t>
            </w:r>
          </w:p>
        </w:tc>
        <w:tc>
          <w:tcPr>
            <w:tcW w:w="707" w:type="pct"/>
            <w:tcBorders>
              <w:top w:val="single" w:sz="4" w:space="0" w:color="auto"/>
              <w:left w:val="single" w:sz="4" w:space="0" w:color="auto"/>
              <w:bottom w:val="single" w:sz="4" w:space="0" w:color="auto"/>
              <w:right w:val="single" w:sz="4" w:space="0" w:color="auto"/>
            </w:tcBorders>
            <w:noWrap/>
            <w:vAlign w:val="center"/>
          </w:tcPr>
          <w:p w14:paraId="278DD643" w14:textId="585C4A0D" w:rsidR="006641A2" w:rsidRPr="006641A2" w:rsidRDefault="006641A2" w:rsidP="00E450FF">
            <w:pPr>
              <w:spacing w:line="276" w:lineRule="auto"/>
              <w:jc w:val="center"/>
              <w:rPr>
                <w:bCs/>
                <w:sz w:val="24"/>
                <w:szCs w:val="24"/>
              </w:rPr>
            </w:pPr>
            <w:r w:rsidRPr="006641A2">
              <w:rPr>
                <w:rFonts w:hint="eastAsia"/>
                <w:bCs/>
                <w:sz w:val="24"/>
                <w:szCs w:val="24"/>
              </w:rPr>
              <w:t>1</w:t>
            </w:r>
            <w:r w:rsidRPr="006641A2">
              <w:rPr>
                <w:bCs/>
                <w:sz w:val="24"/>
                <w:szCs w:val="24"/>
              </w:rPr>
              <w:t>23000</w:t>
            </w:r>
          </w:p>
        </w:tc>
        <w:tc>
          <w:tcPr>
            <w:tcW w:w="707" w:type="pct"/>
            <w:tcBorders>
              <w:top w:val="single" w:sz="4" w:space="0" w:color="auto"/>
              <w:left w:val="single" w:sz="4" w:space="0" w:color="auto"/>
              <w:bottom w:val="single" w:sz="4" w:space="0" w:color="auto"/>
              <w:right w:val="single" w:sz="4" w:space="0" w:color="auto"/>
            </w:tcBorders>
            <w:noWrap/>
            <w:vAlign w:val="center"/>
          </w:tcPr>
          <w:p w14:paraId="0761A0FC" w14:textId="600B64FB" w:rsidR="006641A2" w:rsidRPr="006641A2" w:rsidRDefault="006641A2" w:rsidP="00E450FF">
            <w:pPr>
              <w:spacing w:line="276" w:lineRule="auto"/>
              <w:jc w:val="center"/>
              <w:rPr>
                <w:bCs/>
                <w:sz w:val="24"/>
                <w:szCs w:val="24"/>
              </w:rPr>
            </w:pPr>
            <w:r w:rsidRPr="006641A2">
              <w:rPr>
                <w:rFonts w:hint="eastAsia"/>
                <w:bCs/>
                <w:sz w:val="24"/>
                <w:szCs w:val="24"/>
              </w:rPr>
              <w:t>2</w:t>
            </w:r>
            <w:r w:rsidRPr="006641A2">
              <w:rPr>
                <w:bCs/>
                <w:sz w:val="24"/>
                <w:szCs w:val="24"/>
              </w:rPr>
              <w:t>70</w:t>
            </w:r>
          </w:p>
        </w:tc>
        <w:tc>
          <w:tcPr>
            <w:tcW w:w="505" w:type="pct"/>
            <w:tcBorders>
              <w:top w:val="single" w:sz="4" w:space="0" w:color="auto"/>
              <w:left w:val="single" w:sz="4" w:space="0" w:color="auto"/>
              <w:bottom w:val="single" w:sz="4" w:space="0" w:color="auto"/>
              <w:right w:val="single" w:sz="4" w:space="0" w:color="auto"/>
            </w:tcBorders>
            <w:vAlign w:val="center"/>
          </w:tcPr>
          <w:p w14:paraId="47699274" w14:textId="39AE2762" w:rsidR="006641A2" w:rsidRPr="006641A2" w:rsidRDefault="006641A2" w:rsidP="00E450FF">
            <w:pPr>
              <w:spacing w:line="276" w:lineRule="auto"/>
              <w:jc w:val="center"/>
              <w:rPr>
                <w:bCs/>
                <w:sz w:val="24"/>
                <w:szCs w:val="24"/>
              </w:rPr>
            </w:pPr>
            <w:r w:rsidRPr="006641A2">
              <w:rPr>
                <w:rFonts w:hint="eastAsia"/>
                <w:bCs/>
                <w:sz w:val="24"/>
                <w:szCs w:val="24"/>
              </w:rPr>
              <w:t>7</w:t>
            </w:r>
            <w:r w:rsidRPr="006641A2">
              <w:rPr>
                <w:bCs/>
                <w:sz w:val="24"/>
                <w:szCs w:val="24"/>
              </w:rPr>
              <w:t>00</w:t>
            </w:r>
          </w:p>
        </w:tc>
        <w:tc>
          <w:tcPr>
            <w:tcW w:w="1092" w:type="pct"/>
            <w:tcBorders>
              <w:top w:val="single" w:sz="4" w:space="0" w:color="auto"/>
              <w:left w:val="single" w:sz="4" w:space="0" w:color="auto"/>
              <w:bottom w:val="single" w:sz="4" w:space="0" w:color="auto"/>
              <w:right w:val="single" w:sz="4" w:space="0" w:color="auto"/>
            </w:tcBorders>
            <w:vAlign w:val="center"/>
          </w:tcPr>
          <w:p w14:paraId="38243ABE" w14:textId="739190A1" w:rsidR="006641A2" w:rsidRPr="006641A2" w:rsidRDefault="006641A2" w:rsidP="00E450FF">
            <w:pPr>
              <w:spacing w:line="276" w:lineRule="auto"/>
              <w:jc w:val="center"/>
              <w:rPr>
                <w:bCs/>
                <w:sz w:val="24"/>
                <w:szCs w:val="24"/>
              </w:rPr>
            </w:pPr>
            <w:r w:rsidRPr="006641A2">
              <w:rPr>
                <w:bCs/>
                <w:sz w:val="24"/>
                <w:szCs w:val="24"/>
              </w:rPr>
              <w:t>250</w:t>
            </w:r>
          </w:p>
        </w:tc>
        <w:tc>
          <w:tcPr>
            <w:tcW w:w="575" w:type="pct"/>
            <w:tcBorders>
              <w:top w:val="single" w:sz="4" w:space="0" w:color="auto"/>
              <w:left w:val="single" w:sz="4" w:space="0" w:color="auto"/>
              <w:bottom w:val="single" w:sz="4" w:space="0" w:color="auto"/>
              <w:right w:val="single" w:sz="4" w:space="0" w:color="auto"/>
            </w:tcBorders>
            <w:vAlign w:val="center"/>
          </w:tcPr>
          <w:p w14:paraId="60EE5341" w14:textId="531E6388" w:rsidR="006641A2" w:rsidRPr="006641A2" w:rsidRDefault="006641A2" w:rsidP="00E450FF">
            <w:pPr>
              <w:spacing w:line="276" w:lineRule="auto"/>
              <w:jc w:val="center"/>
              <w:rPr>
                <w:bCs/>
                <w:sz w:val="24"/>
                <w:szCs w:val="24"/>
              </w:rPr>
            </w:pPr>
            <w:r w:rsidRPr="006641A2">
              <w:rPr>
                <w:rFonts w:hint="eastAsia"/>
                <w:bCs/>
                <w:sz w:val="24"/>
                <w:szCs w:val="24"/>
              </w:rPr>
              <w:t>7</w:t>
            </w:r>
            <w:r w:rsidRPr="006641A2">
              <w:rPr>
                <w:bCs/>
                <w:sz w:val="24"/>
                <w:szCs w:val="24"/>
              </w:rPr>
              <w:t>0</w:t>
            </w:r>
          </w:p>
        </w:tc>
      </w:tr>
      <w:tr w:rsidR="006641A2" w14:paraId="24843B5C" w14:textId="77777777" w:rsidTr="006641A2">
        <w:trPr>
          <w:trHeight w:val="270"/>
          <w:tblHeader/>
        </w:trPr>
        <w:tc>
          <w:tcPr>
            <w:tcW w:w="707" w:type="pct"/>
            <w:tcBorders>
              <w:top w:val="single" w:sz="4" w:space="0" w:color="auto"/>
              <w:left w:val="single" w:sz="4" w:space="0" w:color="auto"/>
              <w:bottom w:val="single" w:sz="4" w:space="0" w:color="auto"/>
              <w:right w:val="single" w:sz="4" w:space="0" w:color="auto"/>
            </w:tcBorders>
          </w:tcPr>
          <w:p w14:paraId="46FB8DE0" w14:textId="57AD5A46" w:rsidR="006641A2" w:rsidRPr="006641A2" w:rsidRDefault="006641A2" w:rsidP="006641A2">
            <w:pPr>
              <w:spacing w:line="276" w:lineRule="auto"/>
              <w:jc w:val="center"/>
              <w:rPr>
                <w:bCs/>
                <w:sz w:val="24"/>
                <w:szCs w:val="24"/>
              </w:rPr>
            </w:pPr>
            <w:r>
              <w:rPr>
                <w:rFonts w:hint="eastAsia"/>
                <w:bCs/>
                <w:sz w:val="24"/>
                <w:szCs w:val="24"/>
              </w:rPr>
              <w:t>合计</w:t>
            </w:r>
          </w:p>
        </w:tc>
        <w:tc>
          <w:tcPr>
            <w:tcW w:w="707" w:type="pct"/>
            <w:tcBorders>
              <w:top w:val="single" w:sz="4" w:space="0" w:color="auto"/>
              <w:left w:val="single" w:sz="4" w:space="0" w:color="auto"/>
              <w:bottom w:val="single" w:sz="4" w:space="0" w:color="auto"/>
              <w:right w:val="single" w:sz="4" w:space="0" w:color="auto"/>
            </w:tcBorders>
            <w:vAlign w:val="bottom"/>
          </w:tcPr>
          <w:p w14:paraId="3B7E935B" w14:textId="392C5E6C" w:rsidR="006641A2" w:rsidRDefault="006641A2" w:rsidP="006641A2">
            <w:pPr>
              <w:spacing w:line="276" w:lineRule="auto"/>
              <w:jc w:val="center"/>
              <w:rPr>
                <w:bCs/>
                <w:sz w:val="24"/>
                <w:szCs w:val="24"/>
              </w:rPr>
            </w:pPr>
            <w:r w:rsidRPr="00594248">
              <w:rPr>
                <w:rFonts w:hint="eastAsia"/>
                <w:bCs/>
                <w:sz w:val="24"/>
                <w:szCs w:val="24"/>
              </w:rPr>
              <w:t>3</w:t>
            </w:r>
            <w:r w:rsidRPr="00594248">
              <w:rPr>
                <w:bCs/>
                <w:sz w:val="24"/>
                <w:szCs w:val="24"/>
              </w:rPr>
              <w:t>42000</w:t>
            </w:r>
          </w:p>
        </w:tc>
        <w:tc>
          <w:tcPr>
            <w:tcW w:w="707" w:type="pct"/>
            <w:tcBorders>
              <w:top w:val="single" w:sz="4" w:space="0" w:color="auto"/>
              <w:left w:val="single" w:sz="4" w:space="0" w:color="auto"/>
              <w:bottom w:val="single" w:sz="4" w:space="0" w:color="auto"/>
              <w:right w:val="single" w:sz="4" w:space="0" w:color="auto"/>
            </w:tcBorders>
            <w:noWrap/>
            <w:vAlign w:val="bottom"/>
          </w:tcPr>
          <w:p w14:paraId="01E7E0C1" w14:textId="762F36F0" w:rsidR="006641A2" w:rsidRPr="006641A2" w:rsidRDefault="006641A2" w:rsidP="006641A2">
            <w:pPr>
              <w:spacing w:line="276" w:lineRule="auto"/>
              <w:jc w:val="center"/>
              <w:rPr>
                <w:bCs/>
                <w:sz w:val="24"/>
                <w:szCs w:val="24"/>
              </w:rPr>
            </w:pPr>
            <w:r w:rsidRPr="00594248">
              <w:rPr>
                <w:rFonts w:hint="eastAsia"/>
                <w:bCs/>
                <w:sz w:val="24"/>
                <w:szCs w:val="24"/>
              </w:rPr>
              <w:t>4</w:t>
            </w:r>
            <w:r w:rsidRPr="00594248">
              <w:rPr>
                <w:bCs/>
                <w:sz w:val="24"/>
                <w:szCs w:val="24"/>
              </w:rPr>
              <w:t>65000</w:t>
            </w:r>
          </w:p>
        </w:tc>
        <w:tc>
          <w:tcPr>
            <w:tcW w:w="707" w:type="pct"/>
            <w:tcBorders>
              <w:top w:val="single" w:sz="4" w:space="0" w:color="auto"/>
              <w:left w:val="single" w:sz="4" w:space="0" w:color="auto"/>
              <w:bottom w:val="single" w:sz="4" w:space="0" w:color="auto"/>
              <w:right w:val="single" w:sz="4" w:space="0" w:color="auto"/>
            </w:tcBorders>
            <w:noWrap/>
            <w:vAlign w:val="bottom"/>
          </w:tcPr>
          <w:p w14:paraId="37A605A9" w14:textId="0C5B9000" w:rsidR="006641A2" w:rsidRPr="006641A2" w:rsidRDefault="006641A2" w:rsidP="006641A2">
            <w:pPr>
              <w:spacing w:line="276" w:lineRule="auto"/>
              <w:jc w:val="center"/>
              <w:rPr>
                <w:bCs/>
                <w:sz w:val="24"/>
                <w:szCs w:val="24"/>
              </w:rPr>
            </w:pPr>
            <w:r w:rsidRPr="00594248">
              <w:rPr>
                <w:rFonts w:hint="eastAsia"/>
                <w:bCs/>
                <w:sz w:val="24"/>
                <w:szCs w:val="24"/>
              </w:rPr>
              <w:t>2</w:t>
            </w:r>
            <w:r w:rsidRPr="00594248">
              <w:rPr>
                <w:bCs/>
                <w:sz w:val="24"/>
                <w:szCs w:val="24"/>
              </w:rPr>
              <w:t>000</w:t>
            </w:r>
          </w:p>
        </w:tc>
        <w:tc>
          <w:tcPr>
            <w:tcW w:w="505" w:type="pct"/>
            <w:tcBorders>
              <w:top w:val="single" w:sz="4" w:space="0" w:color="auto"/>
              <w:left w:val="single" w:sz="4" w:space="0" w:color="auto"/>
              <w:bottom w:val="single" w:sz="4" w:space="0" w:color="auto"/>
              <w:right w:val="single" w:sz="4" w:space="0" w:color="auto"/>
            </w:tcBorders>
          </w:tcPr>
          <w:p w14:paraId="7733EB0D" w14:textId="2FAFF863" w:rsidR="006641A2" w:rsidRPr="006641A2" w:rsidRDefault="006641A2" w:rsidP="006641A2">
            <w:pPr>
              <w:spacing w:line="276" w:lineRule="auto"/>
              <w:jc w:val="center"/>
              <w:rPr>
                <w:bCs/>
                <w:sz w:val="24"/>
                <w:szCs w:val="24"/>
              </w:rPr>
            </w:pPr>
            <w:r w:rsidRPr="00594248">
              <w:rPr>
                <w:rFonts w:hint="eastAsia"/>
                <w:bCs/>
                <w:sz w:val="24"/>
                <w:szCs w:val="24"/>
              </w:rPr>
              <w:t>3</w:t>
            </w:r>
            <w:r w:rsidRPr="00594248">
              <w:rPr>
                <w:bCs/>
                <w:sz w:val="24"/>
                <w:szCs w:val="24"/>
              </w:rPr>
              <w:t>000</w:t>
            </w:r>
          </w:p>
        </w:tc>
        <w:tc>
          <w:tcPr>
            <w:tcW w:w="1092" w:type="pct"/>
            <w:tcBorders>
              <w:top w:val="single" w:sz="4" w:space="0" w:color="auto"/>
              <w:left w:val="single" w:sz="4" w:space="0" w:color="auto"/>
              <w:bottom w:val="single" w:sz="4" w:space="0" w:color="auto"/>
              <w:right w:val="single" w:sz="4" w:space="0" w:color="auto"/>
            </w:tcBorders>
          </w:tcPr>
          <w:p w14:paraId="1DCD4D95" w14:textId="0CD8C423" w:rsidR="006641A2" w:rsidRPr="006641A2" w:rsidRDefault="006641A2" w:rsidP="006641A2">
            <w:pPr>
              <w:spacing w:line="276" w:lineRule="auto"/>
              <w:jc w:val="center"/>
              <w:rPr>
                <w:bCs/>
                <w:sz w:val="24"/>
                <w:szCs w:val="24"/>
              </w:rPr>
            </w:pPr>
            <w:r w:rsidRPr="00594248">
              <w:rPr>
                <w:rFonts w:hint="eastAsia"/>
                <w:bCs/>
                <w:sz w:val="24"/>
                <w:szCs w:val="24"/>
              </w:rPr>
              <w:t>2</w:t>
            </w:r>
            <w:r w:rsidRPr="00594248">
              <w:rPr>
                <w:bCs/>
                <w:sz w:val="24"/>
                <w:szCs w:val="24"/>
              </w:rPr>
              <w:t>000</w:t>
            </w:r>
          </w:p>
        </w:tc>
        <w:tc>
          <w:tcPr>
            <w:tcW w:w="575" w:type="pct"/>
            <w:tcBorders>
              <w:top w:val="single" w:sz="4" w:space="0" w:color="auto"/>
              <w:left w:val="single" w:sz="4" w:space="0" w:color="auto"/>
              <w:bottom w:val="single" w:sz="4" w:space="0" w:color="auto"/>
              <w:right w:val="single" w:sz="4" w:space="0" w:color="auto"/>
            </w:tcBorders>
            <w:vAlign w:val="bottom"/>
          </w:tcPr>
          <w:p w14:paraId="68260A58" w14:textId="72E921D8" w:rsidR="006641A2" w:rsidRPr="006641A2" w:rsidRDefault="006641A2" w:rsidP="006641A2">
            <w:pPr>
              <w:spacing w:line="276" w:lineRule="auto"/>
              <w:jc w:val="center"/>
              <w:rPr>
                <w:bCs/>
                <w:sz w:val="24"/>
                <w:szCs w:val="24"/>
              </w:rPr>
            </w:pPr>
            <w:r w:rsidRPr="00594248">
              <w:rPr>
                <w:rFonts w:hint="eastAsia"/>
                <w:bCs/>
                <w:sz w:val="24"/>
                <w:szCs w:val="24"/>
              </w:rPr>
              <w:t>5</w:t>
            </w:r>
            <w:r w:rsidRPr="00594248">
              <w:rPr>
                <w:bCs/>
                <w:sz w:val="24"/>
                <w:szCs w:val="24"/>
              </w:rPr>
              <w:t>00</w:t>
            </w:r>
          </w:p>
        </w:tc>
      </w:tr>
    </w:tbl>
    <w:p w14:paraId="260D16AC" w14:textId="77777777" w:rsidR="000B5F27" w:rsidRPr="00A567FC" w:rsidRDefault="000B5F27">
      <w:pPr>
        <w:widowControl/>
        <w:jc w:val="left"/>
      </w:pPr>
    </w:p>
    <w:sectPr w:rsidR="000B5F27" w:rsidRPr="00A567FC" w:rsidSect="00C87856">
      <w:pgSz w:w="16838" w:h="11906" w:orient="landscape"/>
      <w:pgMar w:top="1800" w:right="1440" w:bottom="1800" w:left="144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41EF" w14:textId="77777777" w:rsidR="008E63AB" w:rsidRDefault="008E63AB">
      <w:r>
        <w:separator/>
      </w:r>
    </w:p>
  </w:endnote>
  <w:endnote w:type="continuationSeparator" w:id="0">
    <w:p w14:paraId="288C377B" w14:textId="77777777" w:rsidR="008E63AB" w:rsidRDefault="008E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5A37" w14:textId="7DC39C13" w:rsidR="00210081" w:rsidRDefault="00210081" w:rsidP="005003EC">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817979"/>
      <w:docPartObj>
        <w:docPartGallery w:val="Page Numbers (Bottom of Page)"/>
        <w:docPartUnique/>
      </w:docPartObj>
    </w:sdtPr>
    <w:sdtEndPr/>
    <w:sdtContent>
      <w:p w14:paraId="6B306392" w14:textId="30EDE5AD" w:rsidR="00210081" w:rsidRDefault="00210081" w:rsidP="006839E7">
        <w:pPr>
          <w:pStyle w:val="aa"/>
          <w:jc w:val="center"/>
        </w:pPr>
        <w:r>
          <w:fldChar w:fldCharType="begin"/>
        </w:r>
        <w:r>
          <w:instrText>PAGE   \* MERGEFORMAT</w:instrText>
        </w:r>
        <w:r>
          <w:fldChar w:fldCharType="separate"/>
        </w:r>
        <w:r w:rsidRPr="002E46F4">
          <w:rPr>
            <w:noProof/>
            <w:lang w:val="zh-CN"/>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9930" w14:textId="77777777" w:rsidR="008E63AB" w:rsidRDefault="008E63AB">
      <w:r>
        <w:separator/>
      </w:r>
    </w:p>
  </w:footnote>
  <w:footnote w:type="continuationSeparator" w:id="0">
    <w:p w14:paraId="58161B5C" w14:textId="77777777" w:rsidR="008E63AB" w:rsidRDefault="008E6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3842" w14:textId="60D2C30C" w:rsidR="00210081" w:rsidRDefault="00210081" w:rsidP="006839E7">
    <w:pPr>
      <w:pStyle w:val="ac"/>
    </w:pPr>
    <w:r>
      <w:rPr>
        <w:rFonts w:hint="eastAsia"/>
      </w:rPr>
      <w:t>湛江</w:t>
    </w:r>
    <w:r w:rsidRPr="00AF2967">
      <w:rPr>
        <w:rFonts w:hint="eastAsia"/>
      </w:rPr>
      <w:t>市“十四五”住房发展规划（</w:t>
    </w:r>
    <w:r>
      <w:rPr>
        <w:rFonts w:hint="eastAsia"/>
      </w:rPr>
      <w:t>征求意见稿</w:t>
    </w:r>
    <w:r w:rsidRPr="00AF2967">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01A"/>
    <w:multiLevelType w:val="hybridMultilevel"/>
    <w:tmpl w:val="423C8C94"/>
    <w:lvl w:ilvl="0" w:tplc="297C03EE">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36B03B67"/>
    <w:multiLevelType w:val="hybridMultilevel"/>
    <w:tmpl w:val="5D308536"/>
    <w:lvl w:ilvl="0" w:tplc="0B9E19E8">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603654CB"/>
    <w:multiLevelType w:val="hybridMultilevel"/>
    <w:tmpl w:val="423C8C94"/>
    <w:lvl w:ilvl="0" w:tplc="297C03EE">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15:restartNumberingAfterBreak="0">
    <w:nsid w:val="7C9235BE"/>
    <w:multiLevelType w:val="hybridMultilevel"/>
    <w:tmpl w:val="704CAC28"/>
    <w:lvl w:ilvl="0" w:tplc="EB7458DE">
      <w:start w:val="1"/>
      <w:numFmt w:val="decimal"/>
      <w:pStyle w:val="3"/>
      <w:suff w:val="space"/>
      <w:lvlText w:val="%1."/>
      <w:lvlJc w:val="left"/>
      <w:pPr>
        <w:ind w:left="782" w:hanging="215"/>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
  </w:num>
  <w:num w:numId="2">
    <w:abstractNumId w:val="3"/>
  </w:num>
  <w:num w:numId="3">
    <w:abstractNumId w:val="3"/>
  </w:num>
  <w:num w:numId="4">
    <w:abstractNumId w:val="1"/>
  </w:num>
  <w:num w:numId="5">
    <w:abstractNumId w:val="2"/>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419"/>
    <w:rsid w:val="00000DDB"/>
    <w:rsid w:val="0000160F"/>
    <w:rsid w:val="0000183B"/>
    <w:rsid w:val="00001B7B"/>
    <w:rsid w:val="00001CDA"/>
    <w:rsid w:val="00002D78"/>
    <w:rsid w:val="00003740"/>
    <w:rsid w:val="00003B6E"/>
    <w:rsid w:val="00004B84"/>
    <w:rsid w:val="00005DB6"/>
    <w:rsid w:val="0000607A"/>
    <w:rsid w:val="00006435"/>
    <w:rsid w:val="00006480"/>
    <w:rsid w:val="00007A15"/>
    <w:rsid w:val="00007D93"/>
    <w:rsid w:val="000114BA"/>
    <w:rsid w:val="00014B20"/>
    <w:rsid w:val="0001698E"/>
    <w:rsid w:val="00017939"/>
    <w:rsid w:val="000179D4"/>
    <w:rsid w:val="00017A50"/>
    <w:rsid w:val="00025576"/>
    <w:rsid w:val="00026D91"/>
    <w:rsid w:val="00030262"/>
    <w:rsid w:val="00032ED4"/>
    <w:rsid w:val="00034AC0"/>
    <w:rsid w:val="000374E8"/>
    <w:rsid w:val="00045814"/>
    <w:rsid w:val="00045CF0"/>
    <w:rsid w:val="000460B7"/>
    <w:rsid w:val="00046D9A"/>
    <w:rsid w:val="00050431"/>
    <w:rsid w:val="000506DF"/>
    <w:rsid w:val="00050C00"/>
    <w:rsid w:val="0005276F"/>
    <w:rsid w:val="00052D02"/>
    <w:rsid w:val="000556B7"/>
    <w:rsid w:val="00056AC6"/>
    <w:rsid w:val="00056E07"/>
    <w:rsid w:val="00057849"/>
    <w:rsid w:val="00060742"/>
    <w:rsid w:val="0006150A"/>
    <w:rsid w:val="000633BA"/>
    <w:rsid w:val="00063C4B"/>
    <w:rsid w:val="00063EC5"/>
    <w:rsid w:val="000642A8"/>
    <w:rsid w:val="00066BF4"/>
    <w:rsid w:val="0007092A"/>
    <w:rsid w:val="00070A84"/>
    <w:rsid w:val="000743ED"/>
    <w:rsid w:val="00074872"/>
    <w:rsid w:val="00074C5B"/>
    <w:rsid w:val="00075CE9"/>
    <w:rsid w:val="00075EE1"/>
    <w:rsid w:val="00076AE1"/>
    <w:rsid w:val="000771D6"/>
    <w:rsid w:val="000810DA"/>
    <w:rsid w:val="00085353"/>
    <w:rsid w:val="00085A8E"/>
    <w:rsid w:val="000866A9"/>
    <w:rsid w:val="00086F10"/>
    <w:rsid w:val="000911E8"/>
    <w:rsid w:val="00091952"/>
    <w:rsid w:val="00095A3E"/>
    <w:rsid w:val="00097709"/>
    <w:rsid w:val="000A0300"/>
    <w:rsid w:val="000A43D6"/>
    <w:rsid w:val="000A495B"/>
    <w:rsid w:val="000A6C01"/>
    <w:rsid w:val="000A74C4"/>
    <w:rsid w:val="000A7AC7"/>
    <w:rsid w:val="000B05CF"/>
    <w:rsid w:val="000B342E"/>
    <w:rsid w:val="000B440C"/>
    <w:rsid w:val="000B592A"/>
    <w:rsid w:val="000B5F27"/>
    <w:rsid w:val="000B70DD"/>
    <w:rsid w:val="000B7603"/>
    <w:rsid w:val="000B761B"/>
    <w:rsid w:val="000B7F8D"/>
    <w:rsid w:val="000C2846"/>
    <w:rsid w:val="000C31E1"/>
    <w:rsid w:val="000C3DCB"/>
    <w:rsid w:val="000C4225"/>
    <w:rsid w:val="000C5D8D"/>
    <w:rsid w:val="000C783B"/>
    <w:rsid w:val="000D02D5"/>
    <w:rsid w:val="000D05E3"/>
    <w:rsid w:val="000D09E6"/>
    <w:rsid w:val="000D0D92"/>
    <w:rsid w:val="000D106A"/>
    <w:rsid w:val="000D20EF"/>
    <w:rsid w:val="000D2D51"/>
    <w:rsid w:val="000D4140"/>
    <w:rsid w:val="000D5589"/>
    <w:rsid w:val="000D6B78"/>
    <w:rsid w:val="000D7D71"/>
    <w:rsid w:val="000E01AE"/>
    <w:rsid w:val="000E2463"/>
    <w:rsid w:val="000E33ED"/>
    <w:rsid w:val="000E3C15"/>
    <w:rsid w:val="000E3CB8"/>
    <w:rsid w:val="000E40BB"/>
    <w:rsid w:val="000E510C"/>
    <w:rsid w:val="000E68DE"/>
    <w:rsid w:val="000E75C0"/>
    <w:rsid w:val="000F1701"/>
    <w:rsid w:val="000F36D6"/>
    <w:rsid w:val="000F39B6"/>
    <w:rsid w:val="000F3A17"/>
    <w:rsid w:val="000F4E79"/>
    <w:rsid w:val="000F50E9"/>
    <w:rsid w:val="00100D3B"/>
    <w:rsid w:val="00101EDA"/>
    <w:rsid w:val="00103EA9"/>
    <w:rsid w:val="0010706B"/>
    <w:rsid w:val="001101F3"/>
    <w:rsid w:val="00113A6A"/>
    <w:rsid w:val="00113E77"/>
    <w:rsid w:val="001149CC"/>
    <w:rsid w:val="00115C65"/>
    <w:rsid w:val="001167A5"/>
    <w:rsid w:val="00117477"/>
    <w:rsid w:val="00117A55"/>
    <w:rsid w:val="00122E4B"/>
    <w:rsid w:val="00123139"/>
    <w:rsid w:val="001236DD"/>
    <w:rsid w:val="001249BE"/>
    <w:rsid w:val="001258E7"/>
    <w:rsid w:val="0012618C"/>
    <w:rsid w:val="00130658"/>
    <w:rsid w:val="001319A2"/>
    <w:rsid w:val="00132373"/>
    <w:rsid w:val="001323ED"/>
    <w:rsid w:val="001348BA"/>
    <w:rsid w:val="00134F5C"/>
    <w:rsid w:val="001356EF"/>
    <w:rsid w:val="00136482"/>
    <w:rsid w:val="00140DA9"/>
    <w:rsid w:val="00140EB4"/>
    <w:rsid w:val="00141542"/>
    <w:rsid w:val="00141765"/>
    <w:rsid w:val="00142DCC"/>
    <w:rsid w:val="001435FA"/>
    <w:rsid w:val="00143696"/>
    <w:rsid w:val="00143AF5"/>
    <w:rsid w:val="00153987"/>
    <w:rsid w:val="0015669D"/>
    <w:rsid w:val="001613CA"/>
    <w:rsid w:val="00161A0E"/>
    <w:rsid w:val="00161A83"/>
    <w:rsid w:val="001654ED"/>
    <w:rsid w:val="00166B87"/>
    <w:rsid w:val="001717DD"/>
    <w:rsid w:val="00172642"/>
    <w:rsid w:val="001728D0"/>
    <w:rsid w:val="001770E7"/>
    <w:rsid w:val="00177688"/>
    <w:rsid w:val="00177700"/>
    <w:rsid w:val="00177C5F"/>
    <w:rsid w:val="00177ED0"/>
    <w:rsid w:val="00183E2B"/>
    <w:rsid w:val="00184E39"/>
    <w:rsid w:val="00184FAD"/>
    <w:rsid w:val="00185240"/>
    <w:rsid w:val="00185FBD"/>
    <w:rsid w:val="00190634"/>
    <w:rsid w:val="001915DC"/>
    <w:rsid w:val="001938CF"/>
    <w:rsid w:val="0019419E"/>
    <w:rsid w:val="00196618"/>
    <w:rsid w:val="00196802"/>
    <w:rsid w:val="001974B5"/>
    <w:rsid w:val="001A024C"/>
    <w:rsid w:val="001A1C54"/>
    <w:rsid w:val="001A2053"/>
    <w:rsid w:val="001A4DE2"/>
    <w:rsid w:val="001A637C"/>
    <w:rsid w:val="001A6C9F"/>
    <w:rsid w:val="001B0755"/>
    <w:rsid w:val="001B0997"/>
    <w:rsid w:val="001B1DDA"/>
    <w:rsid w:val="001B2D85"/>
    <w:rsid w:val="001B4947"/>
    <w:rsid w:val="001B4E62"/>
    <w:rsid w:val="001B6485"/>
    <w:rsid w:val="001B78B1"/>
    <w:rsid w:val="001C05D8"/>
    <w:rsid w:val="001C0A91"/>
    <w:rsid w:val="001C1A62"/>
    <w:rsid w:val="001C21CD"/>
    <w:rsid w:val="001C275E"/>
    <w:rsid w:val="001C2EFE"/>
    <w:rsid w:val="001C38CF"/>
    <w:rsid w:val="001C5A2E"/>
    <w:rsid w:val="001C7FE9"/>
    <w:rsid w:val="001D3D15"/>
    <w:rsid w:val="001D4210"/>
    <w:rsid w:val="001D5A5D"/>
    <w:rsid w:val="001E0179"/>
    <w:rsid w:val="001E201E"/>
    <w:rsid w:val="001E2F27"/>
    <w:rsid w:val="001E56C5"/>
    <w:rsid w:val="001F04E8"/>
    <w:rsid w:val="001F152D"/>
    <w:rsid w:val="001F3920"/>
    <w:rsid w:val="001F4A09"/>
    <w:rsid w:val="001F4E97"/>
    <w:rsid w:val="001F6A2B"/>
    <w:rsid w:val="001F745B"/>
    <w:rsid w:val="001F77B8"/>
    <w:rsid w:val="001F7FB5"/>
    <w:rsid w:val="002006BB"/>
    <w:rsid w:val="00201642"/>
    <w:rsid w:val="00201BA6"/>
    <w:rsid w:val="002037A2"/>
    <w:rsid w:val="002054C0"/>
    <w:rsid w:val="00210081"/>
    <w:rsid w:val="00213818"/>
    <w:rsid w:val="002142B6"/>
    <w:rsid w:val="00216B0F"/>
    <w:rsid w:val="00217A71"/>
    <w:rsid w:val="00217CBD"/>
    <w:rsid w:val="00224EE4"/>
    <w:rsid w:val="00224F8C"/>
    <w:rsid w:val="0022542E"/>
    <w:rsid w:val="00225CE7"/>
    <w:rsid w:val="00227AED"/>
    <w:rsid w:val="00230497"/>
    <w:rsid w:val="00230642"/>
    <w:rsid w:val="0023071A"/>
    <w:rsid w:val="0023271A"/>
    <w:rsid w:val="00235371"/>
    <w:rsid w:val="00235514"/>
    <w:rsid w:val="00240896"/>
    <w:rsid w:val="00251624"/>
    <w:rsid w:val="00251CD3"/>
    <w:rsid w:val="002534D2"/>
    <w:rsid w:val="00257AD5"/>
    <w:rsid w:val="00257B7F"/>
    <w:rsid w:val="002604AF"/>
    <w:rsid w:val="00263C6E"/>
    <w:rsid w:val="002663F8"/>
    <w:rsid w:val="00267AAC"/>
    <w:rsid w:val="0027044E"/>
    <w:rsid w:val="002705AA"/>
    <w:rsid w:val="00272765"/>
    <w:rsid w:val="00277037"/>
    <w:rsid w:val="00280615"/>
    <w:rsid w:val="00282462"/>
    <w:rsid w:val="00283E21"/>
    <w:rsid w:val="002840DC"/>
    <w:rsid w:val="00284E3A"/>
    <w:rsid w:val="002871B9"/>
    <w:rsid w:val="002903A0"/>
    <w:rsid w:val="00293634"/>
    <w:rsid w:val="00293A26"/>
    <w:rsid w:val="002A09CD"/>
    <w:rsid w:val="002A14B3"/>
    <w:rsid w:val="002A242A"/>
    <w:rsid w:val="002A38C3"/>
    <w:rsid w:val="002A5A77"/>
    <w:rsid w:val="002A5F05"/>
    <w:rsid w:val="002A6BA8"/>
    <w:rsid w:val="002A6CFC"/>
    <w:rsid w:val="002A7A47"/>
    <w:rsid w:val="002A7D45"/>
    <w:rsid w:val="002B0E9A"/>
    <w:rsid w:val="002B0F92"/>
    <w:rsid w:val="002B26D4"/>
    <w:rsid w:val="002B3788"/>
    <w:rsid w:val="002B4AFE"/>
    <w:rsid w:val="002B4B18"/>
    <w:rsid w:val="002B5D3D"/>
    <w:rsid w:val="002C304B"/>
    <w:rsid w:val="002C4B13"/>
    <w:rsid w:val="002C4E63"/>
    <w:rsid w:val="002C5F9C"/>
    <w:rsid w:val="002C7109"/>
    <w:rsid w:val="002C7626"/>
    <w:rsid w:val="002C772A"/>
    <w:rsid w:val="002C7D58"/>
    <w:rsid w:val="002D21F5"/>
    <w:rsid w:val="002D5599"/>
    <w:rsid w:val="002D5CED"/>
    <w:rsid w:val="002D7509"/>
    <w:rsid w:val="002E04D1"/>
    <w:rsid w:val="002E4190"/>
    <w:rsid w:val="002E46F4"/>
    <w:rsid w:val="002F1662"/>
    <w:rsid w:val="002F16D9"/>
    <w:rsid w:val="002F20C7"/>
    <w:rsid w:val="002F2FA9"/>
    <w:rsid w:val="002F4C46"/>
    <w:rsid w:val="002F5093"/>
    <w:rsid w:val="002F54C1"/>
    <w:rsid w:val="002F790C"/>
    <w:rsid w:val="003002A5"/>
    <w:rsid w:val="0030212C"/>
    <w:rsid w:val="003025B5"/>
    <w:rsid w:val="003029B3"/>
    <w:rsid w:val="00303DBF"/>
    <w:rsid w:val="003040A2"/>
    <w:rsid w:val="00305F10"/>
    <w:rsid w:val="003071D9"/>
    <w:rsid w:val="00311D27"/>
    <w:rsid w:val="003124C1"/>
    <w:rsid w:val="0031306E"/>
    <w:rsid w:val="00314699"/>
    <w:rsid w:val="003148D2"/>
    <w:rsid w:val="00314C24"/>
    <w:rsid w:val="00314F8E"/>
    <w:rsid w:val="00315C3C"/>
    <w:rsid w:val="00316678"/>
    <w:rsid w:val="003172AF"/>
    <w:rsid w:val="00317639"/>
    <w:rsid w:val="00317696"/>
    <w:rsid w:val="00323297"/>
    <w:rsid w:val="00323409"/>
    <w:rsid w:val="00324C2E"/>
    <w:rsid w:val="003267C3"/>
    <w:rsid w:val="00330547"/>
    <w:rsid w:val="003314F0"/>
    <w:rsid w:val="0033203C"/>
    <w:rsid w:val="003321E4"/>
    <w:rsid w:val="00333931"/>
    <w:rsid w:val="00333DD7"/>
    <w:rsid w:val="00334888"/>
    <w:rsid w:val="00335FDE"/>
    <w:rsid w:val="003370FE"/>
    <w:rsid w:val="00342351"/>
    <w:rsid w:val="00343257"/>
    <w:rsid w:val="003439D3"/>
    <w:rsid w:val="00343F87"/>
    <w:rsid w:val="00344B89"/>
    <w:rsid w:val="003452A8"/>
    <w:rsid w:val="0034542A"/>
    <w:rsid w:val="0034600A"/>
    <w:rsid w:val="00346FDD"/>
    <w:rsid w:val="0034741F"/>
    <w:rsid w:val="003500AF"/>
    <w:rsid w:val="00350B32"/>
    <w:rsid w:val="00350C9B"/>
    <w:rsid w:val="003544E1"/>
    <w:rsid w:val="00354CFD"/>
    <w:rsid w:val="003552EA"/>
    <w:rsid w:val="00355567"/>
    <w:rsid w:val="00360639"/>
    <w:rsid w:val="00362253"/>
    <w:rsid w:val="003630E6"/>
    <w:rsid w:val="003641B2"/>
    <w:rsid w:val="003644F1"/>
    <w:rsid w:val="00364B44"/>
    <w:rsid w:val="003672CF"/>
    <w:rsid w:val="003707E8"/>
    <w:rsid w:val="00370857"/>
    <w:rsid w:val="00372278"/>
    <w:rsid w:val="0037264A"/>
    <w:rsid w:val="0037267D"/>
    <w:rsid w:val="00374823"/>
    <w:rsid w:val="0037490B"/>
    <w:rsid w:val="00374C56"/>
    <w:rsid w:val="003750B2"/>
    <w:rsid w:val="00375B88"/>
    <w:rsid w:val="00376436"/>
    <w:rsid w:val="00376C75"/>
    <w:rsid w:val="00382E3E"/>
    <w:rsid w:val="003834DF"/>
    <w:rsid w:val="003835FA"/>
    <w:rsid w:val="00384253"/>
    <w:rsid w:val="0038499A"/>
    <w:rsid w:val="00384A70"/>
    <w:rsid w:val="0038504B"/>
    <w:rsid w:val="003864B6"/>
    <w:rsid w:val="00386743"/>
    <w:rsid w:val="0039295A"/>
    <w:rsid w:val="00393A73"/>
    <w:rsid w:val="003948E0"/>
    <w:rsid w:val="00394B20"/>
    <w:rsid w:val="003960E6"/>
    <w:rsid w:val="003965A8"/>
    <w:rsid w:val="003A0D54"/>
    <w:rsid w:val="003A3B3E"/>
    <w:rsid w:val="003A4E5E"/>
    <w:rsid w:val="003A6D72"/>
    <w:rsid w:val="003A7757"/>
    <w:rsid w:val="003B15C7"/>
    <w:rsid w:val="003B1B69"/>
    <w:rsid w:val="003B33D6"/>
    <w:rsid w:val="003B35ED"/>
    <w:rsid w:val="003B4C87"/>
    <w:rsid w:val="003B588A"/>
    <w:rsid w:val="003B5EBF"/>
    <w:rsid w:val="003B6A8C"/>
    <w:rsid w:val="003B7425"/>
    <w:rsid w:val="003C05EF"/>
    <w:rsid w:val="003C30A4"/>
    <w:rsid w:val="003C3AF2"/>
    <w:rsid w:val="003C50F5"/>
    <w:rsid w:val="003C5205"/>
    <w:rsid w:val="003D03DF"/>
    <w:rsid w:val="003D16FE"/>
    <w:rsid w:val="003D17C1"/>
    <w:rsid w:val="003D2680"/>
    <w:rsid w:val="003D31D3"/>
    <w:rsid w:val="003D5429"/>
    <w:rsid w:val="003D657E"/>
    <w:rsid w:val="003E0D2C"/>
    <w:rsid w:val="003E1D03"/>
    <w:rsid w:val="003E1D97"/>
    <w:rsid w:val="003E24BB"/>
    <w:rsid w:val="003E2B69"/>
    <w:rsid w:val="003E61C0"/>
    <w:rsid w:val="003E62FC"/>
    <w:rsid w:val="003F3697"/>
    <w:rsid w:val="003F3ED2"/>
    <w:rsid w:val="003F41BD"/>
    <w:rsid w:val="003F4E36"/>
    <w:rsid w:val="003F6108"/>
    <w:rsid w:val="003F6706"/>
    <w:rsid w:val="00401B30"/>
    <w:rsid w:val="00402275"/>
    <w:rsid w:val="00402B1D"/>
    <w:rsid w:val="00407E29"/>
    <w:rsid w:val="0041033F"/>
    <w:rsid w:val="0041108C"/>
    <w:rsid w:val="00411992"/>
    <w:rsid w:val="00411D1C"/>
    <w:rsid w:val="00412434"/>
    <w:rsid w:val="0041265E"/>
    <w:rsid w:val="00412C11"/>
    <w:rsid w:val="00413AAC"/>
    <w:rsid w:val="00413B3E"/>
    <w:rsid w:val="00414049"/>
    <w:rsid w:val="00414606"/>
    <w:rsid w:val="004153EA"/>
    <w:rsid w:val="004166A2"/>
    <w:rsid w:val="00416AFE"/>
    <w:rsid w:val="00416E8C"/>
    <w:rsid w:val="00423236"/>
    <w:rsid w:val="00424F71"/>
    <w:rsid w:val="00426272"/>
    <w:rsid w:val="004269EA"/>
    <w:rsid w:val="00426F17"/>
    <w:rsid w:val="00427D28"/>
    <w:rsid w:val="00433813"/>
    <w:rsid w:val="00434334"/>
    <w:rsid w:val="00435874"/>
    <w:rsid w:val="0043661C"/>
    <w:rsid w:val="00436888"/>
    <w:rsid w:val="00441454"/>
    <w:rsid w:val="004419F4"/>
    <w:rsid w:val="004434C1"/>
    <w:rsid w:val="00447B7E"/>
    <w:rsid w:val="00450382"/>
    <w:rsid w:val="004526BA"/>
    <w:rsid w:val="0045331E"/>
    <w:rsid w:val="004533CA"/>
    <w:rsid w:val="004534B1"/>
    <w:rsid w:val="0045751A"/>
    <w:rsid w:val="00457F8A"/>
    <w:rsid w:val="00460ABB"/>
    <w:rsid w:val="00462244"/>
    <w:rsid w:val="004627E4"/>
    <w:rsid w:val="00464059"/>
    <w:rsid w:val="004644E8"/>
    <w:rsid w:val="00465820"/>
    <w:rsid w:val="004729D9"/>
    <w:rsid w:val="00473B83"/>
    <w:rsid w:val="00475C83"/>
    <w:rsid w:val="004761F2"/>
    <w:rsid w:val="00477837"/>
    <w:rsid w:val="004811AA"/>
    <w:rsid w:val="00481654"/>
    <w:rsid w:val="00485730"/>
    <w:rsid w:val="00486080"/>
    <w:rsid w:val="00486128"/>
    <w:rsid w:val="00486707"/>
    <w:rsid w:val="00486DFA"/>
    <w:rsid w:val="00490379"/>
    <w:rsid w:val="004909F7"/>
    <w:rsid w:val="00490CBA"/>
    <w:rsid w:val="00491135"/>
    <w:rsid w:val="00492598"/>
    <w:rsid w:val="004939A4"/>
    <w:rsid w:val="00494489"/>
    <w:rsid w:val="004947B8"/>
    <w:rsid w:val="004949C2"/>
    <w:rsid w:val="0049600E"/>
    <w:rsid w:val="004963B9"/>
    <w:rsid w:val="004A36A6"/>
    <w:rsid w:val="004A47A6"/>
    <w:rsid w:val="004A55CD"/>
    <w:rsid w:val="004A57CF"/>
    <w:rsid w:val="004A5B4B"/>
    <w:rsid w:val="004A701E"/>
    <w:rsid w:val="004A7099"/>
    <w:rsid w:val="004B0DE8"/>
    <w:rsid w:val="004B3294"/>
    <w:rsid w:val="004B4AFC"/>
    <w:rsid w:val="004B631B"/>
    <w:rsid w:val="004C08CC"/>
    <w:rsid w:val="004C2C14"/>
    <w:rsid w:val="004C2FC0"/>
    <w:rsid w:val="004C343F"/>
    <w:rsid w:val="004C376D"/>
    <w:rsid w:val="004C499C"/>
    <w:rsid w:val="004C4A31"/>
    <w:rsid w:val="004C6951"/>
    <w:rsid w:val="004D0615"/>
    <w:rsid w:val="004D16C5"/>
    <w:rsid w:val="004D427B"/>
    <w:rsid w:val="004D5E2E"/>
    <w:rsid w:val="004D6DC5"/>
    <w:rsid w:val="004D7F88"/>
    <w:rsid w:val="004E14BE"/>
    <w:rsid w:val="004E3C57"/>
    <w:rsid w:val="004E4910"/>
    <w:rsid w:val="004E67B8"/>
    <w:rsid w:val="004E6AF9"/>
    <w:rsid w:val="004F1450"/>
    <w:rsid w:val="004F2DE7"/>
    <w:rsid w:val="004F31BC"/>
    <w:rsid w:val="004F3FB0"/>
    <w:rsid w:val="004F499F"/>
    <w:rsid w:val="004F60BA"/>
    <w:rsid w:val="004F6B42"/>
    <w:rsid w:val="004F7979"/>
    <w:rsid w:val="005003EC"/>
    <w:rsid w:val="005024FC"/>
    <w:rsid w:val="00505186"/>
    <w:rsid w:val="00505E3F"/>
    <w:rsid w:val="0050623E"/>
    <w:rsid w:val="00506663"/>
    <w:rsid w:val="00506911"/>
    <w:rsid w:val="00507F96"/>
    <w:rsid w:val="0051005C"/>
    <w:rsid w:val="00510158"/>
    <w:rsid w:val="005109A0"/>
    <w:rsid w:val="005126A2"/>
    <w:rsid w:val="00513168"/>
    <w:rsid w:val="00517326"/>
    <w:rsid w:val="00521252"/>
    <w:rsid w:val="00521493"/>
    <w:rsid w:val="00523341"/>
    <w:rsid w:val="00523AF4"/>
    <w:rsid w:val="00523EB1"/>
    <w:rsid w:val="0052642D"/>
    <w:rsid w:val="00527241"/>
    <w:rsid w:val="00530391"/>
    <w:rsid w:val="00531C5D"/>
    <w:rsid w:val="00532B9E"/>
    <w:rsid w:val="00537EA9"/>
    <w:rsid w:val="0054078B"/>
    <w:rsid w:val="005408B3"/>
    <w:rsid w:val="00545022"/>
    <w:rsid w:val="005461E3"/>
    <w:rsid w:val="00546415"/>
    <w:rsid w:val="00546A78"/>
    <w:rsid w:val="00546C61"/>
    <w:rsid w:val="005559FA"/>
    <w:rsid w:val="00557D10"/>
    <w:rsid w:val="00560710"/>
    <w:rsid w:val="005616D4"/>
    <w:rsid w:val="00561D01"/>
    <w:rsid w:val="00561D25"/>
    <w:rsid w:val="005627A3"/>
    <w:rsid w:val="00562C3B"/>
    <w:rsid w:val="005633D3"/>
    <w:rsid w:val="005637CF"/>
    <w:rsid w:val="0056443C"/>
    <w:rsid w:val="00564B5A"/>
    <w:rsid w:val="00564E50"/>
    <w:rsid w:val="00567B05"/>
    <w:rsid w:val="00570D06"/>
    <w:rsid w:val="00571212"/>
    <w:rsid w:val="00571AB3"/>
    <w:rsid w:val="005730CF"/>
    <w:rsid w:val="00573DAD"/>
    <w:rsid w:val="00576EDB"/>
    <w:rsid w:val="00580A33"/>
    <w:rsid w:val="00580F0D"/>
    <w:rsid w:val="005838B1"/>
    <w:rsid w:val="00583D61"/>
    <w:rsid w:val="00584AD6"/>
    <w:rsid w:val="00584AE1"/>
    <w:rsid w:val="00585493"/>
    <w:rsid w:val="00585BD9"/>
    <w:rsid w:val="00585D74"/>
    <w:rsid w:val="00586625"/>
    <w:rsid w:val="00590882"/>
    <w:rsid w:val="00590C6F"/>
    <w:rsid w:val="00591CDD"/>
    <w:rsid w:val="00591D39"/>
    <w:rsid w:val="005932FB"/>
    <w:rsid w:val="005936C7"/>
    <w:rsid w:val="00594248"/>
    <w:rsid w:val="00594D04"/>
    <w:rsid w:val="005A3E54"/>
    <w:rsid w:val="005A4942"/>
    <w:rsid w:val="005A57D6"/>
    <w:rsid w:val="005A5C8A"/>
    <w:rsid w:val="005A7095"/>
    <w:rsid w:val="005B36C2"/>
    <w:rsid w:val="005B6415"/>
    <w:rsid w:val="005B6C62"/>
    <w:rsid w:val="005B7819"/>
    <w:rsid w:val="005C03D8"/>
    <w:rsid w:val="005C2647"/>
    <w:rsid w:val="005C35EE"/>
    <w:rsid w:val="005C5B67"/>
    <w:rsid w:val="005C616B"/>
    <w:rsid w:val="005C6C6C"/>
    <w:rsid w:val="005C7D97"/>
    <w:rsid w:val="005D00ED"/>
    <w:rsid w:val="005D23AB"/>
    <w:rsid w:val="005D3F32"/>
    <w:rsid w:val="005D51B7"/>
    <w:rsid w:val="005D7221"/>
    <w:rsid w:val="005D7BB4"/>
    <w:rsid w:val="005E0B7E"/>
    <w:rsid w:val="005E0F8D"/>
    <w:rsid w:val="005E278A"/>
    <w:rsid w:val="005E3A05"/>
    <w:rsid w:val="005E3B83"/>
    <w:rsid w:val="005E4929"/>
    <w:rsid w:val="005E61F4"/>
    <w:rsid w:val="005E72F8"/>
    <w:rsid w:val="005F17DF"/>
    <w:rsid w:val="005F25BC"/>
    <w:rsid w:val="005F35C0"/>
    <w:rsid w:val="005F4004"/>
    <w:rsid w:val="005F7F69"/>
    <w:rsid w:val="00600183"/>
    <w:rsid w:val="00601A67"/>
    <w:rsid w:val="00601D99"/>
    <w:rsid w:val="00604C5D"/>
    <w:rsid w:val="006058B9"/>
    <w:rsid w:val="00606A0E"/>
    <w:rsid w:val="00607ADD"/>
    <w:rsid w:val="00607F96"/>
    <w:rsid w:val="00610994"/>
    <w:rsid w:val="0061139F"/>
    <w:rsid w:val="006135AE"/>
    <w:rsid w:val="00613782"/>
    <w:rsid w:val="006150AC"/>
    <w:rsid w:val="0062064D"/>
    <w:rsid w:val="00620BFC"/>
    <w:rsid w:val="0062485B"/>
    <w:rsid w:val="00627F30"/>
    <w:rsid w:val="00632277"/>
    <w:rsid w:val="0063644B"/>
    <w:rsid w:val="00637780"/>
    <w:rsid w:val="00637B0C"/>
    <w:rsid w:val="00637E63"/>
    <w:rsid w:val="0064041C"/>
    <w:rsid w:val="00640F22"/>
    <w:rsid w:val="00645B70"/>
    <w:rsid w:val="006461EB"/>
    <w:rsid w:val="006512AF"/>
    <w:rsid w:val="006528CE"/>
    <w:rsid w:val="00653F31"/>
    <w:rsid w:val="00654700"/>
    <w:rsid w:val="00662616"/>
    <w:rsid w:val="0066347A"/>
    <w:rsid w:val="00663873"/>
    <w:rsid w:val="00663BF6"/>
    <w:rsid w:val="00663D5B"/>
    <w:rsid w:val="00663F1A"/>
    <w:rsid w:val="006641A2"/>
    <w:rsid w:val="00664E6A"/>
    <w:rsid w:val="006651C5"/>
    <w:rsid w:val="0066595B"/>
    <w:rsid w:val="00667845"/>
    <w:rsid w:val="00667887"/>
    <w:rsid w:val="00667899"/>
    <w:rsid w:val="00667E72"/>
    <w:rsid w:val="006709AE"/>
    <w:rsid w:val="006713C8"/>
    <w:rsid w:val="00671D75"/>
    <w:rsid w:val="0067209F"/>
    <w:rsid w:val="00673BAA"/>
    <w:rsid w:val="00673F37"/>
    <w:rsid w:val="00674551"/>
    <w:rsid w:val="006754F5"/>
    <w:rsid w:val="0067789A"/>
    <w:rsid w:val="00682DA0"/>
    <w:rsid w:val="006839E7"/>
    <w:rsid w:val="006847DC"/>
    <w:rsid w:val="006849DF"/>
    <w:rsid w:val="00690C2C"/>
    <w:rsid w:val="006918D9"/>
    <w:rsid w:val="00692502"/>
    <w:rsid w:val="00693BE1"/>
    <w:rsid w:val="006950AB"/>
    <w:rsid w:val="00697DFF"/>
    <w:rsid w:val="00697E42"/>
    <w:rsid w:val="006A05FC"/>
    <w:rsid w:val="006A0861"/>
    <w:rsid w:val="006A18E3"/>
    <w:rsid w:val="006A2ACE"/>
    <w:rsid w:val="006A2D13"/>
    <w:rsid w:val="006A3714"/>
    <w:rsid w:val="006A60BF"/>
    <w:rsid w:val="006A6731"/>
    <w:rsid w:val="006B39EE"/>
    <w:rsid w:val="006B6991"/>
    <w:rsid w:val="006B70DE"/>
    <w:rsid w:val="006C00D3"/>
    <w:rsid w:val="006C06CE"/>
    <w:rsid w:val="006C18D5"/>
    <w:rsid w:val="006C447C"/>
    <w:rsid w:val="006C45F5"/>
    <w:rsid w:val="006C5848"/>
    <w:rsid w:val="006D0BF0"/>
    <w:rsid w:val="006D14B0"/>
    <w:rsid w:val="006D6AC7"/>
    <w:rsid w:val="006E159C"/>
    <w:rsid w:val="006E1CB5"/>
    <w:rsid w:val="006E4E90"/>
    <w:rsid w:val="006E61C2"/>
    <w:rsid w:val="006E7F34"/>
    <w:rsid w:val="006F1ACD"/>
    <w:rsid w:val="006F1BB4"/>
    <w:rsid w:val="006F1C24"/>
    <w:rsid w:val="006F6461"/>
    <w:rsid w:val="006F6F17"/>
    <w:rsid w:val="00700152"/>
    <w:rsid w:val="00702621"/>
    <w:rsid w:val="00703BC2"/>
    <w:rsid w:val="00704074"/>
    <w:rsid w:val="0070495E"/>
    <w:rsid w:val="0070662F"/>
    <w:rsid w:val="007067BB"/>
    <w:rsid w:val="00706BDB"/>
    <w:rsid w:val="00706BEA"/>
    <w:rsid w:val="00706DD8"/>
    <w:rsid w:val="00707AFE"/>
    <w:rsid w:val="00707BA1"/>
    <w:rsid w:val="00710681"/>
    <w:rsid w:val="00715A2D"/>
    <w:rsid w:val="00715CD1"/>
    <w:rsid w:val="007164E7"/>
    <w:rsid w:val="00716950"/>
    <w:rsid w:val="00717267"/>
    <w:rsid w:val="00717ABB"/>
    <w:rsid w:val="00717D07"/>
    <w:rsid w:val="00721E35"/>
    <w:rsid w:val="00723B39"/>
    <w:rsid w:val="007255F3"/>
    <w:rsid w:val="00725B86"/>
    <w:rsid w:val="00725BAF"/>
    <w:rsid w:val="007261A2"/>
    <w:rsid w:val="00726EFC"/>
    <w:rsid w:val="0073046D"/>
    <w:rsid w:val="007306FB"/>
    <w:rsid w:val="007406BB"/>
    <w:rsid w:val="00740D4F"/>
    <w:rsid w:val="00743AF0"/>
    <w:rsid w:val="00744332"/>
    <w:rsid w:val="00744ADE"/>
    <w:rsid w:val="00745C4B"/>
    <w:rsid w:val="007462AF"/>
    <w:rsid w:val="007464A4"/>
    <w:rsid w:val="00747B9C"/>
    <w:rsid w:val="0075195A"/>
    <w:rsid w:val="00751AB3"/>
    <w:rsid w:val="00751BA5"/>
    <w:rsid w:val="00751C7D"/>
    <w:rsid w:val="00753170"/>
    <w:rsid w:val="007532A7"/>
    <w:rsid w:val="007609BE"/>
    <w:rsid w:val="00760AD4"/>
    <w:rsid w:val="007611FD"/>
    <w:rsid w:val="00764D4A"/>
    <w:rsid w:val="0076510B"/>
    <w:rsid w:val="00767EF9"/>
    <w:rsid w:val="0077115C"/>
    <w:rsid w:val="007748F7"/>
    <w:rsid w:val="0078185A"/>
    <w:rsid w:val="007833DF"/>
    <w:rsid w:val="00784678"/>
    <w:rsid w:val="00784BC8"/>
    <w:rsid w:val="00784C23"/>
    <w:rsid w:val="00785D5A"/>
    <w:rsid w:val="00786462"/>
    <w:rsid w:val="00787124"/>
    <w:rsid w:val="00787DC8"/>
    <w:rsid w:val="00790481"/>
    <w:rsid w:val="00790A24"/>
    <w:rsid w:val="00790A8F"/>
    <w:rsid w:val="00791D1E"/>
    <w:rsid w:val="00792DB4"/>
    <w:rsid w:val="0079309C"/>
    <w:rsid w:val="00793B63"/>
    <w:rsid w:val="00795153"/>
    <w:rsid w:val="00795453"/>
    <w:rsid w:val="007A0F62"/>
    <w:rsid w:val="007A1918"/>
    <w:rsid w:val="007A1C10"/>
    <w:rsid w:val="007A3974"/>
    <w:rsid w:val="007A3EE3"/>
    <w:rsid w:val="007A48E0"/>
    <w:rsid w:val="007A4CB2"/>
    <w:rsid w:val="007A6A84"/>
    <w:rsid w:val="007B0B93"/>
    <w:rsid w:val="007B0C2B"/>
    <w:rsid w:val="007B0C3B"/>
    <w:rsid w:val="007B167B"/>
    <w:rsid w:val="007B1ED3"/>
    <w:rsid w:val="007B2A65"/>
    <w:rsid w:val="007B36F0"/>
    <w:rsid w:val="007B4430"/>
    <w:rsid w:val="007B6E4A"/>
    <w:rsid w:val="007B7725"/>
    <w:rsid w:val="007C1741"/>
    <w:rsid w:val="007C1FD0"/>
    <w:rsid w:val="007C2220"/>
    <w:rsid w:val="007C23D8"/>
    <w:rsid w:val="007C3694"/>
    <w:rsid w:val="007C36B3"/>
    <w:rsid w:val="007C58A9"/>
    <w:rsid w:val="007C66EC"/>
    <w:rsid w:val="007C7CFD"/>
    <w:rsid w:val="007D0ACC"/>
    <w:rsid w:val="007D3E8B"/>
    <w:rsid w:val="007E13EA"/>
    <w:rsid w:val="007E56D2"/>
    <w:rsid w:val="007E5CFC"/>
    <w:rsid w:val="007E7F9B"/>
    <w:rsid w:val="007F282F"/>
    <w:rsid w:val="007F3C6E"/>
    <w:rsid w:val="007F41AD"/>
    <w:rsid w:val="007F5FA0"/>
    <w:rsid w:val="007F605C"/>
    <w:rsid w:val="007F63CD"/>
    <w:rsid w:val="00800721"/>
    <w:rsid w:val="00800B72"/>
    <w:rsid w:val="00800CB5"/>
    <w:rsid w:val="00801A43"/>
    <w:rsid w:val="008040E6"/>
    <w:rsid w:val="00810D4E"/>
    <w:rsid w:val="00810FE7"/>
    <w:rsid w:val="00811055"/>
    <w:rsid w:val="00811561"/>
    <w:rsid w:val="008120EE"/>
    <w:rsid w:val="00812AE1"/>
    <w:rsid w:val="00813BE8"/>
    <w:rsid w:val="0081436F"/>
    <w:rsid w:val="008146D3"/>
    <w:rsid w:val="00814811"/>
    <w:rsid w:val="008169C3"/>
    <w:rsid w:val="00816BDF"/>
    <w:rsid w:val="00820298"/>
    <w:rsid w:val="00820628"/>
    <w:rsid w:val="008208F8"/>
    <w:rsid w:val="00820A23"/>
    <w:rsid w:val="00820BDC"/>
    <w:rsid w:val="00822759"/>
    <w:rsid w:val="00823175"/>
    <w:rsid w:val="00825225"/>
    <w:rsid w:val="00826201"/>
    <w:rsid w:val="0082760E"/>
    <w:rsid w:val="00827729"/>
    <w:rsid w:val="0082773B"/>
    <w:rsid w:val="00830D4E"/>
    <w:rsid w:val="00831387"/>
    <w:rsid w:val="008317D4"/>
    <w:rsid w:val="0083427C"/>
    <w:rsid w:val="008347BA"/>
    <w:rsid w:val="00835C71"/>
    <w:rsid w:val="00835C85"/>
    <w:rsid w:val="00836F9E"/>
    <w:rsid w:val="008401B3"/>
    <w:rsid w:val="00840B1F"/>
    <w:rsid w:val="00841185"/>
    <w:rsid w:val="00843779"/>
    <w:rsid w:val="00843F49"/>
    <w:rsid w:val="00845857"/>
    <w:rsid w:val="00845910"/>
    <w:rsid w:val="00845AD5"/>
    <w:rsid w:val="00847BBA"/>
    <w:rsid w:val="008504EF"/>
    <w:rsid w:val="00850C4B"/>
    <w:rsid w:val="00851986"/>
    <w:rsid w:val="00851C5E"/>
    <w:rsid w:val="00852DA2"/>
    <w:rsid w:val="00852FE5"/>
    <w:rsid w:val="008533A9"/>
    <w:rsid w:val="00854CE1"/>
    <w:rsid w:val="00855D05"/>
    <w:rsid w:val="00857280"/>
    <w:rsid w:val="008647E7"/>
    <w:rsid w:val="00864EC9"/>
    <w:rsid w:val="00865317"/>
    <w:rsid w:val="008657AE"/>
    <w:rsid w:val="00866A57"/>
    <w:rsid w:val="0086742F"/>
    <w:rsid w:val="008709D0"/>
    <w:rsid w:val="008723D2"/>
    <w:rsid w:val="00872A08"/>
    <w:rsid w:val="00872AA7"/>
    <w:rsid w:val="0087313D"/>
    <w:rsid w:val="00881EA1"/>
    <w:rsid w:val="00881F85"/>
    <w:rsid w:val="00882A18"/>
    <w:rsid w:val="008840EB"/>
    <w:rsid w:val="00885553"/>
    <w:rsid w:val="00885A40"/>
    <w:rsid w:val="00886C41"/>
    <w:rsid w:val="0088705D"/>
    <w:rsid w:val="00887705"/>
    <w:rsid w:val="008902AE"/>
    <w:rsid w:val="00891781"/>
    <w:rsid w:val="00892693"/>
    <w:rsid w:val="00894449"/>
    <w:rsid w:val="008953B3"/>
    <w:rsid w:val="008956D5"/>
    <w:rsid w:val="00895E7F"/>
    <w:rsid w:val="0089661A"/>
    <w:rsid w:val="00896D44"/>
    <w:rsid w:val="0089746D"/>
    <w:rsid w:val="0089774B"/>
    <w:rsid w:val="008977AF"/>
    <w:rsid w:val="008A1D70"/>
    <w:rsid w:val="008A2347"/>
    <w:rsid w:val="008A31F7"/>
    <w:rsid w:val="008A3AAD"/>
    <w:rsid w:val="008A3DDB"/>
    <w:rsid w:val="008A3ED4"/>
    <w:rsid w:val="008A43AB"/>
    <w:rsid w:val="008A4F48"/>
    <w:rsid w:val="008B0F04"/>
    <w:rsid w:val="008B1A2E"/>
    <w:rsid w:val="008B2040"/>
    <w:rsid w:val="008B3B89"/>
    <w:rsid w:val="008B438D"/>
    <w:rsid w:val="008B4A57"/>
    <w:rsid w:val="008B69DA"/>
    <w:rsid w:val="008B7022"/>
    <w:rsid w:val="008B7909"/>
    <w:rsid w:val="008C2893"/>
    <w:rsid w:val="008C56AF"/>
    <w:rsid w:val="008C7EA9"/>
    <w:rsid w:val="008D00DB"/>
    <w:rsid w:val="008D018D"/>
    <w:rsid w:val="008D1290"/>
    <w:rsid w:val="008D608A"/>
    <w:rsid w:val="008D667E"/>
    <w:rsid w:val="008D687F"/>
    <w:rsid w:val="008E1F6C"/>
    <w:rsid w:val="008E2460"/>
    <w:rsid w:val="008E2744"/>
    <w:rsid w:val="008E413D"/>
    <w:rsid w:val="008E4520"/>
    <w:rsid w:val="008E4557"/>
    <w:rsid w:val="008E50D1"/>
    <w:rsid w:val="008E5BBA"/>
    <w:rsid w:val="008E63AB"/>
    <w:rsid w:val="008F3804"/>
    <w:rsid w:val="008F5FD3"/>
    <w:rsid w:val="008F6FC8"/>
    <w:rsid w:val="00901E9E"/>
    <w:rsid w:val="009030E5"/>
    <w:rsid w:val="00904B79"/>
    <w:rsid w:val="00905D2D"/>
    <w:rsid w:val="00905D78"/>
    <w:rsid w:val="009066F3"/>
    <w:rsid w:val="00907D54"/>
    <w:rsid w:val="00907E84"/>
    <w:rsid w:val="00911584"/>
    <w:rsid w:val="00913BD4"/>
    <w:rsid w:val="00914597"/>
    <w:rsid w:val="009160D4"/>
    <w:rsid w:val="009212F7"/>
    <w:rsid w:val="00921544"/>
    <w:rsid w:val="0092225F"/>
    <w:rsid w:val="00922CA6"/>
    <w:rsid w:val="00922E65"/>
    <w:rsid w:val="009251CC"/>
    <w:rsid w:val="0092538B"/>
    <w:rsid w:val="00927B25"/>
    <w:rsid w:val="00927C32"/>
    <w:rsid w:val="00927DBE"/>
    <w:rsid w:val="00927FDE"/>
    <w:rsid w:val="009307DF"/>
    <w:rsid w:val="00930BEA"/>
    <w:rsid w:val="00931654"/>
    <w:rsid w:val="00931C28"/>
    <w:rsid w:val="009323E6"/>
    <w:rsid w:val="0093310C"/>
    <w:rsid w:val="0093396F"/>
    <w:rsid w:val="0093526B"/>
    <w:rsid w:val="009404A6"/>
    <w:rsid w:val="00941FEB"/>
    <w:rsid w:val="00942B43"/>
    <w:rsid w:val="00943532"/>
    <w:rsid w:val="00943D92"/>
    <w:rsid w:val="009502BD"/>
    <w:rsid w:val="00952D5F"/>
    <w:rsid w:val="00954367"/>
    <w:rsid w:val="00954682"/>
    <w:rsid w:val="0095687B"/>
    <w:rsid w:val="00957E1D"/>
    <w:rsid w:val="0096138C"/>
    <w:rsid w:val="00963454"/>
    <w:rsid w:val="0096345A"/>
    <w:rsid w:val="009634B1"/>
    <w:rsid w:val="0096696F"/>
    <w:rsid w:val="00967083"/>
    <w:rsid w:val="0097261C"/>
    <w:rsid w:val="009728A4"/>
    <w:rsid w:val="0097323E"/>
    <w:rsid w:val="00973E59"/>
    <w:rsid w:val="0097444C"/>
    <w:rsid w:val="009758E8"/>
    <w:rsid w:val="009763A6"/>
    <w:rsid w:val="00976515"/>
    <w:rsid w:val="00976572"/>
    <w:rsid w:val="00977382"/>
    <w:rsid w:val="009808CF"/>
    <w:rsid w:val="009810EF"/>
    <w:rsid w:val="00981788"/>
    <w:rsid w:val="00983AC8"/>
    <w:rsid w:val="009840C4"/>
    <w:rsid w:val="0098610C"/>
    <w:rsid w:val="00991F45"/>
    <w:rsid w:val="00992BEB"/>
    <w:rsid w:val="00993D75"/>
    <w:rsid w:val="00996A57"/>
    <w:rsid w:val="00997D40"/>
    <w:rsid w:val="009A056F"/>
    <w:rsid w:val="009A189B"/>
    <w:rsid w:val="009A2501"/>
    <w:rsid w:val="009A2B03"/>
    <w:rsid w:val="009A4AF3"/>
    <w:rsid w:val="009A4BD4"/>
    <w:rsid w:val="009B07D9"/>
    <w:rsid w:val="009B0836"/>
    <w:rsid w:val="009B17D3"/>
    <w:rsid w:val="009B311A"/>
    <w:rsid w:val="009B3CEF"/>
    <w:rsid w:val="009B71BC"/>
    <w:rsid w:val="009B7890"/>
    <w:rsid w:val="009C020D"/>
    <w:rsid w:val="009C0676"/>
    <w:rsid w:val="009C2837"/>
    <w:rsid w:val="009C3D31"/>
    <w:rsid w:val="009C5571"/>
    <w:rsid w:val="009C55DE"/>
    <w:rsid w:val="009C5969"/>
    <w:rsid w:val="009C6D98"/>
    <w:rsid w:val="009C7539"/>
    <w:rsid w:val="009D5320"/>
    <w:rsid w:val="009D7BBA"/>
    <w:rsid w:val="009E0671"/>
    <w:rsid w:val="009E2DDC"/>
    <w:rsid w:val="009E40C9"/>
    <w:rsid w:val="009E4F7A"/>
    <w:rsid w:val="009E6EAA"/>
    <w:rsid w:val="009F0A16"/>
    <w:rsid w:val="009F1F85"/>
    <w:rsid w:val="009F2787"/>
    <w:rsid w:val="009F2CB5"/>
    <w:rsid w:val="009F2CCC"/>
    <w:rsid w:val="009F3715"/>
    <w:rsid w:val="009F3F52"/>
    <w:rsid w:val="009F4ACA"/>
    <w:rsid w:val="009F4AD1"/>
    <w:rsid w:val="009F4D53"/>
    <w:rsid w:val="00A0034E"/>
    <w:rsid w:val="00A01C2F"/>
    <w:rsid w:val="00A02128"/>
    <w:rsid w:val="00A029AE"/>
    <w:rsid w:val="00A03111"/>
    <w:rsid w:val="00A03633"/>
    <w:rsid w:val="00A03C48"/>
    <w:rsid w:val="00A04864"/>
    <w:rsid w:val="00A05FD3"/>
    <w:rsid w:val="00A07699"/>
    <w:rsid w:val="00A106C6"/>
    <w:rsid w:val="00A106CC"/>
    <w:rsid w:val="00A118B8"/>
    <w:rsid w:val="00A12A01"/>
    <w:rsid w:val="00A150E6"/>
    <w:rsid w:val="00A1537B"/>
    <w:rsid w:val="00A163D4"/>
    <w:rsid w:val="00A16688"/>
    <w:rsid w:val="00A17B68"/>
    <w:rsid w:val="00A2037F"/>
    <w:rsid w:val="00A20BE8"/>
    <w:rsid w:val="00A2232B"/>
    <w:rsid w:val="00A236D6"/>
    <w:rsid w:val="00A24837"/>
    <w:rsid w:val="00A24A4D"/>
    <w:rsid w:val="00A24FA0"/>
    <w:rsid w:val="00A261A4"/>
    <w:rsid w:val="00A26C5C"/>
    <w:rsid w:val="00A30E5E"/>
    <w:rsid w:val="00A32486"/>
    <w:rsid w:val="00A337FE"/>
    <w:rsid w:val="00A33B83"/>
    <w:rsid w:val="00A34EC9"/>
    <w:rsid w:val="00A364B4"/>
    <w:rsid w:val="00A371E0"/>
    <w:rsid w:val="00A3721D"/>
    <w:rsid w:val="00A3736C"/>
    <w:rsid w:val="00A41358"/>
    <w:rsid w:val="00A4280E"/>
    <w:rsid w:val="00A4363C"/>
    <w:rsid w:val="00A43F08"/>
    <w:rsid w:val="00A4447B"/>
    <w:rsid w:val="00A447CD"/>
    <w:rsid w:val="00A452DF"/>
    <w:rsid w:val="00A467EF"/>
    <w:rsid w:val="00A50A94"/>
    <w:rsid w:val="00A51C0F"/>
    <w:rsid w:val="00A51F56"/>
    <w:rsid w:val="00A53CD7"/>
    <w:rsid w:val="00A567FC"/>
    <w:rsid w:val="00A60340"/>
    <w:rsid w:val="00A621B7"/>
    <w:rsid w:val="00A63B61"/>
    <w:rsid w:val="00A65E8E"/>
    <w:rsid w:val="00A66094"/>
    <w:rsid w:val="00A663D9"/>
    <w:rsid w:val="00A66907"/>
    <w:rsid w:val="00A66CAE"/>
    <w:rsid w:val="00A66E21"/>
    <w:rsid w:val="00A67391"/>
    <w:rsid w:val="00A6755A"/>
    <w:rsid w:val="00A70731"/>
    <w:rsid w:val="00A721F2"/>
    <w:rsid w:val="00A763EA"/>
    <w:rsid w:val="00A76401"/>
    <w:rsid w:val="00A80206"/>
    <w:rsid w:val="00A8286D"/>
    <w:rsid w:val="00A83171"/>
    <w:rsid w:val="00A837A6"/>
    <w:rsid w:val="00A85773"/>
    <w:rsid w:val="00A85DB7"/>
    <w:rsid w:val="00A85DBB"/>
    <w:rsid w:val="00A85EBB"/>
    <w:rsid w:val="00A93A33"/>
    <w:rsid w:val="00A970B7"/>
    <w:rsid w:val="00A9750B"/>
    <w:rsid w:val="00AA20AB"/>
    <w:rsid w:val="00AA2398"/>
    <w:rsid w:val="00AA4F0A"/>
    <w:rsid w:val="00AA79E4"/>
    <w:rsid w:val="00AB324D"/>
    <w:rsid w:val="00AB36A2"/>
    <w:rsid w:val="00AB3DAA"/>
    <w:rsid w:val="00AC0D34"/>
    <w:rsid w:val="00AC1D3C"/>
    <w:rsid w:val="00AC1DD7"/>
    <w:rsid w:val="00AC22D2"/>
    <w:rsid w:val="00AC2DDB"/>
    <w:rsid w:val="00AC42C3"/>
    <w:rsid w:val="00AC6226"/>
    <w:rsid w:val="00AD063B"/>
    <w:rsid w:val="00AD06DD"/>
    <w:rsid w:val="00AD0A18"/>
    <w:rsid w:val="00AD1B5E"/>
    <w:rsid w:val="00AD230B"/>
    <w:rsid w:val="00AD42E2"/>
    <w:rsid w:val="00AD5C09"/>
    <w:rsid w:val="00AD6756"/>
    <w:rsid w:val="00AD793C"/>
    <w:rsid w:val="00AE0253"/>
    <w:rsid w:val="00AE1385"/>
    <w:rsid w:val="00AE1441"/>
    <w:rsid w:val="00AE2BF1"/>
    <w:rsid w:val="00AE4C25"/>
    <w:rsid w:val="00AE5133"/>
    <w:rsid w:val="00AE77F1"/>
    <w:rsid w:val="00AE79F9"/>
    <w:rsid w:val="00AF03AE"/>
    <w:rsid w:val="00AF2967"/>
    <w:rsid w:val="00AF30BD"/>
    <w:rsid w:val="00AF4D1E"/>
    <w:rsid w:val="00AF5812"/>
    <w:rsid w:val="00AF6B68"/>
    <w:rsid w:val="00AF722D"/>
    <w:rsid w:val="00B005C8"/>
    <w:rsid w:val="00B026B7"/>
    <w:rsid w:val="00B05D74"/>
    <w:rsid w:val="00B07F9D"/>
    <w:rsid w:val="00B1047E"/>
    <w:rsid w:val="00B11816"/>
    <w:rsid w:val="00B11EE4"/>
    <w:rsid w:val="00B120FA"/>
    <w:rsid w:val="00B12D36"/>
    <w:rsid w:val="00B135E5"/>
    <w:rsid w:val="00B14CD4"/>
    <w:rsid w:val="00B16A10"/>
    <w:rsid w:val="00B17019"/>
    <w:rsid w:val="00B17182"/>
    <w:rsid w:val="00B171AE"/>
    <w:rsid w:val="00B214C9"/>
    <w:rsid w:val="00B21973"/>
    <w:rsid w:val="00B22180"/>
    <w:rsid w:val="00B23CC0"/>
    <w:rsid w:val="00B248F0"/>
    <w:rsid w:val="00B2749C"/>
    <w:rsid w:val="00B30556"/>
    <w:rsid w:val="00B30597"/>
    <w:rsid w:val="00B328CB"/>
    <w:rsid w:val="00B336A2"/>
    <w:rsid w:val="00B34145"/>
    <w:rsid w:val="00B357E9"/>
    <w:rsid w:val="00B41FB2"/>
    <w:rsid w:val="00B4266E"/>
    <w:rsid w:val="00B439C1"/>
    <w:rsid w:val="00B43BDB"/>
    <w:rsid w:val="00B43DE7"/>
    <w:rsid w:val="00B455D4"/>
    <w:rsid w:val="00B45717"/>
    <w:rsid w:val="00B50B8F"/>
    <w:rsid w:val="00B51190"/>
    <w:rsid w:val="00B52533"/>
    <w:rsid w:val="00B54E68"/>
    <w:rsid w:val="00B55187"/>
    <w:rsid w:val="00B61023"/>
    <w:rsid w:val="00B61604"/>
    <w:rsid w:val="00B6205E"/>
    <w:rsid w:val="00B62CFD"/>
    <w:rsid w:val="00B635C5"/>
    <w:rsid w:val="00B637B9"/>
    <w:rsid w:val="00B64A5A"/>
    <w:rsid w:val="00B651C9"/>
    <w:rsid w:val="00B72062"/>
    <w:rsid w:val="00B72D73"/>
    <w:rsid w:val="00B76E91"/>
    <w:rsid w:val="00B7721D"/>
    <w:rsid w:val="00B812B7"/>
    <w:rsid w:val="00B82A05"/>
    <w:rsid w:val="00B82D83"/>
    <w:rsid w:val="00B82E46"/>
    <w:rsid w:val="00B84017"/>
    <w:rsid w:val="00B84F1D"/>
    <w:rsid w:val="00B8534A"/>
    <w:rsid w:val="00B90AD8"/>
    <w:rsid w:val="00B91763"/>
    <w:rsid w:val="00B91938"/>
    <w:rsid w:val="00B935B3"/>
    <w:rsid w:val="00B975A8"/>
    <w:rsid w:val="00BA1331"/>
    <w:rsid w:val="00BA2327"/>
    <w:rsid w:val="00BA297E"/>
    <w:rsid w:val="00BA358B"/>
    <w:rsid w:val="00BA4F5D"/>
    <w:rsid w:val="00BA6E77"/>
    <w:rsid w:val="00BB0EBA"/>
    <w:rsid w:val="00BB19D6"/>
    <w:rsid w:val="00BB25C8"/>
    <w:rsid w:val="00BB2975"/>
    <w:rsid w:val="00BB2B83"/>
    <w:rsid w:val="00BB55A9"/>
    <w:rsid w:val="00BB5F7F"/>
    <w:rsid w:val="00BB74B8"/>
    <w:rsid w:val="00BB7844"/>
    <w:rsid w:val="00BC1F4F"/>
    <w:rsid w:val="00BC39BD"/>
    <w:rsid w:val="00BC488C"/>
    <w:rsid w:val="00BC5845"/>
    <w:rsid w:val="00BC79C6"/>
    <w:rsid w:val="00BD253B"/>
    <w:rsid w:val="00BD318E"/>
    <w:rsid w:val="00BD36DE"/>
    <w:rsid w:val="00BD60A0"/>
    <w:rsid w:val="00BD6820"/>
    <w:rsid w:val="00BD7038"/>
    <w:rsid w:val="00BD7365"/>
    <w:rsid w:val="00BD757A"/>
    <w:rsid w:val="00BE0882"/>
    <w:rsid w:val="00BE090E"/>
    <w:rsid w:val="00BE1D0C"/>
    <w:rsid w:val="00BE25DA"/>
    <w:rsid w:val="00BE34E2"/>
    <w:rsid w:val="00BE501A"/>
    <w:rsid w:val="00BE54B1"/>
    <w:rsid w:val="00BF0B43"/>
    <w:rsid w:val="00BF2A2F"/>
    <w:rsid w:val="00BF2EE6"/>
    <w:rsid w:val="00BF3DC8"/>
    <w:rsid w:val="00BF6481"/>
    <w:rsid w:val="00BF6598"/>
    <w:rsid w:val="00BF7110"/>
    <w:rsid w:val="00C012BA"/>
    <w:rsid w:val="00C01984"/>
    <w:rsid w:val="00C019E3"/>
    <w:rsid w:val="00C01C8F"/>
    <w:rsid w:val="00C042F5"/>
    <w:rsid w:val="00C05A37"/>
    <w:rsid w:val="00C06B45"/>
    <w:rsid w:val="00C071F5"/>
    <w:rsid w:val="00C0796C"/>
    <w:rsid w:val="00C07FFC"/>
    <w:rsid w:val="00C1146A"/>
    <w:rsid w:val="00C11765"/>
    <w:rsid w:val="00C12511"/>
    <w:rsid w:val="00C12F17"/>
    <w:rsid w:val="00C1398C"/>
    <w:rsid w:val="00C1481C"/>
    <w:rsid w:val="00C1601D"/>
    <w:rsid w:val="00C16803"/>
    <w:rsid w:val="00C16B14"/>
    <w:rsid w:val="00C170A1"/>
    <w:rsid w:val="00C2015E"/>
    <w:rsid w:val="00C210B5"/>
    <w:rsid w:val="00C2169A"/>
    <w:rsid w:val="00C2395A"/>
    <w:rsid w:val="00C23F24"/>
    <w:rsid w:val="00C27883"/>
    <w:rsid w:val="00C30C21"/>
    <w:rsid w:val="00C3271A"/>
    <w:rsid w:val="00C32AD2"/>
    <w:rsid w:val="00C34AB5"/>
    <w:rsid w:val="00C408F4"/>
    <w:rsid w:val="00C427AD"/>
    <w:rsid w:val="00C43DE5"/>
    <w:rsid w:val="00C446D0"/>
    <w:rsid w:val="00C44D5D"/>
    <w:rsid w:val="00C451CA"/>
    <w:rsid w:val="00C46F4D"/>
    <w:rsid w:val="00C47F59"/>
    <w:rsid w:val="00C51FCD"/>
    <w:rsid w:val="00C52474"/>
    <w:rsid w:val="00C52F78"/>
    <w:rsid w:val="00C54B59"/>
    <w:rsid w:val="00C55E7D"/>
    <w:rsid w:val="00C56215"/>
    <w:rsid w:val="00C5662D"/>
    <w:rsid w:val="00C56648"/>
    <w:rsid w:val="00C61264"/>
    <w:rsid w:val="00C6222C"/>
    <w:rsid w:val="00C63BF4"/>
    <w:rsid w:val="00C64CE2"/>
    <w:rsid w:val="00C65C24"/>
    <w:rsid w:val="00C70325"/>
    <w:rsid w:val="00C7069A"/>
    <w:rsid w:val="00C7095E"/>
    <w:rsid w:val="00C75665"/>
    <w:rsid w:val="00C75B7C"/>
    <w:rsid w:val="00C75E54"/>
    <w:rsid w:val="00C77CCA"/>
    <w:rsid w:val="00C8115B"/>
    <w:rsid w:val="00C84887"/>
    <w:rsid w:val="00C85626"/>
    <w:rsid w:val="00C87487"/>
    <w:rsid w:val="00C87671"/>
    <w:rsid w:val="00C87856"/>
    <w:rsid w:val="00C90342"/>
    <w:rsid w:val="00C91299"/>
    <w:rsid w:val="00C91993"/>
    <w:rsid w:val="00C94CAC"/>
    <w:rsid w:val="00C94D7A"/>
    <w:rsid w:val="00C957BE"/>
    <w:rsid w:val="00CA0FF8"/>
    <w:rsid w:val="00CA1726"/>
    <w:rsid w:val="00CA1E17"/>
    <w:rsid w:val="00CA3823"/>
    <w:rsid w:val="00CA3CCA"/>
    <w:rsid w:val="00CA446C"/>
    <w:rsid w:val="00CB09DE"/>
    <w:rsid w:val="00CB35D4"/>
    <w:rsid w:val="00CB3699"/>
    <w:rsid w:val="00CB42C8"/>
    <w:rsid w:val="00CB44DB"/>
    <w:rsid w:val="00CC161C"/>
    <w:rsid w:val="00CC2DDC"/>
    <w:rsid w:val="00CC40C8"/>
    <w:rsid w:val="00CC41C4"/>
    <w:rsid w:val="00CC47B7"/>
    <w:rsid w:val="00CC62BD"/>
    <w:rsid w:val="00CC69D0"/>
    <w:rsid w:val="00CD1C85"/>
    <w:rsid w:val="00CD22EA"/>
    <w:rsid w:val="00CD44B4"/>
    <w:rsid w:val="00CD48A4"/>
    <w:rsid w:val="00CD624F"/>
    <w:rsid w:val="00CD62B2"/>
    <w:rsid w:val="00CD7A9C"/>
    <w:rsid w:val="00CE0868"/>
    <w:rsid w:val="00CE3462"/>
    <w:rsid w:val="00CE3E39"/>
    <w:rsid w:val="00CE5D6B"/>
    <w:rsid w:val="00CE7540"/>
    <w:rsid w:val="00CE77BB"/>
    <w:rsid w:val="00CF12E6"/>
    <w:rsid w:val="00CF1AB4"/>
    <w:rsid w:val="00CF1F4B"/>
    <w:rsid w:val="00CF2327"/>
    <w:rsid w:val="00CF43BA"/>
    <w:rsid w:val="00CF43BE"/>
    <w:rsid w:val="00CF4528"/>
    <w:rsid w:val="00D008FC"/>
    <w:rsid w:val="00D02380"/>
    <w:rsid w:val="00D035EE"/>
    <w:rsid w:val="00D04720"/>
    <w:rsid w:val="00D055FB"/>
    <w:rsid w:val="00D06AC2"/>
    <w:rsid w:val="00D10D5E"/>
    <w:rsid w:val="00D12EF0"/>
    <w:rsid w:val="00D146AB"/>
    <w:rsid w:val="00D148A9"/>
    <w:rsid w:val="00D1676B"/>
    <w:rsid w:val="00D16CA7"/>
    <w:rsid w:val="00D16CCF"/>
    <w:rsid w:val="00D1761E"/>
    <w:rsid w:val="00D176DC"/>
    <w:rsid w:val="00D21E9F"/>
    <w:rsid w:val="00D226AB"/>
    <w:rsid w:val="00D22C68"/>
    <w:rsid w:val="00D23B8E"/>
    <w:rsid w:val="00D2441F"/>
    <w:rsid w:val="00D248BF"/>
    <w:rsid w:val="00D249E2"/>
    <w:rsid w:val="00D252F2"/>
    <w:rsid w:val="00D252F6"/>
    <w:rsid w:val="00D264CE"/>
    <w:rsid w:val="00D32DD2"/>
    <w:rsid w:val="00D33A20"/>
    <w:rsid w:val="00D34F56"/>
    <w:rsid w:val="00D362B3"/>
    <w:rsid w:val="00D36A88"/>
    <w:rsid w:val="00D37E4D"/>
    <w:rsid w:val="00D41DA9"/>
    <w:rsid w:val="00D4213E"/>
    <w:rsid w:val="00D443DF"/>
    <w:rsid w:val="00D45251"/>
    <w:rsid w:val="00D45A8E"/>
    <w:rsid w:val="00D465CB"/>
    <w:rsid w:val="00D50104"/>
    <w:rsid w:val="00D53039"/>
    <w:rsid w:val="00D53697"/>
    <w:rsid w:val="00D557B0"/>
    <w:rsid w:val="00D55ABB"/>
    <w:rsid w:val="00D55B18"/>
    <w:rsid w:val="00D56624"/>
    <w:rsid w:val="00D567E7"/>
    <w:rsid w:val="00D567EB"/>
    <w:rsid w:val="00D56DF0"/>
    <w:rsid w:val="00D57047"/>
    <w:rsid w:val="00D5780C"/>
    <w:rsid w:val="00D6102D"/>
    <w:rsid w:val="00D640D6"/>
    <w:rsid w:val="00D66B2C"/>
    <w:rsid w:val="00D6754A"/>
    <w:rsid w:val="00D70B69"/>
    <w:rsid w:val="00D71AA8"/>
    <w:rsid w:val="00D73041"/>
    <w:rsid w:val="00D744B6"/>
    <w:rsid w:val="00D75509"/>
    <w:rsid w:val="00D7638A"/>
    <w:rsid w:val="00D7717D"/>
    <w:rsid w:val="00D817FB"/>
    <w:rsid w:val="00D820FA"/>
    <w:rsid w:val="00D82922"/>
    <w:rsid w:val="00D868D6"/>
    <w:rsid w:val="00D87028"/>
    <w:rsid w:val="00D8769C"/>
    <w:rsid w:val="00D876F6"/>
    <w:rsid w:val="00D95C94"/>
    <w:rsid w:val="00DA4100"/>
    <w:rsid w:val="00DA4689"/>
    <w:rsid w:val="00DA588D"/>
    <w:rsid w:val="00DA650E"/>
    <w:rsid w:val="00DA6CC5"/>
    <w:rsid w:val="00DA7367"/>
    <w:rsid w:val="00DB0017"/>
    <w:rsid w:val="00DB03CB"/>
    <w:rsid w:val="00DB03DE"/>
    <w:rsid w:val="00DB0DDA"/>
    <w:rsid w:val="00DB1176"/>
    <w:rsid w:val="00DB474B"/>
    <w:rsid w:val="00DB4F14"/>
    <w:rsid w:val="00DB5B08"/>
    <w:rsid w:val="00DB754C"/>
    <w:rsid w:val="00DC6BE6"/>
    <w:rsid w:val="00DC6D7E"/>
    <w:rsid w:val="00DC7257"/>
    <w:rsid w:val="00DD0AD3"/>
    <w:rsid w:val="00DD0D27"/>
    <w:rsid w:val="00DD440D"/>
    <w:rsid w:val="00DD4C22"/>
    <w:rsid w:val="00DD60FB"/>
    <w:rsid w:val="00DD7FBF"/>
    <w:rsid w:val="00DE03FF"/>
    <w:rsid w:val="00DE07B4"/>
    <w:rsid w:val="00DE1429"/>
    <w:rsid w:val="00DE181D"/>
    <w:rsid w:val="00DE19D6"/>
    <w:rsid w:val="00DE4C6D"/>
    <w:rsid w:val="00DF0389"/>
    <w:rsid w:val="00DF0419"/>
    <w:rsid w:val="00E013BC"/>
    <w:rsid w:val="00E016F2"/>
    <w:rsid w:val="00E022B7"/>
    <w:rsid w:val="00E05720"/>
    <w:rsid w:val="00E057F0"/>
    <w:rsid w:val="00E05954"/>
    <w:rsid w:val="00E063CE"/>
    <w:rsid w:val="00E068B9"/>
    <w:rsid w:val="00E10C59"/>
    <w:rsid w:val="00E11676"/>
    <w:rsid w:val="00E117A6"/>
    <w:rsid w:val="00E11F08"/>
    <w:rsid w:val="00E13C47"/>
    <w:rsid w:val="00E13F4A"/>
    <w:rsid w:val="00E25FC9"/>
    <w:rsid w:val="00E26753"/>
    <w:rsid w:val="00E26EE3"/>
    <w:rsid w:val="00E301D0"/>
    <w:rsid w:val="00E359AF"/>
    <w:rsid w:val="00E4198A"/>
    <w:rsid w:val="00E41D73"/>
    <w:rsid w:val="00E422A9"/>
    <w:rsid w:val="00E4405F"/>
    <w:rsid w:val="00E44C5D"/>
    <w:rsid w:val="00E44C82"/>
    <w:rsid w:val="00E44D58"/>
    <w:rsid w:val="00E450FF"/>
    <w:rsid w:val="00E47CF2"/>
    <w:rsid w:val="00E47F83"/>
    <w:rsid w:val="00E511DD"/>
    <w:rsid w:val="00E52E6E"/>
    <w:rsid w:val="00E53461"/>
    <w:rsid w:val="00E53B2D"/>
    <w:rsid w:val="00E543BB"/>
    <w:rsid w:val="00E549B9"/>
    <w:rsid w:val="00E551B4"/>
    <w:rsid w:val="00E56677"/>
    <w:rsid w:val="00E56B4A"/>
    <w:rsid w:val="00E63576"/>
    <w:rsid w:val="00E66BF2"/>
    <w:rsid w:val="00E712C9"/>
    <w:rsid w:val="00E71E5A"/>
    <w:rsid w:val="00E72A96"/>
    <w:rsid w:val="00E74AE7"/>
    <w:rsid w:val="00E75524"/>
    <w:rsid w:val="00E75FD3"/>
    <w:rsid w:val="00E77A3A"/>
    <w:rsid w:val="00E80674"/>
    <w:rsid w:val="00E80986"/>
    <w:rsid w:val="00E81148"/>
    <w:rsid w:val="00E812D8"/>
    <w:rsid w:val="00E8224A"/>
    <w:rsid w:val="00E83C13"/>
    <w:rsid w:val="00E84820"/>
    <w:rsid w:val="00E84F54"/>
    <w:rsid w:val="00E85923"/>
    <w:rsid w:val="00E87FF7"/>
    <w:rsid w:val="00E9480E"/>
    <w:rsid w:val="00E95D34"/>
    <w:rsid w:val="00E961C8"/>
    <w:rsid w:val="00E96250"/>
    <w:rsid w:val="00E967FA"/>
    <w:rsid w:val="00E96993"/>
    <w:rsid w:val="00EA0879"/>
    <w:rsid w:val="00EA0D29"/>
    <w:rsid w:val="00EA1121"/>
    <w:rsid w:val="00EA143F"/>
    <w:rsid w:val="00EA16CC"/>
    <w:rsid w:val="00EA1EBA"/>
    <w:rsid w:val="00EA5DFF"/>
    <w:rsid w:val="00EA6C8A"/>
    <w:rsid w:val="00EA7199"/>
    <w:rsid w:val="00EB0181"/>
    <w:rsid w:val="00EB40E4"/>
    <w:rsid w:val="00EB4ABE"/>
    <w:rsid w:val="00EB4D28"/>
    <w:rsid w:val="00EB4D92"/>
    <w:rsid w:val="00EB4F86"/>
    <w:rsid w:val="00EB63FC"/>
    <w:rsid w:val="00EB6FF6"/>
    <w:rsid w:val="00EB7F28"/>
    <w:rsid w:val="00EC002B"/>
    <w:rsid w:val="00EC2767"/>
    <w:rsid w:val="00EC2D23"/>
    <w:rsid w:val="00EC5FC4"/>
    <w:rsid w:val="00EC73C3"/>
    <w:rsid w:val="00ED005F"/>
    <w:rsid w:val="00ED06C8"/>
    <w:rsid w:val="00ED0C60"/>
    <w:rsid w:val="00ED1B39"/>
    <w:rsid w:val="00ED2970"/>
    <w:rsid w:val="00ED39F2"/>
    <w:rsid w:val="00ED7F84"/>
    <w:rsid w:val="00EE106D"/>
    <w:rsid w:val="00EE3464"/>
    <w:rsid w:val="00EE38DA"/>
    <w:rsid w:val="00EE4266"/>
    <w:rsid w:val="00EE66A0"/>
    <w:rsid w:val="00EE691B"/>
    <w:rsid w:val="00EE7CB7"/>
    <w:rsid w:val="00EF0C37"/>
    <w:rsid w:val="00EF1321"/>
    <w:rsid w:val="00EF1D9D"/>
    <w:rsid w:val="00EF2EA3"/>
    <w:rsid w:val="00EF45D7"/>
    <w:rsid w:val="00EF5C8F"/>
    <w:rsid w:val="00EF69F8"/>
    <w:rsid w:val="00F00437"/>
    <w:rsid w:val="00F00500"/>
    <w:rsid w:val="00F011D5"/>
    <w:rsid w:val="00F0149C"/>
    <w:rsid w:val="00F0227E"/>
    <w:rsid w:val="00F026FB"/>
    <w:rsid w:val="00F0406D"/>
    <w:rsid w:val="00F05899"/>
    <w:rsid w:val="00F117D2"/>
    <w:rsid w:val="00F11B12"/>
    <w:rsid w:val="00F136A6"/>
    <w:rsid w:val="00F14F44"/>
    <w:rsid w:val="00F16CC8"/>
    <w:rsid w:val="00F2145F"/>
    <w:rsid w:val="00F21C60"/>
    <w:rsid w:val="00F234EB"/>
    <w:rsid w:val="00F236BE"/>
    <w:rsid w:val="00F24535"/>
    <w:rsid w:val="00F25FB4"/>
    <w:rsid w:val="00F26660"/>
    <w:rsid w:val="00F330C2"/>
    <w:rsid w:val="00F3328D"/>
    <w:rsid w:val="00F343CB"/>
    <w:rsid w:val="00F34515"/>
    <w:rsid w:val="00F358A0"/>
    <w:rsid w:val="00F35D7F"/>
    <w:rsid w:val="00F37753"/>
    <w:rsid w:val="00F4184F"/>
    <w:rsid w:val="00F440B5"/>
    <w:rsid w:val="00F445E0"/>
    <w:rsid w:val="00F44AD0"/>
    <w:rsid w:val="00F45C97"/>
    <w:rsid w:val="00F50A8D"/>
    <w:rsid w:val="00F51304"/>
    <w:rsid w:val="00F52053"/>
    <w:rsid w:val="00F52838"/>
    <w:rsid w:val="00F612C0"/>
    <w:rsid w:val="00F62E5D"/>
    <w:rsid w:val="00F634A4"/>
    <w:rsid w:val="00F64638"/>
    <w:rsid w:val="00F64AE1"/>
    <w:rsid w:val="00F658C9"/>
    <w:rsid w:val="00F711AB"/>
    <w:rsid w:val="00F731CC"/>
    <w:rsid w:val="00F737FE"/>
    <w:rsid w:val="00F74A3B"/>
    <w:rsid w:val="00F77419"/>
    <w:rsid w:val="00F77610"/>
    <w:rsid w:val="00F8023C"/>
    <w:rsid w:val="00F80668"/>
    <w:rsid w:val="00F806BC"/>
    <w:rsid w:val="00F81019"/>
    <w:rsid w:val="00F81EC7"/>
    <w:rsid w:val="00F90181"/>
    <w:rsid w:val="00F96272"/>
    <w:rsid w:val="00F96A44"/>
    <w:rsid w:val="00F972BC"/>
    <w:rsid w:val="00FA0946"/>
    <w:rsid w:val="00FA0A18"/>
    <w:rsid w:val="00FA19B0"/>
    <w:rsid w:val="00FA2D13"/>
    <w:rsid w:val="00FA31C9"/>
    <w:rsid w:val="00FA7634"/>
    <w:rsid w:val="00FB0CC0"/>
    <w:rsid w:val="00FB0E36"/>
    <w:rsid w:val="00FB111F"/>
    <w:rsid w:val="00FB3795"/>
    <w:rsid w:val="00FB5356"/>
    <w:rsid w:val="00FB77BE"/>
    <w:rsid w:val="00FC0B21"/>
    <w:rsid w:val="00FC11E4"/>
    <w:rsid w:val="00FC1A82"/>
    <w:rsid w:val="00FC2461"/>
    <w:rsid w:val="00FC31D4"/>
    <w:rsid w:val="00FC3B96"/>
    <w:rsid w:val="00FD00D3"/>
    <w:rsid w:val="00FD0421"/>
    <w:rsid w:val="00FD0994"/>
    <w:rsid w:val="00FD25A2"/>
    <w:rsid w:val="00FD5665"/>
    <w:rsid w:val="00FD77FD"/>
    <w:rsid w:val="00FD7A4E"/>
    <w:rsid w:val="00FE18DA"/>
    <w:rsid w:val="00FE2402"/>
    <w:rsid w:val="00FE3BE5"/>
    <w:rsid w:val="00FE5075"/>
    <w:rsid w:val="00FE6281"/>
    <w:rsid w:val="00FF1A50"/>
    <w:rsid w:val="00FF1D54"/>
    <w:rsid w:val="00FF2E78"/>
    <w:rsid w:val="00FF7E9E"/>
    <w:rsid w:val="00FF7F50"/>
    <w:rsid w:val="316F13DF"/>
    <w:rsid w:val="5C7F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32A82"/>
  <w15:docId w15:val="{5F1BB582-1AFD-48FE-9210-7F776648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681"/>
    <w:pPr>
      <w:widowControl w:val="0"/>
      <w:jc w:val="both"/>
    </w:pPr>
    <w:rPr>
      <w:rFonts w:ascii="Times New Roman" w:eastAsia="仿宋_GB2312" w:hAnsi="Times New Roman"/>
      <w:kern w:val="2"/>
      <w:sz w:val="28"/>
      <w:szCs w:val="22"/>
    </w:rPr>
  </w:style>
  <w:style w:type="paragraph" w:styleId="1">
    <w:name w:val="heading 1"/>
    <w:basedOn w:val="a"/>
    <w:next w:val="a"/>
    <w:link w:val="10"/>
    <w:uiPriority w:val="9"/>
    <w:qFormat/>
    <w:pPr>
      <w:spacing w:beforeLines="100" w:before="100" w:afterLines="100" w:after="100"/>
      <w:ind w:firstLineChars="200" w:firstLine="200"/>
      <w:outlineLvl w:val="0"/>
    </w:pPr>
    <w:rPr>
      <w:rFonts w:ascii="黑体" w:eastAsia="黑体" w:hAnsi="黑体"/>
      <w:sz w:val="32"/>
    </w:rPr>
  </w:style>
  <w:style w:type="paragraph" w:styleId="2">
    <w:name w:val="heading 2"/>
    <w:basedOn w:val="a"/>
    <w:next w:val="a"/>
    <w:link w:val="20"/>
    <w:uiPriority w:val="9"/>
    <w:unhideWhenUsed/>
    <w:qFormat/>
    <w:rsid w:val="00AA4F0A"/>
    <w:pPr>
      <w:spacing w:beforeLines="100" w:before="100" w:afterLines="100" w:after="100"/>
      <w:ind w:firstLineChars="200" w:firstLine="200"/>
      <w:outlineLvl w:val="1"/>
    </w:pPr>
    <w:rPr>
      <w:rFonts w:ascii="楷体_GB2312" w:eastAsia="楷体_GB2312"/>
      <w:b/>
      <w:sz w:val="30"/>
    </w:rPr>
  </w:style>
  <w:style w:type="paragraph" w:styleId="3">
    <w:name w:val="heading 3"/>
    <w:basedOn w:val="a0"/>
    <w:next w:val="a"/>
    <w:link w:val="30"/>
    <w:uiPriority w:val="9"/>
    <w:unhideWhenUsed/>
    <w:qFormat/>
    <w:rsid w:val="00F011D5"/>
    <w:pPr>
      <w:numPr>
        <w:numId w:val="1"/>
      </w:numPr>
      <w:ind w:firstLineChars="0" w:firstLine="0"/>
      <w:outlineLvl w:val="2"/>
    </w:pPr>
    <w:rPr>
      <w:b/>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
    <w:link w:val="a5"/>
    <w:uiPriority w:val="99"/>
    <w:semiHidden/>
    <w:unhideWhenUsed/>
    <w:pPr>
      <w:jc w:val="left"/>
    </w:pPr>
  </w:style>
  <w:style w:type="paragraph" w:styleId="a6">
    <w:name w:val="Date"/>
    <w:basedOn w:val="a"/>
    <w:next w:val="a"/>
    <w:link w:val="a7"/>
    <w:uiPriority w:val="99"/>
    <w:semiHidden/>
    <w:unhideWhenUsed/>
    <w:qFormat/>
    <w:pPr>
      <w:ind w:leftChars="2500" w:left="100"/>
    </w:p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1F3920"/>
    <w:pPr>
      <w:snapToGrid w:val="0"/>
      <w:spacing w:line="360" w:lineRule="auto"/>
    </w:pPr>
    <w:rPr>
      <w:rFonts w:eastAsia="黑体"/>
    </w:rPr>
  </w:style>
  <w:style w:type="paragraph" w:styleId="ae">
    <w:name w:val="footnote text"/>
    <w:basedOn w:val="a"/>
    <w:link w:val="af"/>
    <w:uiPriority w:val="99"/>
    <w:unhideWhenUsed/>
    <w:qFormat/>
    <w:pPr>
      <w:snapToGrid w:val="0"/>
      <w:jc w:val="left"/>
    </w:pPr>
    <w:rPr>
      <w:sz w:val="18"/>
      <w:szCs w:val="18"/>
    </w:rPr>
  </w:style>
  <w:style w:type="paragraph" w:styleId="TOC2">
    <w:name w:val="toc 2"/>
    <w:basedOn w:val="a"/>
    <w:next w:val="a"/>
    <w:uiPriority w:val="39"/>
    <w:unhideWhenUsed/>
    <w:qFormat/>
    <w:rsid w:val="001F3920"/>
    <w:pPr>
      <w:ind w:leftChars="200" w:left="420"/>
    </w:pPr>
  </w:style>
  <w:style w:type="character" w:styleId="af0">
    <w:name w:val="Hyperlink"/>
    <w:basedOn w:val="a1"/>
    <w:uiPriority w:val="99"/>
    <w:unhideWhenUsed/>
    <w:rPr>
      <w:color w:val="0000FF" w:themeColor="hyperlink"/>
      <w:u w:val="single"/>
    </w:rPr>
  </w:style>
  <w:style w:type="character" w:styleId="af1">
    <w:name w:val="footnote reference"/>
    <w:basedOn w:val="a1"/>
    <w:uiPriority w:val="99"/>
    <w:semiHidden/>
    <w:unhideWhenUsed/>
    <w:qFormat/>
    <w:rPr>
      <w:vertAlign w:val="superscript"/>
    </w:rPr>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rPr>
      <w:sz w:val="18"/>
      <w:szCs w:val="18"/>
    </w:rPr>
  </w:style>
  <w:style w:type="character" w:customStyle="1" w:styleId="a7">
    <w:name w:val="日期 字符"/>
    <w:basedOn w:val="a1"/>
    <w:link w:val="a6"/>
    <w:uiPriority w:val="99"/>
    <w:semiHidden/>
    <w:qFormat/>
    <w:rPr>
      <w:rFonts w:eastAsia="仿宋_GB2312"/>
      <w:sz w:val="32"/>
    </w:rPr>
  </w:style>
  <w:style w:type="paragraph" w:styleId="a0">
    <w:name w:val="List Paragraph"/>
    <w:basedOn w:val="a"/>
    <w:uiPriority w:val="34"/>
    <w:qFormat/>
    <w:pPr>
      <w:ind w:firstLineChars="200" w:firstLine="420"/>
    </w:pPr>
  </w:style>
  <w:style w:type="character" w:customStyle="1" w:styleId="10">
    <w:name w:val="标题 1 字符"/>
    <w:basedOn w:val="a1"/>
    <w:link w:val="1"/>
    <w:uiPriority w:val="9"/>
    <w:qFormat/>
    <w:rPr>
      <w:rFonts w:ascii="黑体" w:eastAsia="黑体" w:hAnsi="黑体"/>
      <w:sz w:val="32"/>
    </w:rPr>
  </w:style>
  <w:style w:type="character" w:customStyle="1" w:styleId="20">
    <w:name w:val="标题 2 字符"/>
    <w:basedOn w:val="a1"/>
    <w:link w:val="2"/>
    <w:uiPriority w:val="9"/>
    <w:rsid w:val="00AA4F0A"/>
    <w:rPr>
      <w:rFonts w:ascii="楷体_GB2312" w:eastAsia="楷体_GB2312" w:hAnsi="Times New Roman"/>
      <w:b/>
      <w:kern w:val="2"/>
      <w:sz w:val="30"/>
      <w:szCs w:val="22"/>
    </w:rPr>
  </w:style>
  <w:style w:type="character" w:customStyle="1" w:styleId="30">
    <w:name w:val="标题 3 字符"/>
    <w:basedOn w:val="a1"/>
    <w:link w:val="3"/>
    <w:uiPriority w:val="9"/>
    <w:qFormat/>
    <w:rsid w:val="00F011D5"/>
    <w:rPr>
      <w:rFonts w:ascii="Times New Roman" w:eastAsia="仿宋_GB2312" w:hAnsi="Times New Roman"/>
      <w:b/>
      <w:kern w:val="2"/>
      <w:sz w:val="28"/>
      <w:szCs w:val="22"/>
    </w:rPr>
  </w:style>
  <w:style w:type="character" w:customStyle="1" w:styleId="40">
    <w:name w:val="标题 4 字符"/>
    <w:basedOn w:val="a1"/>
    <w:link w:val="4"/>
    <w:uiPriority w:val="9"/>
    <w:qFormat/>
    <w:rPr>
      <w:rFonts w:asciiTheme="majorHAnsi" w:eastAsiaTheme="majorEastAsia" w:hAnsiTheme="majorHAnsi" w:cstheme="majorBidi"/>
      <w:b/>
      <w:bCs/>
      <w:sz w:val="28"/>
      <w:szCs w:val="28"/>
    </w:rPr>
  </w:style>
  <w:style w:type="paragraph" w:styleId="af2">
    <w:name w:val="No Spacing"/>
    <w:uiPriority w:val="1"/>
    <w:qFormat/>
    <w:pPr>
      <w:widowControl w:val="0"/>
      <w:jc w:val="both"/>
    </w:pPr>
    <w:rPr>
      <w:rFonts w:eastAsia="仿宋_GB2312"/>
      <w:kern w:val="2"/>
      <w:sz w:val="28"/>
      <w:szCs w:val="22"/>
    </w:rPr>
  </w:style>
  <w:style w:type="character" w:customStyle="1" w:styleId="NormalCharacter">
    <w:name w:val="NormalCharacter"/>
    <w:semiHidden/>
    <w:qFormat/>
  </w:style>
  <w:style w:type="character" w:customStyle="1" w:styleId="af">
    <w:name w:val="脚注文本 字符"/>
    <w:basedOn w:val="a1"/>
    <w:link w:val="ae"/>
    <w:uiPriority w:val="99"/>
    <w:qFormat/>
    <w:rPr>
      <w:rFonts w:eastAsia="仿宋_GB2312"/>
      <w:sz w:val="18"/>
      <w:szCs w:val="18"/>
    </w:rPr>
  </w:style>
  <w:style w:type="character" w:customStyle="1" w:styleId="a9">
    <w:name w:val="批注框文本 字符"/>
    <w:basedOn w:val="a1"/>
    <w:link w:val="a8"/>
    <w:uiPriority w:val="99"/>
    <w:semiHidden/>
    <w:rPr>
      <w:rFonts w:eastAsia="仿宋_GB2312"/>
      <w:sz w:val="18"/>
      <w:szCs w:val="18"/>
    </w:rPr>
  </w:style>
  <w:style w:type="character" w:styleId="af3">
    <w:name w:val="annotation reference"/>
    <w:basedOn w:val="a1"/>
    <w:uiPriority w:val="99"/>
    <w:semiHidden/>
    <w:unhideWhenUsed/>
    <w:rPr>
      <w:sz w:val="21"/>
      <w:szCs w:val="21"/>
    </w:rPr>
  </w:style>
  <w:style w:type="table" w:styleId="af4">
    <w:name w:val="Table Grid"/>
    <w:basedOn w:val="a2"/>
    <w:uiPriority w:val="59"/>
    <w:qFormat/>
    <w:rsid w:val="006839E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2"/>
    <w:next w:val="af4"/>
    <w:qFormat/>
    <w:rsid w:val="006839E7"/>
    <w:rPr>
      <w:rFonts w:ascii="Calibri" w:eastAsia="宋体"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a"/>
    <w:next w:val="a"/>
    <w:autoRedefine/>
    <w:uiPriority w:val="39"/>
    <w:unhideWhenUsed/>
    <w:rsid w:val="00DD4C22"/>
    <w:pPr>
      <w:ind w:leftChars="200" w:left="200"/>
    </w:pPr>
  </w:style>
  <w:style w:type="paragraph" w:styleId="af5">
    <w:name w:val="Revision"/>
    <w:hidden/>
    <w:uiPriority w:val="99"/>
    <w:semiHidden/>
    <w:rsid w:val="000633BA"/>
    <w:rPr>
      <w:rFonts w:ascii="Times New Roman" w:eastAsia="仿宋_GB2312" w:hAnsi="Times New Roman"/>
      <w:kern w:val="2"/>
      <w:sz w:val="28"/>
      <w:szCs w:val="22"/>
    </w:rPr>
  </w:style>
  <w:style w:type="paragraph" w:styleId="af6">
    <w:name w:val="annotation subject"/>
    <w:basedOn w:val="a4"/>
    <w:next w:val="a4"/>
    <w:link w:val="af7"/>
    <w:uiPriority w:val="99"/>
    <w:semiHidden/>
    <w:unhideWhenUsed/>
    <w:rsid w:val="0034741F"/>
    <w:rPr>
      <w:b/>
      <w:bCs/>
    </w:rPr>
  </w:style>
  <w:style w:type="character" w:customStyle="1" w:styleId="a5">
    <w:name w:val="批注文字 字符"/>
    <w:basedOn w:val="a1"/>
    <w:link w:val="a4"/>
    <w:uiPriority w:val="99"/>
    <w:semiHidden/>
    <w:rsid w:val="0034741F"/>
    <w:rPr>
      <w:rFonts w:ascii="Times New Roman" w:eastAsia="仿宋_GB2312" w:hAnsi="Times New Roman"/>
      <w:kern w:val="2"/>
      <w:sz w:val="28"/>
      <w:szCs w:val="22"/>
    </w:rPr>
  </w:style>
  <w:style w:type="character" w:customStyle="1" w:styleId="af7">
    <w:name w:val="批注主题 字符"/>
    <w:basedOn w:val="a5"/>
    <w:link w:val="af6"/>
    <w:uiPriority w:val="99"/>
    <w:semiHidden/>
    <w:rsid w:val="0034741F"/>
    <w:rPr>
      <w:rFonts w:ascii="Times New Roman" w:eastAsia="仿宋_GB2312" w:hAnsi="Times New Roman"/>
      <w:b/>
      <w:bCs/>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8923">
      <w:bodyDiv w:val="1"/>
      <w:marLeft w:val="0"/>
      <w:marRight w:val="0"/>
      <w:marTop w:val="0"/>
      <w:marBottom w:val="0"/>
      <w:divBdr>
        <w:top w:val="none" w:sz="0" w:space="0" w:color="auto"/>
        <w:left w:val="none" w:sz="0" w:space="0" w:color="auto"/>
        <w:bottom w:val="none" w:sz="0" w:space="0" w:color="auto"/>
        <w:right w:val="none" w:sz="0" w:space="0" w:color="auto"/>
      </w:divBdr>
    </w:div>
    <w:div w:id="91054007">
      <w:bodyDiv w:val="1"/>
      <w:marLeft w:val="0"/>
      <w:marRight w:val="0"/>
      <w:marTop w:val="0"/>
      <w:marBottom w:val="0"/>
      <w:divBdr>
        <w:top w:val="none" w:sz="0" w:space="0" w:color="auto"/>
        <w:left w:val="none" w:sz="0" w:space="0" w:color="auto"/>
        <w:bottom w:val="none" w:sz="0" w:space="0" w:color="auto"/>
        <w:right w:val="none" w:sz="0" w:space="0" w:color="auto"/>
      </w:divBdr>
    </w:div>
    <w:div w:id="106505863">
      <w:bodyDiv w:val="1"/>
      <w:marLeft w:val="0"/>
      <w:marRight w:val="0"/>
      <w:marTop w:val="0"/>
      <w:marBottom w:val="0"/>
      <w:divBdr>
        <w:top w:val="none" w:sz="0" w:space="0" w:color="auto"/>
        <w:left w:val="none" w:sz="0" w:space="0" w:color="auto"/>
        <w:bottom w:val="none" w:sz="0" w:space="0" w:color="auto"/>
        <w:right w:val="none" w:sz="0" w:space="0" w:color="auto"/>
      </w:divBdr>
    </w:div>
    <w:div w:id="173690942">
      <w:bodyDiv w:val="1"/>
      <w:marLeft w:val="0"/>
      <w:marRight w:val="0"/>
      <w:marTop w:val="0"/>
      <w:marBottom w:val="0"/>
      <w:divBdr>
        <w:top w:val="none" w:sz="0" w:space="0" w:color="auto"/>
        <w:left w:val="none" w:sz="0" w:space="0" w:color="auto"/>
        <w:bottom w:val="none" w:sz="0" w:space="0" w:color="auto"/>
        <w:right w:val="none" w:sz="0" w:space="0" w:color="auto"/>
      </w:divBdr>
    </w:div>
    <w:div w:id="317879758">
      <w:bodyDiv w:val="1"/>
      <w:marLeft w:val="0"/>
      <w:marRight w:val="0"/>
      <w:marTop w:val="0"/>
      <w:marBottom w:val="0"/>
      <w:divBdr>
        <w:top w:val="none" w:sz="0" w:space="0" w:color="auto"/>
        <w:left w:val="none" w:sz="0" w:space="0" w:color="auto"/>
        <w:bottom w:val="none" w:sz="0" w:space="0" w:color="auto"/>
        <w:right w:val="none" w:sz="0" w:space="0" w:color="auto"/>
      </w:divBdr>
    </w:div>
    <w:div w:id="467554198">
      <w:bodyDiv w:val="1"/>
      <w:marLeft w:val="0"/>
      <w:marRight w:val="0"/>
      <w:marTop w:val="0"/>
      <w:marBottom w:val="0"/>
      <w:divBdr>
        <w:top w:val="none" w:sz="0" w:space="0" w:color="auto"/>
        <w:left w:val="none" w:sz="0" w:space="0" w:color="auto"/>
        <w:bottom w:val="none" w:sz="0" w:space="0" w:color="auto"/>
        <w:right w:val="none" w:sz="0" w:space="0" w:color="auto"/>
      </w:divBdr>
      <w:divsChild>
        <w:div w:id="762603147">
          <w:marLeft w:val="518"/>
          <w:marRight w:val="0"/>
          <w:marTop w:val="77"/>
          <w:marBottom w:val="0"/>
          <w:divBdr>
            <w:top w:val="none" w:sz="0" w:space="0" w:color="auto"/>
            <w:left w:val="none" w:sz="0" w:space="0" w:color="auto"/>
            <w:bottom w:val="none" w:sz="0" w:space="0" w:color="auto"/>
            <w:right w:val="none" w:sz="0" w:space="0" w:color="auto"/>
          </w:divBdr>
        </w:div>
      </w:divsChild>
    </w:div>
    <w:div w:id="751851420">
      <w:bodyDiv w:val="1"/>
      <w:marLeft w:val="0"/>
      <w:marRight w:val="0"/>
      <w:marTop w:val="0"/>
      <w:marBottom w:val="0"/>
      <w:divBdr>
        <w:top w:val="none" w:sz="0" w:space="0" w:color="auto"/>
        <w:left w:val="none" w:sz="0" w:space="0" w:color="auto"/>
        <w:bottom w:val="none" w:sz="0" w:space="0" w:color="auto"/>
        <w:right w:val="none" w:sz="0" w:space="0" w:color="auto"/>
      </w:divBdr>
    </w:div>
    <w:div w:id="801848057">
      <w:bodyDiv w:val="1"/>
      <w:marLeft w:val="0"/>
      <w:marRight w:val="0"/>
      <w:marTop w:val="0"/>
      <w:marBottom w:val="0"/>
      <w:divBdr>
        <w:top w:val="none" w:sz="0" w:space="0" w:color="auto"/>
        <w:left w:val="none" w:sz="0" w:space="0" w:color="auto"/>
        <w:bottom w:val="none" w:sz="0" w:space="0" w:color="auto"/>
        <w:right w:val="none" w:sz="0" w:space="0" w:color="auto"/>
      </w:divBdr>
    </w:div>
    <w:div w:id="919758631">
      <w:bodyDiv w:val="1"/>
      <w:marLeft w:val="0"/>
      <w:marRight w:val="0"/>
      <w:marTop w:val="0"/>
      <w:marBottom w:val="0"/>
      <w:divBdr>
        <w:top w:val="none" w:sz="0" w:space="0" w:color="auto"/>
        <w:left w:val="none" w:sz="0" w:space="0" w:color="auto"/>
        <w:bottom w:val="none" w:sz="0" w:space="0" w:color="auto"/>
        <w:right w:val="none" w:sz="0" w:space="0" w:color="auto"/>
      </w:divBdr>
    </w:div>
    <w:div w:id="1155224235">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88254119">
      <w:bodyDiv w:val="1"/>
      <w:marLeft w:val="0"/>
      <w:marRight w:val="0"/>
      <w:marTop w:val="0"/>
      <w:marBottom w:val="0"/>
      <w:divBdr>
        <w:top w:val="none" w:sz="0" w:space="0" w:color="auto"/>
        <w:left w:val="none" w:sz="0" w:space="0" w:color="auto"/>
        <w:bottom w:val="none" w:sz="0" w:space="0" w:color="auto"/>
        <w:right w:val="none" w:sz="0" w:space="0" w:color="auto"/>
      </w:divBdr>
    </w:div>
    <w:div w:id="1229803396">
      <w:bodyDiv w:val="1"/>
      <w:marLeft w:val="0"/>
      <w:marRight w:val="0"/>
      <w:marTop w:val="0"/>
      <w:marBottom w:val="0"/>
      <w:divBdr>
        <w:top w:val="none" w:sz="0" w:space="0" w:color="auto"/>
        <w:left w:val="none" w:sz="0" w:space="0" w:color="auto"/>
        <w:bottom w:val="none" w:sz="0" w:space="0" w:color="auto"/>
        <w:right w:val="none" w:sz="0" w:space="0" w:color="auto"/>
      </w:divBdr>
    </w:div>
    <w:div w:id="1312753328">
      <w:bodyDiv w:val="1"/>
      <w:marLeft w:val="0"/>
      <w:marRight w:val="0"/>
      <w:marTop w:val="0"/>
      <w:marBottom w:val="0"/>
      <w:divBdr>
        <w:top w:val="none" w:sz="0" w:space="0" w:color="auto"/>
        <w:left w:val="none" w:sz="0" w:space="0" w:color="auto"/>
        <w:bottom w:val="none" w:sz="0" w:space="0" w:color="auto"/>
        <w:right w:val="none" w:sz="0" w:space="0" w:color="auto"/>
      </w:divBdr>
    </w:div>
    <w:div w:id="1407339070">
      <w:bodyDiv w:val="1"/>
      <w:marLeft w:val="0"/>
      <w:marRight w:val="0"/>
      <w:marTop w:val="0"/>
      <w:marBottom w:val="0"/>
      <w:divBdr>
        <w:top w:val="none" w:sz="0" w:space="0" w:color="auto"/>
        <w:left w:val="none" w:sz="0" w:space="0" w:color="auto"/>
        <w:bottom w:val="none" w:sz="0" w:space="0" w:color="auto"/>
        <w:right w:val="none" w:sz="0" w:space="0" w:color="auto"/>
      </w:divBdr>
    </w:div>
    <w:div w:id="1441409767">
      <w:bodyDiv w:val="1"/>
      <w:marLeft w:val="0"/>
      <w:marRight w:val="0"/>
      <w:marTop w:val="0"/>
      <w:marBottom w:val="0"/>
      <w:divBdr>
        <w:top w:val="none" w:sz="0" w:space="0" w:color="auto"/>
        <w:left w:val="none" w:sz="0" w:space="0" w:color="auto"/>
        <w:bottom w:val="none" w:sz="0" w:space="0" w:color="auto"/>
        <w:right w:val="none" w:sz="0" w:space="0" w:color="auto"/>
      </w:divBdr>
    </w:div>
    <w:div w:id="1621690771">
      <w:bodyDiv w:val="1"/>
      <w:marLeft w:val="0"/>
      <w:marRight w:val="0"/>
      <w:marTop w:val="0"/>
      <w:marBottom w:val="0"/>
      <w:divBdr>
        <w:top w:val="none" w:sz="0" w:space="0" w:color="auto"/>
        <w:left w:val="none" w:sz="0" w:space="0" w:color="auto"/>
        <w:bottom w:val="none" w:sz="0" w:space="0" w:color="auto"/>
        <w:right w:val="none" w:sz="0" w:space="0" w:color="auto"/>
      </w:divBdr>
    </w:div>
    <w:div w:id="1800875321">
      <w:bodyDiv w:val="1"/>
      <w:marLeft w:val="0"/>
      <w:marRight w:val="0"/>
      <w:marTop w:val="0"/>
      <w:marBottom w:val="0"/>
      <w:divBdr>
        <w:top w:val="none" w:sz="0" w:space="0" w:color="auto"/>
        <w:left w:val="none" w:sz="0" w:space="0" w:color="auto"/>
        <w:bottom w:val="none" w:sz="0" w:space="0" w:color="auto"/>
        <w:right w:val="none" w:sz="0" w:space="0" w:color="auto"/>
      </w:divBdr>
    </w:div>
    <w:div w:id="1828862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2655BF-8ABA-4C6A-8ACD-8107A360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2196</Words>
  <Characters>12518</Characters>
  <Application>Microsoft Office Word</Application>
  <DocSecurity>0</DocSecurity>
  <Lines>104</Lines>
  <Paragraphs>29</Paragraphs>
  <ScaleCrop>false</ScaleCrop>
  <Company>Microsoft</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3</cp:revision>
  <cp:lastPrinted>2021-03-22T02:58:00Z</cp:lastPrinted>
  <dcterms:created xsi:type="dcterms:W3CDTF">2021-06-11T07:03:00Z</dcterms:created>
  <dcterms:modified xsi:type="dcterms:W3CDTF">2021-06-11T07:16:00Z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