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0" w:firstLineChars="0"/>
        <w:jc w:val="center"/>
        <w:rPr>
          <w:rFonts w:ascii="黑体" w:hAnsi="黑体" w:eastAsia="黑体" w:cs="黑体"/>
          <w:b/>
          <w:bCs/>
          <w:sz w:val="44"/>
          <w:szCs w:val="44"/>
        </w:rPr>
      </w:pPr>
      <w:r>
        <w:rPr>
          <w:rFonts w:hint="eastAsia" w:ascii="黑体" w:hAnsi="黑体" w:eastAsia="黑体" w:cs="黑体"/>
          <w:b/>
          <w:bCs/>
          <w:sz w:val="44"/>
          <w:szCs w:val="44"/>
        </w:rPr>
        <w:t>湛江市住房和城乡建设局商品房预售款</w:t>
      </w:r>
    </w:p>
    <w:p>
      <w:pPr>
        <w:spacing w:line="600" w:lineRule="exact"/>
        <w:ind w:firstLine="0" w:firstLineChars="0"/>
        <w:jc w:val="center"/>
        <w:rPr>
          <w:rFonts w:ascii="黑体" w:hAnsi="黑体" w:eastAsia="黑体" w:cs="仿宋"/>
          <w:szCs w:val="32"/>
        </w:rPr>
      </w:pPr>
      <w:r>
        <w:rPr>
          <w:rFonts w:hint="eastAsia" w:ascii="黑体" w:hAnsi="黑体" w:eastAsia="黑体" w:cs="黑体"/>
          <w:b/>
          <w:bCs/>
          <w:sz w:val="44"/>
          <w:szCs w:val="44"/>
        </w:rPr>
        <w:t>监督管理暂行办法</w:t>
      </w:r>
      <w:r>
        <w:rPr>
          <w:rFonts w:hint="eastAsia" w:ascii="黑体" w:hAnsi="黑体" w:eastAsia="黑体" w:cs="黑体"/>
          <w:b/>
          <w:bCs/>
          <w:szCs w:val="32"/>
        </w:rPr>
        <w:br w:type="textWrapping"/>
      </w:r>
    </w:p>
    <w:p>
      <w:pPr>
        <w:spacing w:line="600" w:lineRule="exact"/>
        <w:ind w:firstLine="0" w:firstLineChars="0"/>
        <w:jc w:val="center"/>
        <w:rPr>
          <w:rFonts w:ascii="楷体" w:hAnsi="楷体" w:eastAsia="楷体" w:cs="楷体"/>
          <w:b/>
          <w:sz w:val="36"/>
          <w:szCs w:val="36"/>
        </w:rPr>
      </w:pPr>
      <w:r>
        <w:rPr>
          <w:rFonts w:hint="eastAsia" w:ascii="楷体" w:hAnsi="楷体" w:eastAsia="楷体" w:cs="楷体"/>
          <w:b/>
          <w:sz w:val="36"/>
          <w:szCs w:val="36"/>
        </w:rPr>
        <w:t>目  录</w:t>
      </w:r>
    </w:p>
    <w:p>
      <w:pPr>
        <w:tabs>
          <w:tab w:val="left" w:pos="4791"/>
        </w:tabs>
        <w:spacing w:line="600" w:lineRule="exact"/>
        <w:ind w:firstLine="723"/>
        <w:jc w:val="left"/>
        <w:rPr>
          <w:rFonts w:ascii="楷体" w:hAnsi="楷体" w:eastAsia="楷体" w:cs="楷体"/>
          <w:b/>
          <w:sz w:val="36"/>
          <w:szCs w:val="36"/>
        </w:rPr>
      </w:pPr>
      <w:r>
        <w:rPr>
          <w:rFonts w:hint="eastAsia" w:ascii="楷体" w:hAnsi="楷体" w:eastAsia="楷体" w:cs="楷体"/>
          <w:b/>
          <w:sz w:val="36"/>
          <w:szCs w:val="36"/>
        </w:rPr>
        <w:tab/>
      </w:r>
    </w:p>
    <w:p>
      <w:pPr>
        <w:numPr>
          <w:ilvl w:val="0"/>
          <w:numId w:val="1"/>
        </w:numPr>
        <w:spacing w:line="600" w:lineRule="exact"/>
        <w:ind w:firstLine="723"/>
        <w:rPr>
          <w:rFonts w:ascii="楷体" w:hAnsi="楷体" w:eastAsia="楷体" w:cs="楷体"/>
          <w:b/>
          <w:sz w:val="36"/>
          <w:szCs w:val="36"/>
        </w:rPr>
      </w:pPr>
      <w:r>
        <w:rPr>
          <w:rFonts w:hint="eastAsia" w:ascii="楷体" w:hAnsi="楷体" w:eastAsia="楷体" w:cs="楷体"/>
          <w:b/>
          <w:sz w:val="36"/>
          <w:szCs w:val="36"/>
        </w:rPr>
        <w:t xml:space="preserve">  总则</w:t>
      </w:r>
    </w:p>
    <w:p>
      <w:pPr>
        <w:numPr>
          <w:ilvl w:val="0"/>
          <w:numId w:val="1"/>
        </w:numPr>
        <w:spacing w:line="600" w:lineRule="exact"/>
        <w:ind w:firstLine="723"/>
        <w:rPr>
          <w:rFonts w:ascii="楷体" w:hAnsi="楷体" w:eastAsia="楷体" w:cs="楷体"/>
          <w:b/>
          <w:bCs/>
          <w:sz w:val="36"/>
          <w:szCs w:val="36"/>
        </w:rPr>
      </w:pPr>
      <w:r>
        <w:rPr>
          <w:rFonts w:hint="eastAsia" w:ascii="楷体" w:hAnsi="楷体" w:eastAsia="楷体" w:cs="楷体"/>
          <w:b/>
          <w:sz w:val="36"/>
          <w:szCs w:val="36"/>
        </w:rPr>
        <w:t xml:space="preserve">  一般规定</w:t>
      </w:r>
    </w:p>
    <w:p>
      <w:pPr>
        <w:numPr>
          <w:ilvl w:val="0"/>
          <w:numId w:val="1"/>
        </w:numPr>
        <w:spacing w:line="600" w:lineRule="exact"/>
        <w:ind w:firstLine="723"/>
        <w:rPr>
          <w:rFonts w:ascii="楷体" w:hAnsi="楷体" w:eastAsia="楷体" w:cs="楷体"/>
          <w:b/>
          <w:sz w:val="36"/>
          <w:szCs w:val="36"/>
        </w:rPr>
      </w:pPr>
      <w:r>
        <w:rPr>
          <w:rFonts w:hint="eastAsia" w:ascii="楷体" w:hAnsi="楷体" w:eastAsia="楷体" w:cs="楷体"/>
          <w:b/>
          <w:sz w:val="36"/>
          <w:szCs w:val="36"/>
        </w:rPr>
        <w:t xml:space="preserve">  预售款的存入、使用</w:t>
      </w:r>
    </w:p>
    <w:p>
      <w:pPr>
        <w:numPr>
          <w:ilvl w:val="0"/>
          <w:numId w:val="1"/>
        </w:numPr>
        <w:spacing w:line="600" w:lineRule="exact"/>
        <w:ind w:firstLine="723"/>
        <w:rPr>
          <w:rFonts w:ascii="楷体" w:hAnsi="楷体" w:eastAsia="楷体" w:cs="楷体"/>
          <w:b/>
          <w:sz w:val="36"/>
          <w:szCs w:val="36"/>
        </w:rPr>
      </w:pPr>
      <w:r>
        <w:rPr>
          <w:rFonts w:hint="eastAsia" w:ascii="楷体" w:hAnsi="楷体" w:eastAsia="楷体" w:cs="楷体"/>
          <w:b/>
          <w:sz w:val="36"/>
          <w:szCs w:val="36"/>
        </w:rPr>
        <w:t xml:space="preserve">  监督管理</w:t>
      </w:r>
    </w:p>
    <w:p>
      <w:pPr>
        <w:numPr>
          <w:ilvl w:val="0"/>
          <w:numId w:val="1"/>
        </w:numPr>
        <w:spacing w:line="600" w:lineRule="exact"/>
        <w:ind w:firstLine="723"/>
        <w:rPr>
          <w:rFonts w:ascii="楷体" w:hAnsi="楷体" w:eastAsia="楷体" w:cs="楷体"/>
          <w:b/>
          <w:sz w:val="36"/>
          <w:szCs w:val="36"/>
        </w:rPr>
      </w:pPr>
      <w:r>
        <w:rPr>
          <w:rFonts w:hint="eastAsia" w:ascii="楷体" w:hAnsi="楷体" w:eastAsia="楷体" w:cs="楷体"/>
          <w:b/>
          <w:sz w:val="36"/>
          <w:szCs w:val="36"/>
        </w:rPr>
        <w:t xml:space="preserve">  法律责任</w:t>
      </w:r>
    </w:p>
    <w:p>
      <w:pPr>
        <w:numPr>
          <w:ilvl w:val="0"/>
          <w:numId w:val="1"/>
        </w:numPr>
        <w:spacing w:line="600" w:lineRule="exact"/>
        <w:ind w:firstLine="723"/>
        <w:rPr>
          <w:rFonts w:ascii="楷体" w:hAnsi="楷体" w:eastAsia="楷体" w:cs="楷体"/>
          <w:b/>
          <w:sz w:val="36"/>
          <w:szCs w:val="36"/>
        </w:rPr>
      </w:pPr>
      <w:r>
        <w:rPr>
          <w:rFonts w:hint="eastAsia" w:ascii="楷体" w:hAnsi="楷体" w:eastAsia="楷体" w:cs="楷体"/>
          <w:b/>
          <w:sz w:val="36"/>
          <w:szCs w:val="36"/>
        </w:rPr>
        <w:t xml:space="preserve">  附 则</w:t>
      </w:r>
    </w:p>
    <w:p>
      <w:pPr>
        <w:spacing w:line="600" w:lineRule="exact"/>
        <w:ind w:firstLine="643"/>
        <w:rPr>
          <w:rFonts w:ascii="楷体" w:hAnsi="楷体" w:eastAsia="楷体" w:cs="楷体"/>
          <w:b/>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docGrid w:type="lines" w:linePitch="312" w:charSpace="0"/>
        </w:sectPr>
      </w:pPr>
    </w:p>
    <w:p>
      <w:pPr>
        <w:spacing w:line="600" w:lineRule="exact"/>
        <w:ind w:firstLine="0" w:firstLineChars="0"/>
        <w:jc w:val="center"/>
        <w:rPr>
          <w:rFonts w:ascii="黑体" w:hAnsi="黑体" w:eastAsia="黑体" w:cs="仿宋"/>
          <w:b/>
          <w:sz w:val="36"/>
          <w:szCs w:val="36"/>
        </w:rPr>
      </w:pPr>
      <w:r>
        <w:rPr>
          <w:rFonts w:hint="eastAsia" w:ascii="黑体" w:hAnsi="黑体" w:eastAsia="黑体" w:cs="仿宋"/>
          <w:b/>
          <w:sz w:val="36"/>
          <w:szCs w:val="36"/>
        </w:rPr>
        <w:t>湛江市住房和城乡建设局商品房预售款监督管理暂行办法</w:t>
      </w:r>
    </w:p>
    <w:p>
      <w:pPr>
        <w:spacing w:line="600" w:lineRule="exact"/>
        <w:ind w:firstLine="4016" w:firstLineChars="1250"/>
        <w:rPr>
          <w:rFonts w:ascii="宋体" w:hAnsi="宋体" w:eastAsia="宋体" w:cs="仿宋"/>
          <w:b/>
          <w:szCs w:val="32"/>
        </w:rPr>
      </w:pPr>
    </w:p>
    <w:p>
      <w:pPr>
        <w:spacing w:line="600" w:lineRule="exact"/>
        <w:ind w:firstLine="0" w:firstLineChars="0"/>
        <w:jc w:val="center"/>
        <w:rPr>
          <w:rFonts w:ascii="仿宋" w:hAnsi="仿宋" w:cs="仿宋"/>
          <w:b/>
          <w:szCs w:val="32"/>
        </w:rPr>
      </w:pPr>
      <w:r>
        <w:rPr>
          <w:rFonts w:hint="eastAsia" w:ascii="仿宋" w:hAnsi="仿宋" w:cs="仿宋"/>
          <w:b/>
          <w:szCs w:val="32"/>
        </w:rPr>
        <w:t>第一章 总则</w:t>
      </w:r>
    </w:p>
    <w:p>
      <w:pPr>
        <w:spacing w:line="600" w:lineRule="exact"/>
        <w:ind w:firstLine="643"/>
        <w:rPr>
          <w:rFonts w:ascii="仿宋" w:hAnsi="仿宋" w:cs="仿宋"/>
          <w:szCs w:val="32"/>
        </w:rPr>
      </w:pPr>
      <w:r>
        <w:rPr>
          <w:rFonts w:hint="eastAsia" w:ascii="仿宋" w:hAnsi="仿宋" w:cs="仿宋"/>
          <w:b/>
          <w:szCs w:val="32"/>
        </w:rPr>
        <w:t>第一条</w:t>
      </w:r>
      <w:r>
        <w:rPr>
          <w:rFonts w:hint="eastAsia" w:ascii="仿宋" w:hAnsi="仿宋" w:cs="仿宋"/>
          <w:szCs w:val="32"/>
        </w:rPr>
        <w:t xml:space="preserve"> 为加强本市商品房预售款监督管理，保证商品房预售款专款专用，维护商品房交易双方的合法权益,促进房地产市场健康发展。根据《中华人民共和国城市房地产管理法》、《城市商品房预售管理办法》和《广东省商品房预售管理条例》、《关于进一步加强房地产市场监管完善商品住房预售制度有关问题的通知》（建房</w:t>
      </w:r>
      <w:r>
        <w:rPr>
          <w:rFonts w:hint="eastAsia" w:ascii="仿宋_GB2312" w:hAnsi="仿宋" w:eastAsia="仿宋_GB2312"/>
          <w:sz w:val="32"/>
          <w:szCs w:val="32"/>
        </w:rPr>
        <w:t>〔201</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bookmarkStart w:id="0" w:name="_GoBack"/>
      <w:bookmarkEnd w:id="0"/>
      <w:r>
        <w:rPr>
          <w:rFonts w:hint="eastAsia" w:ascii="仿宋" w:hAnsi="仿宋" w:cs="仿宋"/>
          <w:szCs w:val="32"/>
        </w:rPr>
        <w:t>53号）等法律、法规的规定，结合本市实际，制定本办法。</w:t>
      </w:r>
    </w:p>
    <w:p>
      <w:pPr>
        <w:spacing w:line="600" w:lineRule="exact"/>
        <w:ind w:firstLine="640"/>
        <w:rPr>
          <w:rFonts w:ascii="仿宋" w:hAnsi="仿宋" w:cs="仿宋"/>
          <w:szCs w:val="32"/>
        </w:rPr>
      </w:pPr>
      <w:r>
        <w:rPr>
          <w:rFonts w:hint="eastAsia" w:ascii="仿宋" w:hAnsi="仿宋" w:cs="仿宋"/>
          <w:szCs w:val="32"/>
        </w:rPr>
        <w:t>第二条 凡在本市行政区域内经批准预售的商品房预售款的收存、使用和监督管理工作,适用本办法。</w:t>
      </w:r>
    </w:p>
    <w:p>
      <w:pPr>
        <w:spacing w:line="600" w:lineRule="exact"/>
        <w:ind w:firstLine="640"/>
        <w:rPr>
          <w:rFonts w:ascii="仿宋" w:hAnsi="仿宋" w:cs="仿宋"/>
          <w:szCs w:val="32"/>
        </w:rPr>
      </w:pPr>
      <w:r>
        <w:rPr>
          <w:rFonts w:hint="eastAsia" w:ascii="仿宋" w:hAnsi="仿宋" w:cs="仿宋"/>
          <w:szCs w:val="32"/>
        </w:rPr>
        <w:t>第三条 本办法所称商品房预售款，是指预购人依照合同的约定，预先支付给房地产开发企业，在商品房验收交付使用前用作该商品房建设费用的款项，包括首付款、购房贷款以及其他形式的购房款。</w:t>
      </w:r>
    </w:p>
    <w:p>
      <w:pPr>
        <w:spacing w:line="600" w:lineRule="exact"/>
        <w:ind w:firstLine="640"/>
        <w:rPr>
          <w:rFonts w:ascii="仿宋" w:hAnsi="仿宋" w:cs="仿宋"/>
          <w:szCs w:val="32"/>
        </w:rPr>
      </w:pPr>
      <w:r>
        <w:rPr>
          <w:rFonts w:hint="eastAsia" w:ascii="仿宋" w:hAnsi="仿宋" w:cs="仿宋"/>
          <w:szCs w:val="32"/>
        </w:rPr>
        <w:t>第四条 湛江市住房和城乡建设局（以下简称市住建局）负责监督指导全市商品房预售款监管工作。各县（市、区）相应的职能部门负责组织实施本行政区域内商品房预售款监管工作，房地产交易机构负责开展本区域商品房预售款监管具体工作。</w:t>
      </w:r>
    </w:p>
    <w:p>
      <w:pPr>
        <w:spacing w:line="600" w:lineRule="exact"/>
        <w:ind w:firstLine="0" w:firstLineChars="0"/>
        <w:jc w:val="center"/>
        <w:rPr>
          <w:rFonts w:ascii="仿宋" w:hAnsi="仿宋" w:cs="仿宋"/>
          <w:b/>
          <w:szCs w:val="32"/>
        </w:rPr>
      </w:pPr>
      <w:r>
        <w:rPr>
          <w:rFonts w:hint="eastAsia" w:ascii="仿宋" w:hAnsi="仿宋" w:cs="仿宋"/>
          <w:b/>
          <w:szCs w:val="32"/>
        </w:rPr>
        <w:t>第二章 一般规定</w:t>
      </w:r>
    </w:p>
    <w:p>
      <w:pPr>
        <w:spacing w:line="600" w:lineRule="exact"/>
        <w:ind w:firstLine="640"/>
        <w:rPr>
          <w:rFonts w:ascii="仿宋" w:hAnsi="仿宋" w:cs="仿宋"/>
          <w:color w:val="FF0000"/>
          <w:szCs w:val="32"/>
        </w:rPr>
      </w:pPr>
      <w:r>
        <w:rPr>
          <w:rFonts w:hint="eastAsia" w:ascii="仿宋" w:hAnsi="仿宋" w:cs="仿宋"/>
          <w:color w:val="000000"/>
          <w:szCs w:val="32"/>
        </w:rPr>
        <w:t>第五条 房地产开发企业须在商品房项目所在地的银行设立商品房预售款专用账户（以下简称预售款专用账户）。预售款专用账户内的款项，用于购买项目建设必需的建筑材料、设备和支付项目建设的施工进度款及法定税费。主体工程完成验收后，在符合规定的留存比例条件下（详见第十三条），房地产开发企业可申请划拨该项目在取得预售证前支付的工程款、法定税费等资金。</w:t>
      </w:r>
    </w:p>
    <w:p>
      <w:pPr>
        <w:spacing w:line="600" w:lineRule="exact"/>
        <w:ind w:firstLine="640"/>
        <w:rPr>
          <w:rFonts w:ascii="仿宋" w:hAnsi="仿宋" w:cs="仿宋"/>
          <w:szCs w:val="32"/>
        </w:rPr>
      </w:pPr>
      <w:r>
        <w:rPr>
          <w:rFonts w:hint="eastAsia" w:ascii="仿宋" w:hAnsi="仿宋" w:cs="仿宋"/>
          <w:szCs w:val="32"/>
        </w:rPr>
        <w:t>第六条 房地产开发企业应在申请商品房预售许可证前设立预售款专用账户，并在商品房项目所在地的房地产交易监管机构（以下简称监管机构）办理预售款专用账户监管手续。监管机构、监管开户银行（以下简称监管银行）、开发企业三方应签订商品房预售款监管协议（以下简称监管协议）。</w:t>
      </w:r>
    </w:p>
    <w:p>
      <w:pPr>
        <w:spacing w:line="600" w:lineRule="exact"/>
        <w:ind w:firstLine="640"/>
        <w:rPr>
          <w:rFonts w:ascii="仿宋" w:hAnsi="仿宋" w:cs="仿宋"/>
          <w:szCs w:val="32"/>
        </w:rPr>
      </w:pPr>
      <w:r>
        <w:rPr>
          <w:rFonts w:hint="eastAsia" w:ascii="仿宋" w:hAnsi="仿宋" w:cs="仿宋"/>
          <w:szCs w:val="32"/>
        </w:rPr>
        <w:t>房地产开发企业一个预售许可证原则上对应一个预售款专用账户。</w:t>
      </w:r>
    </w:p>
    <w:p>
      <w:pPr>
        <w:spacing w:line="600" w:lineRule="exact"/>
        <w:ind w:firstLine="640"/>
        <w:rPr>
          <w:rFonts w:ascii="仿宋" w:hAnsi="仿宋" w:cs="仿宋"/>
          <w:szCs w:val="32"/>
        </w:rPr>
      </w:pPr>
      <w:r>
        <w:rPr>
          <w:rFonts w:hint="eastAsia" w:ascii="仿宋" w:hAnsi="仿宋" w:cs="仿宋"/>
          <w:szCs w:val="32"/>
        </w:rPr>
        <w:t>第七条 办理预售款专用账户监管手续，房地产开发企业应当向监管机构提供下列资料：</w:t>
      </w:r>
    </w:p>
    <w:p>
      <w:pPr>
        <w:spacing w:line="600" w:lineRule="exact"/>
        <w:ind w:firstLine="640"/>
        <w:rPr>
          <w:rFonts w:ascii="仿宋" w:hAnsi="仿宋" w:cs="仿宋"/>
          <w:szCs w:val="32"/>
        </w:rPr>
      </w:pPr>
      <w:r>
        <w:rPr>
          <w:rFonts w:hint="eastAsia" w:ascii="仿宋" w:hAnsi="仿宋" w:cs="仿宋"/>
          <w:szCs w:val="32"/>
        </w:rPr>
        <w:t>（一）申请书原件；</w:t>
      </w:r>
    </w:p>
    <w:p>
      <w:pPr>
        <w:spacing w:line="600" w:lineRule="exact"/>
        <w:ind w:firstLine="640"/>
        <w:rPr>
          <w:rFonts w:ascii="仿宋" w:hAnsi="仿宋" w:cs="仿宋"/>
          <w:szCs w:val="32"/>
        </w:rPr>
      </w:pPr>
      <w:r>
        <w:rPr>
          <w:rFonts w:hint="eastAsia" w:ascii="仿宋" w:hAnsi="仿宋" w:cs="仿宋"/>
          <w:szCs w:val="32"/>
        </w:rPr>
        <w:t>（二）选定的监管银行及开立的预售款专用账户名称、账号；</w:t>
      </w:r>
    </w:p>
    <w:p>
      <w:pPr>
        <w:spacing w:line="600" w:lineRule="exact"/>
        <w:ind w:firstLine="640"/>
        <w:rPr>
          <w:rFonts w:ascii="仿宋" w:hAnsi="仿宋" w:cs="仿宋"/>
          <w:szCs w:val="32"/>
        </w:rPr>
      </w:pPr>
      <w:r>
        <w:rPr>
          <w:rFonts w:hint="eastAsia" w:ascii="仿宋" w:hAnsi="仿宋" w:cs="仿宋"/>
          <w:szCs w:val="32"/>
        </w:rPr>
        <w:t>（三）与监管银行签订的监管协议。</w:t>
      </w:r>
    </w:p>
    <w:p>
      <w:pPr>
        <w:spacing w:line="600" w:lineRule="exact"/>
        <w:ind w:firstLine="640"/>
        <w:rPr>
          <w:rFonts w:ascii="仿宋" w:hAnsi="仿宋" w:cs="仿宋"/>
          <w:szCs w:val="32"/>
        </w:rPr>
      </w:pPr>
      <w:r>
        <w:rPr>
          <w:rFonts w:hint="eastAsia" w:ascii="仿宋" w:hAnsi="仿宋" w:cs="仿宋"/>
          <w:szCs w:val="32"/>
        </w:rPr>
        <w:t>第八条 房地产开发企业应根据项目建设方案及施工进度编制预售项目用款计划，并根据用款计划申请使用商品房预售款。用款计划应按照取得预售许可、主体工程完成验收、竣工验收备案等三个环节设置资金使用节点，并在每个节点留存不低于本办法第十三条规定的保底资金留存额度。</w:t>
      </w:r>
    </w:p>
    <w:p>
      <w:pPr>
        <w:spacing w:line="600" w:lineRule="exact"/>
        <w:ind w:firstLine="640"/>
        <w:rPr>
          <w:rFonts w:ascii="仿宋" w:hAnsi="仿宋" w:cs="仿宋"/>
          <w:szCs w:val="32"/>
        </w:rPr>
      </w:pPr>
      <w:r>
        <w:rPr>
          <w:rFonts w:hint="eastAsia" w:ascii="仿宋" w:hAnsi="仿宋" w:cs="仿宋"/>
          <w:szCs w:val="32"/>
        </w:rPr>
        <w:t>第九条 房地产开发企业在房地产项目办理首次登记后，持下列资料到监管机构申请解除该项目预售款专用账户监管。</w:t>
      </w:r>
    </w:p>
    <w:p>
      <w:pPr>
        <w:spacing w:line="600" w:lineRule="exact"/>
        <w:ind w:firstLine="640"/>
        <w:rPr>
          <w:rFonts w:ascii="仿宋" w:hAnsi="仿宋" w:cs="仿宋"/>
          <w:szCs w:val="32"/>
        </w:rPr>
      </w:pPr>
      <w:r>
        <w:rPr>
          <w:rFonts w:hint="eastAsia" w:ascii="仿宋" w:hAnsi="仿宋" w:cs="仿宋"/>
          <w:szCs w:val="32"/>
        </w:rPr>
        <w:t>（一）申请书原件；</w:t>
      </w:r>
    </w:p>
    <w:p>
      <w:pPr>
        <w:spacing w:line="600" w:lineRule="exact"/>
        <w:ind w:firstLine="640"/>
        <w:rPr>
          <w:rFonts w:ascii="仿宋" w:hAnsi="仿宋" w:cs="仿宋"/>
          <w:szCs w:val="32"/>
        </w:rPr>
      </w:pPr>
      <w:r>
        <w:rPr>
          <w:rFonts w:hint="eastAsia" w:ascii="仿宋" w:hAnsi="仿宋" w:cs="仿宋"/>
          <w:szCs w:val="32"/>
        </w:rPr>
        <w:t>（二）已办理首次登记的《不动产权证》。</w:t>
      </w:r>
    </w:p>
    <w:p>
      <w:pPr>
        <w:spacing w:line="600" w:lineRule="exact"/>
        <w:ind w:firstLine="640"/>
        <w:rPr>
          <w:rFonts w:ascii="仿宋" w:hAnsi="仿宋" w:cs="仿宋"/>
          <w:szCs w:val="32"/>
        </w:rPr>
      </w:pPr>
      <w:r>
        <w:rPr>
          <w:rFonts w:hint="eastAsia" w:ascii="仿宋" w:hAnsi="仿宋" w:cs="仿宋"/>
          <w:szCs w:val="32"/>
        </w:rPr>
        <w:t>监管机构核实后，出具预售款专用账户监管解除证明，房地产开发企业凭解除证明向监管银行办理解除预售款专用账户监管。</w:t>
      </w:r>
    </w:p>
    <w:p>
      <w:pPr>
        <w:spacing w:line="600" w:lineRule="exact"/>
        <w:ind w:firstLine="0" w:firstLineChars="0"/>
        <w:jc w:val="center"/>
        <w:rPr>
          <w:rFonts w:ascii="仿宋" w:hAnsi="仿宋" w:cs="仿宋"/>
          <w:b/>
          <w:szCs w:val="32"/>
        </w:rPr>
      </w:pPr>
      <w:r>
        <w:rPr>
          <w:rFonts w:hint="eastAsia" w:ascii="仿宋" w:hAnsi="仿宋" w:cs="仿宋"/>
          <w:b/>
          <w:szCs w:val="32"/>
        </w:rPr>
        <w:t>第三章 预售款的存入、使用</w:t>
      </w:r>
    </w:p>
    <w:p>
      <w:pPr>
        <w:spacing w:line="600" w:lineRule="exact"/>
        <w:ind w:firstLine="640"/>
        <w:rPr>
          <w:rFonts w:ascii="仿宋" w:hAnsi="仿宋" w:cs="仿宋"/>
          <w:szCs w:val="32"/>
        </w:rPr>
      </w:pPr>
      <w:r>
        <w:rPr>
          <w:rFonts w:hint="eastAsia" w:ascii="仿宋" w:hAnsi="仿宋" w:cs="仿宋"/>
          <w:szCs w:val="32"/>
        </w:rPr>
        <w:t>第十条 预购人应当按合同约定的付款时间，将商品房预售款直接存入商品房预售款专用账户，凭银行出具的存款凭证，向预售人换领交款收据。</w:t>
      </w:r>
    </w:p>
    <w:p>
      <w:pPr>
        <w:spacing w:line="600" w:lineRule="exact"/>
        <w:ind w:firstLine="640"/>
        <w:rPr>
          <w:rFonts w:ascii="仿宋" w:hAnsi="仿宋" w:cs="仿宋"/>
          <w:szCs w:val="32"/>
          <w:highlight w:val="yellow"/>
        </w:rPr>
      </w:pPr>
      <w:r>
        <w:rPr>
          <w:rFonts w:hint="eastAsia" w:ascii="仿宋" w:hAnsi="仿宋" w:cs="仿宋"/>
          <w:szCs w:val="32"/>
        </w:rPr>
        <w:t>第十一条 房地产开发企业或销售企业与预购人网上签订商品房预售合同时，不得以现金的方式直接收存商品房预售款，应要求预购人以银行转账或POS机刷卡等方式直接存入预售款专用账户。网上联机打印《湛江市商品房预售款缴款通知书》交给预购人后，由预购人将购房款直接转入预售款专用账户；同时，房地产开发企业向预购人开具收据或发票；发生退款的，按原支付途径，将资金退回预购人的银行账户。</w:t>
      </w:r>
    </w:p>
    <w:p>
      <w:pPr>
        <w:spacing w:line="600" w:lineRule="exact"/>
        <w:ind w:firstLine="640"/>
        <w:rPr>
          <w:rFonts w:ascii="仿宋" w:hAnsi="仿宋" w:cs="仿宋"/>
          <w:szCs w:val="32"/>
        </w:rPr>
      </w:pPr>
      <w:r>
        <w:rPr>
          <w:rFonts w:hint="eastAsia" w:ascii="仿宋" w:hAnsi="仿宋" w:cs="仿宋"/>
          <w:szCs w:val="32"/>
        </w:rPr>
        <w:t>第十二条 采取商业贷款或住房公积金贷款的，由贷款银行或住房公积金管理机构将购房贷款直接划入相应的预售款专用账户。</w:t>
      </w:r>
    </w:p>
    <w:p>
      <w:pPr>
        <w:spacing w:line="600" w:lineRule="exact"/>
        <w:ind w:firstLine="640"/>
        <w:rPr>
          <w:rFonts w:ascii="仿宋" w:hAnsi="仿宋" w:cs="仿宋"/>
          <w:szCs w:val="32"/>
          <w:highlight w:val="yellow"/>
        </w:rPr>
      </w:pPr>
      <w:r>
        <w:rPr>
          <w:rFonts w:hint="eastAsia" w:ascii="仿宋" w:hAnsi="仿宋" w:cs="仿宋"/>
          <w:szCs w:val="32"/>
        </w:rPr>
        <w:t>第十三条 房地产开发企业取得项目的预售许可证后，预售款专用账户的资金按累计进账总金额的10%作为保底资金留存；主体工程完成验收后，按累计进账总金额的5%作为保底资金留存；办理竣工验收备案后，按累计进账总金额的2%作为保底资金留存。</w:t>
      </w:r>
    </w:p>
    <w:p>
      <w:pPr>
        <w:spacing w:line="600" w:lineRule="exact"/>
        <w:ind w:firstLine="640"/>
        <w:rPr>
          <w:rFonts w:ascii="仿宋" w:hAnsi="仿宋" w:cs="仿宋"/>
          <w:szCs w:val="32"/>
        </w:rPr>
      </w:pPr>
      <w:r>
        <w:rPr>
          <w:rFonts w:hint="eastAsia" w:ascii="仿宋" w:hAnsi="仿宋" w:cs="仿宋"/>
          <w:szCs w:val="32"/>
        </w:rPr>
        <w:t>第十四条 房地产开发企业申请拨付使用预售款专用账户内的资金，应向监管机构提交以下材料：</w:t>
      </w:r>
    </w:p>
    <w:p>
      <w:pPr>
        <w:spacing w:line="600" w:lineRule="exact"/>
        <w:ind w:firstLine="640"/>
        <w:rPr>
          <w:rFonts w:ascii="仿宋" w:hAnsi="仿宋" w:cs="仿宋"/>
          <w:szCs w:val="32"/>
        </w:rPr>
      </w:pPr>
      <w:r>
        <w:rPr>
          <w:rFonts w:hint="eastAsia" w:ascii="仿宋" w:hAnsi="仿宋" w:cs="仿宋"/>
          <w:szCs w:val="32"/>
        </w:rPr>
        <w:t>（一）申请书原件；</w:t>
      </w:r>
    </w:p>
    <w:p>
      <w:pPr>
        <w:spacing w:line="600" w:lineRule="exact"/>
        <w:ind w:firstLine="640"/>
        <w:rPr>
          <w:rFonts w:ascii="仿宋" w:hAnsi="仿宋" w:cs="仿宋"/>
          <w:szCs w:val="32"/>
        </w:rPr>
      </w:pPr>
      <w:r>
        <w:rPr>
          <w:rFonts w:hint="eastAsia" w:ascii="仿宋" w:hAnsi="仿宋" w:cs="仿宋"/>
          <w:szCs w:val="32"/>
        </w:rPr>
        <w:t>（二）监管银行对账单原件（需经银行盖章）；</w:t>
      </w:r>
    </w:p>
    <w:p>
      <w:pPr>
        <w:spacing w:line="600" w:lineRule="exact"/>
        <w:ind w:firstLine="640"/>
        <w:rPr>
          <w:rFonts w:ascii="仿宋" w:hAnsi="仿宋" w:cs="仿宋"/>
          <w:szCs w:val="32"/>
        </w:rPr>
      </w:pPr>
      <w:r>
        <w:rPr>
          <w:rFonts w:hint="eastAsia" w:ascii="仿宋" w:hAnsi="仿宋" w:cs="仿宋"/>
          <w:szCs w:val="32"/>
        </w:rPr>
        <w:t>（三）预售款拨付记录累计表原件；</w:t>
      </w:r>
    </w:p>
    <w:p>
      <w:pPr>
        <w:spacing w:line="600" w:lineRule="exact"/>
        <w:ind w:firstLine="640"/>
        <w:rPr>
          <w:rFonts w:ascii="仿宋" w:hAnsi="仿宋" w:cs="仿宋"/>
          <w:color w:val="FF0000"/>
          <w:szCs w:val="32"/>
        </w:rPr>
      </w:pPr>
      <w:r>
        <w:rPr>
          <w:rFonts w:hint="eastAsia" w:ascii="仿宋" w:hAnsi="仿宋" w:cs="仿宋"/>
          <w:szCs w:val="32"/>
        </w:rPr>
        <w:t>（四）用款单位申请原件。</w:t>
      </w:r>
    </w:p>
    <w:p>
      <w:pPr>
        <w:spacing w:line="600" w:lineRule="exact"/>
        <w:ind w:firstLine="640"/>
        <w:rPr>
          <w:rFonts w:hint="eastAsia" w:ascii="仿宋" w:hAnsi="仿宋" w:cs="仿宋"/>
          <w:szCs w:val="32"/>
        </w:rPr>
      </w:pPr>
      <w:r>
        <w:rPr>
          <w:rFonts w:hint="eastAsia" w:ascii="仿宋" w:hAnsi="仿宋" w:cs="仿宋"/>
          <w:szCs w:val="32"/>
        </w:rPr>
        <w:t>（五）用于支付工程款的，由监理单位出具的施工进度情况说明；用于支付购买项目建设必需的建筑材料、设备款项的，提供与供应商签订的购销合同；用于法定税费的提供税务部门的发票等凭证；其他能够证明法定用途需要资金的资料。</w:t>
      </w:r>
    </w:p>
    <w:p>
      <w:pPr>
        <w:spacing w:line="600" w:lineRule="exact"/>
        <w:ind w:firstLine="640"/>
        <w:rPr>
          <w:rFonts w:ascii="仿宋" w:hAnsi="仿宋" w:cs="仿宋"/>
          <w:szCs w:val="32"/>
        </w:rPr>
      </w:pPr>
      <w:r>
        <w:rPr>
          <w:rFonts w:hint="eastAsia" w:ascii="仿宋" w:hAnsi="仿宋" w:cs="仿宋"/>
          <w:szCs w:val="32"/>
        </w:rPr>
        <w:t>第十五条 监管机构受理房地产开发企业用款申请后，审查申请人提供的资料，须在五个工作日内办理完毕。</w:t>
      </w:r>
    </w:p>
    <w:p>
      <w:pPr>
        <w:spacing w:line="600" w:lineRule="exact"/>
        <w:ind w:firstLine="640"/>
        <w:rPr>
          <w:rFonts w:ascii="仿宋" w:hAnsi="仿宋" w:cs="仿宋"/>
          <w:szCs w:val="32"/>
        </w:rPr>
      </w:pPr>
      <w:r>
        <w:rPr>
          <w:rFonts w:hint="eastAsia" w:ascii="仿宋" w:hAnsi="仿宋" w:cs="仿宋"/>
          <w:szCs w:val="32"/>
        </w:rPr>
        <w:t>同意使用预售款的，监管机构出具《商品房预售款专户资金拨付批准书》，监管银行按批准书核准数额应在两个工作日内予以拨付。办理完毕后，房地产开发企业应将拨款回执送监管机构备案。</w:t>
      </w:r>
    </w:p>
    <w:p>
      <w:pPr>
        <w:spacing w:line="600" w:lineRule="exact"/>
        <w:ind w:firstLine="0" w:firstLineChars="0"/>
        <w:jc w:val="center"/>
        <w:rPr>
          <w:rFonts w:ascii="仿宋" w:hAnsi="仿宋" w:cs="仿宋"/>
          <w:b/>
          <w:szCs w:val="32"/>
        </w:rPr>
      </w:pPr>
      <w:r>
        <w:rPr>
          <w:rFonts w:hint="eastAsia" w:ascii="仿宋" w:hAnsi="仿宋" w:cs="仿宋"/>
          <w:b/>
          <w:szCs w:val="32"/>
        </w:rPr>
        <w:t>第四章 监督管理</w:t>
      </w:r>
    </w:p>
    <w:p>
      <w:pPr>
        <w:spacing w:line="600" w:lineRule="exact"/>
        <w:ind w:firstLine="640"/>
        <w:rPr>
          <w:rFonts w:ascii="仿宋" w:hAnsi="仿宋" w:cs="仿宋"/>
          <w:szCs w:val="32"/>
        </w:rPr>
      </w:pPr>
      <w:r>
        <w:rPr>
          <w:rFonts w:hint="eastAsia" w:ascii="仿宋" w:hAnsi="仿宋" w:cs="仿宋"/>
          <w:szCs w:val="32"/>
        </w:rPr>
        <w:t>第十六条 监管机构应当对预售款专用账户情况进行及时监督，定期对工程进度情况和销售情况进行现场巡检。</w:t>
      </w:r>
    </w:p>
    <w:p>
      <w:pPr>
        <w:spacing w:line="600" w:lineRule="exact"/>
        <w:ind w:firstLine="640"/>
        <w:rPr>
          <w:rFonts w:ascii="仿宋" w:hAnsi="仿宋" w:cs="仿宋"/>
          <w:szCs w:val="32"/>
        </w:rPr>
      </w:pPr>
      <w:r>
        <w:rPr>
          <w:rFonts w:hint="eastAsia" w:ascii="仿宋" w:hAnsi="仿宋" w:cs="仿宋"/>
          <w:szCs w:val="32"/>
        </w:rPr>
        <w:t>第十七条 监管银行应派专人负责商品房预售款监管工作及预售资金监管系统管理，严格按照预售资金监管系统数据接口规范，向预售资金监管系统准确、实时上传数据。并按监管机构要求实时报送专用账户出入账情况。如发生监管资金被查封、冻结的情形，监管银行应及时向监管部门书面通报具体情况。</w:t>
      </w:r>
    </w:p>
    <w:p>
      <w:pPr>
        <w:spacing w:line="600" w:lineRule="exact"/>
        <w:ind w:firstLine="640"/>
        <w:rPr>
          <w:rFonts w:ascii="仿宋" w:hAnsi="仿宋" w:cs="仿宋"/>
          <w:szCs w:val="32"/>
        </w:rPr>
      </w:pPr>
      <w:r>
        <w:rPr>
          <w:rFonts w:hint="eastAsia" w:ascii="仿宋" w:hAnsi="仿宋" w:cs="仿宋"/>
          <w:szCs w:val="32"/>
        </w:rPr>
        <w:t>第十八条 房地产开发企业有下列情形之一的，查处期间，监管机构应暂停核准该房地产开发企业的商品房预售款使用申请。已核准尚未拨付的，应书面通知监管银行暂停预售款专用账户的资金拨付。</w:t>
      </w:r>
    </w:p>
    <w:p>
      <w:pPr>
        <w:spacing w:line="600" w:lineRule="exact"/>
        <w:ind w:firstLine="640"/>
        <w:rPr>
          <w:rFonts w:ascii="仿宋" w:hAnsi="仿宋" w:cs="仿宋"/>
          <w:szCs w:val="32"/>
        </w:rPr>
      </w:pPr>
      <w:r>
        <w:rPr>
          <w:rFonts w:hint="eastAsia" w:ascii="仿宋" w:hAnsi="仿宋" w:cs="仿宋"/>
          <w:szCs w:val="32"/>
        </w:rPr>
        <w:t>（一）存在违法违规行为导致项目停工的；</w:t>
      </w:r>
    </w:p>
    <w:p>
      <w:pPr>
        <w:spacing w:line="600" w:lineRule="exact"/>
        <w:ind w:firstLine="640"/>
        <w:rPr>
          <w:rFonts w:ascii="仿宋" w:hAnsi="仿宋" w:cs="仿宋"/>
          <w:szCs w:val="32"/>
        </w:rPr>
      </w:pPr>
      <w:r>
        <w:rPr>
          <w:rFonts w:hint="eastAsia" w:ascii="仿宋" w:hAnsi="仿宋" w:cs="仿宋"/>
          <w:szCs w:val="32"/>
        </w:rPr>
        <w:t>（二）预售项目工程建设存在严重质量问题的；</w:t>
      </w:r>
    </w:p>
    <w:p>
      <w:pPr>
        <w:spacing w:line="600" w:lineRule="exact"/>
        <w:ind w:firstLine="640"/>
        <w:rPr>
          <w:rFonts w:ascii="仿宋" w:hAnsi="仿宋" w:cs="仿宋"/>
          <w:szCs w:val="32"/>
        </w:rPr>
      </w:pPr>
      <w:r>
        <w:rPr>
          <w:rFonts w:hint="eastAsia" w:ascii="仿宋" w:hAnsi="仿宋" w:cs="仿宋"/>
          <w:szCs w:val="32"/>
        </w:rPr>
        <w:t>（三）收款单位营业范围与申请用款用途不符的；</w:t>
      </w:r>
    </w:p>
    <w:p>
      <w:pPr>
        <w:spacing w:line="600" w:lineRule="exact"/>
        <w:ind w:firstLine="640"/>
        <w:rPr>
          <w:rFonts w:ascii="仿宋" w:hAnsi="仿宋" w:cs="仿宋"/>
          <w:szCs w:val="32"/>
        </w:rPr>
      </w:pPr>
      <w:r>
        <w:rPr>
          <w:rFonts w:hint="eastAsia" w:ascii="仿宋" w:hAnsi="仿宋" w:cs="仿宋"/>
          <w:szCs w:val="32"/>
        </w:rPr>
        <w:t>（四）未将预售款全部转入专用账户的；</w:t>
      </w:r>
    </w:p>
    <w:p>
      <w:pPr>
        <w:spacing w:line="600" w:lineRule="exact"/>
        <w:ind w:firstLine="640"/>
        <w:rPr>
          <w:rFonts w:ascii="仿宋" w:hAnsi="仿宋" w:cs="仿宋"/>
          <w:szCs w:val="32"/>
        </w:rPr>
      </w:pPr>
      <w:r>
        <w:rPr>
          <w:rFonts w:hint="eastAsia" w:ascii="仿宋" w:hAnsi="仿宋" w:cs="仿宋"/>
          <w:szCs w:val="32"/>
        </w:rPr>
        <w:t>（五）专用账户扣除用款后账户余额少于本办法第十三条规定的保底资金留存额度的；</w:t>
      </w:r>
    </w:p>
    <w:p>
      <w:pPr>
        <w:spacing w:line="600" w:lineRule="exact"/>
        <w:ind w:firstLine="640"/>
        <w:rPr>
          <w:rFonts w:ascii="仿宋" w:hAnsi="仿宋" w:cs="仿宋"/>
          <w:szCs w:val="32"/>
        </w:rPr>
      </w:pPr>
      <w:r>
        <w:rPr>
          <w:rFonts w:hint="eastAsia" w:ascii="仿宋" w:hAnsi="仿宋" w:cs="仿宋"/>
          <w:szCs w:val="32"/>
        </w:rPr>
        <w:t>（六）提供虚假材料或不符合审核标准材料的；</w:t>
      </w:r>
    </w:p>
    <w:p>
      <w:pPr>
        <w:spacing w:line="600" w:lineRule="exact"/>
        <w:ind w:firstLine="640"/>
        <w:rPr>
          <w:rFonts w:ascii="仿宋" w:hAnsi="仿宋" w:cs="仿宋"/>
          <w:szCs w:val="32"/>
        </w:rPr>
      </w:pPr>
      <w:r>
        <w:rPr>
          <w:rFonts w:hint="eastAsia" w:ascii="仿宋" w:hAnsi="仿宋" w:cs="仿宋"/>
          <w:szCs w:val="32"/>
        </w:rPr>
        <w:t>（七）监管部门认定应当暂停拨付的其他情形。</w:t>
      </w:r>
    </w:p>
    <w:p>
      <w:pPr>
        <w:spacing w:line="600" w:lineRule="exact"/>
        <w:ind w:firstLine="640"/>
        <w:rPr>
          <w:rFonts w:ascii="仿宋" w:hAnsi="仿宋" w:cs="仿宋"/>
          <w:color w:val="FF0000"/>
          <w:szCs w:val="32"/>
        </w:rPr>
      </w:pPr>
      <w:r>
        <w:rPr>
          <w:rFonts w:hint="eastAsia" w:ascii="仿宋" w:hAnsi="仿宋" w:cs="仿宋"/>
          <w:szCs w:val="32"/>
        </w:rPr>
        <w:t>上述有关行为消除后，监管机构应书面通知监管银行恢复预售款专用账户资金的正常拨付。</w:t>
      </w:r>
    </w:p>
    <w:p>
      <w:pPr>
        <w:spacing w:line="600" w:lineRule="exact"/>
        <w:ind w:firstLine="0" w:firstLineChars="0"/>
        <w:jc w:val="center"/>
        <w:rPr>
          <w:rFonts w:ascii="仿宋" w:hAnsi="仿宋" w:cs="仿宋"/>
          <w:b/>
          <w:szCs w:val="32"/>
        </w:rPr>
      </w:pPr>
      <w:r>
        <w:rPr>
          <w:rFonts w:hint="eastAsia" w:ascii="仿宋" w:hAnsi="仿宋" w:cs="仿宋"/>
          <w:b/>
          <w:szCs w:val="32"/>
        </w:rPr>
        <w:t>第五章 法律责任</w:t>
      </w:r>
    </w:p>
    <w:p>
      <w:pPr>
        <w:spacing w:line="600" w:lineRule="exact"/>
        <w:ind w:firstLine="640"/>
        <w:rPr>
          <w:rFonts w:ascii="仿宋" w:hAnsi="仿宋" w:cs="仿宋"/>
          <w:szCs w:val="32"/>
        </w:rPr>
      </w:pPr>
      <w:r>
        <w:rPr>
          <w:rFonts w:hint="eastAsia" w:ascii="仿宋" w:hAnsi="仿宋" w:cs="仿宋"/>
          <w:szCs w:val="32"/>
        </w:rPr>
        <w:t>第十九条 房地产开发企业在商品房预售款收存、使用过程中违反相关法律法规的，由监管机构依法进行处罚，涉嫌犯罪的，由司法机关依法处理。</w:t>
      </w:r>
    </w:p>
    <w:p>
      <w:pPr>
        <w:spacing w:line="600" w:lineRule="exact"/>
        <w:ind w:firstLine="640"/>
        <w:rPr>
          <w:rFonts w:hint="eastAsia" w:ascii="仿宋" w:hAnsi="仿宋" w:cs="仿宋"/>
          <w:szCs w:val="32"/>
        </w:rPr>
      </w:pPr>
      <w:r>
        <w:rPr>
          <w:rFonts w:hint="eastAsia" w:ascii="仿宋" w:hAnsi="仿宋" w:cs="仿宋"/>
          <w:szCs w:val="32"/>
        </w:rPr>
        <w:t>第二十条 监管银行未经监管机构核准同意，擅自支付商品房预售款或截留、挪用商品房预售款的，上一级主管部门应当责令其改正和追回流失款，给预购人造成损失的，依法承担责任。</w:t>
      </w:r>
    </w:p>
    <w:p>
      <w:pPr>
        <w:spacing w:line="600" w:lineRule="exact"/>
        <w:ind w:firstLine="640"/>
        <w:rPr>
          <w:rFonts w:ascii="仿宋" w:hAnsi="仿宋" w:cs="仿宋"/>
          <w:szCs w:val="32"/>
        </w:rPr>
      </w:pPr>
      <w:r>
        <w:rPr>
          <w:rFonts w:hint="eastAsia" w:ascii="仿宋" w:hAnsi="仿宋" w:cs="仿宋"/>
          <w:szCs w:val="32"/>
        </w:rPr>
        <w:t>第二十一条 施工企业、监理企业提供虚假证明或采取其他方式协助房地产开发企业违规使用商品房预售款的，依法追究相关责任；涉嫌犯罪的，由司法机关依法处理。</w:t>
      </w:r>
    </w:p>
    <w:p>
      <w:pPr>
        <w:spacing w:line="600" w:lineRule="exact"/>
        <w:ind w:firstLine="640"/>
        <w:rPr>
          <w:rFonts w:ascii="仿宋" w:hAnsi="仿宋" w:cs="仿宋"/>
          <w:szCs w:val="32"/>
        </w:rPr>
      </w:pPr>
      <w:r>
        <w:rPr>
          <w:rFonts w:hint="eastAsia" w:ascii="仿宋" w:hAnsi="仿宋" w:cs="仿宋"/>
          <w:szCs w:val="32"/>
        </w:rPr>
        <w:t>第二十二条 监管机构工作人员在商品房预售款监管工作中玩忽职守、滥用职权、徇私舞弊、索贿受贿的,依法追究行政责任;涉嫌犯罪的,由司法机关依法处理。</w:t>
      </w:r>
    </w:p>
    <w:p>
      <w:pPr>
        <w:spacing w:line="600" w:lineRule="exact"/>
        <w:ind w:firstLine="0" w:firstLineChars="0"/>
        <w:jc w:val="center"/>
        <w:rPr>
          <w:rFonts w:ascii="仿宋" w:hAnsi="仿宋" w:cs="仿宋"/>
          <w:b/>
          <w:szCs w:val="32"/>
        </w:rPr>
      </w:pPr>
      <w:r>
        <w:rPr>
          <w:rFonts w:hint="eastAsia" w:ascii="仿宋" w:hAnsi="仿宋" w:cs="仿宋"/>
          <w:b/>
          <w:szCs w:val="32"/>
        </w:rPr>
        <w:t>第六章 附 则</w:t>
      </w:r>
    </w:p>
    <w:p>
      <w:pPr>
        <w:spacing w:line="600" w:lineRule="exact"/>
        <w:ind w:firstLine="640"/>
        <w:rPr>
          <w:rFonts w:ascii="仿宋" w:hAnsi="仿宋" w:cs="仿宋"/>
          <w:szCs w:val="32"/>
        </w:rPr>
      </w:pPr>
      <w:r>
        <w:rPr>
          <w:rFonts w:hint="eastAsia" w:ascii="仿宋" w:hAnsi="仿宋" w:cs="仿宋"/>
          <w:szCs w:val="32"/>
        </w:rPr>
        <w:t>第二十三条 本办法由湛江市住房和城乡建设局负责解释。</w:t>
      </w:r>
    </w:p>
    <w:p>
      <w:pPr>
        <w:spacing w:line="600" w:lineRule="exact"/>
        <w:ind w:firstLine="640"/>
        <w:rPr>
          <w:rFonts w:ascii="仿宋" w:hAnsi="仿宋" w:cs="仿宋"/>
          <w:szCs w:val="32"/>
        </w:rPr>
      </w:pPr>
      <w:r>
        <w:rPr>
          <w:rFonts w:hint="eastAsia" w:ascii="仿宋" w:hAnsi="仿宋" w:cs="仿宋"/>
          <w:szCs w:val="32"/>
        </w:rPr>
        <w:t>第二十四条 本办法自2021年5月1日起执行，有效期3年。</w:t>
      </w:r>
    </w:p>
    <w:p>
      <w:pPr>
        <w:spacing w:line="600" w:lineRule="exact"/>
        <w:ind w:firstLine="0" w:firstLineChars="0"/>
        <w:rPr>
          <w:rFonts w:ascii="仿宋" w:hAnsi="仿宋" w:cs="仿宋"/>
          <w:szCs w:val="32"/>
        </w:rPr>
      </w:pPr>
    </w:p>
    <w:p>
      <w:pPr>
        <w:spacing w:line="600" w:lineRule="exact"/>
        <w:ind w:firstLine="640"/>
      </w:pPr>
    </w:p>
    <w:sectPr>
      <w:headerReference r:id="rId11" w:type="first"/>
      <w:footerReference r:id="rId14" w:type="first"/>
      <w:headerReference r:id="rId9" w:type="default"/>
      <w:footerReference r:id="rId12" w:type="default"/>
      <w:headerReference r:id="rId10" w:type="even"/>
      <w:footerReference r:id="rId13" w:type="even"/>
      <w:pgSz w:w="11906" w:h="16838"/>
      <w:pgMar w:top="1418" w:right="1418" w:bottom="1418" w:left="1418" w:header="851" w:footer="851" w:gutter="0"/>
      <w:pgNumType w:fmt="decimalFullWidth" w:start="1" w:chapSep="emDash"/>
      <w:cols w:space="720" w:num="1"/>
      <w:docGrid w:type="lines" w:linePitch="43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20"/>
    </w:pPr>
    <w:r>
      <w:rPr>
        <w:rFonts w:hint="eastAsia"/>
      </w:rPr>
      <w:t>—</w:t>
    </w:r>
    <w:r>
      <w:fldChar w:fldCharType="begin"/>
    </w:r>
    <w:r>
      <w:instrText xml:space="preserve"> PAGE   \* MERGEFORMAT </w:instrText>
    </w:r>
    <w:r>
      <w:fldChar w:fldCharType="separate"/>
    </w:r>
    <w:r>
      <w:rPr>
        <w:lang w:val="zh-CN"/>
      </w:rPr>
      <w:t>６</w:t>
    </w:r>
    <w:r>
      <w:fldChar w:fldCharType="end"/>
    </w: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320"/>
    </w:pPr>
    <w:r>
      <w:rPr>
        <w:rFonts w:hint="eastAsia"/>
      </w:rPr>
      <w:t>—</w:t>
    </w:r>
    <w:r>
      <w:fldChar w:fldCharType="begin"/>
    </w:r>
    <w:r>
      <w:instrText xml:space="preserve"> PAGE   \* MERGEFORMAT </w:instrText>
    </w:r>
    <w:r>
      <w:fldChar w:fldCharType="separate"/>
    </w:r>
    <w:r>
      <w:rPr>
        <w:lang w:val="zh-CN"/>
      </w:rPr>
      <w:t>２</w:t>
    </w:r>
    <w:r>
      <w:fldChar w:fldCharType="end"/>
    </w:r>
    <w:r>
      <w:rPr>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7B8DF"/>
    <w:multiLevelType w:val="singleLevel"/>
    <w:tmpl w:val="5987B8DF"/>
    <w:lvl w:ilvl="0" w:tentative="0">
      <w:start w:val="1"/>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F2B1A"/>
    <w:rsid w:val="00043F08"/>
    <w:rsid w:val="000711FF"/>
    <w:rsid w:val="00151F58"/>
    <w:rsid w:val="0022583A"/>
    <w:rsid w:val="002673F9"/>
    <w:rsid w:val="002C2549"/>
    <w:rsid w:val="002F1973"/>
    <w:rsid w:val="0034540D"/>
    <w:rsid w:val="003E2E04"/>
    <w:rsid w:val="005C7692"/>
    <w:rsid w:val="005F1851"/>
    <w:rsid w:val="00680CFC"/>
    <w:rsid w:val="00686EB1"/>
    <w:rsid w:val="00774BDD"/>
    <w:rsid w:val="007E0065"/>
    <w:rsid w:val="00933227"/>
    <w:rsid w:val="009635E9"/>
    <w:rsid w:val="00996D06"/>
    <w:rsid w:val="00A501AC"/>
    <w:rsid w:val="00BD5B79"/>
    <w:rsid w:val="00C44EB3"/>
    <w:rsid w:val="00C67D8C"/>
    <w:rsid w:val="00DF1515"/>
    <w:rsid w:val="00E55261"/>
    <w:rsid w:val="00F176FB"/>
    <w:rsid w:val="1C25442B"/>
    <w:rsid w:val="1CAE2FBD"/>
    <w:rsid w:val="1D0A4D4A"/>
    <w:rsid w:val="2BBD70AA"/>
    <w:rsid w:val="2FD125C8"/>
    <w:rsid w:val="3A09300C"/>
    <w:rsid w:val="3F49354A"/>
    <w:rsid w:val="43AF2B1A"/>
    <w:rsid w:val="43D5589B"/>
    <w:rsid w:val="5FC52AB8"/>
    <w:rsid w:val="6DAE3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contextualSpacing/>
      <w:jc w:val="both"/>
    </w:pPr>
    <w:rPr>
      <w:rFonts w:ascii="Calibri" w:hAnsi="Calibri" w:eastAsia="仿宋" w:cs="Times New Roman"/>
      <w:kern w:val="2"/>
      <w:sz w:val="32"/>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0" w:lineRule="atLeast"/>
      <w:ind w:firstLine="0" w:firstLineChars="0"/>
    </w:pPr>
    <w:rPr>
      <w:rFonts w:eastAsia="小标宋"/>
      <w:sz w:val="44"/>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tabs>
        <w:tab w:val="center" w:pos="4153"/>
        <w:tab w:val="right" w:pos="8306"/>
      </w:tabs>
      <w:snapToGrid w:val="0"/>
      <w:jc w:val="center"/>
    </w:pPr>
    <w:rPr>
      <w:sz w:val="18"/>
      <w:szCs w:val="18"/>
    </w:rPr>
  </w:style>
  <w:style w:type="paragraph" w:customStyle="1" w:styleId="7">
    <w:name w:val="奇数页码"/>
    <w:basedOn w:val="3"/>
    <w:qFormat/>
    <w:uiPriority w:val="0"/>
    <w:pPr>
      <w:ind w:right="100" w:rightChars="100" w:firstLine="0" w:firstLineChars="0"/>
      <w:jc w:val="right"/>
    </w:pPr>
    <w:rPr>
      <w:rFonts w:ascii="宋体" w:hAnsi="宋体" w:eastAsia="宋体"/>
      <w:sz w:val="28"/>
      <w:szCs w:val="28"/>
    </w:rPr>
  </w:style>
  <w:style w:type="paragraph" w:customStyle="1" w:styleId="8">
    <w:name w:val="偶数页码"/>
    <w:basedOn w:val="3"/>
    <w:qFormat/>
    <w:uiPriority w:val="0"/>
    <w:pPr>
      <w:ind w:left="100" w:leftChars="100" w:firstLine="0" w:firstLineChars="0"/>
    </w:pPr>
    <w:rPr>
      <w:rFonts w:ascii="宋体" w:hAnsi="宋体" w:eastAsia="宋体"/>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437</Words>
  <Characters>2491</Characters>
  <Lines>20</Lines>
  <Paragraphs>5</Paragraphs>
  <TotalTime>1</TotalTime>
  <ScaleCrop>false</ScaleCrop>
  <LinksUpToDate>false</LinksUpToDate>
  <CharactersWithSpaces>2923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2020-12-07T07:42:00Z</dcterms:created>
  <dc:creator>谢汉腾</dc:creator>
  <cp:lastModifiedBy>admin</cp:lastModifiedBy>
  <dcterms:modified xsi:type="dcterms:W3CDTF">2021-03-09T09:20:11Z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