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default" w:ascii="Times New Roman" w:hAnsi="Times New Roman" w:eastAsia="仿宋_GB2312" w:cs="Times New Roman"/>
          <w:highlight w:val="none"/>
        </w:rPr>
      </w:pPr>
      <w:r>
        <w:rPr>
          <w:rFonts w:hint="eastAsia" w:ascii="Times New Roman" w:hAnsi="Times New Roman" w:eastAsia="仿宋_GB2312" w:cs="Times New Roman"/>
          <w:b/>
          <w:bCs/>
          <w:sz w:val="36"/>
          <w:szCs w:val="36"/>
          <w:highlight w:val="none"/>
          <w:lang w:val="en-US" w:eastAsia="zh-CN"/>
        </w:rPr>
        <w:t>廉江市</w:t>
      </w:r>
      <w:r>
        <w:rPr>
          <w:rFonts w:hint="default" w:ascii="Times New Roman" w:hAnsi="Times New Roman" w:eastAsia="仿宋_GB2312" w:cs="Times New Roman"/>
          <w:b/>
          <w:bCs/>
          <w:sz w:val="36"/>
          <w:szCs w:val="36"/>
          <w:highlight w:val="none"/>
        </w:rPr>
        <w:t>土壤污染治理与修复成效评估报告</w:t>
      </w:r>
    </w:p>
    <w:p>
      <w:pPr>
        <w:ind w:firstLine="643" w:firstLineChars="20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一、基本情况</w:t>
      </w:r>
    </w:p>
    <w:p>
      <w:pPr>
        <w:tabs>
          <w:tab w:val="left" w:pos="2639"/>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土壤污染防治行动计划》（国发〔2016〕31号）、《土壤污染防治行动计划实施情况评估考核规定（试行）》（环办土壤〔2018〕41号）以及《土壤污染治理与修复成效技术评估指南（试行）》（环办土壤〔2017〕1953号）文件要求，湛江市生态环境局委托生态环境部华南环境科学研究所，</w:t>
      </w:r>
      <w:bookmarkStart w:id="0" w:name="_GoBack"/>
      <w:bookmarkEnd w:id="0"/>
      <w:r>
        <w:rPr>
          <w:rFonts w:hint="default" w:ascii="Times New Roman" w:hAnsi="Times New Roman" w:eastAsia="仿宋_GB2312" w:cs="Times New Roman"/>
          <w:sz w:val="32"/>
          <w:szCs w:val="32"/>
          <w:highlight w:val="none"/>
        </w:rPr>
        <w:t>采取文件查阅、资料收集、座谈调研等方式，对</w:t>
      </w:r>
      <w:r>
        <w:rPr>
          <w:rFonts w:hint="eastAsia" w:eastAsia="仿宋_GB2312" w:cs="Times New Roman"/>
          <w:sz w:val="32"/>
          <w:szCs w:val="32"/>
          <w:highlight w:val="none"/>
          <w:lang w:eastAsia="zh-CN"/>
        </w:rPr>
        <w:t>廉江市</w:t>
      </w:r>
      <w:r>
        <w:rPr>
          <w:rFonts w:hint="default" w:ascii="Times New Roman" w:hAnsi="Times New Roman" w:eastAsia="仿宋_GB2312" w:cs="Times New Roman"/>
          <w:sz w:val="32"/>
          <w:szCs w:val="32"/>
          <w:highlight w:val="none"/>
        </w:rPr>
        <w:t>土壤污染防治目标任务完成情况、政策制度建设、建设用地土壤环境管理、农用地土壤环境管理等工作进行评估。</w:t>
      </w:r>
    </w:p>
    <w:p>
      <w:pPr>
        <w:ind w:firstLine="643" w:firstLineChars="20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二、评估结论和意见建议</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（一）评估结论</w:t>
      </w:r>
    </w:p>
    <w:p>
      <w:pPr>
        <w:tabs>
          <w:tab w:val="left" w:pos="-454"/>
        </w:tabs>
        <w:adjustRightInd w:val="0"/>
        <w:snapToGrid w:val="0"/>
        <w:spacing w:line="360" w:lineRule="auto"/>
        <w:ind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eastAsia="zh-CN"/>
        </w:rPr>
        <w:t>廉江市</w:t>
      </w:r>
      <w:r>
        <w:rPr>
          <w:rFonts w:hint="default" w:ascii="Times New Roman" w:hAnsi="Times New Roman" w:eastAsia="仿宋_GB2312" w:cs="Times New Roman"/>
          <w:sz w:val="32"/>
          <w:szCs w:val="32"/>
          <w:highlight w:val="none"/>
        </w:rPr>
        <w:t>在2017-2020年土壤污染防治工作中基本贯彻落实了省、市土壤污染防治工作方案的各项任务，制定了《年度工作方案，细化具体工作目标和任务，压实责任，扎实推进土壤污染防治工作。按照国家、省与</w:t>
      </w:r>
      <w:r>
        <w:rPr>
          <w:rFonts w:hint="default" w:ascii="Times New Roman" w:hAnsi="Times New Roman" w:eastAsia="仿宋_GB2312" w:cs="Times New Roman"/>
          <w:sz w:val="32"/>
          <w:szCs w:val="32"/>
          <w:highlight w:val="none"/>
          <w:lang w:val="en-US" w:eastAsia="zh-CN"/>
        </w:rPr>
        <w:t>湛江</w:t>
      </w:r>
      <w:r>
        <w:rPr>
          <w:rFonts w:hint="default" w:ascii="Times New Roman" w:hAnsi="Times New Roman" w:eastAsia="仿宋_GB2312" w:cs="Times New Roman"/>
          <w:sz w:val="32"/>
          <w:szCs w:val="32"/>
          <w:highlight w:val="none"/>
        </w:rPr>
        <w:t>市统一要求，</w:t>
      </w:r>
      <w:r>
        <w:rPr>
          <w:rFonts w:hint="eastAsia" w:eastAsia="仿宋_GB2312" w:cs="Times New Roman"/>
          <w:sz w:val="32"/>
          <w:szCs w:val="32"/>
          <w:highlight w:val="none"/>
          <w:lang w:val="en-US" w:eastAsia="zh-CN"/>
        </w:rPr>
        <w:t>廉江市</w:t>
      </w:r>
      <w:r>
        <w:rPr>
          <w:rFonts w:hint="default" w:ascii="Times New Roman" w:hAnsi="Times New Roman" w:eastAsia="仿宋_GB2312" w:cs="Times New Roman"/>
          <w:sz w:val="32"/>
          <w:szCs w:val="32"/>
          <w:highlight w:val="none"/>
        </w:rPr>
        <w:t>完成</w:t>
      </w:r>
      <w:r>
        <w:rPr>
          <w:rFonts w:hint="default" w:ascii="Times New Roman" w:hAnsi="Times New Roman" w:eastAsia="仿宋_GB2312" w:cs="Times New Roman"/>
          <w:sz w:val="32"/>
          <w:szCs w:val="32"/>
          <w:highlight w:val="none"/>
          <w:lang w:val="en-US" w:eastAsia="zh-CN"/>
        </w:rPr>
        <w:t>了</w:t>
      </w:r>
      <w:r>
        <w:rPr>
          <w:rFonts w:hint="default" w:ascii="Times New Roman" w:hAnsi="Times New Roman" w:eastAsia="仿宋_GB2312" w:cs="Times New Roman"/>
          <w:sz w:val="32"/>
          <w:szCs w:val="32"/>
          <w:highlight w:val="none"/>
        </w:rPr>
        <w:t>重点行业企业用地土壤污染状况详查工作，根据初步采样调查结果，结合基础信息调查、风险筛查，</w:t>
      </w:r>
      <w:r>
        <w:rPr>
          <w:rFonts w:hint="eastAsia" w:eastAsia="仿宋_GB2312" w:cs="Times New Roman"/>
          <w:sz w:val="32"/>
          <w:szCs w:val="32"/>
          <w:highlight w:val="none"/>
          <w:lang w:val="en-US" w:eastAsia="zh-CN"/>
        </w:rPr>
        <w:t>廉江市</w:t>
      </w:r>
      <w:r>
        <w:rPr>
          <w:rFonts w:hint="default" w:ascii="Times New Roman" w:hAnsi="Times New Roman" w:eastAsia="仿宋_GB2312" w:cs="Times New Roman"/>
          <w:sz w:val="32"/>
          <w:szCs w:val="32"/>
          <w:highlight w:val="none"/>
        </w:rPr>
        <w:t>6个在产和关闭搬迁企业地块中（填埋场和尾矿库不进行风险分级），共有高风险地块4个、中风险地块2个、低风险地块0个</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初步掌握</w:t>
      </w:r>
      <w:r>
        <w:rPr>
          <w:rFonts w:hint="eastAsia" w:eastAsia="仿宋_GB2312" w:cs="Times New Roman"/>
          <w:sz w:val="32"/>
          <w:szCs w:val="32"/>
          <w:highlight w:val="none"/>
          <w:lang w:val="en-US" w:eastAsia="zh-CN"/>
        </w:rPr>
        <w:t>廉江市</w:t>
      </w:r>
      <w:r>
        <w:rPr>
          <w:rFonts w:hint="default" w:ascii="Times New Roman" w:hAnsi="Times New Roman" w:eastAsia="仿宋_GB2312" w:cs="Times New Roman"/>
          <w:sz w:val="32"/>
          <w:szCs w:val="32"/>
          <w:highlight w:val="none"/>
        </w:rPr>
        <w:t>土壤污染状况；完成耕地土壤环境质量类别划分工作</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稳步推进受污染耕地安全利用工作，中轻度污染耕地安全利用完成面积达到省考核要求</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未出现污染地块被开发利用的情况，污染地块安全利用率达100%；持续更新土壤污染重点监管单位名录；</w:t>
      </w:r>
      <w:r>
        <w:rPr>
          <w:rFonts w:hint="eastAsia" w:eastAsia="仿宋_GB2312" w:cs="Times New Roman"/>
          <w:sz w:val="32"/>
          <w:szCs w:val="32"/>
          <w:highlight w:val="none"/>
          <w:lang w:val="en-US" w:eastAsia="zh-CN"/>
        </w:rPr>
        <w:t>完成重金属减排工程项目1个，实现削减量16.88千克；完成1处涉镉重金属重点污染源和工业固体废物堆存场所的环境综合整治项目；完成非正规垃圾堆放点排查整治19处</w:t>
      </w:r>
      <w:r>
        <w:rPr>
          <w:rFonts w:hint="default" w:ascii="Times New Roman" w:hAnsi="Times New Roman" w:eastAsia="仿宋_GB2312" w:cs="Times New Roman"/>
          <w:sz w:val="32"/>
          <w:szCs w:val="32"/>
          <w:highlight w:val="none"/>
        </w:rPr>
        <w:t>。截至目前，</w:t>
      </w:r>
      <w:r>
        <w:rPr>
          <w:rFonts w:hint="eastAsia" w:eastAsia="仿宋_GB2312" w:cs="Times New Roman"/>
          <w:sz w:val="32"/>
          <w:szCs w:val="32"/>
          <w:highlight w:val="none"/>
          <w:lang w:val="en-US" w:eastAsia="zh-CN"/>
        </w:rPr>
        <w:t>廉江市</w:t>
      </w:r>
      <w:r>
        <w:rPr>
          <w:rFonts w:hint="default" w:ascii="Times New Roman" w:hAnsi="Times New Roman" w:eastAsia="仿宋_GB2312" w:cs="Times New Roman"/>
          <w:sz w:val="32"/>
          <w:szCs w:val="32"/>
          <w:highlight w:val="none"/>
        </w:rPr>
        <w:t>没有发生因土壤污染引发的食用农产品超标事件，无污染地块再开发利用不当造成的不良社会影响，切实保障了农产品质量和人居环境安全。</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（二）工作建议</w:t>
      </w:r>
    </w:p>
    <w:p>
      <w:pPr>
        <w:tabs>
          <w:tab w:val="left" w:pos="2639"/>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1.加强各部门的沟通协作，</w:t>
      </w:r>
      <w:r>
        <w:rPr>
          <w:rFonts w:hint="eastAsia" w:ascii="Times New Roman" w:hAnsi="Times New Roman" w:eastAsia="仿宋_GB2312" w:cs="Times New Roman"/>
          <w:sz w:val="32"/>
          <w:szCs w:val="32"/>
          <w:highlight w:val="none"/>
          <w:lang w:val="en-US" w:eastAsia="zh-CN"/>
        </w:rPr>
        <w:t>进一步</w:t>
      </w:r>
      <w:r>
        <w:rPr>
          <w:rFonts w:hint="default" w:ascii="Times New Roman" w:hAnsi="Times New Roman" w:eastAsia="仿宋_GB2312" w:cs="Times New Roman"/>
          <w:sz w:val="32"/>
          <w:szCs w:val="32"/>
          <w:highlight w:val="none"/>
        </w:rPr>
        <w:t>强化联动机制。建议市级相关部门加强上下级之间的联动，明确各部门职责分工，生态环境、自然资源、住房城乡建设、农业农村等主管部门成立建设用地开发利用土壤环境管理工作小组，建立健全建设用地管理联席会议制度，对各部门土壤污染防治相关工作进行梳理和总结，研究协调污染地块再开发利用过程监管中的重大问题，加强工作统筹协调，协同做好污染地块管理相关工作。</w:t>
      </w:r>
    </w:p>
    <w:p>
      <w:pPr>
        <w:tabs>
          <w:tab w:val="left" w:pos="2639"/>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强化建设用地土壤环境管理。建议定期开展疑似污染地块排查，充分发挥环境大数据辅助监管作用，对注销、撤销排污许可证的企业，及时纳入监管视野，核实是否应该依法开展土壤污染状况调查，完善疑似地块名单的建立，加强疑似污染地块和污染地块相关活动的监督管理。</w:t>
      </w:r>
    </w:p>
    <w:p>
      <w:pPr>
        <w:tabs>
          <w:tab w:val="left" w:pos="2639"/>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val="en-US" w:eastAsia="zh-CN"/>
        </w:rPr>
        <w:t>总结</w:t>
      </w:r>
      <w:r>
        <w:rPr>
          <w:rFonts w:hint="default" w:ascii="Times New Roman" w:hAnsi="Times New Roman" w:eastAsia="仿宋_GB2312" w:cs="Times New Roman"/>
          <w:sz w:val="32"/>
          <w:szCs w:val="32"/>
          <w:highlight w:val="none"/>
        </w:rPr>
        <w:t>农用地土壤环境管理</w:t>
      </w:r>
      <w:r>
        <w:rPr>
          <w:rFonts w:hint="eastAsia" w:ascii="Times New Roman" w:hAnsi="Times New Roman" w:eastAsia="仿宋_GB2312" w:cs="Times New Roman"/>
          <w:sz w:val="32"/>
          <w:szCs w:val="32"/>
          <w:highlight w:val="none"/>
          <w:lang w:val="en-US" w:eastAsia="zh-CN"/>
        </w:rPr>
        <w:t>经验</w:t>
      </w:r>
      <w:r>
        <w:rPr>
          <w:rFonts w:hint="default" w:ascii="Times New Roman" w:hAnsi="Times New Roman" w:eastAsia="仿宋_GB2312" w:cs="Times New Roman"/>
          <w:sz w:val="32"/>
          <w:szCs w:val="32"/>
          <w:highlight w:val="none"/>
        </w:rPr>
        <w:t>。建议依托</w:t>
      </w:r>
      <w:r>
        <w:rPr>
          <w:rFonts w:hint="eastAsia" w:ascii="Times New Roman" w:hAnsi="Times New Roman" w:eastAsia="仿宋_GB2312" w:cs="Times New Roman"/>
          <w:sz w:val="32"/>
          <w:szCs w:val="32"/>
          <w:highlight w:val="none"/>
          <w:lang w:val="en-US" w:eastAsia="zh-CN"/>
        </w:rPr>
        <w:t>一系列</w:t>
      </w:r>
      <w:r>
        <w:rPr>
          <w:rFonts w:hint="default" w:ascii="Times New Roman" w:hAnsi="Times New Roman" w:eastAsia="仿宋_GB2312" w:cs="Times New Roman"/>
          <w:sz w:val="32"/>
          <w:szCs w:val="32"/>
          <w:highlight w:val="none"/>
        </w:rPr>
        <w:t>试点项目，认真做好</w:t>
      </w:r>
      <w:r>
        <w:rPr>
          <w:rFonts w:hint="eastAsia" w:ascii="Times New Roman" w:hAnsi="Times New Roman" w:eastAsia="仿宋_GB2312" w:cs="Times New Roman"/>
          <w:sz w:val="32"/>
          <w:szCs w:val="32"/>
          <w:highlight w:val="none"/>
          <w:lang w:val="en-US" w:eastAsia="zh-CN"/>
        </w:rPr>
        <w:t>关键</w:t>
      </w:r>
      <w:r>
        <w:rPr>
          <w:rFonts w:hint="default" w:ascii="Times New Roman" w:hAnsi="Times New Roman" w:eastAsia="仿宋_GB2312" w:cs="Times New Roman"/>
          <w:sz w:val="32"/>
          <w:szCs w:val="32"/>
          <w:highlight w:val="none"/>
        </w:rPr>
        <w:t>技术</w:t>
      </w:r>
      <w:r>
        <w:rPr>
          <w:rFonts w:hint="eastAsia" w:ascii="Times New Roman" w:hAnsi="Times New Roman" w:eastAsia="仿宋_GB2312" w:cs="Times New Roman"/>
          <w:sz w:val="32"/>
          <w:szCs w:val="32"/>
          <w:highlight w:val="none"/>
          <w:lang w:val="en-US" w:eastAsia="zh-CN"/>
        </w:rPr>
        <w:t>的凝练</w:t>
      </w:r>
      <w:r>
        <w:rPr>
          <w:rFonts w:hint="default" w:ascii="Times New Roman" w:hAnsi="Times New Roman" w:eastAsia="仿宋_GB2312" w:cs="Times New Roman"/>
          <w:sz w:val="32"/>
          <w:szCs w:val="32"/>
          <w:highlight w:val="none"/>
        </w:rPr>
        <w:t>总结，包括经验和教训，为比选形成可复制可推广的使用技术和管理经验奠定基础。</w:t>
      </w:r>
    </w:p>
    <w:p>
      <w:pPr>
        <w:tabs>
          <w:tab w:val="left" w:pos="2639"/>
        </w:tabs>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加强土壤污染防治能力建设。建议进一步加强土壤环境管理人员配备及培训，提高土壤环境管理水平；持续开展以土壤污染防治为主题的宣传活动，普及土壤环境知识，加强法律法规宣传解读，提升社会各界对土壤污染防治工作的认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val="en-US" w:eastAsia="zh-CN"/>
                            </w:rPr>
                            <w:t>3</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SV0OXPAAAA&#10;AwEAAA8AAAAAAAAAAQAgAAAAIgAAAGRycy9kb3ducmV2LnhtbFBLAQIUABQAAAAIAIdO4kABxmM2&#10;7QEAALQDAAAOAAAAAAAAAAEAIAAAAB4BAABkcnMvZTJvRG9jLnhtbFBLBQYAAAAABgAGAFkBAAB9&#10;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val="en-US" w:eastAsia="zh-CN"/>
                      </w:rPr>
                      <w:t>3</w:t>
                    </w:r>
                    <w:r>
                      <w:rPr>
                        <w:sz w:val="1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9F"/>
    <w:rsid w:val="00164B82"/>
    <w:rsid w:val="003008EF"/>
    <w:rsid w:val="004461BF"/>
    <w:rsid w:val="004D210E"/>
    <w:rsid w:val="006A6139"/>
    <w:rsid w:val="006E5F9F"/>
    <w:rsid w:val="009D7DC6"/>
    <w:rsid w:val="00C44433"/>
    <w:rsid w:val="00D33585"/>
    <w:rsid w:val="00E1179F"/>
    <w:rsid w:val="00E6220A"/>
    <w:rsid w:val="02F6081F"/>
    <w:rsid w:val="0AC521E0"/>
    <w:rsid w:val="0D8A167D"/>
    <w:rsid w:val="152B34A4"/>
    <w:rsid w:val="167F281B"/>
    <w:rsid w:val="19F63E5C"/>
    <w:rsid w:val="1E4D2C67"/>
    <w:rsid w:val="20946214"/>
    <w:rsid w:val="2544109B"/>
    <w:rsid w:val="25FF4951"/>
    <w:rsid w:val="27B048AB"/>
    <w:rsid w:val="28D66BED"/>
    <w:rsid w:val="2C5F0446"/>
    <w:rsid w:val="2F2625D1"/>
    <w:rsid w:val="31A2027F"/>
    <w:rsid w:val="332E49D2"/>
    <w:rsid w:val="3B0D2426"/>
    <w:rsid w:val="4B751839"/>
    <w:rsid w:val="4C1D3F7C"/>
    <w:rsid w:val="4E3674EA"/>
    <w:rsid w:val="559F5D51"/>
    <w:rsid w:val="55A83AE6"/>
    <w:rsid w:val="61D96025"/>
    <w:rsid w:val="649E1B6E"/>
    <w:rsid w:val="6567030F"/>
    <w:rsid w:val="6AB1657F"/>
    <w:rsid w:val="6C993DDC"/>
    <w:rsid w:val="72A617C5"/>
    <w:rsid w:val="734F4CFD"/>
    <w:rsid w:val="751505CE"/>
    <w:rsid w:val="7A8A2F7C"/>
    <w:rsid w:val="7E83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6"/>
    <w:qFormat/>
    <w:uiPriority w:val="99"/>
    <w:pPr>
      <w:tabs>
        <w:tab w:val="center" w:pos="4153"/>
        <w:tab w:val="right" w:pos="8306"/>
      </w:tabs>
      <w:snapToGrid w:val="0"/>
      <w:jc w:val="left"/>
    </w:pPr>
    <w:rPr>
      <w:rFonts w:asciiTheme="minorHAnsi" w:hAnsiTheme="minorHAnsi" w:eastAsiaTheme="minorEastAsia"/>
      <w:sz w:val="18"/>
      <w:szCs w:val="18"/>
    </w:rPr>
  </w:style>
  <w:style w:type="character" w:customStyle="1" w:styleId="6">
    <w:name w:val="页脚 字符"/>
    <w:link w:val="3"/>
    <w:qFormat/>
    <w:uiPriority w:val="99"/>
    <w:rPr>
      <w:rFonts w:cs="Times New Roman"/>
      <w:sz w:val="18"/>
      <w:szCs w:val="18"/>
    </w:rPr>
  </w:style>
  <w:style w:type="character" w:customStyle="1" w:styleId="7">
    <w:name w:val="页脚 字符1"/>
    <w:basedOn w:val="4"/>
    <w:semiHidden/>
    <w:qFormat/>
    <w:uiPriority w:val="99"/>
    <w:rPr>
      <w:rFonts w:ascii="Times New Roman" w:hAnsi="Times New Roman" w:eastAsia="宋体" w:cs="Times New Roman"/>
      <w:sz w:val="18"/>
      <w:szCs w:val="18"/>
    </w:rPr>
  </w:style>
  <w:style w:type="character" w:customStyle="1" w:styleId="8">
    <w:name w:val="纯文本 字符"/>
    <w:basedOn w:val="4"/>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125</Words>
  <Characters>715</Characters>
  <Lines>5</Lines>
  <Paragraphs>1</Paragraphs>
  <TotalTime>36</TotalTime>
  <ScaleCrop>false</ScaleCrop>
  <LinksUpToDate>false</LinksUpToDate>
  <CharactersWithSpaces>839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2020-12-17T01:52:00Z</dcterms:created>
  <dc:creator>dell</dc:creator>
  <cp:lastModifiedBy>brjj</cp:lastModifiedBy>
  <dcterms:modified xsi:type="dcterms:W3CDTF">2020-12-24T07:57:14Z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