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84" w:rsidRPr="005B0B84" w:rsidRDefault="005B0B84" w:rsidP="005B0B84">
      <w:pPr>
        <w:pStyle w:val="a3"/>
        <w:rPr>
          <w:rFonts w:ascii="黑体" w:eastAsia="黑体" w:hAnsi="黑体"/>
          <w:sz w:val="28"/>
          <w:szCs w:val="28"/>
        </w:rPr>
      </w:pPr>
      <w:r w:rsidRPr="005B0B84">
        <w:rPr>
          <w:rFonts w:ascii="黑体" w:eastAsia="黑体" w:hAnsi="黑体" w:hint="eastAsia"/>
          <w:sz w:val="28"/>
          <w:szCs w:val="28"/>
        </w:rPr>
        <w:t>附件：</w:t>
      </w:r>
    </w:p>
    <w:p w:rsidR="005B0B84" w:rsidRDefault="005B0B84" w:rsidP="005B0B84">
      <w:pPr>
        <w:pStyle w:val="a3"/>
        <w:rPr>
          <w:rFonts w:asciiTheme="minorEastAsia" w:eastAsiaTheme="minorEastAsia" w:hAnsiTheme="minorEastAsia"/>
          <w:szCs w:val="32"/>
        </w:rPr>
      </w:pPr>
    </w:p>
    <w:p w:rsidR="005B0B84" w:rsidRPr="00585DE7" w:rsidRDefault="005B0B84" w:rsidP="005B0B84">
      <w:pPr>
        <w:pStyle w:val="a3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585DE7">
        <w:rPr>
          <w:rFonts w:ascii="方正小标宋简体" w:eastAsia="方正小标宋简体" w:hAnsiTheme="minorEastAsia" w:hint="eastAsia"/>
          <w:sz w:val="44"/>
          <w:szCs w:val="44"/>
        </w:rPr>
        <w:t>湛江市2020年节能监察汇总表</w:t>
      </w:r>
    </w:p>
    <w:tbl>
      <w:tblPr>
        <w:tblW w:w="144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824"/>
        <w:gridCol w:w="2353"/>
        <w:gridCol w:w="2058"/>
        <w:gridCol w:w="2059"/>
        <w:gridCol w:w="1617"/>
        <w:gridCol w:w="1765"/>
      </w:tblGrid>
      <w:tr w:rsidR="005B0B84" w:rsidRPr="002A760A" w:rsidTr="00257D6F">
        <w:trPr>
          <w:trHeight w:val="660"/>
          <w:tblHeader/>
        </w:trPr>
        <w:tc>
          <w:tcPr>
            <w:tcW w:w="709" w:type="dxa"/>
            <w:shd w:val="clear" w:color="000000" w:fill="FFFFFF"/>
            <w:vAlign w:val="center"/>
            <w:hideMark/>
          </w:tcPr>
          <w:p w:rsidR="005B0B84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监察</w:t>
            </w:r>
          </w:p>
          <w:p w:rsidR="005B0B84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通知</w:t>
            </w:r>
          </w:p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监察类目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001AC">
              <w:rPr>
                <w:rFonts w:asciiTheme="minorEastAsia" w:hAnsiTheme="minorEastAsia"/>
                <w:color w:val="000000"/>
                <w:kern w:val="0"/>
                <w:sz w:val="24"/>
              </w:rPr>
              <w:t>整改</w:t>
            </w: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文书</w:t>
            </w:r>
          </w:p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处理文书编号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整改情况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001AC">
              <w:rPr>
                <w:rFonts w:asciiTheme="minorEastAsia" w:hAnsiTheme="minorEastAsia"/>
                <w:color w:val="000000"/>
                <w:kern w:val="0"/>
                <w:sz w:val="24"/>
              </w:rPr>
              <w:t>中科（广东）炼化有限公司（原中国石化湛江东兴石油化工有限公司）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中海沥青（广东）有限公司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湛江红日稀土有限公司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广东广垦调丰糖业有限公司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限期整改通知书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湛发改节限改字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[</w:t>
            </w:r>
            <w:r w:rsidRPr="002A760A">
              <w:rPr>
                <w:rFonts w:asciiTheme="minorEastAsia" w:hAnsiTheme="minorEastAsia"/>
                <w:kern w:val="0"/>
                <w:sz w:val="24"/>
              </w:rPr>
              <w:t>2020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]</w:t>
            </w:r>
            <w:r w:rsidRPr="002A760A">
              <w:rPr>
                <w:rFonts w:asciiTheme="minorEastAsia" w:hAnsiTheme="minorEastAsia"/>
                <w:kern w:val="0"/>
                <w:sz w:val="24"/>
              </w:rPr>
              <w:t>04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设</w:t>
            </w:r>
            <w:r w:rsidRPr="002A760A">
              <w:rPr>
                <w:rFonts w:asciiTheme="minorEastAsia" w:hAnsiTheme="minorEastAsia"/>
                <w:kern w:val="0"/>
                <w:sz w:val="24"/>
              </w:rPr>
              <w:t>立能源管理机构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已整改完毕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广东恒福糖业集团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湛江华资农垦糖业发展有限公司广丰分公司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广东金岭糖业集团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83" w:firstLine="199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徐闻恒福糖业有限公司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湛江珠江啤酒有限公司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国家重大工业专项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限期整改通知书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湛发改节限改字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[</w:t>
            </w:r>
            <w:r w:rsidRPr="002A760A">
              <w:rPr>
                <w:rFonts w:asciiTheme="minorEastAsia" w:hAnsiTheme="minorEastAsia"/>
                <w:kern w:val="0"/>
                <w:sz w:val="24"/>
              </w:rPr>
              <w:t>2020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]</w:t>
            </w:r>
            <w:r w:rsidRPr="002A760A">
              <w:rPr>
                <w:rFonts w:asciiTheme="minorEastAsia" w:hAnsiTheme="minorEastAsia"/>
                <w:kern w:val="0"/>
                <w:sz w:val="24"/>
              </w:rPr>
              <w:t>09</w:t>
            </w:r>
            <w:r w:rsidR="00542E82">
              <w:rPr>
                <w:rFonts w:asciiTheme="minorEastAsia" w:hAnsiTheme="minorEastAsia" w:hint="eastAsia"/>
                <w:kern w:val="0"/>
                <w:sz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有淘汰落后设备在用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已报送整改计划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</w:p>
        </w:tc>
      </w:tr>
      <w:tr w:rsidR="005B0B84" w:rsidRPr="002A760A" w:rsidTr="00257D6F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宝钢湛江钢铁有限公司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华润（湛江）水泥有限公司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廉江市河唇容星水泥有限公司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廉江市星峰水泥有限公司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吴川市粤西水泥厂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徐闻盛业水泥有限公司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湛江国宏水泥有限公司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湛江海螺水泥有限责任公司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湛江黄略水泥厂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湛江新国强水泥有限公司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湛江鱼峰水泥有限公司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廉江市丰城水泥有限公司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阶梯电价专项监察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lastRenderedPageBreak/>
              <w:t>22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广东大唐国际雷州发电有限责任公司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日常监察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542E82">
            <w:pPr>
              <w:widowControl/>
              <w:spacing w:line="360" w:lineRule="exact"/>
              <w:ind w:firstLineChars="250" w:firstLine="60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湛江中冶环保运营管理有限公司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日常监察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542E82">
            <w:pPr>
              <w:widowControl/>
              <w:spacing w:line="360" w:lineRule="exact"/>
              <w:ind w:firstLineChars="250" w:firstLine="60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广东粤佳饲料有限公司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日常监察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542E82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湛江市城市管理和综合执法局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公共机构日常监察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542E82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吴川市人民医院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公共机构日常监察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542E82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  <w:tr w:rsidR="005B0B84" w:rsidRPr="002A760A" w:rsidTr="00257D6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27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廉江市廉江中学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Chars="0" w:firstLine="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color w:val="000000"/>
                <w:kern w:val="0"/>
                <w:sz w:val="24"/>
              </w:rPr>
              <w:t>公共机构日常监察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0B84" w:rsidRPr="002A760A" w:rsidRDefault="005B0B84" w:rsidP="00257D6F">
            <w:pPr>
              <w:widowControl/>
              <w:spacing w:line="36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0B84" w:rsidRPr="002A760A" w:rsidRDefault="005B0B84" w:rsidP="00542E82">
            <w:pPr>
              <w:widowControl/>
              <w:spacing w:line="360" w:lineRule="exact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760A">
              <w:rPr>
                <w:rFonts w:asciiTheme="minorEastAsia" w:hAnsiTheme="minorEastAsia"/>
                <w:kern w:val="0"/>
                <w:sz w:val="24"/>
              </w:rPr>
              <w:t>无</w:t>
            </w:r>
          </w:p>
        </w:tc>
      </w:tr>
    </w:tbl>
    <w:p w:rsidR="001C427C" w:rsidRDefault="001C427C" w:rsidP="005B0B84">
      <w:pPr>
        <w:ind w:firstLineChars="0" w:firstLine="0"/>
      </w:pPr>
    </w:p>
    <w:p w:rsidR="00542E82" w:rsidRDefault="00542E82">
      <w:pPr>
        <w:ind w:firstLineChars="0" w:firstLine="0"/>
      </w:pPr>
    </w:p>
    <w:sectPr w:rsidR="00542E82" w:rsidSect="005B0B8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B84"/>
    <w:rsid w:val="001C427C"/>
    <w:rsid w:val="002B44D7"/>
    <w:rsid w:val="00542E82"/>
    <w:rsid w:val="005B0B84"/>
    <w:rsid w:val="00E6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84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样式"/>
    <w:qFormat/>
    <w:rsid w:val="005B0B84"/>
    <w:pPr>
      <w:spacing w:line="560" w:lineRule="exact"/>
      <w:contextualSpacing/>
    </w:pPr>
    <w:rPr>
      <w:rFonts w:ascii="仿宋" w:eastAsia="仿宋_GB2312" w:hAnsi="仿宋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吕小婷</dc:creator>
  <cp:lastModifiedBy>陈一鸣</cp:lastModifiedBy>
  <cp:revision>4</cp:revision>
  <dcterms:created xsi:type="dcterms:W3CDTF">2020-12-07T03:30:00Z</dcterms:created>
  <dcterms:modified xsi:type="dcterms:W3CDTF">2020-12-09T07:54:00Z</dcterms:modified>
</cp:coreProperties>
</file>