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湛商务党</w:t>
      </w:r>
      <w:r>
        <w:rPr>
          <w:rFonts w:hint="eastAsia" w:ascii="仿宋_GB2312" w:hAnsi="仿宋" w:eastAsia="仿宋_GB2312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〕2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蔡方培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等同志职务任免的通知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机关各科室、市贸促会：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经局党组2020年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日研究决定：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蔡方培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同志任</w:t>
      </w:r>
      <w:r>
        <w:rPr>
          <w:rFonts w:hint="eastAsia" w:ascii="仿宋_GB2312" w:eastAsia="仿宋_GB2312"/>
          <w:sz w:val="32"/>
          <w:szCs w:val="32"/>
        </w:rPr>
        <w:t>湛江市商务局公平贸易与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法规科科长，免去其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科科长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职务；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墙新群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资管理</w:t>
      </w:r>
      <w:r>
        <w:rPr>
          <w:rFonts w:hint="eastAsia" w:ascii="仿宋_GB2312" w:eastAsia="仿宋_GB2312"/>
          <w:sz w:val="32"/>
          <w:szCs w:val="32"/>
        </w:rPr>
        <w:t>科（开发区管理科、市外商投资企业投诉中心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二级主任科员</w:t>
      </w:r>
      <w:r>
        <w:rPr>
          <w:rFonts w:hint="eastAsia" w:ascii="仿宋_GB2312" w:eastAsia="仿宋_GB2312"/>
          <w:sz w:val="32"/>
          <w:szCs w:val="32"/>
        </w:rPr>
        <w:t>，免去其湛江市商务局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人事</w:t>
      </w:r>
      <w:r>
        <w:rPr>
          <w:rFonts w:hint="eastAsia" w:ascii="仿宋_GB2312" w:eastAsia="仿宋_GB2312"/>
          <w:sz w:val="32"/>
          <w:szCs w:val="32"/>
        </w:rPr>
        <w:t>科（离退休人员服务科）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二级主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常雨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同志任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四级主任科员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，免去其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人事</w:t>
      </w:r>
      <w:r>
        <w:rPr>
          <w:rFonts w:hint="eastAsia" w:ascii="仿宋_GB2312" w:eastAsia="仿宋_GB2312"/>
          <w:sz w:val="32"/>
          <w:szCs w:val="32"/>
        </w:rPr>
        <w:t>科（离退休人员服务科）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四级主任科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孙媛媛同志负责</w:t>
      </w:r>
      <w:r>
        <w:rPr>
          <w:rFonts w:hint="eastAsia" w:ascii="仿宋_GB2312" w:eastAsia="仿宋_GB2312"/>
          <w:sz w:val="32"/>
          <w:szCs w:val="32"/>
        </w:rPr>
        <w:t>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科日常工作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4160" w:firstLineChars="1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中共湛江市商务局党组</w:t>
      </w:r>
    </w:p>
    <w:p>
      <w:pPr>
        <w:spacing w:line="58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2020年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月4日</w:t>
      </w: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tabs>
          <w:tab w:val="left" w:pos="6352"/>
        </w:tabs>
        <w:bidi w:val="0"/>
        <w:jc w:val="left"/>
        <w:rPr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6" w:space="1"/>
        </w:pBdr>
        <w:spacing w:line="5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抄送：局党组成员、四级调研员。</w:t>
      </w:r>
    </w:p>
    <w:p>
      <w:pPr>
        <w:pBdr>
          <w:bottom w:val="single" w:color="auto" w:sz="12" w:space="1"/>
        </w:pBdr>
        <w:spacing w:line="500" w:lineRule="exact"/>
        <w:rPr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湛江市商务局     　　　　　　　　 　2020年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月4日印发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62751"/>
    <w:rsid w:val="3F8E75B4"/>
    <w:rsid w:val="6E762751"/>
    <w:rsid w:val="76C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2020-09-04T03:35:00Z</dcterms:created>
  <dc:creator>ARK 程方舟</dc:creator>
  <cp:lastModifiedBy>ARK 程方舟</cp:lastModifiedBy>
  <dcterms:modified xsi:type="dcterms:W3CDTF">2020-09-04T03:46:08Z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