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等线"/>
          <w:spacing w:val="-12"/>
          <w:sz w:val="48"/>
          <w:szCs w:val="48"/>
        </w:rPr>
      </w:pPr>
    </w:p>
    <w:p>
      <w:pPr>
        <w:adjustRightInd w:val="0"/>
        <w:snapToGrid w:val="0"/>
        <w:spacing w:line="360" w:lineRule="auto"/>
        <w:jc w:val="center"/>
        <w:rPr>
          <w:rFonts w:ascii="宋体" w:hAnsi="宋体" w:cs="等线"/>
          <w:spacing w:val="-12"/>
          <w:sz w:val="48"/>
          <w:szCs w:val="48"/>
        </w:rPr>
      </w:pPr>
    </w:p>
    <w:p>
      <w:pPr>
        <w:adjustRightInd w:val="0"/>
        <w:snapToGrid w:val="0"/>
        <w:spacing w:line="360" w:lineRule="auto"/>
        <w:jc w:val="center"/>
        <w:rPr>
          <w:rFonts w:ascii="宋体" w:hAnsi="宋体" w:cs="等线"/>
          <w:spacing w:val="-12"/>
          <w:sz w:val="48"/>
          <w:szCs w:val="48"/>
        </w:rPr>
      </w:pPr>
    </w:p>
    <w:p>
      <w:pPr>
        <w:adjustRightInd w:val="0"/>
        <w:snapToGrid w:val="0"/>
        <w:spacing w:line="360" w:lineRule="auto"/>
        <w:jc w:val="center"/>
        <w:rPr>
          <w:rFonts w:ascii="宋体" w:hAnsi="宋体" w:cs="等线"/>
          <w:spacing w:val="-12"/>
          <w:sz w:val="48"/>
          <w:szCs w:val="48"/>
        </w:rPr>
      </w:pPr>
    </w:p>
    <w:p>
      <w:pPr>
        <w:adjustRightInd w:val="0"/>
        <w:snapToGrid w:val="0"/>
        <w:spacing w:line="360" w:lineRule="auto"/>
        <w:jc w:val="center"/>
        <w:rPr>
          <w:rFonts w:ascii="宋体" w:hAnsi="宋体" w:eastAsia="宋体"/>
          <w:color w:val="000000" w:themeColor="text1"/>
          <w:sz w:val="48"/>
          <w:szCs w:val="48"/>
        </w:rPr>
      </w:pPr>
      <w:r>
        <w:rPr>
          <w:rFonts w:hint="eastAsia" w:ascii="宋体" w:hAnsi="宋体" w:cs="等线"/>
          <w:spacing w:val="-12"/>
          <w:sz w:val="48"/>
          <w:szCs w:val="48"/>
        </w:rPr>
        <w:t>中共湛江市委军民融合发展委员会</w:t>
      </w:r>
      <w:r>
        <w:rPr>
          <w:rFonts w:hint="eastAsia" w:ascii="宋体" w:hAnsi="宋体" w:eastAsia="宋体"/>
          <w:color w:val="000000" w:themeColor="text1"/>
          <w:sz w:val="48"/>
          <w:szCs w:val="48"/>
        </w:rPr>
        <w:t>办公室</w:t>
      </w:r>
    </w:p>
    <w:p>
      <w:pPr>
        <w:adjustRightInd w:val="0"/>
        <w:snapToGrid w:val="0"/>
        <w:spacing w:line="360" w:lineRule="auto"/>
        <w:jc w:val="center"/>
        <w:rPr>
          <w:rFonts w:ascii="宋体" w:hAnsi="宋体" w:cs="等线"/>
          <w:sz w:val="48"/>
          <w:szCs w:val="48"/>
        </w:rPr>
      </w:pPr>
      <w:r>
        <w:rPr>
          <w:rFonts w:hint="eastAsia" w:ascii="宋体" w:hAnsi="宋体" w:cs="等线"/>
          <w:spacing w:val="-23"/>
          <w:sz w:val="48"/>
          <w:szCs w:val="48"/>
        </w:rPr>
        <w:t>2</w:t>
      </w:r>
      <w:r>
        <w:rPr>
          <w:rFonts w:ascii="宋体" w:hAnsi="宋体" w:cs="等线"/>
          <w:spacing w:val="-23"/>
          <w:sz w:val="48"/>
          <w:szCs w:val="48"/>
        </w:rPr>
        <w:t>018</w:t>
      </w:r>
      <w:r>
        <w:rPr>
          <w:rFonts w:hint="eastAsia" w:ascii="宋体" w:hAnsi="宋体" w:cs="等线"/>
          <w:spacing w:val="-12"/>
          <w:sz w:val="48"/>
          <w:szCs w:val="48"/>
        </w:rPr>
        <w:t>年度部门</w:t>
      </w:r>
      <w:r>
        <w:rPr>
          <w:rFonts w:hint="eastAsia" w:ascii="宋体" w:hAnsi="宋体" w:cs="等线"/>
          <w:sz w:val="48"/>
          <w:szCs w:val="48"/>
        </w:rPr>
        <w:t>整体支出绩效评价报告</w:t>
      </w: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ind w:firstLine="640" w:firstLineChars="200"/>
        <w:jc w:val="left"/>
        <w:rPr>
          <w:rFonts w:ascii="宋体" w:hAnsi="宋体" w:cs="等线"/>
          <w:sz w:val="32"/>
          <w:szCs w:val="32"/>
        </w:rPr>
      </w:pPr>
      <w:r>
        <w:rPr>
          <w:rFonts w:hint="eastAsia" w:ascii="宋体" w:hAnsi="宋体" w:cs="等线"/>
          <w:sz w:val="32"/>
          <w:szCs w:val="32"/>
        </w:rPr>
        <w:t>评价机构：湛江市信达会计师事务所有限公司</w:t>
      </w:r>
    </w:p>
    <w:p>
      <w:pPr>
        <w:adjustRightInd w:val="0"/>
        <w:snapToGrid w:val="0"/>
        <w:spacing w:line="360" w:lineRule="auto"/>
        <w:ind w:firstLine="640" w:firstLineChars="200"/>
        <w:jc w:val="left"/>
        <w:rPr>
          <w:rFonts w:ascii="宋体" w:hAnsi="宋体" w:cs="等线"/>
          <w:sz w:val="32"/>
          <w:szCs w:val="32"/>
        </w:rPr>
      </w:pPr>
      <w:r>
        <w:rPr>
          <w:rFonts w:hint="eastAsia" w:ascii="宋体" w:hAnsi="宋体" w:cs="等线"/>
          <w:sz w:val="32"/>
          <w:szCs w:val="32"/>
        </w:rPr>
        <w:t>报告日期：2</w:t>
      </w:r>
      <w:r>
        <w:rPr>
          <w:rFonts w:ascii="宋体" w:hAnsi="宋体" w:cs="等线"/>
          <w:sz w:val="32"/>
          <w:szCs w:val="32"/>
        </w:rPr>
        <w:t>019</w:t>
      </w:r>
      <w:r>
        <w:rPr>
          <w:rFonts w:hint="eastAsia" w:ascii="宋体" w:hAnsi="宋体" w:cs="等线"/>
          <w:sz w:val="32"/>
          <w:szCs w:val="32"/>
        </w:rPr>
        <w:t>年1</w:t>
      </w:r>
      <w:r>
        <w:rPr>
          <w:rFonts w:ascii="宋体" w:hAnsi="宋体" w:cs="等线"/>
          <w:sz w:val="32"/>
          <w:szCs w:val="32"/>
        </w:rPr>
        <w:t>1</w:t>
      </w:r>
      <w:r>
        <w:rPr>
          <w:rFonts w:hint="eastAsia" w:ascii="宋体" w:hAnsi="宋体" w:cs="等线"/>
          <w:sz w:val="32"/>
          <w:szCs w:val="32"/>
        </w:rPr>
        <w:t>月</w:t>
      </w: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z w:val="32"/>
          <w:szCs w:val="32"/>
        </w:rPr>
      </w:pPr>
    </w:p>
    <w:p>
      <w:pPr>
        <w:adjustRightInd w:val="0"/>
        <w:snapToGrid w:val="0"/>
        <w:spacing w:line="360" w:lineRule="auto"/>
        <w:jc w:val="center"/>
        <w:rPr>
          <w:rFonts w:ascii="宋体" w:hAnsi="宋体" w:cs="等线"/>
          <w:spacing w:val="-23"/>
          <w:sz w:val="44"/>
          <w:szCs w:val="44"/>
        </w:rPr>
      </w:pPr>
    </w:p>
    <w:p>
      <w:pPr>
        <w:adjustRightInd w:val="0"/>
        <w:snapToGrid w:val="0"/>
        <w:spacing w:line="360" w:lineRule="auto"/>
        <w:jc w:val="center"/>
        <w:rPr>
          <w:rFonts w:ascii="宋体" w:hAnsi="宋体" w:cs="等线"/>
          <w:spacing w:val="-23"/>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851" w:gutter="0"/>
          <w:pgNumType w:fmt="numberInDash" w:start="1"/>
          <w:cols w:space="720" w:num="1"/>
          <w:titlePg/>
          <w:docGrid w:type="lines" w:linePitch="312" w:charSpace="0"/>
        </w:sectPr>
      </w:pPr>
    </w:p>
    <w:p>
      <w:pPr>
        <w:adjustRightInd w:val="0"/>
        <w:snapToGrid w:val="0"/>
        <w:spacing w:line="360" w:lineRule="auto"/>
        <w:jc w:val="center"/>
        <w:rPr>
          <w:rFonts w:ascii="宋体" w:hAnsi="宋体" w:cs="等线"/>
          <w:spacing w:val="-23"/>
          <w:sz w:val="44"/>
          <w:szCs w:val="44"/>
        </w:rPr>
      </w:pPr>
    </w:p>
    <w:p>
      <w:pPr>
        <w:adjustRightInd w:val="0"/>
        <w:snapToGrid w:val="0"/>
        <w:spacing w:line="360" w:lineRule="auto"/>
        <w:jc w:val="center"/>
        <w:rPr>
          <w:rFonts w:ascii="宋体" w:hAnsi="宋体" w:cs="等线"/>
          <w:spacing w:val="-23"/>
          <w:sz w:val="44"/>
          <w:szCs w:val="44"/>
        </w:rPr>
      </w:pPr>
      <w:r>
        <w:rPr>
          <w:rFonts w:hint="eastAsia" w:ascii="宋体" w:hAnsi="宋体" w:cs="等线"/>
          <w:spacing w:val="-23"/>
          <w:sz w:val="44"/>
          <w:szCs w:val="44"/>
        </w:rPr>
        <w:t>目 录</w:t>
      </w:r>
    </w:p>
    <w:p>
      <w:pPr>
        <w:ind w:firstLine="560" w:firstLineChars="200"/>
        <w:rPr>
          <w:rFonts w:ascii="宋体" w:hAnsi="宋体" w:cs="仿宋_GB2312"/>
          <w:bCs/>
          <w:kern w:val="0"/>
          <w:sz w:val="28"/>
          <w:szCs w:val="28"/>
        </w:rPr>
      </w:pPr>
    </w:p>
    <w:p>
      <w:pPr>
        <w:ind w:firstLine="560" w:firstLineChars="200"/>
        <w:rPr>
          <w:rFonts w:ascii="宋体" w:hAnsi="宋体" w:cs="仿宋_GB2312"/>
          <w:bCs/>
          <w:kern w:val="0"/>
          <w:sz w:val="28"/>
          <w:szCs w:val="28"/>
        </w:rPr>
      </w:pPr>
      <w:r>
        <w:rPr>
          <w:rFonts w:hint="eastAsia" w:ascii="宋体" w:hAnsi="宋体" w:cs="仿宋_GB2312"/>
          <w:bCs/>
          <w:kern w:val="0"/>
          <w:sz w:val="28"/>
          <w:szCs w:val="28"/>
        </w:rPr>
        <w:t xml:space="preserve">一、绩效评价结果                …………………………  </w:t>
      </w:r>
      <w:r>
        <w:rPr>
          <w:rFonts w:ascii="宋体" w:hAnsi="宋体" w:cs="仿宋_GB2312"/>
          <w:bCs/>
          <w:kern w:val="0"/>
          <w:sz w:val="28"/>
          <w:szCs w:val="28"/>
        </w:rPr>
        <w:t>1</w:t>
      </w:r>
    </w:p>
    <w:p>
      <w:pPr>
        <w:ind w:firstLine="560" w:firstLineChars="200"/>
        <w:rPr>
          <w:rFonts w:ascii="宋体" w:hAnsi="宋体" w:cs="仿宋_GB2312"/>
          <w:bCs/>
          <w:sz w:val="28"/>
          <w:szCs w:val="28"/>
        </w:rPr>
      </w:pPr>
      <w:r>
        <w:rPr>
          <w:rFonts w:hint="eastAsia" w:ascii="宋体" w:hAnsi="宋体" w:cs="仿宋_GB2312"/>
          <w:bCs/>
          <w:sz w:val="28"/>
          <w:szCs w:val="28"/>
        </w:rPr>
        <w:t xml:space="preserve">二、单位基本情况                </w:t>
      </w:r>
      <w:r>
        <w:rPr>
          <w:rFonts w:hint="eastAsia" w:ascii="宋体" w:hAnsi="宋体" w:cs="仿宋_GB2312"/>
          <w:bCs/>
          <w:kern w:val="0"/>
          <w:sz w:val="28"/>
          <w:szCs w:val="28"/>
        </w:rPr>
        <w:t xml:space="preserve">………………………… </w:t>
      </w:r>
      <w:r>
        <w:rPr>
          <w:rFonts w:ascii="宋体" w:hAnsi="宋体" w:cs="仿宋_GB2312"/>
          <w:bCs/>
          <w:kern w:val="0"/>
          <w:sz w:val="28"/>
          <w:szCs w:val="28"/>
        </w:rPr>
        <w:t xml:space="preserve"> 1</w:t>
      </w:r>
    </w:p>
    <w:p>
      <w:pPr>
        <w:ind w:firstLine="560" w:firstLineChars="200"/>
        <w:rPr>
          <w:rFonts w:ascii="宋体" w:hAnsi="宋体" w:cs="仿宋_GB2312"/>
          <w:kern w:val="0"/>
          <w:sz w:val="28"/>
          <w:szCs w:val="28"/>
        </w:rPr>
      </w:pPr>
      <w:r>
        <w:rPr>
          <w:rFonts w:hint="eastAsia" w:ascii="宋体" w:hAnsi="宋体" w:cs="仿宋_GB2312"/>
          <w:kern w:val="0"/>
          <w:sz w:val="28"/>
          <w:szCs w:val="28"/>
        </w:rPr>
        <w:t xml:space="preserve">三、前期准备工作                </w:t>
      </w:r>
      <w:r>
        <w:rPr>
          <w:rFonts w:hint="eastAsia" w:ascii="宋体" w:hAnsi="宋体" w:cs="仿宋_GB2312"/>
          <w:bCs/>
          <w:kern w:val="0"/>
          <w:sz w:val="28"/>
          <w:szCs w:val="28"/>
        </w:rPr>
        <w:t xml:space="preserve">………………………… </w:t>
      </w:r>
      <w:r>
        <w:rPr>
          <w:rFonts w:ascii="宋体" w:hAnsi="宋体" w:cs="仿宋_GB2312"/>
          <w:bCs/>
          <w:kern w:val="0"/>
          <w:sz w:val="28"/>
          <w:szCs w:val="28"/>
        </w:rPr>
        <w:t xml:space="preserve"> 4</w:t>
      </w:r>
    </w:p>
    <w:p>
      <w:pPr>
        <w:ind w:firstLine="560" w:firstLineChars="200"/>
        <w:rPr>
          <w:rFonts w:ascii="宋体" w:hAnsi="宋体" w:cs="仿宋_GB2312"/>
          <w:bCs/>
          <w:sz w:val="28"/>
          <w:szCs w:val="28"/>
        </w:rPr>
      </w:pPr>
      <w:r>
        <w:rPr>
          <w:rFonts w:hint="eastAsia" w:ascii="宋体" w:hAnsi="宋体" w:cs="仿宋_GB2312"/>
          <w:bCs/>
          <w:sz w:val="28"/>
          <w:szCs w:val="28"/>
        </w:rPr>
        <w:t xml:space="preserve">四、预算编制及目标设置情况      </w:t>
      </w:r>
      <w:r>
        <w:rPr>
          <w:rFonts w:hint="eastAsia" w:ascii="宋体" w:hAnsi="宋体" w:cs="仿宋_GB2312"/>
          <w:bCs/>
          <w:kern w:val="0"/>
          <w:sz w:val="28"/>
          <w:szCs w:val="28"/>
        </w:rPr>
        <w:t xml:space="preserve">………………………… </w:t>
      </w:r>
      <w:r>
        <w:rPr>
          <w:rFonts w:ascii="宋体" w:hAnsi="宋体" w:cs="仿宋_GB2312"/>
          <w:bCs/>
          <w:kern w:val="0"/>
          <w:sz w:val="28"/>
          <w:szCs w:val="28"/>
        </w:rPr>
        <w:t xml:space="preserve"> 5</w:t>
      </w:r>
    </w:p>
    <w:p>
      <w:pPr>
        <w:ind w:firstLine="560" w:firstLineChars="200"/>
        <w:rPr>
          <w:rFonts w:ascii="宋体" w:hAnsi="宋体"/>
          <w:sz w:val="28"/>
          <w:szCs w:val="28"/>
        </w:rPr>
      </w:pPr>
      <w:r>
        <w:rPr>
          <w:rFonts w:hint="eastAsia" w:ascii="宋体" w:hAnsi="宋体"/>
          <w:sz w:val="28"/>
          <w:szCs w:val="28"/>
        </w:rPr>
        <w:t xml:space="preserve">五、预算支出管理情况            </w:t>
      </w:r>
      <w:r>
        <w:rPr>
          <w:rFonts w:hint="eastAsia" w:ascii="宋体" w:hAnsi="宋体" w:cs="仿宋_GB2312"/>
          <w:bCs/>
          <w:kern w:val="0"/>
          <w:sz w:val="28"/>
          <w:szCs w:val="28"/>
        </w:rPr>
        <w:t xml:space="preserve">………………………… </w:t>
      </w:r>
      <w:r>
        <w:rPr>
          <w:rFonts w:ascii="宋体" w:hAnsi="宋体" w:cs="仿宋_GB2312"/>
          <w:bCs/>
          <w:kern w:val="0"/>
          <w:sz w:val="28"/>
          <w:szCs w:val="28"/>
        </w:rPr>
        <w:t xml:space="preserve"> 7</w:t>
      </w:r>
    </w:p>
    <w:p>
      <w:pPr>
        <w:ind w:firstLine="560" w:firstLineChars="200"/>
        <w:rPr>
          <w:rFonts w:ascii="宋体" w:hAnsi="宋体" w:cs="宋体"/>
          <w:kern w:val="0"/>
          <w:sz w:val="28"/>
          <w:szCs w:val="28"/>
        </w:rPr>
      </w:pPr>
      <w:r>
        <w:rPr>
          <w:rFonts w:hint="eastAsia" w:ascii="宋体" w:hAnsi="宋体" w:cs="宋体"/>
          <w:kern w:val="0"/>
          <w:sz w:val="28"/>
          <w:szCs w:val="28"/>
        </w:rPr>
        <w:t xml:space="preserve">六、整体绩效情况                </w:t>
      </w:r>
      <w:r>
        <w:rPr>
          <w:rFonts w:hint="eastAsia" w:ascii="宋体" w:hAnsi="宋体" w:cs="仿宋_GB2312"/>
          <w:bCs/>
          <w:kern w:val="0"/>
          <w:sz w:val="28"/>
          <w:szCs w:val="28"/>
        </w:rPr>
        <w:t xml:space="preserve">………………………… </w:t>
      </w:r>
      <w:r>
        <w:rPr>
          <w:rFonts w:ascii="宋体" w:hAnsi="宋体" w:cs="仿宋_GB2312"/>
          <w:bCs/>
          <w:kern w:val="0"/>
          <w:sz w:val="28"/>
          <w:szCs w:val="28"/>
        </w:rPr>
        <w:t>14</w:t>
      </w:r>
    </w:p>
    <w:p>
      <w:pPr>
        <w:ind w:firstLine="560" w:firstLineChars="200"/>
        <w:rPr>
          <w:rFonts w:ascii="宋体" w:hAnsi="宋体" w:cs="宋体"/>
          <w:kern w:val="0"/>
          <w:sz w:val="28"/>
          <w:szCs w:val="28"/>
        </w:rPr>
      </w:pPr>
      <w:r>
        <w:rPr>
          <w:rFonts w:hint="eastAsia" w:ascii="宋体" w:hAnsi="宋体" w:cs="宋体"/>
          <w:kern w:val="0"/>
          <w:sz w:val="28"/>
          <w:szCs w:val="28"/>
        </w:rPr>
        <w:t xml:space="preserve">七、存在问题                    </w:t>
      </w:r>
      <w:r>
        <w:rPr>
          <w:rFonts w:hint="eastAsia" w:ascii="宋体" w:hAnsi="宋体" w:cs="仿宋_GB2312"/>
          <w:bCs/>
          <w:kern w:val="0"/>
          <w:sz w:val="28"/>
          <w:szCs w:val="28"/>
        </w:rPr>
        <w:t xml:space="preserve">………………………… </w:t>
      </w:r>
      <w:r>
        <w:rPr>
          <w:rFonts w:ascii="宋体" w:hAnsi="宋体" w:cs="仿宋_GB2312"/>
          <w:bCs/>
          <w:kern w:val="0"/>
          <w:sz w:val="28"/>
          <w:szCs w:val="28"/>
        </w:rPr>
        <w:t>17</w:t>
      </w:r>
    </w:p>
    <w:p>
      <w:pPr>
        <w:ind w:firstLine="560" w:firstLineChars="200"/>
        <w:rPr>
          <w:rFonts w:ascii="宋体" w:hAnsi="宋体" w:cs="宋体"/>
          <w:kern w:val="0"/>
          <w:sz w:val="28"/>
          <w:szCs w:val="28"/>
        </w:rPr>
      </w:pPr>
      <w:r>
        <w:rPr>
          <w:rFonts w:hint="eastAsia" w:ascii="宋体" w:hAnsi="宋体" w:cs="宋体"/>
          <w:kern w:val="0"/>
          <w:sz w:val="28"/>
          <w:szCs w:val="28"/>
        </w:rPr>
        <w:t xml:space="preserve">八、建议                        </w:t>
      </w:r>
      <w:r>
        <w:rPr>
          <w:rFonts w:hint="eastAsia" w:ascii="宋体" w:hAnsi="宋体" w:cs="仿宋_GB2312"/>
          <w:bCs/>
          <w:kern w:val="0"/>
          <w:sz w:val="28"/>
          <w:szCs w:val="28"/>
        </w:rPr>
        <w:t xml:space="preserve">………………………… </w:t>
      </w:r>
      <w:r>
        <w:rPr>
          <w:rFonts w:ascii="宋体" w:hAnsi="宋体" w:cs="仿宋_GB2312"/>
          <w:bCs/>
          <w:kern w:val="0"/>
          <w:sz w:val="28"/>
          <w:szCs w:val="28"/>
        </w:rPr>
        <w:t>18</w:t>
      </w:r>
    </w:p>
    <w:p>
      <w:pPr>
        <w:ind w:firstLine="640" w:firstLineChars="200"/>
        <w:rPr>
          <w:rFonts w:ascii="黑体" w:hAnsi="黑体" w:eastAsia="黑体" w:cs="仿宋_GB2312"/>
          <w:bCs/>
          <w:sz w:val="32"/>
          <w:szCs w:val="32"/>
        </w:rPr>
      </w:pPr>
    </w:p>
    <w:p>
      <w:pPr>
        <w:ind w:firstLine="640" w:firstLineChars="200"/>
        <w:rPr>
          <w:rFonts w:ascii="黑体" w:hAnsi="黑体" w:eastAsia="黑体" w:cs="仿宋_GB2312"/>
          <w:bCs/>
          <w:sz w:val="32"/>
          <w:szCs w:val="32"/>
        </w:rPr>
      </w:pPr>
    </w:p>
    <w:p>
      <w:pPr>
        <w:ind w:firstLine="640" w:firstLineChars="200"/>
        <w:rPr>
          <w:rFonts w:ascii="黑体" w:hAnsi="华文仿宋" w:eastAsia="黑体" w:cs="仿宋_GB2312"/>
          <w:bCs/>
          <w:kern w:val="0"/>
          <w:sz w:val="32"/>
          <w:szCs w:val="32"/>
        </w:rPr>
      </w:pPr>
    </w:p>
    <w:p>
      <w:pPr>
        <w:ind w:firstLine="640" w:firstLineChars="200"/>
        <w:rPr>
          <w:rFonts w:ascii="黑体" w:hAnsi="华文仿宋" w:eastAsia="黑体" w:cs="仿宋_GB2312"/>
          <w:bCs/>
          <w:kern w:val="0"/>
          <w:sz w:val="32"/>
          <w:szCs w:val="32"/>
        </w:rPr>
      </w:pPr>
    </w:p>
    <w:p>
      <w:pPr>
        <w:ind w:firstLine="640" w:firstLineChars="200"/>
        <w:rPr>
          <w:rFonts w:ascii="黑体" w:hAnsi="华文仿宋" w:eastAsia="黑体" w:cs="仿宋_GB2312"/>
          <w:bCs/>
          <w:kern w:val="0"/>
          <w:sz w:val="32"/>
          <w:szCs w:val="32"/>
        </w:rPr>
      </w:pPr>
    </w:p>
    <w:p>
      <w:pPr>
        <w:ind w:firstLine="640" w:firstLineChars="200"/>
        <w:rPr>
          <w:rFonts w:ascii="黑体" w:hAnsi="华文仿宋" w:eastAsia="黑体" w:cs="仿宋_GB2312"/>
          <w:bCs/>
          <w:kern w:val="0"/>
          <w:sz w:val="32"/>
          <w:szCs w:val="32"/>
        </w:rPr>
      </w:pPr>
    </w:p>
    <w:p>
      <w:pPr>
        <w:ind w:firstLine="640" w:firstLineChars="200"/>
        <w:rPr>
          <w:rFonts w:ascii="黑体" w:hAnsi="华文仿宋" w:eastAsia="黑体"/>
          <w:bCs/>
          <w:color w:val="000000" w:themeColor="text1"/>
          <w:sz w:val="32"/>
          <w:szCs w:val="32"/>
        </w:rPr>
      </w:pPr>
    </w:p>
    <w:p>
      <w:pPr>
        <w:rPr>
          <w:rFonts w:asciiTheme="minorEastAsia" w:hAnsiTheme="minorEastAsia"/>
          <w:bCs/>
          <w:color w:val="000000" w:themeColor="text1"/>
          <w:sz w:val="44"/>
          <w:szCs w:val="44"/>
        </w:rPr>
      </w:pPr>
    </w:p>
    <w:p>
      <w:pPr>
        <w:rPr>
          <w:rFonts w:asciiTheme="minorEastAsia" w:hAnsiTheme="minorEastAsia"/>
          <w:bCs/>
          <w:color w:val="000000" w:themeColor="text1"/>
          <w:sz w:val="44"/>
          <w:szCs w:val="44"/>
        </w:rPr>
      </w:pPr>
    </w:p>
    <w:p>
      <w:pPr>
        <w:jc w:val="center"/>
        <w:rPr>
          <w:rFonts w:asciiTheme="minorEastAsia" w:hAnsiTheme="minorEastAsia"/>
          <w:bCs/>
          <w:color w:val="000000" w:themeColor="text1"/>
          <w:sz w:val="44"/>
          <w:szCs w:val="44"/>
        </w:rPr>
        <w:sectPr>
          <w:footerReference r:id="rId9" w:type="default"/>
          <w:pgSz w:w="11906" w:h="16838"/>
          <w:pgMar w:top="1440" w:right="1797" w:bottom="1440" w:left="1797" w:header="851" w:footer="992" w:gutter="0"/>
          <w:cols w:space="425" w:num="1"/>
          <w:titlePg/>
          <w:docGrid w:type="lines" w:linePitch="312" w:charSpace="0"/>
        </w:sectPr>
      </w:pPr>
    </w:p>
    <w:p>
      <w:pPr>
        <w:adjustRightInd w:val="0"/>
        <w:snapToGrid w:val="0"/>
        <w:spacing w:line="360" w:lineRule="auto"/>
        <w:jc w:val="center"/>
        <w:rPr>
          <w:rFonts w:asciiTheme="minorEastAsia" w:hAnsiTheme="minorEastAsia"/>
          <w:bCs/>
          <w:color w:val="000000" w:themeColor="text1"/>
          <w:sz w:val="44"/>
          <w:szCs w:val="44"/>
        </w:rPr>
      </w:pPr>
      <w:r>
        <w:rPr>
          <w:rFonts w:hint="eastAsia" w:asciiTheme="minorEastAsia" w:hAnsiTheme="minorEastAsia"/>
          <w:bCs/>
          <w:color w:val="000000" w:themeColor="text1"/>
          <w:sz w:val="44"/>
          <w:szCs w:val="44"/>
        </w:rPr>
        <w:t>中共湛江市委军民融合发展委员会办公室</w:t>
      </w:r>
    </w:p>
    <w:p>
      <w:pPr>
        <w:adjustRightInd w:val="0"/>
        <w:snapToGrid w:val="0"/>
        <w:spacing w:line="360" w:lineRule="auto"/>
        <w:jc w:val="center"/>
        <w:rPr>
          <w:rFonts w:asciiTheme="minorEastAsia" w:hAnsiTheme="minorEastAsia"/>
          <w:bCs/>
          <w:color w:val="000000" w:themeColor="text1"/>
          <w:sz w:val="44"/>
          <w:szCs w:val="44"/>
        </w:rPr>
      </w:pPr>
      <w:r>
        <w:rPr>
          <w:rFonts w:hint="eastAsia" w:asciiTheme="minorEastAsia" w:hAnsiTheme="minorEastAsia"/>
          <w:bCs/>
          <w:color w:val="000000" w:themeColor="text1"/>
          <w:sz w:val="44"/>
          <w:szCs w:val="44"/>
        </w:rPr>
        <w:t>2018年度部门整体支出绩效评价报告</w:t>
      </w:r>
    </w:p>
    <w:p>
      <w:pPr>
        <w:adjustRightInd w:val="0"/>
        <w:snapToGrid w:val="0"/>
        <w:spacing w:line="360" w:lineRule="auto"/>
        <w:rPr>
          <w:rFonts w:asciiTheme="minorEastAsia" w:hAnsiTheme="minorEastAsia"/>
          <w:bCs/>
          <w:color w:val="000000" w:themeColor="text1"/>
          <w:sz w:val="36"/>
          <w:szCs w:val="36"/>
        </w:rPr>
      </w:pP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根据《关于开展2018年度市级部门预算单位整体支出自我绩效评价工作的通知》（湛财评〔2019〕22号）、《关于开展 2018 年度市级部门预算单位整体支出重点绩效评价的通知》的有关规定，2019年，湛江市信达会计师事务所有限公司受湛江市财政局委托，作为第三方机构组成评价小组，对中共湛江市委军民融合发展委员会</w:t>
      </w:r>
      <w:r>
        <w:rPr>
          <w:rFonts w:hint="eastAsia" w:ascii="仿宋" w:hAnsi="仿宋" w:eastAsia="仿宋"/>
          <w:color w:val="000000" w:themeColor="text1"/>
          <w:sz w:val="32"/>
          <w:szCs w:val="32"/>
        </w:rPr>
        <w:t>办公室</w:t>
      </w:r>
      <w:r>
        <w:rPr>
          <w:rFonts w:hint="eastAsia" w:ascii="仿宋" w:hAnsi="仿宋" w:eastAsia="仿宋"/>
          <w:sz w:val="32"/>
          <w:szCs w:val="32"/>
        </w:rPr>
        <w:t>2018年度部门整体支出绩效实施重点评价。经单位自评、现场询问、实地核查、综合分析等程序形成本评价报告。</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一、绩效评价结果</w:t>
      </w:r>
    </w:p>
    <w:p>
      <w:pPr>
        <w:adjustRightInd w:val="0"/>
        <w:snapToGrid w:val="0"/>
        <w:spacing w:line="620" w:lineRule="exact"/>
        <w:ind w:firstLine="640" w:firstLineChars="200"/>
        <w:rPr>
          <w:rFonts w:ascii="仿宋" w:hAnsi="仿宋" w:eastAsia="仿宋" w:cs="仿宋"/>
          <w:color w:val="000000" w:themeColor="text1"/>
          <w:kern w:val="0"/>
          <w:sz w:val="32"/>
          <w:szCs w:val="32"/>
        </w:rPr>
      </w:pPr>
      <w:r>
        <w:rPr>
          <w:rFonts w:hint="eastAsia" w:ascii="仿宋" w:hAnsi="仿宋" w:eastAsia="仿宋"/>
          <w:color w:val="000000" w:themeColor="text1"/>
          <w:sz w:val="32"/>
          <w:szCs w:val="32"/>
        </w:rPr>
        <w:t>评价小组在查阅单位自评资料、检查账务、询问质疑、现场勘验的基础上，严格按照《湛江市部门整体支出绩效评价评分表》的评分标准，经综合评分，该单位部门整体支出绩效评价得分为9</w:t>
      </w:r>
      <w:r>
        <w:rPr>
          <w:rFonts w:ascii="仿宋" w:hAnsi="仿宋" w:eastAsia="仿宋"/>
          <w:color w:val="000000" w:themeColor="text1"/>
          <w:sz w:val="32"/>
          <w:szCs w:val="32"/>
        </w:rPr>
        <w:t>1.7</w:t>
      </w:r>
      <w:r>
        <w:rPr>
          <w:rFonts w:hint="eastAsia" w:ascii="仿宋" w:hAnsi="仿宋" w:eastAsia="仿宋"/>
          <w:color w:val="000000" w:themeColor="text1"/>
          <w:sz w:val="32"/>
          <w:szCs w:val="32"/>
        </w:rPr>
        <w:t>分，等级为优。主要扣分点：</w:t>
      </w:r>
      <w:r>
        <w:rPr>
          <w:rFonts w:hint="eastAsia" w:ascii="仿宋" w:hAnsi="仿宋" w:eastAsia="仿宋" w:cs="仿宋"/>
          <w:color w:val="000000" w:themeColor="text1"/>
          <w:kern w:val="0"/>
          <w:sz w:val="32"/>
          <w:szCs w:val="32"/>
        </w:rPr>
        <w:t>自评材料报送质量（扣0</w:t>
      </w:r>
      <w:r>
        <w:rPr>
          <w:rFonts w:ascii="仿宋" w:hAnsi="仿宋" w:eastAsia="仿宋" w:cs="仿宋"/>
          <w:color w:val="000000" w:themeColor="text1"/>
          <w:kern w:val="0"/>
          <w:sz w:val="32"/>
          <w:szCs w:val="32"/>
        </w:rPr>
        <w:t>.5</w:t>
      </w:r>
      <w:r>
        <w:rPr>
          <w:rFonts w:hint="eastAsia" w:ascii="仿宋" w:hAnsi="仿宋" w:eastAsia="仿宋" w:cs="仿宋"/>
          <w:color w:val="000000" w:themeColor="text1"/>
          <w:kern w:val="0"/>
          <w:sz w:val="32"/>
          <w:szCs w:val="32"/>
        </w:rPr>
        <w:t>分）、预算编制合理性（扣1.5分）、</w:t>
      </w:r>
      <w:r>
        <w:rPr>
          <w:rFonts w:hint="eastAsia" w:ascii="仿宋" w:hAnsi="仿宋" w:eastAsia="仿宋"/>
          <w:color w:val="000000" w:themeColor="text1"/>
          <w:sz w:val="32"/>
          <w:szCs w:val="32"/>
        </w:rPr>
        <w:t>目标设置合理性（扣</w:t>
      </w:r>
      <w:r>
        <w:rPr>
          <w:rFonts w:hint="eastAsia" w:ascii="仿宋" w:hAnsi="仿宋" w:eastAsia="仿宋" w:cs="仿宋"/>
          <w:color w:val="000000" w:themeColor="text1"/>
          <w:kern w:val="0"/>
          <w:sz w:val="32"/>
          <w:szCs w:val="32"/>
        </w:rPr>
        <w:t>0.5分）、整体支出完成率（扣1分），政府采购执行率（扣</w:t>
      </w:r>
      <w:r>
        <w:rPr>
          <w:rFonts w:ascii="仿宋" w:hAnsi="仿宋" w:eastAsia="仿宋" w:cs="仿宋"/>
          <w:color w:val="000000" w:themeColor="text1"/>
          <w:kern w:val="0"/>
          <w:sz w:val="32"/>
          <w:szCs w:val="32"/>
        </w:rPr>
        <w:t>0</w:t>
      </w:r>
      <w:r>
        <w:rPr>
          <w:rFonts w:hint="eastAsia" w:ascii="仿宋" w:hAnsi="仿宋" w:eastAsia="仿宋" w:cs="仿宋"/>
          <w:color w:val="000000" w:themeColor="text1"/>
          <w:kern w:val="0"/>
          <w:sz w:val="32"/>
          <w:szCs w:val="32"/>
        </w:rPr>
        <w:t>.</w:t>
      </w: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rPr>
        <w:t>分），财务合规性（扣</w:t>
      </w:r>
      <w:r>
        <w:rPr>
          <w:rFonts w:ascii="仿宋" w:hAnsi="仿宋" w:eastAsia="仿宋" w:cs="仿宋"/>
          <w:color w:val="000000" w:themeColor="text1"/>
          <w:kern w:val="0"/>
          <w:sz w:val="32"/>
          <w:szCs w:val="32"/>
        </w:rPr>
        <w:t>0.5</w:t>
      </w:r>
      <w:r>
        <w:rPr>
          <w:rFonts w:hint="eastAsia" w:ascii="仿宋" w:hAnsi="仿宋" w:eastAsia="仿宋" w:cs="仿宋"/>
          <w:color w:val="000000" w:themeColor="text1"/>
          <w:kern w:val="0"/>
          <w:sz w:val="32"/>
          <w:szCs w:val="32"/>
        </w:rPr>
        <w:t>分）、资产管理安全性（扣1分），效率性（扣</w:t>
      </w:r>
      <w:r>
        <w:rPr>
          <w:rFonts w:ascii="仿宋" w:hAnsi="仿宋" w:eastAsia="仿宋" w:cs="仿宋"/>
          <w:color w:val="000000" w:themeColor="text1"/>
          <w:kern w:val="0"/>
          <w:sz w:val="32"/>
          <w:szCs w:val="32"/>
        </w:rPr>
        <w:t>2.5</w:t>
      </w:r>
      <w:r>
        <w:rPr>
          <w:rFonts w:hint="eastAsia" w:ascii="仿宋" w:hAnsi="仿宋" w:eastAsia="仿宋" w:cs="仿宋"/>
          <w:color w:val="000000" w:themeColor="text1"/>
          <w:kern w:val="0"/>
          <w:sz w:val="32"/>
          <w:szCs w:val="32"/>
        </w:rPr>
        <w:t>分），效果性（扣0.5分）。</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二、单位基本情况</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（一）单位情况</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中共湛江市委军民融合发展委员会办公室是由原湛江市人民防空办公室和原湛江市海防与打击走私办公室于2019年1月3日转隶组建。本次绩效评价范围仅是原湛江市人民防空办公室本级，不含下属单位及原湛江市海防与打击走私办公室。</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原湛江市人民防空办公室是市政府主管人防工作的综合职能部门，为正处级行政单位，下属三个正科级事业单位：湛江市一0一工程管理所、湛江市人防指挥信息保障中心、湛江市人防工程维护管理站。</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（二）人员情况  </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该单位（原湛江市人民防空办公室本级，下同）2018年度核定人员编制29名，年末实有在职人数23名，离退休人数23人，外聘临时工5人。</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（三）工作职能</w:t>
      </w:r>
    </w:p>
    <w:p>
      <w:pPr>
        <w:adjustRightInd w:val="0"/>
        <w:snapToGrid w:val="0"/>
        <w:spacing w:line="62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内容涉密，不予以公开。</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三、前期准备工作</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（一）自评工作情况</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1</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组织建立情况。</w:t>
      </w:r>
      <w:r>
        <w:rPr>
          <w:rFonts w:hint="eastAsia" w:ascii="仿宋" w:hAnsi="仿宋" w:eastAsia="仿宋" w:cs="仿宋_GB2312"/>
          <w:color w:val="000000" w:themeColor="text1"/>
          <w:sz w:val="32"/>
          <w:szCs w:val="32"/>
        </w:rPr>
        <w:t>该单位成立了部门整体支出自我绩效评价工作小组。自评工作小组由3人以上组成，包括主管领导、财务人员和业务人员，人数和结构符合规定。</w:t>
      </w:r>
    </w:p>
    <w:p>
      <w:pPr>
        <w:adjustRightInd w:val="0"/>
        <w:snapToGrid w:val="0"/>
        <w:spacing w:line="620" w:lineRule="exact"/>
        <w:ind w:firstLine="643" w:firstLineChars="200"/>
        <w:rPr>
          <w:rFonts w:ascii="仿宋" w:hAnsi="仿宋" w:eastAsia="仿宋" w:cs="仿宋_GB2312"/>
          <w:color w:val="000000" w:themeColor="text1"/>
          <w:sz w:val="32"/>
          <w:szCs w:val="32"/>
        </w:rPr>
      </w:pPr>
      <w:r>
        <w:rPr>
          <w:rFonts w:hint="eastAsia" w:ascii="仿宋" w:hAnsi="仿宋" w:eastAsia="仿宋"/>
          <w:b/>
          <w:color w:val="000000" w:themeColor="text1"/>
          <w:sz w:val="32"/>
          <w:szCs w:val="32"/>
        </w:rPr>
        <w:t>2</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自评材料报送及时性。</w:t>
      </w:r>
      <w:r>
        <w:rPr>
          <w:rFonts w:hint="eastAsia" w:ascii="仿宋" w:hAnsi="仿宋" w:eastAsia="仿宋"/>
          <w:sz w:val="32"/>
          <w:szCs w:val="32"/>
        </w:rPr>
        <w:t>根据《关于开展2018年度市级部门预算单位整体支出自我绩效评价工作的通知》（湛财评〔2019〕22号）的要求，市级部门单位2018年度整体支出自我绩效评价工作应在2019年6月28日前完成并向市财政局报送资料。</w:t>
      </w:r>
      <w:r>
        <w:rPr>
          <w:rFonts w:hint="eastAsia" w:ascii="仿宋" w:hAnsi="仿宋" w:eastAsia="仿宋" w:cs="仿宋_GB2312"/>
          <w:color w:val="000000" w:themeColor="text1"/>
          <w:sz w:val="32"/>
          <w:szCs w:val="32"/>
        </w:rPr>
        <w:t>该单位在规定时间内完成自评工作并按时报送自评材料。</w:t>
      </w:r>
    </w:p>
    <w:p>
      <w:pPr>
        <w:adjustRightInd w:val="0"/>
        <w:snapToGrid w:val="0"/>
        <w:spacing w:line="620" w:lineRule="exact"/>
        <w:ind w:firstLine="643" w:firstLineChars="200"/>
        <w:rPr>
          <w:rFonts w:ascii="仿宋" w:hAnsi="仿宋" w:eastAsia="仿宋" w:cs="Times New Roman"/>
          <w:color w:val="000000" w:themeColor="text1"/>
          <w:sz w:val="32"/>
          <w:szCs w:val="32"/>
        </w:rPr>
      </w:pPr>
      <w:r>
        <w:rPr>
          <w:rFonts w:hint="eastAsia" w:ascii="仿宋" w:hAnsi="仿宋" w:eastAsia="仿宋"/>
          <w:b/>
          <w:color w:val="000000" w:themeColor="text1"/>
          <w:sz w:val="32"/>
          <w:szCs w:val="32"/>
        </w:rPr>
        <w:t>3</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自评材料报送的质量。</w:t>
      </w:r>
      <w:r>
        <w:rPr>
          <w:rFonts w:hint="eastAsia" w:ascii="仿宋" w:hAnsi="仿宋" w:eastAsia="仿宋"/>
          <w:color w:val="000000" w:themeColor="text1"/>
          <w:sz w:val="32"/>
          <w:szCs w:val="32"/>
        </w:rPr>
        <w:t>该单位报送的自评材料内容详细，自评材料质量较好，</w:t>
      </w:r>
      <w:r>
        <w:rPr>
          <w:rFonts w:hint="eastAsia" w:ascii="仿宋" w:hAnsi="仿宋" w:eastAsia="仿宋" w:cs="Times New Roman"/>
          <w:color w:val="000000" w:themeColor="text1"/>
          <w:sz w:val="32"/>
          <w:szCs w:val="32"/>
        </w:rPr>
        <w:t>但</w:t>
      </w:r>
      <w:r>
        <w:rPr>
          <w:rFonts w:hint="eastAsia" w:ascii="仿宋" w:hAnsi="仿宋" w:eastAsia="仿宋" w:cs="宋体"/>
          <w:color w:val="000000" w:themeColor="text1"/>
          <w:kern w:val="0"/>
          <w:sz w:val="32"/>
          <w:szCs w:val="32"/>
        </w:rPr>
        <w:t>绩效佐证材料不充分，</w:t>
      </w:r>
      <w:r>
        <w:rPr>
          <w:rFonts w:hint="eastAsia" w:ascii="仿宋" w:hAnsi="仿宋" w:eastAsia="仿宋" w:cs="Times New Roman"/>
          <w:color w:val="000000" w:themeColor="text1"/>
          <w:sz w:val="32"/>
          <w:szCs w:val="32"/>
        </w:rPr>
        <w:t>存在个别数据填写错误（</w:t>
      </w:r>
      <w:r>
        <w:rPr>
          <w:rFonts w:hint="eastAsia" w:ascii="仿宋" w:hAnsi="仿宋" w:eastAsia="仿宋" w:cs="宋体"/>
          <w:color w:val="000000" w:themeColor="text1"/>
          <w:kern w:val="0"/>
          <w:sz w:val="32"/>
          <w:szCs w:val="32"/>
        </w:rPr>
        <w:t>自评数据表中有4处填写有误，三公经费的支出数与公用经费的支出数有误，非税工作经费与业务经费的计划安排数有误）。自评得分9</w:t>
      </w: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分。</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4</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自评材料报送及公开一致性情况。</w:t>
      </w:r>
      <w:r>
        <w:rPr>
          <w:rFonts w:hint="eastAsia" w:ascii="仿宋" w:hAnsi="仿宋" w:eastAsia="仿宋"/>
          <w:color w:val="000000" w:themeColor="text1"/>
          <w:sz w:val="32"/>
          <w:szCs w:val="32"/>
        </w:rPr>
        <w:t>人防办属于保密单位，自评材料不在网上公开。</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（二）保障措施</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该单位制定了《财务管理制度》、《公文与档案管理制度》、《安全保卫制度》、《其他内务管理制度》等内部控制制度，规范了单位的资产管理、物资的采购、财务收支等经济管理行为，加强各项经济活动的风险防范和管控，提高了单位内部管理水平。</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四、预算编制及目标设置情况</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（一）预算编制情况分析</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1.预算编制情况</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仿宋_GB2312"/>
          <w:color w:val="000000"/>
          <w:sz w:val="32"/>
          <w:szCs w:val="32"/>
        </w:rPr>
        <w:t>该单位按照湛江市财政局《关于编制2018年市直部门预算的通知》</w:t>
      </w:r>
      <w:r>
        <w:rPr>
          <w:rFonts w:hint="eastAsia" w:ascii="仿宋" w:hAnsi="仿宋" w:eastAsia="仿宋"/>
          <w:color w:val="000000"/>
          <w:spacing w:val="1"/>
          <w:sz w:val="32"/>
          <w:szCs w:val="32"/>
        </w:rPr>
        <w:t>（湛财预</w:t>
      </w:r>
      <w:r>
        <w:rPr>
          <w:rFonts w:hint="eastAsia" w:ascii="仿宋" w:hAnsi="仿宋" w:eastAsia="仿宋" w:cs="仿宋_GB2312"/>
          <w:color w:val="000000"/>
          <w:sz w:val="32"/>
          <w:szCs w:val="32"/>
        </w:rPr>
        <w:t>〔2017〕</w:t>
      </w:r>
      <w:r>
        <w:rPr>
          <w:rFonts w:hint="eastAsia" w:ascii="仿宋" w:hAnsi="仿宋" w:eastAsia="仿宋"/>
          <w:color w:val="000000"/>
          <w:spacing w:val="1"/>
          <w:sz w:val="32"/>
          <w:szCs w:val="32"/>
        </w:rPr>
        <w:t>89号）编报2018年度预算，经法定程序审议，2018年</w:t>
      </w:r>
      <w:r>
        <w:rPr>
          <w:rFonts w:hint="eastAsia" w:ascii="仿宋" w:hAnsi="仿宋" w:eastAsia="仿宋" w:cs="Times New Roman"/>
          <w:color w:val="000000" w:themeColor="text1"/>
          <w:sz w:val="32"/>
          <w:szCs w:val="32"/>
        </w:rPr>
        <w:t>批复单位</w:t>
      </w:r>
      <w:r>
        <w:rPr>
          <w:rFonts w:hint="eastAsia" w:ascii="仿宋" w:hAnsi="仿宋" w:eastAsia="仿宋"/>
          <w:color w:val="000000" w:themeColor="text1"/>
          <w:sz w:val="32"/>
          <w:szCs w:val="32"/>
        </w:rPr>
        <w:t>收入预算1078.76万元，其中财政拨款1078.76万元；支出预算1078.76万元，其中：基本支出613.59万元,项目支出465.17万元。</w:t>
      </w:r>
      <w:r>
        <w:rPr>
          <w:rFonts w:hint="eastAsia" w:ascii="仿宋" w:hAnsi="仿宋" w:eastAsia="仿宋"/>
          <w:color w:val="000000"/>
          <w:sz w:val="32"/>
          <w:szCs w:val="32"/>
        </w:rPr>
        <w:t>2018年单位实际支出</w:t>
      </w:r>
      <w:r>
        <w:rPr>
          <w:rFonts w:hint="eastAsia" w:ascii="仿宋" w:hAnsi="仿宋" w:eastAsia="仿宋"/>
          <w:color w:val="000000" w:themeColor="text1"/>
          <w:sz w:val="32"/>
          <w:szCs w:val="32"/>
        </w:rPr>
        <w:t>955.20</w:t>
      </w:r>
      <w:r>
        <w:rPr>
          <w:rFonts w:hint="eastAsia" w:ascii="仿宋" w:hAnsi="仿宋" w:eastAsia="仿宋" w:cs="仿宋"/>
          <w:bCs/>
          <w:color w:val="000000"/>
          <w:spacing w:val="-3"/>
          <w:w w:val="102"/>
          <w:kern w:val="0"/>
          <w:sz w:val="32"/>
          <w:szCs w:val="32"/>
        </w:rPr>
        <w:t>万元，预算支出年初预算到位率为88.54%。剔除</w:t>
      </w:r>
      <w:r>
        <w:rPr>
          <w:rFonts w:hint="eastAsia" w:ascii="仿宋" w:hAnsi="仿宋" w:eastAsia="仿宋" w:cs="Times New Roman"/>
          <w:sz w:val="32"/>
          <w:szCs w:val="32"/>
        </w:rPr>
        <w:t>按政策统一调整人员经费因素影响后，项目年度预算执行率仅为50.94%。</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2.预算编制的合理性规范性</w:t>
      </w:r>
    </w:p>
    <w:p>
      <w:pPr>
        <w:adjustRightInd w:val="0"/>
        <w:snapToGrid w:val="0"/>
        <w:spacing w:line="620" w:lineRule="exact"/>
        <w:ind w:firstLine="640" w:firstLineChars="200"/>
        <w:rPr>
          <w:rFonts w:ascii="仿宋" w:hAnsi="仿宋" w:eastAsia="仿宋" w:cs="仿宋"/>
          <w:bCs/>
          <w:color w:val="000000" w:themeColor="text1"/>
          <w:spacing w:val="-3"/>
          <w:w w:val="102"/>
          <w:kern w:val="0"/>
          <w:sz w:val="32"/>
          <w:szCs w:val="32"/>
        </w:rPr>
      </w:pPr>
      <w:r>
        <w:rPr>
          <w:rFonts w:hint="eastAsia" w:ascii="仿宋" w:hAnsi="仿宋" w:eastAsia="仿宋"/>
          <w:color w:val="000000" w:themeColor="text1"/>
          <w:sz w:val="32"/>
          <w:szCs w:val="32"/>
        </w:rPr>
        <w:t>该单位2018年度</w:t>
      </w:r>
      <w:r>
        <w:rPr>
          <w:rFonts w:hint="eastAsia" w:ascii="仿宋_GB2312" w:hAnsi="华文仿宋" w:eastAsia="仿宋_GB2312"/>
          <w:sz w:val="32"/>
          <w:szCs w:val="32"/>
        </w:rPr>
        <w:t>预算编制符合人防办职责、符合市委市政府的方针政策和工作要求，</w:t>
      </w:r>
      <w:r>
        <w:rPr>
          <w:rFonts w:hint="eastAsia" w:ascii="仿宋" w:hAnsi="仿宋" w:eastAsia="仿宋"/>
          <w:color w:val="000000" w:themeColor="text1"/>
          <w:sz w:val="32"/>
          <w:szCs w:val="32"/>
        </w:rPr>
        <w:t>项目资金的分配了较好体现了单位年度重点工作任务。但项目支出</w:t>
      </w:r>
      <w:r>
        <w:rPr>
          <w:rFonts w:hint="eastAsia" w:ascii="仿宋" w:hAnsi="仿宋" w:eastAsia="仿宋" w:cs="仿宋"/>
          <w:bCs/>
          <w:color w:val="000000" w:themeColor="text1"/>
          <w:spacing w:val="-3"/>
          <w:w w:val="102"/>
          <w:kern w:val="0"/>
          <w:sz w:val="32"/>
          <w:szCs w:val="32"/>
        </w:rPr>
        <w:t>预算虚大，项目支出执行率低，预算编制的合理性和准确度亟待提高。</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（二）目标设置情况分析</w:t>
      </w:r>
    </w:p>
    <w:p>
      <w:pPr>
        <w:adjustRightInd w:val="0"/>
        <w:snapToGrid w:val="0"/>
        <w:spacing w:line="620" w:lineRule="exact"/>
        <w:ind w:firstLine="803" w:firstLineChars="250"/>
        <w:rPr>
          <w:rFonts w:ascii="仿宋" w:hAnsi="仿宋" w:eastAsia="仿宋"/>
          <w:b/>
          <w:color w:val="000000" w:themeColor="text1"/>
          <w:sz w:val="32"/>
          <w:szCs w:val="32"/>
        </w:rPr>
      </w:pPr>
      <w:r>
        <w:rPr>
          <w:rFonts w:hint="eastAsia" w:ascii="仿宋" w:hAnsi="仿宋" w:eastAsia="仿宋"/>
          <w:b/>
          <w:color w:val="000000" w:themeColor="text1"/>
          <w:sz w:val="32"/>
          <w:szCs w:val="32"/>
        </w:rPr>
        <w:t>1.绩效目标设置情况</w:t>
      </w:r>
    </w:p>
    <w:p>
      <w:pPr>
        <w:adjustRightInd w:val="0"/>
        <w:snapToGrid w:val="0"/>
        <w:spacing w:line="620" w:lineRule="exact"/>
        <w:ind w:firstLine="643" w:firstLineChars="200"/>
        <w:rPr>
          <w:rFonts w:hint="eastAsia" w:ascii="仿宋" w:hAnsi="仿宋" w:eastAsia="仿宋" w:cs="仿宋_GB2312"/>
          <w:b/>
          <w:color w:val="000000" w:themeColor="text1"/>
          <w:sz w:val="32"/>
          <w:szCs w:val="32"/>
        </w:rPr>
      </w:pPr>
      <w:r>
        <w:rPr>
          <w:rFonts w:hint="eastAsia" w:ascii="仿宋" w:hAnsi="仿宋" w:eastAsia="仿宋"/>
          <w:b/>
          <w:color w:val="000000" w:themeColor="text1"/>
          <w:sz w:val="32"/>
          <w:szCs w:val="32"/>
        </w:rPr>
        <w:t>（1）</w:t>
      </w:r>
      <w:r>
        <w:rPr>
          <w:rFonts w:hint="eastAsia" w:ascii="仿宋" w:hAnsi="仿宋" w:eastAsia="仿宋" w:cs="仿宋_GB2312"/>
          <w:b/>
          <w:color w:val="000000" w:themeColor="text1"/>
          <w:sz w:val="32"/>
          <w:szCs w:val="32"/>
        </w:rPr>
        <w:t>项目绩效目标申报</w:t>
      </w:r>
    </w:p>
    <w:p>
      <w:pPr>
        <w:adjustRightInd w:val="0"/>
        <w:snapToGrid w:val="0"/>
        <w:spacing w:line="620" w:lineRule="exact"/>
        <w:ind w:firstLine="640" w:firstLineChars="200"/>
        <w:rPr>
          <w:rFonts w:hint="eastAsia" w:ascii="仿宋" w:hAnsi="仿宋" w:eastAsia="仿宋" w:cs="仿宋_GB2312"/>
          <w:b/>
          <w:color w:val="000000" w:themeColor="text1"/>
          <w:sz w:val="32"/>
          <w:szCs w:val="32"/>
        </w:rPr>
      </w:pPr>
      <w:r>
        <w:rPr>
          <w:rFonts w:hint="eastAsia" w:ascii="仿宋" w:hAnsi="仿宋" w:eastAsia="仿宋"/>
          <w:color w:val="000000" w:themeColor="text1"/>
          <w:sz w:val="32"/>
          <w:szCs w:val="32"/>
          <w:lang w:eastAsia="zh-CN"/>
        </w:rPr>
        <w:t>内容涉密，不予以公开。</w:t>
      </w:r>
    </w:p>
    <w:p>
      <w:pPr>
        <w:numPr>
          <w:ilvl w:val="0"/>
          <w:numId w:val="1"/>
        </w:num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整体支出绩效目标情况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adjustRightInd w:val="0"/>
        <w:snapToGrid w:val="0"/>
        <w:spacing w:line="620" w:lineRule="exact"/>
        <w:ind w:firstLine="803" w:firstLineChars="250"/>
        <w:rPr>
          <w:rFonts w:ascii="仿宋" w:hAnsi="仿宋" w:eastAsia="仿宋"/>
          <w:b/>
          <w:color w:val="000000" w:themeColor="text1"/>
          <w:sz w:val="32"/>
          <w:szCs w:val="32"/>
        </w:rPr>
      </w:pPr>
      <w:r>
        <w:rPr>
          <w:rFonts w:hint="eastAsia" w:ascii="仿宋" w:hAnsi="仿宋" w:eastAsia="仿宋"/>
          <w:b/>
          <w:color w:val="000000" w:themeColor="text1"/>
          <w:sz w:val="32"/>
          <w:szCs w:val="32"/>
        </w:rPr>
        <w:t>2.绩效目标设置合理性</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该单位设置的整体支出绩效总目标总体上覆盖了单位的工作职能，但未设置可细化量化的绩效指标，</w:t>
      </w:r>
      <w:r>
        <w:rPr>
          <w:rFonts w:hint="eastAsia" w:ascii="仿宋" w:hAnsi="仿宋" w:eastAsia="仿宋"/>
          <w:bCs/>
          <w:color w:val="000000" w:themeColor="text1"/>
          <w:sz w:val="32"/>
          <w:szCs w:val="32"/>
        </w:rPr>
        <w:t>阶段性（当年）绩效目标</w:t>
      </w:r>
      <w:r>
        <w:rPr>
          <w:rFonts w:hint="eastAsia" w:ascii="仿宋" w:hAnsi="仿宋" w:eastAsia="仿宋"/>
          <w:color w:val="000000" w:themeColor="text1"/>
          <w:sz w:val="32"/>
          <w:szCs w:val="32"/>
        </w:rPr>
        <w:t>以实际完成的工作描述代替目标，缺乏合理性。</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五、预算支出管理情况</w:t>
      </w:r>
    </w:p>
    <w:p>
      <w:p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（一）年度整体收支情况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（二）支出管理情况</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1.整体支出完成率。</w:t>
      </w:r>
      <w:r>
        <w:rPr>
          <w:rFonts w:hint="eastAsia" w:ascii="仿宋" w:hAnsi="仿宋" w:eastAsia="仿宋"/>
          <w:color w:val="000000" w:themeColor="text1"/>
          <w:sz w:val="32"/>
          <w:szCs w:val="32"/>
        </w:rPr>
        <w:t>2018年初结转结余109.01万元，2</w:t>
      </w:r>
      <w:r>
        <w:rPr>
          <w:rFonts w:ascii="仿宋" w:hAnsi="仿宋" w:eastAsia="仿宋"/>
          <w:color w:val="000000" w:themeColor="text1"/>
          <w:sz w:val="32"/>
          <w:szCs w:val="32"/>
        </w:rPr>
        <w:t>018</w:t>
      </w:r>
      <w:r>
        <w:rPr>
          <w:rFonts w:hint="eastAsia" w:ascii="仿宋" w:hAnsi="仿宋" w:eastAsia="仿宋"/>
          <w:color w:val="000000" w:themeColor="text1"/>
          <w:sz w:val="32"/>
          <w:szCs w:val="32"/>
        </w:rPr>
        <w:t>年度实际收入918.35万元，实际支出955.20万元，整体支出率为</w:t>
      </w:r>
      <w:r>
        <w:rPr>
          <w:rFonts w:ascii="仿宋" w:hAnsi="仿宋" w:eastAsia="仿宋"/>
          <w:color w:val="000000" w:themeColor="text1"/>
          <w:sz w:val="32"/>
          <w:szCs w:val="32"/>
        </w:rPr>
        <w:t>92.98</w:t>
      </w:r>
      <w:r>
        <w:rPr>
          <w:rFonts w:hint="eastAsia" w:ascii="仿宋" w:hAnsi="仿宋" w:eastAsia="仿宋"/>
          <w:color w:val="000000" w:themeColor="text1"/>
          <w:sz w:val="32"/>
          <w:szCs w:val="32"/>
        </w:rPr>
        <w:t xml:space="preserve">%，整体支出率偏低，原因在于年初结转结余大。  </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2.结转结余率。</w:t>
      </w:r>
      <w:r>
        <w:rPr>
          <w:rFonts w:hint="eastAsia" w:ascii="仿宋" w:hAnsi="仿宋" w:eastAsia="仿宋"/>
          <w:color w:val="000000" w:themeColor="text1"/>
          <w:sz w:val="32"/>
          <w:szCs w:val="32"/>
        </w:rPr>
        <w:t>2</w:t>
      </w:r>
      <w:r>
        <w:rPr>
          <w:rFonts w:ascii="仿宋" w:hAnsi="仿宋" w:eastAsia="仿宋"/>
          <w:color w:val="000000" w:themeColor="text1"/>
          <w:sz w:val="32"/>
          <w:szCs w:val="32"/>
        </w:rPr>
        <w:t>018</w:t>
      </w:r>
      <w:r>
        <w:rPr>
          <w:rFonts w:hint="eastAsia" w:ascii="仿宋" w:hAnsi="仿宋" w:eastAsia="仿宋"/>
          <w:color w:val="000000" w:themeColor="text1"/>
          <w:sz w:val="32"/>
          <w:szCs w:val="32"/>
        </w:rPr>
        <w:t>年度实际收入918.35万元，实际支出955.20万元，2018年当年无新增结转结余，当年结转结余率为零。</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3.三公经费控制率。</w:t>
      </w:r>
      <w:r>
        <w:rPr>
          <w:rFonts w:hint="eastAsia" w:ascii="仿宋" w:hAnsi="仿宋" w:eastAsia="仿宋"/>
          <w:color w:val="000000" w:themeColor="text1"/>
          <w:sz w:val="32"/>
          <w:szCs w:val="32"/>
        </w:rPr>
        <w:t>2018年三公经费预算37.87万元，实际支出18.26万元，三公经费控制率48.22%，三公经费控制率较好。该单位能进一步落实厉行节约的各项规定，严格按照批复的三公经费预算控制支出，确保三公经费不超支。</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4.公用经费控制率。</w:t>
      </w:r>
      <w:r>
        <w:rPr>
          <w:rFonts w:hint="eastAsia" w:ascii="仿宋" w:hAnsi="仿宋" w:eastAsia="仿宋"/>
          <w:color w:val="000000" w:themeColor="text1"/>
          <w:sz w:val="32"/>
          <w:szCs w:val="32"/>
        </w:rPr>
        <w:t>2018年公用经费预算73.96万元，实际支出54.47万元，公用经费控制率为73.65%。该单位公用经费控制较好，按照勤俭节约的办事要求，严格执行有关管理规定和开支标准。</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5.政府采购执行率。</w:t>
      </w:r>
      <w:r>
        <w:rPr>
          <w:rFonts w:hint="eastAsia" w:ascii="仿宋" w:hAnsi="仿宋" w:eastAsia="仿宋"/>
          <w:color w:val="000000" w:themeColor="text1"/>
          <w:sz w:val="32"/>
          <w:szCs w:val="32"/>
        </w:rPr>
        <w:t>2018年申报政府采购计划金额为1</w:t>
      </w:r>
      <w:r>
        <w:rPr>
          <w:rFonts w:ascii="仿宋" w:hAnsi="仿宋" w:eastAsia="仿宋"/>
          <w:color w:val="000000" w:themeColor="text1"/>
          <w:sz w:val="32"/>
          <w:szCs w:val="32"/>
        </w:rPr>
        <w:t>32</w:t>
      </w:r>
      <w:r>
        <w:rPr>
          <w:rFonts w:hint="eastAsia" w:ascii="仿宋" w:hAnsi="仿宋" w:eastAsia="仿宋"/>
          <w:color w:val="000000" w:themeColor="text1"/>
          <w:sz w:val="32"/>
          <w:szCs w:val="32"/>
        </w:rPr>
        <w:t>.3</w:t>
      </w:r>
      <w:r>
        <w:rPr>
          <w:rFonts w:ascii="仿宋" w:hAnsi="仿宋" w:eastAsia="仿宋"/>
          <w:color w:val="000000" w:themeColor="text1"/>
          <w:sz w:val="32"/>
          <w:szCs w:val="32"/>
        </w:rPr>
        <w:t>2</w:t>
      </w:r>
      <w:r>
        <w:rPr>
          <w:rFonts w:hint="eastAsia" w:ascii="仿宋" w:hAnsi="仿宋" w:eastAsia="仿宋"/>
          <w:color w:val="000000" w:themeColor="text1"/>
          <w:sz w:val="32"/>
          <w:szCs w:val="32"/>
        </w:rPr>
        <w:t>万元，实际金额为1</w:t>
      </w:r>
      <w:r>
        <w:rPr>
          <w:rFonts w:ascii="仿宋" w:hAnsi="仿宋" w:eastAsia="仿宋"/>
          <w:color w:val="000000" w:themeColor="text1"/>
          <w:sz w:val="32"/>
          <w:szCs w:val="32"/>
        </w:rPr>
        <w:t>23</w:t>
      </w:r>
      <w:r>
        <w:rPr>
          <w:rFonts w:hint="eastAsia" w:ascii="仿宋" w:hAnsi="仿宋" w:eastAsia="仿宋"/>
          <w:color w:val="000000" w:themeColor="text1"/>
          <w:sz w:val="32"/>
          <w:szCs w:val="32"/>
        </w:rPr>
        <w:t>.</w:t>
      </w:r>
      <w:r>
        <w:rPr>
          <w:rFonts w:ascii="仿宋" w:hAnsi="仿宋" w:eastAsia="仿宋"/>
          <w:color w:val="000000" w:themeColor="text1"/>
          <w:sz w:val="32"/>
          <w:szCs w:val="32"/>
        </w:rPr>
        <w:t>3</w:t>
      </w:r>
      <w:r>
        <w:rPr>
          <w:rFonts w:hint="eastAsia" w:ascii="仿宋" w:hAnsi="仿宋" w:eastAsia="仿宋"/>
          <w:color w:val="000000" w:themeColor="text1"/>
          <w:sz w:val="32"/>
          <w:szCs w:val="32"/>
        </w:rPr>
        <w:t>0万元。政府采购执行率为</w:t>
      </w:r>
      <w:r>
        <w:rPr>
          <w:rFonts w:ascii="仿宋" w:hAnsi="仿宋" w:eastAsia="仿宋"/>
          <w:color w:val="000000" w:themeColor="text1"/>
          <w:sz w:val="32"/>
          <w:szCs w:val="32"/>
        </w:rPr>
        <w:t>93</w:t>
      </w:r>
      <w:r>
        <w:rPr>
          <w:rFonts w:hint="eastAsia" w:ascii="仿宋" w:hAnsi="仿宋" w:eastAsia="仿宋"/>
          <w:color w:val="000000" w:themeColor="text1"/>
          <w:sz w:val="32"/>
          <w:szCs w:val="32"/>
        </w:rPr>
        <w:t>.</w:t>
      </w:r>
      <w:r>
        <w:rPr>
          <w:rFonts w:ascii="仿宋" w:hAnsi="仿宋" w:eastAsia="仿宋"/>
          <w:color w:val="000000" w:themeColor="text1"/>
          <w:sz w:val="32"/>
          <w:szCs w:val="32"/>
        </w:rPr>
        <w:t>18</w:t>
      </w:r>
      <w:r>
        <w:rPr>
          <w:rFonts w:hint="eastAsia" w:ascii="仿宋" w:hAnsi="仿宋" w:eastAsia="仿宋"/>
          <w:color w:val="000000" w:themeColor="text1"/>
          <w:sz w:val="32"/>
          <w:szCs w:val="32"/>
        </w:rPr>
        <w:t>%。</w:t>
      </w:r>
    </w:p>
    <w:p>
      <w:pPr>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6.财务合规性。</w:t>
      </w:r>
      <w:r>
        <w:rPr>
          <w:rFonts w:hint="eastAsia" w:ascii="仿宋" w:hAnsi="仿宋" w:eastAsia="仿宋"/>
          <w:color w:val="000000" w:themeColor="text1"/>
          <w:sz w:val="32"/>
          <w:szCs w:val="32"/>
        </w:rPr>
        <w:t>该单位制定了《财务管理工作制度》、《经费报销审核程序》、《票据管理规定》、《现金管理规定》、《固定资产管理制度》等内部管理制度，规范了单位财务管理、资金使用等经济管理行为，加强了各项经济活动的风险防范和管控。该单位的会计核算已按“财政拔款支出”和“其他资金支出”、“基本支出”和“项目支出”的要求进行了分类明细核算，项目资金能专款专用，报销审批流程规范、手续基本完备，但存在部分项目支出未按项目分别设置明细核算的问题（详见“七、存在问题”）。</w:t>
      </w:r>
    </w:p>
    <w:p>
      <w:pPr>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 项目管理情况</w:t>
      </w:r>
    </w:p>
    <w:p>
      <w:pPr>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1.项目总体概况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numPr>
          <w:ilvl w:val="0"/>
          <w:numId w:val="2"/>
        </w:num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项目资金支出管理情况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numPr>
          <w:ilvl w:val="0"/>
          <w:numId w:val="2"/>
        </w:numPr>
        <w:adjustRightInd w:val="0"/>
        <w:snapToGrid w:val="0"/>
        <w:spacing w:line="620" w:lineRule="exact"/>
        <w:ind w:left="0" w:leftChars="0"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项目核查情况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adjustRightInd w:val="0"/>
        <w:snapToGrid w:val="0"/>
        <w:spacing w:line="62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（四）信息公开</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1.自评信息公开。</w:t>
      </w:r>
      <w:r>
        <w:rPr>
          <w:rFonts w:hint="eastAsia" w:ascii="仿宋" w:hAnsi="仿宋" w:eastAsia="仿宋"/>
          <w:color w:val="000000" w:themeColor="text1"/>
          <w:sz w:val="32"/>
          <w:szCs w:val="32"/>
        </w:rPr>
        <w:t>该单位是涉密部门，自评材料中</w:t>
      </w:r>
      <w:r>
        <w:rPr>
          <w:rFonts w:hint="eastAsia" w:ascii="仿宋" w:hAnsi="仿宋" w:eastAsia="仿宋" w:cs="宋体"/>
          <w:kern w:val="0"/>
          <w:sz w:val="32"/>
          <w:szCs w:val="32"/>
        </w:rPr>
        <w:t>属于国防支出的项目信息占比高，</w:t>
      </w:r>
      <w:r>
        <w:rPr>
          <w:rFonts w:hint="eastAsia" w:ascii="仿宋" w:hAnsi="仿宋" w:eastAsia="仿宋"/>
          <w:color w:val="000000" w:themeColor="text1"/>
          <w:sz w:val="32"/>
          <w:szCs w:val="32"/>
        </w:rPr>
        <w:t>经与市财政局沟通，没有公开自评信息资料。</w:t>
      </w:r>
    </w:p>
    <w:p>
      <w:pPr>
        <w:adjustRightInd w:val="0"/>
        <w:snapToGrid w:val="0"/>
        <w:spacing w:line="620" w:lineRule="exact"/>
        <w:ind w:firstLine="643" w:firstLineChars="200"/>
        <w:rPr>
          <w:rFonts w:ascii="仿宋" w:hAnsi="仿宋" w:eastAsia="仿宋" w:cs="仿宋_GB2312"/>
          <w:color w:val="000000" w:themeColor="text1"/>
          <w:kern w:val="0"/>
          <w:sz w:val="32"/>
          <w:szCs w:val="32"/>
        </w:rPr>
      </w:pPr>
      <w:r>
        <w:rPr>
          <w:rFonts w:hint="eastAsia" w:ascii="仿宋" w:hAnsi="仿宋" w:eastAsia="仿宋"/>
          <w:b/>
          <w:color w:val="000000" w:themeColor="text1"/>
          <w:sz w:val="32"/>
          <w:szCs w:val="32"/>
        </w:rPr>
        <w:t>2.预决算信息公开。</w:t>
      </w:r>
      <w:r>
        <w:rPr>
          <w:rFonts w:hint="eastAsia" w:ascii="仿宋" w:hAnsi="仿宋" w:eastAsia="仿宋"/>
          <w:sz w:val="32"/>
          <w:szCs w:val="32"/>
        </w:rPr>
        <w:t>根据《中华人民共和国预算法》第十四条的规定，经本级政府财政部门批复的部门预算、决算及报表，应当在批复后二十日内由各部门向社会公开，并对部门预算、决算中机关运行经费的安排、使用情况等重要事项作出说明。</w:t>
      </w:r>
      <w:r>
        <w:rPr>
          <w:rFonts w:hint="eastAsia" w:ascii="仿宋" w:hAnsi="仿宋" w:eastAsia="仿宋" w:cs="仿宋_GB2312"/>
          <w:color w:val="000000" w:themeColor="text1"/>
          <w:kern w:val="0"/>
          <w:sz w:val="32"/>
          <w:szCs w:val="32"/>
        </w:rPr>
        <w:t>该单位按照政府信息公开有关规定在本单位门户网站公开相关预决算信息。</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3.绩效目标公开。</w:t>
      </w:r>
      <w:r>
        <w:rPr>
          <w:rFonts w:hint="eastAsia" w:ascii="仿宋" w:hAnsi="仿宋" w:eastAsia="仿宋"/>
          <w:color w:val="000000" w:themeColor="text1"/>
          <w:sz w:val="32"/>
          <w:szCs w:val="32"/>
        </w:rPr>
        <w:t>该单位及时在本单位门户网站公开批复后的绩效目标，所公开的绩效目标内容与批复的一致。</w:t>
      </w:r>
    </w:p>
    <w:p>
      <w:pPr>
        <w:widowControl/>
        <w:adjustRightInd w:val="0"/>
        <w:snapToGrid w:val="0"/>
        <w:spacing w:line="620" w:lineRule="exact"/>
        <w:ind w:firstLine="315" w:firstLineChars="98"/>
        <w:rPr>
          <w:rFonts w:ascii="仿宋" w:hAnsi="仿宋" w:eastAsia="仿宋"/>
          <w:b/>
          <w:color w:val="000000" w:themeColor="text1"/>
          <w:sz w:val="32"/>
          <w:szCs w:val="32"/>
        </w:rPr>
      </w:pPr>
      <w:r>
        <w:rPr>
          <w:rFonts w:hint="eastAsia" w:ascii="仿宋" w:hAnsi="仿宋" w:eastAsia="仿宋"/>
          <w:b/>
          <w:color w:val="000000" w:themeColor="text1"/>
          <w:sz w:val="32"/>
          <w:szCs w:val="32"/>
        </w:rPr>
        <w:t>（五）资产管理情况</w:t>
      </w:r>
    </w:p>
    <w:p>
      <w:pPr>
        <w:adjustRightInd w:val="0"/>
        <w:snapToGrid w:val="0"/>
        <w:spacing w:line="620" w:lineRule="exact"/>
        <w:ind w:firstLine="643" w:firstLineChars="200"/>
        <w:rPr>
          <w:rFonts w:ascii="仿宋" w:hAnsi="仿宋" w:eastAsia="仿宋"/>
          <w:color w:val="000000" w:themeColor="text1"/>
          <w:sz w:val="32"/>
          <w:szCs w:val="32"/>
          <w:highlight w:val="yellow"/>
        </w:rPr>
      </w:pPr>
      <w:r>
        <w:rPr>
          <w:rFonts w:hint="eastAsia" w:ascii="仿宋" w:hAnsi="仿宋" w:eastAsia="仿宋"/>
          <w:b/>
          <w:color w:val="000000" w:themeColor="text1"/>
          <w:sz w:val="32"/>
          <w:szCs w:val="32"/>
        </w:rPr>
        <w:t>1.资产管理安全性。</w:t>
      </w:r>
      <w:r>
        <w:rPr>
          <w:rFonts w:hint="eastAsia" w:ascii="仿宋" w:hAnsi="仿宋" w:eastAsia="仿宋"/>
          <w:color w:val="000000" w:themeColor="text1"/>
          <w:sz w:val="32"/>
          <w:szCs w:val="32"/>
        </w:rPr>
        <w:t>该单位固定资产管理基本能按照单位内部相关制度的规定执行，但</w:t>
      </w:r>
      <w:r>
        <w:rPr>
          <w:rFonts w:hint="eastAsia" w:ascii="仿宋" w:hAnsi="仿宋" w:eastAsia="仿宋" w:cs="宋体"/>
          <w:color w:val="000000" w:themeColor="text1"/>
          <w:kern w:val="0"/>
          <w:sz w:val="32"/>
          <w:szCs w:val="32"/>
        </w:rPr>
        <w:t>在建工程未转固定资产，</w:t>
      </w:r>
      <w:r>
        <w:rPr>
          <w:rFonts w:ascii="仿宋" w:hAnsi="仿宋" w:eastAsia="仿宋"/>
          <w:color w:val="000000" w:themeColor="text1"/>
          <w:sz w:val="32"/>
          <w:szCs w:val="32"/>
        </w:rPr>
        <w:t>201</w:t>
      </w:r>
      <w:r>
        <w:rPr>
          <w:rFonts w:hint="eastAsia" w:ascii="仿宋" w:hAnsi="仿宋" w:eastAsia="仿宋"/>
          <w:color w:val="000000" w:themeColor="text1"/>
          <w:sz w:val="32"/>
          <w:szCs w:val="32"/>
        </w:rPr>
        <w:t>8年末行政事业单位资产管理系统数据与会计账面数据不一致，差异73.54万元（详见“七、存在问题”）。</w:t>
      </w:r>
    </w:p>
    <w:p>
      <w:pPr>
        <w:widowControl/>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2.固定资产利用率。</w:t>
      </w:r>
      <w:r>
        <w:rPr>
          <w:rFonts w:hint="eastAsia" w:ascii="仿宋" w:hAnsi="仿宋" w:eastAsia="仿宋"/>
          <w:color w:val="000000" w:themeColor="text1"/>
          <w:sz w:val="32"/>
          <w:szCs w:val="32"/>
        </w:rPr>
        <w:t>该单位2018年末固定资产账面金额为5,541.78万元，2018年资产清查调增了111.06万元，固定资产总额应为5,652.84万元，其中：盘亏、报废208.32万元，实际在用固定资产总额为5,444.52万元，资产利用率为96.31%。(</w:t>
      </w:r>
      <w:r>
        <w:rPr>
          <w:rFonts w:hint="eastAsia" w:ascii="仿宋" w:hAnsi="仿宋" w:eastAsia="仿宋"/>
          <w:color w:val="000000" w:themeColor="text1"/>
          <w:sz w:val="32"/>
          <w:szCs w:val="32"/>
          <w:lang w:eastAsia="zh-CN"/>
        </w:rPr>
        <w:t>固定资产明细表涉及人防专用设备不予公开</w:t>
      </w:r>
      <w:r>
        <w:rPr>
          <w:rFonts w:hint="eastAsia" w:ascii="仿宋" w:hAnsi="仿宋" w:eastAsia="仿宋"/>
          <w:color w:val="000000" w:themeColor="text1"/>
          <w:sz w:val="32"/>
          <w:szCs w:val="32"/>
        </w:rPr>
        <w:t>)</w:t>
      </w:r>
    </w:p>
    <w:p>
      <w:pPr>
        <w:adjustRightInd w:val="0"/>
        <w:snapToGrid w:val="0"/>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（六）人员管理</w:t>
      </w:r>
    </w:p>
    <w:p>
      <w:pPr>
        <w:adjustRightInd w:val="0"/>
        <w:snapToGrid w:val="0"/>
        <w:spacing w:line="6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该单位机关核定编制数为29名，年末实际在职人数23名，在职人员控制率为79.31%，人员控制好，不超编制。</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六、整体绩效情况</w:t>
      </w:r>
    </w:p>
    <w:p>
      <w:p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cs="宋体"/>
          <w:b/>
          <w:color w:val="000000" w:themeColor="text1"/>
          <w:kern w:val="0"/>
          <w:sz w:val="32"/>
          <w:szCs w:val="32"/>
        </w:rPr>
        <w:t>（一）</w:t>
      </w:r>
      <w:r>
        <w:rPr>
          <w:rFonts w:hint="eastAsia" w:ascii="仿宋" w:hAnsi="仿宋" w:eastAsia="仿宋"/>
          <w:b/>
          <w:color w:val="000000" w:themeColor="text1"/>
          <w:sz w:val="32"/>
          <w:szCs w:val="32"/>
        </w:rPr>
        <w:t>年度主要工作绩效情况</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numPr>
          <w:ilvl w:val="0"/>
          <w:numId w:val="3"/>
        </w:numPr>
        <w:adjustRightInd w:val="0"/>
        <w:snapToGrid w:val="0"/>
        <w:spacing w:line="620" w:lineRule="exact"/>
        <w:ind w:firstLine="643" w:firstLineChars="200"/>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社会经济政治效益分析</w:t>
      </w:r>
    </w:p>
    <w:p>
      <w:pPr>
        <w:adjustRightInd w:val="0"/>
        <w:snapToGrid w:val="0"/>
        <w:spacing w:line="620" w:lineRule="exact"/>
        <w:ind w:firstLine="640" w:firstLineChars="200"/>
        <w:rPr>
          <w:rFonts w:hint="eastAsia" w:ascii="仿宋" w:hAnsi="仿宋" w:eastAsia="仿宋" w:cs="宋体"/>
          <w:b/>
          <w:color w:val="000000" w:themeColor="text1"/>
          <w:kern w:val="0"/>
          <w:sz w:val="32"/>
          <w:szCs w:val="32"/>
        </w:rPr>
      </w:pPr>
      <w:r>
        <w:rPr>
          <w:rFonts w:hint="eastAsia" w:ascii="仿宋" w:hAnsi="仿宋" w:eastAsia="仿宋"/>
          <w:color w:val="000000" w:themeColor="text1"/>
          <w:sz w:val="32"/>
          <w:szCs w:val="32"/>
          <w:lang w:eastAsia="zh-CN"/>
        </w:rPr>
        <w:t>内容涉密，不予以公开。</w:t>
      </w:r>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七、存在的问题</w:t>
      </w:r>
    </w:p>
    <w:p>
      <w:p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（一）预算编制精准度低，项目支出进度慢。</w:t>
      </w:r>
    </w:p>
    <w:p>
      <w:pPr>
        <w:adjustRightInd w:val="0"/>
        <w:snapToGrid w:val="0"/>
        <w:spacing w:line="620" w:lineRule="exact"/>
        <w:ind w:firstLine="640" w:firstLineChars="200"/>
        <w:rPr>
          <w:rFonts w:hint="eastAsia" w:ascii="仿宋" w:hAnsi="仿宋" w:eastAsia="仿宋"/>
          <w:b/>
          <w:color w:val="000000" w:themeColor="text1"/>
          <w:sz w:val="32"/>
          <w:szCs w:val="32"/>
        </w:rPr>
      </w:pPr>
      <w:r>
        <w:rPr>
          <w:rFonts w:hint="eastAsia" w:ascii="仿宋" w:hAnsi="仿宋" w:eastAsia="仿宋"/>
          <w:color w:val="000000" w:themeColor="text1"/>
          <w:sz w:val="32"/>
          <w:szCs w:val="32"/>
          <w:lang w:eastAsia="zh-CN"/>
        </w:rPr>
        <w:t>内容涉密，不予以公开。</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（二）资产管理有待进一步加强。</w:t>
      </w:r>
      <w:r>
        <w:rPr>
          <w:rFonts w:hint="eastAsia" w:ascii="仿宋" w:hAnsi="仿宋" w:eastAsia="仿宋"/>
          <w:color w:val="000000" w:themeColor="text1"/>
          <w:sz w:val="32"/>
          <w:szCs w:val="32"/>
        </w:rPr>
        <w:t>一是该单位在建工程账面余额4,537</w:t>
      </w:r>
      <w:r>
        <w:rPr>
          <w:rFonts w:ascii="仿宋" w:hAnsi="仿宋" w:eastAsia="仿宋"/>
          <w:color w:val="000000" w:themeColor="text1"/>
          <w:sz w:val="32"/>
          <w:szCs w:val="32"/>
        </w:rPr>
        <w:t>.</w:t>
      </w:r>
      <w:r>
        <w:rPr>
          <w:rFonts w:hint="eastAsia" w:ascii="仿宋" w:hAnsi="仿宋" w:eastAsia="仿宋"/>
          <w:color w:val="000000" w:themeColor="text1"/>
          <w:sz w:val="32"/>
          <w:szCs w:val="32"/>
        </w:rPr>
        <w:t>08万元，其中多项工程已投入使用多年，尚未办理工程结算手续，未按规定结转固定资产。二是资产管理系统数据与会计核算系统数据不符。</w:t>
      </w:r>
      <w:r>
        <w:rPr>
          <w:rFonts w:ascii="仿宋" w:hAnsi="仿宋" w:eastAsia="仿宋"/>
          <w:color w:val="000000" w:themeColor="text1"/>
          <w:sz w:val="32"/>
          <w:szCs w:val="32"/>
        </w:rPr>
        <w:t>201</w:t>
      </w:r>
      <w:r>
        <w:rPr>
          <w:rFonts w:hint="eastAsia" w:ascii="仿宋" w:hAnsi="仿宋" w:eastAsia="仿宋"/>
          <w:color w:val="000000" w:themeColor="text1"/>
          <w:sz w:val="32"/>
          <w:szCs w:val="32"/>
        </w:rPr>
        <w:t>8年末，该单位固定资产账面原值为5,541.78万元，行政事业单位资产管理系统反映的固定资产原值为5,468.24万元，差异73.54万元。</w:t>
      </w:r>
    </w:p>
    <w:p>
      <w:pPr>
        <w:adjustRightInd w:val="0"/>
        <w:snapToGrid w:val="0"/>
        <w:spacing w:line="620" w:lineRule="exact"/>
        <w:ind w:firstLine="643" w:firstLineChars="200"/>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（三）会计核算有待进一步规范，个别项目没有按项目分别设置明细会计核算。</w:t>
      </w:r>
    </w:p>
    <w:p>
      <w:pPr>
        <w:adjustRightInd w:val="0"/>
        <w:snapToGrid w:val="0"/>
        <w:spacing w:line="62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内容涉密，不予以公开。</w:t>
      </w:r>
    </w:p>
    <w:p>
      <w:pPr>
        <w:numPr>
          <w:ilvl w:val="0"/>
          <w:numId w:val="3"/>
        </w:numPr>
        <w:adjustRightInd w:val="0"/>
        <w:snapToGrid w:val="0"/>
        <w:spacing w:line="620" w:lineRule="exact"/>
        <w:ind w:left="0" w:leftChars="0" w:firstLine="643" w:firstLineChars="200"/>
        <w:rPr>
          <w:rFonts w:hint="eastAsia" w:ascii="仿宋" w:hAnsi="仿宋" w:eastAsia="仿宋"/>
          <w:b/>
          <w:color w:val="000000" w:themeColor="text1"/>
          <w:sz w:val="32"/>
          <w:szCs w:val="32"/>
        </w:rPr>
      </w:pPr>
      <w:r>
        <w:rPr>
          <w:rFonts w:hint="eastAsia" w:ascii="仿宋" w:hAnsi="仿宋" w:eastAsia="仿宋"/>
          <w:b/>
          <w:bCs/>
          <w:color w:val="000000" w:themeColor="text1"/>
          <w:sz w:val="32"/>
          <w:szCs w:val="32"/>
        </w:rPr>
        <w:t>人防建设费收缴</w:t>
      </w:r>
      <w:r>
        <w:rPr>
          <w:rFonts w:hint="eastAsia" w:ascii="仿宋" w:hAnsi="仿宋" w:eastAsia="仿宋"/>
          <w:b/>
          <w:color w:val="000000" w:themeColor="text1"/>
          <w:sz w:val="32"/>
          <w:szCs w:val="32"/>
        </w:rPr>
        <w:t>有待进一步加强。</w:t>
      </w:r>
    </w:p>
    <w:p>
      <w:pPr>
        <w:numPr>
          <w:numId w:val="0"/>
        </w:numPr>
        <w:adjustRightInd w:val="0"/>
        <w:snapToGrid w:val="0"/>
        <w:spacing w:line="620" w:lineRule="exact"/>
        <w:ind w:firstLine="640" w:firstLineChars="200"/>
        <w:rPr>
          <w:rFonts w:ascii="仿宋" w:hAnsi="仿宋" w:eastAsia="仿宋"/>
          <w:bCs/>
          <w:color w:val="000000" w:themeColor="text1"/>
          <w:sz w:val="32"/>
          <w:szCs w:val="32"/>
        </w:rPr>
      </w:pPr>
      <w:r>
        <w:rPr>
          <w:rFonts w:hint="eastAsia" w:ascii="仿宋" w:hAnsi="仿宋" w:eastAsia="仿宋"/>
          <w:color w:val="000000" w:themeColor="text1"/>
          <w:sz w:val="32"/>
          <w:szCs w:val="32"/>
          <w:lang w:eastAsia="zh-CN"/>
        </w:rPr>
        <w:t>内容涉密，不予以公开。</w:t>
      </w:r>
      <w:bookmarkStart w:id="0" w:name="_GoBack"/>
      <w:bookmarkEnd w:id="0"/>
    </w:p>
    <w:p>
      <w:pPr>
        <w:adjustRightInd w:val="0"/>
        <w:snapToGrid w:val="0"/>
        <w:spacing w:line="6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八、建议</w:t>
      </w:r>
    </w:p>
    <w:p>
      <w:pPr>
        <w:adjustRightInd w:val="0"/>
        <w:snapToGrid w:val="0"/>
        <w:spacing w:line="620" w:lineRule="exact"/>
        <w:ind w:firstLine="643" w:firstLineChars="200"/>
        <w:rPr>
          <w:rFonts w:ascii="仿宋" w:hAnsi="仿宋" w:eastAsia="仿宋"/>
          <w:bCs/>
          <w:color w:val="000000" w:themeColor="text1"/>
          <w:sz w:val="32"/>
          <w:szCs w:val="32"/>
        </w:rPr>
      </w:pPr>
      <w:r>
        <w:rPr>
          <w:rFonts w:hint="eastAsia" w:ascii="仿宋" w:hAnsi="仿宋" w:eastAsia="仿宋"/>
          <w:b/>
          <w:color w:val="000000" w:themeColor="text1"/>
          <w:sz w:val="32"/>
          <w:szCs w:val="32"/>
        </w:rPr>
        <w:t>（一）加强预算编制和项目</w:t>
      </w:r>
      <w:r>
        <w:rPr>
          <w:rFonts w:hint="eastAsia" w:ascii="仿宋" w:hAnsi="仿宋" w:eastAsia="仿宋"/>
          <w:b/>
          <w:bCs/>
          <w:color w:val="000000" w:themeColor="text1"/>
          <w:sz w:val="32"/>
          <w:szCs w:val="32"/>
        </w:rPr>
        <w:t>管理，加快项目进度。</w:t>
      </w:r>
      <w:r>
        <w:rPr>
          <w:rFonts w:hint="eastAsia" w:ascii="仿宋" w:hAnsi="仿宋" w:eastAsia="仿宋" w:cs="仿宋_GB2312"/>
          <w:color w:val="000000"/>
          <w:sz w:val="32"/>
          <w:szCs w:val="32"/>
        </w:rPr>
        <w:t>单位应根据预算编制要求，进一步细化支出项目，在充分调查和研究论证的基础上，对年度项目资金需求进行合理测算，提高预算编制准确度。要根据年度预算和绩效目标，进一步细化项目实施方案和分解工作任务，抓紧</w:t>
      </w:r>
      <w:r>
        <w:rPr>
          <w:rFonts w:hint="eastAsia" w:ascii="仿宋" w:hAnsi="仿宋" w:eastAsia="仿宋"/>
          <w:bCs/>
          <w:color w:val="000000" w:themeColor="text1"/>
          <w:sz w:val="32"/>
          <w:szCs w:val="32"/>
        </w:rPr>
        <w:t>项目建设各环节的落实，尽快推进项目进度，提高项目资金的使用效率</w:t>
      </w:r>
      <w:r>
        <w:rPr>
          <w:rFonts w:ascii="仿宋" w:hAnsi="仿宋" w:eastAsia="仿宋"/>
          <w:color w:val="000000"/>
          <w:sz w:val="32"/>
          <w:szCs w:val="32"/>
        </w:rPr>
        <w:t>。</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（二）进一步加强资产管理。</w:t>
      </w:r>
      <w:r>
        <w:rPr>
          <w:rFonts w:hint="eastAsia" w:ascii="仿宋" w:hAnsi="仿宋" w:eastAsia="仿宋"/>
          <w:color w:val="000000" w:themeColor="text1"/>
          <w:sz w:val="32"/>
          <w:szCs w:val="32"/>
        </w:rPr>
        <w:t>对在建工程进行全面清理，尽快办理工程结算手续，及时结转固定资产。加强资产日常管理，对盘盈、毁损和弃置资产要及时上报审批处理，及时更新资产管理信息。对资产财务账与资产系统数据进行定期核对，做到账账相符，账实相符。</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（三）进一步规范会计核算。</w:t>
      </w:r>
      <w:r>
        <w:rPr>
          <w:rFonts w:hint="eastAsia" w:ascii="仿宋" w:hAnsi="仿宋" w:eastAsia="仿宋" w:cs="仿宋_GB2312"/>
          <w:color w:val="000000"/>
          <w:sz w:val="32"/>
          <w:szCs w:val="32"/>
        </w:rPr>
        <w:t>财会人员要认真学习预算管理、会计制度和相关财经法规，按会计制度和相关财经法规的要求准确核算各项经济业务，</w:t>
      </w:r>
      <w:r>
        <w:rPr>
          <w:rFonts w:hint="eastAsia" w:ascii="仿宋" w:hAnsi="仿宋" w:eastAsia="仿宋"/>
          <w:color w:val="000000" w:themeColor="text1"/>
          <w:sz w:val="32"/>
          <w:szCs w:val="32"/>
        </w:rPr>
        <w:t>加强对项目收支的分类核算，</w:t>
      </w:r>
      <w:r>
        <w:rPr>
          <w:rFonts w:hint="eastAsia" w:ascii="仿宋" w:hAnsi="仿宋" w:eastAsia="仿宋" w:cs="仿宋_GB2312"/>
          <w:color w:val="000000"/>
          <w:sz w:val="32"/>
          <w:szCs w:val="32"/>
        </w:rPr>
        <w:t>提高会计信息质量，以准确反映本单位的财务收支状况。</w:t>
      </w:r>
    </w:p>
    <w:p>
      <w:pPr>
        <w:adjustRightInd w:val="0"/>
        <w:snapToGrid w:val="0"/>
        <w:spacing w:line="62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（四）加强</w:t>
      </w:r>
      <w:r>
        <w:rPr>
          <w:rFonts w:hint="eastAsia" w:ascii="仿宋" w:hAnsi="仿宋" w:eastAsia="仿宋"/>
          <w:b/>
          <w:bCs/>
          <w:color w:val="000000" w:themeColor="text1"/>
          <w:sz w:val="32"/>
          <w:szCs w:val="32"/>
        </w:rPr>
        <w:t>人防建设费收缴管理。</w:t>
      </w:r>
      <w:r>
        <w:rPr>
          <w:rFonts w:hint="eastAsia" w:ascii="仿宋" w:hAnsi="仿宋" w:eastAsia="仿宋"/>
          <w:bCs/>
          <w:color w:val="000000" w:themeColor="text1"/>
          <w:sz w:val="32"/>
          <w:szCs w:val="32"/>
        </w:rPr>
        <w:t>对新开工项目要依照相关规定严格管理。对历史欠缴项目，要组织专门力量，制定方案，清理历史个案，采取多种方式，加大执收力度</w:t>
      </w:r>
      <w:r>
        <w:rPr>
          <w:rFonts w:hint="eastAsia" w:ascii="仿宋" w:hAnsi="仿宋" w:eastAsia="仿宋"/>
          <w:color w:val="000000" w:themeColor="text1"/>
          <w:sz w:val="32"/>
          <w:szCs w:val="32"/>
        </w:rPr>
        <w:t>。</w:t>
      </w:r>
    </w:p>
    <w:p>
      <w:pPr>
        <w:adjustRightInd w:val="0"/>
        <w:snapToGrid w:val="0"/>
        <w:spacing w:line="620" w:lineRule="exact"/>
        <w:ind w:firstLine="960" w:firstLineChars="300"/>
        <w:rPr>
          <w:rFonts w:ascii="仿宋" w:hAnsi="仿宋" w:eastAsia="仿宋"/>
          <w:color w:val="000000" w:themeColor="text1"/>
          <w:sz w:val="32"/>
          <w:szCs w:val="32"/>
        </w:rPr>
      </w:pPr>
    </w:p>
    <w:p>
      <w:pPr>
        <w:adjustRightInd w:val="0"/>
        <w:snapToGrid w:val="0"/>
        <w:spacing w:line="620" w:lineRule="exact"/>
        <w:rPr>
          <w:rFonts w:ascii="仿宋" w:hAnsi="仿宋" w:eastAsia="仿宋"/>
          <w:color w:val="000000" w:themeColor="text1"/>
          <w:sz w:val="32"/>
          <w:szCs w:val="32"/>
        </w:rPr>
      </w:pPr>
      <w:r>
        <w:rPr>
          <w:rFonts w:hint="eastAsia" w:ascii="仿宋" w:hAnsi="仿宋" w:eastAsia="仿宋"/>
          <w:color w:val="000000" w:themeColor="text1"/>
          <w:sz w:val="32"/>
          <w:szCs w:val="32"/>
        </w:rPr>
        <w:t>附件：湛江市部门整体支出绩效评价评分表</w:t>
      </w:r>
    </w:p>
    <w:p>
      <w:pPr>
        <w:adjustRightInd w:val="0"/>
        <w:snapToGrid w:val="0"/>
        <w:spacing w:line="620" w:lineRule="exact"/>
        <w:ind w:firstLine="640" w:firstLineChars="200"/>
        <w:rPr>
          <w:rFonts w:ascii="仿宋" w:hAnsi="仿宋" w:eastAsia="仿宋"/>
          <w:color w:val="000000" w:themeColor="text1"/>
          <w:sz w:val="32"/>
          <w:szCs w:val="32"/>
        </w:rPr>
      </w:pPr>
    </w:p>
    <w:p>
      <w:pPr>
        <w:adjustRightInd w:val="0"/>
        <w:snapToGrid w:val="0"/>
        <w:spacing w:line="620" w:lineRule="exact"/>
        <w:rPr>
          <w:rFonts w:ascii="仿宋" w:hAnsi="仿宋" w:eastAsia="仿宋"/>
          <w:color w:val="000000" w:themeColor="text1"/>
          <w:sz w:val="32"/>
          <w:szCs w:val="32"/>
        </w:rPr>
      </w:pPr>
    </w:p>
    <w:p>
      <w:pPr>
        <w:adjustRightInd w:val="0"/>
        <w:snapToGrid w:val="0"/>
        <w:spacing w:line="62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湛江市信达会计师事务所有限公司</w:t>
      </w:r>
    </w:p>
    <w:p>
      <w:pPr>
        <w:adjustRightInd w:val="0"/>
        <w:snapToGrid w:val="0"/>
        <w:spacing w:line="62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201</w:t>
      </w:r>
      <w:r>
        <w:rPr>
          <w:rFonts w:ascii="仿宋" w:hAnsi="仿宋" w:eastAsia="仿宋"/>
          <w:color w:val="000000" w:themeColor="text1"/>
          <w:sz w:val="32"/>
          <w:szCs w:val="32"/>
        </w:rPr>
        <w:t>9</w:t>
      </w:r>
      <w:r>
        <w:rPr>
          <w:rFonts w:hint="eastAsia" w:ascii="仿宋" w:hAnsi="仿宋" w:eastAsia="仿宋"/>
          <w:color w:val="000000" w:themeColor="text1"/>
          <w:sz w:val="32"/>
          <w:szCs w:val="32"/>
        </w:rPr>
        <w:t>年1</w:t>
      </w:r>
      <w:r>
        <w:rPr>
          <w:rFonts w:ascii="仿宋" w:hAnsi="仿宋" w:eastAsia="仿宋"/>
          <w:color w:val="000000" w:themeColor="text1"/>
          <w:sz w:val="32"/>
          <w:szCs w:val="32"/>
        </w:rPr>
        <w:t>1</w:t>
      </w:r>
      <w:r>
        <w:rPr>
          <w:rFonts w:hint="eastAsia" w:ascii="仿宋" w:hAnsi="仿宋" w:eastAsia="仿宋"/>
          <w:color w:val="000000" w:themeColor="text1"/>
          <w:sz w:val="32"/>
          <w:szCs w:val="32"/>
        </w:rPr>
        <w:t>月30日</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89977"/>
    </w:sdtPr>
    <w:sdtEndPr>
      <w:rPr>
        <w:rFonts w:ascii="仿宋" w:hAnsi="仿宋" w:eastAsia="仿宋"/>
        <w:sz w:val="28"/>
        <w:szCs w:val="28"/>
      </w:rPr>
    </w:sdtEndPr>
    <w:sdtContent>
      <w:p>
        <w:pPr>
          <w:pStyle w:val="3"/>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11 -</w:t>
        </w:r>
        <w:r>
          <w:rPr>
            <w:rFonts w:ascii="仿宋" w:hAnsi="仿宋" w:eastAsia="仿宋"/>
            <w:sz w:val="28"/>
            <w:szCs w:val="28"/>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ABB1D"/>
    <w:multiLevelType w:val="singleLevel"/>
    <w:tmpl w:val="FC2ABB1D"/>
    <w:lvl w:ilvl="0" w:tentative="0">
      <w:start w:val="2"/>
      <w:numFmt w:val="decimal"/>
      <w:lvlText w:val="%1."/>
      <w:lvlJc w:val="left"/>
      <w:pPr>
        <w:tabs>
          <w:tab w:val="left" w:pos="312"/>
        </w:tabs>
      </w:pPr>
    </w:lvl>
  </w:abstractNum>
  <w:abstractNum w:abstractNumId="1">
    <w:nsid w:val="41ED7373"/>
    <w:multiLevelType w:val="singleLevel"/>
    <w:tmpl w:val="41ED7373"/>
    <w:lvl w:ilvl="0" w:tentative="0">
      <w:start w:val="2"/>
      <w:numFmt w:val="chineseCounting"/>
      <w:suff w:val="nothing"/>
      <w:lvlText w:val="（%1）"/>
      <w:lvlJc w:val="left"/>
      <w:rPr>
        <w:rFonts w:hint="eastAsia"/>
      </w:rPr>
    </w:lvl>
  </w:abstractNum>
  <w:abstractNum w:abstractNumId="2">
    <w:nsid w:val="65D66183"/>
    <w:multiLevelType w:val="singleLevel"/>
    <w:tmpl w:val="65D6618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61C6"/>
    <w:rsid w:val="00000A1F"/>
    <w:rsid w:val="0000176C"/>
    <w:rsid w:val="00002BCF"/>
    <w:rsid w:val="0000640E"/>
    <w:rsid w:val="00016625"/>
    <w:rsid w:val="00016CA6"/>
    <w:rsid w:val="0001785E"/>
    <w:rsid w:val="00022361"/>
    <w:rsid w:val="00023A84"/>
    <w:rsid w:val="0002483B"/>
    <w:rsid w:val="00024ABF"/>
    <w:rsid w:val="00025083"/>
    <w:rsid w:val="00026639"/>
    <w:rsid w:val="000275AB"/>
    <w:rsid w:val="000308ED"/>
    <w:rsid w:val="000331B7"/>
    <w:rsid w:val="00040177"/>
    <w:rsid w:val="00042175"/>
    <w:rsid w:val="00042E83"/>
    <w:rsid w:val="00044D53"/>
    <w:rsid w:val="00051A08"/>
    <w:rsid w:val="000529B4"/>
    <w:rsid w:val="0005321E"/>
    <w:rsid w:val="00053D43"/>
    <w:rsid w:val="00053E78"/>
    <w:rsid w:val="000544C5"/>
    <w:rsid w:val="00057C42"/>
    <w:rsid w:val="000621A1"/>
    <w:rsid w:val="000669D0"/>
    <w:rsid w:val="00066E83"/>
    <w:rsid w:val="000713DE"/>
    <w:rsid w:val="00071C73"/>
    <w:rsid w:val="00071CD1"/>
    <w:rsid w:val="000757CD"/>
    <w:rsid w:val="00076DC6"/>
    <w:rsid w:val="0008594C"/>
    <w:rsid w:val="00086845"/>
    <w:rsid w:val="00087E4D"/>
    <w:rsid w:val="00093078"/>
    <w:rsid w:val="00093D48"/>
    <w:rsid w:val="00096875"/>
    <w:rsid w:val="00097FEA"/>
    <w:rsid w:val="000A2009"/>
    <w:rsid w:val="000A3401"/>
    <w:rsid w:val="000A37A6"/>
    <w:rsid w:val="000A4C66"/>
    <w:rsid w:val="000A5977"/>
    <w:rsid w:val="000A6382"/>
    <w:rsid w:val="000B0AED"/>
    <w:rsid w:val="000B2BF7"/>
    <w:rsid w:val="000B7B07"/>
    <w:rsid w:val="000B7EC7"/>
    <w:rsid w:val="000C0059"/>
    <w:rsid w:val="000C0099"/>
    <w:rsid w:val="000C1C63"/>
    <w:rsid w:val="000C4181"/>
    <w:rsid w:val="000C4DFB"/>
    <w:rsid w:val="000C79A9"/>
    <w:rsid w:val="000D1721"/>
    <w:rsid w:val="000D2284"/>
    <w:rsid w:val="000D343D"/>
    <w:rsid w:val="000D3818"/>
    <w:rsid w:val="000D4900"/>
    <w:rsid w:val="000E0717"/>
    <w:rsid w:val="000E15E6"/>
    <w:rsid w:val="000E6165"/>
    <w:rsid w:val="000E6892"/>
    <w:rsid w:val="000E71FA"/>
    <w:rsid w:val="000E78C8"/>
    <w:rsid w:val="000E7C6B"/>
    <w:rsid w:val="000F127E"/>
    <w:rsid w:val="000F670E"/>
    <w:rsid w:val="000F6793"/>
    <w:rsid w:val="00104175"/>
    <w:rsid w:val="001056FE"/>
    <w:rsid w:val="00107926"/>
    <w:rsid w:val="00115A44"/>
    <w:rsid w:val="001161C6"/>
    <w:rsid w:val="00116DCD"/>
    <w:rsid w:val="001253A6"/>
    <w:rsid w:val="00126C18"/>
    <w:rsid w:val="00134E17"/>
    <w:rsid w:val="00136E25"/>
    <w:rsid w:val="001453AE"/>
    <w:rsid w:val="001475B3"/>
    <w:rsid w:val="00150016"/>
    <w:rsid w:val="001524E8"/>
    <w:rsid w:val="00154A5B"/>
    <w:rsid w:val="00156605"/>
    <w:rsid w:val="001569D0"/>
    <w:rsid w:val="00160043"/>
    <w:rsid w:val="0016104E"/>
    <w:rsid w:val="001628D6"/>
    <w:rsid w:val="00163C31"/>
    <w:rsid w:val="00163F8F"/>
    <w:rsid w:val="00164B73"/>
    <w:rsid w:val="00164FA4"/>
    <w:rsid w:val="001665C8"/>
    <w:rsid w:val="0016793B"/>
    <w:rsid w:val="00173983"/>
    <w:rsid w:val="00174C99"/>
    <w:rsid w:val="00175AC3"/>
    <w:rsid w:val="001815DF"/>
    <w:rsid w:val="00182896"/>
    <w:rsid w:val="001863E5"/>
    <w:rsid w:val="0019364D"/>
    <w:rsid w:val="001A4FCC"/>
    <w:rsid w:val="001B0DFE"/>
    <w:rsid w:val="001B59BC"/>
    <w:rsid w:val="001C530E"/>
    <w:rsid w:val="001D1E70"/>
    <w:rsid w:val="001D4815"/>
    <w:rsid w:val="001D5157"/>
    <w:rsid w:val="001E1561"/>
    <w:rsid w:val="001E1AF5"/>
    <w:rsid w:val="001E410A"/>
    <w:rsid w:val="001E466A"/>
    <w:rsid w:val="001E4DB3"/>
    <w:rsid w:val="001E5805"/>
    <w:rsid w:val="001E7F10"/>
    <w:rsid w:val="001F041C"/>
    <w:rsid w:val="001F4B8A"/>
    <w:rsid w:val="002035C8"/>
    <w:rsid w:val="002072D0"/>
    <w:rsid w:val="00211E56"/>
    <w:rsid w:val="002121BD"/>
    <w:rsid w:val="00214ECA"/>
    <w:rsid w:val="0021696A"/>
    <w:rsid w:val="002177F4"/>
    <w:rsid w:val="0022016A"/>
    <w:rsid w:val="0022129A"/>
    <w:rsid w:val="00222366"/>
    <w:rsid w:val="00225B91"/>
    <w:rsid w:val="00227677"/>
    <w:rsid w:val="002276F4"/>
    <w:rsid w:val="00232F03"/>
    <w:rsid w:val="00233276"/>
    <w:rsid w:val="00233A26"/>
    <w:rsid w:val="00234C66"/>
    <w:rsid w:val="00236201"/>
    <w:rsid w:val="0024020C"/>
    <w:rsid w:val="00240A97"/>
    <w:rsid w:val="0024232A"/>
    <w:rsid w:val="002435E5"/>
    <w:rsid w:val="00245C0A"/>
    <w:rsid w:val="00245F90"/>
    <w:rsid w:val="00246EA6"/>
    <w:rsid w:val="00246FAA"/>
    <w:rsid w:val="002472F6"/>
    <w:rsid w:val="00250B32"/>
    <w:rsid w:val="002512FB"/>
    <w:rsid w:val="00264F80"/>
    <w:rsid w:val="0026515D"/>
    <w:rsid w:val="002655F2"/>
    <w:rsid w:val="0026647E"/>
    <w:rsid w:val="002664A8"/>
    <w:rsid w:val="0027056F"/>
    <w:rsid w:val="0027120F"/>
    <w:rsid w:val="00271F3D"/>
    <w:rsid w:val="00276713"/>
    <w:rsid w:val="00276814"/>
    <w:rsid w:val="00277ADC"/>
    <w:rsid w:val="00280881"/>
    <w:rsid w:val="00282CE4"/>
    <w:rsid w:val="00282EA0"/>
    <w:rsid w:val="0028360D"/>
    <w:rsid w:val="00283F08"/>
    <w:rsid w:val="00287242"/>
    <w:rsid w:val="002879D3"/>
    <w:rsid w:val="00291A35"/>
    <w:rsid w:val="00291BD2"/>
    <w:rsid w:val="00293D88"/>
    <w:rsid w:val="00294FEF"/>
    <w:rsid w:val="00295932"/>
    <w:rsid w:val="002970C9"/>
    <w:rsid w:val="002A1FD5"/>
    <w:rsid w:val="002A39B6"/>
    <w:rsid w:val="002B02CD"/>
    <w:rsid w:val="002B04D7"/>
    <w:rsid w:val="002C6C00"/>
    <w:rsid w:val="002D00AE"/>
    <w:rsid w:val="002D00B9"/>
    <w:rsid w:val="002D1034"/>
    <w:rsid w:val="002D46BE"/>
    <w:rsid w:val="002D4C50"/>
    <w:rsid w:val="002D5C12"/>
    <w:rsid w:val="002D6528"/>
    <w:rsid w:val="002E412A"/>
    <w:rsid w:val="002E4D99"/>
    <w:rsid w:val="002F1637"/>
    <w:rsid w:val="002F28C5"/>
    <w:rsid w:val="002F51A8"/>
    <w:rsid w:val="002F5C1B"/>
    <w:rsid w:val="002F5C37"/>
    <w:rsid w:val="0030086E"/>
    <w:rsid w:val="0031384A"/>
    <w:rsid w:val="003215FA"/>
    <w:rsid w:val="003246D8"/>
    <w:rsid w:val="00324BFC"/>
    <w:rsid w:val="0033347A"/>
    <w:rsid w:val="0033659F"/>
    <w:rsid w:val="00340681"/>
    <w:rsid w:val="00341F7A"/>
    <w:rsid w:val="00342849"/>
    <w:rsid w:val="00343890"/>
    <w:rsid w:val="00344B1D"/>
    <w:rsid w:val="00346455"/>
    <w:rsid w:val="003469A5"/>
    <w:rsid w:val="00347761"/>
    <w:rsid w:val="00350E49"/>
    <w:rsid w:val="00351E70"/>
    <w:rsid w:val="00352820"/>
    <w:rsid w:val="00354D71"/>
    <w:rsid w:val="0036206E"/>
    <w:rsid w:val="00364002"/>
    <w:rsid w:val="003728DF"/>
    <w:rsid w:val="00375672"/>
    <w:rsid w:val="00376213"/>
    <w:rsid w:val="00382E1C"/>
    <w:rsid w:val="00383CC0"/>
    <w:rsid w:val="0038489B"/>
    <w:rsid w:val="00387918"/>
    <w:rsid w:val="0039742C"/>
    <w:rsid w:val="003A01A7"/>
    <w:rsid w:val="003A1CB1"/>
    <w:rsid w:val="003A5135"/>
    <w:rsid w:val="003A65CE"/>
    <w:rsid w:val="003A67A1"/>
    <w:rsid w:val="003B4395"/>
    <w:rsid w:val="003B67BC"/>
    <w:rsid w:val="003C3200"/>
    <w:rsid w:val="003C3B33"/>
    <w:rsid w:val="003C4E95"/>
    <w:rsid w:val="003D16E9"/>
    <w:rsid w:val="003D246D"/>
    <w:rsid w:val="003D477A"/>
    <w:rsid w:val="003D52FE"/>
    <w:rsid w:val="003D6831"/>
    <w:rsid w:val="003D7DBD"/>
    <w:rsid w:val="003E0B65"/>
    <w:rsid w:val="003E5535"/>
    <w:rsid w:val="003E7799"/>
    <w:rsid w:val="003F240E"/>
    <w:rsid w:val="003F6575"/>
    <w:rsid w:val="003F67CE"/>
    <w:rsid w:val="00400D59"/>
    <w:rsid w:val="00402B96"/>
    <w:rsid w:val="00403B7C"/>
    <w:rsid w:val="00405963"/>
    <w:rsid w:val="004059C2"/>
    <w:rsid w:val="00406434"/>
    <w:rsid w:val="0040646D"/>
    <w:rsid w:val="00410692"/>
    <w:rsid w:val="00412C0B"/>
    <w:rsid w:val="00412EB9"/>
    <w:rsid w:val="00413080"/>
    <w:rsid w:val="0042012A"/>
    <w:rsid w:val="00423FB4"/>
    <w:rsid w:val="00424617"/>
    <w:rsid w:val="004308A0"/>
    <w:rsid w:val="004313DA"/>
    <w:rsid w:val="00431EAB"/>
    <w:rsid w:val="00432A63"/>
    <w:rsid w:val="00436207"/>
    <w:rsid w:val="00444339"/>
    <w:rsid w:val="00445EEC"/>
    <w:rsid w:val="0045464E"/>
    <w:rsid w:val="00454789"/>
    <w:rsid w:val="0045754E"/>
    <w:rsid w:val="00460CE1"/>
    <w:rsid w:val="00462A2B"/>
    <w:rsid w:val="00464571"/>
    <w:rsid w:val="0046598A"/>
    <w:rsid w:val="00466854"/>
    <w:rsid w:val="00466CE4"/>
    <w:rsid w:val="00467DB7"/>
    <w:rsid w:val="00470C99"/>
    <w:rsid w:val="00473154"/>
    <w:rsid w:val="00476614"/>
    <w:rsid w:val="004771DB"/>
    <w:rsid w:val="00480E98"/>
    <w:rsid w:val="00481D7F"/>
    <w:rsid w:val="00490092"/>
    <w:rsid w:val="00490AB6"/>
    <w:rsid w:val="0049126E"/>
    <w:rsid w:val="00491DB2"/>
    <w:rsid w:val="00492422"/>
    <w:rsid w:val="00492BA0"/>
    <w:rsid w:val="00493A85"/>
    <w:rsid w:val="0049666F"/>
    <w:rsid w:val="004A5326"/>
    <w:rsid w:val="004A6AF9"/>
    <w:rsid w:val="004B17A0"/>
    <w:rsid w:val="004B40BB"/>
    <w:rsid w:val="004C5439"/>
    <w:rsid w:val="004C783A"/>
    <w:rsid w:val="004D08BF"/>
    <w:rsid w:val="004D0952"/>
    <w:rsid w:val="004D1A84"/>
    <w:rsid w:val="004D23AC"/>
    <w:rsid w:val="004D2CE4"/>
    <w:rsid w:val="004D480F"/>
    <w:rsid w:val="004D5478"/>
    <w:rsid w:val="004D5513"/>
    <w:rsid w:val="004D7F99"/>
    <w:rsid w:val="004E13A8"/>
    <w:rsid w:val="004E3C97"/>
    <w:rsid w:val="004E4432"/>
    <w:rsid w:val="004E524A"/>
    <w:rsid w:val="004F234B"/>
    <w:rsid w:val="004F29FA"/>
    <w:rsid w:val="004F3524"/>
    <w:rsid w:val="004F4928"/>
    <w:rsid w:val="004F53A0"/>
    <w:rsid w:val="004F703C"/>
    <w:rsid w:val="005004E2"/>
    <w:rsid w:val="00503978"/>
    <w:rsid w:val="00505887"/>
    <w:rsid w:val="005105F2"/>
    <w:rsid w:val="00521E4B"/>
    <w:rsid w:val="005220B1"/>
    <w:rsid w:val="005249FC"/>
    <w:rsid w:val="00525407"/>
    <w:rsid w:val="005303AF"/>
    <w:rsid w:val="00531324"/>
    <w:rsid w:val="0053402A"/>
    <w:rsid w:val="00534C7D"/>
    <w:rsid w:val="00537404"/>
    <w:rsid w:val="00541ACF"/>
    <w:rsid w:val="00545F1D"/>
    <w:rsid w:val="005525C5"/>
    <w:rsid w:val="005539FF"/>
    <w:rsid w:val="005557B8"/>
    <w:rsid w:val="00557CC6"/>
    <w:rsid w:val="005605F4"/>
    <w:rsid w:val="005651C4"/>
    <w:rsid w:val="00570B58"/>
    <w:rsid w:val="005773C6"/>
    <w:rsid w:val="00577B7F"/>
    <w:rsid w:val="00580305"/>
    <w:rsid w:val="005811B2"/>
    <w:rsid w:val="0058125F"/>
    <w:rsid w:val="0058481E"/>
    <w:rsid w:val="00585E78"/>
    <w:rsid w:val="00590F7A"/>
    <w:rsid w:val="00595B0A"/>
    <w:rsid w:val="0059654F"/>
    <w:rsid w:val="00597C10"/>
    <w:rsid w:val="005A025A"/>
    <w:rsid w:val="005A413B"/>
    <w:rsid w:val="005A5F99"/>
    <w:rsid w:val="005A6CC3"/>
    <w:rsid w:val="005A7033"/>
    <w:rsid w:val="005A74E3"/>
    <w:rsid w:val="005A7AD7"/>
    <w:rsid w:val="005B7AB8"/>
    <w:rsid w:val="005C2F0D"/>
    <w:rsid w:val="005C34BA"/>
    <w:rsid w:val="005D127C"/>
    <w:rsid w:val="005D1AC3"/>
    <w:rsid w:val="005D24FD"/>
    <w:rsid w:val="005D65CB"/>
    <w:rsid w:val="005E240C"/>
    <w:rsid w:val="005E3292"/>
    <w:rsid w:val="005E6126"/>
    <w:rsid w:val="005F049F"/>
    <w:rsid w:val="005F0678"/>
    <w:rsid w:val="005F4FF2"/>
    <w:rsid w:val="005F52D3"/>
    <w:rsid w:val="0060173E"/>
    <w:rsid w:val="006045DA"/>
    <w:rsid w:val="00613FA1"/>
    <w:rsid w:val="00614471"/>
    <w:rsid w:val="006172B9"/>
    <w:rsid w:val="00620873"/>
    <w:rsid w:val="00621362"/>
    <w:rsid w:val="00621C62"/>
    <w:rsid w:val="00623436"/>
    <w:rsid w:val="006249F5"/>
    <w:rsid w:val="006255D1"/>
    <w:rsid w:val="00626859"/>
    <w:rsid w:val="00627623"/>
    <w:rsid w:val="00630B9F"/>
    <w:rsid w:val="00630D36"/>
    <w:rsid w:val="0063220F"/>
    <w:rsid w:val="00640C10"/>
    <w:rsid w:val="00640DDC"/>
    <w:rsid w:val="00642616"/>
    <w:rsid w:val="006429DD"/>
    <w:rsid w:val="00643FCB"/>
    <w:rsid w:val="006461C6"/>
    <w:rsid w:val="00646E0F"/>
    <w:rsid w:val="006543E8"/>
    <w:rsid w:val="00654561"/>
    <w:rsid w:val="00660C9E"/>
    <w:rsid w:val="0066110C"/>
    <w:rsid w:val="006614FA"/>
    <w:rsid w:val="00661FD8"/>
    <w:rsid w:val="0066284E"/>
    <w:rsid w:val="00663CF0"/>
    <w:rsid w:val="00664362"/>
    <w:rsid w:val="00665B2A"/>
    <w:rsid w:val="00674BE5"/>
    <w:rsid w:val="006757A8"/>
    <w:rsid w:val="00681D48"/>
    <w:rsid w:val="00682FD5"/>
    <w:rsid w:val="006844CC"/>
    <w:rsid w:val="00684D0C"/>
    <w:rsid w:val="0069386C"/>
    <w:rsid w:val="006939A9"/>
    <w:rsid w:val="006979B3"/>
    <w:rsid w:val="006A07F5"/>
    <w:rsid w:val="006A12AB"/>
    <w:rsid w:val="006A2CDD"/>
    <w:rsid w:val="006B13B9"/>
    <w:rsid w:val="006B165E"/>
    <w:rsid w:val="006B1D13"/>
    <w:rsid w:val="006B29CB"/>
    <w:rsid w:val="006C3083"/>
    <w:rsid w:val="006C3BCB"/>
    <w:rsid w:val="006C59EB"/>
    <w:rsid w:val="006C5C1B"/>
    <w:rsid w:val="006D06E3"/>
    <w:rsid w:val="006D2605"/>
    <w:rsid w:val="006D7D7A"/>
    <w:rsid w:val="006E2AC9"/>
    <w:rsid w:val="006F08F3"/>
    <w:rsid w:val="006F2A4F"/>
    <w:rsid w:val="006F2E85"/>
    <w:rsid w:val="006F47EA"/>
    <w:rsid w:val="00706578"/>
    <w:rsid w:val="00706987"/>
    <w:rsid w:val="00716AB0"/>
    <w:rsid w:val="007208A5"/>
    <w:rsid w:val="0072116D"/>
    <w:rsid w:val="00721BBE"/>
    <w:rsid w:val="0072252E"/>
    <w:rsid w:val="00724570"/>
    <w:rsid w:val="007255E6"/>
    <w:rsid w:val="00731DC2"/>
    <w:rsid w:val="007351E0"/>
    <w:rsid w:val="00736722"/>
    <w:rsid w:val="0074010C"/>
    <w:rsid w:val="00740BC2"/>
    <w:rsid w:val="00741FE0"/>
    <w:rsid w:val="00742400"/>
    <w:rsid w:val="00743F72"/>
    <w:rsid w:val="0074402D"/>
    <w:rsid w:val="00745687"/>
    <w:rsid w:val="00747415"/>
    <w:rsid w:val="00747D72"/>
    <w:rsid w:val="00751DAF"/>
    <w:rsid w:val="00760B1C"/>
    <w:rsid w:val="007617DF"/>
    <w:rsid w:val="007677F6"/>
    <w:rsid w:val="007717A3"/>
    <w:rsid w:val="00772FF1"/>
    <w:rsid w:val="0077344B"/>
    <w:rsid w:val="0078259A"/>
    <w:rsid w:val="007827B0"/>
    <w:rsid w:val="00783347"/>
    <w:rsid w:val="00783D5A"/>
    <w:rsid w:val="007860AD"/>
    <w:rsid w:val="00786570"/>
    <w:rsid w:val="00793937"/>
    <w:rsid w:val="007961C0"/>
    <w:rsid w:val="007A367A"/>
    <w:rsid w:val="007A5350"/>
    <w:rsid w:val="007A5F9A"/>
    <w:rsid w:val="007A6EE3"/>
    <w:rsid w:val="007B001B"/>
    <w:rsid w:val="007B11F6"/>
    <w:rsid w:val="007B16C9"/>
    <w:rsid w:val="007B224C"/>
    <w:rsid w:val="007B22FB"/>
    <w:rsid w:val="007B5A6E"/>
    <w:rsid w:val="007B5E07"/>
    <w:rsid w:val="007B6AEB"/>
    <w:rsid w:val="007C23DD"/>
    <w:rsid w:val="007C31C1"/>
    <w:rsid w:val="007C66FE"/>
    <w:rsid w:val="007D0B35"/>
    <w:rsid w:val="007D1665"/>
    <w:rsid w:val="007D3744"/>
    <w:rsid w:val="007D3AF3"/>
    <w:rsid w:val="007D671F"/>
    <w:rsid w:val="007D7535"/>
    <w:rsid w:val="007D7CC5"/>
    <w:rsid w:val="007E4525"/>
    <w:rsid w:val="007E5D88"/>
    <w:rsid w:val="007E6108"/>
    <w:rsid w:val="007F2456"/>
    <w:rsid w:val="007F47B6"/>
    <w:rsid w:val="007F4E20"/>
    <w:rsid w:val="00800339"/>
    <w:rsid w:val="00802865"/>
    <w:rsid w:val="00803CAD"/>
    <w:rsid w:val="00805A45"/>
    <w:rsid w:val="008102FC"/>
    <w:rsid w:val="00810E43"/>
    <w:rsid w:val="0081234C"/>
    <w:rsid w:val="008125E1"/>
    <w:rsid w:val="00814CAF"/>
    <w:rsid w:val="00816D85"/>
    <w:rsid w:val="00817C49"/>
    <w:rsid w:val="008215E5"/>
    <w:rsid w:val="008259BC"/>
    <w:rsid w:val="00833C92"/>
    <w:rsid w:val="008343BB"/>
    <w:rsid w:val="0083662A"/>
    <w:rsid w:val="0084020E"/>
    <w:rsid w:val="00842B39"/>
    <w:rsid w:val="008441CD"/>
    <w:rsid w:val="00844E5D"/>
    <w:rsid w:val="00847531"/>
    <w:rsid w:val="008517E6"/>
    <w:rsid w:val="00852B98"/>
    <w:rsid w:val="0085538C"/>
    <w:rsid w:val="00856F4A"/>
    <w:rsid w:val="00862927"/>
    <w:rsid w:val="008637E1"/>
    <w:rsid w:val="008668F0"/>
    <w:rsid w:val="00875504"/>
    <w:rsid w:val="008803EA"/>
    <w:rsid w:val="00885E6A"/>
    <w:rsid w:val="00891F41"/>
    <w:rsid w:val="00892624"/>
    <w:rsid w:val="008932CB"/>
    <w:rsid w:val="00894151"/>
    <w:rsid w:val="0089765C"/>
    <w:rsid w:val="008A31BD"/>
    <w:rsid w:val="008A4825"/>
    <w:rsid w:val="008A6C22"/>
    <w:rsid w:val="008A73D2"/>
    <w:rsid w:val="008B0166"/>
    <w:rsid w:val="008B205D"/>
    <w:rsid w:val="008B4806"/>
    <w:rsid w:val="008B55F5"/>
    <w:rsid w:val="008B6C75"/>
    <w:rsid w:val="008B7875"/>
    <w:rsid w:val="008C3A22"/>
    <w:rsid w:val="008C4C0D"/>
    <w:rsid w:val="008C6CFF"/>
    <w:rsid w:val="008D3C90"/>
    <w:rsid w:val="008D3D12"/>
    <w:rsid w:val="008D5402"/>
    <w:rsid w:val="008D6357"/>
    <w:rsid w:val="008D7436"/>
    <w:rsid w:val="008E1D7D"/>
    <w:rsid w:val="008E71AA"/>
    <w:rsid w:val="008F0523"/>
    <w:rsid w:val="008F0FAB"/>
    <w:rsid w:val="008F1147"/>
    <w:rsid w:val="008F14EB"/>
    <w:rsid w:val="008F2701"/>
    <w:rsid w:val="008F3A0F"/>
    <w:rsid w:val="008F41F3"/>
    <w:rsid w:val="009002ED"/>
    <w:rsid w:val="00907060"/>
    <w:rsid w:val="009079F0"/>
    <w:rsid w:val="00907CBB"/>
    <w:rsid w:val="0091121F"/>
    <w:rsid w:val="00914030"/>
    <w:rsid w:val="009147D2"/>
    <w:rsid w:val="009154EA"/>
    <w:rsid w:val="00915AC6"/>
    <w:rsid w:val="00916B4D"/>
    <w:rsid w:val="009205A5"/>
    <w:rsid w:val="00920672"/>
    <w:rsid w:val="00920A2B"/>
    <w:rsid w:val="00921E37"/>
    <w:rsid w:val="00924004"/>
    <w:rsid w:val="0092478A"/>
    <w:rsid w:val="00925979"/>
    <w:rsid w:val="00930D23"/>
    <w:rsid w:val="009318B8"/>
    <w:rsid w:val="00933F86"/>
    <w:rsid w:val="00934043"/>
    <w:rsid w:val="009415DE"/>
    <w:rsid w:val="00941F7B"/>
    <w:rsid w:val="00942046"/>
    <w:rsid w:val="00942373"/>
    <w:rsid w:val="00945428"/>
    <w:rsid w:val="009522F4"/>
    <w:rsid w:val="009530DF"/>
    <w:rsid w:val="00956C05"/>
    <w:rsid w:val="0096016F"/>
    <w:rsid w:val="00960DDA"/>
    <w:rsid w:val="0096150D"/>
    <w:rsid w:val="00961D47"/>
    <w:rsid w:val="00961D8F"/>
    <w:rsid w:val="009632BE"/>
    <w:rsid w:val="00963308"/>
    <w:rsid w:val="00964678"/>
    <w:rsid w:val="00966678"/>
    <w:rsid w:val="00967267"/>
    <w:rsid w:val="009677C9"/>
    <w:rsid w:val="00973447"/>
    <w:rsid w:val="00974C13"/>
    <w:rsid w:val="00976660"/>
    <w:rsid w:val="009777D9"/>
    <w:rsid w:val="00977F16"/>
    <w:rsid w:val="00980935"/>
    <w:rsid w:val="009819F2"/>
    <w:rsid w:val="00982316"/>
    <w:rsid w:val="00983FEE"/>
    <w:rsid w:val="0098596F"/>
    <w:rsid w:val="00985E95"/>
    <w:rsid w:val="00987509"/>
    <w:rsid w:val="00987FD5"/>
    <w:rsid w:val="0099533C"/>
    <w:rsid w:val="00997B41"/>
    <w:rsid w:val="009A04B7"/>
    <w:rsid w:val="009A3097"/>
    <w:rsid w:val="009A4576"/>
    <w:rsid w:val="009A4D3B"/>
    <w:rsid w:val="009A7AEB"/>
    <w:rsid w:val="009B33B6"/>
    <w:rsid w:val="009B3769"/>
    <w:rsid w:val="009B484B"/>
    <w:rsid w:val="009B4896"/>
    <w:rsid w:val="009C0AEA"/>
    <w:rsid w:val="009C2366"/>
    <w:rsid w:val="009C2868"/>
    <w:rsid w:val="009C3D78"/>
    <w:rsid w:val="009C49DF"/>
    <w:rsid w:val="009C564A"/>
    <w:rsid w:val="009D6529"/>
    <w:rsid w:val="009D7223"/>
    <w:rsid w:val="009E0CD6"/>
    <w:rsid w:val="009E1612"/>
    <w:rsid w:val="009E4285"/>
    <w:rsid w:val="009E67C5"/>
    <w:rsid w:val="009E6A6E"/>
    <w:rsid w:val="009F0F0C"/>
    <w:rsid w:val="009F1FB4"/>
    <w:rsid w:val="009F2B23"/>
    <w:rsid w:val="009F3F2F"/>
    <w:rsid w:val="009F48FF"/>
    <w:rsid w:val="009F64BA"/>
    <w:rsid w:val="009F789D"/>
    <w:rsid w:val="00A01A24"/>
    <w:rsid w:val="00A0474C"/>
    <w:rsid w:val="00A0671E"/>
    <w:rsid w:val="00A125C8"/>
    <w:rsid w:val="00A14463"/>
    <w:rsid w:val="00A14F15"/>
    <w:rsid w:val="00A177D7"/>
    <w:rsid w:val="00A179CD"/>
    <w:rsid w:val="00A2411C"/>
    <w:rsid w:val="00A24A4C"/>
    <w:rsid w:val="00A24D88"/>
    <w:rsid w:val="00A25E0E"/>
    <w:rsid w:val="00A31F62"/>
    <w:rsid w:val="00A32E25"/>
    <w:rsid w:val="00A36045"/>
    <w:rsid w:val="00A377A6"/>
    <w:rsid w:val="00A43C47"/>
    <w:rsid w:val="00A44FEB"/>
    <w:rsid w:val="00A4669B"/>
    <w:rsid w:val="00A47B90"/>
    <w:rsid w:val="00A5169A"/>
    <w:rsid w:val="00A51CEE"/>
    <w:rsid w:val="00A52FED"/>
    <w:rsid w:val="00A53446"/>
    <w:rsid w:val="00A55318"/>
    <w:rsid w:val="00A6084C"/>
    <w:rsid w:val="00A61A64"/>
    <w:rsid w:val="00A629DE"/>
    <w:rsid w:val="00A64DBC"/>
    <w:rsid w:val="00A660FE"/>
    <w:rsid w:val="00A66344"/>
    <w:rsid w:val="00A70A56"/>
    <w:rsid w:val="00A71388"/>
    <w:rsid w:val="00A75765"/>
    <w:rsid w:val="00A769DD"/>
    <w:rsid w:val="00A772B6"/>
    <w:rsid w:val="00A817E3"/>
    <w:rsid w:val="00A83DAE"/>
    <w:rsid w:val="00A83F0D"/>
    <w:rsid w:val="00A85522"/>
    <w:rsid w:val="00A945FE"/>
    <w:rsid w:val="00A951F5"/>
    <w:rsid w:val="00A97171"/>
    <w:rsid w:val="00A97473"/>
    <w:rsid w:val="00AA0D6E"/>
    <w:rsid w:val="00AA271A"/>
    <w:rsid w:val="00AB5B4A"/>
    <w:rsid w:val="00AB612C"/>
    <w:rsid w:val="00AB7E5D"/>
    <w:rsid w:val="00AC039B"/>
    <w:rsid w:val="00AC0E49"/>
    <w:rsid w:val="00AC26EB"/>
    <w:rsid w:val="00AC3420"/>
    <w:rsid w:val="00AC449A"/>
    <w:rsid w:val="00AC5CD0"/>
    <w:rsid w:val="00AD3113"/>
    <w:rsid w:val="00AD7A6A"/>
    <w:rsid w:val="00AE25B4"/>
    <w:rsid w:val="00AE4282"/>
    <w:rsid w:val="00AE449B"/>
    <w:rsid w:val="00AE46FD"/>
    <w:rsid w:val="00AE4EDC"/>
    <w:rsid w:val="00AE7A28"/>
    <w:rsid w:val="00AF431A"/>
    <w:rsid w:val="00AF76D6"/>
    <w:rsid w:val="00B0001A"/>
    <w:rsid w:val="00B00A9D"/>
    <w:rsid w:val="00B02648"/>
    <w:rsid w:val="00B05BBD"/>
    <w:rsid w:val="00B13C6E"/>
    <w:rsid w:val="00B165B4"/>
    <w:rsid w:val="00B213A9"/>
    <w:rsid w:val="00B31E02"/>
    <w:rsid w:val="00B37800"/>
    <w:rsid w:val="00B40D23"/>
    <w:rsid w:val="00B42717"/>
    <w:rsid w:val="00B45186"/>
    <w:rsid w:val="00B45BD4"/>
    <w:rsid w:val="00B46682"/>
    <w:rsid w:val="00B47303"/>
    <w:rsid w:val="00B47734"/>
    <w:rsid w:val="00B50248"/>
    <w:rsid w:val="00B50605"/>
    <w:rsid w:val="00B5201D"/>
    <w:rsid w:val="00B5298E"/>
    <w:rsid w:val="00B540BC"/>
    <w:rsid w:val="00B57F04"/>
    <w:rsid w:val="00B61B3D"/>
    <w:rsid w:val="00B630B8"/>
    <w:rsid w:val="00B72526"/>
    <w:rsid w:val="00B76D4B"/>
    <w:rsid w:val="00B778F9"/>
    <w:rsid w:val="00B8738E"/>
    <w:rsid w:val="00B90310"/>
    <w:rsid w:val="00B925B2"/>
    <w:rsid w:val="00B940BA"/>
    <w:rsid w:val="00B941DF"/>
    <w:rsid w:val="00B943C8"/>
    <w:rsid w:val="00B94E0E"/>
    <w:rsid w:val="00B96833"/>
    <w:rsid w:val="00BA160A"/>
    <w:rsid w:val="00BA5A59"/>
    <w:rsid w:val="00BB4E12"/>
    <w:rsid w:val="00BB6B32"/>
    <w:rsid w:val="00BB6F6B"/>
    <w:rsid w:val="00BB733D"/>
    <w:rsid w:val="00BC0818"/>
    <w:rsid w:val="00BC53F1"/>
    <w:rsid w:val="00BC54A8"/>
    <w:rsid w:val="00BD0FE8"/>
    <w:rsid w:val="00BD26E6"/>
    <w:rsid w:val="00BD3842"/>
    <w:rsid w:val="00BE0606"/>
    <w:rsid w:val="00BE4A8F"/>
    <w:rsid w:val="00BF07FD"/>
    <w:rsid w:val="00BF28DA"/>
    <w:rsid w:val="00BF31B7"/>
    <w:rsid w:val="00BF76AE"/>
    <w:rsid w:val="00C00732"/>
    <w:rsid w:val="00C11186"/>
    <w:rsid w:val="00C131DB"/>
    <w:rsid w:val="00C13749"/>
    <w:rsid w:val="00C17470"/>
    <w:rsid w:val="00C1797D"/>
    <w:rsid w:val="00C17DD8"/>
    <w:rsid w:val="00C202A6"/>
    <w:rsid w:val="00C22009"/>
    <w:rsid w:val="00C266C1"/>
    <w:rsid w:val="00C3278E"/>
    <w:rsid w:val="00C34C3F"/>
    <w:rsid w:val="00C36FA0"/>
    <w:rsid w:val="00C37A5F"/>
    <w:rsid w:val="00C406E2"/>
    <w:rsid w:val="00C41515"/>
    <w:rsid w:val="00C41AF1"/>
    <w:rsid w:val="00C42798"/>
    <w:rsid w:val="00C42D10"/>
    <w:rsid w:val="00C43AE2"/>
    <w:rsid w:val="00C44CE0"/>
    <w:rsid w:val="00C55900"/>
    <w:rsid w:val="00C60672"/>
    <w:rsid w:val="00C60C80"/>
    <w:rsid w:val="00C61C18"/>
    <w:rsid w:val="00C65B30"/>
    <w:rsid w:val="00C70D55"/>
    <w:rsid w:val="00C75346"/>
    <w:rsid w:val="00C76D7E"/>
    <w:rsid w:val="00C828F5"/>
    <w:rsid w:val="00C83633"/>
    <w:rsid w:val="00C84A89"/>
    <w:rsid w:val="00C85B7F"/>
    <w:rsid w:val="00C85BC9"/>
    <w:rsid w:val="00C86A61"/>
    <w:rsid w:val="00C87C47"/>
    <w:rsid w:val="00C918D0"/>
    <w:rsid w:val="00C92A3E"/>
    <w:rsid w:val="00C9745E"/>
    <w:rsid w:val="00CA49B1"/>
    <w:rsid w:val="00CA787C"/>
    <w:rsid w:val="00CB3ADA"/>
    <w:rsid w:val="00CB6A15"/>
    <w:rsid w:val="00CB7A82"/>
    <w:rsid w:val="00CB7C4F"/>
    <w:rsid w:val="00CC2F3C"/>
    <w:rsid w:val="00CC64CC"/>
    <w:rsid w:val="00CD0323"/>
    <w:rsid w:val="00CD0521"/>
    <w:rsid w:val="00CD064F"/>
    <w:rsid w:val="00CD231F"/>
    <w:rsid w:val="00CD2A8A"/>
    <w:rsid w:val="00CD7302"/>
    <w:rsid w:val="00CE5E55"/>
    <w:rsid w:val="00CF0245"/>
    <w:rsid w:val="00CF225E"/>
    <w:rsid w:val="00CF226E"/>
    <w:rsid w:val="00CF3242"/>
    <w:rsid w:val="00CF4EE9"/>
    <w:rsid w:val="00CF5911"/>
    <w:rsid w:val="00D071C1"/>
    <w:rsid w:val="00D110E1"/>
    <w:rsid w:val="00D11D68"/>
    <w:rsid w:val="00D17F5F"/>
    <w:rsid w:val="00D20A8E"/>
    <w:rsid w:val="00D233D7"/>
    <w:rsid w:val="00D23D7E"/>
    <w:rsid w:val="00D24979"/>
    <w:rsid w:val="00D24EBF"/>
    <w:rsid w:val="00D25BB2"/>
    <w:rsid w:val="00D32C96"/>
    <w:rsid w:val="00D333F3"/>
    <w:rsid w:val="00D34AED"/>
    <w:rsid w:val="00D3567A"/>
    <w:rsid w:val="00D3579B"/>
    <w:rsid w:val="00D4259F"/>
    <w:rsid w:val="00D46914"/>
    <w:rsid w:val="00D55310"/>
    <w:rsid w:val="00D5765F"/>
    <w:rsid w:val="00D6077B"/>
    <w:rsid w:val="00D617C1"/>
    <w:rsid w:val="00D618EB"/>
    <w:rsid w:val="00D64BE4"/>
    <w:rsid w:val="00D67B31"/>
    <w:rsid w:val="00D70ED2"/>
    <w:rsid w:val="00D70F4E"/>
    <w:rsid w:val="00D80671"/>
    <w:rsid w:val="00D81320"/>
    <w:rsid w:val="00D81396"/>
    <w:rsid w:val="00D94417"/>
    <w:rsid w:val="00D94EAD"/>
    <w:rsid w:val="00DA1AC6"/>
    <w:rsid w:val="00DA3C80"/>
    <w:rsid w:val="00DA5567"/>
    <w:rsid w:val="00DB0563"/>
    <w:rsid w:val="00DB0F2C"/>
    <w:rsid w:val="00DB3CE5"/>
    <w:rsid w:val="00DC2183"/>
    <w:rsid w:val="00DC29DC"/>
    <w:rsid w:val="00DC40A8"/>
    <w:rsid w:val="00DC4631"/>
    <w:rsid w:val="00DC6B76"/>
    <w:rsid w:val="00DD03B2"/>
    <w:rsid w:val="00DD25C9"/>
    <w:rsid w:val="00DD4DBC"/>
    <w:rsid w:val="00DD5D18"/>
    <w:rsid w:val="00DE0EBE"/>
    <w:rsid w:val="00DE177E"/>
    <w:rsid w:val="00DE48A5"/>
    <w:rsid w:val="00DF06AA"/>
    <w:rsid w:val="00DF44E5"/>
    <w:rsid w:val="00DF5072"/>
    <w:rsid w:val="00E04FE0"/>
    <w:rsid w:val="00E07796"/>
    <w:rsid w:val="00E10D29"/>
    <w:rsid w:val="00E118ED"/>
    <w:rsid w:val="00E15D84"/>
    <w:rsid w:val="00E16033"/>
    <w:rsid w:val="00E16E33"/>
    <w:rsid w:val="00E178C5"/>
    <w:rsid w:val="00E21ECE"/>
    <w:rsid w:val="00E23B19"/>
    <w:rsid w:val="00E30173"/>
    <w:rsid w:val="00E35041"/>
    <w:rsid w:val="00E36483"/>
    <w:rsid w:val="00E36F27"/>
    <w:rsid w:val="00E41E7D"/>
    <w:rsid w:val="00E436CC"/>
    <w:rsid w:val="00E43742"/>
    <w:rsid w:val="00E4581D"/>
    <w:rsid w:val="00E45AA1"/>
    <w:rsid w:val="00E505BD"/>
    <w:rsid w:val="00E515B7"/>
    <w:rsid w:val="00E517F3"/>
    <w:rsid w:val="00E51AE2"/>
    <w:rsid w:val="00E51C79"/>
    <w:rsid w:val="00E53791"/>
    <w:rsid w:val="00E53B0B"/>
    <w:rsid w:val="00E54797"/>
    <w:rsid w:val="00E560BA"/>
    <w:rsid w:val="00E569EF"/>
    <w:rsid w:val="00E604DD"/>
    <w:rsid w:val="00E650B7"/>
    <w:rsid w:val="00E65A62"/>
    <w:rsid w:val="00E7140E"/>
    <w:rsid w:val="00E717CD"/>
    <w:rsid w:val="00E723EC"/>
    <w:rsid w:val="00E73AD9"/>
    <w:rsid w:val="00E77B95"/>
    <w:rsid w:val="00E80B64"/>
    <w:rsid w:val="00E80DDF"/>
    <w:rsid w:val="00E82812"/>
    <w:rsid w:val="00E83880"/>
    <w:rsid w:val="00E85800"/>
    <w:rsid w:val="00E93CB1"/>
    <w:rsid w:val="00E94D25"/>
    <w:rsid w:val="00E97472"/>
    <w:rsid w:val="00EA015C"/>
    <w:rsid w:val="00EA09AB"/>
    <w:rsid w:val="00EA168E"/>
    <w:rsid w:val="00EA42F7"/>
    <w:rsid w:val="00EA4994"/>
    <w:rsid w:val="00EA5039"/>
    <w:rsid w:val="00EA585C"/>
    <w:rsid w:val="00EA6B31"/>
    <w:rsid w:val="00EB018F"/>
    <w:rsid w:val="00EB2CB0"/>
    <w:rsid w:val="00EB4B38"/>
    <w:rsid w:val="00EB5615"/>
    <w:rsid w:val="00EC0379"/>
    <w:rsid w:val="00EC0950"/>
    <w:rsid w:val="00EC0F82"/>
    <w:rsid w:val="00EC12AF"/>
    <w:rsid w:val="00ED0716"/>
    <w:rsid w:val="00ED1F5B"/>
    <w:rsid w:val="00ED2B7F"/>
    <w:rsid w:val="00ED5977"/>
    <w:rsid w:val="00ED5E01"/>
    <w:rsid w:val="00ED63D2"/>
    <w:rsid w:val="00ED6AAC"/>
    <w:rsid w:val="00EE153C"/>
    <w:rsid w:val="00EE68C8"/>
    <w:rsid w:val="00EF4BD6"/>
    <w:rsid w:val="00EF788A"/>
    <w:rsid w:val="00F0228C"/>
    <w:rsid w:val="00F03E00"/>
    <w:rsid w:val="00F04A12"/>
    <w:rsid w:val="00F071F7"/>
    <w:rsid w:val="00F0778D"/>
    <w:rsid w:val="00F11467"/>
    <w:rsid w:val="00F133C0"/>
    <w:rsid w:val="00F17930"/>
    <w:rsid w:val="00F2073C"/>
    <w:rsid w:val="00F250BC"/>
    <w:rsid w:val="00F270C2"/>
    <w:rsid w:val="00F27DA0"/>
    <w:rsid w:val="00F30777"/>
    <w:rsid w:val="00F32045"/>
    <w:rsid w:val="00F323E9"/>
    <w:rsid w:val="00F33406"/>
    <w:rsid w:val="00F34014"/>
    <w:rsid w:val="00F36EBB"/>
    <w:rsid w:val="00F40416"/>
    <w:rsid w:val="00F40945"/>
    <w:rsid w:val="00F4189E"/>
    <w:rsid w:val="00F42CF4"/>
    <w:rsid w:val="00F43A00"/>
    <w:rsid w:val="00F447BD"/>
    <w:rsid w:val="00F44AD6"/>
    <w:rsid w:val="00F45585"/>
    <w:rsid w:val="00F4675B"/>
    <w:rsid w:val="00F55623"/>
    <w:rsid w:val="00F5611B"/>
    <w:rsid w:val="00F5611E"/>
    <w:rsid w:val="00F570BA"/>
    <w:rsid w:val="00F576F8"/>
    <w:rsid w:val="00F60B60"/>
    <w:rsid w:val="00F617B4"/>
    <w:rsid w:val="00F640DE"/>
    <w:rsid w:val="00F64DEC"/>
    <w:rsid w:val="00F666FC"/>
    <w:rsid w:val="00F67F7E"/>
    <w:rsid w:val="00F71D6E"/>
    <w:rsid w:val="00F73C30"/>
    <w:rsid w:val="00F73CED"/>
    <w:rsid w:val="00F76601"/>
    <w:rsid w:val="00F7673E"/>
    <w:rsid w:val="00F767B2"/>
    <w:rsid w:val="00F82BDC"/>
    <w:rsid w:val="00F87DFA"/>
    <w:rsid w:val="00F90BA4"/>
    <w:rsid w:val="00F92E3F"/>
    <w:rsid w:val="00F93C51"/>
    <w:rsid w:val="00F9686C"/>
    <w:rsid w:val="00F97C30"/>
    <w:rsid w:val="00FA4580"/>
    <w:rsid w:val="00FA5D3F"/>
    <w:rsid w:val="00FB2415"/>
    <w:rsid w:val="00FC0DCE"/>
    <w:rsid w:val="00FC1C67"/>
    <w:rsid w:val="00FC5337"/>
    <w:rsid w:val="00FC538A"/>
    <w:rsid w:val="00FC53E7"/>
    <w:rsid w:val="00FC5D64"/>
    <w:rsid w:val="00FD0476"/>
    <w:rsid w:val="00FD04A1"/>
    <w:rsid w:val="00FD2292"/>
    <w:rsid w:val="00FE2102"/>
    <w:rsid w:val="00FE2326"/>
    <w:rsid w:val="00FE2683"/>
    <w:rsid w:val="00FE2E26"/>
    <w:rsid w:val="00FE77B5"/>
    <w:rsid w:val="00FF0DF6"/>
    <w:rsid w:val="00FF1FEC"/>
    <w:rsid w:val="00FF302C"/>
    <w:rsid w:val="00FF66D7"/>
    <w:rsid w:val="00FF7E89"/>
    <w:rsid w:val="015A61AA"/>
    <w:rsid w:val="023A0A27"/>
    <w:rsid w:val="05102282"/>
    <w:rsid w:val="05FF648A"/>
    <w:rsid w:val="076E0E9D"/>
    <w:rsid w:val="082455C9"/>
    <w:rsid w:val="0A706549"/>
    <w:rsid w:val="0AAD7C00"/>
    <w:rsid w:val="0B1D5A1D"/>
    <w:rsid w:val="0B3E6804"/>
    <w:rsid w:val="0E3D5349"/>
    <w:rsid w:val="0E494BEC"/>
    <w:rsid w:val="0EB205AD"/>
    <w:rsid w:val="0EDB5B0C"/>
    <w:rsid w:val="0F046BDE"/>
    <w:rsid w:val="0FFE4A6E"/>
    <w:rsid w:val="1081705D"/>
    <w:rsid w:val="115B0F4F"/>
    <w:rsid w:val="11A152FC"/>
    <w:rsid w:val="13107999"/>
    <w:rsid w:val="13F371EC"/>
    <w:rsid w:val="14372EF4"/>
    <w:rsid w:val="15A43731"/>
    <w:rsid w:val="16045026"/>
    <w:rsid w:val="173B6B83"/>
    <w:rsid w:val="19990B65"/>
    <w:rsid w:val="19BE4BCC"/>
    <w:rsid w:val="1AAD052B"/>
    <w:rsid w:val="1AD657CC"/>
    <w:rsid w:val="1D4138C8"/>
    <w:rsid w:val="1DD84525"/>
    <w:rsid w:val="1DF86041"/>
    <w:rsid w:val="1EF10D8A"/>
    <w:rsid w:val="1F887006"/>
    <w:rsid w:val="21EA7BFD"/>
    <w:rsid w:val="220E0037"/>
    <w:rsid w:val="23FE0B7F"/>
    <w:rsid w:val="241A5977"/>
    <w:rsid w:val="24332C96"/>
    <w:rsid w:val="25382E18"/>
    <w:rsid w:val="25D122D1"/>
    <w:rsid w:val="261640D9"/>
    <w:rsid w:val="269E71FB"/>
    <w:rsid w:val="27941807"/>
    <w:rsid w:val="27EE475B"/>
    <w:rsid w:val="285F1496"/>
    <w:rsid w:val="2865080A"/>
    <w:rsid w:val="2A926D74"/>
    <w:rsid w:val="2AA2425A"/>
    <w:rsid w:val="2BF327B7"/>
    <w:rsid w:val="2E905124"/>
    <w:rsid w:val="31295D78"/>
    <w:rsid w:val="3376697A"/>
    <w:rsid w:val="337D6D8D"/>
    <w:rsid w:val="33CC4CAB"/>
    <w:rsid w:val="34272BAD"/>
    <w:rsid w:val="34E97E2B"/>
    <w:rsid w:val="351758B0"/>
    <w:rsid w:val="3532737D"/>
    <w:rsid w:val="38233C44"/>
    <w:rsid w:val="38AC16A2"/>
    <w:rsid w:val="38AD60D6"/>
    <w:rsid w:val="38F76BF6"/>
    <w:rsid w:val="394C4364"/>
    <w:rsid w:val="395E78E9"/>
    <w:rsid w:val="3C491C5A"/>
    <w:rsid w:val="3EF526B0"/>
    <w:rsid w:val="3F5A445C"/>
    <w:rsid w:val="3F691DA2"/>
    <w:rsid w:val="40845943"/>
    <w:rsid w:val="42744423"/>
    <w:rsid w:val="45BE28C0"/>
    <w:rsid w:val="47156758"/>
    <w:rsid w:val="49717A41"/>
    <w:rsid w:val="4A440FD2"/>
    <w:rsid w:val="4B3D46E0"/>
    <w:rsid w:val="4C7F7CC4"/>
    <w:rsid w:val="4F5277EE"/>
    <w:rsid w:val="4F6D345A"/>
    <w:rsid w:val="4F716873"/>
    <w:rsid w:val="4FB45C70"/>
    <w:rsid w:val="501635CB"/>
    <w:rsid w:val="51034555"/>
    <w:rsid w:val="51C165F1"/>
    <w:rsid w:val="51CC70FF"/>
    <w:rsid w:val="525F1774"/>
    <w:rsid w:val="5407568E"/>
    <w:rsid w:val="544E1AA6"/>
    <w:rsid w:val="55017055"/>
    <w:rsid w:val="55050276"/>
    <w:rsid w:val="554B5495"/>
    <w:rsid w:val="557D00FF"/>
    <w:rsid w:val="55F351D3"/>
    <w:rsid w:val="56404163"/>
    <w:rsid w:val="56552C3D"/>
    <w:rsid w:val="567A0646"/>
    <w:rsid w:val="56B12665"/>
    <w:rsid w:val="574E366C"/>
    <w:rsid w:val="580F4603"/>
    <w:rsid w:val="587C3040"/>
    <w:rsid w:val="597D6395"/>
    <w:rsid w:val="5B1470DB"/>
    <w:rsid w:val="5DD560E5"/>
    <w:rsid w:val="60A77894"/>
    <w:rsid w:val="61B90495"/>
    <w:rsid w:val="625E6179"/>
    <w:rsid w:val="63256FA2"/>
    <w:rsid w:val="63EE7E9D"/>
    <w:rsid w:val="65AC4AA9"/>
    <w:rsid w:val="662B5B5F"/>
    <w:rsid w:val="66D03CB3"/>
    <w:rsid w:val="685216C0"/>
    <w:rsid w:val="69201156"/>
    <w:rsid w:val="6A575155"/>
    <w:rsid w:val="6B117381"/>
    <w:rsid w:val="6B357BBB"/>
    <w:rsid w:val="6C116393"/>
    <w:rsid w:val="6CFE1568"/>
    <w:rsid w:val="6CFE1F42"/>
    <w:rsid w:val="6D57348D"/>
    <w:rsid w:val="6E753C50"/>
    <w:rsid w:val="6F0D1A89"/>
    <w:rsid w:val="6F963C17"/>
    <w:rsid w:val="715C0B45"/>
    <w:rsid w:val="725419CA"/>
    <w:rsid w:val="7334512A"/>
    <w:rsid w:val="74350258"/>
    <w:rsid w:val="74EA43EB"/>
    <w:rsid w:val="74EB50F2"/>
    <w:rsid w:val="782A2CDC"/>
    <w:rsid w:val="7835260D"/>
    <w:rsid w:val="78795DBC"/>
    <w:rsid w:val="789521F2"/>
    <w:rsid w:val="78DE1A43"/>
    <w:rsid w:val="7A4E647E"/>
    <w:rsid w:val="7B100067"/>
    <w:rsid w:val="7F960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styleId="9">
    <w:name w:val="FollowedHyperlink"/>
    <w:basedOn w:val="7"/>
    <w:qFormat/>
    <w:uiPriority w:val="0"/>
    <w:rPr>
      <w:color w:val="954F72" w:themeColor="followedHyperlink"/>
      <w:u w:val="single"/>
    </w:rPr>
  </w:style>
  <w:style w:type="character" w:styleId="10">
    <w:name w:val="Hyperlink"/>
    <w:basedOn w:val="7"/>
    <w:qFormat/>
    <w:uiPriority w:val="0"/>
    <w:rPr>
      <w:color w:val="0563C1" w:themeColor="hyperlink"/>
      <w:u w:val="single"/>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5">
    <w:name w:val="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 w:type="character" w:customStyle="1" w:styleId="16">
    <w:name w:val="页脚 字符1"/>
    <w:qFormat/>
    <w:uiPriority w:val="0"/>
    <w:rPr>
      <w:kern w:val="2"/>
      <w:sz w:val="18"/>
      <w:szCs w:val="18"/>
    </w:rPr>
  </w:style>
  <w:style w:type="character" w:customStyle="1" w:styleId="17">
    <w:name w:val="批注框文本 Char"/>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0F3C1-1FCE-44C4-8598-785963A8D8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5050</Words>
  <Characters>916</Characters>
  <Lines>7</Lines>
  <Paragraphs>11</Paragraphs>
  <TotalTime>0</TotalTime>
  <ScaleCrop>false</ScaleCrop>
  <LinksUpToDate>false</LinksUpToDate>
  <CharactersWithSpaces>5955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2019-10-30T02:43:00Z</dcterms:created>
  <dc:creator>Administrator</dc:creator>
  <cp:lastModifiedBy>晨晨</cp:lastModifiedBy>
  <cp:lastPrinted>2020-04-27T02:18:30Z</cp:lastPrinted>
  <dcterms:modified xsi:type="dcterms:W3CDTF">2020-04-27T03:11:01Z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