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96" w:rsidRPr="007F601A" w:rsidRDefault="00A02896" w:rsidP="00A02896">
      <w:pPr>
        <w:spacing w:line="400" w:lineRule="exact"/>
        <w:jc w:val="left"/>
        <w:rPr>
          <w:rFonts w:ascii="黑体" w:eastAsia="黑体" w:hAnsi="黑体"/>
          <w:b/>
          <w:sz w:val="44"/>
          <w:szCs w:val="44"/>
        </w:rPr>
      </w:pPr>
    </w:p>
    <w:p w:rsidR="00A02896" w:rsidRPr="005A1C38" w:rsidRDefault="00A02896" w:rsidP="00A02896">
      <w:pPr>
        <w:pStyle w:val="NewNewNewNewNewNew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征求意见采纳情况一览表</w:t>
      </w:r>
    </w:p>
    <w:p w:rsidR="00A02896" w:rsidRDefault="00A02896" w:rsidP="00A02896">
      <w:pPr>
        <w:spacing w:line="400" w:lineRule="exact"/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846"/>
        <w:gridCol w:w="6066"/>
        <w:gridCol w:w="1701"/>
      </w:tblGrid>
      <w:tr w:rsidR="00A02896" w:rsidRPr="00C66F13" w:rsidTr="00A02896">
        <w:trPr>
          <w:trHeight w:val="805"/>
        </w:trPr>
        <w:tc>
          <w:tcPr>
            <w:tcW w:w="846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6F1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066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6F13">
              <w:rPr>
                <w:rFonts w:ascii="宋体" w:hAnsi="宋体" w:hint="eastAsia"/>
                <w:b/>
                <w:sz w:val="24"/>
                <w:szCs w:val="24"/>
              </w:rPr>
              <w:t>反馈的意见</w:t>
            </w:r>
          </w:p>
        </w:tc>
        <w:tc>
          <w:tcPr>
            <w:tcW w:w="1701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6F13">
              <w:rPr>
                <w:rFonts w:ascii="宋体" w:hAnsi="宋体" w:hint="eastAsia"/>
                <w:b/>
                <w:sz w:val="24"/>
                <w:szCs w:val="24"/>
              </w:rPr>
              <w:t>采纳情况</w:t>
            </w:r>
          </w:p>
        </w:tc>
      </w:tr>
      <w:tr w:rsidR="00A02896" w:rsidRPr="00C66F13" w:rsidTr="00A02896">
        <w:trPr>
          <w:trHeight w:val="567"/>
        </w:trPr>
        <w:tc>
          <w:tcPr>
            <w:tcW w:w="846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066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第五点“担保银行”建议修改为“银行”；“政保贷”修改为“政银保”。</w:t>
            </w:r>
          </w:p>
        </w:tc>
        <w:tc>
          <w:tcPr>
            <w:tcW w:w="1701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采纳</w:t>
            </w:r>
          </w:p>
        </w:tc>
      </w:tr>
      <w:tr w:rsidR="00A02896" w:rsidRPr="00C66F13" w:rsidTr="00A02896">
        <w:trPr>
          <w:trHeight w:val="567"/>
        </w:trPr>
        <w:tc>
          <w:tcPr>
            <w:tcW w:w="846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066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1.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“二、支持冷链物流园区建设”建议增加以下内容。支持企业入驻湛江保税物流中心（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B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型）聚集发展，扶持湛江保税物流中心（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B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型）配套建设冷链设施，鼓励企业通过湛江保税物流中心（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B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型）开展保税仓储、简单加工、保税展示等业务，丰富企业经营模式的同时减轻资金压力。推动湛江保税物流中</w:t>
            </w:r>
            <w:bookmarkStart w:id="0" w:name="_GoBack"/>
            <w:bookmarkEnd w:id="0"/>
            <w:r w:rsidRPr="00C66F13">
              <w:rPr>
                <w:rFonts w:ascii="宋体" w:hAnsi="宋体" w:hint="eastAsia"/>
                <w:sz w:val="24"/>
                <w:szCs w:val="24"/>
              </w:rPr>
              <w:t>心（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B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型）进口水海产品和冻肉业务复制推广“先入区、后报关”、“会展检验检疫监管新模式”等自贸区海关监管创新制度，为企业提供便利化的进出口通关环境。</w:t>
            </w:r>
          </w:p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2.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“八、创新通关管理体制”建议增加以下内容。</w:t>
            </w:r>
            <w:bookmarkStart w:id="1" w:name="_Hlk15632630"/>
            <w:r w:rsidRPr="00C66F13">
              <w:rPr>
                <w:rFonts w:ascii="宋体" w:hAnsi="宋体" w:hint="eastAsia"/>
                <w:sz w:val="24"/>
                <w:szCs w:val="24"/>
              </w:rPr>
              <w:t>支持相关企业参与汇总征税、自报自缴以及多元化税收担保方式，减轻资金成本及物流成本。支持企业参与优惠贸易协定享惠进口，减轻税费成本。支持企业做好“价格、归类和原产地”等预裁定工作，便利企业评估交易成本，保障企业快速通关。</w:t>
            </w:r>
            <w:bookmarkEnd w:id="1"/>
          </w:p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3.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建议在口岸查验场所建设符合水海产品和冻肉查验的冻链库。</w:t>
            </w:r>
          </w:p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 xml:space="preserve">4. 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结合目前湛江市综保区的建设情况，应鼓励相关企业提前谋划入驻湛江综合保税区，待申建成功后，以湛江综合保税区为平台支持按规定适用“按状态分类监管”、“内销选择性征税”等综保区政策，减轻企业成本，进一步打造水海产品和冻肉物流分拨中心。</w:t>
            </w:r>
          </w:p>
        </w:tc>
        <w:tc>
          <w:tcPr>
            <w:tcW w:w="1701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涉及促进水海产品和冻肉进口的相关建议</w:t>
            </w:r>
            <w:r>
              <w:rPr>
                <w:rFonts w:ascii="宋体" w:hAnsi="宋体" w:hint="eastAsia"/>
                <w:sz w:val="24"/>
                <w:szCs w:val="24"/>
              </w:rPr>
              <w:t>本意，在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原文</w:t>
            </w:r>
            <w:r>
              <w:rPr>
                <w:rFonts w:ascii="宋体" w:hAnsi="宋体" w:hint="eastAsia"/>
                <w:sz w:val="24"/>
                <w:szCs w:val="24"/>
              </w:rPr>
              <w:t>条款中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已</w:t>
            </w:r>
            <w:r>
              <w:rPr>
                <w:rFonts w:ascii="宋体" w:hAnsi="宋体" w:hint="eastAsia"/>
                <w:sz w:val="24"/>
                <w:szCs w:val="24"/>
              </w:rPr>
              <w:t>部分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涵盖</w:t>
            </w:r>
            <w:r>
              <w:rPr>
                <w:rFonts w:ascii="宋体" w:hAnsi="宋体" w:hint="eastAsia"/>
                <w:sz w:val="24"/>
                <w:szCs w:val="24"/>
              </w:rPr>
              <w:t>或不宜作为当前面向企业的针对性扶持措施条款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，不另作修改。</w:t>
            </w:r>
          </w:p>
        </w:tc>
      </w:tr>
      <w:tr w:rsidR="00A02896" w:rsidRPr="00C66F13" w:rsidTr="00A02896">
        <w:trPr>
          <w:trHeight w:val="567"/>
        </w:trPr>
        <w:tc>
          <w:tcPr>
            <w:tcW w:w="846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066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一、引进大型企业。“在注册当年或者次年实现主营业务收入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亿元以上的企业，按其实收资本的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2%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给予一次性奖励，最高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万元。”改为“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2019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年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月后成立或者次年实现主营业务收入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亿元以上的企业，按其实收</w:t>
            </w:r>
            <w:r w:rsidRPr="00C66F13">
              <w:rPr>
                <w:rFonts w:ascii="宋体" w:hAnsi="宋体" w:hint="eastAsia"/>
                <w:sz w:val="24"/>
                <w:szCs w:val="24"/>
              </w:rPr>
              <w:lastRenderedPageBreak/>
              <w:t>资本的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2%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给予一次性奖励，最高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万元。”</w:t>
            </w:r>
          </w:p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二、支持冷链物流园区建设。“对已投入使用的园区面积超过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平方米，固定资产投资超过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亿元”改为“对已投入使用的园区面积超过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平方米，固定资产投资超过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亿元”。</w:t>
            </w:r>
          </w:p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三、支持公共型保税冷库建设。“鼓励建设公共型保税冷库，对冷库标准化改造且总投资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万元以上的”改为“鼓励建设公共型保税冷库，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2019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年后对冷库标准化改造且总投资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万元以上的”。</w:t>
            </w:r>
          </w:p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四、培育交易中心。“对注册本市的企业采购进口水海产品和冻肉，且年进口集装箱（重箱）量超过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标准箱，给以物流补贴：每标箱货值超过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万元（含本数）的，</w:t>
            </w:r>
            <w:bookmarkStart w:id="2" w:name="_Hlk7428305"/>
            <w:r w:rsidRPr="00C66F13">
              <w:rPr>
                <w:rFonts w:ascii="宋体" w:hAnsi="宋体" w:hint="eastAsia"/>
                <w:sz w:val="24"/>
                <w:szCs w:val="24"/>
              </w:rPr>
              <w:t>给予</w:t>
            </w:r>
            <w:bookmarkEnd w:id="2"/>
            <w:r w:rsidRPr="00C66F13">
              <w:rPr>
                <w:rFonts w:ascii="宋体" w:hAnsi="宋体" w:hint="eastAsia"/>
                <w:sz w:val="24"/>
                <w:szCs w:val="24"/>
              </w:rPr>
              <w:t>经营者每标箱补贴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元；货值不足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万元、超过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万元的，给予经营者每标箱补贴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元。若年</w:t>
            </w:r>
            <w:bookmarkStart w:id="3" w:name="_Hlk7511013"/>
            <w:r w:rsidRPr="00C66F13">
              <w:rPr>
                <w:rFonts w:ascii="宋体" w:hAnsi="宋体" w:hint="eastAsia"/>
                <w:sz w:val="24"/>
                <w:szCs w:val="24"/>
              </w:rPr>
              <w:t>集装箱</w:t>
            </w:r>
            <w:bookmarkEnd w:id="3"/>
            <w:r w:rsidRPr="00C66F13">
              <w:rPr>
                <w:rFonts w:ascii="宋体" w:hAnsi="宋体" w:hint="eastAsia"/>
                <w:sz w:val="24"/>
                <w:szCs w:val="24"/>
              </w:rPr>
              <w:t>（重箱）进口数量超过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柜，</w:t>
            </w:r>
            <w:bookmarkStart w:id="4" w:name="_Hlk7428516"/>
            <w:r w:rsidRPr="00C66F13">
              <w:rPr>
                <w:rFonts w:ascii="宋体" w:hAnsi="宋体" w:hint="eastAsia"/>
                <w:sz w:val="24"/>
                <w:szCs w:val="24"/>
              </w:rPr>
              <w:t>超过部分每标箱增加补贴</w:t>
            </w:r>
            <w:bookmarkEnd w:id="4"/>
            <w:r w:rsidRPr="00C66F13">
              <w:rPr>
                <w:rFonts w:ascii="宋体" w:hAnsi="宋体" w:hint="eastAsia"/>
                <w:sz w:val="24"/>
                <w:szCs w:val="24"/>
              </w:rPr>
              <w:t>200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元；超过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柜，超过部分每标箱增加补贴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元。”改为“对注册本市的企业采购进口水海产品和冻肉，且年进口集装箱（重箱）量超过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标准箱，给以物流补贴：每标箱货值超过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万元（含本数）的，给予经营者每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尺标箱补贴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元；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40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尺标箱补贴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元。若年集装箱（重箱）进口数量超过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柜，超过部分每标箱增加补贴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元；每增加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柜，补贴再增加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元。”</w:t>
            </w:r>
          </w:p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五、加大担保增信服务力度。此段末增加“希望给集采公共平台提供贷款贴息”。</w:t>
            </w:r>
          </w:p>
        </w:tc>
        <w:tc>
          <w:tcPr>
            <w:tcW w:w="1701" w:type="dxa"/>
            <w:vAlign w:val="center"/>
          </w:tcPr>
          <w:p w:rsidR="00A02896" w:rsidRPr="00C66F13" w:rsidRDefault="00A02896" w:rsidP="00A0289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lastRenderedPageBreak/>
              <w:t>部分采纳。</w:t>
            </w:r>
          </w:p>
          <w:p w:rsidR="00A02896" w:rsidRPr="00C66F13" w:rsidRDefault="00A02896" w:rsidP="00A0289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建议一：将次年实现主营业务收入从原来</w:t>
            </w:r>
            <w:r w:rsidRPr="00C66F13">
              <w:rPr>
                <w:rFonts w:ascii="宋体" w:hAnsi="宋体" w:hint="eastAsia"/>
                <w:sz w:val="24"/>
                <w:szCs w:val="24"/>
              </w:rPr>
              <w:lastRenderedPageBreak/>
              <w:t>的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亿元修改进口总额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</w:t>
            </w:r>
            <w:r w:rsidRPr="00C66F13">
              <w:rPr>
                <w:rFonts w:ascii="宋体" w:hAnsi="宋体"/>
                <w:sz w:val="24"/>
                <w:szCs w:val="24"/>
              </w:rPr>
              <w:t>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亿元以上。最高奖励仍按外资奖励标准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万元实施，不采纳修改意见。</w:t>
            </w:r>
          </w:p>
          <w:p w:rsidR="00A02896" w:rsidRPr="00C66F13" w:rsidRDefault="00A02896" w:rsidP="00A0289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建议二：采纳。</w:t>
            </w:r>
          </w:p>
          <w:p w:rsidR="00A02896" w:rsidRPr="00C66F13" w:rsidRDefault="00A02896" w:rsidP="00A0289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建议三：采纳。</w:t>
            </w:r>
          </w:p>
          <w:p w:rsidR="00A02896" w:rsidRPr="00C66F13" w:rsidRDefault="00A02896" w:rsidP="00A0289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建议四：不采纳。为更好体现公平和绩效，本办法补贴以货值为标的。</w:t>
            </w:r>
          </w:p>
          <w:p w:rsidR="00A02896" w:rsidRPr="00C66F13" w:rsidRDefault="00A02896" w:rsidP="00A0289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建议五：不采纳。“政银保”已包含相关的扶持事项。</w:t>
            </w:r>
          </w:p>
        </w:tc>
      </w:tr>
      <w:tr w:rsidR="00A02896" w:rsidRPr="00C66F13" w:rsidTr="00A02896">
        <w:trPr>
          <w:trHeight w:val="567"/>
        </w:trPr>
        <w:tc>
          <w:tcPr>
            <w:tcW w:w="846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066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一、第三点支持公共型保税冷库建设，“完善配套冷链货物查验平台、检疫待检区、堆场、仓储物流、联检、智慧货场监控、货运智能通道等口岸配套设施，具备实施监管功能且总投资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万元以上的，按项目实际到位资金（不含土地成本）的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5%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、最高不超过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万元予以补助。”修改为“完善配套冷链货物查验平台、检疫待检区、堆场、仓储物流、联检、智慧货场监控、货运智能通道等口岸配套设施，具备实施监管功能且总投资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万元以上的，按不高于投资额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20%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、最高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万元予以</w:t>
            </w:r>
            <w:r w:rsidRPr="00C66F13">
              <w:rPr>
                <w:rFonts w:ascii="宋体" w:hAnsi="宋体" w:hint="eastAsia"/>
                <w:sz w:val="24"/>
                <w:szCs w:val="24"/>
              </w:rPr>
              <w:lastRenderedPageBreak/>
              <w:t>补助。”</w:t>
            </w:r>
          </w:p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二、第四点，培育交易中心，“若年集装箱（重箱）进口数量超过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柜，超过部分每标箱增加补贴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元；每增加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柜，补贴再增加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元。”修改为“若年集装箱（重箱）进口数量超过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标准箱，超过部分每标箱增加补贴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元；每增加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标准箱，补贴再增加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元”。</w:t>
            </w:r>
          </w:p>
        </w:tc>
        <w:tc>
          <w:tcPr>
            <w:tcW w:w="1701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lastRenderedPageBreak/>
              <w:t>建议一：不采纳。口岸配套设施投资额度较大，扶持资金难以按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20%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的标准给予补助。</w:t>
            </w:r>
          </w:p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建议二：不采纳。为更好体</w:t>
            </w:r>
            <w:r w:rsidRPr="00C66F13">
              <w:rPr>
                <w:rFonts w:ascii="宋体" w:hAnsi="宋体" w:hint="eastAsia"/>
                <w:sz w:val="24"/>
                <w:szCs w:val="24"/>
              </w:rPr>
              <w:lastRenderedPageBreak/>
              <w:t>现公平和绩效，本办法补贴以货值为标的。</w:t>
            </w:r>
          </w:p>
        </w:tc>
      </w:tr>
      <w:tr w:rsidR="00A02896" w:rsidRPr="00C66F13" w:rsidTr="00A02896">
        <w:trPr>
          <w:trHeight w:val="567"/>
        </w:trPr>
        <w:tc>
          <w:tcPr>
            <w:tcW w:w="846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6066" w:type="dxa"/>
            <w:vAlign w:val="center"/>
          </w:tcPr>
          <w:p w:rsidR="00A02896" w:rsidRPr="00C66F13" w:rsidRDefault="00A02896" w:rsidP="00A0289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一、建议根据海关每月的数据，冻肉进口每柜直接给企业补助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元，到大西南每柜海陆联运补运费每柜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元；</w:t>
            </w:r>
          </w:p>
          <w:p w:rsidR="00A02896" w:rsidRPr="00C66F13" w:rsidRDefault="00A02896" w:rsidP="00A0289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二、建议根据海关每月的数据，冻虾进口每柜直接给企业补贴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3000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元，湛江市范围内的企业在全国各口岸进口均可享受补贴。其他外市企业则不能享受，对虾年进口额年超十亿以上除了享受奖励每柜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3000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元外，还额外一次性给予奖励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300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万元，作激励十亿级进口企业；</w:t>
            </w:r>
          </w:p>
          <w:p w:rsidR="00A02896" w:rsidRPr="00C66F13" w:rsidRDefault="00A02896" w:rsidP="00A0289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三、引进湛江市以外大企业，应该也给引进企业进行奖励；</w:t>
            </w:r>
          </w:p>
          <w:p w:rsidR="00A02896" w:rsidRPr="00C66F13" w:rsidRDefault="00A02896" w:rsidP="00A0289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四、提高物流补贴的标准，建议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100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万货值以上奖励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2500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元，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50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万货值以上奖励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2000</w:t>
            </w:r>
            <w:r w:rsidRPr="00C66F13">
              <w:rPr>
                <w:rFonts w:ascii="宋体" w:hAnsi="宋体" w:hint="eastAsia"/>
                <w:sz w:val="24"/>
                <w:szCs w:val="24"/>
              </w:rPr>
              <w:t>元；</w:t>
            </w:r>
          </w:p>
          <w:p w:rsidR="00A02896" w:rsidRPr="00C66F13" w:rsidRDefault="00A02896" w:rsidP="00A0289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五、建议合理增加冷库的补贴标准。</w:t>
            </w:r>
          </w:p>
        </w:tc>
        <w:tc>
          <w:tcPr>
            <w:tcW w:w="1701" w:type="dxa"/>
            <w:vAlign w:val="center"/>
          </w:tcPr>
          <w:p w:rsidR="00A02896" w:rsidRPr="00C66F13" w:rsidRDefault="00A02896" w:rsidP="00A0289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66F13">
              <w:rPr>
                <w:rFonts w:ascii="宋体" w:hAnsi="宋体" w:hint="eastAsia"/>
                <w:sz w:val="24"/>
                <w:szCs w:val="24"/>
              </w:rPr>
              <w:t>部分意见原文已体现，补贴标准相当。</w:t>
            </w:r>
          </w:p>
        </w:tc>
      </w:tr>
    </w:tbl>
    <w:p w:rsidR="003C3545" w:rsidRPr="00A02896" w:rsidRDefault="003C3545" w:rsidP="00A02896">
      <w:pPr>
        <w:spacing w:line="400" w:lineRule="exact"/>
      </w:pPr>
    </w:p>
    <w:sectPr w:rsidR="003C3545" w:rsidRPr="00A0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58" w:rsidRDefault="00F02858" w:rsidP="00A02896">
      <w:r>
        <w:separator/>
      </w:r>
    </w:p>
  </w:endnote>
  <w:endnote w:type="continuationSeparator" w:id="0">
    <w:p w:rsidR="00F02858" w:rsidRDefault="00F02858" w:rsidP="00A0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58" w:rsidRDefault="00F02858" w:rsidP="00A02896">
      <w:r>
        <w:separator/>
      </w:r>
    </w:p>
  </w:footnote>
  <w:footnote w:type="continuationSeparator" w:id="0">
    <w:p w:rsidR="00F02858" w:rsidRDefault="00F02858" w:rsidP="00A02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4E"/>
    <w:rsid w:val="003C3545"/>
    <w:rsid w:val="00A02896"/>
    <w:rsid w:val="00F02858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DF0851-9456-4B91-A53C-57D07AD0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8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896"/>
    <w:rPr>
      <w:sz w:val="18"/>
      <w:szCs w:val="18"/>
    </w:rPr>
  </w:style>
  <w:style w:type="paragraph" w:customStyle="1" w:styleId="NewNewNewNewNewNew">
    <w:name w:val="正文 New New New New New New"/>
    <w:uiPriority w:val="99"/>
    <w:rsid w:val="00A028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A0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1870</Characters>
  <Application>Microsoft Office Word</Application>
  <DocSecurity>0</DocSecurity>
  <Lines>15</Lines>
  <Paragraphs>4</Paragraphs>
  <ScaleCrop>false</ScaleCrop>
  <Company>微软中国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墙新群</dc:creator>
  <cp:keywords/>
  <dc:description/>
  <cp:lastModifiedBy>墙新群</cp:lastModifiedBy>
  <cp:revision>2</cp:revision>
  <dcterms:created xsi:type="dcterms:W3CDTF">2020-03-10T03:10:00Z</dcterms:created>
  <dcterms:modified xsi:type="dcterms:W3CDTF">2020-03-10T03:11:00Z</dcterms:modified>
</cp:coreProperties>
</file>