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7593" w:rsidRDefault="001E185C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  <w:r>
        <w:rPr>
          <w:rFonts w:hint="eastAsia"/>
        </w:rPr>
        <w:t>附件</w:t>
      </w:r>
      <w:r>
        <w:rPr>
          <w:rFonts w:hint="eastAsia"/>
        </w:rPr>
        <w:t>1</w:t>
      </w:r>
    </w:p>
    <w:p w:rsidR="005D7593" w:rsidRDefault="005D7593"/>
    <w:p w:rsidR="005D7593" w:rsidRDefault="0088005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880051">
        <w:rPr>
          <w:rFonts w:ascii="黑体" w:eastAsia="黑体" w:hAnsi="黑体" w:hint="eastAsia"/>
          <w:sz w:val="44"/>
          <w:szCs w:val="44"/>
        </w:rPr>
        <w:t>湛江市区2018年国有建设用地标定地价体系建设项目</w:t>
      </w:r>
      <w:r>
        <w:rPr>
          <w:rFonts w:ascii="黑体" w:eastAsia="黑体" w:hAnsi="黑体" w:hint="eastAsia"/>
          <w:sz w:val="44"/>
          <w:szCs w:val="44"/>
        </w:rPr>
        <w:t>成果</w:t>
      </w:r>
      <w:r w:rsidR="001E185C">
        <w:rPr>
          <w:rFonts w:ascii="黑体" w:eastAsia="黑体" w:hAnsi="黑体" w:hint="eastAsia"/>
          <w:sz w:val="44"/>
          <w:szCs w:val="44"/>
        </w:rPr>
        <w:t>的基本内容</w:t>
      </w:r>
    </w:p>
    <w:p w:rsidR="005D7593" w:rsidRDefault="005D7593">
      <w:pPr>
        <w:spacing w:line="560" w:lineRule="exact"/>
      </w:pPr>
    </w:p>
    <w:p w:rsidR="005D7593" w:rsidRDefault="001E185C">
      <w:pPr>
        <w:spacing w:line="560" w:lineRule="exact"/>
        <w:ind w:firstLineChars="200" w:firstLine="640"/>
      </w:pPr>
      <w:r>
        <w:rPr>
          <w:rFonts w:hint="eastAsia"/>
        </w:rPr>
        <w:t>一、本次公布的</w:t>
      </w:r>
      <w:r w:rsidR="00B27476">
        <w:rPr>
          <w:rFonts w:hint="eastAsia"/>
        </w:rPr>
        <w:t>湛江市区</w:t>
      </w:r>
      <w:r>
        <w:rPr>
          <w:rFonts w:hint="eastAsia"/>
        </w:rPr>
        <w:t>国有建设用地标定地价（以下简称标定地价）的公示范围</w:t>
      </w:r>
      <w:r w:rsidR="00843B12" w:rsidRPr="00843B12">
        <w:rPr>
          <w:rFonts w:hint="eastAsia"/>
        </w:rPr>
        <w:t>包括</w:t>
      </w:r>
      <w:proofErr w:type="gramStart"/>
      <w:r w:rsidR="002723B0" w:rsidRPr="002723B0">
        <w:rPr>
          <w:rFonts w:hint="eastAsia"/>
        </w:rPr>
        <w:t>赤</w:t>
      </w:r>
      <w:proofErr w:type="gramEnd"/>
      <w:r w:rsidR="002723B0" w:rsidRPr="002723B0">
        <w:rPr>
          <w:rFonts w:hint="eastAsia"/>
        </w:rPr>
        <w:t>坎区、霞山区、麻章区、坡头区、经济技术开发区和</w:t>
      </w:r>
      <w:proofErr w:type="gramStart"/>
      <w:r w:rsidR="002723B0" w:rsidRPr="002723B0">
        <w:rPr>
          <w:rFonts w:hint="eastAsia"/>
        </w:rPr>
        <w:t>奋勇高</w:t>
      </w:r>
      <w:proofErr w:type="gramEnd"/>
      <w:r w:rsidR="002723B0" w:rsidRPr="002723B0">
        <w:rPr>
          <w:rFonts w:hint="eastAsia"/>
        </w:rPr>
        <w:t>新区的建成区和部分规划区范围</w:t>
      </w:r>
      <w:r>
        <w:rPr>
          <w:rFonts w:hint="eastAsia"/>
        </w:rPr>
        <w:t>。标定区域总土地面积约</w:t>
      </w:r>
      <w:r w:rsidR="00843B12" w:rsidRPr="00843B12">
        <w:t>72.57</w:t>
      </w:r>
      <w:r>
        <w:rPr>
          <w:rFonts w:hint="eastAsia"/>
        </w:rPr>
        <w:t>平方公里。</w:t>
      </w:r>
    </w:p>
    <w:p w:rsidR="005D7593" w:rsidRDefault="001E185C">
      <w:pPr>
        <w:pStyle w:val="a8"/>
        <w:spacing w:line="560" w:lineRule="exact"/>
        <w:ind w:firstLine="640"/>
      </w:pPr>
      <w:r>
        <w:rPr>
          <w:rFonts w:hint="eastAsia"/>
        </w:rPr>
        <w:t>二、本次</w:t>
      </w:r>
      <w:r w:rsidR="00843B12" w:rsidRPr="00843B12">
        <w:rPr>
          <w:rFonts w:hint="eastAsia"/>
        </w:rPr>
        <w:t>湛江市区</w:t>
      </w:r>
      <w:r w:rsidR="00843B12" w:rsidRPr="00843B12">
        <w:rPr>
          <w:rFonts w:hint="eastAsia"/>
        </w:rPr>
        <w:t>2018</w:t>
      </w:r>
      <w:r w:rsidR="00843B12" w:rsidRPr="00843B12">
        <w:rPr>
          <w:rFonts w:hint="eastAsia"/>
        </w:rPr>
        <w:t>年国有建设用地标定地价</w:t>
      </w:r>
      <w:r>
        <w:rPr>
          <w:rFonts w:hint="eastAsia"/>
        </w:rPr>
        <w:t>体系主要用地类型</w:t>
      </w:r>
      <w:proofErr w:type="gramStart"/>
      <w:r>
        <w:rPr>
          <w:rFonts w:hint="eastAsia"/>
        </w:rPr>
        <w:t>分为</w:t>
      </w:r>
      <w:r w:rsidR="00843B12" w:rsidRPr="00843B12">
        <w:rPr>
          <w:rFonts w:hint="eastAsia"/>
        </w:rPr>
        <w:t>商</w:t>
      </w:r>
      <w:proofErr w:type="gramEnd"/>
      <w:r w:rsidR="00843B12" w:rsidRPr="00843B12">
        <w:rPr>
          <w:rFonts w:hint="eastAsia"/>
        </w:rPr>
        <w:t>服用地、住宅用地、商住混合用地（同一宗地含商服和住宅用途）、工业用地共四种用途</w:t>
      </w:r>
      <w:r>
        <w:t>。</w:t>
      </w:r>
      <w:r>
        <w:rPr>
          <w:rFonts w:hint="eastAsia"/>
        </w:rPr>
        <w:t>价格单位为元</w:t>
      </w:r>
      <w:r>
        <w:rPr>
          <w:rFonts w:hint="eastAsia"/>
        </w:rPr>
        <w:t>/</w:t>
      </w:r>
      <w:r>
        <w:rPr>
          <w:rFonts w:hint="eastAsia"/>
        </w:rPr>
        <w:t>平方米，币种为人民币。</w:t>
      </w:r>
      <w:r w:rsidR="00453820" w:rsidRPr="00453820">
        <w:rPr>
          <w:rFonts w:hint="eastAsia"/>
        </w:rPr>
        <w:t>各用途</w:t>
      </w:r>
      <w:r w:rsidR="00453820">
        <w:rPr>
          <w:rFonts w:hint="eastAsia"/>
        </w:rPr>
        <w:t>标定地价</w:t>
      </w:r>
      <w:r>
        <w:rPr>
          <w:rFonts w:hint="eastAsia"/>
        </w:rPr>
        <w:t>的</w:t>
      </w:r>
      <w:r w:rsidR="00461436">
        <w:rPr>
          <w:rFonts w:hint="eastAsia"/>
        </w:rPr>
        <w:t>地价</w:t>
      </w:r>
      <w:r>
        <w:rPr>
          <w:rFonts w:hint="eastAsia"/>
        </w:rPr>
        <w:t>内涵见下表：</w:t>
      </w:r>
    </w:p>
    <w:p w:rsidR="005D7593" w:rsidRDefault="001E185C">
      <w:pPr>
        <w:widowControl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1</w:t>
      </w:r>
      <w:r w:rsidR="00453820">
        <w:rPr>
          <w:b/>
        </w:rPr>
        <w:t xml:space="preserve"> </w:t>
      </w:r>
      <w:r>
        <w:rPr>
          <w:rFonts w:hint="eastAsia"/>
          <w:b/>
        </w:rPr>
        <w:t>标定</w:t>
      </w:r>
      <w:proofErr w:type="gramStart"/>
      <w:r>
        <w:rPr>
          <w:rFonts w:hint="eastAsia"/>
          <w:b/>
        </w:rPr>
        <w:t>地价</w:t>
      </w:r>
      <w:r w:rsidR="00461436">
        <w:rPr>
          <w:rFonts w:hint="eastAsia"/>
          <w:b/>
        </w:rPr>
        <w:t>地价</w:t>
      </w:r>
      <w:proofErr w:type="gramEnd"/>
      <w:r>
        <w:rPr>
          <w:rFonts w:hint="eastAsia"/>
          <w:b/>
        </w:rPr>
        <w:t>内涵</w:t>
      </w:r>
      <w:r w:rsidR="00461436">
        <w:rPr>
          <w:rFonts w:hint="eastAsia"/>
          <w:b/>
        </w:rPr>
        <w:t>表</w:t>
      </w:r>
    </w:p>
    <w:tbl>
      <w:tblPr>
        <w:tblW w:w="5050" w:type="pct"/>
        <w:tblLayout w:type="fixed"/>
        <w:tblLook w:val="04A0" w:firstRow="1" w:lastRow="0" w:firstColumn="1" w:lastColumn="0" w:noHBand="0" w:noVBand="1"/>
      </w:tblPr>
      <w:tblGrid>
        <w:gridCol w:w="885"/>
        <w:gridCol w:w="1774"/>
        <w:gridCol w:w="994"/>
        <w:gridCol w:w="1276"/>
        <w:gridCol w:w="2661"/>
        <w:gridCol w:w="1023"/>
      </w:tblGrid>
      <w:tr w:rsidR="00843B12" w:rsidRPr="00843B12" w:rsidTr="00843B12">
        <w:trPr>
          <w:cantSplit/>
          <w:trHeight w:val="284"/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用地类型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土地开发程度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容积率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价格类型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权利特征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843B12">
              <w:rPr>
                <w:b/>
                <w:sz w:val="24"/>
                <w:szCs w:val="24"/>
              </w:rPr>
              <w:t>使用年期</w:t>
            </w:r>
          </w:p>
        </w:tc>
      </w:tr>
      <w:tr w:rsidR="00843B12" w:rsidRPr="00843B12" w:rsidTr="00843B12">
        <w:trPr>
          <w:cantSplit/>
          <w:trHeight w:val="28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商服用地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宗地外按现状、红线内场地平整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366378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color w:val="000000"/>
                <w:sz w:val="24"/>
                <w:szCs w:val="24"/>
              </w:rPr>
              <w:t>1.</w:t>
            </w:r>
            <w:r w:rsidR="00366378">
              <w:rPr>
                <w:rFonts w:hint="eastAsia"/>
                <w:color w:val="000000"/>
                <w:sz w:val="24"/>
                <w:szCs w:val="24"/>
              </w:rPr>
              <w:t>32</w:t>
            </w:r>
            <w:r w:rsidRPr="00843B12">
              <w:rPr>
                <w:color w:val="000000"/>
                <w:sz w:val="24"/>
                <w:szCs w:val="24"/>
              </w:rPr>
              <w:t>～</w:t>
            </w:r>
            <w:r w:rsidRPr="00843B12">
              <w:rPr>
                <w:color w:val="000000"/>
                <w:sz w:val="24"/>
                <w:szCs w:val="24"/>
              </w:rPr>
              <w:t>6.04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平均楼面</w:t>
            </w:r>
          </w:p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地价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具有相对完整的土地权利，不考虑抵押权、地役权等他项权利的限制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40</w:t>
            </w:r>
            <w:r w:rsidRPr="00843B12">
              <w:rPr>
                <w:sz w:val="24"/>
                <w:szCs w:val="24"/>
              </w:rPr>
              <w:t>年</w:t>
            </w:r>
          </w:p>
        </w:tc>
      </w:tr>
      <w:tr w:rsidR="00843B12" w:rsidRPr="00843B12" w:rsidTr="00843B12">
        <w:trPr>
          <w:cantSplit/>
          <w:trHeight w:val="28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住宅用地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宗地外按现状、红线内场地平整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366378" w:rsidP="00366378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2.4</w:t>
            </w:r>
            <w:r w:rsidR="00843B12" w:rsidRPr="00843B12">
              <w:rPr>
                <w:color w:val="000000"/>
                <w:sz w:val="24"/>
                <w:szCs w:val="24"/>
              </w:rPr>
              <w:t>～</w:t>
            </w:r>
            <w:r w:rsidR="00843B12" w:rsidRPr="00843B12">
              <w:rPr>
                <w:color w:val="000000"/>
                <w:sz w:val="24"/>
                <w:szCs w:val="24"/>
              </w:rPr>
              <w:t>3.59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平均楼面</w:t>
            </w:r>
          </w:p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地价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具有相对完整的土地权利，不考虑抵押权、地役权等他项权利的限制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70</w:t>
            </w:r>
            <w:r w:rsidRPr="00843B12">
              <w:rPr>
                <w:sz w:val="24"/>
                <w:szCs w:val="24"/>
              </w:rPr>
              <w:t>年</w:t>
            </w:r>
          </w:p>
        </w:tc>
      </w:tr>
      <w:tr w:rsidR="00843B12" w:rsidRPr="00843B12" w:rsidTr="00843B12">
        <w:trPr>
          <w:cantSplit/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商住混合用地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宗地外按现状、红线内场地平整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color w:val="000000"/>
                <w:sz w:val="24"/>
                <w:szCs w:val="24"/>
              </w:rPr>
              <w:t>2.32</w:t>
            </w:r>
            <w:r w:rsidRPr="00843B12">
              <w:rPr>
                <w:color w:val="000000"/>
                <w:sz w:val="24"/>
                <w:szCs w:val="24"/>
              </w:rPr>
              <w:t>～</w:t>
            </w:r>
            <w:r w:rsidRPr="00843B12">
              <w:rPr>
                <w:color w:val="000000"/>
                <w:sz w:val="24"/>
                <w:szCs w:val="24"/>
              </w:rPr>
              <w:t>8.86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平均楼面</w:t>
            </w:r>
          </w:p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地价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具有相对完整的土地权利，不考虑抵押权、地役权等他项权利的限制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商服用地</w:t>
            </w:r>
            <w:r w:rsidRPr="00843B12">
              <w:rPr>
                <w:sz w:val="24"/>
                <w:szCs w:val="24"/>
              </w:rPr>
              <w:t>40</w:t>
            </w:r>
            <w:r w:rsidRPr="00843B12">
              <w:rPr>
                <w:sz w:val="24"/>
                <w:szCs w:val="24"/>
              </w:rPr>
              <w:t>年</w:t>
            </w:r>
          </w:p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住宅用地</w:t>
            </w:r>
            <w:r w:rsidRPr="00843B12">
              <w:rPr>
                <w:sz w:val="24"/>
                <w:szCs w:val="24"/>
              </w:rPr>
              <w:t>70</w:t>
            </w:r>
            <w:r w:rsidRPr="00843B12">
              <w:rPr>
                <w:sz w:val="24"/>
                <w:szCs w:val="24"/>
              </w:rPr>
              <w:t>年</w:t>
            </w:r>
          </w:p>
        </w:tc>
      </w:tr>
      <w:tr w:rsidR="00843B12" w:rsidRPr="00843B12" w:rsidTr="00843B12">
        <w:trPr>
          <w:cantSplit/>
          <w:trHeight w:val="28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工业用地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宗地外按现状、红线内场地平整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color w:val="000000"/>
                <w:sz w:val="24"/>
                <w:szCs w:val="24"/>
              </w:rPr>
              <w:t>0.33</w:t>
            </w:r>
            <w:r w:rsidRPr="00843B12">
              <w:rPr>
                <w:color w:val="000000"/>
                <w:sz w:val="24"/>
                <w:szCs w:val="24"/>
              </w:rPr>
              <w:t>～</w:t>
            </w:r>
            <w:r w:rsidRPr="00843B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地面地价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具有相对完整的土地权利，不考虑抵押权、地役权等他项权利的限制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B12" w:rsidRPr="00843B12" w:rsidRDefault="00843B12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843B12">
              <w:rPr>
                <w:sz w:val="24"/>
                <w:szCs w:val="24"/>
              </w:rPr>
              <w:t>50</w:t>
            </w:r>
            <w:r w:rsidRPr="00843B12">
              <w:rPr>
                <w:sz w:val="24"/>
                <w:szCs w:val="24"/>
              </w:rPr>
              <w:t>年</w:t>
            </w:r>
          </w:p>
        </w:tc>
      </w:tr>
    </w:tbl>
    <w:p w:rsidR="005D7593" w:rsidRDefault="001E185C">
      <w:pPr>
        <w:pStyle w:val="9-2"/>
        <w:ind w:firstLineChars="150" w:firstLine="300"/>
        <w:jc w:val="both"/>
        <w:rPr>
          <w:rFonts w:ascii="仿宋_GB2312" w:hAnsi="宋体" w:cs="宋体"/>
          <w:color w:val="000000"/>
          <w:sz w:val="20"/>
          <w:szCs w:val="20"/>
        </w:rPr>
      </w:pPr>
      <w:r>
        <w:rPr>
          <w:rFonts w:ascii="仿宋_GB2312" w:hAnsi="宋体" w:cs="宋体" w:hint="eastAsia"/>
          <w:color w:val="000000"/>
          <w:sz w:val="20"/>
          <w:szCs w:val="20"/>
        </w:rPr>
        <w:t>注：由于一般情况下</w:t>
      </w:r>
      <w:r w:rsidR="00843B12">
        <w:rPr>
          <w:rFonts w:ascii="仿宋_GB2312" w:hAnsi="宋体" w:cs="宋体" w:hint="eastAsia"/>
          <w:color w:val="000000"/>
          <w:sz w:val="20"/>
          <w:szCs w:val="20"/>
        </w:rPr>
        <w:t>湛江市</w:t>
      </w:r>
      <w:r>
        <w:rPr>
          <w:rFonts w:ascii="仿宋_GB2312" w:hAnsi="宋体" w:cs="宋体" w:hint="eastAsia"/>
          <w:color w:val="000000"/>
          <w:sz w:val="20"/>
          <w:szCs w:val="20"/>
        </w:rPr>
        <w:t>区土地出让均包含地下空间，故本次标定地价各用途地价中已包含地下</w:t>
      </w:r>
      <w:r w:rsidR="00B27476">
        <w:rPr>
          <w:rFonts w:ascii="仿宋_GB2312" w:hAnsi="宋体" w:cs="宋体" w:hint="eastAsia"/>
          <w:color w:val="000000"/>
          <w:sz w:val="20"/>
          <w:szCs w:val="20"/>
        </w:rPr>
        <w:t>空间</w:t>
      </w:r>
      <w:r>
        <w:rPr>
          <w:rFonts w:ascii="仿宋_GB2312" w:hAnsi="宋体" w:cs="宋体" w:hint="eastAsia"/>
          <w:color w:val="000000"/>
          <w:sz w:val="20"/>
          <w:szCs w:val="20"/>
        </w:rPr>
        <w:t>价值。</w:t>
      </w:r>
    </w:p>
    <w:p w:rsidR="005D7593" w:rsidRDefault="005D7593">
      <w:pPr>
        <w:pStyle w:val="9-2"/>
        <w:ind w:firstLineChars="150" w:firstLine="300"/>
        <w:jc w:val="both"/>
        <w:rPr>
          <w:rFonts w:ascii="仿宋_GB2312" w:hAnsi="宋体" w:cs="宋体"/>
          <w:color w:val="000000"/>
          <w:sz w:val="20"/>
          <w:szCs w:val="20"/>
        </w:rPr>
      </w:pPr>
    </w:p>
    <w:p w:rsidR="005D7593" w:rsidRDefault="005D7593">
      <w:pPr>
        <w:pStyle w:val="9-2"/>
        <w:ind w:firstLineChars="150" w:firstLine="300"/>
        <w:jc w:val="both"/>
        <w:rPr>
          <w:rFonts w:ascii="仿宋_GB2312" w:hAnsi="宋体" w:cs="宋体"/>
          <w:color w:val="000000"/>
          <w:sz w:val="20"/>
          <w:szCs w:val="20"/>
        </w:rPr>
      </w:pPr>
    </w:p>
    <w:p w:rsidR="005D7593" w:rsidRDefault="005D7593">
      <w:pPr>
        <w:pStyle w:val="9-2"/>
        <w:ind w:firstLineChars="150" w:firstLine="300"/>
        <w:jc w:val="both"/>
        <w:rPr>
          <w:rFonts w:ascii="仿宋_GB2312" w:hAnsi="宋体" w:cs="宋体"/>
          <w:color w:val="000000"/>
          <w:sz w:val="20"/>
          <w:szCs w:val="20"/>
        </w:rPr>
      </w:pPr>
    </w:p>
    <w:p w:rsidR="005D7593" w:rsidRDefault="005D7593">
      <w:pPr>
        <w:spacing w:line="560" w:lineRule="exact"/>
        <w:ind w:firstLineChars="200" w:firstLine="640"/>
        <w:sectPr w:rsidR="005D7593" w:rsidSect="00B44295">
          <w:footerReference w:type="default" r:id="rId9"/>
          <w:pgSz w:w="11906" w:h="16838"/>
          <w:pgMar w:top="1440" w:right="1797" w:bottom="1440" w:left="1797" w:header="851" w:footer="654" w:gutter="0"/>
          <w:pgNumType w:start="1"/>
          <w:cols w:space="425"/>
          <w:docGrid w:linePitch="435"/>
        </w:sectPr>
      </w:pPr>
    </w:p>
    <w:p w:rsidR="005D7593" w:rsidRDefault="005D7593">
      <w:pPr>
        <w:spacing w:line="40" w:lineRule="exact"/>
        <w:rPr>
          <w:sz w:val="24"/>
          <w:szCs w:val="24"/>
        </w:rPr>
      </w:pPr>
    </w:p>
    <w:p w:rsidR="005D7593" w:rsidRDefault="001E185C">
      <w:pPr>
        <w:pStyle w:val="a8"/>
        <w:spacing w:line="500" w:lineRule="exact"/>
        <w:ind w:firstLine="640"/>
        <w:jc w:val="left"/>
      </w:pPr>
      <w:r>
        <w:rPr>
          <w:rFonts w:hint="eastAsia"/>
        </w:rPr>
        <w:t>三、本次标定地价的估价期日设定为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</w:t>
      </w:r>
    </w:p>
    <w:p w:rsidR="005D7593" w:rsidRDefault="001E185C">
      <w:pPr>
        <w:spacing w:afterLines="50" w:after="120" w:line="500" w:lineRule="exact"/>
        <w:ind w:firstLineChars="200" w:firstLine="640"/>
      </w:pPr>
      <w:r>
        <w:rPr>
          <w:rFonts w:hint="eastAsia"/>
        </w:rPr>
        <w:t>四、参考《土地利用现状分类》（</w:t>
      </w:r>
      <w:r>
        <w:rPr>
          <w:rFonts w:hint="eastAsia"/>
        </w:rPr>
        <w:t>GB/T 21010-2017</w:t>
      </w:r>
      <w:r>
        <w:rPr>
          <w:rFonts w:hint="eastAsia"/>
        </w:rPr>
        <w:t>），进一步将标定地价的土地用途细分至二级类。具体如下表：</w:t>
      </w:r>
    </w:p>
    <w:p w:rsidR="005D7593" w:rsidRDefault="001E185C" w:rsidP="005A25CA">
      <w:pPr>
        <w:jc w:val="center"/>
      </w:pPr>
      <w:r>
        <w:rPr>
          <w:rFonts w:hint="eastAsia"/>
          <w:b/>
        </w:rPr>
        <w:t>表</w:t>
      </w:r>
      <w:r>
        <w:rPr>
          <w:b/>
        </w:rPr>
        <w:t xml:space="preserve">2 </w:t>
      </w:r>
      <w:r>
        <w:rPr>
          <w:rFonts w:hint="eastAsia"/>
          <w:b/>
        </w:rPr>
        <w:t>标定地价土地用途</w:t>
      </w:r>
      <w:r w:rsidR="00461436">
        <w:rPr>
          <w:rFonts w:hint="eastAsia"/>
          <w:b/>
        </w:rPr>
        <w:t>分类</w:t>
      </w:r>
      <w:r>
        <w:rPr>
          <w:rFonts w:hint="eastAsia"/>
          <w:b/>
        </w:rPr>
        <w:t>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2"/>
        <w:gridCol w:w="2342"/>
        <w:gridCol w:w="4174"/>
      </w:tblGrid>
      <w:tr w:rsidR="00390B9D" w:rsidRPr="00390B9D" w:rsidTr="00390B9D">
        <w:trPr>
          <w:trHeight w:val="397"/>
          <w:tblHeader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390B9D">
              <w:rPr>
                <w:b/>
                <w:sz w:val="24"/>
                <w:szCs w:val="24"/>
              </w:rPr>
              <w:t>标定地价评估用途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390B9D">
              <w:rPr>
                <w:b/>
                <w:sz w:val="24"/>
                <w:szCs w:val="24"/>
              </w:rPr>
              <w:t>一级类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390B9D">
              <w:rPr>
                <w:b/>
                <w:sz w:val="24"/>
                <w:szCs w:val="24"/>
              </w:rPr>
              <w:t>二级类</w:t>
            </w:r>
          </w:p>
        </w:tc>
      </w:tr>
      <w:tr w:rsidR="00390B9D" w:rsidRPr="00390B9D" w:rsidTr="00390B9D">
        <w:trPr>
          <w:trHeight w:val="397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商服用地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商服用地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零售商业用地、商务金融用地、其他商服用地</w:t>
            </w:r>
          </w:p>
        </w:tc>
      </w:tr>
      <w:tr w:rsidR="00390B9D" w:rsidRPr="00390B9D" w:rsidTr="00390B9D">
        <w:trPr>
          <w:trHeight w:val="397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住宅用地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住宅用地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城镇住宅用地</w:t>
            </w:r>
          </w:p>
        </w:tc>
      </w:tr>
      <w:tr w:rsidR="00390B9D" w:rsidRPr="00390B9D" w:rsidTr="00390B9D">
        <w:trPr>
          <w:trHeight w:val="397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商住混合用地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商服用地、住宅用地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零售商业用地、商务金融用地、其他商服用地、城镇住宅用地</w:t>
            </w:r>
          </w:p>
        </w:tc>
      </w:tr>
      <w:tr w:rsidR="00390B9D" w:rsidRPr="00390B9D" w:rsidTr="00390B9D">
        <w:trPr>
          <w:trHeight w:val="397"/>
          <w:jc w:val="center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工业用地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工矿仓储用地</w:t>
            </w:r>
          </w:p>
        </w:tc>
        <w:tc>
          <w:tcPr>
            <w:tcW w:w="2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9D" w:rsidRPr="00390B9D" w:rsidRDefault="00390B9D" w:rsidP="00655D7E">
            <w:pPr>
              <w:pStyle w:val="00-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390B9D">
              <w:rPr>
                <w:sz w:val="24"/>
                <w:szCs w:val="24"/>
              </w:rPr>
              <w:t>工业用地、仓储用地</w:t>
            </w:r>
          </w:p>
        </w:tc>
      </w:tr>
    </w:tbl>
    <w:p w:rsidR="005D7593" w:rsidRDefault="001E185C" w:rsidP="00993117">
      <w:pPr>
        <w:spacing w:line="560" w:lineRule="exact"/>
        <w:ind w:firstLineChars="200" w:firstLine="640"/>
      </w:pPr>
      <w:r>
        <w:rPr>
          <w:rFonts w:hint="eastAsia"/>
        </w:rPr>
        <w:t>五、本次标定地价成果将标定区域、标准宗地和公示信息</w:t>
      </w:r>
      <w:proofErr w:type="gramStart"/>
      <w:r>
        <w:rPr>
          <w:rFonts w:hint="eastAsia"/>
        </w:rPr>
        <w:t>表予以</w:t>
      </w:r>
      <w:proofErr w:type="gramEnd"/>
      <w:r>
        <w:rPr>
          <w:rFonts w:hint="eastAsia"/>
        </w:rPr>
        <w:t>公布。</w:t>
      </w:r>
    </w:p>
    <w:p w:rsidR="005D7593" w:rsidRDefault="001E185C">
      <w:pPr>
        <w:spacing w:line="560" w:lineRule="exact"/>
        <w:ind w:firstLineChars="201" w:firstLine="643"/>
      </w:pPr>
      <w:r>
        <w:rPr>
          <w:rFonts w:hint="eastAsia"/>
        </w:rPr>
        <w:t>六、</w:t>
      </w:r>
      <w:r w:rsidR="00390B9D">
        <w:rPr>
          <w:rFonts w:hint="eastAsia"/>
        </w:rPr>
        <w:t>湛江</w:t>
      </w:r>
      <w:r>
        <w:t>市自然资源局</w:t>
      </w:r>
      <w:r>
        <w:rPr>
          <w:rFonts w:hint="eastAsia"/>
        </w:rPr>
        <w:t>将根据土地市场的变化情况对标定地价进行更新修订，经市政府批准后，对外公布执行。</w:t>
      </w:r>
    </w:p>
    <w:sectPr w:rsidR="005D7593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F0" w:rsidRDefault="00086FF0">
      <w:r>
        <w:separator/>
      </w:r>
    </w:p>
  </w:endnote>
  <w:endnote w:type="continuationSeparator" w:id="0">
    <w:p w:rsidR="00086FF0" w:rsidRDefault="0008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93" w:rsidRDefault="001E185C">
    <w:pPr>
      <w:pStyle w:val="a5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80777" wp14:editId="2DA33A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593" w:rsidRDefault="001E185C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442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FdERr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D7593" w:rsidRDefault="001E185C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442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93" w:rsidRDefault="001E185C">
    <w:pPr>
      <w:pStyle w:val="a5"/>
      <w:ind w:firstLine="440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593" w:rsidRDefault="001E185C">
                          <w:pPr>
                            <w:pStyle w:val="a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4429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FTMJ/4HAwAA1Q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5D7593" w:rsidRDefault="001E185C">
                    <w:pPr>
                      <w:pStyle w:val="a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4429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F0" w:rsidRDefault="00086FF0">
      <w:r>
        <w:separator/>
      </w:r>
    </w:p>
  </w:footnote>
  <w:footnote w:type="continuationSeparator" w:id="0">
    <w:p w:rsidR="00086FF0" w:rsidRDefault="0008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93" w:rsidRDefault="005D75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E4"/>
    <w:rsid w:val="000338E0"/>
    <w:rsid w:val="0007092D"/>
    <w:rsid w:val="00086FF0"/>
    <w:rsid w:val="00106B78"/>
    <w:rsid w:val="001371A4"/>
    <w:rsid w:val="001E185C"/>
    <w:rsid w:val="002664CC"/>
    <w:rsid w:val="002723B0"/>
    <w:rsid w:val="002E43AB"/>
    <w:rsid w:val="002E7412"/>
    <w:rsid w:val="00312A8E"/>
    <w:rsid w:val="003217F2"/>
    <w:rsid w:val="00366378"/>
    <w:rsid w:val="0037325F"/>
    <w:rsid w:val="00390B9D"/>
    <w:rsid w:val="003C5D86"/>
    <w:rsid w:val="00453820"/>
    <w:rsid w:val="00461436"/>
    <w:rsid w:val="00463AF4"/>
    <w:rsid w:val="00565BE7"/>
    <w:rsid w:val="005A25CA"/>
    <w:rsid w:val="005D7593"/>
    <w:rsid w:val="0067196E"/>
    <w:rsid w:val="006759E0"/>
    <w:rsid w:val="00682C5B"/>
    <w:rsid w:val="00711F24"/>
    <w:rsid w:val="00727C4B"/>
    <w:rsid w:val="008349CE"/>
    <w:rsid w:val="00843B12"/>
    <w:rsid w:val="00880051"/>
    <w:rsid w:val="008A3AE0"/>
    <w:rsid w:val="008E560F"/>
    <w:rsid w:val="0093027C"/>
    <w:rsid w:val="00993117"/>
    <w:rsid w:val="009A0E8B"/>
    <w:rsid w:val="00A03A7F"/>
    <w:rsid w:val="00A422E4"/>
    <w:rsid w:val="00A523D9"/>
    <w:rsid w:val="00A53223"/>
    <w:rsid w:val="00A62A76"/>
    <w:rsid w:val="00A85D06"/>
    <w:rsid w:val="00AC4CDA"/>
    <w:rsid w:val="00B27476"/>
    <w:rsid w:val="00B44295"/>
    <w:rsid w:val="00C21578"/>
    <w:rsid w:val="00C22444"/>
    <w:rsid w:val="00C242FD"/>
    <w:rsid w:val="00C3003F"/>
    <w:rsid w:val="00C31087"/>
    <w:rsid w:val="00C537E5"/>
    <w:rsid w:val="00C71E52"/>
    <w:rsid w:val="00CC2A64"/>
    <w:rsid w:val="00CF3F61"/>
    <w:rsid w:val="00D20AAF"/>
    <w:rsid w:val="00D37355"/>
    <w:rsid w:val="00D4139E"/>
    <w:rsid w:val="00DB1192"/>
    <w:rsid w:val="00E94CE8"/>
    <w:rsid w:val="00EA0B36"/>
    <w:rsid w:val="00EB27EE"/>
    <w:rsid w:val="00ED09CF"/>
    <w:rsid w:val="00EF5458"/>
    <w:rsid w:val="00F8217A"/>
    <w:rsid w:val="00FC4196"/>
    <w:rsid w:val="2266381D"/>
    <w:rsid w:val="299850A9"/>
    <w:rsid w:val="4D761A9A"/>
    <w:rsid w:val="612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9-2">
    <w:name w:val="9-2表内容"/>
    <w:basedOn w:val="a"/>
    <w:qFormat/>
    <w:pPr>
      <w:jc w:val="center"/>
      <w:textAlignment w:val="center"/>
    </w:pPr>
    <w:rPr>
      <w:kern w:val="0"/>
      <w:sz w:val="21"/>
      <w:szCs w:val="22"/>
      <w:lang w:val="zh-C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paragraph" w:customStyle="1" w:styleId="00-">
    <w:name w:val="00-正文"/>
    <w:link w:val="00-Char"/>
    <w:qFormat/>
    <w:rsid w:val="00843B12"/>
    <w:pPr>
      <w:widowControl w:val="0"/>
      <w:spacing w:line="560" w:lineRule="exact"/>
      <w:ind w:firstLineChars="200" w:firstLine="200"/>
      <w:jc w:val="both"/>
      <w:textAlignment w:val="center"/>
    </w:pPr>
    <w:rPr>
      <w:rFonts w:ascii="Times New Roman" w:eastAsia="仿宋_GB2312" w:hAnsi="Times New Roman" w:cs="Times New Roman"/>
      <w:sz w:val="28"/>
      <w:szCs w:val="22"/>
      <w:lang w:val="zh-CN"/>
    </w:rPr>
  </w:style>
  <w:style w:type="character" w:customStyle="1" w:styleId="00-Char">
    <w:name w:val="00-正文 Char"/>
    <w:link w:val="00-"/>
    <w:qFormat/>
    <w:rsid w:val="00843B12"/>
    <w:rPr>
      <w:rFonts w:ascii="Times New Roman" w:eastAsia="仿宋_GB2312" w:hAnsi="Times New Roman" w:cs="Times New Roman"/>
      <w:sz w:val="28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9-2">
    <w:name w:val="9-2表内容"/>
    <w:basedOn w:val="a"/>
    <w:qFormat/>
    <w:pPr>
      <w:jc w:val="center"/>
      <w:textAlignment w:val="center"/>
    </w:pPr>
    <w:rPr>
      <w:kern w:val="0"/>
      <w:sz w:val="21"/>
      <w:szCs w:val="22"/>
      <w:lang w:val="zh-C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paragraph" w:customStyle="1" w:styleId="00-">
    <w:name w:val="00-正文"/>
    <w:link w:val="00-Char"/>
    <w:qFormat/>
    <w:rsid w:val="00843B12"/>
    <w:pPr>
      <w:widowControl w:val="0"/>
      <w:spacing w:line="560" w:lineRule="exact"/>
      <w:ind w:firstLineChars="200" w:firstLine="200"/>
      <w:jc w:val="both"/>
      <w:textAlignment w:val="center"/>
    </w:pPr>
    <w:rPr>
      <w:rFonts w:ascii="Times New Roman" w:eastAsia="仿宋_GB2312" w:hAnsi="Times New Roman" w:cs="Times New Roman"/>
      <w:sz w:val="28"/>
      <w:szCs w:val="22"/>
      <w:lang w:val="zh-CN"/>
    </w:rPr>
  </w:style>
  <w:style w:type="character" w:customStyle="1" w:styleId="00-Char">
    <w:name w:val="00-正文 Char"/>
    <w:link w:val="00-"/>
    <w:qFormat/>
    <w:rsid w:val="00843B12"/>
    <w:rPr>
      <w:rFonts w:ascii="Times New Roman" w:eastAsia="仿宋_GB2312" w:hAnsi="Times New Roman" w:cs="Times New Roman"/>
      <w:sz w:val="28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04F76-691C-4B5F-8360-38CCBDDF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杜凯</dc:creator>
  <cp:lastModifiedBy>admin</cp:lastModifiedBy>
  <cp:revision>33</cp:revision>
  <dcterms:created xsi:type="dcterms:W3CDTF">2019-06-11T02:05:00Z</dcterms:created>
  <dcterms:modified xsi:type="dcterms:W3CDTF">2020-02-20T01:05:00Z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