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PO_title1"/>
      <w:bookmarkStart w:id="1" w:name="PO_part3A2Year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湛江市人民政府行政服务中心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　　　　　　“三公经费”支出说明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2" w:name="PO_part3A2Amount1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6.28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3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4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5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上年公务接待费和公车运行维护费用有所下降，根据上年决算数据调整经费安排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6" w:name="PO_part3A2Amount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7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8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9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与上年持平，无增减变化）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10" w:name="PO_part3A2Amount3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4.92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1" w:name="PO_part3A2Amount4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万元，公务用车运行维护费</w:t>
      </w:r>
      <w:bookmarkStart w:id="12" w:name="PO_part3A2Amount5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4.92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万元），比上年</w:t>
      </w:r>
      <w:bookmarkStart w:id="13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0.1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4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5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严格执行公务用车制度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6" w:name="PO_part3A2Amount6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1.36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7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0.1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8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9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严格执行公务接待管理规定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1"/>
    <w:tbl>
      <w:tblPr>
        <w:tblStyle w:val="2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cs="SimSun"/>
                <w:b/>
                <w:color w:val="000000"/>
                <w:sz w:val="24"/>
              </w:rPr>
            </w:pPr>
            <w:r>
              <w:rPr>
                <w:rFonts w:hint="eastAsia" w:ascii="SimSun" w:hAnsi="SimSun" w:cs="SimSun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0" w:name="PO_part2Table8DivName1"/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  <w:t>湛江市人民政府行政服务中心</w:t>
            </w: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0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SimSun" w:hAnsi="SimSun" w:eastAsia="SimSun" w:cs="SimSu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31.31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31.31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6.28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6.28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4.92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4.92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bookmarkStart w:id="21" w:name="_GoBack"/>
            <w:bookmarkEnd w:id="21"/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4.92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4.92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Microsoft YaHe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C7C14"/>
    <w:rsid w:val="22DC7C14"/>
    <w:rsid w:val="444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2019-02-20T00:39:00Z</dcterms:created>
  <dc:creator>Administrator</dc:creator>
  <cp:lastModifiedBy>Administrator</cp:lastModifiedBy>
  <dcterms:modified xsi:type="dcterms:W3CDTF">2020-02-07T02:10:22Z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