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1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1575"/>
        <w:gridCol w:w="1575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pacing w:val="-2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pacing w:val="-20"/>
                <w:sz w:val="44"/>
                <w:szCs w:val="44"/>
              </w:rPr>
              <w:t>2020年市接待处“三公”经费预算说明</w:t>
            </w:r>
          </w:p>
          <w:p>
            <w:pPr>
              <w:spacing w:line="760" w:lineRule="exact"/>
              <w:ind w:firstLine="640" w:firstLineChars="2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2020 年本部门财政拨款安排“三公”经费1095 万元，比上年减少142.55 万元，下降12 %，主要原因是根据中央八项规定，我处加强对公务接待费的管理，严控公务接待经费支出，“三公”经费支出逐年减少 。其中：因公出国（境）费0 万元，比上年减少0 万元，下降0 %，主要原因是与上年持平，无增减变化 ；公务用车购置及运行费26 万元（公务用车购置费0 万元，公务用车运行维护费26 万元），比上年增加12.68 万元，增长95 %，主要原因是本年度增加6辆车辆，公务用车运行维护费相应增加 ；公务接待费1069 万元，比上年减少155.23 万元，下降13 %，主要原因是根据中央八项规定，我处加强对公务接待费的管理，严控公务接待经费支出，“三公”经费支出逐年减少 。</w:t>
            </w: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湛江市接待处 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45.04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45.04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1095.00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1095.00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1069.00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1069.00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D9A"/>
    <w:rsid w:val="000F2D9A"/>
    <w:rsid w:val="002E7F24"/>
    <w:rsid w:val="78D2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2020-02-10T07:26:00Z</dcterms:created>
  <dc:creator>Administrator</dc:creator>
  <cp:lastModifiedBy>琬苓</cp:lastModifiedBy>
  <dcterms:modified xsi:type="dcterms:W3CDTF">2020-02-10T14:59:05Z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