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华康简标题宋" w:hAnsi="宋体" w:eastAsia="华康简标题宋" w:cs="Times New Roman"/>
          <w:sz w:val="36"/>
        </w:rPr>
      </w:pPr>
      <w:r>
        <w:rPr>
          <w:rFonts w:hint="eastAsia" w:ascii="华康简标题宋" w:hAnsi="宋体" w:eastAsia="华康简标题宋" w:cs="Times New Roman"/>
          <w:sz w:val="36"/>
        </w:rPr>
        <w:t>中国共产主义青年团湛江市委员会</w:t>
      </w:r>
    </w:p>
    <w:p>
      <w:pPr>
        <w:spacing w:line="600" w:lineRule="exact"/>
        <w:jc w:val="center"/>
        <w:rPr>
          <w:rFonts w:hint="eastAsia" w:ascii="华康简标题宋" w:hAnsi="宋体" w:eastAsia="华康简标题宋" w:cs="Times New Roman"/>
          <w:sz w:val="36"/>
        </w:rPr>
      </w:pPr>
      <w:r>
        <w:rPr>
          <w:rFonts w:hint="eastAsia" w:ascii="华康简标题宋" w:hAnsi="宋体" w:eastAsia="华康简标题宋" w:cs="Times New Roman"/>
          <w:sz w:val="36"/>
        </w:rPr>
        <w:t>20</w:t>
      </w:r>
      <w:r>
        <w:rPr>
          <w:rFonts w:hint="eastAsia" w:ascii="华康简标题宋" w:hAnsi="宋体" w:eastAsia="华康简标题宋" w:cs="Times New Roman"/>
          <w:sz w:val="36"/>
          <w:lang w:val="en-US" w:eastAsia="zh-CN"/>
        </w:rPr>
        <w:t>20</w:t>
      </w:r>
      <w:r>
        <w:rPr>
          <w:rFonts w:hint="eastAsia" w:ascii="华康简标题宋" w:hAnsi="宋体" w:eastAsia="华康简标题宋" w:cs="Times New Roman"/>
          <w:sz w:val="36"/>
        </w:rPr>
        <w:t>年</w:t>
      </w:r>
      <w:r>
        <w:rPr>
          <w:rFonts w:hint="eastAsia" w:ascii="华康简标题宋" w:hAnsi="宋体" w:eastAsia="华康简标题宋" w:cs="Times New Roman"/>
          <w:sz w:val="36"/>
          <w:lang w:eastAsia="zh-CN"/>
        </w:rPr>
        <w:t>三公经费</w:t>
      </w:r>
      <w:r>
        <w:rPr>
          <w:rFonts w:hint="eastAsia" w:ascii="华康简标题宋" w:hAnsi="宋体" w:eastAsia="华康简标题宋" w:cs="Times New Roman"/>
          <w:sz w:val="36"/>
        </w:rPr>
        <w:t>预算情况说明</w:t>
      </w:r>
    </w:p>
    <w:p>
      <w:pPr>
        <w:spacing w:line="600" w:lineRule="exact"/>
        <w:jc w:val="center"/>
        <w:rPr>
          <w:rFonts w:hint="eastAsia" w:ascii="华康简标题宋" w:hAnsi="宋体" w:eastAsia="华康简标题宋" w:cs="Times New Roman"/>
          <w:sz w:val="36"/>
        </w:rPr>
      </w:pPr>
    </w:p>
    <w:p>
      <w:pPr>
        <w:spacing w:line="600" w:lineRule="exact"/>
        <w:jc w:val="center"/>
        <w:rPr>
          <w:rFonts w:hint="eastAsia" w:ascii="华康简标题宋" w:hAnsi="宋体" w:eastAsia="华康简标题宋" w:cs="Times New Roman"/>
          <w:sz w:val="36"/>
        </w:rPr>
      </w:pPr>
      <w:r>
        <w:rPr>
          <w:rFonts w:hint="eastAsia" w:ascii="华康简标题宋" w:hAnsi="宋体" w:eastAsia="华康简标题宋" w:cs="Times New Roman"/>
          <w:sz w:val="36"/>
        </w:rPr>
        <w:t>“三公经费”说明</w:t>
      </w:r>
      <w:bookmarkStart w:id="1" w:name="_GoBack"/>
      <w:bookmarkEnd w:id="1"/>
    </w:p>
    <w:p>
      <w:pPr>
        <w:spacing w:line="600" w:lineRule="exact"/>
        <w:jc w:val="center"/>
        <w:rPr>
          <w:rFonts w:hint="eastAsia" w:ascii="华康简标题宋" w:hAnsi="宋体" w:eastAsia="华康简标题宋" w:cs="Times New Roman"/>
          <w:sz w:val="36"/>
        </w:rPr>
      </w:pPr>
    </w:p>
    <w:tbl>
      <w:tblPr>
        <w:tblStyle w:val="3"/>
        <w:tblpPr w:leftFromText="180" w:rightFromText="180" w:vertAnchor="text" w:horzAnchor="page" w:tblpX="1540" w:tblpY="5929"/>
        <w:tblOverlap w:val="never"/>
        <w:tblW w:w="89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4"/>
        <w:gridCol w:w="1121"/>
        <w:gridCol w:w="988"/>
        <w:gridCol w:w="988"/>
        <w:gridCol w:w="24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  <w:tblHeader/>
        </w:trPr>
        <w:tc>
          <w:tcPr>
            <w:tcW w:w="8900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right"/>
              <w:rPr>
                <w:rFonts w:hint="eastAsi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表7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  <w:tblHeader/>
        </w:trPr>
        <w:tc>
          <w:tcPr>
            <w:tcW w:w="8900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24"/>
              </w:rPr>
              <w:t>财政拨款安排的行政经费及“三公”经费预算表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  <w:tblHeader/>
        </w:trPr>
        <w:tc>
          <w:tcPr>
            <w:tcW w:w="4485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单位名称：</w:t>
            </w:r>
            <w:bookmarkStart w:id="0" w:name="PO_part2Table8DivName1"/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eastAsia="zh-CN"/>
              </w:rPr>
              <w:t>中国共产主义青年团湛江市委员会</w:t>
            </w: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 xml:space="preserve"> </w:t>
            </w:r>
            <w:bookmarkEnd w:id="0"/>
          </w:p>
        </w:tc>
        <w:tc>
          <w:tcPr>
            <w:tcW w:w="4415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jc w:val="right"/>
              <w:rPr>
                <w:rFonts w:hint="eastAsi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单位：万元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  <w:tblHeader/>
        </w:trPr>
        <w:tc>
          <w:tcPr>
            <w:tcW w:w="3364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项        目</w:t>
            </w:r>
          </w:p>
        </w:tc>
        <w:tc>
          <w:tcPr>
            <w:tcW w:w="1121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988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一般公共预算</w:t>
            </w:r>
          </w:p>
        </w:tc>
        <w:tc>
          <w:tcPr>
            <w:tcW w:w="988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政府性基金预算</w:t>
            </w:r>
          </w:p>
        </w:tc>
        <w:tc>
          <w:tcPr>
            <w:tcW w:w="2439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国有资本经营预算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" w:hRule="atLeast"/>
        </w:trPr>
        <w:tc>
          <w:tcPr>
            <w:tcW w:w="3364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行政经费</w:t>
            </w:r>
          </w:p>
        </w:tc>
        <w:tc>
          <w:tcPr>
            <w:tcW w:w="1121" w:type="dxa"/>
            <w:noWrap w:val="0"/>
            <w:vAlign w:val="center"/>
          </w:tcPr>
          <w:p>
            <w:pPr>
              <w:jc w:val="right"/>
              <w:rPr>
                <w:rFonts w:hint="default" w:ascii="宋体" w:hAnsi="宋体" w:eastAsia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15.51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15.51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39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" w:hRule="atLeast"/>
        </w:trPr>
        <w:tc>
          <w:tcPr>
            <w:tcW w:w="3364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>“三公”经费</w:t>
            </w:r>
          </w:p>
        </w:tc>
        <w:tc>
          <w:tcPr>
            <w:tcW w:w="1121" w:type="dxa"/>
            <w:noWrap w:val="0"/>
            <w:vAlign w:val="center"/>
          </w:tcPr>
          <w:p>
            <w:pPr>
              <w:jc w:val="right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2.91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2.91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39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" w:hRule="atLeast"/>
        </w:trPr>
        <w:tc>
          <w:tcPr>
            <w:tcW w:w="3364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 xml:space="preserve">      其中：（一）因公出国（境）支出</w:t>
            </w:r>
          </w:p>
        </w:tc>
        <w:tc>
          <w:tcPr>
            <w:tcW w:w="1121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39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</w:trPr>
        <w:tc>
          <w:tcPr>
            <w:tcW w:w="3364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 xml:space="preserve">            （二）公务用车购置及运行维护支出</w:t>
            </w:r>
          </w:p>
        </w:tc>
        <w:tc>
          <w:tcPr>
            <w:tcW w:w="1121" w:type="dxa"/>
            <w:noWrap w:val="0"/>
            <w:vAlign w:val="center"/>
          </w:tcPr>
          <w:p>
            <w:pPr>
              <w:jc w:val="right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2.41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2.41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39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" w:hRule="atLeast"/>
        </w:trPr>
        <w:tc>
          <w:tcPr>
            <w:tcW w:w="3364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 xml:space="preserve">                  1.公务用车购置</w:t>
            </w:r>
          </w:p>
        </w:tc>
        <w:tc>
          <w:tcPr>
            <w:tcW w:w="1121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39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" w:hRule="atLeast"/>
        </w:trPr>
        <w:tc>
          <w:tcPr>
            <w:tcW w:w="3364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 xml:space="preserve">                  2.公务用车运行维护费</w:t>
            </w:r>
          </w:p>
        </w:tc>
        <w:tc>
          <w:tcPr>
            <w:tcW w:w="1121" w:type="dxa"/>
            <w:noWrap w:val="0"/>
            <w:vAlign w:val="center"/>
          </w:tcPr>
          <w:p>
            <w:pPr>
              <w:jc w:val="right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2.41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2.41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39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9" w:hRule="atLeast"/>
        </w:trPr>
        <w:tc>
          <w:tcPr>
            <w:tcW w:w="3364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</w:rPr>
              <w:t xml:space="preserve">            （三）公务接待费支出</w:t>
            </w:r>
          </w:p>
        </w:tc>
        <w:tc>
          <w:tcPr>
            <w:tcW w:w="1121" w:type="dxa"/>
            <w:noWrap w:val="0"/>
            <w:vAlign w:val="center"/>
          </w:tcPr>
          <w:p>
            <w:pPr>
              <w:jc w:val="right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50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</w:t>
            </w:r>
            <w:r>
              <w:rPr>
                <w:rFonts w:hint="eastAsia" w:ascii="宋体" w:hAnsi="宋体"/>
                <w:color w:val="000000"/>
                <w:sz w:val="18"/>
                <w:szCs w:val="18"/>
                <w:lang w:val="en-US" w:eastAsia="zh-CN"/>
              </w:rPr>
              <w:t>50</w:t>
            </w:r>
          </w:p>
        </w:tc>
        <w:tc>
          <w:tcPr>
            <w:tcW w:w="988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39" w:type="dxa"/>
            <w:noWrap w:val="0"/>
            <w:vAlign w:val="center"/>
          </w:tcPr>
          <w:p>
            <w:pPr>
              <w:jc w:val="right"/>
              <w:rPr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0.00</w:t>
            </w:r>
          </w:p>
        </w:tc>
      </w:tr>
    </w:tbl>
    <w:p>
      <w:pPr>
        <w:spacing w:line="620" w:lineRule="exact"/>
        <w:ind w:firstLine="600" w:firstLineChars="200"/>
        <w:rPr>
          <w:rFonts w:hint="eastAsia" w:ascii="仿宋_GB2312" w:hAnsi="宋体" w:eastAsia="仿宋_GB2312" w:cs="Times New Roman"/>
          <w:sz w:val="30"/>
          <w:lang w:eastAsia="zh-CN"/>
        </w:rPr>
      </w:pPr>
      <w:r>
        <w:rPr>
          <w:rFonts w:hint="eastAsia" w:ascii="仿宋_GB2312" w:hAnsi="宋体" w:eastAsia="仿宋_GB2312" w:cs="Times New Roman"/>
          <w:sz w:val="30"/>
          <w:lang w:eastAsia="zh-CN"/>
        </w:rPr>
        <w:t>2020 年本部门财政拨款安排“三公”经费2.91 万元，比上年减少0.1 万元，下降3.32 %，主要原因是严格按照中央八项规定，厉行节约，控制公务接待开支 。其中：因公出国（境）费0 万元，比上年增加0 万元，增长0 %，主要原因是与上年持平，无增减变化 ；公务用车购置及运行费2.41 万元（公务用车购置费0 万元，公务用车运行维护费2.41 万元），比上年减少0.1 万元，下降3.98 %，主要原因是加强公务用车使用管理，降低公务用车运行成本 ；公务接待费0.50 万元，比上年增加0 万元，增长0 %，主要原因是与上年持平，无增减变化 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康简标题宋">
    <w:altName w:val="宋体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6457A9"/>
    <w:rsid w:val="7364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2020-02-10T07:50:00Z</dcterms:created>
  <dc:creator>陈婷婷</dc:creator>
  <cp:lastModifiedBy>陈婷婷</cp:lastModifiedBy>
  <dcterms:modified xsi:type="dcterms:W3CDTF">2020-02-10T07:55:37Z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