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0C36C">
      <w:pPr>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项目编号：</w:t>
      </w:r>
      <w:r>
        <w:rPr>
          <w:rFonts w:hint="eastAsia"/>
          <w:color w:val="000000" w:themeColor="text1"/>
          <w:sz w:val="24"/>
          <w:lang w:val="en-US" w:eastAsia="zh-CN"/>
          <w14:textFill>
            <w14:solidFill>
              <w14:schemeClr w14:val="tx1"/>
            </w14:solidFill>
          </w14:textFill>
        </w:rPr>
        <w:t>495fl6</w:t>
      </w:r>
    </w:p>
    <w:p w14:paraId="57D8B67B">
      <w:pPr>
        <w:rPr>
          <w:color w:val="000000" w:themeColor="text1"/>
          <w:sz w:val="36"/>
          <w:szCs w:val="36"/>
          <w14:textFill>
            <w14:solidFill>
              <w14:schemeClr w14:val="tx1"/>
            </w14:solidFill>
          </w14:textFill>
        </w:rPr>
      </w:pPr>
    </w:p>
    <w:p w14:paraId="7FDEB29A">
      <w:pPr>
        <w:rPr>
          <w:color w:val="000000" w:themeColor="text1"/>
          <w:sz w:val="36"/>
          <w:szCs w:val="36"/>
          <w14:textFill>
            <w14:solidFill>
              <w14:schemeClr w14:val="tx1"/>
            </w14:solidFill>
          </w14:textFill>
        </w:rPr>
      </w:pPr>
    </w:p>
    <w:p w14:paraId="33244E4E">
      <w:pPr>
        <w:rPr>
          <w:color w:val="000000" w:themeColor="text1"/>
          <w:sz w:val="36"/>
          <w:szCs w:val="36"/>
          <w14:textFill>
            <w14:solidFill>
              <w14:schemeClr w14:val="tx1"/>
            </w14:solidFill>
          </w14:textFill>
        </w:rPr>
      </w:pPr>
    </w:p>
    <w:p w14:paraId="48500D18">
      <w:pPr>
        <w:rPr>
          <w:color w:val="000000" w:themeColor="text1"/>
          <w:sz w:val="36"/>
          <w:szCs w:val="36"/>
          <w14:textFill>
            <w14:solidFill>
              <w14:schemeClr w14:val="tx1"/>
            </w14:solidFill>
          </w14:textFill>
        </w:rPr>
      </w:pPr>
    </w:p>
    <w:p w14:paraId="2C38D4D4">
      <w:pPr>
        <w:jc w:val="center"/>
        <w:rPr>
          <w:color w:val="000000" w:themeColor="text1"/>
          <w:sz w:val="72"/>
          <w:szCs w:val="72"/>
          <w14:textFill>
            <w14:solidFill>
              <w14:schemeClr w14:val="tx1"/>
            </w14:solidFill>
          </w14:textFill>
        </w:rPr>
      </w:pPr>
      <w:bookmarkStart w:id="0" w:name="_Toc2504"/>
      <w:bookmarkStart w:id="1" w:name="_Toc3669"/>
      <w:bookmarkStart w:id="2" w:name="_Toc10207"/>
      <w:bookmarkStart w:id="3" w:name="_Toc6257"/>
      <w:bookmarkStart w:id="4" w:name="_Toc242"/>
      <w:bookmarkStart w:id="5" w:name="_Toc14707"/>
      <w:r>
        <w:rPr>
          <w:color w:val="000000" w:themeColor="text1"/>
          <w:sz w:val="72"/>
          <w:szCs w:val="72"/>
          <w14:textFill>
            <w14:solidFill>
              <w14:schemeClr w14:val="tx1"/>
            </w14:solidFill>
          </w14:textFill>
        </w:rPr>
        <w:t>建设项目</w:t>
      </w:r>
      <w:r>
        <w:rPr>
          <w:rFonts w:hint="eastAsia"/>
          <w:color w:val="000000" w:themeColor="text1"/>
          <w:sz w:val="72"/>
          <w:szCs w:val="72"/>
          <w:lang w:val="en-US" w:eastAsia="zh-CN"/>
          <w14:textFill>
            <w14:solidFill>
              <w14:schemeClr w14:val="tx1"/>
            </w14:solidFill>
          </w14:textFill>
        </w:rPr>
        <w:t>生态</w:t>
      </w:r>
      <w:r>
        <w:rPr>
          <w:color w:val="000000" w:themeColor="text1"/>
          <w:sz w:val="72"/>
          <w:szCs w:val="72"/>
          <w14:textFill>
            <w14:solidFill>
              <w14:schemeClr w14:val="tx1"/>
            </w14:solidFill>
          </w14:textFill>
        </w:rPr>
        <w:t>环境影响</w:t>
      </w:r>
    </w:p>
    <w:p w14:paraId="65A32085">
      <w:pPr>
        <w:jc w:val="center"/>
        <w:rPr>
          <w:color w:val="000000" w:themeColor="text1"/>
          <w:sz w:val="72"/>
          <w:szCs w:val="72"/>
          <w14:textFill>
            <w14:solidFill>
              <w14:schemeClr w14:val="tx1"/>
            </w14:solidFill>
          </w14:textFill>
        </w:rPr>
      </w:pPr>
      <w:r>
        <w:rPr>
          <w:color w:val="000000" w:themeColor="text1"/>
          <w:sz w:val="72"/>
          <w:szCs w:val="72"/>
          <w14:textFill>
            <w14:solidFill>
              <w14:schemeClr w14:val="tx1"/>
            </w14:solidFill>
          </w14:textFill>
        </w:rPr>
        <w:t>报告表</w:t>
      </w:r>
      <w:bookmarkEnd w:id="0"/>
      <w:bookmarkEnd w:id="1"/>
      <w:bookmarkEnd w:id="2"/>
      <w:bookmarkEnd w:id="3"/>
      <w:bookmarkEnd w:id="4"/>
      <w:bookmarkEnd w:id="5"/>
    </w:p>
    <w:p w14:paraId="3E470D48">
      <w:pPr>
        <w:adjustRightInd w:val="0"/>
        <w:snapToGrid w:val="0"/>
        <w:spacing w:before="192" w:beforeLines="80"/>
        <w:jc w:val="center"/>
        <w:rPr>
          <w:bCs/>
          <w:color w:val="000000" w:themeColor="text1"/>
          <w:sz w:val="48"/>
          <w:szCs w:val="48"/>
          <w14:textFill>
            <w14:solidFill>
              <w14:schemeClr w14:val="tx1"/>
            </w14:solidFill>
          </w14:textFill>
        </w:rPr>
      </w:pPr>
      <w:r>
        <w:rPr>
          <w:bCs/>
          <w:color w:val="000000" w:themeColor="text1"/>
          <w:sz w:val="48"/>
          <w:szCs w:val="48"/>
          <w14:textFill>
            <w14:solidFill>
              <w14:schemeClr w14:val="tx1"/>
            </w14:solidFill>
          </w14:textFill>
        </w:rPr>
        <w:t>（污染影响类）</w:t>
      </w:r>
    </w:p>
    <w:p w14:paraId="79C6A597">
      <w:pPr>
        <w:pStyle w:val="43"/>
        <w:rPr>
          <w:rFonts w:ascii="Times New Roman"/>
          <w:color w:val="000000" w:themeColor="text1"/>
          <w:sz w:val="44"/>
          <w:szCs w:val="44"/>
          <w14:textFill>
            <w14:solidFill>
              <w14:schemeClr w14:val="tx1"/>
            </w14:solidFill>
          </w14:textFill>
        </w:rPr>
      </w:pPr>
    </w:p>
    <w:p w14:paraId="3D85E316">
      <w:pPr>
        <w:spacing w:line="360" w:lineRule="auto"/>
        <w:ind w:left="1980" w:hanging="1980" w:hangingChars="550"/>
        <w:rPr>
          <w:color w:val="000000" w:themeColor="text1"/>
          <w:sz w:val="36"/>
          <w:szCs w:val="36"/>
          <w14:textFill>
            <w14:solidFill>
              <w14:schemeClr w14:val="tx1"/>
            </w14:solidFill>
          </w14:textFill>
        </w:rPr>
      </w:pPr>
    </w:p>
    <w:p w14:paraId="0F43491D">
      <w:pPr>
        <w:spacing w:line="360" w:lineRule="auto"/>
        <w:ind w:left="1980" w:hanging="1980" w:hangingChars="550"/>
        <w:rPr>
          <w:color w:val="000000" w:themeColor="text1"/>
          <w:sz w:val="36"/>
          <w:szCs w:val="36"/>
          <w14:textFill>
            <w14:solidFill>
              <w14:schemeClr w14:val="tx1"/>
            </w14:solidFill>
          </w14:textFill>
        </w:rPr>
      </w:pPr>
    </w:p>
    <w:p w14:paraId="4691466D">
      <w:pPr>
        <w:spacing w:line="360" w:lineRule="auto"/>
        <w:ind w:left="1980" w:hanging="1980" w:hangingChars="550"/>
        <w:rPr>
          <w:color w:val="000000" w:themeColor="text1"/>
          <w:sz w:val="36"/>
          <w:szCs w:val="36"/>
          <w14:textFill>
            <w14:solidFill>
              <w14:schemeClr w14:val="tx1"/>
            </w14:solidFill>
          </w14:textFill>
        </w:rPr>
      </w:pPr>
    </w:p>
    <w:p w14:paraId="7269AAB3">
      <w:pPr>
        <w:spacing w:line="360" w:lineRule="auto"/>
        <w:rPr>
          <w:color w:val="000000" w:themeColor="text1"/>
          <w:sz w:val="36"/>
          <w:szCs w:val="36"/>
          <w14:textFill>
            <w14:solidFill>
              <w14:schemeClr w14:val="tx1"/>
            </w14:solidFill>
          </w14:textFill>
        </w:rPr>
      </w:pPr>
    </w:p>
    <w:p w14:paraId="41A652F0">
      <w:pPr>
        <w:adjustRightInd w:val="0"/>
        <w:snapToGrid w:val="0"/>
        <w:spacing w:line="360" w:lineRule="auto"/>
        <w:jc w:val="center"/>
        <w:rPr>
          <w:rFonts w:hint="eastAsia"/>
          <w:color w:val="000000" w:themeColor="text1"/>
          <w:sz w:val="36"/>
          <w:szCs w:val="36"/>
          <w:u w:val="single"/>
          <w14:textFill>
            <w14:solidFill>
              <w14:schemeClr w14:val="tx1"/>
            </w14:solidFill>
          </w14:textFill>
        </w:rPr>
      </w:pPr>
      <w:r>
        <w:rPr>
          <w:color w:val="000000" w:themeColor="text1"/>
          <w:sz w:val="36"/>
          <w:szCs w:val="36"/>
          <w14:textFill>
            <w14:solidFill>
              <w14:schemeClr w14:val="tx1"/>
            </w14:solidFill>
          </w14:textFill>
        </w:rPr>
        <w:t>项目名称：</w:t>
      </w:r>
      <w:r>
        <w:rPr>
          <w:rFonts w:hint="eastAsia"/>
          <w:color w:val="000000" w:themeColor="text1"/>
          <w:sz w:val="36"/>
          <w:szCs w:val="36"/>
          <w:u w:val="single"/>
          <w14:textFill>
            <w14:solidFill>
              <w14:schemeClr w14:val="tx1"/>
            </w14:solidFill>
          </w14:textFill>
        </w:rPr>
        <w:t>湛江市品涤洗衣服务有限公司年清洗62万套被服和26万套台布建设项目</w:t>
      </w:r>
    </w:p>
    <w:p w14:paraId="7BCCAA32">
      <w:pPr>
        <w:adjustRightInd w:val="0"/>
        <w:snapToGrid w:val="0"/>
        <w:spacing w:line="360" w:lineRule="auto"/>
        <w:jc w:val="center"/>
        <w:rPr>
          <w:rFonts w:hint="eastAsia"/>
          <w:color w:val="000000" w:themeColor="text1"/>
          <w:sz w:val="36"/>
          <w:szCs w:val="36"/>
          <w:u w:val="single"/>
          <w14:textFill>
            <w14:solidFill>
              <w14:schemeClr w14:val="tx1"/>
            </w14:solidFill>
          </w14:textFill>
        </w:rPr>
      </w:pPr>
      <w:r>
        <w:rPr>
          <w:color w:val="000000" w:themeColor="text1"/>
          <w:sz w:val="36"/>
          <w:szCs w:val="36"/>
          <w14:textFill>
            <w14:solidFill>
              <w14:schemeClr w14:val="tx1"/>
            </w14:solidFill>
          </w14:textFill>
        </w:rPr>
        <w:t>建设单位（盖章）：</w:t>
      </w:r>
      <w:r>
        <w:rPr>
          <w:rFonts w:hint="eastAsia"/>
          <w:color w:val="000000" w:themeColor="text1"/>
          <w:sz w:val="36"/>
          <w:szCs w:val="36"/>
          <w:u w:val="single"/>
          <w14:textFill>
            <w14:solidFill>
              <w14:schemeClr w14:val="tx1"/>
            </w14:solidFill>
          </w14:textFill>
        </w:rPr>
        <w:t>湛江市品涤洗衣服务有限公司</w:t>
      </w:r>
    </w:p>
    <w:p w14:paraId="7FFF0B20">
      <w:pPr>
        <w:adjustRightInd w:val="0"/>
        <w:snapToGrid w:val="0"/>
        <w:spacing w:line="360" w:lineRule="auto"/>
        <w:jc w:val="center"/>
        <w:rPr>
          <w:color w:val="000000" w:themeColor="text1"/>
          <w:sz w:val="36"/>
          <w:szCs w:val="36"/>
          <w:u w:val="single"/>
          <w14:textFill>
            <w14:solidFill>
              <w14:schemeClr w14:val="tx1"/>
            </w14:solidFill>
          </w14:textFill>
        </w:rPr>
      </w:pPr>
      <w:r>
        <w:rPr>
          <w:color w:val="000000" w:themeColor="text1"/>
          <w:sz w:val="36"/>
          <w:szCs w:val="36"/>
          <w14:textFill>
            <w14:solidFill>
              <w14:schemeClr w14:val="tx1"/>
            </w14:solidFill>
          </w14:textFill>
        </w:rPr>
        <w:t>编制日期：</w:t>
      </w:r>
      <w:r>
        <w:rPr>
          <w:color w:val="000000" w:themeColor="text1"/>
          <w:sz w:val="36"/>
          <w:szCs w:val="36"/>
          <w:u w:val="single"/>
          <w14:textFill>
            <w14:solidFill>
              <w14:schemeClr w14:val="tx1"/>
            </w14:solidFill>
          </w14:textFill>
        </w:rPr>
        <w:t>202</w:t>
      </w:r>
      <w:r>
        <w:rPr>
          <w:rFonts w:hint="eastAsia"/>
          <w:color w:val="000000" w:themeColor="text1"/>
          <w:sz w:val="36"/>
          <w:szCs w:val="36"/>
          <w:u w:val="single"/>
          <w14:textFill>
            <w14:solidFill>
              <w14:schemeClr w14:val="tx1"/>
            </w14:solidFill>
          </w14:textFill>
        </w:rPr>
        <w:t>6</w:t>
      </w:r>
      <w:r>
        <w:rPr>
          <w:color w:val="000000" w:themeColor="text1"/>
          <w:sz w:val="36"/>
          <w:szCs w:val="36"/>
          <w:u w:val="single"/>
          <w14:textFill>
            <w14:solidFill>
              <w14:schemeClr w14:val="tx1"/>
            </w14:solidFill>
          </w14:textFill>
        </w:rPr>
        <w:t>年</w:t>
      </w:r>
      <w:r>
        <w:rPr>
          <w:rFonts w:hint="eastAsia"/>
          <w:color w:val="000000" w:themeColor="text1"/>
          <w:sz w:val="36"/>
          <w:szCs w:val="36"/>
          <w:u w:val="single"/>
          <w:lang w:val="en-US" w:eastAsia="zh-CN"/>
          <w14:textFill>
            <w14:solidFill>
              <w14:schemeClr w14:val="tx1"/>
            </w14:solidFill>
          </w14:textFill>
        </w:rPr>
        <w:t>10</w:t>
      </w:r>
      <w:r>
        <w:rPr>
          <w:color w:val="000000" w:themeColor="text1"/>
          <w:sz w:val="36"/>
          <w:szCs w:val="36"/>
          <w:u w:val="single"/>
          <w14:textFill>
            <w14:solidFill>
              <w14:schemeClr w14:val="tx1"/>
            </w14:solidFill>
          </w14:textFill>
        </w:rPr>
        <w:t>月</w:t>
      </w:r>
    </w:p>
    <w:p w14:paraId="4737175E">
      <w:pPr>
        <w:rPr>
          <w:color w:val="000000" w:themeColor="text1"/>
          <w:sz w:val="36"/>
          <w:szCs w:val="36"/>
          <w14:textFill>
            <w14:solidFill>
              <w14:schemeClr w14:val="tx1"/>
            </w14:solidFill>
          </w14:textFill>
        </w:rPr>
      </w:pPr>
      <w:bookmarkStart w:id="6" w:name="_Hlk57884087"/>
    </w:p>
    <w:p w14:paraId="3828D97C">
      <w:pPr>
        <w:rPr>
          <w:color w:val="000000" w:themeColor="text1"/>
          <w:sz w:val="36"/>
          <w:szCs w:val="36"/>
          <w14:textFill>
            <w14:solidFill>
              <w14:schemeClr w14:val="tx1"/>
            </w14:solidFill>
          </w14:textFill>
        </w:rPr>
      </w:pPr>
    </w:p>
    <w:p w14:paraId="330A2CEF">
      <w:pPr>
        <w:rPr>
          <w:color w:val="000000" w:themeColor="text1"/>
          <w:sz w:val="36"/>
          <w:szCs w:val="36"/>
          <w14:textFill>
            <w14:solidFill>
              <w14:schemeClr w14:val="tx1"/>
            </w14:solidFill>
          </w14:textFill>
        </w:rPr>
      </w:pPr>
    </w:p>
    <w:p w14:paraId="58DDFFA5">
      <w:pPr>
        <w:rPr>
          <w:color w:val="000000" w:themeColor="text1"/>
          <w:sz w:val="36"/>
          <w:szCs w:val="36"/>
          <w14:textFill>
            <w14:solidFill>
              <w14:schemeClr w14:val="tx1"/>
            </w14:solidFill>
          </w14:textFill>
        </w:rPr>
      </w:pPr>
    </w:p>
    <w:p w14:paraId="331348E7">
      <w:pPr>
        <w:rPr>
          <w:rFonts w:hint="eastAsia" w:eastAsia="宋体"/>
          <w:color w:val="000000" w:themeColor="text1"/>
          <w:sz w:val="36"/>
          <w:szCs w:val="36"/>
          <w:lang w:eastAsia="zh-CN"/>
          <w14:textFill>
            <w14:solidFill>
              <w14:schemeClr w14:val="tx1"/>
            </w14:solidFill>
          </w14:textFill>
        </w:rPr>
      </w:pPr>
    </w:p>
    <w:bookmarkEnd w:id="6"/>
    <w:p w14:paraId="2CF4BC6A">
      <w:pPr>
        <w:adjustRightInd w:val="0"/>
        <w:snapToGrid w:val="0"/>
        <w:spacing w:line="360" w:lineRule="auto"/>
        <w:jc w:val="center"/>
        <w:rPr>
          <w:color w:val="000000" w:themeColor="text1"/>
          <w:sz w:val="36"/>
          <w:szCs w:val="36"/>
          <w14:textFill>
            <w14:solidFill>
              <w14:schemeClr w14:val="tx1"/>
            </w14:solidFill>
          </w14:textFill>
        </w:rPr>
      </w:pPr>
      <w:bookmarkStart w:id="7" w:name="_Toc3621"/>
      <w:bookmarkStart w:id="8" w:name="_Toc10219"/>
      <w:bookmarkStart w:id="9" w:name="_Toc30808"/>
      <w:bookmarkStart w:id="10" w:name="_Toc12693"/>
      <w:bookmarkStart w:id="11" w:name="_Toc6568"/>
      <w:r>
        <w:rPr>
          <w:color w:val="000000" w:themeColor="text1"/>
          <w:sz w:val="36"/>
          <w:szCs w:val="36"/>
          <w14:textFill>
            <w14:solidFill>
              <w14:schemeClr w14:val="tx1"/>
            </w14:solidFill>
          </w14:textFill>
        </w:rPr>
        <w:t>中华人民共和国生态环境部制</w:t>
      </w:r>
      <w:bookmarkEnd w:id="7"/>
      <w:bookmarkEnd w:id="8"/>
      <w:bookmarkEnd w:id="9"/>
      <w:bookmarkEnd w:id="10"/>
      <w:bookmarkEnd w:id="11"/>
    </w:p>
    <w:p w14:paraId="218DEC42">
      <w:pPr>
        <w:pStyle w:val="25"/>
        <w:keepNext w:val="0"/>
        <w:keepLines w:val="0"/>
        <w:pageBreakBefore w:val="0"/>
        <w:tabs>
          <w:tab w:val="right" w:leader="dot" w:pos="8844"/>
        </w:tabs>
        <w:kinsoku/>
        <w:wordWrap/>
        <w:overflowPunct/>
        <w:topLinePunct w:val="0"/>
        <w:autoSpaceDE/>
        <w:autoSpaceDN/>
        <w:bidi w:val="0"/>
        <w:adjustRightInd/>
        <w:snapToGrid/>
        <w:spacing w:beforeAutospacing="0" w:afterAutospacing="0" w:line="360" w:lineRule="auto"/>
        <w:jc w:val="center"/>
        <w:textAlignment w:val="auto"/>
        <w:rPr>
          <w:rFonts w:hint="eastAsia"/>
          <w:b/>
          <w:bCs/>
          <w:snapToGrid w:val="0"/>
          <w:color w:val="000000" w:themeColor="text1"/>
          <w:sz w:val="24"/>
          <w:szCs w:val="24"/>
          <w14:textFill>
            <w14:solidFill>
              <w14:schemeClr w14:val="tx1"/>
            </w14:solidFill>
          </w14:textFill>
        </w:rPr>
      </w:pPr>
      <w:r>
        <w:rPr>
          <w:rFonts w:hint="eastAsia"/>
          <w:b/>
          <w:bCs/>
          <w:snapToGrid w:val="0"/>
          <w:color w:val="000000" w:themeColor="text1"/>
          <w:sz w:val="24"/>
          <w:szCs w:val="24"/>
          <w14:textFill>
            <w14:solidFill>
              <w14:schemeClr w14:val="tx1"/>
            </w14:solidFill>
          </w14:textFill>
        </w:rPr>
        <w:t>目录</w:t>
      </w:r>
    </w:p>
    <w:p w14:paraId="7753F038">
      <w:pPr>
        <w:pStyle w:val="2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sz w:val="24"/>
          <w:szCs w:val="24"/>
        </w:rPr>
      </w:pPr>
      <w:r>
        <w:rPr>
          <w:b/>
          <w:bCs/>
          <w:snapToGrid w:val="0"/>
          <w:color w:val="000000" w:themeColor="text1"/>
          <w:sz w:val="24"/>
          <w:szCs w:val="24"/>
          <w14:textFill>
            <w14:solidFill>
              <w14:schemeClr w14:val="tx1"/>
            </w14:solidFill>
          </w14:textFill>
        </w:rPr>
        <w:fldChar w:fldCharType="begin"/>
      </w:r>
      <w:r>
        <w:rPr>
          <w:b/>
          <w:bCs/>
          <w:snapToGrid w:val="0"/>
          <w:color w:val="000000" w:themeColor="text1"/>
          <w:sz w:val="24"/>
          <w:szCs w:val="24"/>
          <w14:textFill>
            <w14:solidFill>
              <w14:schemeClr w14:val="tx1"/>
            </w14:solidFill>
          </w14:textFill>
        </w:rPr>
        <w:instrText xml:space="preserve">TOC \o "1-1" \h \u </w:instrText>
      </w:r>
      <w:r>
        <w:rPr>
          <w:b/>
          <w:bCs/>
          <w:snapToGrid w:val="0"/>
          <w:color w:val="000000" w:themeColor="text1"/>
          <w:sz w:val="24"/>
          <w:szCs w:val="24"/>
          <w14:textFill>
            <w14:solidFill>
              <w14:schemeClr w14:val="tx1"/>
            </w14:solidFill>
          </w14:textFill>
        </w:rPr>
        <w:fldChar w:fldCharType="separate"/>
      </w:r>
      <w:r>
        <w:rPr>
          <w:bCs/>
          <w:snapToGrid w:val="0"/>
          <w:color w:val="000000" w:themeColor="text1"/>
          <w:sz w:val="24"/>
          <w:szCs w:val="24"/>
          <w14:textFill>
            <w14:solidFill>
              <w14:schemeClr w14:val="tx1"/>
            </w14:solidFill>
          </w14:textFill>
        </w:rPr>
        <w:fldChar w:fldCharType="begin"/>
      </w:r>
      <w:r>
        <w:rPr>
          <w:bCs/>
          <w:snapToGrid w:val="0"/>
          <w:sz w:val="24"/>
          <w:szCs w:val="24"/>
        </w:rPr>
        <w:instrText xml:space="preserve"> HYPERLINK \l _Toc22043 </w:instrText>
      </w:r>
      <w:r>
        <w:rPr>
          <w:bCs/>
          <w:snapToGrid w:val="0"/>
          <w:sz w:val="24"/>
          <w:szCs w:val="24"/>
        </w:rPr>
        <w:fldChar w:fldCharType="separate"/>
      </w:r>
      <w:r>
        <w:rPr>
          <w:rFonts w:ascii="Times New Roman" w:hAnsi="Times New Roman"/>
          <w:bCs/>
          <w:snapToGrid w:val="0"/>
          <w:sz w:val="24"/>
          <w:szCs w:val="24"/>
        </w:rPr>
        <w:t>一、建设项目基本情况</w:t>
      </w:r>
      <w:bookmarkStart w:id="24" w:name="_GoBack"/>
      <w:bookmarkEnd w:id="24"/>
      <w:r>
        <w:rPr>
          <w:sz w:val="24"/>
          <w:szCs w:val="24"/>
        </w:rPr>
        <w:tab/>
      </w:r>
      <w:r>
        <w:rPr>
          <w:sz w:val="24"/>
          <w:szCs w:val="24"/>
        </w:rPr>
        <w:fldChar w:fldCharType="begin"/>
      </w:r>
      <w:r>
        <w:rPr>
          <w:sz w:val="24"/>
          <w:szCs w:val="24"/>
        </w:rPr>
        <w:instrText xml:space="preserve"> PAGEREF _Toc22043 \h </w:instrText>
      </w:r>
      <w:r>
        <w:rPr>
          <w:sz w:val="24"/>
          <w:szCs w:val="24"/>
        </w:rPr>
        <w:fldChar w:fldCharType="separate"/>
      </w:r>
      <w:r>
        <w:rPr>
          <w:sz w:val="24"/>
          <w:szCs w:val="24"/>
        </w:rPr>
        <w:t>1</w:t>
      </w:r>
      <w:r>
        <w:rPr>
          <w:sz w:val="24"/>
          <w:szCs w:val="24"/>
        </w:rPr>
        <w:fldChar w:fldCharType="end"/>
      </w:r>
      <w:r>
        <w:rPr>
          <w:bCs/>
          <w:snapToGrid w:val="0"/>
          <w:color w:val="000000" w:themeColor="text1"/>
          <w:sz w:val="24"/>
          <w:szCs w:val="24"/>
          <w14:textFill>
            <w14:solidFill>
              <w14:schemeClr w14:val="tx1"/>
            </w14:solidFill>
          </w14:textFill>
        </w:rPr>
        <w:fldChar w:fldCharType="end"/>
      </w:r>
    </w:p>
    <w:p w14:paraId="24E17E65">
      <w:pPr>
        <w:pStyle w:val="2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sz w:val="24"/>
          <w:szCs w:val="24"/>
        </w:rPr>
      </w:pPr>
      <w:r>
        <w:rPr>
          <w:rFonts w:ascii="Times New Roman" w:hAnsi="Times New Roman"/>
          <w:bCs/>
          <w:snapToGrid w:val="0"/>
          <w:color w:val="000000" w:themeColor="text1"/>
          <w:sz w:val="24"/>
          <w:szCs w:val="24"/>
          <w14:textFill>
            <w14:solidFill>
              <w14:schemeClr w14:val="tx1"/>
            </w14:solidFill>
          </w14:textFill>
        </w:rPr>
        <w:fldChar w:fldCharType="begin"/>
      </w:r>
      <w:r>
        <w:rPr>
          <w:rFonts w:ascii="Times New Roman" w:hAnsi="Times New Roman"/>
          <w:bCs/>
          <w:snapToGrid w:val="0"/>
          <w:sz w:val="24"/>
          <w:szCs w:val="24"/>
        </w:rPr>
        <w:instrText xml:space="preserve"> HYPERLINK \l _Toc22387 </w:instrText>
      </w:r>
      <w:r>
        <w:rPr>
          <w:rFonts w:ascii="Times New Roman" w:hAnsi="Times New Roman"/>
          <w:bCs/>
          <w:snapToGrid w:val="0"/>
          <w:sz w:val="24"/>
          <w:szCs w:val="24"/>
        </w:rPr>
        <w:fldChar w:fldCharType="separate"/>
      </w:r>
      <w:r>
        <w:rPr>
          <w:rFonts w:ascii="Times New Roman" w:hAnsi="Times New Roman"/>
          <w:bCs/>
          <w:snapToGrid w:val="0"/>
          <w:sz w:val="24"/>
          <w:szCs w:val="24"/>
        </w:rPr>
        <w:t>二、建设项目工程分析</w:t>
      </w:r>
      <w:r>
        <w:rPr>
          <w:sz w:val="24"/>
          <w:szCs w:val="24"/>
        </w:rPr>
        <w:tab/>
      </w:r>
      <w:r>
        <w:rPr>
          <w:sz w:val="24"/>
          <w:szCs w:val="24"/>
        </w:rPr>
        <w:fldChar w:fldCharType="begin"/>
      </w:r>
      <w:r>
        <w:rPr>
          <w:sz w:val="24"/>
          <w:szCs w:val="24"/>
        </w:rPr>
        <w:instrText xml:space="preserve"> PAGEREF _Toc22387 \h </w:instrText>
      </w:r>
      <w:r>
        <w:rPr>
          <w:sz w:val="24"/>
          <w:szCs w:val="24"/>
        </w:rPr>
        <w:fldChar w:fldCharType="separate"/>
      </w:r>
      <w:r>
        <w:rPr>
          <w:sz w:val="24"/>
          <w:szCs w:val="24"/>
        </w:rPr>
        <w:t>13</w:t>
      </w:r>
      <w:r>
        <w:rPr>
          <w:sz w:val="24"/>
          <w:szCs w:val="24"/>
        </w:rPr>
        <w:fldChar w:fldCharType="end"/>
      </w:r>
      <w:r>
        <w:rPr>
          <w:rFonts w:ascii="Times New Roman" w:hAnsi="Times New Roman"/>
          <w:bCs/>
          <w:snapToGrid w:val="0"/>
          <w:color w:val="000000" w:themeColor="text1"/>
          <w:sz w:val="24"/>
          <w:szCs w:val="24"/>
          <w14:textFill>
            <w14:solidFill>
              <w14:schemeClr w14:val="tx1"/>
            </w14:solidFill>
          </w14:textFill>
        </w:rPr>
        <w:fldChar w:fldCharType="end"/>
      </w:r>
    </w:p>
    <w:p w14:paraId="3B52BD80">
      <w:pPr>
        <w:pStyle w:val="2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sz w:val="24"/>
          <w:szCs w:val="24"/>
        </w:rPr>
      </w:pPr>
      <w:r>
        <w:rPr>
          <w:rFonts w:ascii="Times New Roman" w:hAnsi="Times New Roman"/>
          <w:bCs/>
          <w:snapToGrid w:val="0"/>
          <w:color w:val="000000" w:themeColor="text1"/>
          <w:sz w:val="24"/>
          <w:szCs w:val="24"/>
          <w14:textFill>
            <w14:solidFill>
              <w14:schemeClr w14:val="tx1"/>
            </w14:solidFill>
          </w14:textFill>
        </w:rPr>
        <w:fldChar w:fldCharType="begin"/>
      </w:r>
      <w:r>
        <w:rPr>
          <w:rFonts w:ascii="Times New Roman" w:hAnsi="Times New Roman"/>
          <w:bCs/>
          <w:snapToGrid w:val="0"/>
          <w:sz w:val="24"/>
          <w:szCs w:val="24"/>
        </w:rPr>
        <w:instrText xml:space="preserve"> HYPERLINK \l _Toc6887 </w:instrText>
      </w:r>
      <w:r>
        <w:rPr>
          <w:rFonts w:ascii="Times New Roman" w:hAnsi="Times New Roman"/>
          <w:bCs/>
          <w:snapToGrid w:val="0"/>
          <w:sz w:val="24"/>
          <w:szCs w:val="24"/>
        </w:rPr>
        <w:fldChar w:fldCharType="separate"/>
      </w:r>
      <w:r>
        <w:rPr>
          <w:rFonts w:ascii="Times New Roman" w:hAnsi="Times New Roman"/>
          <w:bCs/>
          <w:snapToGrid w:val="0"/>
          <w:sz w:val="24"/>
          <w:szCs w:val="24"/>
        </w:rPr>
        <w:t>三、区域环境质量现状、环境保护目标及评价标准</w:t>
      </w:r>
      <w:r>
        <w:rPr>
          <w:sz w:val="24"/>
          <w:szCs w:val="24"/>
        </w:rPr>
        <w:tab/>
      </w:r>
      <w:r>
        <w:rPr>
          <w:sz w:val="24"/>
          <w:szCs w:val="24"/>
        </w:rPr>
        <w:fldChar w:fldCharType="begin"/>
      </w:r>
      <w:r>
        <w:rPr>
          <w:sz w:val="24"/>
          <w:szCs w:val="24"/>
        </w:rPr>
        <w:instrText xml:space="preserve"> PAGEREF _Toc6887 \h </w:instrText>
      </w:r>
      <w:r>
        <w:rPr>
          <w:sz w:val="24"/>
          <w:szCs w:val="24"/>
        </w:rPr>
        <w:fldChar w:fldCharType="separate"/>
      </w:r>
      <w:r>
        <w:rPr>
          <w:sz w:val="24"/>
          <w:szCs w:val="24"/>
        </w:rPr>
        <w:t>22</w:t>
      </w:r>
      <w:r>
        <w:rPr>
          <w:sz w:val="24"/>
          <w:szCs w:val="24"/>
        </w:rPr>
        <w:fldChar w:fldCharType="end"/>
      </w:r>
      <w:r>
        <w:rPr>
          <w:rFonts w:ascii="Times New Roman" w:hAnsi="Times New Roman"/>
          <w:bCs/>
          <w:snapToGrid w:val="0"/>
          <w:color w:val="000000" w:themeColor="text1"/>
          <w:sz w:val="24"/>
          <w:szCs w:val="24"/>
          <w14:textFill>
            <w14:solidFill>
              <w14:schemeClr w14:val="tx1"/>
            </w14:solidFill>
          </w14:textFill>
        </w:rPr>
        <w:fldChar w:fldCharType="end"/>
      </w:r>
    </w:p>
    <w:p w14:paraId="49804E1D">
      <w:pPr>
        <w:pStyle w:val="2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sz w:val="24"/>
          <w:szCs w:val="24"/>
        </w:rPr>
      </w:pPr>
      <w:r>
        <w:rPr>
          <w:rFonts w:ascii="Times New Roman" w:hAnsi="Times New Roman"/>
          <w:bCs/>
          <w:snapToGrid w:val="0"/>
          <w:color w:val="000000" w:themeColor="text1"/>
          <w:sz w:val="24"/>
          <w:szCs w:val="24"/>
          <w14:textFill>
            <w14:solidFill>
              <w14:schemeClr w14:val="tx1"/>
            </w14:solidFill>
          </w14:textFill>
        </w:rPr>
        <w:fldChar w:fldCharType="begin"/>
      </w:r>
      <w:r>
        <w:rPr>
          <w:rFonts w:ascii="Times New Roman" w:hAnsi="Times New Roman"/>
          <w:bCs/>
          <w:snapToGrid w:val="0"/>
          <w:sz w:val="24"/>
          <w:szCs w:val="24"/>
        </w:rPr>
        <w:instrText xml:space="preserve"> HYPERLINK \l _Toc9794 </w:instrText>
      </w:r>
      <w:r>
        <w:rPr>
          <w:rFonts w:ascii="Times New Roman" w:hAnsi="Times New Roman"/>
          <w:bCs/>
          <w:snapToGrid w:val="0"/>
          <w:sz w:val="24"/>
          <w:szCs w:val="24"/>
        </w:rPr>
        <w:fldChar w:fldCharType="separate"/>
      </w:r>
      <w:r>
        <w:rPr>
          <w:rFonts w:ascii="Times New Roman" w:hAnsi="Times New Roman"/>
          <w:bCs/>
          <w:snapToGrid w:val="0"/>
          <w:sz w:val="24"/>
          <w:szCs w:val="24"/>
        </w:rPr>
        <w:t>四、主要环境影响和保护措施</w:t>
      </w:r>
      <w:r>
        <w:rPr>
          <w:sz w:val="24"/>
          <w:szCs w:val="24"/>
        </w:rPr>
        <w:tab/>
      </w:r>
      <w:r>
        <w:rPr>
          <w:sz w:val="24"/>
          <w:szCs w:val="24"/>
        </w:rPr>
        <w:fldChar w:fldCharType="begin"/>
      </w:r>
      <w:r>
        <w:rPr>
          <w:sz w:val="24"/>
          <w:szCs w:val="24"/>
        </w:rPr>
        <w:instrText xml:space="preserve"> PAGEREF _Toc9794 \h </w:instrText>
      </w:r>
      <w:r>
        <w:rPr>
          <w:sz w:val="24"/>
          <w:szCs w:val="24"/>
        </w:rPr>
        <w:fldChar w:fldCharType="separate"/>
      </w:r>
      <w:r>
        <w:rPr>
          <w:sz w:val="24"/>
          <w:szCs w:val="24"/>
        </w:rPr>
        <w:t>29</w:t>
      </w:r>
      <w:r>
        <w:rPr>
          <w:sz w:val="24"/>
          <w:szCs w:val="24"/>
        </w:rPr>
        <w:fldChar w:fldCharType="end"/>
      </w:r>
      <w:r>
        <w:rPr>
          <w:rFonts w:ascii="Times New Roman" w:hAnsi="Times New Roman"/>
          <w:bCs/>
          <w:snapToGrid w:val="0"/>
          <w:color w:val="000000" w:themeColor="text1"/>
          <w:sz w:val="24"/>
          <w:szCs w:val="24"/>
          <w14:textFill>
            <w14:solidFill>
              <w14:schemeClr w14:val="tx1"/>
            </w14:solidFill>
          </w14:textFill>
        </w:rPr>
        <w:fldChar w:fldCharType="end"/>
      </w:r>
    </w:p>
    <w:p w14:paraId="0B574BE3">
      <w:pPr>
        <w:pStyle w:val="2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sz w:val="24"/>
          <w:szCs w:val="24"/>
        </w:rPr>
      </w:pPr>
      <w:r>
        <w:rPr>
          <w:rFonts w:ascii="Times New Roman" w:hAnsi="Times New Roman"/>
          <w:bCs/>
          <w:snapToGrid w:val="0"/>
          <w:color w:val="000000" w:themeColor="text1"/>
          <w:sz w:val="24"/>
          <w:szCs w:val="24"/>
          <w14:textFill>
            <w14:solidFill>
              <w14:schemeClr w14:val="tx1"/>
            </w14:solidFill>
          </w14:textFill>
        </w:rPr>
        <w:fldChar w:fldCharType="begin"/>
      </w:r>
      <w:r>
        <w:rPr>
          <w:rFonts w:ascii="Times New Roman" w:hAnsi="Times New Roman"/>
          <w:bCs/>
          <w:snapToGrid w:val="0"/>
          <w:sz w:val="24"/>
          <w:szCs w:val="24"/>
        </w:rPr>
        <w:instrText xml:space="preserve"> HYPERLINK \l _Toc15994 </w:instrText>
      </w:r>
      <w:r>
        <w:rPr>
          <w:rFonts w:ascii="Times New Roman" w:hAnsi="Times New Roman"/>
          <w:bCs/>
          <w:snapToGrid w:val="0"/>
          <w:sz w:val="24"/>
          <w:szCs w:val="24"/>
        </w:rPr>
        <w:fldChar w:fldCharType="separate"/>
      </w:r>
      <w:r>
        <w:rPr>
          <w:rFonts w:ascii="Times New Roman" w:hAnsi="Times New Roman"/>
          <w:bCs/>
          <w:snapToGrid w:val="0"/>
          <w:sz w:val="24"/>
          <w:szCs w:val="24"/>
        </w:rPr>
        <w:t>五、环境保护措施监督检查清单</w:t>
      </w:r>
      <w:r>
        <w:rPr>
          <w:sz w:val="24"/>
          <w:szCs w:val="24"/>
        </w:rPr>
        <w:tab/>
      </w:r>
      <w:r>
        <w:rPr>
          <w:sz w:val="24"/>
          <w:szCs w:val="24"/>
        </w:rPr>
        <w:fldChar w:fldCharType="begin"/>
      </w:r>
      <w:r>
        <w:rPr>
          <w:sz w:val="24"/>
          <w:szCs w:val="24"/>
        </w:rPr>
        <w:instrText xml:space="preserve"> PAGEREF _Toc15994 \h </w:instrText>
      </w:r>
      <w:r>
        <w:rPr>
          <w:sz w:val="24"/>
          <w:szCs w:val="24"/>
        </w:rPr>
        <w:fldChar w:fldCharType="separate"/>
      </w:r>
      <w:r>
        <w:rPr>
          <w:sz w:val="24"/>
          <w:szCs w:val="24"/>
        </w:rPr>
        <w:t>60</w:t>
      </w:r>
      <w:r>
        <w:rPr>
          <w:sz w:val="24"/>
          <w:szCs w:val="24"/>
        </w:rPr>
        <w:fldChar w:fldCharType="end"/>
      </w:r>
      <w:r>
        <w:rPr>
          <w:rFonts w:ascii="Times New Roman" w:hAnsi="Times New Roman"/>
          <w:bCs/>
          <w:snapToGrid w:val="0"/>
          <w:color w:val="000000" w:themeColor="text1"/>
          <w:sz w:val="24"/>
          <w:szCs w:val="24"/>
          <w14:textFill>
            <w14:solidFill>
              <w14:schemeClr w14:val="tx1"/>
            </w14:solidFill>
          </w14:textFill>
        </w:rPr>
        <w:fldChar w:fldCharType="end"/>
      </w:r>
    </w:p>
    <w:p w14:paraId="19B30571">
      <w:pPr>
        <w:pStyle w:val="2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sz w:val="24"/>
          <w:szCs w:val="24"/>
        </w:rPr>
      </w:pPr>
      <w:r>
        <w:rPr>
          <w:rFonts w:ascii="Times New Roman" w:hAnsi="Times New Roman"/>
          <w:bCs/>
          <w:snapToGrid w:val="0"/>
          <w:color w:val="000000" w:themeColor="text1"/>
          <w:sz w:val="24"/>
          <w:szCs w:val="24"/>
          <w14:textFill>
            <w14:solidFill>
              <w14:schemeClr w14:val="tx1"/>
            </w14:solidFill>
          </w14:textFill>
        </w:rPr>
        <w:fldChar w:fldCharType="begin"/>
      </w:r>
      <w:r>
        <w:rPr>
          <w:rFonts w:ascii="Times New Roman" w:hAnsi="Times New Roman"/>
          <w:bCs/>
          <w:snapToGrid w:val="0"/>
          <w:sz w:val="24"/>
          <w:szCs w:val="24"/>
        </w:rPr>
        <w:instrText xml:space="preserve"> HYPERLINK \l _Toc21676 </w:instrText>
      </w:r>
      <w:r>
        <w:rPr>
          <w:rFonts w:ascii="Times New Roman" w:hAnsi="Times New Roman"/>
          <w:bCs/>
          <w:snapToGrid w:val="0"/>
          <w:sz w:val="24"/>
          <w:szCs w:val="24"/>
        </w:rPr>
        <w:fldChar w:fldCharType="separate"/>
      </w:r>
      <w:r>
        <w:rPr>
          <w:rFonts w:ascii="Times New Roman" w:hAnsi="Times New Roman"/>
          <w:bCs/>
          <w:snapToGrid w:val="0"/>
          <w:sz w:val="24"/>
          <w:szCs w:val="24"/>
        </w:rPr>
        <w:t>六、结论</w:t>
      </w:r>
      <w:r>
        <w:rPr>
          <w:sz w:val="24"/>
          <w:szCs w:val="24"/>
        </w:rPr>
        <w:tab/>
      </w:r>
      <w:r>
        <w:rPr>
          <w:sz w:val="24"/>
          <w:szCs w:val="24"/>
        </w:rPr>
        <w:fldChar w:fldCharType="begin"/>
      </w:r>
      <w:r>
        <w:rPr>
          <w:sz w:val="24"/>
          <w:szCs w:val="24"/>
        </w:rPr>
        <w:instrText xml:space="preserve"> PAGEREF _Toc21676 \h </w:instrText>
      </w:r>
      <w:r>
        <w:rPr>
          <w:sz w:val="24"/>
          <w:szCs w:val="24"/>
        </w:rPr>
        <w:fldChar w:fldCharType="separate"/>
      </w:r>
      <w:r>
        <w:rPr>
          <w:sz w:val="24"/>
          <w:szCs w:val="24"/>
        </w:rPr>
        <w:t>62</w:t>
      </w:r>
      <w:r>
        <w:rPr>
          <w:sz w:val="24"/>
          <w:szCs w:val="24"/>
        </w:rPr>
        <w:fldChar w:fldCharType="end"/>
      </w:r>
      <w:r>
        <w:rPr>
          <w:rFonts w:ascii="Times New Roman" w:hAnsi="Times New Roman"/>
          <w:bCs/>
          <w:snapToGrid w:val="0"/>
          <w:color w:val="000000" w:themeColor="text1"/>
          <w:sz w:val="24"/>
          <w:szCs w:val="24"/>
          <w14:textFill>
            <w14:solidFill>
              <w14:schemeClr w14:val="tx1"/>
            </w14:solidFill>
          </w14:textFill>
        </w:rPr>
        <w:fldChar w:fldCharType="end"/>
      </w:r>
    </w:p>
    <w:p w14:paraId="666E4044">
      <w:pPr>
        <w:pStyle w:val="28"/>
        <w:keepNext w:val="0"/>
        <w:keepLines w:val="0"/>
        <w:pageBreakBefore w:val="0"/>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ascii="Times New Roman" w:hAnsi="Times New Roman"/>
          <w:b/>
          <w:bCs/>
          <w:snapToGrid w:val="0"/>
          <w:color w:val="000000" w:themeColor="text1"/>
          <w:sz w:val="21"/>
          <w:szCs w:val="21"/>
          <w14:textFill>
            <w14:solidFill>
              <w14:schemeClr w14:val="tx1"/>
            </w14:solidFill>
          </w14:textFill>
        </w:rPr>
        <w:sectPr>
          <w:headerReference r:id="rId3" w:type="default"/>
          <w:footerReference r:id="rId4" w:type="default"/>
          <w:pgSz w:w="11906" w:h="16838"/>
          <w:pgMar w:top="1701" w:right="1531" w:bottom="1701" w:left="1531" w:header="851" w:footer="1077" w:gutter="0"/>
          <w:pgNumType w:start="1"/>
          <w:cols w:space="720" w:num="1"/>
          <w:docGrid w:linePitch="312" w:charSpace="0"/>
        </w:sectPr>
      </w:pPr>
      <w:r>
        <w:rPr>
          <w:rFonts w:ascii="Times New Roman" w:hAnsi="Times New Roman"/>
          <w:bCs/>
          <w:snapToGrid w:val="0"/>
          <w:color w:val="000000" w:themeColor="text1"/>
          <w:sz w:val="24"/>
          <w:szCs w:val="24"/>
          <w14:textFill>
            <w14:solidFill>
              <w14:schemeClr w14:val="tx1"/>
            </w14:solidFill>
          </w14:textFill>
        </w:rPr>
        <w:fldChar w:fldCharType="end"/>
      </w:r>
    </w:p>
    <w:p w14:paraId="4B4FF42A">
      <w:pPr>
        <w:pStyle w:val="28"/>
        <w:jc w:val="center"/>
        <w:outlineLvl w:val="0"/>
        <w:rPr>
          <w:rFonts w:ascii="Times New Roman" w:hAnsi="Times New Roman"/>
          <w:b/>
          <w:bCs/>
          <w:snapToGrid w:val="0"/>
          <w:color w:val="000000" w:themeColor="text1"/>
          <w:sz w:val="30"/>
          <w:szCs w:val="30"/>
          <w14:textFill>
            <w14:solidFill>
              <w14:schemeClr w14:val="tx1"/>
            </w14:solidFill>
          </w14:textFill>
        </w:rPr>
      </w:pPr>
      <w:bookmarkStart w:id="12" w:name="_Toc22043"/>
      <w:r>
        <w:rPr>
          <w:rFonts w:ascii="Times New Roman" w:hAnsi="Times New Roman"/>
          <w:b/>
          <w:bCs/>
          <w:snapToGrid w:val="0"/>
          <w:color w:val="000000" w:themeColor="text1"/>
          <w:sz w:val="30"/>
          <w:szCs w:val="30"/>
          <w14:textFill>
            <w14:solidFill>
              <w14:schemeClr w14:val="tx1"/>
            </w14:solidFill>
          </w14:textFill>
        </w:rPr>
        <w:t>一、建设项目基本情况</w:t>
      </w:r>
      <w:bookmarkEnd w:id="12"/>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699"/>
        <w:gridCol w:w="1664"/>
        <w:gridCol w:w="2627"/>
        <w:gridCol w:w="2880"/>
      </w:tblGrid>
      <w:tr w14:paraId="73F419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99" w:type="dxa"/>
            <w:noWrap w:val="0"/>
            <w:tcMar>
              <w:top w:w="16" w:type="dxa"/>
              <w:left w:w="16" w:type="dxa"/>
              <w:right w:w="16" w:type="dxa"/>
            </w:tcMar>
            <w:vAlign w:val="center"/>
          </w:tcPr>
          <w:p w14:paraId="09EA1DE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建设项目名称</w:t>
            </w:r>
          </w:p>
        </w:tc>
        <w:tc>
          <w:tcPr>
            <w:tcW w:w="7171" w:type="dxa"/>
            <w:gridSpan w:val="3"/>
            <w:noWrap w:val="0"/>
            <w:vAlign w:val="center"/>
          </w:tcPr>
          <w:p w14:paraId="134A743B">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湛江市品涤洗衣服务有限公司年清洗62万套被服和26万套台布建设项目</w:t>
            </w:r>
          </w:p>
        </w:tc>
      </w:tr>
      <w:tr w14:paraId="78C9D6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99" w:type="dxa"/>
            <w:noWrap w:val="0"/>
            <w:tcMar>
              <w:top w:w="16" w:type="dxa"/>
              <w:left w:w="16" w:type="dxa"/>
              <w:right w:w="16" w:type="dxa"/>
            </w:tcMar>
            <w:vAlign w:val="center"/>
          </w:tcPr>
          <w:p w14:paraId="61A978E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项目代码</w:t>
            </w:r>
          </w:p>
        </w:tc>
        <w:tc>
          <w:tcPr>
            <w:tcW w:w="7171" w:type="dxa"/>
            <w:gridSpan w:val="3"/>
            <w:noWrap w:val="0"/>
            <w:vAlign w:val="center"/>
          </w:tcPr>
          <w:p w14:paraId="2562918C">
            <w:pPr>
              <w:widowControl/>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2607-440803-04-01-379079</w:t>
            </w:r>
          </w:p>
        </w:tc>
      </w:tr>
      <w:tr w14:paraId="27755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99" w:type="dxa"/>
            <w:noWrap w:val="0"/>
            <w:tcMar>
              <w:top w:w="16" w:type="dxa"/>
              <w:left w:w="16" w:type="dxa"/>
              <w:right w:w="16" w:type="dxa"/>
            </w:tcMar>
            <w:vAlign w:val="center"/>
          </w:tcPr>
          <w:p w14:paraId="4CF68C4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建设单位联系人</w:t>
            </w:r>
          </w:p>
        </w:tc>
        <w:tc>
          <w:tcPr>
            <w:tcW w:w="1664" w:type="dxa"/>
            <w:noWrap w:val="0"/>
            <w:vAlign w:val="center"/>
          </w:tcPr>
          <w:p w14:paraId="7D5C211B">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2627" w:type="dxa"/>
            <w:noWrap w:val="0"/>
            <w:vAlign w:val="center"/>
          </w:tcPr>
          <w:p w14:paraId="09F5D9A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联系方式</w:t>
            </w:r>
          </w:p>
        </w:tc>
        <w:tc>
          <w:tcPr>
            <w:tcW w:w="2880" w:type="dxa"/>
            <w:noWrap w:val="0"/>
            <w:vAlign w:val="center"/>
          </w:tcPr>
          <w:p w14:paraId="02BBFB1A">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r>
      <w:tr w14:paraId="522EA4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1699" w:type="dxa"/>
            <w:noWrap w:val="0"/>
            <w:tcMar>
              <w:top w:w="16" w:type="dxa"/>
              <w:left w:w="16" w:type="dxa"/>
              <w:right w:w="16" w:type="dxa"/>
            </w:tcMar>
            <w:vAlign w:val="center"/>
          </w:tcPr>
          <w:p w14:paraId="5259318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建设地点</w:t>
            </w:r>
          </w:p>
        </w:tc>
        <w:tc>
          <w:tcPr>
            <w:tcW w:w="7171" w:type="dxa"/>
            <w:gridSpan w:val="3"/>
            <w:noWrap w:val="0"/>
            <w:vAlign w:val="center"/>
          </w:tcPr>
          <w:p w14:paraId="038EFF6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湛江市霞山区铁路粤西农垦供销总公司南山库区8381-1仓</w:t>
            </w:r>
          </w:p>
        </w:tc>
      </w:tr>
      <w:tr w14:paraId="247F0B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99" w:type="dxa"/>
            <w:noWrap w:val="0"/>
            <w:tcMar>
              <w:top w:w="16" w:type="dxa"/>
              <w:left w:w="16" w:type="dxa"/>
              <w:right w:w="16" w:type="dxa"/>
            </w:tcMar>
            <w:vAlign w:val="center"/>
          </w:tcPr>
          <w:p w14:paraId="4C36804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地理坐标</w:t>
            </w:r>
          </w:p>
        </w:tc>
        <w:tc>
          <w:tcPr>
            <w:tcW w:w="7171" w:type="dxa"/>
            <w:gridSpan w:val="3"/>
            <w:noWrap w:val="0"/>
            <w:vAlign w:val="center"/>
          </w:tcPr>
          <w:p w14:paraId="2A216962">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（经度E</w:t>
            </w:r>
            <w:r>
              <w:rPr>
                <w:rFonts w:ascii="Times New Roman" w:hAnsi="Times New Roman" w:eastAsia="宋体" w:cs="Times New Roman"/>
                <w:color w:val="000000" w:themeColor="text1"/>
                <w:szCs w:val="21"/>
                <w:u w:val="single"/>
                <w14:textFill>
                  <w14:solidFill>
                    <w14:schemeClr w14:val="tx1"/>
                  </w14:solidFill>
                </w14:textFill>
              </w:rPr>
              <w:t>110</w:t>
            </w:r>
            <w:r>
              <w:rPr>
                <w:rFonts w:ascii="Times New Roman" w:hAnsi="Times New Roman" w:eastAsia="宋体" w:cs="Times New Roman"/>
                <w:color w:val="000000" w:themeColor="text1"/>
                <w:szCs w:val="21"/>
                <w14:textFill>
                  <w14:solidFill>
                    <w14:schemeClr w14:val="tx1"/>
                  </w14:solidFill>
                </w14:textFill>
              </w:rPr>
              <w:t>度</w:t>
            </w:r>
            <w:r>
              <w:rPr>
                <w:rFonts w:ascii="Times New Roman" w:hAnsi="Times New Roman" w:eastAsia="宋体" w:cs="Times New Roman"/>
                <w:color w:val="000000" w:themeColor="text1"/>
                <w:szCs w:val="21"/>
                <w:u w:val="single"/>
                <w14:textFill>
                  <w14:solidFill>
                    <w14:schemeClr w14:val="tx1"/>
                  </w14:solidFill>
                </w14:textFill>
              </w:rPr>
              <w:t>22</w:t>
            </w:r>
            <w:r>
              <w:rPr>
                <w:rFonts w:ascii="Times New Roman" w:hAnsi="Times New Roman" w:eastAsia="宋体" w:cs="Times New Roman"/>
                <w:color w:val="000000" w:themeColor="text1"/>
                <w:szCs w:val="21"/>
                <w14:textFill>
                  <w14:solidFill>
                    <w14:schemeClr w14:val="tx1"/>
                  </w14:solidFill>
                </w14:textFill>
              </w:rPr>
              <w:t>分</w:t>
            </w:r>
            <w:r>
              <w:rPr>
                <w:rFonts w:ascii="Times New Roman" w:hAnsi="Times New Roman" w:eastAsia="宋体" w:cs="Times New Roman"/>
                <w:color w:val="000000" w:themeColor="text1"/>
                <w:szCs w:val="21"/>
                <w:u w:val="single"/>
                <w14:textFill>
                  <w14:solidFill>
                    <w14:schemeClr w14:val="tx1"/>
                  </w14:solidFill>
                </w14:textFill>
              </w:rPr>
              <w:t>5.71</w:t>
            </w:r>
            <w:r>
              <w:rPr>
                <w:rFonts w:ascii="Times New Roman" w:hAnsi="Times New Roman" w:eastAsia="宋体" w:cs="Times New Roman"/>
                <w:color w:val="000000" w:themeColor="text1"/>
                <w:szCs w:val="21"/>
                <w14:textFill>
                  <w14:solidFill>
                    <w14:schemeClr w14:val="tx1"/>
                  </w14:solidFill>
                </w14:textFill>
              </w:rPr>
              <w:t>秒，纬度N</w:t>
            </w:r>
            <w:r>
              <w:rPr>
                <w:rFonts w:ascii="Times New Roman" w:hAnsi="Times New Roman" w:eastAsia="宋体" w:cs="Times New Roman"/>
                <w:color w:val="000000" w:themeColor="text1"/>
                <w:szCs w:val="21"/>
                <w:u w:val="single"/>
                <w14:textFill>
                  <w14:solidFill>
                    <w14:schemeClr w14:val="tx1"/>
                  </w14:solidFill>
                </w14:textFill>
              </w:rPr>
              <w:t>21</w:t>
            </w:r>
            <w:r>
              <w:rPr>
                <w:rFonts w:ascii="Times New Roman" w:hAnsi="Times New Roman" w:eastAsia="宋体" w:cs="Times New Roman"/>
                <w:color w:val="000000" w:themeColor="text1"/>
                <w:szCs w:val="21"/>
                <w14:textFill>
                  <w14:solidFill>
                    <w14:schemeClr w14:val="tx1"/>
                  </w14:solidFill>
                </w14:textFill>
              </w:rPr>
              <w:t>度</w:t>
            </w:r>
            <w:r>
              <w:rPr>
                <w:rFonts w:ascii="Times New Roman" w:hAnsi="Times New Roman" w:eastAsia="宋体" w:cs="Times New Roman"/>
                <w:color w:val="000000" w:themeColor="text1"/>
                <w:szCs w:val="21"/>
                <w:u w:val="single"/>
                <w14:textFill>
                  <w14:solidFill>
                    <w14:schemeClr w14:val="tx1"/>
                  </w14:solidFill>
                </w14:textFill>
              </w:rPr>
              <w:t>12</w:t>
            </w:r>
            <w:r>
              <w:rPr>
                <w:rFonts w:ascii="Times New Roman" w:hAnsi="Times New Roman" w:eastAsia="宋体" w:cs="Times New Roman"/>
                <w:color w:val="000000" w:themeColor="text1"/>
                <w:szCs w:val="21"/>
                <w14:textFill>
                  <w14:solidFill>
                    <w14:schemeClr w14:val="tx1"/>
                  </w14:solidFill>
                </w14:textFill>
              </w:rPr>
              <w:t>分</w:t>
            </w:r>
            <w:r>
              <w:rPr>
                <w:rFonts w:ascii="Times New Roman" w:hAnsi="Times New Roman" w:eastAsia="宋体" w:cs="Times New Roman"/>
                <w:color w:val="000000" w:themeColor="text1"/>
                <w:szCs w:val="21"/>
                <w:u w:val="single"/>
                <w14:textFill>
                  <w14:solidFill>
                    <w14:schemeClr w14:val="tx1"/>
                  </w14:solidFill>
                </w14:textFill>
              </w:rPr>
              <w:t>7.75</w:t>
            </w:r>
            <w:r>
              <w:rPr>
                <w:rFonts w:ascii="Times New Roman" w:hAnsi="Times New Roman" w:eastAsia="宋体" w:cs="Times New Roman"/>
                <w:color w:val="000000" w:themeColor="text1"/>
                <w:szCs w:val="21"/>
                <w14:textFill>
                  <w14:solidFill>
                    <w14:schemeClr w14:val="tx1"/>
                  </w14:solidFill>
                </w14:textFill>
              </w:rPr>
              <w:t>秒）</w:t>
            </w:r>
          </w:p>
        </w:tc>
      </w:tr>
      <w:tr w14:paraId="1D9B4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699" w:type="dxa"/>
            <w:noWrap w:val="0"/>
            <w:tcMar>
              <w:top w:w="16" w:type="dxa"/>
              <w:left w:w="16" w:type="dxa"/>
              <w:right w:w="16" w:type="dxa"/>
            </w:tcMar>
            <w:vAlign w:val="center"/>
          </w:tcPr>
          <w:p w14:paraId="50BF648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国民经济</w:t>
            </w:r>
          </w:p>
          <w:p w14:paraId="5C0B8FF4">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行业类别</w:t>
            </w:r>
          </w:p>
        </w:tc>
        <w:tc>
          <w:tcPr>
            <w:tcW w:w="1664" w:type="dxa"/>
            <w:noWrap w:val="0"/>
            <w:vAlign w:val="center"/>
          </w:tcPr>
          <w:p w14:paraId="1D65AF28">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O8030</w:t>
            </w:r>
            <w:r>
              <w:rPr>
                <w:rFonts w:hint="eastAsia" w:ascii="Times New Roman" w:hAnsi="Times New Roman" w:eastAsia="宋体" w:cs="Times New Roman"/>
                <w:color w:val="000000" w:themeColor="text1"/>
                <w:szCs w:val="21"/>
                <w14:textFill>
                  <w14:solidFill>
                    <w14:schemeClr w14:val="tx1"/>
                  </w14:solidFill>
                </w14:textFill>
              </w:rPr>
              <w:t>洗染服务</w:t>
            </w:r>
          </w:p>
          <w:p w14:paraId="7E384CF7">
            <w:pPr>
              <w:adjustRightInd w:val="0"/>
              <w:snapToGrid w:val="0"/>
              <w:jc w:val="center"/>
              <w:rPr>
                <w:rStyle w:val="39"/>
                <w:color w:val="000000" w:themeColor="text1"/>
                <w:kern w:val="0"/>
                <w:szCs w:val="20"/>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D4430热力生产和供应</w:t>
            </w:r>
          </w:p>
          <w:p w14:paraId="463195D7">
            <w:pPr>
              <w:adjustRightInd w:val="0"/>
              <w:snapToGrid w:val="0"/>
              <w:jc w:val="center"/>
              <w:rPr>
                <w:rStyle w:val="39"/>
                <w:rFonts w:hint="eastAsia"/>
                <w:color w:val="000000" w:themeColor="text1"/>
                <w:kern w:val="0"/>
                <w:szCs w:val="20"/>
                <w14:textFill>
                  <w14:solidFill>
                    <w14:schemeClr w14:val="tx1"/>
                  </w14:solidFill>
                </w14:textFill>
              </w:rPr>
            </w:pPr>
          </w:p>
        </w:tc>
        <w:tc>
          <w:tcPr>
            <w:tcW w:w="2627" w:type="dxa"/>
            <w:noWrap w:val="0"/>
            <w:vAlign w:val="center"/>
          </w:tcPr>
          <w:p w14:paraId="0D4528C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bookmarkStart w:id="13" w:name="_Hlk49843745"/>
            <w:r>
              <w:rPr>
                <w:rFonts w:ascii="Times New Roman" w:hAnsi="Times New Roman" w:eastAsia="宋体" w:cs="Times New Roman"/>
                <w:color w:val="000000" w:themeColor="text1"/>
                <w:szCs w:val="21"/>
                <w14:textFill>
                  <w14:solidFill>
                    <w14:schemeClr w14:val="tx1"/>
                  </w14:solidFill>
                </w14:textFill>
              </w:rPr>
              <w:t>建设项目</w:t>
            </w:r>
          </w:p>
          <w:p w14:paraId="518123B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行业类别</w:t>
            </w:r>
            <w:bookmarkEnd w:id="13"/>
          </w:p>
        </w:tc>
        <w:tc>
          <w:tcPr>
            <w:tcW w:w="2880" w:type="dxa"/>
            <w:noWrap w:val="0"/>
            <w:vAlign w:val="center"/>
          </w:tcPr>
          <w:p w14:paraId="05D072A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四十一、电力、热力生产和供应业-91、热力生产和供应工程（包括建设单位自建自用的供热工程）-燃煤、燃油锅炉总容量65吨/小时（45.5兆瓦）及以下的；天然气锅炉总容量1吨/小时（0.7兆瓦）以上的；使用其他高污染燃料的</w:t>
            </w:r>
          </w:p>
        </w:tc>
      </w:tr>
      <w:tr w14:paraId="7A3FD7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699" w:type="dxa"/>
            <w:noWrap w:val="0"/>
            <w:tcMar>
              <w:top w:w="16" w:type="dxa"/>
              <w:left w:w="16" w:type="dxa"/>
              <w:right w:w="16" w:type="dxa"/>
            </w:tcMar>
            <w:vAlign w:val="center"/>
          </w:tcPr>
          <w:p w14:paraId="75446BC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建设性质</w:t>
            </w:r>
          </w:p>
        </w:tc>
        <w:tc>
          <w:tcPr>
            <w:tcW w:w="1664" w:type="dxa"/>
            <w:noWrap w:val="0"/>
            <w:vAlign w:val="center"/>
          </w:tcPr>
          <w:p w14:paraId="4C2F34E2">
            <w:pPr>
              <w:jc w:val="left"/>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新建（迁建）</w:t>
            </w:r>
          </w:p>
          <w:p w14:paraId="244B8615">
            <w:pPr>
              <w:jc w:val="left"/>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改建</w:t>
            </w:r>
          </w:p>
          <w:p w14:paraId="5048DD51">
            <w:pPr>
              <w:jc w:val="left"/>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扩建</w:t>
            </w:r>
          </w:p>
          <w:p w14:paraId="7B5D039C">
            <w:pPr>
              <w:jc w:val="left"/>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技术改造</w:t>
            </w:r>
          </w:p>
        </w:tc>
        <w:tc>
          <w:tcPr>
            <w:tcW w:w="2627" w:type="dxa"/>
            <w:noWrap w:val="0"/>
            <w:vAlign w:val="center"/>
          </w:tcPr>
          <w:p w14:paraId="19431AE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建设项目</w:t>
            </w:r>
          </w:p>
          <w:p w14:paraId="2FE9CE9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申报情形</w:t>
            </w:r>
          </w:p>
        </w:tc>
        <w:tc>
          <w:tcPr>
            <w:tcW w:w="2880" w:type="dxa"/>
            <w:noWrap w:val="0"/>
            <w:vAlign w:val="center"/>
          </w:tcPr>
          <w:p w14:paraId="5F977F1A">
            <w:pPr>
              <w:jc w:val="left"/>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首次申报项目</w:t>
            </w:r>
          </w:p>
          <w:p w14:paraId="27663E65">
            <w:pPr>
              <w:jc w:val="left"/>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不予批准后再次申报项目</w:t>
            </w:r>
          </w:p>
          <w:p w14:paraId="0E4B1D0A">
            <w:pPr>
              <w:jc w:val="left"/>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超五年重新审核项目</w:t>
            </w:r>
          </w:p>
          <w:p w14:paraId="55A59B0C">
            <w:pPr>
              <w:jc w:val="left"/>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重大变动重新报批项目</w:t>
            </w:r>
          </w:p>
        </w:tc>
      </w:tr>
      <w:tr w14:paraId="12BD95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699" w:type="dxa"/>
            <w:noWrap w:val="0"/>
            <w:tcMar>
              <w:top w:w="16" w:type="dxa"/>
              <w:left w:w="16" w:type="dxa"/>
              <w:right w:w="16" w:type="dxa"/>
            </w:tcMar>
            <w:vAlign w:val="center"/>
          </w:tcPr>
          <w:p w14:paraId="795AB85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项目审批（核准/</w:t>
            </w:r>
          </w:p>
          <w:p w14:paraId="4D486C10">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备案）部门（选填）</w:t>
            </w:r>
          </w:p>
        </w:tc>
        <w:tc>
          <w:tcPr>
            <w:tcW w:w="1664" w:type="dxa"/>
            <w:noWrap w:val="0"/>
            <w:vAlign w:val="center"/>
          </w:tcPr>
          <w:p w14:paraId="6FE4F3A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2627" w:type="dxa"/>
            <w:noWrap w:val="0"/>
            <w:vAlign w:val="center"/>
          </w:tcPr>
          <w:p w14:paraId="3E736F1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项目审批（核准/</w:t>
            </w:r>
          </w:p>
          <w:p w14:paraId="17B3B03F">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备案）文号（选填）</w:t>
            </w:r>
          </w:p>
        </w:tc>
        <w:tc>
          <w:tcPr>
            <w:tcW w:w="2880" w:type="dxa"/>
            <w:noWrap w:val="0"/>
            <w:vAlign w:val="center"/>
          </w:tcPr>
          <w:p w14:paraId="4368921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r>
      <w:tr w14:paraId="36578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9" w:type="dxa"/>
            <w:noWrap w:val="0"/>
            <w:tcMar>
              <w:top w:w="16" w:type="dxa"/>
              <w:left w:w="16" w:type="dxa"/>
              <w:right w:w="16" w:type="dxa"/>
            </w:tcMar>
            <w:vAlign w:val="center"/>
          </w:tcPr>
          <w:p w14:paraId="2C7542A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总投资（万元）</w:t>
            </w:r>
          </w:p>
        </w:tc>
        <w:tc>
          <w:tcPr>
            <w:tcW w:w="1664" w:type="dxa"/>
            <w:noWrap w:val="0"/>
            <w:vAlign w:val="center"/>
          </w:tcPr>
          <w:p w14:paraId="56F3878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7</w:t>
            </w:r>
            <w:r>
              <w:rPr>
                <w:rFonts w:hint="eastAsia" w:ascii="Times New Roman" w:hAnsi="Times New Roman" w:eastAsia="宋体" w:cs="Times New Roman"/>
                <w:color w:val="000000" w:themeColor="text1"/>
                <w:szCs w:val="21"/>
                <w14:textFill>
                  <w14:solidFill>
                    <w14:schemeClr w14:val="tx1"/>
                  </w14:solidFill>
                </w14:textFill>
              </w:rPr>
              <w:t>00</w:t>
            </w:r>
          </w:p>
        </w:tc>
        <w:tc>
          <w:tcPr>
            <w:tcW w:w="2627" w:type="dxa"/>
            <w:noWrap w:val="0"/>
            <w:tcMar>
              <w:top w:w="16" w:type="dxa"/>
              <w:left w:w="16" w:type="dxa"/>
              <w:right w:w="16" w:type="dxa"/>
            </w:tcMar>
            <w:vAlign w:val="center"/>
          </w:tcPr>
          <w:p w14:paraId="578B96B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环保投资（万元）</w:t>
            </w:r>
          </w:p>
        </w:tc>
        <w:tc>
          <w:tcPr>
            <w:tcW w:w="2880" w:type="dxa"/>
            <w:noWrap w:val="0"/>
            <w:vAlign w:val="center"/>
          </w:tcPr>
          <w:p w14:paraId="35CD9394">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105</w:t>
            </w:r>
          </w:p>
        </w:tc>
      </w:tr>
      <w:tr w14:paraId="5C841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9" w:type="dxa"/>
            <w:noWrap w:val="0"/>
            <w:tcMar>
              <w:top w:w="16" w:type="dxa"/>
              <w:left w:w="16" w:type="dxa"/>
              <w:right w:w="16" w:type="dxa"/>
            </w:tcMar>
            <w:vAlign w:val="center"/>
          </w:tcPr>
          <w:p w14:paraId="56F41CB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环保投资占比（%）</w:t>
            </w:r>
          </w:p>
        </w:tc>
        <w:tc>
          <w:tcPr>
            <w:tcW w:w="1664" w:type="dxa"/>
            <w:noWrap w:val="0"/>
            <w:vAlign w:val="center"/>
          </w:tcPr>
          <w:p w14:paraId="619D0EF7">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15</w:t>
            </w:r>
          </w:p>
        </w:tc>
        <w:tc>
          <w:tcPr>
            <w:tcW w:w="2627" w:type="dxa"/>
            <w:noWrap w:val="0"/>
            <w:tcMar>
              <w:top w:w="16" w:type="dxa"/>
              <w:left w:w="16" w:type="dxa"/>
              <w:right w:w="16" w:type="dxa"/>
            </w:tcMar>
            <w:vAlign w:val="center"/>
          </w:tcPr>
          <w:p w14:paraId="35A697C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施工工期</w:t>
            </w:r>
          </w:p>
        </w:tc>
        <w:tc>
          <w:tcPr>
            <w:tcW w:w="2880" w:type="dxa"/>
            <w:noWrap w:val="0"/>
            <w:vAlign w:val="center"/>
          </w:tcPr>
          <w:p w14:paraId="05805FD0">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个月</w:t>
            </w:r>
          </w:p>
        </w:tc>
      </w:tr>
      <w:tr w14:paraId="6F50D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99" w:type="dxa"/>
            <w:noWrap w:val="0"/>
            <w:tcMar>
              <w:top w:w="16" w:type="dxa"/>
              <w:left w:w="16" w:type="dxa"/>
              <w:right w:w="16" w:type="dxa"/>
            </w:tcMar>
            <w:vAlign w:val="center"/>
          </w:tcPr>
          <w:p w14:paraId="26BBFF4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是否开工建设</w:t>
            </w:r>
          </w:p>
        </w:tc>
        <w:tc>
          <w:tcPr>
            <w:tcW w:w="1664" w:type="dxa"/>
            <w:noWrap w:val="0"/>
            <w:vAlign w:val="center"/>
          </w:tcPr>
          <w:p w14:paraId="2E3467CE">
            <w:pPr>
              <w:adjustRightInd w:val="0"/>
              <w:snapToGrid w:val="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否</w:t>
            </w:r>
          </w:p>
          <w:p w14:paraId="3D5BE5D4">
            <w:pPr>
              <w:adjustRightInd w:val="0"/>
              <w:snapToGrid w:val="0"/>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是：</w:t>
            </w:r>
          </w:p>
        </w:tc>
        <w:tc>
          <w:tcPr>
            <w:tcW w:w="2627" w:type="dxa"/>
            <w:noWrap w:val="0"/>
            <w:tcMar>
              <w:top w:w="16" w:type="dxa"/>
              <w:left w:w="16" w:type="dxa"/>
              <w:right w:w="16" w:type="dxa"/>
            </w:tcMar>
            <w:vAlign w:val="center"/>
          </w:tcPr>
          <w:p w14:paraId="26779660">
            <w:pPr>
              <w:adjustRightInd w:val="0"/>
              <w:snapToGrid w:val="0"/>
              <w:jc w:val="center"/>
              <w:rPr>
                <w:rFonts w:ascii="Times New Roman" w:hAnsi="Times New Roman" w:eastAsia="宋体" w:cs="Times New Roman"/>
                <w:color w:val="000000" w:themeColor="text1"/>
                <w:spacing w:val="-6"/>
                <w:szCs w:val="21"/>
                <w14:textFill>
                  <w14:solidFill>
                    <w14:schemeClr w14:val="tx1"/>
                  </w14:solidFill>
                </w14:textFill>
              </w:rPr>
            </w:pPr>
            <w:r>
              <w:rPr>
                <w:rFonts w:ascii="Times New Roman" w:hAnsi="Times New Roman" w:eastAsia="宋体" w:cs="Times New Roman"/>
                <w:color w:val="000000" w:themeColor="text1"/>
                <w:spacing w:val="-6"/>
                <w:szCs w:val="21"/>
                <w14:textFill>
                  <w14:solidFill>
                    <w14:schemeClr w14:val="tx1"/>
                  </w14:solidFill>
                </w14:textFill>
              </w:rPr>
              <w:t>用地（用海）</w:t>
            </w:r>
          </w:p>
          <w:p w14:paraId="34BCDF0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pacing w:val="-6"/>
                <w:szCs w:val="21"/>
                <w14:textFill>
                  <w14:solidFill>
                    <w14:schemeClr w14:val="tx1"/>
                  </w14:solidFill>
                </w14:textFill>
              </w:rPr>
              <w:t>面积（m</w:t>
            </w:r>
            <w:r>
              <w:rPr>
                <w:rFonts w:ascii="Times New Roman" w:hAnsi="Times New Roman" w:eastAsia="宋体" w:cs="Times New Roman"/>
                <w:color w:val="000000" w:themeColor="text1"/>
                <w:spacing w:val="-6"/>
                <w:szCs w:val="21"/>
                <w:vertAlign w:val="superscript"/>
                <w14:textFill>
                  <w14:solidFill>
                    <w14:schemeClr w14:val="tx1"/>
                  </w14:solidFill>
                </w14:textFill>
              </w:rPr>
              <w:t>2</w:t>
            </w:r>
            <w:r>
              <w:rPr>
                <w:rFonts w:ascii="Times New Roman" w:hAnsi="Times New Roman" w:eastAsia="宋体" w:cs="Times New Roman"/>
                <w:color w:val="000000" w:themeColor="text1"/>
                <w:spacing w:val="-6"/>
                <w:szCs w:val="21"/>
                <w14:textFill>
                  <w14:solidFill>
                    <w14:schemeClr w14:val="tx1"/>
                  </w14:solidFill>
                </w14:textFill>
              </w:rPr>
              <w:t>）</w:t>
            </w:r>
          </w:p>
        </w:tc>
        <w:tc>
          <w:tcPr>
            <w:tcW w:w="2880" w:type="dxa"/>
            <w:noWrap w:val="0"/>
            <w:vAlign w:val="center"/>
          </w:tcPr>
          <w:p w14:paraId="6B11F552">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lang w:val="en-US" w:eastAsia="zh-CN"/>
                <w14:textFill>
                  <w14:solidFill>
                    <w14:schemeClr w14:val="tx1"/>
                  </w14:solidFill>
                </w14:textFill>
              </w:rPr>
              <w:t>758</w:t>
            </w:r>
          </w:p>
        </w:tc>
      </w:tr>
      <w:tr w14:paraId="2F10C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noWrap w:val="0"/>
            <w:vAlign w:val="center"/>
          </w:tcPr>
          <w:p w14:paraId="7D36C7ED">
            <w:pPr>
              <w:autoSpaceDE w:val="0"/>
              <w:autoSpaceDN w:val="0"/>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专项评价设置情况</w:t>
            </w:r>
          </w:p>
        </w:tc>
        <w:tc>
          <w:tcPr>
            <w:tcW w:w="7171" w:type="dxa"/>
            <w:gridSpan w:val="3"/>
            <w:noWrap w:val="0"/>
            <w:vAlign w:val="center"/>
          </w:tcPr>
          <w:p w14:paraId="4901DB3B">
            <w:pPr>
              <w:autoSpaceDE w:val="0"/>
              <w:autoSpaceDN w:val="0"/>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无</w:t>
            </w:r>
          </w:p>
        </w:tc>
      </w:tr>
      <w:tr w14:paraId="2BE1EB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noWrap w:val="0"/>
            <w:vAlign w:val="center"/>
          </w:tcPr>
          <w:p w14:paraId="6BC1BC73">
            <w:pPr>
              <w:autoSpaceDE w:val="0"/>
              <w:autoSpaceDN w:val="0"/>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规划情况</w:t>
            </w:r>
          </w:p>
        </w:tc>
        <w:tc>
          <w:tcPr>
            <w:tcW w:w="7171" w:type="dxa"/>
            <w:gridSpan w:val="3"/>
            <w:noWrap w:val="0"/>
            <w:vAlign w:val="center"/>
          </w:tcPr>
          <w:p w14:paraId="25DECDF4">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经核实，霞山服装工业区设立时未单独编制规划环境影响评价文件。本项目位于霞山服装工业区范围内，项目用地性质为</w:t>
            </w:r>
            <w:r>
              <w:rPr>
                <w:rFonts w:hint="eastAsia" w:cs="Times New Roman"/>
                <w:color w:val="000000" w:themeColor="text1"/>
                <w:szCs w:val="21"/>
                <w:lang w:val="en-US" w:eastAsia="zh-CN"/>
                <w14:textFill>
                  <w14:solidFill>
                    <w14:schemeClr w14:val="tx1"/>
                  </w14:solidFill>
                </w14:textFill>
              </w:rPr>
              <w:t>非住宅用地</w:t>
            </w:r>
            <w:r>
              <w:rPr>
                <w:rFonts w:hint="default" w:ascii="Times New Roman" w:hAnsi="Times New Roman" w:eastAsia="宋体" w:cs="Times New Roman"/>
                <w:color w:val="000000" w:themeColor="text1"/>
                <w:szCs w:val="21"/>
                <w14:textFill>
                  <w14:solidFill>
                    <w14:schemeClr w14:val="tx1"/>
                  </w14:solidFill>
                </w14:textFill>
              </w:rPr>
              <w:t>，项目属于洗染服务行业，不属于该区域禁止或限制发展的产业类别。本报告表已按建设项目环境影响评价要求对项目产生的各类污染物进行了全面分析评价，提出了相应的污染防治措施，可满足区域环境管理要求</w:t>
            </w:r>
          </w:p>
        </w:tc>
      </w:tr>
      <w:tr w14:paraId="16EB85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noWrap w:val="0"/>
            <w:vAlign w:val="center"/>
          </w:tcPr>
          <w:p w14:paraId="37F098DD">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规划环境影响评价情况</w:t>
            </w:r>
          </w:p>
        </w:tc>
        <w:tc>
          <w:tcPr>
            <w:tcW w:w="7171" w:type="dxa"/>
            <w:gridSpan w:val="3"/>
            <w:noWrap w:val="0"/>
            <w:vAlign w:val="center"/>
          </w:tcPr>
          <w:p w14:paraId="395DE275">
            <w:pPr>
              <w:autoSpaceDE w:val="0"/>
              <w:autoSpaceDN w:val="0"/>
              <w:adjustRightInd w:val="0"/>
              <w:snapToGrid w:val="0"/>
              <w:spacing w:line="480" w:lineRule="exact"/>
              <w:jc w:val="center"/>
              <w:rPr>
                <w:rFonts w:hint="eastAsia" w:ascii="Times New Roman" w:hAnsi="Times New Roman" w:eastAsia="宋体" w:cs="Times New Roman"/>
                <w:color w:val="000000" w:themeColor="text1"/>
                <w:kern w:val="0"/>
                <w:szCs w:val="21"/>
                <w14:textFill>
                  <w14:solidFill>
                    <w14:schemeClr w14:val="tx1"/>
                  </w14:solidFill>
                </w14:textFill>
              </w:rPr>
            </w:pPr>
          </w:p>
        </w:tc>
      </w:tr>
      <w:tr w14:paraId="35A6C9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noWrap w:val="0"/>
            <w:vAlign w:val="center"/>
          </w:tcPr>
          <w:p w14:paraId="66F4D6F5">
            <w:pPr>
              <w:autoSpaceDE w:val="0"/>
              <w:autoSpaceDN w:val="0"/>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规划及规划环境影响评价符合性分析</w:t>
            </w:r>
          </w:p>
        </w:tc>
        <w:tc>
          <w:tcPr>
            <w:tcW w:w="7171" w:type="dxa"/>
            <w:gridSpan w:val="3"/>
            <w:noWrap w:val="0"/>
            <w:vAlign w:val="center"/>
          </w:tcPr>
          <w:p w14:paraId="3ABD10AA">
            <w:pPr>
              <w:autoSpaceDE w:val="0"/>
              <w:autoSpaceDN w:val="0"/>
              <w:adjustRightInd w:val="0"/>
              <w:snapToGrid w:val="0"/>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无</w:t>
            </w:r>
          </w:p>
        </w:tc>
      </w:tr>
      <w:tr w14:paraId="22D9E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699" w:type="dxa"/>
            <w:noWrap w:val="0"/>
            <w:vAlign w:val="center"/>
          </w:tcPr>
          <w:p w14:paraId="646385A7">
            <w:pPr>
              <w:autoSpaceDE w:val="0"/>
              <w:autoSpaceDN w:val="0"/>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其他符合性分析</w:t>
            </w:r>
          </w:p>
        </w:tc>
        <w:tc>
          <w:tcPr>
            <w:tcW w:w="7171" w:type="dxa"/>
            <w:gridSpan w:val="3"/>
            <w:noWrap w:val="0"/>
            <w:vAlign w:val="center"/>
          </w:tcPr>
          <w:p w14:paraId="35112A4C">
            <w:pPr>
              <w:spacing w:line="360" w:lineRule="auto"/>
              <w:ind w:firstLine="482" w:firstLineChars="200"/>
              <w:jc w:val="left"/>
              <w:textAlignment w:val="baseline"/>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1、与产业政策相符性分析</w:t>
            </w:r>
          </w:p>
          <w:p w14:paraId="237C481D">
            <w:pPr>
              <w:spacing w:line="360" w:lineRule="auto"/>
              <w:ind w:firstLine="488" w:firstLineChars="200"/>
              <w:jc w:val="left"/>
              <w:textAlignment w:val="baseline"/>
              <w:rPr>
                <w:rFonts w:hint="eastAsia" w:ascii="Times New Roman" w:hAnsi="Times New Roman" w:eastAsia="宋体" w:cs="Times New Roman"/>
                <w:color w:val="000000" w:themeColor="text1"/>
                <w:spacing w:val="2"/>
                <w:sz w:val="24"/>
                <w14:textFill>
                  <w14:solidFill>
                    <w14:schemeClr w14:val="tx1"/>
                  </w14:solidFill>
                </w14:textFill>
              </w:rPr>
            </w:pPr>
            <w:r>
              <w:rPr>
                <w:rFonts w:hint="eastAsia" w:ascii="Times New Roman" w:hAnsi="Times New Roman" w:eastAsia="宋体" w:cs="Times New Roman"/>
                <w:color w:val="000000" w:themeColor="text1"/>
                <w:spacing w:val="2"/>
                <w:sz w:val="24"/>
                <w14:textFill>
                  <w14:solidFill>
                    <w14:schemeClr w14:val="tx1"/>
                  </w14:solidFill>
                </w14:textFill>
              </w:rPr>
              <w:t>本项目主要从事被服和台布的洗涤服务，对照《国民经济行业分类》(GB/T4754-2017)，项目属于D4430热力生产和供应、O8030洗染服务，不属于《产业结构调整指导目录(2024年本)》中的限制、淘汰类产业的项目。</w:t>
            </w:r>
          </w:p>
          <w:p w14:paraId="10809DA0">
            <w:pPr>
              <w:spacing w:line="360" w:lineRule="auto"/>
              <w:ind w:firstLine="488" w:firstLineChars="200"/>
              <w:jc w:val="left"/>
              <w:textAlignment w:val="baseline"/>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color w:val="000000" w:themeColor="text1"/>
                <w:spacing w:val="2"/>
                <w:sz w:val="24"/>
                <w14:textFill>
                  <w14:solidFill>
                    <w14:schemeClr w14:val="tx1"/>
                  </w14:solidFill>
                </w14:textFill>
              </w:rPr>
              <w:t>根据《市场准入负面清单(2025年版)》，项目不属于“与市场准入相关的禁止性规定”中的“制造业”禁止措施，也不属于“市场准入负面清单”中的“禁止准入类”，建设单位可依法进入。因此，本项目符合国家相关的产业政策。</w:t>
            </w:r>
          </w:p>
          <w:p w14:paraId="5E1BA6FE">
            <w:pPr>
              <w:keepNext w:val="0"/>
              <w:keepLines w:val="0"/>
              <w:pageBreakBefore w:val="0"/>
              <w:kinsoku/>
              <w:wordWrap/>
              <w:overflowPunct/>
              <w:topLinePunct w:val="0"/>
              <w:autoSpaceDE/>
              <w:autoSpaceDN/>
              <w:bidi w:val="0"/>
              <w:adjustRightInd/>
              <w:snapToGrid/>
              <w:spacing w:beforeAutospacing="0" w:afterAutospacing="0" w:line="360" w:lineRule="auto"/>
              <w:ind w:firstLine="482" w:firstLineChars="200"/>
              <w:jc w:val="left"/>
              <w:textAlignment w:val="baseline"/>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、与《环境标志产品技术要求洗衣店和洗衣工厂》（HJ1162-2021）相符性</w:t>
            </w:r>
          </w:p>
          <w:p w14:paraId="1CD562CE">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HJ1162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2021为环境标志产品认证技术要求，不属于强制性执行标准，本项目为洗染服务（洗衣工厂，O8030），建设运营参照该标准相关环保要求进行设计，具体相符性分析如下：</w:t>
            </w:r>
          </w:p>
          <w:p w14:paraId="07E085A3">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（1）基本建设与场所要求（标准4）标准要求：服务场所不宜设置在住宅建筑或其地下室；洗涤设备设于室内，落实减振降噪；不得使用国家明令淘汰洗涤设备；落实职业卫生防护。本项目选址为</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非住宅用地</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不设置于住宅楼及住宅地下室；洗涤设备全部布置于生产车间内；设备选型选用合规新型洗涤设备，不选用国家明令淘汰设备；生产车间采取基础减振、厂房隔声降噪措施；车间加强通风，落实职业病防护管理，符合参照要求江西省生态...。</w:t>
            </w:r>
          </w:p>
          <w:p w14:paraId="043EC25B">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洗涤设备（标准5.1）标准要求：水洗优先选用全自动水洗设备，控制单位洗涤耗水量；干洗应选用封闭式干洗设备；公用纺织品洗涤场所设置纤毛回收装置。本项目选用全自动水洗洗涤设备；车间配套定期清理；项目设计采取节水管控，控制单位洗涤用水量，符合参照要求。</w:t>
            </w:r>
          </w:p>
          <w:p w14:paraId="7D6951C5">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3）洗涤药剂（标准5.2洗涤用品）标准要求：优先使用无磷洗涤剂；洗涤助剂不得含有APEO、EDTA、甲醛、支链烷基苯磺酸钠等限制性物质；干洗禁止使用三氯乙烯、ODS类溶剂。项目运营后采购无磷型洗涤助剂、洗涤剂；采购时对洗涤化学品成分进行核查，不采购含有烷基酚聚氧乙烯醚（APEO）、EDTA、甲醛等限制性物质的洗涤药剂；符合参照要求。</w:t>
            </w:r>
          </w:p>
          <w:p w14:paraId="74370C66">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（4）污染治理、清洁生产及环境管理（标准5.3</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5.5）标准要求：废水、废气、固废、噪声进行收集处置；建立环境管理制度；开展节约用水；成品优先简化包装；优化物流；建立化学品台账。项目生产洗涤废水经预处理后排入市政污水管网送污水处理厂处理；生产车间毛絮、生活垃圾、废弃化学品包装物分类收集处置；生产噪声采取减振隔声；企业拟建立环境管理台账，建立洗涤药剂入库登记；成品包装优先采用简易包装；运输配送合理规划路线，落实清洁管理，符合参照要求。</w:t>
            </w:r>
          </w:p>
          <w:p w14:paraId="24D8649D">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eastAsia="宋体"/>
                <w:color w:val="000000" w:themeColor="text1"/>
                <w:spacing w:val="2"/>
                <w:sz w:val="24"/>
                <w:lang w:val="en-US" w:eastAsia="zh-CN"/>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综上，本项目虽不申请环境标志认证，但在选址、设备选型、洗涤药剂选用、污染治理、环境管理方面参照HJ1162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noBreakHyphen/>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2021《环境标志产品技术要求洗衣店和洗衣工厂》相关环保要求进行设计，总体上相符。</w:t>
            </w:r>
          </w:p>
          <w:p w14:paraId="0722A1AD">
            <w:pPr>
              <w:spacing w:line="360" w:lineRule="auto"/>
              <w:ind w:firstLine="482" w:firstLineChars="200"/>
              <w:jc w:val="left"/>
              <w:textAlignment w:val="baseline"/>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2、选址合理性分析</w:t>
            </w:r>
          </w:p>
          <w:p w14:paraId="25F505F2">
            <w:pPr>
              <w:spacing w:line="360" w:lineRule="auto"/>
              <w:ind w:firstLine="480" w:firstLineChars="200"/>
              <w:jc w:val="left"/>
              <w:textAlignment w:val="baseline"/>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位于</w:t>
            </w:r>
            <w:r>
              <w:rPr>
                <w:rFonts w:hint="eastAsia" w:ascii="Times New Roman" w:hAnsi="Times New Roman" w:eastAsia="宋体" w:cs="Times New Roman"/>
                <w:color w:val="000000" w:themeColor="text1"/>
                <w:sz w:val="24"/>
                <w14:textFill>
                  <w14:solidFill>
                    <w14:schemeClr w14:val="tx1"/>
                  </w14:solidFill>
                </w14:textFill>
              </w:rPr>
              <w:t>湛江市霞山区铁路粤西农垦供销总公司南山库区8381-1仓，租赁合同（见附件</w:t>
            </w:r>
            <w:r>
              <w:rPr>
                <w:rFonts w:hint="eastAsia" w:ascii="Times New Roman" w:hAnsi="Times New Roman" w:eastAsia="宋体" w:cs="Times New Roman"/>
                <w:color w:val="000000" w:themeColor="text1"/>
                <w:sz w:val="24"/>
                <w:lang w:val="en-US" w:eastAsia="zh-CN"/>
                <w14:textFill>
                  <w14:solidFill>
                    <w14:schemeClr w14:val="tx1"/>
                  </w14:solidFill>
                </w14:textFill>
              </w:rPr>
              <w:t>5</w:t>
            </w:r>
            <w:r>
              <w:rPr>
                <w:rFonts w:hint="eastAsia" w:ascii="Times New Roman" w:hAnsi="Times New Roman" w:eastAsia="宋体" w:cs="Times New Roman"/>
                <w:color w:val="000000" w:themeColor="text1"/>
                <w:sz w:val="24"/>
                <w14:textFill>
                  <w14:solidFill>
                    <w14:schemeClr w14:val="tx1"/>
                  </w14:solidFill>
                </w14:textFill>
              </w:rPr>
              <w:t>），土地使用者为广东省湛江农垦物资集团有限公司</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根据湛江市国土空间总体规划（2021—2035年）（见附图9），项目位于湛江市霞山区铁路粤西农垦供销总公司南山库区8381-1仓，</w:t>
            </w:r>
            <w:r>
              <w:rPr>
                <w:rFonts w:hint="eastAsia" w:ascii="Times New Roman" w:hAnsi="Times New Roman" w:eastAsia="宋体" w:cs="Times New Roman"/>
                <w:color w:val="000000" w:themeColor="text1"/>
                <w:sz w:val="24"/>
                <w:lang w:val="en-US" w:eastAsia="zh-CN"/>
                <w14:textFill>
                  <w14:solidFill>
                    <w14:schemeClr w14:val="tx1"/>
                  </w14:solidFill>
                </w14:textFill>
              </w:rPr>
              <w:t>不属于生态红线及占用基本农田，根据房地产权证（附件4）房屋用途为非住宅</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项目用地性质符合湛江市国土空间总体规划</w:t>
            </w:r>
            <w:r>
              <w:rPr>
                <w:rFonts w:hint="eastAsia" w:ascii="Times New Roman" w:hAnsi="Times New Roman" w:eastAsia="宋体" w:cs="Times New Roman"/>
                <w:color w:val="000000" w:themeColor="text1"/>
                <w:sz w:val="24"/>
                <w14:textFill>
                  <w14:solidFill>
                    <w14:schemeClr w14:val="tx1"/>
                  </w14:solidFill>
                </w14:textFill>
              </w:rPr>
              <w:t>。根据霞山区人民政府工作报告（2002年3月9日在湛江市霞山区第六届人民代表大会第五次会议上）（见附件5），报告中指出与湛江农垦集团合作兴建了南站服装加工区。2003年8月13日，湛江市霞山区乡镇企业服务中心对《政府工作报告》中21件督办事项之一“霞山服装工业区”的办理进展情况进行说明（见附件</w:t>
            </w:r>
            <w:r>
              <w:rPr>
                <w:rFonts w:hint="eastAsia" w:ascii="Times New Roman" w:hAnsi="Times New Roman" w:eastAsia="宋体" w:cs="Times New Roman"/>
                <w:color w:val="000000" w:themeColor="text1"/>
                <w:sz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14:textFill>
                  <w14:solidFill>
                    <w14:schemeClr w14:val="tx1"/>
                  </w14:solidFill>
                </w14:textFill>
              </w:rPr>
              <w:t>）。项目位于霞山服装工业区内，不占用基本农田保护区、风景区、水源保护区等其他用途的用地，因此，项目选址地块用地性质与当地用地规划相符</w:t>
            </w:r>
            <w:r>
              <w:rPr>
                <w:rFonts w:ascii="Times New Roman" w:hAnsi="Times New Roman" w:eastAsia="宋体" w:cs="Times New Roman"/>
                <w:color w:val="000000" w:themeColor="text1"/>
                <w:sz w:val="24"/>
                <w14:textFill>
                  <w14:solidFill>
                    <w14:schemeClr w14:val="tx1"/>
                  </w14:solidFill>
                </w14:textFill>
              </w:rPr>
              <w:t>。</w:t>
            </w:r>
          </w:p>
          <w:p w14:paraId="60BD75B7">
            <w:pPr>
              <w:spacing w:line="360" w:lineRule="auto"/>
              <w:ind w:firstLine="482" w:firstLineChars="200"/>
              <w:jc w:val="left"/>
              <w:textAlignment w:val="baseline"/>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3、与环境规划相符性分析</w:t>
            </w:r>
          </w:p>
          <w:p w14:paraId="4D216063">
            <w:pPr>
              <w:spacing w:line="360" w:lineRule="auto"/>
              <w:ind w:firstLine="480" w:firstLineChars="200"/>
              <w:jc w:val="left"/>
              <w:textAlignment w:val="baseline"/>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14:textFill>
                  <w14:solidFill>
                    <w14:schemeClr w14:val="tx1"/>
                  </w14:solidFill>
                </w14:textFill>
              </w:rPr>
              <w:t>根据《湛江市区环境空气质量功能区划调整技术报告》（2011年10月），项目所在区域为二类大气环境功能区，执行《环境空气质量标准》（GB3095—2026）二级标准</w:t>
            </w:r>
            <w:r>
              <w:rPr>
                <w:rFonts w:ascii="Times New Roman" w:hAnsi="Times New Roman" w:eastAsia="宋体" w:cs="Times New Roman"/>
                <w:color w:val="000000" w:themeColor="text1"/>
                <w:sz w:val="24"/>
                <w14:textFill>
                  <w14:solidFill>
                    <w14:schemeClr w14:val="tx1"/>
                  </w14:solidFill>
                </w14:textFill>
              </w:rPr>
              <w:t>。项目所在位置不属于自然保护区、风景名胜区和其它需要特殊保护的地区，符合区域空气环境功能区划分要求。</w:t>
            </w:r>
          </w:p>
          <w:p w14:paraId="466BDD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（2）</w:t>
            </w:r>
            <w:r>
              <w:rPr>
                <w:rFonts w:hint="eastAsia" w:ascii="Times New Roman" w:hAnsi="Times New Roman" w:eastAsia="宋体" w:cs="Times New Roman"/>
                <w:color w:val="000000" w:themeColor="text1"/>
                <w:sz w:val="24"/>
                <w14:textFill>
                  <w14:solidFill>
                    <w14:schemeClr w14:val="tx1"/>
                  </w14:solidFill>
                </w14:textFill>
              </w:rPr>
              <w:t>项目生活污水经化粪池处理后；生产废水（洗涤废水、锅炉排污水、软化处理废水）经自建污水处理站处理后，均排入市政管网至湛江市霞山区水质净化厂，尾水排放至南柳河，最终汇入湛江港。根据2007年7月广东省人民政府《关于调整湛江近岸海域功能区划有关问题的复函》（粤府办函[2007]344号），整个湛江港（湾内）海域划分为三类功能区，执行《海水水质标准》（GB3097-1997）第三类水质标准。</w:t>
            </w:r>
            <w:r>
              <w:rPr>
                <w:rFonts w:ascii="Times New Roman" w:hAnsi="Times New Roman" w:eastAsia="宋体" w:cs="Times New Roman"/>
                <w:color w:val="000000" w:themeColor="text1"/>
                <w:sz w:val="24"/>
                <w14:textFill>
                  <w14:solidFill>
                    <w14:schemeClr w14:val="tx1"/>
                  </w14:solidFill>
                </w14:textFill>
              </w:rPr>
              <w:t>项目所在地不在</w:t>
            </w:r>
            <w:r>
              <w:rPr>
                <w:rFonts w:hint="eastAsia" w:ascii="Times New Roman" w:hAnsi="Times New Roman" w:eastAsia="宋体" w:cs="Times New Roman"/>
                <w:color w:val="000000" w:themeColor="text1"/>
                <w:sz w:val="24"/>
                <w14:textFill>
                  <w14:solidFill>
                    <w14:schemeClr w14:val="tx1"/>
                  </w14:solidFill>
                </w14:textFill>
              </w:rPr>
              <w:t>饮用水水源保护区</w:t>
            </w:r>
            <w:r>
              <w:rPr>
                <w:rFonts w:ascii="Times New Roman" w:hAnsi="Times New Roman" w:eastAsia="宋体" w:cs="Times New Roman"/>
                <w:color w:val="000000" w:themeColor="text1"/>
                <w:sz w:val="24"/>
                <w14:textFill>
                  <w14:solidFill>
                    <w14:schemeClr w14:val="tx1"/>
                  </w14:solidFill>
                </w14:textFill>
              </w:rPr>
              <w:t>范围内，选址符合环境规划要求。</w:t>
            </w:r>
          </w:p>
          <w:p w14:paraId="3CD984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（3）根据</w:t>
            </w:r>
            <w:r>
              <w:rPr>
                <w:rFonts w:hint="eastAsia" w:ascii="Times New Roman" w:hAnsi="Times New Roman" w:eastAsia="宋体" w:cs="Times New Roman"/>
                <w:color w:val="000000" w:themeColor="text1"/>
                <w:sz w:val="24"/>
                <w14:textFill>
                  <w14:solidFill>
                    <w14:schemeClr w14:val="tx1"/>
                  </w14:solidFill>
                </w14:textFill>
              </w:rPr>
              <w:t>《湛江市城市声环境功能区划分（</w:t>
            </w:r>
            <w:r>
              <w:rPr>
                <w:rFonts w:ascii="Times New Roman" w:hAnsi="Times New Roman" w:eastAsia="宋体" w:cs="Times New Roman"/>
                <w:color w:val="000000" w:themeColor="text1"/>
                <w:sz w:val="24"/>
                <w14:textFill>
                  <w14:solidFill>
                    <w14:schemeClr w14:val="tx1"/>
                  </w14:solidFill>
                </w14:textFill>
              </w:rPr>
              <w:t>2020</w:t>
            </w:r>
            <w:r>
              <w:rPr>
                <w:rFonts w:hint="eastAsia" w:ascii="Times New Roman" w:hAnsi="Times New Roman" w:eastAsia="宋体" w:cs="Times New Roman"/>
                <w:color w:val="000000" w:themeColor="text1"/>
                <w:sz w:val="24"/>
                <w14:textFill>
                  <w14:solidFill>
                    <w14:schemeClr w14:val="tx1"/>
                  </w14:solidFill>
                </w14:textFill>
              </w:rPr>
              <w:t>年修订）》</w:t>
            </w:r>
            <w:r>
              <w:rPr>
                <w:rFonts w:ascii="Times New Roman" w:hAnsi="Times New Roman" w:eastAsia="宋体" w:cs="Times New Roman"/>
                <w:color w:val="000000" w:themeColor="text1"/>
                <w:sz w:val="24"/>
                <w14:textFill>
                  <w14:solidFill>
                    <w14:schemeClr w14:val="tx1"/>
                  </w14:solidFill>
                </w14:textFill>
              </w:rPr>
              <w:t>，项目所在地为</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类声功能区，执行《</w:t>
            </w:r>
            <w:r>
              <w:rPr>
                <w:rFonts w:hint="eastAsia" w:ascii="Times New Roman" w:hAnsi="Times New Roman" w:eastAsia="宋体" w:cs="Times New Roman"/>
                <w:color w:val="000000" w:themeColor="text1"/>
                <w:sz w:val="24"/>
                <w14:textFill>
                  <w14:solidFill>
                    <w14:schemeClr w14:val="tx1"/>
                  </w14:solidFill>
                </w14:textFill>
              </w:rPr>
              <w:t>声</w:t>
            </w:r>
            <w:r>
              <w:rPr>
                <w:rFonts w:ascii="Times New Roman" w:hAnsi="Times New Roman" w:eastAsia="宋体" w:cs="Times New Roman"/>
                <w:color w:val="000000" w:themeColor="text1"/>
                <w:sz w:val="24"/>
                <w14:textFill>
                  <w14:solidFill>
                    <w14:schemeClr w14:val="tx1"/>
                  </w14:solidFill>
                </w14:textFill>
              </w:rPr>
              <w:t>环境质量标准》（GB3096-2008）中的</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类标准</w:t>
            </w:r>
            <w:r>
              <w:rPr>
                <w:rFonts w:hint="eastAsia" w:ascii="Times New Roman" w:hAnsi="Times New Roman" w:eastAsia="宋体" w:cs="Times New Roman"/>
                <w:color w:val="000000" w:themeColor="text1"/>
                <w:sz w:val="24"/>
                <w14:textFill>
                  <w14:solidFill>
                    <w14:schemeClr w14:val="tx1"/>
                  </w14:solidFill>
                </w14:textFill>
              </w:rPr>
              <w:t>。</w:t>
            </w:r>
          </w:p>
          <w:p w14:paraId="46B3F6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（4）与《广东省生态环境保护“十四五”规划》（粤环〔2021〕10号）相符性分析</w:t>
            </w:r>
            <w:r>
              <w:rPr>
                <w:rFonts w:hint="eastAsia" w:ascii="Times New Roman" w:hAnsi="Times New Roman" w:eastAsia="宋体" w:cs="Times New Roman"/>
                <w:color w:val="000000" w:themeColor="text1"/>
                <w:sz w:val="24"/>
                <w14:textFill>
                  <w14:solidFill>
                    <w14:schemeClr w14:val="tx1"/>
                  </w14:solidFill>
                </w14:textFill>
              </w:rPr>
              <w:t>：</w:t>
            </w:r>
          </w:p>
          <w:p w14:paraId="5A3620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深化工业炉窑和锅炉排放治理。实施重点行业深度治理，2022年底前全省长流程钢铁企业基本完成超低排放改造，2025年底前全省钢铁企业完成超低排放改造；石化、水泥、化工、有色金属冶炼等行业企业依法严格执行大气污染物特别排放限值。严格实施工业炉窑分级管控，全面推动B级以下企业工业炉窑的清洁低碳化改造、废气治理设施升级改造、全过程无组织排放管控。逐步开展天然气锅炉低氮燃烧改造。加强10蒸吨/小时及以上锅炉及重点工业窑炉的在线监测联网管控。加强生物质锅炉燃料品质及排放管控，禁止使用劣质燃料或掺烧垃圾、工业固废等。”</w:t>
            </w:r>
          </w:p>
          <w:p w14:paraId="74929414">
            <w:pPr>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项目新建的锅炉使用成型生物质作为燃料，不使用劣质燃料或掺烧垃圾、工业固废等。锅炉燃烧废气经“低氮燃烧+锅炉节能器+布袋除尘器”处理后高空排放。符合上述文件要求。</w:t>
            </w:r>
          </w:p>
          <w:p w14:paraId="14EA85FE">
            <w:pPr>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（5）与《湛江市生态环境保护“十四五”规划》相符性分析：</w:t>
            </w:r>
          </w:p>
          <w:p w14:paraId="5551340D">
            <w:pPr>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34.深化工业炉窑和锅炉污染综合治理。加快完成宝钢湛江钢铁超低排放改造，启动水泥行业(包括熟料生产企业和独立粉磨站)超低排放改造，加快推进广东粤电湛江生物质发电脱硝设施提标改造。石化、化工、有色金属冶炼等行业企业依法严格执行大气污染物特别排放限值。落实《湛江市工业炉窑大气污染综合治理方案》，实施工业炉窑分级分类管控，全面推动B级及以下企业工业炉窑的燃料清洁低碳化改造、废气治理设施升级改造、全过程无组织排放管控。逐步开展35蒸吨</w:t>
            </w:r>
            <w:r>
              <w:rPr>
                <w:rFonts w:hint="eastAsia" w:ascii="Times New Roman" w:hAnsi="Times New Roman" w:eastAsia="宋体" w:cs="Times New Roman"/>
                <w:color w:val="000000" w:themeColor="text1"/>
                <w:sz w:val="24"/>
                <w:lang w:val="en-US" w:eastAsia="zh-CN"/>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小时及以上燃气锅炉低氮燃烧改造，以及垃圾、危废焚烧脱硝、除尘设施提标改造。加强10蒸吨/小时及以上锅炉和重点工业窑炉的在线监测联网管控。加快推进糖业企业生物质锅炉整治加强生物质锅炉燃料品质及排放管控，禁止使用劣质燃料或掺烧垃圾、工业固体废物等。</w:t>
            </w:r>
          </w:p>
          <w:p w14:paraId="75B6569C">
            <w:pPr>
              <w:spacing w:line="360" w:lineRule="auto"/>
              <w:ind w:firstLine="480" w:firstLineChars="200"/>
              <w:jc w:val="left"/>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所在区域无集中供热管网覆盖，项目新建的锅炉使用成型生物质作为燃料，采用低氮燃烧技术，可使氮氧化物排放浓度稳定达标排放，并削减氮氧化物的排放量，排放浓度可满足广东省《锅炉大气污染物排放标准》（DB44/765-2019）中表2新建锅炉大气污染物排放浓度限值中的燃生物质成型燃料锅炉标准。因此，项目符合上述文件要求。</w:t>
            </w:r>
          </w:p>
          <w:p w14:paraId="7CB7185A">
            <w:pPr>
              <w:spacing w:line="360" w:lineRule="auto"/>
              <w:ind w:firstLine="482" w:firstLineChars="200"/>
              <w:textAlignment w:val="baseline"/>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与</w:t>
            </w:r>
            <w:r>
              <w:rPr>
                <w:rFonts w:hint="eastAsia" w:ascii="Times New Roman" w:hAnsi="Times New Roman" w:eastAsia="宋体" w:cs="Times New Roman"/>
                <w:b/>
                <w:color w:val="000000" w:themeColor="text1"/>
                <w:sz w:val="24"/>
                <w14:textFill>
                  <w14:solidFill>
                    <w14:schemeClr w14:val="tx1"/>
                  </w14:solidFill>
                </w14:textFill>
              </w:rPr>
              <w:t>污染物</w:t>
            </w:r>
            <w:r>
              <w:rPr>
                <w:rFonts w:ascii="Times New Roman" w:hAnsi="Times New Roman" w:eastAsia="宋体" w:cs="Times New Roman"/>
                <w:b/>
                <w:color w:val="000000" w:themeColor="text1"/>
                <w:sz w:val="24"/>
                <w14:textFill>
                  <w14:solidFill>
                    <w14:schemeClr w14:val="tx1"/>
                  </w14:solidFill>
                </w14:textFill>
              </w:rPr>
              <w:t>治理政策相符性分析</w:t>
            </w:r>
          </w:p>
          <w:p w14:paraId="3EA2BEAE">
            <w:pPr>
              <w:spacing w:line="360" w:lineRule="auto"/>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与国家和地方近年发布的污染物治理政策的相符性分析详见下表：</w:t>
            </w:r>
          </w:p>
          <w:p w14:paraId="0C4F0513">
            <w:pPr>
              <w:spacing w:line="480" w:lineRule="exact"/>
              <w:ind w:firstLine="482" w:firstLineChars="200"/>
              <w:jc w:val="center"/>
              <w:textAlignment w:val="baseline"/>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表1-</w:t>
            </w:r>
            <w:r>
              <w:rPr>
                <w:rFonts w:hint="eastAsia" w:ascii="Times New Roman" w:hAnsi="Times New Roman" w:eastAsia="宋体" w:cs="Times New Roman"/>
                <w:b/>
                <w:color w:val="000000" w:themeColor="text1"/>
                <w:sz w:val="24"/>
                <w14:textFill>
                  <w14:solidFill>
                    <w14:schemeClr w14:val="tx1"/>
                  </w14:solidFill>
                </w14:textFill>
              </w:rPr>
              <w:t>1</w:t>
            </w:r>
            <w:r>
              <w:rPr>
                <w:rFonts w:ascii="Times New Roman" w:hAnsi="Times New Roman" w:eastAsia="宋体" w:cs="Times New Roman"/>
                <w:b/>
                <w:color w:val="000000" w:themeColor="text1"/>
                <w:sz w:val="24"/>
                <w14:textFill>
                  <w14:solidFill>
                    <w14:schemeClr w14:val="tx1"/>
                  </w14:solidFill>
                </w14:textFill>
              </w:rPr>
              <w:t>项目与污染物治理政策相符性一览表</w:t>
            </w:r>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829"/>
              <w:gridCol w:w="2432"/>
              <w:gridCol w:w="683"/>
            </w:tblGrid>
            <w:tr w14:paraId="5C4F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2B11C521">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政策要求</w:t>
                  </w:r>
                </w:p>
              </w:tc>
              <w:tc>
                <w:tcPr>
                  <w:tcW w:w="1751" w:type="pct"/>
                  <w:noWrap w:val="0"/>
                  <w:vAlign w:val="center"/>
                </w:tcPr>
                <w:p w14:paraId="1DE8010E">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工程内容</w:t>
                  </w:r>
                </w:p>
              </w:tc>
              <w:tc>
                <w:tcPr>
                  <w:tcW w:w="491" w:type="pct"/>
                  <w:noWrap w:val="0"/>
                  <w:vAlign w:val="center"/>
                </w:tcPr>
                <w:p w14:paraId="48E7CE53">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相符性</w:t>
                  </w:r>
                </w:p>
              </w:tc>
            </w:tr>
            <w:tr w14:paraId="6F53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noWrap w:val="0"/>
                  <w:vAlign w:val="center"/>
                </w:tcPr>
                <w:p w14:paraId="77CFA7BB">
                  <w:pPr>
                    <w:pStyle w:val="43"/>
                    <w:jc w:val="center"/>
                    <w:rPr>
                      <w:rFonts w:ascii="Times New Roman"/>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《广东省水污染防治条例》（2026年7月31日广东省第十四届人民代表大会常务委员会第二十六次会议修订通过</w:t>
                  </w:r>
                </w:p>
              </w:tc>
            </w:tr>
            <w:tr w14:paraId="7265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48531B1A">
                  <w:pPr>
                    <w:pStyle w:val="43"/>
                    <w:ind w:firstLine="420" w:firstLineChars="200"/>
                    <w:jc w:val="cente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第二十八条排放工业废水的企业应当采取有效措施，收集和处理产生的全部生产废水，防止污染水环境。未依法领取污水排入排水管网许可证的，不得直接向生活污水管网与处理系统排放工业废水。含有毒有害水污染物的工业废水应当分类收集和处理，不得稀释排放。</w:t>
                  </w:r>
                </w:p>
              </w:tc>
              <w:tc>
                <w:tcPr>
                  <w:tcW w:w="1751" w:type="pct"/>
                  <w:noWrap w:val="0"/>
                  <w:vAlign w:val="center"/>
                </w:tcPr>
                <w:p w14:paraId="56E97CB6">
                  <w:pPr>
                    <w:pStyle w:val="43"/>
                    <w:ind w:firstLine="420" w:firstLineChars="200"/>
                    <w:jc w:val="cente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项目生活污水经化粪池处理后；生产废水（洗涤废水、锅炉排污水、软化处理废水）经自建污水处理站处理后，均排入市政管网至湛江市霞山区水质净化厂。</w:t>
                  </w:r>
                </w:p>
              </w:tc>
              <w:tc>
                <w:tcPr>
                  <w:tcW w:w="491" w:type="pct"/>
                  <w:noWrap w:val="0"/>
                  <w:vAlign w:val="center"/>
                </w:tcPr>
                <w:p w14:paraId="65998E46">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符合</w:t>
                  </w:r>
                </w:p>
              </w:tc>
            </w:tr>
            <w:tr w14:paraId="41BD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noWrap w:val="0"/>
                  <w:vAlign w:val="center"/>
                </w:tcPr>
                <w:p w14:paraId="4838A2DE">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《广东省大气污染防治条例》</w:t>
                  </w:r>
                  <w:r>
                    <w:rPr>
                      <w:rFonts w:hint="eastAsia" w:ascii="Times New Roman" w:hAnsi="Times New Roman" w:eastAsia="宋体" w:cs="Times New Roman"/>
                      <w:b/>
                      <w:bCs/>
                      <w:color w:val="000000" w:themeColor="text1"/>
                      <w14:textFill>
                        <w14:solidFill>
                          <w14:schemeClr w14:val="tx1"/>
                        </w14:solidFill>
                      </w14:textFill>
                    </w:rPr>
                    <w:t>（2026年7月31日广东省第十四届人民代表大会常务委员会第二十六次会议修订通过</w:t>
                  </w:r>
                </w:p>
              </w:tc>
            </w:tr>
            <w:tr w14:paraId="10F5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7A553460">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第二十一条禁止安装、使用非专用生物质锅炉。禁止安装、使用可以燃用煤及其制品的双燃料或者多燃料生物质锅炉。</w:t>
                  </w:r>
                </w:p>
                <w:p w14:paraId="0BF3ED34">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生物质锅炉应当以经过加工的木本植物或者草本植物为燃料，禁止掺杂添加燃烧后产生有毒有害烟尘和恶臭气体的其他物质，并配备高效除尘设施，按照国家和省的有关规定安装自动监控或者监测设备。</w:t>
                  </w:r>
                </w:p>
              </w:tc>
              <w:tc>
                <w:tcPr>
                  <w:tcW w:w="1751" w:type="pct"/>
                  <w:noWrap w:val="0"/>
                  <w:vAlign w:val="center"/>
                </w:tcPr>
                <w:p w14:paraId="1AD94CBD">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本项目使用的是</w:t>
                  </w:r>
                  <w:r>
                    <w:rPr>
                      <w:rFonts w:hint="eastAsia" w:ascii="Times New Roman" w:hAnsi="Times New Roman" w:eastAsia="宋体" w:cs="Times New Roman"/>
                      <w:color w:val="000000" w:themeColor="text1"/>
                      <w:spacing w:val="2"/>
                      <w:szCs w:val="22"/>
                      <w14:textFill>
                        <w14:solidFill>
                          <w14:schemeClr w14:val="tx1"/>
                        </w14:solidFill>
                      </w14:textFill>
                    </w:rPr>
                    <w:t>生物质成型燃料</w:t>
                  </w:r>
                  <w:r>
                    <w:rPr>
                      <w:rFonts w:hint="eastAsia"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燃烧后不会产生有毒有害烟尘和恶臭气体的其他物质，</w:t>
                  </w:r>
                  <w:r>
                    <w:rPr>
                      <w:rFonts w:hint="eastAsia" w:ascii="Times New Roman" w:hAnsi="Times New Roman" w:eastAsia="宋体" w:cs="Times New Roman"/>
                      <w:color w:val="000000" w:themeColor="text1"/>
                      <w14:textFill>
                        <w14:solidFill>
                          <w14:schemeClr w14:val="tx1"/>
                        </w14:solidFill>
                      </w14:textFill>
                    </w:rPr>
                    <w:t>锅炉燃烧废气经“低氮燃烧+锅炉节能器+布袋除尘器”处理，最后通</w:t>
                  </w:r>
                  <w:r>
                    <w:rPr>
                      <w:rFonts w:hint="eastAsia" w:ascii="Times New Roman" w:hAnsi="Times New Roman" w:eastAsia="宋体" w:cs="Times New Roman"/>
                      <w:bCs/>
                      <w:color w:val="000000" w:themeColor="text1"/>
                      <w:szCs w:val="21"/>
                      <w14:textFill>
                        <w14:solidFill>
                          <w14:schemeClr w14:val="tx1"/>
                        </w14:solidFill>
                      </w14:textFill>
                    </w:rPr>
                    <w:t>过35m</w:t>
                  </w:r>
                  <w:r>
                    <w:rPr>
                      <w:rFonts w:hint="eastAsia" w:ascii="Times New Roman" w:hAnsi="Times New Roman" w:eastAsia="宋体" w:cs="Times New Roman"/>
                      <w:color w:val="000000" w:themeColor="text1"/>
                      <w14:textFill>
                        <w14:solidFill>
                          <w14:schemeClr w14:val="tx1"/>
                        </w14:solidFill>
                      </w14:textFill>
                    </w:rPr>
                    <w:t>高排气筒排放。</w:t>
                  </w:r>
                </w:p>
              </w:tc>
              <w:tc>
                <w:tcPr>
                  <w:tcW w:w="491" w:type="pct"/>
                  <w:noWrap w:val="0"/>
                  <w:vAlign w:val="center"/>
                </w:tcPr>
                <w:p w14:paraId="4D278EE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符合</w:t>
                  </w:r>
                </w:p>
              </w:tc>
            </w:tr>
            <w:tr w14:paraId="0890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08BBA2E3">
                  <w:pPr>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第二十四条新建、改建、扩建排放挥发性有机物的建设项目，应当使用污染防治先进可行技术。</w:t>
                  </w:r>
                </w:p>
              </w:tc>
              <w:tc>
                <w:tcPr>
                  <w:tcW w:w="1751" w:type="pct"/>
                  <w:noWrap w:val="0"/>
                  <w:vAlign w:val="center"/>
                </w:tcPr>
                <w:p w14:paraId="1E117BD5">
                  <w:pPr>
                    <w:jc w:val="left"/>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本项目不涉及。</w:t>
                  </w:r>
                </w:p>
              </w:tc>
              <w:tc>
                <w:tcPr>
                  <w:tcW w:w="491" w:type="pct"/>
                  <w:noWrap w:val="0"/>
                  <w:vAlign w:val="center"/>
                </w:tcPr>
                <w:p w14:paraId="662705CF">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符合</w:t>
                  </w:r>
                </w:p>
              </w:tc>
            </w:tr>
            <w:tr w14:paraId="086C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1DBB145C">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第二十八条严格控制新建、扩建排放恶臭污染物的工业类建设项目。</w:t>
                  </w:r>
                </w:p>
                <w:p w14:paraId="65C5F93F">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产生恶臭污染物的化工、石化、制药、制革、骨胶炼制、生物发酵、饲料加工、家具制造等行业应当科学选址，设置合理的防护距离，并安装净化装置或者采取其他有效措施，防止排放恶臭污染物。</w:t>
                  </w:r>
                </w:p>
                <w:p w14:paraId="70C57069">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鼓励企业采用先进的技术、工艺和设备，减少恶臭污染物排放。</w:t>
                  </w:r>
                </w:p>
              </w:tc>
              <w:tc>
                <w:tcPr>
                  <w:tcW w:w="1751" w:type="pct"/>
                  <w:noWrap w:val="0"/>
                  <w:vAlign w:val="center"/>
                </w:tcPr>
                <w:p w14:paraId="5038E7EE">
                  <w:pPr>
                    <w:jc w:val="left"/>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本项目使用的是</w:t>
                  </w:r>
                  <w:r>
                    <w:rPr>
                      <w:rFonts w:hint="eastAsia" w:ascii="Times New Roman" w:hAnsi="Times New Roman" w:eastAsia="宋体" w:cs="Times New Roman"/>
                      <w:color w:val="000000" w:themeColor="text1"/>
                      <w:spacing w:val="2"/>
                      <w:szCs w:val="22"/>
                      <w14:textFill>
                        <w14:solidFill>
                          <w14:schemeClr w14:val="tx1"/>
                        </w14:solidFill>
                      </w14:textFill>
                    </w:rPr>
                    <w:t>生物质成型燃料</w:t>
                  </w:r>
                  <w:r>
                    <w:rPr>
                      <w:rFonts w:hint="eastAsia"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燃烧后不会产生有毒有害烟尘和恶臭气体的其他物质，</w:t>
                  </w:r>
                  <w:r>
                    <w:rPr>
                      <w:rFonts w:hint="eastAsia" w:ascii="Times New Roman" w:hAnsi="Times New Roman" w:eastAsia="宋体" w:cs="Times New Roman"/>
                      <w:color w:val="000000" w:themeColor="text1"/>
                      <w14:textFill>
                        <w14:solidFill>
                          <w14:schemeClr w14:val="tx1"/>
                        </w14:solidFill>
                      </w14:textFill>
                    </w:rPr>
                    <w:t>锅炉燃烧废气经“低氮燃烧+锅炉节能器+布袋除尘器”处理，最后通</w:t>
                  </w:r>
                  <w:r>
                    <w:rPr>
                      <w:rFonts w:hint="eastAsia" w:ascii="Times New Roman" w:hAnsi="Times New Roman" w:eastAsia="宋体" w:cs="Times New Roman"/>
                      <w:bCs/>
                      <w:color w:val="000000" w:themeColor="text1"/>
                      <w:szCs w:val="21"/>
                      <w14:textFill>
                        <w14:solidFill>
                          <w14:schemeClr w14:val="tx1"/>
                        </w14:solidFill>
                      </w14:textFill>
                    </w:rPr>
                    <w:t>过35m</w:t>
                  </w:r>
                  <w:r>
                    <w:rPr>
                      <w:rFonts w:hint="eastAsia" w:ascii="Times New Roman" w:hAnsi="Times New Roman" w:eastAsia="宋体" w:cs="Times New Roman"/>
                      <w:color w:val="000000" w:themeColor="text1"/>
                      <w14:textFill>
                        <w14:solidFill>
                          <w14:schemeClr w14:val="tx1"/>
                        </w14:solidFill>
                      </w14:textFill>
                    </w:rPr>
                    <w:t>高排气筒排放。</w:t>
                  </w:r>
                  <w:r>
                    <w:rPr>
                      <w:rFonts w:hint="eastAsia" w:ascii="Times New Roman" w:hAnsi="Times New Roman" w:eastAsia="宋体" w:cs="Times New Roman"/>
                      <w:color w:val="000000" w:themeColor="text1"/>
                      <w:szCs w:val="21"/>
                      <w14:textFill>
                        <w14:solidFill>
                          <w14:schemeClr w14:val="tx1"/>
                        </w14:solidFill>
                      </w14:textFill>
                    </w:rPr>
                    <w:t>对厂界外环境影响甚微。项目选址符合条例关于科学选址、设置合理防护距离的要求。</w:t>
                  </w:r>
                </w:p>
              </w:tc>
              <w:tc>
                <w:tcPr>
                  <w:tcW w:w="491" w:type="pct"/>
                  <w:noWrap w:val="0"/>
                  <w:vAlign w:val="center"/>
                </w:tcPr>
                <w:p w14:paraId="6E803968">
                  <w:pPr>
                    <w:jc w:val="center"/>
                    <w:rPr>
                      <w:rFonts w:hint="eastAsia" w:ascii="Times New Roman" w:hAnsi="Times New Roman" w:eastAsia="宋体" w:cs="Times New Roman"/>
                      <w:color w:val="000000" w:themeColor="text1"/>
                      <w:szCs w:val="21"/>
                      <w14:textFill>
                        <w14:solidFill>
                          <w14:schemeClr w14:val="tx1"/>
                        </w14:solidFill>
                      </w14:textFill>
                    </w:rPr>
                  </w:pPr>
                </w:p>
              </w:tc>
            </w:tr>
            <w:tr w14:paraId="67EE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noWrap w:val="0"/>
                  <w:vAlign w:val="center"/>
                </w:tcPr>
                <w:p w14:paraId="1CC6E72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14:textFill>
                        <w14:solidFill>
                          <w14:schemeClr w14:val="tx1"/>
                        </w14:solidFill>
                      </w14:textFill>
                    </w:rPr>
                    <w:t>《广东省臭氧污染防治（氮氧化物和挥发性有机物协同减排）实施方案（2023-2025年）》</w:t>
                  </w:r>
                </w:p>
              </w:tc>
            </w:tr>
            <w:tr w14:paraId="0E27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486E3C05">
                  <w:pPr>
                    <w:pStyle w:val="43"/>
                    <w:jc w:val="center"/>
                    <w:rPr>
                      <w:rFonts w:ascii="Times New Roman"/>
                      <w:color w:val="000000" w:themeColor="text1"/>
                      <w:kern w:val="0"/>
                      <w:sz w:val="21"/>
                      <w:szCs w:val="21"/>
                      <w14:textFill>
                        <w14:solidFill>
                          <w14:schemeClr w14:val="tx1"/>
                        </w14:solidFill>
                      </w14:textFill>
                    </w:rPr>
                  </w:pPr>
                  <w:r>
                    <w:rPr>
                      <w:rFonts w:hint="eastAsia" w:ascii="Times New Roman"/>
                      <w:color w:val="000000" w:themeColor="text1"/>
                      <w:kern w:val="0"/>
                      <w:sz w:val="21"/>
                      <w:szCs w:val="21"/>
                      <w14:textFill>
                        <w14:solidFill>
                          <w14:schemeClr w14:val="tx1"/>
                        </w14:solidFill>
                      </w14:textFill>
                    </w:rPr>
                    <w:t>5、工业锅炉：珠三角保留的燃煤锅炉和粤东西北35t/h以上燃煤锅炉应稳定达到《锅炉大气污染物排放标准》（DB44/765-2019）特别排放限值要求。保留的企业自备电厂满足超低排放要求，氮氧化物稳定达到50mg/m</w:t>
                  </w:r>
                  <w:r>
                    <w:rPr>
                      <w:rFonts w:hint="eastAsia" w:ascii="Times New Roman"/>
                      <w:color w:val="000000" w:themeColor="text1"/>
                      <w:kern w:val="0"/>
                      <w:sz w:val="21"/>
                      <w:szCs w:val="21"/>
                      <w:vertAlign w:val="superscript"/>
                      <w14:textFill>
                        <w14:solidFill>
                          <w14:schemeClr w14:val="tx1"/>
                        </w14:solidFill>
                      </w14:textFill>
                    </w:rPr>
                    <w:t>3</w:t>
                  </w:r>
                  <w:r>
                    <w:rPr>
                      <w:rFonts w:hint="eastAsia" w:ascii="Times New Roman"/>
                      <w:color w:val="000000" w:themeColor="text1"/>
                      <w:kern w:val="0"/>
                      <w:sz w:val="21"/>
                      <w:szCs w:val="21"/>
                      <w14:textFill>
                        <w14:solidFill>
                          <w14:schemeClr w14:val="tx1"/>
                        </w14:solidFill>
                      </w14:textFill>
                    </w:rPr>
                    <w:t>以下。在排污许可证核发过程中，要求10t/h以上蒸汽锅炉和7兆瓦（MW）及以上热水锅炉安装自动监测设施并与环境管理部门联网。推进重点城市县级以上城市建成区内的生物质锅炉（含气化炉和集中供热性质的生物质锅炉）淘汰整治，NOx排放浓度难以稳定达到50mg/m</w:t>
                  </w:r>
                  <w:r>
                    <w:rPr>
                      <w:rFonts w:hint="eastAsia" w:ascii="Times New Roman"/>
                      <w:color w:val="000000" w:themeColor="text1"/>
                      <w:kern w:val="0"/>
                      <w:sz w:val="21"/>
                      <w:szCs w:val="21"/>
                      <w:vertAlign w:val="superscript"/>
                      <w14:textFill>
                        <w14:solidFill>
                          <w14:schemeClr w14:val="tx1"/>
                        </w14:solidFill>
                      </w14:textFill>
                    </w:rPr>
                    <w:t>3</w:t>
                  </w:r>
                  <w:r>
                    <w:rPr>
                      <w:rFonts w:hint="eastAsia" w:ascii="Times New Roman"/>
                      <w:color w:val="000000" w:themeColor="text1"/>
                      <w:kern w:val="0"/>
                      <w:sz w:val="21"/>
                      <w:szCs w:val="21"/>
                      <w14:textFill>
                        <w14:solidFill>
                          <w14:schemeClr w14:val="tx1"/>
                        </w14:solidFill>
                      </w14:textFill>
                    </w:rPr>
                    <w:t>以下的生物质锅炉（含气化炉和集中供热性质的生物质锅炉）应配备脱硝设施，鼓励有条件的地市淘汰生物质锅炉。燃气锅炉按标准有序执行特别排放限值，NOx排放浓度稳定达到50mg/m</w:t>
                  </w:r>
                  <w:r>
                    <w:rPr>
                      <w:rFonts w:hint="eastAsia" w:ascii="Times New Roman"/>
                      <w:color w:val="000000" w:themeColor="text1"/>
                      <w:kern w:val="0"/>
                      <w:sz w:val="21"/>
                      <w:szCs w:val="21"/>
                      <w:vertAlign w:val="superscript"/>
                      <w14:textFill>
                        <w14:solidFill>
                          <w14:schemeClr w14:val="tx1"/>
                        </w14:solidFill>
                      </w14:textFill>
                    </w:rPr>
                    <w:t>3</w:t>
                  </w:r>
                  <w:r>
                    <w:rPr>
                      <w:rFonts w:hint="eastAsia" w:ascii="Times New Roman"/>
                      <w:color w:val="000000" w:themeColor="text1"/>
                      <w:kern w:val="0"/>
                      <w:sz w:val="21"/>
                      <w:szCs w:val="21"/>
                      <w14:textFill>
                        <w14:solidFill>
                          <w14:schemeClr w14:val="tx1"/>
                        </w14:solidFill>
                      </w14:textFill>
                    </w:rPr>
                    <w:t>以下，推动燃气锅炉取消烟气再循环系统开关阀，且有必要保留的，可通过设置电动阀、气动阀或铅封方式加强监管。</w:t>
                  </w:r>
                </w:p>
              </w:tc>
              <w:tc>
                <w:tcPr>
                  <w:tcW w:w="1751" w:type="pct"/>
                  <w:noWrap w:val="0"/>
                  <w:vAlign w:val="center"/>
                </w:tcPr>
                <w:p w14:paraId="312EF98B">
                  <w:pPr>
                    <w:jc w:val="left"/>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项目</w:t>
                  </w:r>
                  <w:r>
                    <w:rPr>
                      <w:rFonts w:hint="eastAsia" w:ascii="Times New Roman" w:hAnsi="Times New Roman" w:eastAsia="宋体" w:cs="Times New Roman"/>
                      <w:bCs/>
                      <w:color w:val="000000" w:themeColor="text1"/>
                      <w:szCs w:val="21"/>
                      <w:lang w:val="en-US" w:eastAsia="zh-CN"/>
                      <w14:textFill>
                        <w14:solidFill>
                          <w14:schemeClr w14:val="tx1"/>
                        </w14:solidFill>
                      </w14:textFill>
                    </w:rPr>
                    <w:t>位于湛江市霞山区重点管控单元内</w:t>
                  </w:r>
                  <w:r>
                    <w:rPr>
                      <w:rFonts w:hint="eastAsia" w:ascii="Times New Roman" w:hAnsi="Times New Roman" w:eastAsia="宋体" w:cs="Times New Roman"/>
                      <w:bCs/>
                      <w:color w:val="000000" w:themeColor="text1"/>
                      <w:szCs w:val="21"/>
                      <w14:textFill>
                        <w14:solidFill>
                          <w14:schemeClr w14:val="tx1"/>
                        </w14:solidFill>
                      </w14:textFill>
                    </w:rPr>
                    <w:t>，项目新建的锅炉使用成型生物质作为燃料，</w:t>
                  </w:r>
                  <w:r>
                    <w:rPr>
                      <w:rFonts w:hint="eastAsia" w:ascii="Times New Roman" w:hAnsi="Times New Roman" w:eastAsia="宋体" w:cs="Times New Roman"/>
                      <w:color w:val="000000" w:themeColor="text1"/>
                      <w14:textFill>
                        <w14:solidFill>
                          <w14:schemeClr w14:val="tx1"/>
                        </w14:solidFill>
                      </w14:textFill>
                    </w:rPr>
                    <w:t>锅炉燃烧废气经“低氮燃烧+锅炉节能器+布袋除尘器”处理后高空排放</w:t>
                  </w:r>
                  <w:r>
                    <w:rPr>
                      <w:rFonts w:hint="eastAsia" w:ascii="Times New Roman" w:hAnsi="Times New Roman" w:eastAsia="宋体" w:cs="Times New Roman"/>
                      <w:bCs/>
                      <w:color w:val="000000" w:themeColor="text1"/>
                      <w:szCs w:val="21"/>
                      <w14:textFill>
                        <w14:solidFill>
                          <w14:schemeClr w14:val="tx1"/>
                        </w14:solidFill>
                      </w14:textFill>
                    </w:rPr>
                    <w:t>，排放浓度可满足广东省《锅炉大气污染物排放标准》（DB44/765-2019）中表2新建锅炉大气污染物排放浓度限值中的燃生物质成型燃料锅炉标准。</w:t>
                  </w:r>
                </w:p>
              </w:tc>
              <w:tc>
                <w:tcPr>
                  <w:tcW w:w="491" w:type="pct"/>
                  <w:noWrap w:val="0"/>
                  <w:vAlign w:val="center"/>
                </w:tcPr>
                <w:p w14:paraId="00EA155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符合</w:t>
                  </w:r>
                </w:p>
              </w:tc>
            </w:tr>
            <w:tr w14:paraId="4B8B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noWrap w:val="0"/>
                  <w:vAlign w:val="center"/>
                </w:tcPr>
                <w:p w14:paraId="713999D9">
                  <w:pPr>
                    <w:pStyle w:val="43"/>
                    <w:jc w:val="center"/>
                    <w:rPr>
                      <w:rFonts w:ascii="Times New Roman"/>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w:t>
                  </w:r>
                  <w:r>
                    <w:rPr>
                      <w:rFonts w:hint="eastAsia" w:ascii="Times New Roman"/>
                      <w:b/>
                      <w:bCs/>
                      <w:color w:val="000000" w:themeColor="text1"/>
                      <w:sz w:val="21"/>
                      <w:szCs w:val="21"/>
                      <w14:textFill>
                        <w14:solidFill>
                          <w14:schemeClr w14:val="tx1"/>
                        </w14:solidFill>
                      </w14:textFill>
                    </w:rPr>
                    <w:t>关于印发广东省2023年大气污染防治工作方案的通知</w:t>
                  </w:r>
                  <w:r>
                    <w:rPr>
                      <w:rFonts w:ascii="Times New Roman"/>
                      <w:b/>
                      <w:bCs/>
                      <w:color w:val="000000" w:themeColor="text1"/>
                      <w:sz w:val="21"/>
                      <w:szCs w:val="21"/>
                      <w14:textFill>
                        <w14:solidFill>
                          <w14:schemeClr w14:val="tx1"/>
                        </w14:solidFill>
                      </w14:textFill>
                    </w:rPr>
                    <w:t>》（</w:t>
                  </w:r>
                  <w:r>
                    <w:rPr>
                      <w:rFonts w:hint="eastAsia" w:ascii="Times New Roman"/>
                      <w:b/>
                      <w:bCs/>
                      <w:color w:val="000000" w:themeColor="text1"/>
                      <w:sz w:val="21"/>
                      <w:szCs w:val="21"/>
                      <w14:textFill>
                        <w14:solidFill>
                          <w14:schemeClr w14:val="tx1"/>
                        </w14:solidFill>
                      </w14:textFill>
                    </w:rPr>
                    <w:t>粤办函〔2023〕50号</w:t>
                  </w:r>
                  <w:r>
                    <w:rPr>
                      <w:rFonts w:ascii="Times New Roman"/>
                      <w:b/>
                      <w:bCs/>
                      <w:color w:val="000000" w:themeColor="text1"/>
                      <w:sz w:val="21"/>
                      <w:szCs w:val="21"/>
                      <w14:textFill>
                        <w14:solidFill>
                          <w14:schemeClr w14:val="tx1"/>
                        </w14:solidFill>
                      </w14:textFill>
                    </w:rPr>
                    <w:t>）</w:t>
                  </w:r>
                </w:p>
              </w:tc>
            </w:tr>
            <w:tr w14:paraId="4CDB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4B3EE7C8">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全省35t/h以上燃煤锅炉和自备电厂稳定达到超低排放要求。燃气锅炉按标准有序执行特别排放限值。推进珠三角9市及清远市县级以上城市建成区内的生物质锅炉（含气化炉和集中供热性质的生物质锅炉）淘汰整治，NOx排放浓度难以稳定达到50mg/m</w:t>
                  </w:r>
                  <w:r>
                    <w:rPr>
                      <w:rFonts w:hint="eastAsia" w:ascii="Times New Roman"/>
                      <w:color w:val="000000" w:themeColor="text1"/>
                      <w:sz w:val="21"/>
                      <w:szCs w:val="21"/>
                      <w:vertAlign w:val="superscript"/>
                      <w14:textFill>
                        <w14:solidFill>
                          <w14:schemeClr w14:val="tx1"/>
                        </w14:solidFill>
                      </w14:textFill>
                    </w:rPr>
                    <w:t>3</w:t>
                  </w:r>
                  <w:r>
                    <w:rPr>
                      <w:rFonts w:hint="eastAsia" w:ascii="Times New Roman"/>
                      <w:color w:val="000000" w:themeColor="text1"/>
                      <w:sz w:val="21"/>
                      <w:szCs w:val="21"/>
                      <w14:textFill>
                        <w14:solidFill>
                          <w14:schemeClr w14:val="tx1"/>
                        </w14:solidFill>
                      </w14:textFill>
                    </w:rPr>
                    <w:t>以下的生物质锅炉（含气化炉和集中供热性质的生物质锅炉）应配备脱硝设施，鼓励有条件的地市淘汰生物质锅炉，各地市于2023年6月底前制定淘汰整治计划。</w:t>
                  </w:r>
                </w:p>
              </w:tc>
              <w:tc>
                <w:tcPr>
                  <w:tcW w:w="1751" w:type="pct"/>
                  <w:noWrap w:val="0"/>
                  <w:vAlign w:val="center"/>
                </w:tcPr>
                <w:p w14:paraId="03A6A17B">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2"/>
                      <w14:textFill>
                        <w14:solidFill>
                          <w14:schemeClr w14:val="tx1"/>
                        </w14:solidFill>
                      </w14:textFill>
                    </w:rPr>
                    <w:t>项目</w:t>
                  </w:r>
                  <w:r>
                    <w:rPr>
                      <w:rFonts w:ascii="Times New Roman" w:hAnsi="Times New Roman" w:eastAsia="宋体" w:cs="Times New Roman"/>
                      <w:color w:val="000000" w:themeColor="text1"/>
                      <w:szCs w:val="22"/>
                      <w14:textFill>
                        <w14:solidFill>
                          <w14:schemeClr w14:val="tx1"/>
                        </w14:solidFill>
                      </w14:textFill>
                    </w:rPr>
                    <w:t>位于</w:t>
                  </w:r>
                  <w:r>
                    <w:rPr>
                      <w:rFonts w:hint="eastAsia" w:ascii="Times New Roman" w:hAnsi="Times New Roman" w:eastAsia="宋体" w:cs="Times New Roman"/>
                      <w:color w:val="000000" w:themeColor="text1"/>
                      <w:szCs w:val="21"/>
                      <w14:textFill>
                        <w14:solidFill>
                          <w14:schemeClr w14:val="tx1"/>
                        </w14:solidFill>
                      </w14:textFill>
                    </w:rPr>
                    <w:t>湛江市霞山区铁路粤西农垦供销总公司南山库区8381-1仓，不在珠三角9市及清远市县级以上城市建成区内。</w:t>
                  </w:r>
                  <w:r>
                    <w:rPr>
                      <w:rFonts w:hint="eastAsia" w:ascii="Times New Roman" w:hAnsi="Times New Roman" w:eastAsia="宋体" w:cs="Times New Roman"/>
                      <w:bCs/>
                      <w:color w:val="000000" w:themeColor="text1"/>
                      <w:szCs w:val="21"/>
                      <w14:textFill>
                        <w14:solidFill>
                          <w14:schemeClr w14:val="tx1"/>
                        </w14:solidFill>
                      </w14:textFill>
                    </w:rPr>
                    <w:t>项目新建的锅炉使用成型生物质作为燃料，</w:t>
                  </w:r>
                  <w:r>
                    <w:rPr>
                      <w:rFonts w:hint="eastAsia" w:ascii="Times New Roman" w:hAnsi="Times New Roman" w:eastAsia="宋体" w:cs="Times New Roman"/>
                      <w:color w:val="000000" w:themeColor="text1"/>
                      <w14:textFill>
                        <w14:solidFill>
                          <w14:schemeClr w14:val="tx1"/>
                        </w14:solidFill>
                      </w14:textFill>
                    </w:rPr>
                    <w:t>锅炉燃烧废气经“低氮燃烧+锅炉节能器+布袋除尘器”处理后高空排放。</w:t>
                  </w:r>
                </w:p>
              </w:tc>
              <w:tc>
                <w:tcPr>
                  <w:tcW w:w="491" w:type="pct"/>
                  <w:noWrap w:val="0"/>
                  <w:vAlign w:val="center"/>
                </w:tcPr>
                <w:p w14:paraId="76BB8863">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r w14:paraId="51C1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noWrap w:val="0"/>
                  <w:vAlign w:val="center"/>
                </w:tcPr>
                <w:p w14:paraId="27D2A7C2">
                  <w:pPr>
                    <w:pStyle w:val="43"/>
                    <w:jc w:val="center"/>
                    <w:rPr>
                      <w:rFonts w:ascii="Times New Roman"/>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《广东省人民政府关于印发广东省空气质量持续改善行动方案的通知》（粤府〔2024〕85号）</w:t>
                  </w:r>
                </w:p>
              </w:tc>
            </w:tr>
            <w:tr w14:paraId="2FB5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1F07F1D0">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根据广东省空气质量持续改善行动方案中：二、深入推进产业结构优化调整：重点区域（清远市除外）建设项目实施VOCs两倍削减量替代和NOx等量替代，其他区域建设项目原则上实施VOCs和NOx等量替代。</w:t>
                  </w:r>
                </w:p>
              </w:tc>
              <w:tc>
                <w:tcPr>
                  <w:tcW w:w="1751" w:type="pct"/>
                  <w:noWrap w:val="0"/>
                  <w:vAlign w:val="center"/>
                </w:tcPr>
                <w:p w14:paraId="0D9FD300">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项目生产过程将会排放一定量的NOx，项目将按照要求进行NOx总量的申请。</w:t>
                  </w:r>
                </w:p>
              </w:tc>
              <w:tc>
                <w:tcPr>
                  <w:tcW w:w="491" w:type="pct"/>
                  <w:noWrap w:val="0"/>
                  <w:vAlign w:val="center"/>
                </w:tcPr>
                <w:p w14:paraId="11F92DD8">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r w14:paraId="6E7F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4B631B2A">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三、深入推进能源结构优化调整：珠三角地区原则上不再新建燃煤锅炉；粤东粤西粤北地区县级及以上城市建成区和天然气管网覆盖范围内禁止新建35蒸吨/小时及以下燃煤锅炉。到2025年，基本淘汰县级及以上城市建成区内35蒸吨/小时以下燃煤锅炉及经营性炉灶、储粮烘干设备、农产品加工等燃煤设施。</w:t>
                  </w:r>
                </w:p>
              </w:tc>
              <w:tc>
                <w:tcPr>
                  <w:tcW w:w="1751" w:type="pct"/>
                  <w:noWrap w:val="0"/>
                  <w:vAlign w:val="center"/>
                </w:tcPr>
                <w:p w14:paraId="688E96D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项目生产过程使用的锅炉为生物质锅炉，</w:t>
                  </w:r>
                  <w:r>
                    <w:rPr>
                      <w:rFonts w:hint="eastAsia" w:ascii="Times New Roman" w:hAnsi="Times New Roman" w:eastAsia="宋体" w:cs="Times New Roman"/>
                      <w:color w:val="000000" w:themeColor="text1"/>
                      <w14:textFill>
                        <w14:solidFill>
                          <w14:schemeClr w14:val="tx1"/>
                        </w14:solidFill>
                      </w14:textFill>
                    </w:rPr>
                    <w:t>锅炉燃烧废气经“低氮燃烧+锅炉节能器+布袋除尘器”处理后高空排放。</w:t>
                  </w:r>
                  <w:r>
                    <w:rPr>
                      <w:rFonts w:hint="eastAsia" w:ascii="Times New Roman" w:hAnsi="Times New Roman" w:eastAsia="宋体" w:cs="Times New Roman"/>
                      <w:color w:val="000000" w:themeColor="text1"/>
                      <w:szCs w:val="21"/>
                      <w14:textFill>
                        <w14:solidFill>
                          <w14:schemeClr w14:val="tx1"/>
                        </w14:solidFill>
                      </w14:textFill>
                    </w:rPr>
                    <w:t>不属于禁止建设的燃煤锅炉。</w:t>
                  </w:r>
                </w:p>
              </w:tc>
              <w:tc>
                <w:tcPr>
                  <w:tcW w:w="491" w:type="pct"/>
                  <w:noWrap w:val="0"/>
                  <w:vAlign w:val="center"/>
                </w:tcPr>
                <w:p w14:paraId="37FE32ED">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r w14:paraId="7BEF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72A20D5B">
                  <w:pPr>
                    <w:pStyle w:val="43"/>
                    <w:jc w:val="center"/>
                    <w:rPr>
                      <w:rFonts w:hint="eastAsia"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五、强化多污染物协同减排：推进工业锅炉和炉窑提标改造。积极引导生物质锅炉（含电力）开展超低排放改造，鼓励有条件的地市淘汰生物质锅炉。生物质锅炉采用专用锅炉，配置布袋等高效除尘设施，</w:t>
                  </w:r>
                </w:p>
                <w:p w14:paraId="01AF5621">
                  <w:pPr>
                    <w:pStyle w:val="43"/>
                    <w:jc w:val="center"/>
                    <w:rPr>
                      <w:rFonts w:hint="eastAsia"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禁止掺烧煤炭、煤矸石、垃圾、胶合板和漆板（或含有胶水、油漆、有机涂层等的木材）、工业固体废物等其他物料。工业固体废物、生活垃圾等应按照固体废物污染防治相关法律法规、标准及技术规范处理处置，禁止随意将其制成燃料棒、气化或直接作为燃料在工业锅炉、工业炉窑、发电机组等设备中燃烧。</w:t>
                  </w:r>
                </w:p>
              </w:tc>
              <w:tc>
                <w:tcPr>
                  <w:tcW w:w="1751" w:type="pct"/>
                  <w:noWrap w:val="0"/>
                  <w:vAlign w:val="center"/>
                </w:tcPr>
                <w:p w14:paraId="6DE56F52">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项目使用的生物质锅炉为专用锅炉，生物质锅炉配套有布袋除尘器，且项目生物质锅炉的污染物排放浓度能达到广东省《锅炉大气污染物排放标准》（DB44/765-2019）表2中燃生物质成型燃料锅炉的排放限值。项目使用的生物质燃料为成型生物质燃料，非胶合板和漆板（或含有胶水、油漆、有机涂层等的木材）等。</w:t>
                  </w:r>
                </w:p>
              </w:tc>
              <w:tc>
                <w:tcPr>
                  <w:tcW w:w="491" w:type="pct"/>
                  <w:noWrap w:val="0"/>
                  <w:vAlign w:val="center"/>
                </w:tcPr>
                <w:p w14:paraId="1F9C2AE8">
                  <w:pPr>
                    <w:pStyle w:val="43"/>
                    <w:jc w:val="center"/>
                    <w:rPr>
                      <w:rFonts w:hint="eastAsia"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符合</w:t>
                  </w:r>
                </w:p>
              </w:tc>
            </w:tr>
            <w:tr w14:paraId="6BF0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noWrap w:val="0"/>
                  <w:vAlign w:val="center"/>
                </w:tcPr>
                <w:p w14:paraId="7E546C6F">
                  <w:pPr>
                    <w:pStyle w:val="43"/>
                    <w:jc w:val="center"/>
                    <w:rPr>
                      <w:rFonts w:ascii="Times New Roman"/>
                      <w:bCs/>
                      <w:color w:val="000000" w:themeColor="text1"/>
                      <w:sz w:val="21"/>
                      <w:szCs w:val="21"/>
                      <w14:textFill>
                        <w14:solidFill>
                          <w14:schemeClr w14:val="tx1"/>
                        </w14:solidFill>
                      </w14:textFill>
                    </w:rPr>
                  </w:pPr>
                  <w:r>
                    <w:rPr>
                      <w:rFonts w:hint="eastAsia" w:ascii="Times New Roman"/>
                      <w:b/>
                      <w:color w:val="000000" w:themeColor="text1"/>
                      <w:sz w:val="21"/>
                      <w:szCs w:val="21"/>
                      <w14:textFill>
                        <w14:solidFill>
                          <w14:schemeClr w14:val="tx1"/>
                        </w14:solidFill>
                      </w14:textFill>
                    </w:rPr>
                    <w:t>《湛江市加强锅炉污染整治促进绿色低碳转型工作方案》（湛环[2024]305号）</w:t>
                  </w:r>
                </w:p>
              </w:tc>
            </w:tr>
            <w:tr w14:paraId="2652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1B5BD37A">
                  <w:pPr>
                    <w:pStyle w:val="43"/>
                    <w:jc w:val="center"/>
                    <w:rPr>
                      <w:rFonts w:hint="eastAsia" w:ascii="Times New Roman"/>
                      <w:b/>
                      <w:color w:val="000000" w:themeColor="text1"/>
                      <w:sz w:val="21"/>
                      <w:szCs w:val="21"/>
                      <w14:textFill>
                        <w14:solidFill>
                          <w14:schemeClr w14:val="tx1"/>
                        </w14:solidFill>
                      </w14:textFill>
                    </w:rPr>
                  </w:pPr>
                  <w:r>
                    <w:rPr>
                      <w:rFonts w:hint="eastAsia" w:ascii="Times New Roman"/>
                      <w:b/>
                      <w:color w:val="000000" w:themeColor="text1"/>
                      <w:sz w:val="21"/>
                      <w:szCs w:val="21"/>
                      <w14:textFill>
                        <w14:solidFill>
                          <w14:schemeClr w14:val="tx1"/>
                        </w14:solidFill>
                      </w14:textFill>
                    </w:rPr>
                    <w:t>（一）推动新建设备绿色低碳转型</w:t>
                  </w:r>
                </w:p>
                <w:p w14:paraId="0B627BDC">
                  <w:pPr>
                    <w:pStyle w:val="43"/>
                    <w:rPr>
                      <w:rFonts w:hint="eastAsia" w:ascii="Times New Roman"/>
                      <w:b/>
                      <w:color w:val="000000" w:themeColor="text1"/>
                      <w:sz w:val="21"/>
                      <w:szCs w:val="21"/>
                      <w14:textFill>
                        <w14:solidFill>
                          <w14:schemeClr w14:val="tx1"/>
                        </w14:solidFill>
                      </w14:textFill>
                    </w:rPr>
                  </w:pPr>
                  <w:r>
                    <w:rPr>
                      <w:rFonts w:hint="eastAsia" w:ascii="Times New Roman"/>
                      <w:b/>
                      <w:color w:val="000000" w:themeColor="text1"/>
                      <w:sz w:val="21"/>
                      <w:szCs w:val="21"/>
                      <w14:textFill>
                        <w14:solidFill>
                          <w14:schemeClr w14:val="tx1"/>
                        </w14:solidFill>
                      </w14:textFill>
                    </w:rPr>
                    <w:t>1.提高新建项目低碳环保水平</w:t>
                  </w:r>
                </w:p>
                <w:p w14:paraId="31BCE2F8">
                  <w:pPr>
                    <w:pStyle w:val="43"/>
                    <w:jc w:val="center"/>
                    <w:rPr>
                      <w:rFonts w:ascii="Times New Roman"/>
                      <w:bCs/>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全市原则上不再新建自备燃煤机组。建成区不再新建35t/h及以下燃煤锅炉(含煤气发生炉)、10t/h及以下生物质锅炉(含生物质气化炉和燃料类蒸汽发生器)；其他区域不再新建10t/h及以下燃煤锅炉、2t/h及以下生物质锅炉(含燃料类蒸汽发生器)，积极引导用热企业向实施集中供热的工业园区集聚发展，新增用热企业应优先布局在集中供热管网覆盖范围。在集中供热管网覆盖范围内，禁止新建燃用煤炭、重油、渣油、生物质等分散供热锅炉。鼓励天然气管网覆盖的工业园区新建使用燃气或可再生能源的锅炉，新建燃气锅炉全面采用低氮燃烧技术，新建生物质锅炉应采用生物质专用锅炉且配备布袋等高效除尘设施。</w:t>
                  </w:r>
                </w:p>
              </w:tc>
              <w:tc>
                <w:tcPr>
                  <w:tcW w:w="1751" w:type="pct"/>
                  <w:noWrap w:val="0"/>
                  <w:vAlign w:val="center"/>
                </w:tcPr>
                <w:p w14:paraId="41F92170">
                  <w:pPr>
                    <w:pStyle w:val="14"/>
                    <w:rPr>
                      <w:rFonts w:hint="eastAsia" w:ascii="Times New Roman"/>
                      <w:bCs/>
                      <w:color w:val="000000" w:themeColor="text1"/>
                      <w:sz w:val="21"/>
                      <w:szCs w:val="21"/>
                      <w14:textFill>
                        <w14:solidFill>
                          <w14:schemeClr w14:val="tx1"/>
                        </w14:solidFill>
                      </w14:textFill>
                    </w:rPr>
                  </w:pPr>
                  <w:r>
                    <w:rPr>
                      <w:rFonts w:hint="eastAsia" w:ascii="Times New Roman" w:eastAsia="宋体"/>
                      <w:bCs/>
                      <w:color w:val="000000" w:themeColor="text1"/>
                      <w:sz w:val="21"/>
                      <w:szCs w:val="21"/>
                      <w14:textFill>
                        <w14:solidFill>
                          <w14:schemeClr w14:val="tx1"/>
                        </w14:solidFill>
                      </w14:textFill>
                    </w:rPr>
                    <w:t>项目</w:t>
                  </w:r>
                  <w:r>
                    <w:rPr>
                      <w:rFonts w:hint="eastAsia" w:ascii="Times New Roman" w:eastAsia="宋体"/>
                      <w:bCs/>
                      <w:color w:val="000000" w:themeColor="text1"/>
                      <w:sz w:val="21"/>
                      <w:szCs w:val="21"/>
                      <w:lang w:val="en-US" w:eastAsia="zh-CN"/>
                      <w14:textFill>
                        <w14:solidFill>
                          <w14:schemeClr w14:val="tx1"/>
                        </w14:solidFill>
                      </w14:textFill>
                    </w:rPr>
                    <w:t>配套1台4t/h燃生物质（生物质成型燃料）锅炉</w:t>
                  </w:r>
                  <w:r>
                    <w:rPr>
                      <w:rFonts w:hint="eastAsia" w:ascii="Times New Roman" w:eastAsia="宋体"/>
                      <w:bCs/>
                      <w:color w:val="000000" w:themeColor="text1"/>
                      <w:sz w:val="21"/>
                      <w:szCs w:val="21"/>
                      <w14:textFill>
                        <w14:solidFill>
                          <w14:schemeClr w14:val="tx1"/>
                        </w14:solidFill>
                      </w14:textFill>
                    </w:rPr>
                    <w:t>。</w:t>
                  </w:r>
                  <w:r>
                    <w:rPr>
                      <w:rFonts w:hint="eastAsia" w:ascii="Times New Roman"/>
                      <w:bCs/>
                      <w:color w:val="000000" w:themeColor="text1"/>
                      <w:sz w:val="21"/>
                      <w:szCs w:val="21"/>
                      <w14:textFill>
                        <w14:solidFill>
                          <w14:schemeClr w14:val="tx1"/>
                        </w14:solidFill>
                      </w14:textFill>
                    </w:rPr>
                    <w:t>使用的锅炉不属于国家和省明令淘汰、强制报废、禁止制造和使用的锅炉。根据湛江市国土空间总体规划（2021—2035年）（见附图9），项目位于湛江市霞山区铁路粤西农垦供销总公司南山库区8381-1仓，不属于城市建成区、集中供热管网覆盖范围内。</w:t>
                  </w:r>
                  <w:r>
                    <w:rPr>
                      <w:rFonts w:hint="eastAsia" w:ascii="Times New Roman"/>
                      <w:color w:val="000000" w:themeColor="text1"/>
                      <w:sz w:val="21"/>
                      <w14:textFill>
                        <w14:solidFill>
                          <w14:schemeClr w14:val="tx1"/>
                        </w14:solidFill>
                      </w14:textFill>
                    </w:rPr>
                    <w:t>锅炉燃烧废气经“低氮燃烧+锅炉节能器+布袋除尘器”处理后高空排放。</w:t>
                  </w:r>
                </w:p>
              </w:tc>
              <w:tc>
                <w:tcPr>
                  <w:tcW w:w="491" w:type="pct"/>
                  <w:noWrap w:val="0"/>
                  <w:vAlign w:val="center"/>
                </w:tcPr>
                <w:p w14:paraId="1AA20152">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符合</w:t>
                  </w:r>
                </w:p>
              </w:tc>
            </w:tr>
            <w:tr w14:paraId="729F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561C0DA9">
                  <w:pPr>
                    <w:pStyle w:val="43"/>
                    <w:jc w:val="center"/>
                    <w:rPr>
                      <w:rFonts w:hint="eastAsia" w:ascii="Times New Roman"/>
                      <w:b/>
                      <w:color w:val="000000" w:themeColor="text1"/>
                      <w:sz w:val="21"/>
                      <w:szCs w:val="21"/>
                      <w14:textFill>
                        <w14:solidFill>
                          <w14:schemeClr w14:val="tx1"/>
                        </w14:solidFill>
                      </w14:textFill>
                    </w:rPr>
                  </w:pPr>
                  <w:r>
                    <w:rPr>
                      <w:rFonts w:hint="eastAsia" w:ascii="Times New Roman"/>
                      <w:b/>
                      <w:color w:val="000000" w:themeColor="text1"/>
                      <w:sz w:val="21"/>
                      <w:szCs w:val="21"/>
                      <w14:textFill>
                        <w14:solidFill>
                          <w14:schemeClr w14:val="tx1"/>
                        </w14:solidFill>
                      </w14:textFill>
                    </w:rPr>
                    <w:t>(二)推进现有锅炉降碳减污改造</w:t>
                  </w:r>
                </w:p>
                <w:p w14:paraId="46D28B78">
                  <w:pPr>
                    <w:pStyle w:val="43"/>
                    <w:rPr>
                      <w:rFonts w:hint="eastAsia" w:ascii="Times New Roman"/>
                      <w:b/>
                      <w:color w:val="000000" w:themeColor="text1"/>
                      <w:sz w:val="21"/>
                      <w:szCs w:val="21"/>
                      <w14:textFill>
                        <w14:solidFill>
                          <w14:schemeClr w14:val="tx1"/>
                        </w14:solidFill>
                      </w14:textFill>
                    </w:rPr>
                  </w:pPr>
                  <w:r>
                    <w:rPr>
                      <w:rFonts w:hint="eastAsia" w:ascii="Times New Roman"/>
                      <w:b/>
                      <w:color w:val="000000" w:themeColor="text1"/>
                      <w:sz w:val="21"/>
                      <w:szCs w:val="21"/>
                      <w14:textFill>
                        <w14:solidFill>
                          <w14:schemeClr w14:val="tx1"/>
                        </w14:solidFill>
                      </w14:textFill>
                    </w:rPr>
                    <w:t>1.逐步淘汰老旧低效锅炉</w:t>
                  </w:r>
                </w:p>
                <w:p w14:paraId="7EA18C63">
                  <w:pPr>
                    <w:pStyle w:val="43"/>
                    <w:jc w:val="center"/>
                    <w:rPr>
                      <w:rFonts w:ascii="Times New Roman"/>
                      <w:b/>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支持现有燃煤锅炉和自备燃煤机组实施清洁能源替代，积极引导企业改用绿色低碳锅炉。有序推进在役时间超过15年老旧低效锅炉淘汰工作，现有10t/h及以下燃煤锅炉、2t/h及以下生物质锅炉不再年检并逐步淘汰，替代的供热设备优先选择绿色低碳锅炉。加快推进工业园区集中供热管网建设，充分依托现有公用电厂实施集中供热。推动广东湛江临港工业园区加快实施集中供热，淘汰集中供热管网覆盖范围内的分散生物质锅炉。</w:t>
                  </w:r>
                </w:p>
              </w:tc>
              <w:tc>
                <w:tcPr>
                  <w:tcW w:w="1751" w:type="pct"/>
                  <w:noWrap w:val="0"/>
                  <w:vAlign w:val="center"/>
                </w:tcPr>
                <w:p w14:paraId="5E433AF8">
                  <w:pPr>
                    <w:pStyle w:val="43"/>
                    <w:jc w:val="center"/>
                    <w:rPr>
                      <w:rFonts w:hint="eastAsia" w:ascii="Times New Roman"/>
                      <w:bCs/>
                      <w:color w:val="000000" w:themeColor="text1"/>
                      <w:sz w:val="21"/>
                      <w:szCs w:val="21"/>
                      <w14:textFill>
                        <w14:solidFill>
                          <w14:schemeClr w14:val="tx1"/>
                        </w14:solidFill>
                      </w14:textFill>
                    </w:rPr>
                  </w:pPr>
                  <w:r>
                    <w:rPr>
                      <w:rFonts w:hint="eastAsia" w:ascii="Times New Roman"/>
                      <w:color w:val="000000" w:themeColor="text1"/>
                      <w:sz w:val="21"/>
                      <w14:textFill>
                        <w14:solidFill>
                          <w14:schemeClr w14:val="tx1"/>
                        </w14:solidFill>
                      </w14:textFill>
                    </w:rPr>
                    <w:t>项目属于热力生产和供应项目，新建1台4t/h燃生物质（生物质成型燃料）锅炉。</w:t>
                  </w:r>
                </w:p>
              </w:tc>
              <w:tc>
                <w:tcPr>
                  <w:tcW w:w="491" w:type="pct"/>
                  <w:noWrap w:val="0"/>
                  <w:vAlign w:val="center"/>
                </w:tcPr>
                <w:p w14:paraId="74F36731">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符合</w:t>
                  </w:r>
                </w:p>
              </w:tc>
            </w:tr>
            <w:tr w14:paraId="4E51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757" w:type="pct"/>
                  <w:noWrap w:val="0"/>
                  <w:vAlign w:val="center"/>
                </w:tcPr>
                <w:p w14:paraId="142248C2">
                  <w:pPr>
                    <w:pStyle w:val="43"/>
                    <w:rPr>
                      <w:rFonts w:hint="eastAsia" w:ascii="Times New Roman"/>
                      <w:b/>
                      <w:color w:val="000000" w:themeColor="text1"/>
                      <w:sz w:val="21"/>
                      <w:szCs w:val="21"/>
                      <w14:textFill>
                        <w14:solidFill>
                          <w14:schemeClr w14:val="tx1"/>
                        </w14:solidFill>
                      </w14:textFill>
                    </w:rPr>
                  </w:pPr>
                  <w:r>
                    <w:rPr>
                      <w:rFonts w:hint="eastAsia" w:ascii="Times New Roman"/>
                      <w:b/>
                      <w:color w:val="000000" w:themeColor="text1"/>
                      <w:sz w:val="21"/>
                      <w:szCs w:val="21"/>
                      <w14:textFill>
                        <w14:solidFill>
                          <w14:schemeClr w14:val="tx1"/>
                        </w14:solidFill>
                      </w14:textFill>
                    </w:rPr>
                    <w:t>2.加强锅炉废气污染治理</w:t>
                  </w:r>
                </w:p>
                <w:p w14:paraId="49C98D0B">
                  <w:pPr>
                    <w:pStyle w:val="43"/>
                    <w:jc w:val="center"/>
                    <w:rPr>
                      <w:rFonts w:hint="eastAsia" w:ascii="Times New Roman"/>
                      <w:bCs/>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按氨氧化物达到特别排放限值要求全面推进燃气锅炉低氮改造，未完成低氮改造的燃气锅炉应及时报废、注销或停用，在完成低氮改造前不予办理重新启用手续；推动燃气锅炉取消烟气再循环系统开关阀，确有必要保留的，可通过设置电动阀、气动阀或铅封方式加强监管。督促不能稳定达标的锅炉更换适宜高效治理工艺,推动达标无望或治理难度大的改用燃气锅炉或电锅炉，禁止掺烧煤炭、煤矸石、生活垃圾、胶合板和漆板(或含有胶水、油漆、有机涂层等的木材)。</w:t>
                  </w:r>
                </w:p>
              </w:tc>
              <w:tc>
                <w:tcPr>
                  <w:tcW w:w="1751" w:type="pct"/>
                  <w:noWrap w:val="0"/>
                  <w:vAlign w:val="center"/>
                </w:tcPr>
                <w:p w14:paraId="1C836EFE">
                  <w:pPr>
                    <w:jc w:val="left"/>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项目锅炉燃烧废气经“低氮燃烧+锅炉节能器+布袋除尘器”处理后高空排放。项目使用的燃料为品质合格的生物质燃料。并在日常生产时加强生物质锅炉燃料品质及排放管控，不使用劣质燃料。</w:t>
                  </w:r>
                </w:p>
              </w:tc>
              <w:tc>
                <w:tcPr>
                  <w:tcW w:w="491" w:type="pct"/>
                  <w:noWrap w:val="0"/>
                  <w:vAlign w:val="center"/>
                </w:tcPr>
                <w:p w14:paraId="02388A54">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符合</w:t>
                  </w:r>
                </w:p>
              </w:tc>
            </w:tr>
          </w:tbl>
          <w:p w14:paraId="4BDF3110">
            <w:pPr>
              <w:pStyle w:val="14"/>
              <w:rPr>
                <w:rFonts w:hint="eastAsia"/>
                <w:b/>
                <w:color w:val="000000" w:themeColor="text1"/>
                <w:kern w:val="2"/>
                <w:szCs w:val="24"/>
                <w14:textFill>
                  <w14:solidFill>
                    <w14:schemeClr w14:val="tx1"/>
                  </w14:solidFill>
                </w14:textFill>
              </w:rPr>
            </w:pPr>
            <w:r>
              <w:rPr>
                <w:rFonts w:hint="eastAsia"/>
                <w:b/>
                <w:bCs w:val="0"/>
                <w:color w:val="000000" w:themeColor="text1"/>
                <w:kern w:val="2"/>
                <w:szCs w:val="24"/>
                <w14:textFill>
                  <w14:solidFill>
                    <w14:schemeClr w14:val="tx1"/>
                  </w14:solidFill>
                </w14:textFill>
              </w:rPr>
              <w:t>5、</w:t>
            </w:r>
            <w:r>
              <w:rPr>
                <w:rFonts w:ascii="宋体" w:hAnsi="宋体" w:eastAsia="宋体" w:cs="宋体"/>
                <w:b/>
                <w:bCs w:val="0"/>
                <w:color w:val="000000" w:themeColor="text1"/>
                <w:sz w:val="24"/>
                <w:szCs w:val="24"/>
                <w14:textFill>
                  <w14:solidFill>
                    <w14:schemeClr w14:val="tx1"/>
                  </w14:solidFill>
                </w14:textFill>
              </w:rPr>
              <w:t>与《湛江市人民政府关于湛江市高污染燃料禁燃区的通告》（湛府规〔2024〕9号）相符性分析</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73"/>
              <w:gridCol w:w="2510"/>
              <w:gridCol w:w="3068"/>
              <w:gridCol w:w="690"/>
            </w:tblGrid>
            <w:tr w14:paraId="063C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blHeader/>
              </w:trPr>
              <w:tc>
                <w:tcPr>
                  <w:tcW w:w="485" w:type="pct"/>
                  <w:noWrap w:val="0"/>
                  <w:tcMar>
                    <w:top w:w="120" w:type="dxa"/>
                    <w:left w:w="120" w:type="dxa"/>
                    <w:bottom w:w="120" w:type="dxa"/>
                    <w:right w:w="120" w:type="dxa"/>
                  </w:tcMar>
                  <w:vAlign w:val="center"/>
                </w:tcPr>
                <w:p w14:paraId="581687F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序号</w:t>
                  </w:r>
                </w:p>
              </w:tc>
              <w:tc>
                <w:tcPr>
                  <w:tcW w:w="1808" w:type="pct"/>
                  <w:noWrap w:val="0"/>
                  <w:tcMar>
                    <w:top w:w="120" w:type="dxa"/>
                    <w:left w:w="120" w:type="dxa"/>
                    <w:bottom w:w="120" w:type="dxa"/>
                    <w:right w:w="120" w:type="dxa"/>
                  </w:tcMar>
                  <w:vAlign w:val="center"/>
                </w:tcPr>
                <w:p w14:paraId="043F5F2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政策管控要求</w:t>
                  </w:r>
                </w:p>
              </w:tc>
              <w:tc>
                <w:tcPr>
                  <w:tcW w:w="2210" w:type="pct"/>
                  <w:noWrap w:val="0"/>
                  <w:tcMar>
                    <w:top w:w="120" w:type="dxa"/>
                    <w:left w:w="120" w:type="dxa"/>
                    <w:bottom w:w="120" w:type="dxa"/>
                    <w:right w:w="120" w:type="dxa"/>
                  </w:tcMar>
                  <w:vAlign w:val="center"/>
                </w:tcPr>
                <w:p w14:paraId="2FD227B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bCs/>
                      <w:color w:val="000000" w:themeColor="text1"/>
                      <w:sz w:val="21"/>
                      <w:szCs w:val="21"/>
                      <w:lang w:val="en-US"/>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bidi="ar"/>
                      <w14:textFill>
                        <w14:solidFill>
                          <w14:schemeClr w14:val="tx1"/>
                        </w14:solidFill>
                      </w14:textFill>
                    </w:rPr>
                    <w:t>工程内容</w:t>
                  </w:r>
                </w:p>
              </w:tc>
              <w:tc>
                <w:tcPr>
                  <w:tcW w:w="496" w:type="pct"/>
                  <w:noWrap w:val="0"/>
                  <w:tcMar>
                    <w:top w:w="120" w:type="dxa"/>
                    <w:left w:w="120" w:type="dxa"/>
                    <w:bottom w:w="120" w:type="dxa"/>
                    <w:right w:w="120" w:type="dxa"/>
                  </w:tcMar>
                  <w:vAlign w:val="center"/>
                </w:tcPr>
                <w:p w14:paraId="3315658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相符性</w:t>
                  </w:r>
                </w:p>
              </w:tc>
            </w:tr>
            <w:tr w14:paraId="1E43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485" w:type="pct"/>
                  <w:noWrap w:val="0"/>
                  <w:tcMar>
                    <w:top w:w="120" w:type="dxa"/>
                    <w:left w:w="120" w:type="dxa"/>
                    <w:bottom w:w="120" w:type="dxa"/>
                    <w:right w:w="120" w:type="dxa"/>
                  </w:tcMar>
                  <w:vAlign w:val="center"/>
                </w:tcPr>
                <w:p w14:paraId="1126A98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1</w:t>
                  </w:r>
                </w:p>
              </w:tc>
              <w:tc>
                <w:tcPr>
                  <w:tcW w:w="1808" w:type="pct"/>
                  <w:noWrap w:val="0"/>
                  <w:tcMar>
                    <w:top w:w="120" w:type="dxa"/>
                    <w:left w:w="120" w:type="dxa"/>
                    <w:bottom w:w="120" w:type="dxa"/>
                    <w:right w:w="120" w:type="dxa"/>
                  </w:tcMar>
                  <w:vAlign w:val="center"/>
                </w:tcPr>
                <w:p w14:paraId="000D2BD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湛府规〔2024〕9号Ⅲ类禁燃区管控要求：禁止燃用非专用锅炉或未配置高效除尘设施的专用锅炉燃用的生物质成型燃料。</w:t>
                  </w:r>
                </w:p>
              </w:tc>
              <w:tc>
                <w:tcPr>
                  <w:tcW w:w="2210" w:type="pct"/>
                  <w:noWrap w:val="0"/>
                  <w:tcMar>
                    <w:top w:w="120" w:type="dxa"/>
                    <w:left w:w="120" w:type="dxa"/>
                    <w:bottom w:w="120" w:type="dxa"/>
                    <w:right w:w="120" w:type="dxa"/>
                  </w:tcMar>
                  <w:vAlign w:val="center"/>
                </w:tcPr>
                <w:p w14:paraId="64CC564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本项目配置</w:t>
                  </w:r>
                  <w:r>
                    <w:rPr>
                      <w:rStyle w:val="35"/>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生物质成型燃料专用锅炉</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，配套布袋除尘器（国家规范认定的高效除尘设施）及低氮燃烧装置，不属于文件禁止的燃烧工况。</w:t>
                  </w:r>
                </w:p>
              </w:tc>
              <w:tc>
                <w:tcPr>
                  <w:tcW w:w="496" w:type="pct"/>
                  <w:noWrap w:val="0"/>
                  <w:tcMar>
                    <w:top w:w="120" w:type="dxa"/>
                    <w:left w:w="120" w:type="dxa"/>
                    <w:bottom w:w="120" w:type="dxa"/>
                    <w:right w:w="120" w:type="dxa"/>
                  </w:tcMar>
                  <w:vAlign w:val="center"/>
                </w:tcPr>
                <w:p w14:paraId="40229FF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符合</w:t>
                  </w:r>
                </w:p>
              </w:tc>
            </w:tr>
            <w:tr w14:paraId="4EBB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485" w:type="pct"/>
                  <w:noWrap w:val="0"/>
                  <w:tcMar>
                    <w:top w:w="120" w:type="dxa"/>
                    <w:left w:w="120" w:type="dxa"/>
                    <w:bottom w:w="120" w:type="dxa"/>
                    <w:right w:w="120" w:type="dxa"/>
                  </w:tcMar>
                  <w:vAlign w:val="center"/>
                </w:tcPr>
                <w:p w14:paraId="50442D7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2</w:t>
                  </w:r>
                </w:p>
              </w:tc>
              <w:tc>
                <w:tcPr>
                  <w:tcW w:w="1808" w:type="pct"/>
                  <w:noWrap w:val="0"/>
                  <w:tcMar>
                    <w:top w:w="120" w:type="dxa"/>
                    <w:left w:w="120" w:type="dxa"/>
                    <w:bottom w:w="120" w:type="dxa"/>
                    <w:right w:w="120" w:type="dxa"/>
                  </w:tcMar>
                  <w:vAlign w:val="center"/>
                </w:tcPr>
                <w:p w14:paraId="046C355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禁燃区管控要求：生物质燃料严禁掺烧煤炭、重油、垃圾及其他杂物，仅可使用合规商品化生物质成型颗粒燃料。</w:t>
                  </w:r>
                </w:p>
              </w:tc>
              <w:tc>
                <w:tcPr>
                  <w:tcW w:w="2210" w:type="pct"/>
                  <w:noWrap w:val="0"/>
                  <w:tcMar>
                    <w:top w:w="120" w:type="dxa"/>
                    <w:left w:w="120" w:type="dxa"/>
                    <w:bottom w:w="120" w:type="dxa"/>
                    <w:right w:w="120" w:type="dxa"/>
                  </w:tcMar>
                  <w:vAlign w:val="center"/>
                </w:tcPr>
                <w:p w14:paraId="5A0AF6E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本项目燃料采用合规商品化生物质成型颗粒，严格执行《生物质成型燃料质量分级》（GB/T21923）标准；环评明确禁止掺烧其他燃料，运营期建立燃料采购、入库、消耗全流程台账管理制度。</w:t>
                  </w:r>
                </w:p>
              </w:tc>
              <w:tc>
                <w:tcPr>
                  <w:tcW w:w="496" w:type="pct"/>
                  <w:noWrap w:val="0"/>
                  <w:tcMar>
                    <w:top w:w="120" w:type="dxa"/>
                    <w:left w:w="120" w:type="dxa"/>
                    <w:bottom w:w="120" w:type="dxa"/>
                    <w:right w:w="120" w:type="dxa"/>
                  </w:tcMar>
                  <w:vAlign w:val="center"/>
                </w:tcPr>
                <w:p w14:paraId="05F2B95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符合</w:t>
                  </w:r>
                </w:p>
              </w:tc>
            </w:tr>
            <w:tr w14:paraId="2F1C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485" w:type="pct"/>
                  <w:noWrap w:val="0"/>
                  <w:tcMar>
                    <w:top w:w="120" w:type="dxa"/>
                    <w:left w:w="120" w:type="dxa"/>
                    <w:bottom w:w="120" w:type="dxa"/>
                    <w:right w:w="120" w:type="dxa"/>
                  </w:tcMar>
                  <w:vAlign w:val="center"/>
                </w:tcPr>
                <w:p w14:paraId="547D777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3</w:t>
                  </w:r>
                </w:p>
              </w:tc>
              <w:tc>
                <w:tcPr>
                  <w:tcW w:w="1808" w:type="pct"/>
                  <w:noWrap w:val="0"/>
                  <w:tcMar>
                    <w:top w:w="120" w:type="dxa"/>
                    <w:left w:w="120" w:type="dxa"/>
                    <w:bottom w:w="120" w:type="dxa"/>
                    <w:right w:w="120" w:type="dxa"/>
                  </w:tcMar>
                  <w:vAlign w:val="center"/>
                </w:tcPr>
                <w:p w14:paraId="0672FDF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《广东省大气污染防治条例》明确禁止安装非专用生物质锅炉、可燃煤双燃料生物质锅炉。</w:t>
                  </w:r>
                </w:p>
              </w:tc>
              <w:tc>
                <w:tcPr>
                  <w:tcW w:w="2210" w:type="pct"/>
                  <w:noWrap w:val="0"/>
                  <w:tcMar>
                    <w:top w:w="120" w:type="dxa"/>
                    <w:left w:w="120" w:type="dxa"/>
                    <w:bottom w:w="120" w:type="dxa"/>
                    <w:right w:w="120" w:type="dxa"/>
                  </w:tcMar>
                  <w:vAlign w:val="center"/>
                </w:tcPr>
                <w:p w14:paraId="6BEA1CE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本项目锅炉为</w:t>
                  </w:r>
                  <w:r>
                    <w:rPr>
                      <w:rStyle w:val="35"/>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纯生物质专用锅炉</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，无燃煤料仓、燃油管路及燃料切换装置，硬件层面不具备燃煤、混燃条件，不属于双燃料两用锅炉。</w:t>
                  </w:r>
                </w:p>
              </w:tc>
              <w:tc>
                <w:tcPr>
                  <w:tcW w:w="496" w:type="pct"/>
                  <w:noWrap w:val="0"/>
                  <w:tcMar>
                    <w:top w:w="120" w:type="dxa"/>
                    <w:left w:w="120" w:type="dxa"/>
                    <w:bottom w:w="120" w:type="dxa"/>
                    <w:right w:w="120" w:type="dxa"/>
                  </w:tcMar>
                  <w:vAlign w:val="center"/>
                </w:tcPr>
                <w:p w14:paraId="35319E1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符合</w:t>
                  </w:r>
                </w:p>
              </w:tc>
            </w:tr>
            <w:tr w14:paraId="4E95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485" w:type="pct"/>
                  <w:noWrap w:val="0"/>
                  <w:tcMar>
                    <w:top w:w="120" w:type="dxa"/>
                    <w:left w:w="120" w:type="dxa"/>
                    <w:bottom w:w="120" w:type="dxa"/>
                    <w:right w:w="120" w:type="dxa"/>
                  </w:tcMar>
                  <w:vAlign w:val="center"/>
                </w:tcPr>
                <w:p w14:paraId="1C1D417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4</w:t>
                  </w:r>
                </w:p>
              </w:tc>
              <w:tc>
                <w:tcPr>
                  <w:tcW w:w="1808" w:type="pct"/>
                  <w:noWrap w:val="0"/>
                  <w:tcMar>
                    <w:top w:w="120" w:type="dxa"/>
                    <w:left w:w="120" w:type="dxa"/>
                    <w:bottom w:w="120" w:type="dxa"/>
                    <w:right w:w="120" w:type="dxa"/>
                  </w:tcMar>
                  <w:vAlign w:val="center"/>
                </w:tcPr>
                <w:p w14:paraId="6A02625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禁燃区管控导向：主城区优先采用天然气、电等清洁能源，从严控制新增分散生物质供热锅炉（非主城区无一刀切禁止要求）。</w:t>
                  </w:r>
                </w:p>
              </w:tc>
              <w:tc>
                <w:tcPr>
                  <w:tcW w:w="2210" w:type="pct"/>
                  <w:noWrap w:val="0"/>
                  <w:tcMar>
                    <w:top w:w="120" w:type="dxa"/>
                    <w:left w:w="120" w:type="dxa"/>
                    <w:bottom w:w="120" w:type="dxa"/>
                    <w:right w:w="120" w:type="dxa"/>
                  </w:tcMar>
                  <w:vAlign w:val="center"/>
                </w:tcPr>
                <w:p w14:paraId="6A865002">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本项目不在湛江主城区范围内；项目预留燃气、电锅炉改造接口，可适配后续区域清洁化整治要求。</w:t>
                  </w:r>
                </w:p>
              </w:tc>
              <w:tc>
                <w:tcPr>
                  <w:tcW w:w="496" w:type="pct"/>
                  <w:noWrap w:val="0"/>
                  <w:tcMar>
                    <w:top w:w="120" w:type="dxa"/>
                    <w:left w:w="120" w:type="dxa"/>
                    <w:bottom w:w="120" w:type="dxa"/>
                    <w:right w:w="120" w:type="dxa"/>
                  </w:tcMar>
                  <w:vAlign w:val="center"/>
                </w:tcPr>
                <w:p w14:paraId="248B366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符合</w:t>
                  </w:r>
                </w:p>
              </w:tc>
            </w:tr>
            <w:tr w14:paraId="54F5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485" w:type="pct"/>
                  <w:noWrap w:val="0"/>
                  <w:tcMar>
                    <w:top w:w="120" w:type="dxa"/>
                    <w:left w:w="120" w:type="dxa"/>
                    <w:bottom w:w="120" w:type="dxa"/>
                    <w:right w:w="120" w:type="dxa"/>
                  </w:tcMar>
                  <w:vAlign w:val="center"/>
                </w:tcPr>
                <w:p w14:paraId="11E90C2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5</w:t>
                  </w:r>
                </w:p>
              </w:tc>
              <w:tc>
                <w:tcPr>
                  <w:tcW w:w="1808" w:type="pct"/>
                  <w:noWrap w:val="0"/>
                  <w:tcMar>
                    <w:top w:w="120" w:type="dxa"/>
                    <w:left w:w="120" w:type="dxa"/>
                    <w:bottom w:w="120" w:type="dxa"/>
                    <w:right w:w="120" w:type="dxa"/>
                  </w:tcMar>
                  <w:vAlign w:val="center"/>
                </w:tcPr>
                <w:p w14:paraId="646D3E6A">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禁燃区配套环保要求：锅炉废气治理设施完善、稳定达标，排气筒规范化设置，污染物合规处置、在线监管到位。</w:t>
                  </w:r>
                </w:p>
              </w:tc>
              <w:tc>
                <w:tcPr>
                  <w:tcW w:w="2210" w:type="pct"/>
                  <w:noWrap w:val="0"/>
                  <w:tcMar>
                    <w:top w:w="120" w:type="dxa"/>
                    <w:left w:w="120" w:type="dxa"/>
                    <w:bottom w:w="120" w:type="dxa"/>
                    <w:right w:w="120" w:type="dxa"/>
                  </w:tcMar>
                  <w:vAlign w:val="center"/>
                </w:tcPr>
                <w:p w14:paraId="5D4C59C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项目采用低氮燃烧+布袋除尘组合工艺，废气治理高效稳定；排气筒高度设置为35m，满足GB13271规范要求；配套废气自动在线监测设备，炉渣、除尘灰统一收集、全部资源化综合利用。</w:t>
                  </w:r>
                </w:p>
              </w:tc>
              <w:tc>
                <w:tcPr>
                  <w:tcW w:w="496" w:type="pct"/>
                  <w:noWrap w:val="0"/>
                  <w:tcMar>
                    <w:top w:w="120" w:type="dxa"/>
                    <w:left w:w="120" w:type="dxa"/>
                    <w:bottom w:w="120" w:type="dxa"/>
                    <w:right w:w="120" w:type="dxa"/>
                  </w:tcMar>
                  <w:vAlign w:val="center"/>
                </w:tcPr>
                <w:p w14:paraId="533083C7">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符合</w:t>
                  </w:r>
                </w:p>
              </w:tc>
            </w:tr>
            <w:tr w14:paraId="48D4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485" w:type="pct"/>
                  <w:noWrap w:val="0"/>
                  <w:tcMar>
                    <w:top w:w="120" w:type="dxa"/>
                    <w:left w:w="120" w:type="dxa"/>
                    <w:bottom w:w="120" w:type="dxa"/>
                    <w:right w:w="120" w:type="dxa"/>
                  </w:tcMar>
                  <w:vAlign w:val="center"/>
                </w:tcPr>
                <w:p w14:paraId="519F1EF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6</w:t>
                  </w:r>
                </w:p>
              </w:tc>
              <w:tc>
                <w:tcPr>
                  <w:tcW w:w="1808" w:type="pct"/>
                  <w:noWrap w:val="0"/>
                  <w:tcMar>
                    <w:top w:w="120" w:type="dxa"/>
                    <w:left w:w="120" w:type="dxa"/>
                    <w:bottom w:w="120" w:type="dxa"/>
                    <w:right w:w="120" w:type="dxa"/>
                  </w:tcMar>
                  <w:vAlign w:val="center"/>
                </w:tcPr>
                <w:p w14:paraId="39DBEBC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湛府规〔2024〕9号管控要求：集中供热管网</w:t>
                  </w:r>
                  <w:r>
                    <w:rPr>
                      <w:rStyle w:val="35"/>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已建成覆盖区域</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，禁止新建生物质分散供热锅炉。</w:t>
                  </w:r>
                </w:p>
              </w:tc>
              <w:tc>
                <w:tcPr>
                  <w:tcW w:w="2210" w:type="pct"/>
                  <w:noWrap w:val="0"/>
                  <w:tcMar>
                    <w:top w:w="120" w:type="dxa"/>
                    <w:left w:w="120" w:type="dxa"/>
                    <w:bottom w:w="120" w:type="dxa"/>
                    <w:right w:w="120" w:type="dxa"/>
                  </w:tcMar>
                  <w:vAlign w:val="center"/>
                </w:tcPr>
                <w:p w14:paraId="1B17FE8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本项目地块不在湛江临港工业区</w:t>
                  </w:r>
                  <w:r>
                    <w:rPr>
                      <w:rStyle w:val="35"/>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现状已建成集中供热管网覆盖范围</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内；区域集中供热能源站尚处于建设阶段，配套主干供热管网未延伸至本项目地块，现阶段无市政集中蒸汽接入条件。</w:t>
                  </w:r>
                </w:p>
              </w:tc>
              <w:tc>
                <w:tcPr>
                  <w:tcW w:w="496" w:type="pct"/>
                  <w:noWrap w:val="0"/>
                  <w:tcMar>
                    <w:top w:w="120" w:type="dxa"/>
                    <w:left w:w="120" w:type="dxa"/>
                    <w:bottom w:w="120" w:type="dxa"/>
                    <w:right w:w="120" w:type="dxa"/>
                  </w:tcMar>
                  <w:vAlign w:val="center"/>
                </w:tcPr>
                <w:p w14:paraId="0F13850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符合</w:t>
                  </w:r>
                </w:p>
              </w:tc>
            </w:tr>
          </w:tbl>
          <w:p w14:paraId="4F60B03D">
            <w:pPr>
              <w:spacing w:line="480" w:lineRule="exact"/>
              <w:ind w:firstLine="482" w:firstLineChars="200"/>
              <w:textAlignment w:val="baseline"/>
              <w:rPr>
                <w:rFonts w:ascii="Times New Roman" w:hAnsi="Times New Roman" w:eastAsia="宋体" w:cs="Times New Roman"/>
                <w:b/>
                <w:color w:val="000000" w:themeColor="text1"/>
                <w:szCs w:val="22"/>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6</w:t>
            </w:r>
            <w:r>
              <w:rPr>
                <w:rFonts w:ascii="Times New Roman" w:hAnsi="Times New Roman" w:eastAsia="宋体" w:cs="Times New Roman"/>
                <w:b/>
                <w:color w:val="000000" w:themeColor="text1"/>
                <w:sz w:val="24"/>
                <w14:textFill>
                  <w14:solidFill>
                    <w14:schemeClr w14:val="tx1"/>
                  </w14:solidFill>
                </w14:textFill>
              </w:rPr>
              <w:t>、与“三线一单”符合性分析</w:t>
            </w:r>
          </w:p>
          <w:p w14:paraId="7A5161F1">
            <w:pPr>
              <w:spacing w:line="480" w:lineRule="exact"/>
              <w:ind w:firstLine="482" w:firstLineChars="200"/>
              <w:jc w:val="left"/>
              <w:textAlignment w:val="baseline"/>
              <w:rPr>
                <w:rFonts w:hint="eastAsia" w:ascii="Times New Roman" w:hAnsi="Times New Roman" w:eastAsia="宋体" w:cs="Times New Roman"/>
                <w:b/>
                <w:bCs/>
                <w:color w:val="000000" w:themeColor="text1"/>
                <w:kern w:val="0"/>
                <w:sz w:val="24"/>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（1）与</w:t>
            </w:r>
            <w:r>
              <w:rPr>
                <w:rFonts w:ascii="Times New Roman" w:hAnsi="Times New Roman" w:eastAsia="宋体" w:cs="Times New Roman"/>
                <w:b/>
                <w:bCs/>
                <w:color w:val="000000" w:themeColor="text1"/>
                <w:kern w:val="0"/>
                <w:sz w:val="24"/>
                <w14:textFill>
                  <w14:solidFill>
                    <w14:schemeClr w14:val="tx1"/>
                  </w14:solidFill>
                </w14:textFill>
              </w:rPr>
              <w:t>《广东省人民政府关于印发广东省“三线一单”生态环境分区管控方案的通知》（粤府〔2020〕71号）</w:t>
            </w:r>
            <w:r>
              <w:rPr>
                <w:rFonts w:hint="eastAsia" w:ascii="Times New Roman" w:hAnsi="Times New Roman" w:eastAsia="宋体" w:cs="Times New Roman"/>
                <w:b/>
                <w:bCs/>
                <w:color w:val="000000" w:themeColor="text1"/>
                <w:kern w:val="0"/>
                <w:sz w:val="24"/>
                <w14:textFill>
                  <w14:solidFill>
                    <w14:schemeClr w14:val="tx1"/>
                  </w14:solidFill>
                </w14:textFill>
              </w:rPr>
              <w:t>的相符性分析</w:t>
            </w:r>
          </w:p>
          <w:p w14:paraId="7C42116D">
            <w:pPr>
              <w:spacing w:line="480" w:lineRule="exact"/>
              <w:ind w:firstLine="482" w:firstLineChars="200"/>
              <w:jc w:val="center"/>
              <w:textAlignment w:val="baseline"/>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表1-</w:t>
            </w:r>
            <w:r>
              <w:rPr>
                <w:rFonts w:hint="eastAsia" w:ascii="Times New Roman" w:hAnsi="Times New Roman" w:eastAsia="宋体" w:cs="Times New Roman"/>
                <w:b/>
                <w:color w:val="000000" w:themeColor="text1"/>
                <w:sz w:val="24"/>
                <w14:textFill>
                  <w14:solidFill>
                    <w14:schemeClr w14:val="tx1"/>
                  </w14:solidFill>
                </w14:textFill>
              </w:rPr>
              <w:t>2</w:t>
            </w:r>
            <w:r>
              <w:rPr>
                <w:rFonts w:ascii="Times New Roman" w:hAnsi="Times New Roman" w:eastAsia="宋体" w:cs="Times New Roman"/>
                <w:b/>
                <w:color w:val="000000" w:themeColor="text1"/>
                <w:sz w:val="24"/>
                <w14:textFill>
                  <w14:solidFill>
                    <w14:schemeClr w14:val="tx1"/>
                  </w14:solidFill>
                </w14:textFill>
              </w:rPr>
              <w:t>项目与“三线一单”文件相符性分析</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3"/>
              <w:gridCol w:w="5463"/>
              <w:gridCol w:w="699"/>
            </w:tblGrid>
            <w:tr w14:paraId="0BF6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3" w:type="dxa"/>
                  <w:noWrap w:val="0"/>
                  <w:vAlign w:val="center"/>
                </w:tcPr>
                <w:p w14:paraId="6FA3A9C7">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类别</w:t>
                  </w:r>
                </w:p>
              </w:tc>
              <w:tc>
                <w:tcPr>
                  <w:tcW w:w="5463" w:type="dxa"/>
                  <w:noWrap w:val="0"/>
                  <w:vAlign w:val="center"/>
                </w:tcPr>
                <w:p w14:paraId="2D99A1B4">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项目与三线一单相符性分析</w:t>
                  </w:r>
                </w:p>
              </w:tc>
              <w:tc>
                <w:tcPr>
                  <w:tcW w:w="699" w:type="dxa"/>
                  <w:noWrap w:val="0"/>
                  <w:vAlign w:val="center"/>
                </w:tcPr>
                <w:p w14:paraId="7AB1989D">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相符性</w:t>
                  </w:r>
                </w:p>
              </w:tc>
            </w:tr>
            <w:tr w14:paraId="548D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3" w:type="dxa"/>
                  <w:noWrap w:val="0"/>
                  <w:vAlign w:val="center"/>
                </w:tcPr>
                <w:p w14:paraId="4DCE98AC">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生态保护红线</w:t>
                  </w:r>
                </w:p>
              </w:tc>
              <w:tc>
                <w:tcPr>
                  <w:tcW w:w="5463" w:type="dxa"/>
                  <w:noWrap w:val="0"/>
                  <w:vAlign w:val="center"/>
                </w:tcPr>
                <w:p w14:paraId="7B798C89">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项目位于</w:t>
                  </w:r>
                  <w:r>
                    <w:rPr>
                      <w:rFonts w:hint="eastAsia" w:ascii="Times New Roman" w:hAnsi="Times New Roman" w:eastAsia="宋体" w:cs="Times New Roman"/>
                      <w:color w:val="000000" w:themeColor="text1"/>
                      <w:szCs w:val="21"/>
                      <w14:textFill>
                        <w14:solidFill>
                          <w14:schemeClr w14:val="tx1"/>
                        </w14:solidFill>
                      </w14:textFill>
                    </w:rPr>
                    <w:t>湛江市霞山区铁路粤西农垦供销总公司南山库区8381-1仓</w:t>
                  </w:r>
                  <w:r>
                    <w:rPr>
                      <w:rFonts w:hint="eastAsia" w:ascii="Times New Roman" w:hAnsi="Times New Roman" w:eastAsia="宋体" w:cs="Times New Roman"/>
                      <w:color w:val="000000" w:themeColor="text1"/>
                      <w:szCs w:val="22"/>
                      <w14:textFill>
                        <w14:solidFill>
                          <w14:schemeClr w14:val="tx1"/>
                        </w14:solidFill>
                      </w14:textFill>
                    </w:rPr>
                    <w:t>，均为现有厂房。根据湛江市国土空间总体规划（2021—2035年）（附图9）</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项目所在地不属于生态保护红线范围</w:t>
                  </w:r>
                  <w:r>
                    <w:rPr>
                      <w:rFonts w:ascii="Times New Roman" w:hAnsi="Times New Roman" w:eastAsia="宋体" w:cs="Times New Roman"/>
                      <w:color w:val="000000" w:themeColor="text1"/>
                      <w:szCs w:val="21"/>
                      <w14:textFill>
                        <w14:solidFill>
                          <w14:schemeClr w14:val="tx1"/>
                        </w14:solidFill>
                      </w14:textFill>
                    </w:rPr>
                    <w:t>。</w:t>
                  </w:r>
                </w:p>
              </w:tc>
              <w:tc>
                <w:tcPr>
                  <w:tcW w:w="699" w:type="dxa"/>
                  <w:noWrap w:val="0"/>
                  <w:vAlign w:val="center"/>
                </w:tcPr>
                <w:p w14:paraId="4990E01C">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r w14:paraId="204D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3" w:type="dxa"/>
                  <w:noWrap w:val="0"/>
                  <w:vAlign w:val="center"/>
                </w:tcPr>
                <w:p w14:paraId="5C92431D">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环境质量底线</w:t>
                  </w:r>
                </w:p>
              </w:tc>
              <w:tc>
                <w:tcPr>
                  <w:tcW w:w="5463" w:type="dxa"/>
                  <w:noWrap w:val="0"/>
                  <w:vAlign w:val="center"/>
                </w:tcPr>
                <w:p w14:paraId="7E7EB7FB">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根据项目所在地环境现状调查和污染物影响，项目实施后与区域内环境影响较小，环境质量可保持现有水平。</w:t>
                  </w:r>
                </w:p>
              </w:tc>
              <w:tc>
                <w:tcPr>
                  <w:tcW w:w="699" w:type="dxa"/>
                  <w:noWrap w:val="0"/>
                  <w:vAlign w:val="center"/>
                </w:tcPr>
                <w:p w14:paraId="2E7F2D67">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r w14:paraId="7792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3" w:type="dxa"/>
                  <w:noWrap w:val="0"/>
                  <w:vAlign w:val="center"/>
                </w:tcPr>
                <w:p w14:paraId="5DE6FC1B">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资源利用上线</w:t>
                  </w:r>
                </w:p>
              </w:tc>
              <w:tc>
                <w:tcPr>
                  <w:tcW w:w="5463" w:type="dxa"/>
                  <w:noWrap w:val="0"/>
                  <w:vAlign w:val="center"/>
                </w:tcPr>
                <w:p w14:paraId="0E93687B">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项目不属于高耗能、高污染、资源型企业，</w:t>
                  </w:r>
                  <w:r>
                    <w:rPr>
                      <w:rFonts w:hint="eastAsia" w:ascii="Times New Roman" w:hAnsi="Times New Roman" w:eastAsia="宋体" w:cs="Times New Roman"/>
                      <w:color w:val="000000" w:themeColor="text1"/>
                      <w14:textFill>
                        <w14:solidFill>
                          <w14:schemeClr w14:val="tx1"/>
                        </w14:solidFill>
                      </w14:textFill>
                    </w:rPr>
                    <w:t>主要以电能、生物质成型燃料为主，</w:t>
                  </w:r>
                  <w:r>
                    <w:rPr>
                      <w:rFonts w:ascii="Times New Roman" w:hAnsi="Times New Roman" w:eastAsia="宋体" w:cs="Times New Roman"/>
                      <w:color w:val="000000" w:themeColor="text1"/>
                      <w14:textFill>
                        <w14:solidFill>
                          <w14:schemeClr w14:val="tx1"/>
                        </w14:solidFill>
                      </w14:textFill>
                    </w:rPr>
                    <w:t>配套废气治理设施、规范燃烧条件下实现清洁利用</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用电来自市政供电</w:t>
                  </w:r>
                  <w:r>
                    <w:rPr>
                      <w:rFonts w:hint="eastAsia" w:ascii="Times New Roman" w:hAnsi="Times New Roman" w:eastAsia="宋体" w:cs="Times New Roman"/>
                      <w:color w:val="000000" w:themeColor="text1"/>
                      <w:szCs w:val="22"/>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用水来自市政管网。项目建成后通过内部管理、设备选择、原辅材料的选用和管理、废物回收利用、污染治理等方面采取合理可行的防治措施，以“节能、降耗、减污”为目标，有效</w:t>
                  </w:r>
                  <w:r>
                    <w:rPr>
                      <w:rFonts w:hint="eastAsia" w:ascii="Times New Roman" w:hAnsi="Times New Roman" w:eastAsia="宋体" w:cs="Times New Roman"/>
                      <w:color w:val="000000" w:themeColor="text1"/>
                      <w14:textFill>
                        <w14:solidFill>
                          <w14:schemeClr w14:val="tx1"/>
                        </w14:solidFill>
                      </w14:textFill>
                    </w:rPr>
                    <w:t>地</w:t>
                  </w:r>
                  <w:r>
                    <w:rPr>
                      <w:rFonts w:ascii="Times New Roman" w:hAnsi="Times New Roman" w:eastAsia="宋体" w:cs="Times New Roman"/>
                      <w:color w:val="000000" w:themeColor="text1"/>
                      <w14:textFill>
                        <w14:solidFill>
                          <w14:schemeClr w14:val="tx1"/>
                        </w14:solidFill>
                      </w14:textFill>
                    </w:rPr>
                    <w:t>控制污染。项目的水、电等资源利用不会突破区域的资源利用</w:t>
                  </w:r>
                  <w:r>
                    <w:rPr>
                      <w:rFonts w:hint="eastAsia" w:ascii="Times New Roman" w:hAnsi="Times New Roman" w:eastAsia="宋体" w:cs="Times New Roman"/>
                      <w:color w:val="000000" w:themeColor="text1"/>
                      <w14:textFill>
                        <w14:solidFill>
                          <w14:schemeClr w14:val="tx1"/>
                        </w14:solidFill>
                      </w14:textFill>
                    </w:rPr>
                    <w:t>上限</w:t>
                  </w:r>
                  <w:r>
                    <w:rPr>
                      <w:rFonts w:ascii="Times New Roman" w:hAnsi="Times New Roman" w:eastAsia="宋体" w:cs="Times New Roman"/>
                      <w:color w:val="000000" w:themeColor="text1"/>
                      <w14:textFill>
                        <w14:solidFill>
                          <w14:schemeClr w14:val="tx1"/>
                        </w14:solidFill>
                      </w14:textFill>
                    </w:rPr>
                    <w:t>。</w:t>
                  </w:r>
                </w:p>
              </w:tc>
              <w:tc>
                <w:tcPr>
                  <w:tcW w:w="699" w:type="dxa"/>
                  <w:noWrap w:val="0"/>
                  <w:vAlign w:val="center"/>
                </w:tcPr>
                <w:p w14:paraId="631F5A43">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r w14:paraId="44AD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83" w:type="dxa"/>
                  <w:noWrap w:val="0"/>
                  <w:vAlign w:val="center"/>
                </w:tcPr>
                <w:p w14:paraId="2556B29A">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负面清单</w:t>
                  </w:r>
                </w:p>
              </w:tc>
              <w:tc>
                <w:tcPr>
                  <w:tcW w:w="5463" w:type="dxa"/>
                  <w:noWrap w:val="0"/>
                  <w:vAlign w:val="center"/>
                </w:tcPr>
                <w:p w14:paraId="726293B5">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项目不属于《市场准入负面清单（202</w:t>
                  </w:r>
                  <w:r>
                    <w:rPr>
                      <w:rFonts w:hint="eastAsia" w:ascii="Times New Roman" w:hAnsi="Times New Roman" w:eastAsia="宋体" w:cs="Times New Roman"/>
                      <w:color w:val="000000" w:themeColor="text1"/>
                      <w:szCs w:val="21"/>
                      <w14:textFill>
                        <w14:solidFill>
                          <w14:schemeClr w14:val="tx1"/>
                        </w14:solidFill>
                      </w14:textFill>
                    </w:rPr>
                    <w:t>5</w:t>
                  </w:r>
                  <w:r>
                    <w:rPr>
                      <w:rFonts w:ascii="Times New Roman" w:hAnsi="Times New Roman" w:eastAsia="宋体" w:cs="Times New Roman"/>
                      <w:color w:val="000000" w:themeColor="text1"/>
                      <w:szCs w:val="21"/>
                      <w14:textFill>
                        <w14:solidFill>
                          <w14:schemeClr w14:val="tx1"/>
                        </w14:solidFill>
                      </w14:textFill>
                    </w:rPr>
                    <w:t>年版）》禁止准入类和限制准入类中</w:t>
                  </w:r>
                  <w:r>
                    <w:rPr>
                      <w:rFonts w:ascii="Times New Roman" w:hAnsi="Times New Roman" w:eastAsia="宋体" w:cs="Times New Roman"/>
                      <w:color w:val="000000" w:themeColor="text1"/>
                      <w14:textFill>
                        <w14:solidFill>
                          <w14:schemeClr w14:val="tx1"/>
                        </w14:solidFill>
                      </w14:textFill>
                    </w:rPr>
                    <w:t>。</w:t>
                  </w:r>
                </w:p>
              </w:tc>
              <w:tc>
                <w:tcPr>
                  <w:tcW w:w="699" w:type="dxa"/>
                  <w:noWrap w:val="0"/>
                  <w:vAlign w:val="center"/>
                </w:tcPr>
                <w:p w14:paraId="3692A5B0">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符合</w:t>
                  </w:r>
                </w:p>
              </w:tc>
            </w:tr>
          </w:tbl>
          <w:p w14:paraId="20CD7F98">
            <w:pPr>
              <w:spacing w:line="480" w:lineRule="exact"/>
              <w:ind w:firstLine="480" w:firstLineChars="200"/>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对照《广东省人民政府关于印发广东省“三线一单”生态环境分区管控方案的通知》中广东省环境管控单元图可知（附图7），</w:t>
            </w:r>
            <w:r>
              <w:rPr>
                <w:rFonts w:hint="eastAsia" w:ascii="Times New Roman" w:hAnsi="Times New Roman" w:eastAsia="宋体" w:cs="Times New Roman"/>
                <w:color w:val="000000" w:themeColor="text1"/>
                <w:sz w:val="24"/>
                <w:highlight w:val="none"/>
                <w14:textFill>
                  <w14:solidFill>
                    <w14:schemeClr w14:val="tx1"/>
                  </w14:solidFill>
                </w14:textFill>
              </w:rPr>
              <w:t>本项目</w:t>
            </w: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位于霞山</w:t>
            </w:r>
            <w:r>
              <w:rPr>
                <w:rFonts w:hint="eastAsia" w:ascii="Times New Roman" w:hAnsi="Times New Roman" w:eastAsia="宋体" w:cs="Times New Roman"/>
                <w:color w:val="000000" w:themeColor="text1"/>
                <w:sz w:val="24"/>
                <w14:textFill>
                  <w14:solidFill>
                    <w14:schemeClr w14:val="tx1"/>
                  </w14:solidFill>
                </w14:textFill>
              </w:rPr>
              <w:t>重点管控单元（ZH44080320006），执行区域生态环境保护的基本要求。根据资源环境承载能力，引导产业科学布局，合理控制开发强度，维护生态环境功能稳定。</w:t>
            </w:r>
          </w:p>
          <w:p w14:paraId="5B02D6D3">
            <w:pPr>
              <w:autoSpaceDE w:val="0"/>
              <w:autoSpaceDN w:val="0"/>
              <w:adjustRightInd w:val="0"/>
              <w:snapToGrid w:val="0"/>
              <w:spacing w:line="480" w:lineRule="exact"/>
              <w:ind w:firstLine="482" w:firstLineChars="200"/>
              <w:rPr>
                <w:rFonts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14:textFill>
                  <w14:solidFill>
                    <w14:schemeClr w14:val="tx1"/>
                  </w14:solidFill>
                </w14:textFill>
              </w:rPr>
              <w:t>（2）与《湛江市人民政府关于印发湛江市“三线一单”生态环境分区管控方案的通知》和《湛江市生态环境局关于印发湛江市2023年“三线一单”生态环境分区管控成果更新调整成果的通知》的</w:t>
            </w:r>
            <w:r>
              <w:rPr>
                <w:rFonts w:ascii="Times New Roman" w:hAnsi="Times New Roman" w:eastAsia="宋体" w:cs="Times New Roman"/>
                <w:b/>
                <w:color w:val="000000" w:themeColor="text1"/>
                <w:kern w:val="0"/>
                <w:sz w:val="24"/>
                <w14:textFill>
                  <w14:solidFill>
                    <w14:schemeClr w14:val="tx1"/>
                  </w14:solidFill>
                </w14:textFill>
              </w:rPr>
              <w:t>相符性分析</w:t>
            </w:r>
          </w:p>
          <w:p w14:paraId="4CB0AFC6">
            <w:pPr>
              <w:autoSpaceDE w:val="0"/>
              <w:autoSpaceDN w:val="0"/>
              <w:adjustRightInd w:val="0"/>
              <w:snapToGrid w:val="0"/>
              <w:spacing w:line="480" w:lineRule="exact"/>
              <w:ind w:firstLine="480" w:firstLineChars="200"/>
              <w:rPr>
                <w:rFonts w:ascii="Times New Roman" w:hAnsi="Times New Roman" w:eastAsia="宋体" w:cs="Times New Roman"/>
                <w:b/>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项目位于</w:t>
            </w:r>
            <w:r>
              <w:rPr>
                <w:rFonts w:hint="eastAsia" w:ascii="Times New Roman" w:hAnsi="Times New Roman" w:eastAsia="宋体" w:cs="Times New Roman"/>
                <w:color w:val="000000" w:themeColor="text1"/>
                <w:sz w:val="24"/>
                <w14:textFill>
                  <w14:solidFill>
                    <w14:schemeClr w14:val="tx1"/>
                  </w14:solidFill>
                </w14:textFill>
              </w:rPr>
              <w:t>湛江市霞山区铁路粤西农垦供销总公司南山库区8381-1仓，</w:t>
            </w:r>
            <w:r>
              <w:rPr>
                <w:rFonts w:hint="eastAsia" w:ascii="Times New Roman" w:hAnsi="Times New Roman" w:eastAsia="宋体" w:cs="Times New Roman"/>
                <w:color w:val="000000" w:themeColor="text1"/>
                <w:kern w:val="0"/>
                <w:sz w:val="24"/>
                <w14:textFill>
                  <w14:solidFill>
                    <w14:schemeClr w14:val="tx1"/>
                  </w14:solidFill>
                </w14:textFill>
              </w:rPr>
              <w:t>对照《湛江市人民政府关于印发湛江市“三线一单”生态环境分区管控方案的通知》和《湛江市生态环境局关于印发湛江市2023年“三线一单”生态环境分区管控成果更新调整成果的通知》，项目</w:t>
            </w:r>
            <w:r>
              <w:rPr>
                <w:rFonts w:ascii="Times New Roman" w:hAnsi="Times New Roman" w:eastAsia="宋体" w:cs="宋体"/>
                <w:color w:val="000000" w:themeColor="text1"/>
                <w:sz w:val="24"/>
                <w14:textFill>
                  <w14:solidFill>
                    <w14:schemeClr w14:val="tx1"/>
                  </w14:solidFill>
                </w14:textFill>
              </w:rPr>
              <w:t>属于“</w:t>
            </w:r>
            <w:r>
              <w:rPr>
                <w:rFonts w:hint="eastAsia" w:ascii="Times New Roman" w:hAnsi="Times New Roman" w:eastAsia="宋体" w:cs="宋体"/>
                <w:color w:val="000000" w:themeColor="text1"/>
                <w:sz w:val="24"/>
                <w14:textFill>
                  <w14:solidFill>
                    <w14:schemeClr w14:val="tx1"/>
                  </w14:solidFill>
                </w14:textFill>
              </w:rPr>
              <w:t>霞山重点管控单元</w:t>
            </w:r>
            <w:r>
              <w:rPr>
                <w:rFonts w:ascii="Times New Roman" w:hAnsi="Times New Roman" w:eastAsia="宋体" w:cs="宋体"/>
                <w:color w:val="000000" w:themeColor="text1"/>
                <w:sz w:val="24"/>
                <w14:textFill>
                  <w14:solidFill>
                    <w14:schemeClr w14:val="tx1"/>
                  </w14:solidFill>
                </w14:textFill>
              </w:rPr>
              <w:t>”</w:t>
            </w:r>
            <w:r>
              <w:rPr>
                <w:rFonts w:hint="eastAsia" w:ascii="Times New Roman" w:hAnsi="Times New Roman" w:eastAsia="宋体" w:cs="宋体"/>
                <w:color w:val="000000" w:themeColor="text1"/>
                <w:sz w:val="24"/>
                <w14:textFill>
                  <w14:solidFill>
                    <w14:schemeClr w14:val="tx1"/>
                  </w14:solidFill>
                </w14:textFill>
              </w:rPr>
              <w:t>（ZH44080320006）</w:t>
            </w:r>
            <w:r>
              <w:rPr>
                <w:rFonts w:hint="eastAsia" w:ascii="Times New Roman" w:hAnsi="Times New Roman" w:eastAsia="宋体" w:cs="Times New Roman"/>
                <w:color w:val="000000" w:themeColor="text1"/>
                <w:sz w:val="24"/>
                <w14:textFill>
                  <w14:solidFill>
                    <w14:schemeClr w14:val="tx1"/>
                  </w14:solidFill>
                </w14:textFill>
              </w:rPr>
              <w:t>（见附图8）</w:t>
            </w:r>
            <w:r>
              <w:rPr>
                <w:rFonts w:ascii="Times New Roman" w:hAnsi="Times New Roman" w:eastAsia="宋体" w:cs="宋体"/>
                <w:color w:val="000000" w:themeColor="text1"/>
                <w:sz w:val="24"/>
                <w14:textFill>
                  <w14:solidFill>
                    <w14:schemeClr w14:val="tx1"/>
                  </w14:solidFill>
                </w14:textFill>
              </w:rPr>
              <w:t>。本项目与</w:t>
            </w:r>
            <w:r>
              <w:rPr>
                <w:rFonts w:hint="eastAsia" w:ascii="Times New Roman" w:hAnsi="Times New Roman" w:eastAsia="宋体" w:cs="宋体"/>
                <w:color w:val="000000" w:themeColor="text1"/>
                <w:sz w:val="24"/>
                <w14:textFill>
                  <w14:solidFill>
                    <w14:schemeClr w14:val="tx1"/>
                  </w14:solidFill>
                </w14:textFill>
              </w:rPr>
              <w:t>分类管控要求的相符性见下表。</w:t>
            </w:r>
          </w:p>
          <w:p w14:paraId="1937BE12">
            <w:pPr>
              <w:spacing w:line="480" w:lineRule="exact"/>
              <w:jc w:val="center"/>
              <w:textAlignment w:val="baseline"/>
              <w:rPr>
                <w:rFonts w:hint="eastAsia" w:ascii="Times New Roman" w:hAnsi="Times New Roman" w:eastAsia="宋体" w:cs="Times New Roman"/>
                <w:b/>
                <w:color w:val="000000" w:themeColor="text1"/>
                <w:szCs w:val="22"/>
                <w14:textFill>
                  <w14:solidFill>
                    <w14:schemeClr w14:val="tx1"/>
                  </w14:solidFill>
                </w14:textFill>
              </w:rPr>
            </w:pPr>
            <w:bookmarkStart w:id="14" w:name="_Hlk82866430"/>
            <w:r>
              <w:rPr>
                <w:rFonts w:hint="eastAsia" w:ascii="Times New Roman" w:hAnsi="Times New Roman" w:eastAsia="宋体" w:cs="Times New Roman"/>
                <w:b/>
                <w:color w:val="000000" w:themeColor="text1"/>
                <w:sz w:val="24"/>
                <w14:textFill>
                  <w14:solidFill>
                    <w14:schemeClr w14:val="tx1"/>
                  </w14:solidFill>
                </w14:textFill>
              </w:rPr>
              <w:t>表1-3霞山重点管控单元准入清单相符性分析</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3"/>
              <w:gridCol w:w="3907"/>
              <w:gridCol w:w="2218"/>
              <w:gridCol w:w="363"/>
            </w:tblGrid>
            <w:tr w14:paraId="642D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3" w:type="dxa"/>
                  <w:noWrap w:val="0"/>
                  <w:vAlign w:val="center"/>
                </w:tcPr>
                <w:p w14:paraId="0638456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管控维度</w:t>
                  </w:r>
                </w:p>
              </w:tc>
              <w:tc>
                <w:tcPr>
                  <w:tcW w:w="3907" w:type="dxa"/>
                  <w:noWrap w:val="0"/>
                  <w:vAlign w:val="center"/>
                </w:tcPr>
                <w:p w14:paraId="6CD92EF1">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管控要求</w:t>
                  </w:r>
                </w:p>
              </w:tc>
              <w:tc>
                <w:tcPr>
                  <w:tcW w:w="2218" w:type="dxa"/>
                  <w:noWrap w:val="0"/>
                  <w:vAlign w:val="center"/>
                </w:tcPr>
                <w:p w14:paraId="6D357C6A">
                  <w:pPr>
                    <w:autoSpaceDE w:val="0"/>
                    <w:autoSpaceDN w:val="0"/>
                    <w:adjustRightInd w:val="0"/>
                    <w:jc w:val="center"/>
                    <w:rPr>
                      <w:rFonts w:ascii="Times New Roman" w:hAnsi="Times New Roman" w:eastAsia="宋体" w:cs="Times New Roman"/>
                      <w:snapToGrid w:val="0"/>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项目情况</w:t>
                  </w:r>
                </w:p>
              </w:tc>
              <w:tc>
                <w:tcPr>
                  <w:tcW w:w="363" w:type="dxa"/>
                  <w:noWrap w:val="0"/>
                  <w:vAlign w:val="center"/>
                </w:tcPr>
                <w:p w14:paraId="6292B7FD">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相符性</w:t>
                  </w:r>
                </w:p>
              </w:tc>
            </w:tr>
            <w:tr w14:paraId="3F29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3" w:type="dxa"/>
                  <w:noWrap w:val="0"/>
                  <w:vAlign w:val="center"/>
                </w:tcPr>
                <w:p w14:paraId="40A6835C">
                  <w:pPr>
                    <w:autoSpaceDE w:val="0"/>
                    <w:autoSpaceDN w:val="0"/>
                    <w:adjustRightInd w:val="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区域布局管控</w:t>
                  </w:r>
                </w:p>
              </w:tc>
              <w:tc>
                <w:tcPr>
                  <w:tcW w:w="3907" w:type="dxa"/>
                  <w:noWrap w:val="0"/>
                  <w:vAlign w:val="center"/>
                </w:tcPr>
                <w:p w14:paraId="6609FE10">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-1.【产业/鼓励引导类】加快培育海洋新兴产业、电子信息、数字创意等战略性新兴产业，鼓励集聚发展现代商贸业、现代（临港）物流业等现代服务业，推动农副食品加工、医药等产业绿色转型；引导工业项目集聚发展。</w:t>
                  </w:r>
                </w:p>
                <w:p w14:paraId="7E944B0F">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-2.【生态/禁止类】生态保护红线内，自然保护地的核心保护区原则上禁止人为活动，其他区域严格禁止开发性、生产性建设活动，在符合现行法律法规前提下，除国家重大战略项目外，仅允许对生态功能不造成破坏的有限人为活动。</w:t>
                  </w:r>
                </w:p>
                <w:p w14:paraId="0BBF2179">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1-3.【生态/禁止类】在广东湖光岩国家地质自然公园以及可能对地质自然公园造成影响的周边地区，禁止进行采石、取土、开矿、放牧、砍伐以及其他对保护对象有损害的活动，保护地质地貌的完整性和稀缺性。</w:t>
                  </w:r>
                </w:p>
                <w:p w14:paraId="410130E8">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1-4.【大气/禁止类】广东湖光岩国家地质自然公园为环境空气质量一类功能区，禁止新建、扩建大气污染物排放工业项目（国家和省规定不纳入环评管理的项目除外）。</w:t>
                  </w:r>
                </w:p>
                <w:p w14:paraId="519FB5A0">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-5.【大气/限制类】大气环境受体敏感重点管控区（新园街道、新兴街道、海滨街道、解放街道、工农街道、东新街道、爱国街道、友谊街道、建设街道），严格限制新建储油库项目、产生和排放有毒有害大气污染物的建设项目以及使用溶剂型油墨、涂料、清洗剂、胶黏剂等高挥发性有机物原辅材料项目，鼓励现有该类项目搬迁退出。</w:t>
                  </w:r>
                </w:p>
                <w:p w14:paraId="337B481C">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1-6.【大气/鼓励引导类】大气环境高排放重点管控区（海头街道），引导工业项目集聚发展。</w:t>
                  </w:r>
                </w:p>
                <w:p w14:paraId="64BFF169">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1-7.【水/禁止类】严禁居民小区、公共建筑和企事业单位内部雨污混接或错接到市政排水管网，严禁污水直排。</w:t>
                  </w:r>
                </w:p>
                <w:p w14:paraId="4D86CE34">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1-8.【土壤/禁止类】未达到土壤污染风险评估报告确定的风险管控、修复目标的建设用地地块，禁止开工建设任何与风险管控、修复无关的项目。</w:t>
                  </w:r>
                </w:p>
              </w:tc>
              <w:tc>
                <w:tcPr>
                  <w:tcW w:w="2218" w:type="dxa"/>
                  <w:noWrap w:val="0"/>
                  <w:vAlign w:val="center"/>
                </w:tcPr>
                <w:p w14:paraId="4DE040F5">
                  <w:pPr>
                    <w:adjustRightInd w:val="0"/>
                    <w:snapToGrid w:val="0"/>
                    <w:jc w:val="center"/>
                    <w:rPr>
                      <w:rFonts w:ascii="Times New Roman" w:hAnsi="Times New Roman" w:eastAsia="宋体" w:cs="Times New Roman"/>
                      <w:snapToGrid w:val="0"/>
                      <w:color w:val="000000" w:themeColor="text1"/>
                      <w:kern w:val="0"/>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（1）项目属于</w:t>
                  </w:r>
                  <w:r>
                    <w:rPr>
                      <w:rFonts w:ascii="Times New Roman" w:hAnsi="Times New Roman" w:eastAsia="宋体" w:cs="Times New Roman"/>
                      <w:color w:val="000000" w:themeColor="text1"/>
                      <w:szCs w:val="21"/>
                      <w14:textFill>
                        <w14:solidFill>
                          <w14:schemeClr w14:val="tx1"/>
                        </w14:solidFill>
                      </w14:textFill>
                    </w:rPr>
                    <w:t>D4430热力生产和供应</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O8030</w:t>
                  </w:r>
                  <w:r>
                    <w:rPr>
                      <w:rFonts w:hint="eastAsia" w:ascii="Times New Roman" w:hAnsi="Times New Roman" w:eastAsia="宋体" w:cs="Times New Roman"/>
                      <w:color w:val="000000" w:themeColor="text1"/>
                      <w:szCs w:val="21"/>
                      <w14:textFill>
                        <w14:solidFill>
                          <w14:schemeClr w14:val="tx1"/>
                        </w14:solidFill>
                      </w14:textFill>
                    </w:rPr>
                    <w:t>洗染服务行</w:t>
                  </w:r>
                  <w:r>
                    <w:rPr>
                      <w:rFonts w:ascii="Times New Roman" w:hAnsi="Times New Roman" w:eastAsia="宋体" w:cs="Times New Roman"/>
                      <w:color w:val="000000" w:themeColor="text1"/>
                      <w:szCs w:val="21"/>
                      <w14:textFill>
                        <w14:solidFill>
                          <w14:schemeClr w14:val="tx1"/>
                        </w14:solidFill>
                      </w14:textFill>
                    </w:rPr>
                    <w:t>业</w:t>
                  </w:r>
                  <w:r>
                    <w:rPr>
                      <w:rFonts w:ascii="Times New Roman" w:hAnsi="Times New Roman" w:eastAsia="宋体" w:cs="Times New Roman"/>
                      <w:snapToGrid w:val="0"/>
                      <w:color w:val="000000" w:themeColor="text1"/>
                      <w:kern w:val="0"/>
                      <w:szCs w:val="21"/>
                      <w14:textFill>
                        <w14:solidFill>
                          <w14:schemeClr w14:val="tx1"/>
                        </w14:solidFill>
                      </w14:textFill>
                    </w:rPr>
                    <w:t>。</w:t>
                  </w:r>
                </w:p>
                <w:p w14:paraId="04336B6E">
                  <w:pPr>
                    <w:jc w:val="center"/>
                    <w:rPr>
                      <w:rFonts w:ascii="Times New Roman" w:hAnsi="Times New Roman" w:eastAsia="宋体" w:cs="Times New Roman"/>
                      <w:snapToGrid w:val="0"/>
                      <w:color w:val="000000" w:themeColor="text1"/>
                      <w:kern w:val="0"/>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项目</w:t>
                  </w:r>
                  <w:r>
                    <w:rPr>
                      <w:rFonts w:ascii="Times New Roman" w:hAnsi="Times New Roman" w:eastAsia="宋体" w:cs="Times New Roman"/>
                      <w:color w:val="000000" w:themeColor="text1"/>
                      <w:spacing w:val="2"/>
                      <w:szCs w:val="21"/>
                      <w14:textFill>
                        <w14:solidFill>
                          <w14:schemeClr w14:val="tx1"/>
                        </w14:solidFill>
                      </w14:textFill>
                    </w:rPr>
                    <w:t>不涉及</w:t>
                  </w:r>
                  <w:r>
                    <w:rPr>
                      <w:rFonts w:ascii="Times New Roman" w:hAnsi="Times New Roman" w:eastAsia="宋体" w:cs="Times New Roman"/>
                      <w:color w:val="000000" w:themeColor="text1"/>
                      <w:szCs w:val="21"/>
                      <w14:textFill>
                        <w14:solidFill>
                          <w14:schemeClr w14:val="tx1"/>
                        </w14:solidFill>
                      </w14:textFill>
                    </w:rPr>
                    <w:t>生态保护红线。</w:t>
                  </w:r>
                </w:p>
                <w:p w14:paraId="3BF1A7F4">
                  <w:pPr>
                    <w:autoSpaceDE w:val="0"/>
                    <w:autoSpaceDN w:val="0"/>
                    <w:adjustRightInd w:val="0"/>
                    <w:jc w:val="center"/>
                    <w:rPr>
                      <w:rFonts w:ascii="Times New Roman" w:hAnsi="Times New Roman" w:eastAsia="宋体" w:cs="Times New Roman"/>
                      <w:snapToGrid w:val="0"/>
                      <w:color w:val="000000" w:themeColor="text1"/>
                      <w:kern w:val="0"/>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项目</w:t>
                  </w:r>
                  <w:r>
                    <w:rPr>
                      <w:rFonts w:ascii="Times New Roman" w:hAnsi="Times New Roman" w:eastAsia="宋体" w:cs="Times New Roman"/>
                      <w:snapToGrid w:val="0"/>
                      <w:color w:val="000000" w:themeColor="text1"/>
                      <w:kern w:val="0"/>
                      <w:szCs w:val="21"/>
                      <w14:textFill>
                        <w14:solidFill>
                          <w14:schemeClr w14:val="tx1"/>
                        </w14:solidFill>
                      </w14:textFill>
                    </w:rPr>
                    <w:t>不涉及广东湖光岩国家地质自然公园以及可能对地质自然公园造成影响的周边地区内。</w:t>
                  </w:r>
                </w:p>
                <w:p w14:paraId="31C06BEF">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（4）项目不涉及广东湖光岩国家地质自然公园。</w:t>
                  </w:r>
                </w:p>
                <w:p w14:paraId="7B78054E">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（5）项目</w:t>
                  </w:r>
                  <w:r>
                    <w:rPr>
                      <w:rFonts w:ascii="Times New Roman" w:hAnsi="Times New Roman" w:eastAsia="宋体" w:cs="Times New Roman"/>
                      <w:snapToGrid w:val="0"/>
                      <w:color w:val="000000" w:themeColor="text1"/>
                      <w:kern w:val="0"/>
                      <w:szCs w:val="21"/>
                      <w14:textFill>
                        <w14:solidFill>
                          <w14:schemeClr w14:val="tx1"/>
                        </w14:solidFill>
                      </w14:textFill>
                    </w:rPr>
                    <w:t>属于</w:t>
                  </w:r>
                  <w:r>
                    <w:rPr>
                      <w:rFonts w:ascii="Times New Roman" w:hAnsi="Times New Roman" w:eastAsia="宋体" w:cs="Times New Roman"/>
                      <w:color w:val="000000" w:themeColor="text1"/>
                      <w:szCs w:val="21"/>
                      <w14:textFill>
                        <w14:solidFill>
                          <w14:schemeClr w14:val="tx1"/>
                        </w14:solidFill>
                      </w14:textFill>
                    </w:rPr>
                    <w:t>D4430热力生产和供应行业</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O8030</w:t>
                  </w:r>
                  <w:r>
                    <w:rPr>
                      <w:rFonts w:hint="eastAsia" w:ascii="Times New Roman" w:hAnsi="Times New Roman" w:eastAsia="宋体" w:cs="Times New Roman"/>
                      <w:color w:val="000000" w:themeColor="text1"/>
                      <w:szCs w:val="21"/>
                      <w14:textFill>
                        <w14:solidFill>
                          <w14:schemeClr w14:val="tx1"/>
                        </w14:solidFill>
                      </w14:textFill>
                    </w:rPr>
                    <w:t>洗染服务行</w:t>
                  </w:r>
                  <w:r>
                    <w:rPr>
                      <w:rFonts w:ascii="Times New Roman" w:hAnsi="Times New Roman" w:eastAsia="宋体" w:cs="Times New Roman"/>
                      <w:color w:val="000000" w:themeColor="text1"/>
                      <w:szCs w:val="21"/>
                      <w14:textFill>
                        <w14:solidFill>
                          <w14:schemeClr w14:val="tx1"/>
                        </w14:solidFill>
                      </w14:textFill>
                    </w:rPr>
                    <w:t>业，不属于产生和排放有毒有害大气污染物的建设项目，不使用溶剂型油墨、涂料、清洗剂、胶黏剂等高挥发性有机物原辅材料。</w:t>
                  </w:r>
                </w:p>
                <w:p w14:paraId="40D22978">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（6）项目不涉及大气环境高排放重点管控区（海头街道）。</w:t>
                  </w:r>
                </w:p>
                <w:p w14:paraId="12D1CF1C">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（7）项目生活污水经化粪池处理后；生产废水（</w:t>
                  </w:r>
                  <w:r>
                    <w:rPr>
                      <w:rFonts w:hint="eastAsia" w:ascii="Times New Roman" w:hAnsi="Times New Roman" w:eastAsia="宋体" w:cs="Times New Roman"/>
                      <w:color w:val="000000" w:themeColor="text1"/>
                      <w:szCs w:val="21"/>
                      <w14:textFill>
                        <w14:solidFill>
                          <w14:schemeClr w14:val="tx1"/>
                        </w14:solidFill>
                      </w14:textFill>
                    </w:rPr>
                    <w:t>洗涤</w:t>
                  </w:r>
                  <w:r>
                    <w:rPr>
                      <w:rFonts w:ascii="Times New Roman" w:hAnsi="Times New Roman" w:eastAsia="宋体" w:cs="Times New Roman"/>
                      <w:color w:val="000000" w:themeColor="text1"/>
                      <w:szCs w:val="21"/>
                      <w14:textFill>
                        <w14:solidFill>
                          <w14:schemeClr w14:val="tx1"/>
                        </w14:solidFill>
                      </w14:textFill>
                    </w:rPr>
                    <w:t>废水、锅炉排污水、软化处理废水）经自建污水处理站处理后，均排入市政管网至湛江市霞山区水质净化厂。</w:t>
                  </w:r>
                </w:p>
                <w:p w14:paraId="7BE18F4C">
                  <w:pPr>
                    <w:jc w:val="left"/>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（8）项目不涉及土壤污染风险。</w:t>
                  </w:r>
                </w:p>
              </w:tc>
              <w:tc>
                <w:tcPr>
                  <w:tcW w:w="363" w:type="dxa"/>
                  <w:noWrap w:val="0"/>
                  <w:vAlign w:val="center"/>
                </w:tcPr>
                <w:p w14:paraId="264EBFBB">
                  <w:pPr>
                    <w:autoSpaceDE w:val="0"/>
                    <w:autoSpaceDN w:val="0"/>
                    <w:adjustRightInd w:val="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符合</w:t>
                  </w:r>
                </w:p>
              </w:tc>
            </w:tr>
            <w:tr w14:paraId="66EF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3" w:type="dxa"/>
                  <w:noWrap w:val="0"/>
                  <w:vAlign w:val="center"/>
                </w:tcPr>
                <w:p w14:paraId="5E94B3BC">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能源资源利用</w:t>
                  </w:r>
                </w:p>
              </w:tc>
              <w:tc>
                <w:tcPr>
                  <w:tcW w:w="3907" w:type="dxa"/>
                  <w:noWrap w:val="0"/>
                  <w:vAlign w:val="center"/>
                </w:tcPr>
                <w:p w14:paraId="4B5053CD">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2-1.【能源/禁止类】高污染燃料禁燃区范围内，禁止销售、燃用高污染燃料，禁止新建、扩建燃用高污染燃料的设施；已建成的，应逐步或依法限期改用天然气、电或者其它清洁能源。</w:t>
                  </w:r>
                </w:p>
                <w:p w14:paraId="1A3B2CF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2-2.【水资源/综合类】逐步压减地下水采水量，维持采补平衡。</w:t>
                  </w:r>
                </w:p>
                <w:p w14:paraId="48B5A1AE">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2-3.【水资源/禁止类】广东湖光岩国家地质自然公园内禁止开采地下水。</w:t>
                  </w:r>
                </w:p>
                <w:p w14:paraId="1FA38F8F">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2-4.【水资源/限制类】广东湖光岩国家地质自然公园外围保护地带严格限制开采地下水，确需开采的，应当经过科学论证，依法申请领取取水许可证，并采取措施防止镜湖水体水位下降。</w:t>
                  </w:r>
                </w:p>
              </w:tc>
              <w:tc>
                <w:tcPr>
                  <w:tcW w:w="2218" w:type="dxa"/>
                  <w:noWrap w:val="0"/>
                  <w:vAlign w:val="center"/>
                </w:tcPr>
                <w:p w14:paraId="314CF0F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项目使用的生物质锅炉为专用锅炉，生物质锅炉配套有布袋除尘器，。项目使用的生物质燃料为成型生物质燃料，配套废气治理设施、规范燃烧条件下实现清洁利用属。</w:t>
                  </w:r>
                </w:p>
                <w:p w14:paraId="0A05BD50">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项目不涉及地下水采水。</w:t>
                  </w:r>
                </w:p>
                <w:p w14:paraId="37A65187">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snapToGrid w:val="0"/>
                      <w:color w:val="000000" w:themeColor="text1"/>
                      <w:kern w:val="0"/>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项目不涉及地下水采水。</w:t>
                  </w:r>
                </w:p>
                <w:p w14:paraId="352154D8">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（4）项目不涉及地下水采水。</w:t>
                  </w:r>
                </w:p>
              </w:tc>
              <w:tc>
                <w:tcPr>
                  <w:tcW w:w="363" w:type="dxa"/>
                  <w:noWrap w:val="0"/>
                  <w:vAlign w:val="center"/>
                </w:tcPr>
                <w:p w14:paraId="455D8DB4">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符合</w:t>
                  </w:r>
                </w:p>
              </w:tc>
            </w:tr>
            <w:tr w14:paraId="443F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53" w:type="dxa"/>
                  <w:noWrap w:val="0"/>
                  <w:vAlign w:val="center"/>
                </w:tcPr>
                <w:p w14:paraId="5573B967">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污染物排放管控</w:t>
                  </w:r>
                </w:p>
              </w:tc>
              <w:tc>
                <w:tcPr>
                  <w:tcW w:w="3907" w:type="dxa"/>
                  <w:noWrap w:val="0"/>
                  <w:vAlign w:val="center"/>
                </w:tcPr>
                <w:p w14:paraId="5AF27796">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3-1.【大气/限制类】水泥、石化、化工等行业企业大气污染物应达到特别排放限值要求。</w:t>
                  </w:r>
                </w:p>
                <w:p w14:paraId="49C3C4C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3-2.【大气/综合类】加强对包装印刷、石化、化工等行业企业，原油、成品油、有机化学品等挥发性有机液体储罐和港口码头油气回收设施的排查和清单化管控，推动源头替代、过程控制和末端治理。</w:t>
                  </w:r>
                </w:p>
                <w:p w14:paraId="6A291C6D">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-3.【水/综合类】实施城镇生活污水处理提质增效，加快补齐生活污水收集和处理设施短板，基本消除城中村、老旧城区和城乡结合部生活污水收集处理设施空白区，按期完成市下达城市生活污水集中收集率、污水处理厂进水生化需氧量（BOD）浓度的增加值目标。</w:t>
                  </w:r>
                </w:p>
                <w:p w14:paraId="33468EA9">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3-4.【水/限制类】城镇污水处理设施出水执行《城镇污水处理厂污染物排放标准》（GB18918）一级A标准及广东省《水污染物排放限值》（DB44/26）的较严值。</w:t>
                  </w:r>
                </w:p>
                <w:p w14:paraId="66CBE35D">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3-5.【水/综合类】实施农副食品加工、原料药制造等行业企业清洁化改造。</w:t>
                  </w:r>
                </w:p>
              </w:tc>
              <w:tc>
                <w:tcPr>
                  <w:tcW w:w="2218" w:type="dxa"/>
                  <w:noWrap w:val="0"/>
                  <w:vAlign w:val="center"/>
                </w:tcPr>
                <w:p w14:paraId="2734B6AA">
                  <w:pP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（1）项目</w:t>
                  </w:r>
                  <w:r>
                    <w:rPr>
                      <w:rFonts w:ascii="Times New Roman" w:hAnsi="Times New Roman" w:eastAsia="宋体" w:cs="Times New Roman"/>
                      <w:snapToGrid w:val="0"/>
                      <w:color w:val="000000" w:themeColor="text1"/>
                      <w:kern w:val="0"/>
                      <w:szCs w:val="21"/>
                      <w14:textFill>
                        <w14:solidFill>
                          <w14:schemeClr w14:val="tx1"/>
                        </w14:solidFill>
                      </w14:textFill>
                    </w:rPr>
                    <w:t>属于</w:t>
                  </w:r>
                  <w:r>
                    <w:rPr>
                      <w:rFonts w:ascii="Times New Roman" w:hAnsi="Times New Roman" w:eastAsia="宋体" w:cs="Times New Roman"/>
                      <w:color w:val="000000" w:themeColor="text1"/>
                      <w:szCs w:val="21"/>
                      <w14:textFill>
                        <w14:solidFill>
                          <w14:schemeClr w14:val="tx1"/>
                        </w14:solidFill>
                      </w14:textFill>
                    </w:rPr>
                    <w:t>D4430热力生产和供应行业</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O8030</w:t>
                  </w:r>
                  <w:r>
                    <w:rPr>
                      <w:rFonts w:hint="eastAsia" w:ascii="Times New Roman" w:hAnsi="Times New Roman" w:eastAsia="宋体" w:cs="Times New Roman"/>
                      <w:color w:val="000000" w:themeColor="text1"/>
                      <w:szCs w:val="21"/>
                      <w14:textFill>
                        <w14:solidFill>
                          <w14:schemeClr w14:val="tx1"/>
                        </w14:solidFill>
                      </w14:textFill>
                    </w:rPr>
                    <w:t>洗染服务行</w:t>
                  </w:r>
                  <w:r>
                    <w:rPr>
                      <w:rFonts w:ascii="Times New Roman" w:hAnsi="Times New Roman" w:eastAsia="宋体" w:cs="Times New Roman"/>
                      <w:color w:val="000000" w:themeColor="text1"/>
                      <w:szCs w:val="21"/>
                      <w14:textFill>
                        <w14:solidFill>
                          <w14:schemeClr w14:val="tx1"/>
                        </w14:solidFill>
                      </w14:textFill>
                    </w:rPr>
                    <w:t>业，不涉及水泥、石化、化工等行业。</w:t>
                  </w:r>
                </w:p>
                <w:p w14:paraId="37B3C52F">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（2）项目不涉及包装印刷、石化、化工等行业。</w:t>
                  </w:r>
                </w:p>
                <w:p w14:paraId="2F8E9206">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）项目生活污水经化粪池处理后；生产废水（</w:t>
                  </w:r>
                  <w:r>
                    <w:rPr>
                      <w:rFonts w:hint="eastAsia" w:ascii="Times New Roman" w:hAnsi="Times New Roman" w:eastAsia="宋体" w:cs="Times New Roman"/>
                      <w:color w:val="000000" w:themeColor="text1"/>
                      <w:szCs w:val="21"/>
                      <w14:textFill>
                        <w14:solidFill>
                          <w14:schemeClr w14:val="tx1"/>
                        </w14:solidFill>
                      </w14:textFill>
                    </w:rPr>
                    <w:t>洗涤</w:t>
                  </w:r>
                  <w:r>
                    <w:rPr>
                      <w:rFonts w:ascii="Times New Roman" w:hAnsi="Times New Roman" w:eastAsia="宋体" w:cs="Times New Roman"/>
                      <w:color w:val="000000" w:themeColor="text1"/>
                      <w:szCs w:val="21"/>
                      <w14:textFill>
                        <w14:solidFill>
                          <w14:schemeClr w14:val="tx1"/>
                        </w14:solidFill>
                      </w14:textFill>
                    </w:rPr>
                    <w:t>废水、锅炉排污水、软化处理废水）经自建污水处理站处理后，均排入市政管网至湛江市霞山区水质净化厂。</w:t>
                  </w:r>
                </w:p>
                <w:p w14:paraId="1543E10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4</w:t>
                  </w:r>
                  <w:r>
                    <w:rPr>
                      <w:rFonts w:ascii="Times New Roman" w:hAnsi="Times New Roman" w:eastAsia="宋体" w:cs="Times New Roman"/>
                      <w:color w:val="000000" w:themeColor="text1"/>
                      <w:szCs w:val="21"/>
                      <w14:textFill>
                        <w14:solidFill>
                          <w14:schemeClr w14:val="tx1"/>
                        </w14:solidFill>
                      </w14:textFill>
                    </w:rPr>
                    <w:t>）项目不涉及农副食品加工、原料药制造等行业。</w:t>
                  </w:r>
                </w:p>
              </w:tc>
              <w:tc>
                <w:tcPr>
                  <w:tcW w:w="363" w:type="dxa"/>
                  <w:noWrap w:val="0"/>
                  <w:vAlign w:val="center"/>
                </w:tcPr>
                <w:p w14:paraId="5D20D341">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符合</w:t>
                  </w:r>
                </w:p>
              </w:tc>
            </w:tr>
            <w:tr w14:paraId="52D2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53" w:type="dxa"/>
                  <w:noWrap w:val="0"/>
                  <w:vAlign w:val="center"/>
                </w:tcPr>
                <w:p w14:paraId="2220C74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环境风险防控</w:t>
                  </w:r>
                </w:p>
              </w:tc>
              <w:tc>
                <w:tcPr>
                  <w:tcW w:w="3907" w:type="dxa"/>
                  <w:noWrap w:val="0"/>
                  <w:vAlign w:val="center"/>
                </w:tcPr>
                <w:p w14:paraId="44BD888C">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4-1.【水/综合类】生产、储存危险化学品的企业事业单位，应当采取措施，防止处理安全生产事故过程中产生的可能严重污染水体的消防废水、废液直接排入水体。</w:t>
                  </w:r>
                </w:p>
                <w:p w14:paraId="0087D152">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-2.【土壤/综合类】重点监管单位建设涉及有毒有害物质的生产装置、储罐和管道，或者建设污水处理池、应急池等存在土壤污染风险的设施，应当依法依规设计、建设、安装有关防腐蚀、防泄漏设施和泄漏监测装置，防止有毒有害物质污染土壤和地下水。</w:t>
                  </w:r>
                </w:p>
              </w:tc>
              <w:tc>
                <w:tcPr>
                  <w:tcW w:w="2218" w:type="dxa"/>
                  <w:noWrap w:val="0"/>
                  <w:vAlign w:val="center"/>
                </w:tcPr>
                <w:p w14:paraId="7B9AFC6A">
                  <w:pPr>
                    <w:autoSpaceDE w:val="0"/>
                    <w:autoSpaceDN w:val="0"/>
                    <w:adjustRightInd w:val="0"/>
                    <w:jc w:val="center"/>
                    <w:rPr>
                      <w:rFonts w:ascii="Times New Roman" w:hAnsi="Times New Roman" w:eastAsia="宋体" w:cs="Times New Roman"/>
                      <w:color w:val="000000" w:themeColor="text1"/>
                      <w:spacing w:val="2"/>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项目</w:t>
                  </w:r>
                  <w:r>
                    <w:rPr>
                      <w:rFonts w:ascii="Times New Roman" w:hAnsi="Times New Roman" w:eastAsia="宋体" w:cs="Times New Roman"/>
                      <w:snapToGrid w:val="0"/>
                      <w:color w:val="000000" w:themeColor="text1"/>
                      <w:kern w:val="0"/>
                      <w:szCs w:val="21"/>
                      <w14:textFill>
                        <w14:solidFill>
                          <w14:schemeClr w14:val="tx1"/>
                        </w14:solidFill>
                      </w14:textFill>
                    </w:rPr>
                    <w:t>属于</w:t>
                  </w:r>
                  <w:r>
                    <w:rPr>
                      <w:rFonts w:ascii="Times New Roman" w:hAnsi="Times New Roman" w:eastAsia="宋体" w:cs="Times New Roman"/>
                      <w:color w:val="000000" w:themeColor="text1"/>
                      <w:szCs w:val="21"/>
                      <w14:textFill>
                        <w14:solidFill>
                          <w14:schemeClr w14:val="tx1"/>
                        </w14:solidFill>
                      </w14:textFill>
                    </w:rPr>
                    <w:t>D4430热力生产和供应行业</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O8030</w:t>
                  </w:r>
                  <w:r>
                    <w:rPr>
                      <w:rFonts w:hint="eastAsia" w:ascii="Times New Roman" w:hAnsi="Times New Roman" w:eastAsia="宋体" w:cs="Times New Roman"/>
                      <w:color w:val="000000" w:themeColor="text1"/>
                      <w:szCs w:val="21"/>
                      <w14:textFill>
                        <w14:solidFill>
                          <w14:schemeClr w14:val="tx1"/>
                        </w14:solidFill>
                      </w14:textFill>
                    </w:rPr>
                    <w:t>洗染服务行</w:t>
                  </w:r>
                  <w:r>
                    <w:rPr>
                      <w:rFonts w:ascii="Times New Roman" w:hAnsi="Times New Roman" w:eastAsia="宋体" w:cs="Times New Roman"/>
                      <w:color w:val="000000" w:themeColor="text1"/>
                      <w:szCs w:val="21"/>
                      <w14:textFill>
                        <w14:solidFill>
                          <w14:schemeClr w14:val="tx1"/>
                        </w14:solidFill>
                      </w14:textFill>
                    </w:rPr>
                    <w:t>业</w:t>
                  </w:r>
                  <w:r>
                    <w:rPr>
                      <w:rStyle w:val="39"/>
                      <w:rFonts w:hint="eastAsia"/>
                      <w:color w:val="000000" w:themeColor="text1"/>
                      <w:kern w:val="0"/>
                      <w:szCs w:val="20"/>
                      <w14:textFill>
                        <w14:solidFill>
                          <w14:schemeClr w14:val="tx1"/>
                        </w14:solidFill>
                      </w14:textFill>
                    </w:rPr>
                    <w:t>，</w:t>
                  </w:r>
                  <w:r>
                    <w:rPr>
                      <w:rFonts w:ascii="Times New Roman" w:hAnsi="Times New Roman" w:eastAsia="宋体" w:cs="Times New Roman"/>
                      <w:color w:val="000000" w:themeColor="text1"/>
                      <w:spacing w:val="2"/>
                      <w:szCs w:val="21"/>
                      <w14:textFill>
                        <w14:solidFill>
                          <w14:schemeClr w14:val="tx1"/>
                        </w14:solidFill>
                      </w14:textFill>
                    </w:rPr>
                    <w:t>不属于重点监管单位，且不涉及</w:t>
                  </w:r>
                  <w:r>
                    <w:rPr>
                      <w:rFonts w:ascii="Times New Roman" w:hAnsi="Times New Roman" w:eastAsia="宋体" w:cs="Times New Roman"/>
                      <w:color w:val="000000" w:themeColor="text1"/>
                      <w:szCs w:val="21"/>
                      <w14:textFill>
                        <w14:solidFill>
                          <w14:schemeClr w14:val="tx1"/>
                        </w14:solidFill>
                      </w14:textFill>
                    </w:rPr>
                    <w:t>有毒有害物质的生产装置、储罐和管道，或者建设污水处理池、应急池等存在土壤污染风险的设施</w:t>
                  </w:r>
                  <w:r>
                    <w:rPr>
                      <w:rFonts w:ascii="Times New Roman" w:hAnsi="Times New Roman" w:eastAsia="宋体" w:cs="Times New Roman"/>
                      <w:color w:val="000000" w:themeColor="text1"/>
                      <w:spacing w:val="2"/>
                      <w:szCs w:val="21"/>
                      <w14:textFill>
                        <w14:solidFill>
                          <w14:schemeClr w14:val="tx1"/>
                        </w14:solidFill>
                      </w14:textFill>
                    </w:rPr>
                    <w:t>。</w:t>
                  </w:r>
                </w:p>
              </w:tc>
              <w:tc>
                <w:tcPr>
                  <w:tcW w:w="363" w:type="dxa"/>
                  <w:noWrap w:val="0"/>
                  <w:vAlign w:val="center"/>
                </w:tcPr>
                <w:p w14:paraId="780C5C9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符合</w:t>
                  </w:r>
                </w:p>
              </w:tc>
            </w:tr>
            <w:bookmarkEnd w:id="14"/>
          </w:tbl>
          <w:p w14:paraId="69040A6E">
            <w:pPr>
              <w:autoSpaceDE w:val="0"/>
              <w:autoSpaceDN w:val="0"/>
              <w:adjustRightInd w:val="0"/>
              <w:snapToGrid w:val="0"/>
              <w:spacing w:line="360" w:lineRule="auto"/>
              <w:ind w:firstLine="420" w:firstLineChars="200"/>
              <w:jc w:val="left"/>
              <w:rPr>
                <w:rFonts w:ascii="Times New Roman" w:hAnsi="Times New Roman" w:eastAsia="宋体" w:cs="Times New Roman"/>
                <w:color w:val="000000" w:themeColor="text1"/>
                <w:kern w:val="0"/>
                <w:szCs w:val="21"/>
                <w14:textFill>
                  <w14:solidFill>
                    <w14:schemeClr w14:val="tx1"/>
                  </w14:solidFill>
                </w14:textFill>
              </w:rPr>
            </w:pPr>
          </w:p>
        </w:tc>
      </w:tr>
    </w:tbl>
    <w:p w14:paraId="6C300099">
      <w:pPr>
        <w:spacing w:line="360" w:lineRule="auto"/>
        <w:rPr>
          <w:color w:val="000000" w:themeColor="text1"/>
          <w:sz w:val="30"/>
          <w14:textFill>
            <w14:solidFill>
              <w14:schemeClr w14:val="tx1"/>
            </w14:solidFill>
          </w14:textFill>
        </w:rPr>
        <w:sectPr>
          <w:footerReference r:id="rId5" w:type="default"/>
          <w:pgSz w:w="11906" w:h="16838"/>
          <w:pgMar w:top="1701" w:right="1531" w:bottom="1701" w:left="1531" w:header="851" w:footer="1077" w:gutter="0"/>
          <w:pgNumType w:start="1"/>
          <w:cols w:space="720" w:num="1"/>
          <w:docGrid w:linePitch="312" w:charSpace="0"/>
        </w:sectPr>
      </w:pPr>
    </w:p>
    <w:p w14:paraId="282D1537">
      <w:pPr>
        <w:pStyle w:val="28"/>
        <w:jc w:val="center"/>
        <w:outlineLvl w:val="0"/>
        <w:rPr>
          <w:rFonts w:ascii="Times New Roman" w:hAnsi="Times New Roman"/>
          <w:b/>
          <w:bCs/>
          <w:snapToGrid w:val="0"/>
          <w:color w:val="000000" w:themeColor="text1"/>
          <w:sz w:val="30"/>
          <w:szCs w:val="30"/>
          <w14:textFill>
            <w14:solidFill>
              <w14:schemeClr w14:val="tx1"/>
            </w14:solidFill>
          </w14:textFill>
        </w:rPr>
      </w:pPr>
      <w:bookmarkStart w:id="15" w:name="_Toc22387"/>
      <w:r>
        <w:rPr>
          <w:rFonts w:ascii="Times New Roman" w:hAnsi="Times New Roman"/>
          <w:b/>
          <w:bCs/>
          <w:snapToGrid w:val="0"/>
          <w:color w:val="000000" w:themeColor="text1"/>
          <w:sz w:val="30"/>
          <w:szCs w:val="30"/>
          <w14:textFill>
            <w14:solidFill>
              <w14:schemeClr w14:val="tx1"/>
            </w14:solidFill>
          </w14:textFill>
        </w:rPr>
        <w:t>二、建设项目工程分析</w:t>
      </w:r>
      <w:bookmarkEnd w:id="15"/>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634"/>
      </w:tblGrid>
      <w:tr w14:paraId="27441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0" w:hRule="atLeast"/>
          <w:jc w:val="center"/>
        </w:trPr>
        <w:tc>
          <w:tcPr>
            <w:tcW w:w="645" w:type="dxa"/>
            <w:noWrap w:val="0"/>
            <w:vAlign w:val="center"/>
          </w:tcPr>
          <w:p w14:paraId="2A6C0E9A">
            <w:pPr>
              <w:pStyle w:val="28"/>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建设内容</w:t>
            </w:r>
          </w:p>
        </w:tc>
        <w:tc>
          <w:tcPr>
            <w:tcW w:w="8415" w:type="dxa"/>
            <w:noWrap w:val="0"/>
            <w:vAlign w:val="top"/>
          </w:tcPr>
          <w:p w14:paraId="3042629B">
            <w:pPr>
              <w:numPr>
                <w:ilvl w:val="0"/>
                <w:numId w:val="2"/>
              </w:num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项目概况</w:t>
            </w:r>
          </w:p>
          <w:p w14:paraId="1E7C825A">
            <w:pPr>
              <w:spacing w:line="480" w:lineRule="exact"/>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湛江市品涤洗衣服务有限公司</w:t>
            </w:r>
            <w:r>
              <w:rPr>
                <w:rFonts w:ascii="Times New Roman" w:hAnsi="Times New Roman" w:eastAsia="宋体" w:cs="Times New Roman"/>
                <w:color w:val="000000" w:themeColor="text1"/>
                <w:kern w:val="0"/>
                <w:sz w:val="24"/>
                <w:lang w:bidi="ar"/>
                <w14:textFill>
                  <w14:solidFill>
                    <w14:schemeClr w14:val="tx1"/>
                  </w14:solidFill>
                </w14:textFill>
              </w:rPr>
              <w:t>拟于</w:t>
            </w:r>
            <w:r>
              <w:rPr>
                <w:rFonts w:ascii="Times New Roman" w:hAnsi="Times New Roman" w:eastAsia="宋体" w:cs="Times New Roman"/>
                <w:color w:val="000000" w:themeColor="text1"/>
                <w:sz w:val="24"/>
                <w14:textFill>
                  <w14:solidFill>
                    <w14:schemeClr w14:val="tx1"/>
                  </w14:solidFill>
                </w14:textFill>
              </w:rPr>
              <w:t>湛江市霞山区铁路粤西农垦供销总公司南山库区8381-1仓</w:t>
            </w:r>
            <w:r>
              <w:rPr>
                <w:rFonts w:hint="eastAsia" w:ascii="Times New Roman" w:hAnsi="Times New Roman" w:eastAsia="宋体" w:cs="Times New Roman"/>
                <w:color w:val="000000" w:themeColor="text1"/>
                <w:sz w:val="24"/>
                <w14:textFill>
                  <w14:solidFill>
                    <w14:schemeClr w14:val="tx1"/>
                  </w14:solidFill>
                </w14:textFill>
              </w:rPr>
              <w:t>建设</w:t>
            </w:r>
            <w:r>
              <w:rPr>
                <w:rFonts w:ascii="Times New Roman" w:hAnsi="Times New Roman" w:eastAsia="宋体" w:cs="Times New Roman"/>
                <w:color w:val="000000" w:themeColor="text1"/>
                <w:kern w:val="0"/>
                <w:sz w:val="24"/>
                <w:lang w:bidi="ar"/>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湛江市品涤洗衣服务有限公司年清洗62万套被服和26万套台布建设项目</w:t>
            </w:r>
            <w:r>
              <w:rPr>
                <w:rFonts w:ascii="Times New Roman" w:hAnsi="Times New Roman" w:eastAsia="宋体" w:cs="Times New Roman"/>
                <w:color w:val="000000" w:themeColor="text1"/>
                <w:kern w:val="0"/>
                <w:sz w:val="24"/>
                <w:lang w:bidi="ar"/>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。项目总投资</w:t>
            </w:r>
            <w:r>
              <w:rPr>
                <w:rFonts w:hint="eastAsia" w:ascii="Times New Roman" w:hAnsi="Times New Roman" w:eastAsia="宋体" w:cs="Times New Roman"/>
                <w:color w:val="000000" w:themeColor="text1"/>
                <w:sz w:val="24"/>
                <w:lang w:val="en-US" w:eastAsia="zh-CN"/>
                <w14:textFill>
                  <w14:solidFill>
                    <w14:schemeClr w14:val="tx1"/>
                  </w14:solidFill>
                </w14:textFill>
              </w:rPr>
              <w:t>7</w:t>
            </w:r>
            <w:r>
              <w:rPr>
                <w:rFonts w:ascii="Times New Roman" w:hAnsi="Times New Roman" w:eastAsia="宋体" w:cs="Times New Roman"/>
                <w:color w:val="000000" w:themeColor="text1"/>
                <w:sz w:val="24"/>
                <w14:textFill>
                  <w14:solidFill>
                    <w14:schemeClr w14:val="tx1"/>
                  </w14:solidFill>
                </w14:textFill>
              </w:rPr>
              <w:t>00万元人民币，其中环保投资105万元。项目厂房总占地面积</w:t>
            </w:r>
            <w:r>
              <w:rPr>
                <w:rFonts w:hint="eastAsia" w:ascii="Times New Roman" w:hAnsi="Times New Roman" w:eastAsia="宋体" w:cs="Times New Roman"/>
                <w:color w:val="000000" w:themeColor="text1"/>
                <w:sz w:val="24"/>
                <w:lang w:val="en-US" w:eastAsia="zh-CN"/>
                <w14:textFill>
                  <w14:solidFill>
                    <w14:schemeClr w14:val="tx1"/>
                  </w14:solidFill>
                </w14:textFill>
              </w:rPr>
              <w:t>1758</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，建筑面积1600m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。项目主要从事洗涤服务（配套一台4t/h</w:t>
            </w:r>
            <w:r>
              <w:rPr>
                <w:rFonts w:ascii="Times New Roman" w:hAnsi="Times New Roman" w:eastAsia="宋体" w:cs="Times New Roman"/>
                <w:color w:val="000000" w:themeColor="text1"/>
                <w:spacing w:val="2"/>
                <w:sz w:val="24"/>
                <w14:textFill>
                  <w14:solidFill>
                    <w14:schemeClr w14:val="tx1"/>
                  </w14:solidFill>
                </w14:textFill>
              </w:rPr>
              <w:t>生物质成型燃料锅炉</w:t>
            </w:r>
            <w:r>
              <w:rPr>
                <w:rFonts w:ascii="Times New Roman" w:hAnsi="Times New Roman" w:eastAsia="宋体" w:cs="Times New Roman"/>
                <w:color w:val="000000" w:themeColor="text1"/>
                <w:sz w:val="24"/>
                <w14:textFill>
                  <w14:solidFill>
                    <w14:schemeClr w14:val="tx1"/>
                  </w14:solidFill>
                </w14:textFill>
              </w:rPr>
              <w:t>），被服和台布主要来自周边酒店换洗毛巾床单窗帘及台布等。</w:t>
            </w:r>
          </w:p>
          <w:p w14:paraId="3758B512">
            <w:pPr>
              <w:spacing w:line="480" w:lineRule="exact"/>
              <w:ind w:firstLine="480" w:firstLineChars="200"/>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根据《</w:t>
            </w:r>
            <w:r>
              <w:rPr>
                <w:rFonts w:hint="eastAsia" w:ascii="Times New Roman" w:hAnsi="Times New Roman" w:eastAsia="宋体" w:cs="Times New Roman"/>
                <w:color w:val="000000" w:themeColor="text1"/>
                <w:sz w:val="24"/>
                <w14:textFill>
                  <w14:solidFill>
                    <w14:schemeClr w14:val="tx1"/>
                  </w14:solidFill>
                </w14:textFill>
              </w:rPr>
              <w:t>中华人民共和国生态环境法典</w:t>
            </w:r>
            <w:r>
              <w:rPr>
                <w:rFonts w:ascii="Times New Roman" w:hAnsi="Times New Roman" w:eastAsia="宋体" w:cs="Times New Roman"/>
                <w:color w:val="000000" w:themeColor="text1"/>
                <w:sz w:val="24"/>
                <w14:textFill>
                  <w14:solidFill>
                    <w14:schemeClr w14:val="tx1"/>
                  </w14:solidFill>
                </w14:textFill>
              </w:rPr>
              <w:t>》、中华人民共和国生态环境部部令第16号《建设项目环境影响评价分类管理名录》（2021年版）等有关规定，项目属于</w:t>
            </w:r>
            <w:r>
              <w:rPr>
                <w:rFonts w:hint="eastAsia" w:ascii="宋体" w:hAnsi="宋体" w:eastAsia="宋体" w:cs="宋体"/>
                <w:color w:val="000000" w:themeColor="text1"/>
                <w:kern w:val="0"/>
                <w:sz w:val="24"/>
                <w:lang w:bidi="ar"/>
                <w14:textFill>
                  <w14:solidFill>
                    <w14:schemeClr w14:val="tx1"/>
                  </w14:solidFill>
                </w14:textFill>
              </w:rPr>
              <w:t>项目行业类别为</w:t>
            </w:r>
            <w:r>
              <w:rPr>
                <w:rFonts w:ascii="Times New Roman" w:hAnsi="Times New Roman" w:eastAsia="宋体" w:cs="Times New Roman"/>
                <w:color w:val="000000" w:themeColor="text1"/>
                <w:kern w:val="0"/>
                <w:sz w:val="24"/>
                <w:lang w:bidi="ar"/>
                <w14:textFill>
                  <w14:solidFill>
                    <w14:schemeClr w14:val="tx1"/>
                  </w14:solidFill>
                </w14:textFill>
              </w:rPr>
              <w:t>O8030</w:t>
            </w:r>
            <w:r>
              <w:rPr>
                <w:rFonts w:hint="eastAsia" w:ascii="宋体" w:hAnsi="宋体" w:eastAsia="宋体" w:cs="宋体"/>
                <w:color w:val="000000" w:themeColor="text1"/>
                <w:kern w:val="0"/>
                <w:sz w:val="24"/>
                <w:lang w:bidi="ar"/>
                <w14:textFill>
                  <w14:solidFill>
                    <w14:schemeClr w14:val="tx1"/>
                  </w14:solidFill>
                </w14:textFill>
              </w:rPr>
              <w:t>洗染服务，项目配套的生物质成型燃料锅炉属于</w:t>
            </w:r>
            <w:r>
              <w:rPr>
                <w:rFonts w:ascii="Times New Roman" w:hAnsi="Times New Roman" w:eastAsia="宋体" w:cs="Times New Roman"/>
                <w:color w:val="000000" w:themeColor="text1"/>
                <w:sz w:val="24"/>
                <w14:textFill>
                  <w14:solidFill>
                    <w14:schemeClr w14:val="tx1"/>
                  </w14:solidFill>
                </w14:textFill>
              </w:rPr>
              <w:t>“四十一、电力热力生产和供应业，91-热力生产和供应工程（包括建设单位自建自用的供热工程）”类别，应编制环境影响报告表。因此建设单位委托广州国寰环保科技发展有限公司承担该建设项目的环境影响评价工作，我司进行了现场勘察和项目资料收集，按照《建设项目环境影响报告表编制技术指南（污染影响类）（试行）》及相关技术规范要求，编制完成了《湛江市品涤洗衣服务有限公司年清洗62万套被服和26万套台布建设项目环境影响报告表》。</w:t>
            </w:r>
          </w:p>
          <w:p w14:paraId="40D7F228">
            <w:pPr>
              <w:spacing w:line="480" w:lineRule="exact"/>
              <w:ind w:firstLine="482" w:firstLineChars="200"/>
              <w:textAlignment w:val="baseline"/>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2、工程建设内容及规模</w:t>
            </w:r>
          </w:p>
          <w:p w14:paraId="64AFEF51">
            <w:pPr>
              <w:spacing w:line="480" w:lineRule="exact"/>
              <w:ind w:firstLine="480" w:firstLineChars="200"/>
              <w:textAlignment w:val="baseline"/>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项目位于</w:t>
            </w:r>
            <w:r>
              <w:rPr>
                <w:rFonts w:hint="eastAsia" w:ascii="Times New Roman" w:hAnsi="Times New Roman" w:eastAsia="宋体" w:cs="Times New Roman"/>
                <w:color w:val="000000" w:themeColor="text1"/>
                <w:sz w:val="24"/>
                <w14:textFill>
                  <w14:solidFill>
                    <w14:schemeClr w14:val="tx1"/>
                  </w14:solidFill>
                </w14:textFill>
              </w:rPr>
              <w:t>湛江市霞山区铁路粤西农垦供销总公司南山库区8381-1仓，</w:t>
            </w:r>
            <w:r>
              <w:rPr>
                <w:rFonts w:hint="eastAsia" w:ascii="Times New Roman" w:hAnsi="Times New Roman" w:eastAsia="宋体" w:cs="Times New Roman"/>
                <w:bCs/>
                <w:color w:val="000000" w:themeColor="text1"/>
                <w:sz w:val="24"/>
                <w14:textFill>
                  <w14:solidFill>
                    <w14:schemeClr w14:val="tx1"/>
                  </w14:solidFill>
                </w14:textFill>
              </w:rPr>
              <w:t>项目占地面积为</w:t>
            </w:r>
            <w:r>
              <w:rPr>
                <w:rFonts w:hint="eastAsia" w:ascii="Times New Roman" w:hAnsi="Times New Roman" w:eastAsia="宋体" w:cs="Times New Roman"/>
                <w:bCs/>
                <w:color w:val="000000" w:themeColor="text1"/>
                <w:sz w:val="24"/>
                <w:highlight w:val="none"/>
                <w:shd w:val="clear" w:color="auto" w:fill="auto"/>
                <w14:textFill>
                  <w14:solidFill>
                    <w14:schemeClr w14:val="tx1"/>
                  </w14:solidFill>
                </w14:textFill>
              </w:rPr>
              <w:t>1</w:t>
            </w:r>
            <w:r>
              <w:rPr>
                <w:rFonts w:hint="eastAsia" w:ascii="Times New Roman" w:hAnsi="Times New Roman" w:eastAsia="宋体" w:cs="Times New Roman"/>
                <w:bCs/>
                <w:color w:val="000000" w:themeColor="text1"/>
                <w:sz w:val="24"/>
                <w:highlight w:val="none"/>
                <w:shd w:val="clear" w:color="auto" w:fill="auto"/>
                <w:lang w:val="en-US" w:eastAsia="zh-CN"/>
                <w14:textFill>
                  <w14:solidFill>
                    <w14:schemeClr w14:val="tx1"/>
                  </w14:solidFill>
                </w14:textFill>
              </w:rPr>
              <w:t>758</w:t>
            </w:r>
            <w:r>
              <w:rPr>
                <w:rFonts w:hint="eastAsia" w:ascii="Times New Roman" w:hAnsi="Times New Roman" w:eastAsia="宋体" w:cs="Times New Roman"/>
                <w:bCs/>
                <w:color w:val="000000" w:themeColor="text1"/>
                <w:sz w:val="24"/>
                <w:highlight w:val="none"/>
                <w:shd w:val="clear" w:color="auto" w:fill="auto"/>
                <w14:textFill>
                  <w14:solidFill>
                    <w14:schemeClr w14:val="tx1"/>
                  </w14:solidFill>
                </w14:textFill>
              </w:rPr>
              <w:t>m</w:t>
            </w:r>
            <w:r>
              <w:rPr>
                <w:rFonts w:hint="eastAsia" w:ascii="Times New Roman" w:hAnsi="Times New Roman" w:eastAsia="宋体" w:cs="Times New Roman"/>
                <w:bCs/>
                <w:color w:val="000000" w:themeColor="text1"/>
                <w:sz w:val="24"/>
                <w:highlight w:val="none"/>
                <w:shd w:val="clear" w:color="auto" w:fill="auto"/>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，建筑面积为1600m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，剩余</w:t>
            </w:r>
            <w:r>
              <w:rPr>
                <w:rFonts w:hint="eastAsia" w:ascii="Times New Roman" w:hAnsi="Times New Roman" w:eastAsia="宋体" w:cs="Times New Roman"/>
                <w:bCs/>
                <w:color w:val="000000" w:themeColor="text1"/>
                <w:sz w:val="24"/>
                <w:lang w:val="en-US" w:eastAsia="zh-CN"/>
                <w14:textFill>
                  <w14:solidFill>
                    <w14:schemeClr w14:val="tx1"/>
                  </w14:solidFill>
                </w14:textFill>
              </w:rPr>
              <w:t>158</w:t>
            </w:r>
            <w:r>
              <w:rPr>
                <w:rFonts w:hint="eastAsia" w:ascii="Times New Roman" w:hAnsi="Times New Roman" w:eastAsia="宋体" w:cs="Times New Roman"/>
                <w:bCs/>
                <w:color w:val="000000" w:themeColor="text1"/>
                <w:sz w:val="24"/>
                <w14:textFill>
                  <w14:solidFill>
                    <w14:schemeClr w14:val="tx1"/>
                  </w14:solidFill>
                </w14:textFill>
              </w:rPr>
              <w:t>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为预留空地。项目主要建设内容组成详见下表。</w:t>
            </w:r>
          </w:p>
          <w:p w14:paraId="71767009">
            <w:pPr>
              <w:spacing w:line="480" w:lineRule="exact"/>
              <w:ind w:firstLine="482" w:firstLineChars="200"/>
              <w:jc w:val="center"/>
              <w:rPr>
                <w:rFonts w:hint="eastAsia"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表2-</w:t>
            </w:r>
            <w:r>
              <w:rPr>
                <w:rFonts w:hint="eastAsia" w:ascii="Times New Roman" w:hAnsi="Times New Roman" w:eastAsia="宋体" w:cs="Times New Roman"/>
                <w:b/>
                <w:color w:val="000000" w:themeColor="text1"/>
                <w:sz w:val="24"/>
                <w14:textFill>
                  <w14:solidFill>
                    <w14:schemeClr w14:val="tx1"/>
                  </w14:solidFill>
                </w14:textFill>
              </w:rPr>
              <w:t>1项目主要建设内容</w:t>
            </w:r>
            <w:r>
              <w:rPr>
                <w:rFonts w:ascii="Times New Roman" w:hAnsi="Times New Roman" w:eastAsia="宋体" w:cs="Times New Roman"/>
                <w:b/>
                <w:color w:val="000000" w:themeColor="text1"/>
                <w:sz w:val="24"/>
                <w14:textFill>
                  <w14:solidFill>
                    <w14:schemeClr w14:val="tx1"/>
                  </w14:solidFill>
                </w14:textFill>
              </w:rPr>
              <w:t>一览表</w:t>
            </w:r>
          </w:p>
          <w:tbl>
            <w:tblPr>
              <w:tblStyle w:val="32"/>
              <w:tblW w:w="4992"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6" w:type="dxa"/>
                <w:bottom w:w="0" w:type="dxa"/>
                <w:right w:w="56" w:type="dxa"/>
              </w:tblCellMar>
            </w:tblPr>
            <w:tblGrid>
              <w:gridCol w:w="1533"/>
              <w:gridCol w:w="1686"/>
              <w:gridCol w:w="5166"/>
            </w:tblGrid>
            <w:tr w14:paraId="24C83C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82" w:hRule="atLeast"/>
                <w:jc w:val="center"/>
              </w:trPr>
              <w:tc>
                <w:tcPr>
                  <w:tcW w:w="914" w:type="pct"/>
                  <w:noWrap w:val="0"/>
                  <w:vAlign w:val="center"/>
                </w:tcPr>
                <w:p w14:paraId="3CA81BF1">
                  <w:pPr>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项目类别</w:t>
                  </w:r>
                </w:p>
              </w:tc>
              <w:tc>
                <w:tcPr>
                  <w:tcW w:w="1005" w:type="pct"/>
                  <w:tcBorders>
                    <w:right w:val="single" w:color="auto" w:sz="4" w:space="0"/>
                  </w:tcBorders>
                  <w:noWrap w:val="0"/>
                  <w:vAlign w:val="center"/>
                </w:tcPr>
                <w:p w14:paraId="216093BD">
                  <w:pPr>
                    <w:adjustRightInd w:val="0"/>
                    <w:snapToGrid w:val="0"/>
                    <w:jc w:val="center"/>
                    <w:rPr>
                      <w:rFonts w:hint="eastAsia"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类别</w:t>
                  </w:r>
                </w:p>
              </w:tc>
              <w:tc>
                <w:tcPr>
                  <w:tcW w:w="3080" w:type="pct"/>
                  <w:tcBorders>
                    <w:left w:val="single" w:color="auto" w:sz="4" w:space="0"/>
                    <w:right w:val="single" w:color="auto" w:sz="4" w:space="0"/>
                  </w:tcBorders>
                  <w:noWrap w:val="0"/>
                  <w:vAlign w:val="center"/>
                </w:tcPr>
                <w:p w14:paraId="1A496142">
                  <w:pPr>
                    <w:adjustRightInd w:val="0"/>
                    <w:snapToGrid w:val="0"/>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工程</w:t>
                  </w:r>
                  <w:r>
                    <w:rPr>
                      <w:rFonts w:hint="eastAsia" w:ascii="Times New Roman" w:hAnsi="Times New Roman" w:eastAsia="宋体" w:cs="Times New Roman"/>
                      <w:b/>
                      <w:bCs/>
                      <w:color w:val="000000" w:themeColor="text1"/>
                      <w:kern w:val="0"/>
                      <w:szCs w:val="21"/>
                      <w14:textFill>
                        <w14:solidFill>
                          <w14:schemeClr w14:val="tx1"/>
                        </w14:solidFill>
                      </w14:textFill>
                    </w:rPr>
                    <w:t>内容</w:t>
                  </w:r>
                </w:p>
              </w:tc>
            </w:tr>
            <w:tr w14:paraId="33A85C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90" w:hRule="atLeast"/>
                <w:jc w:val="center"/>
              </w:trPr>
              <w:tc>
                <w:tcPr>
                  <w:tcW w:w="914" w:type="pct"/>
                  <w:noWrap w:val="0"/>
                  <w:vAlign w:val="center"/>
                </w:tcPr>
                <w:p w14:paraId="63C5EFA5">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主体工程</w:t>
                  </w:r>
                </w:p>
              </w:tc>
              <w:tc>
                <w:tcPr>
                  <w:tcW w:w="1005" w:type="pct"/>
                  <w:noWrap w:val="0"/>
                  <w:vAlign w:val="center"/>
                </w:tcPr>
                <w:p w14:paraId="25FCD2D4">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生产区域</w:t>
                  </w:r>
                </w:p>
              </w:tc>
              <w:tc>
                <w:tcPr>
                  <w:tcW w:w="3080" w:type="pct"/>
                  <w:noWrap w:val="0"/>
                  <w:vAlign w:val="center"/>
                </w:tcPr>
                <w:p w14:paraId="08919BF0">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占地面积1235m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，建筑面积1235m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，主要</w:t>
                  </w:r>
                  <w:r>
                    <w:rPr>
                      <w:rFonts w:hint="eastAsia" w:ascii="Times New Roman" w:hAnsi="Times New Roman" w:eastAsia="宋体" w:cs="Times New Roman"/>
                      <w:color w:val="000000" w:themeColor="text1"/>
                      <w14:textFill>
                        <w14:solidFill>
                          <w14:schemeClr w14:val="tx1"/>
                        </w14:solidFill>
                      </w14:textFill>
                    </w:rPr>
                    <w:t>水洗、烘干、烫平、折叠等机房</w:t>
                  </w:r>
                </w:p>
              </w:tc>
            </w:tr>
            <w:tr w14:paraId="208AA5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restart"/>
                  <w:noWrap w:val="0"/>
                  <w:vAlign w:val="center"/>
                </w:tcPr>
                <w:p w14:paraId="68B633D7">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辅助工程</w:t>
                  </w:r>
                </w:p>
              </w:tc>
              <w:tc>
                <w:tcPr>
                  <w:tcW w:w="1005" w:type="pct"/>
                  <w:tcBorders>
                    <w:top w:val="single" w:color="auto" w:sz="4" w:space="0"/>
                    <w:bottom w:val="single" w:color="auto" w:sz="4" w:space="0"/>
                  </w:tcBorders>
                  <w:noWrap w:val="0"/>
                  <w:vAlign w:val="center"/>
                </w:tcPr>
                <w:p w14:paraId="4FE31163">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锅炉房</w:t>
                  </w:r>
                </w:p>
              </w:tc>
              <w:tc>
                <w:tcPr>
                  <w:tcW w:w="3080" w:type="pct"/>
                  <w:noWrap w:val="0"/>
                  <w:vAlign w:val="center"/>
                </w:tcPr>
                <w:p w14:paraId="72DE0CCC">
                  <w:pPr>
                    <w:adjustRightInd w:val="0"/>
                    <w:snapToGrid w:val="0"/>
                    <w:jc w:val="center"/>
                    <w:rPr>
                      <w:rFonts w:hint="eastAsia" w:ascii="Times New Roman" w:hAnsi="Times New Roman" w:eastAsia="宋体" w:cs="Times New Roman"/>
                      <w:color w:val="000000" w:themeColor="text1"/>
                      <w:spacing w:val="2"/>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占地面积40m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，建筑面积40m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位于厂区北侧，包括</w:t>
                  </w:r>
                  <w:r>
                    <w:rPr>
                      <w:rFonts w:hint="eastAsia" w:ascii="Times New Roman" w:hAnsi="Times New Roman" w:eastAsia="宋体" w:cs="Times New Roman"/>
                      <w:color w:val="000000" w:themeColor="text1"/>
                      <w:spacing w:val="2"/>
                      <w:szCs w:val="21"/>
                      <w14:textFill>
                        <w14:solidFill>
                          <w14:schemeClr w14:val="tx1"/>
                        </w14:solidFill>
                      </w14:textFill>
                    </w:rPr>
                    <w:t>1台4t/h燃生物质（生物质成型燃料）锅炉</w:t>
                  </w:r>
                </w:p>
              </w:tc>
            </w:tr>
            <w:tr w14:paraId="7A100A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413" w:hRule="atLeast"/>
                <w:jc w:val="center"/>
              </w:trPr>
              <w:tc>
                <w:tcPr>
                  <w:tcW w:w="914" w:type="pct"/>
                  <w:vMerge w:val="continue"/>
                  <w:noWrap w:val="0"/>
                  <w:vAlign w:val="center"/>
                </w:tcPr>
                <w:p w14:paraId="08887644">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p>
              </w:tc>
              <w:tc>
                <w:tcPr>
                  <w:tcW w:w="1005" w:type="pct"/>
                  <w:tcBorders>
                    <w:top w:val="single" w:color="auto" w:sz="4" w:space="0"/>
                  </w:tcBorders>
                  <w:noWrap w:val="0"/>
                  <w:vAlign w:val="center"/>
                </w:tcPr>
                <w:p w14:paraId="7BA7C576">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燃料仓</w:t>
                  </w:r>
                </w:p>
              </w:tc>
              <w:tc>
                <w:tcPr>
                  <w:tcW w:w="3080" w:type="pct"/>
                  <w:noWrap w:val="0"/>
                  <w:vAlign w:val="center"/>
                </w:tcPr>
                <w:p w14:paraId="3E879A03">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占地面积170m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，建筑面积170m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位于厂区北侧</w:t>
                  </w:r>
                </w:p>
              </w:tc>
            </w:tr>
            <w:tr w14:paraId="6BDA84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25024D09">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p>
              </w:tc>
              <w:tc>
                <w:tcPr>
                  <w:tcW w:w="1005" w:type="pct"/>
                  <w:tcBorders>
                    <w:top w:val="single" w:color="auto" w:sz="4" w:space="0"/>
                  </w:tcBorders>
                  <w:noWrap w:val="0"/>
                  <w:vAlign w:val="center"/>
                </w:tcPr>
                <w:p w14:paraId="27FBF30C">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办公楼</w:t>
                  </w:r>
                </w:p>
              </w:tc>
              <w:tc>
                <w:tcPr>
                  <w:tcW w:w="3080" w:type="pct"/>
                  <w:noWrap w:val="0"/>
                  <w:vAlign w:val="center"/>
                </w:tcPr>
                <w:p w14:paraId="7CF328B3">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占地面积75m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，建筑面积75m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位于厂区南侧</w:t>
                  </w:r>
                </w:p>
              </w:tc>
            </w:tr>
            <w:tr w14:paraId="4AB5FB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61CD7B9F">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p>
              </w:tc>
              <w:tc>
                <w:tcPr>
                  <w:tcW w:w="1005" w:type="pct"/>
                  <w:tcBorders>
                    <w:top w:val="single" w:color="auto" w:sz="4" w:space="0"/>
                  </w:tcBorders>
                  <w:noWrap w:val="0"/>
                  <w:vAlign w:val="center"/>
                </w:tcPr>
                <w:p w14:paraId="6D86429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仓库</w:t>
                  </w:r>
                </w:p>
              </w:tc>
              <w:tc>
                <w:tcPr>
                  <w:tcW w:w="3080" w:type="pct"/>
                  <w:noWrap w:val="0"/>
                  <w:vAlign w:val="center"/>
                </w:tcPr>
                <w:p w14:paraId="78F39EBE">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占地面积20m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，建筑面积20m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位于厂区南侧（洗水区域2号车间的南侧）</w:t>
                  </w:r>
                </w:p>
              </w:tc>
            </w:tr>
            <w:tr w14:paraId="490AC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61D9D5AE">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p>
              </w:tc>
              <w:tc>
                <w:tcPr>
                  <w:tcW w:w="1005" w:type="pct"/>
                  <w:tcBorders>
                    <w:top w:val="single" w:color="auto" w:sz="4" w:space="0"/>
                  </w:tcBorders>
                  <w:noWrap w:val="0"/>
                  <w:vAlign w:val="center"/>
                </w:tcPr>
                <w:p w14:paraId="102CE42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一般固废暂存间</w:t>
                  </w:r>
                </w:p>
              </w:tc>
              <w:tc>
                <w:tcPr>
                  <w:tcW w:w="3080" w:type="pct"/>
                  <w:noWrap w:val="0"/>
                  <w:vAlign w:val="center"/>
                </w:tcPr>
                <w:p w14:paraId="4007146B">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占地面积20m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，建筑面积20m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位于厂区北侧</w:t>
                  </w:r>
                </w:p>
              </w:tc>
            </w:tr>
            <w:tr w14:paraId="0D317F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6CF642B7">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p>
              </w:tc>
              <w:tc>
                <w:tcPr>
                  <w:tcW w:w="1005" w:type="pct"/>
                  <w:tcBorders>
                    <w:top w:val="single" w:color="auto" w:sz="4" w:space="0"/>
                  </w:tcBorders>
                  <w:noWrap w:val="0"/>
                  <w:vAlign w:val="center"/>
                </w:tcPr>
                <w:p w14:paraId="04F5E470">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污水处理站</w:t>
                  </w:r>
                </w:p>
              </w:tc>
              <w:tc>
                <w:tcPr>
                  <w:tcW w:w="3080" w:type="pct"/>
                  <w:noWrap w:val="0"/>
                  <w:vAlign w:val="center"/>
                </w:tcPr>
                <w:p w14:paraId="6F0ED875">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占地面积40m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，建筑面积40m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2</w:t>
                  </w:r>
                  <w:r>
                    <w:rPr>
                      <w:rFonts w:hint="eastAsia" w:ascii="Times New Roman" w:hAnsi="Times New Roman" w:eastAsia="宋体" w:cs="Times New Roman"/>
                      <w:color w:val="000000" w:themeColor="text1"/>
                      <w:kern w:val="0"/>
                      <w:szCs w:val="2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位于厂区北侧（与一般固废暂存间）</w:t>
                  </w:r>
                </w:p>
              </w:tc>
            </w:tr>
            <w:tr w14:paraId="5A458F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restart"/>
                  <w:noWrap w:val="0"/>
                  <w:vAlign w:val="center"/>
                </w:tcPr>
                <w:p w14:paraId="680F30FD">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公用工程</w:t>
                  </w:r>
                </w:p>
              </w:tc>
              <w:tc>
                <w:tcPr>
                  <w:tcW w:w="1005" w:type="pct"/>
                  <w:noWrap w:val="0"/>
                  <w:vAlign w:val="center"/>
                </w:tcPr>
                <w:p w14:paraId="338DBFE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供水</w:t>
                  </w:r>
                </w:p>
              </w:tc>
              <w:tc>
                <w:tcPr>
                  <w:tcW w:w="3080" w:type="pct"/>
                  <w:noWrap w:val="0"/>
                  <w:vAlign w:val="center"/>
                </w:tcPr>
                <w:p w14:paraId="3F315BE6">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市政供水</w:t>
                  </w:r>
                </w:p>
              </w:tc>
            </w:tr>
            <w:tr w14:paraId="001782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785D8D9B">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1005" w:type="pct"/>
                  <w:noWrap w:val="0"/>
                  <w:vAlign w:val="center"/>
                </w:tcPr>
                <w:p w14:paraId="1090A90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供电</w:t>
                  </w:r>
                </w:p>
              </w:tc>
              <w:tc>
                <w:tcPr>
                  <w:tcW w:w="3080" w:type="pct"/>
                  <w:noWrap w:val="0"/>
                  <w:vAlign w:val="center"/>
                </w:tcPr>
                <w:p w14:paraId="6C2D2960">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市政供电</w:t>
                  </w:r>
                </w:p>
              </w:tc>
            </w:tr>
            <w:tr w14:paraId="422CA1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restart"/>
                  <w:noWrap w:val="0"/>
                  <w:vAlign w:val="center"/>
                </w:tcPr>
                <w:p w14:paraId="32EDD4CD">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环保工程</w:t>
                  </w:r>
                </w:p>
              </w:tc>
              <w:tc>
                <w:tcPr>
                  <w:tcW w:w="1005" w:type="pct"/>
                  <w:noWrap w:val="0"/>
                  <w:vAlign w:val="center"/>
                </w:tcPr>
                <w:p w14:paraId="29ADB14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废水</w:t>
                  </w:r>
                </w:p>
              </w:tc>
              <w:tc>
                <w:tcPr>
                  <w:tcW w:w="3080" w:type="pct"/>
                  <w:noWrap w:val="0"/>
                  <w:vAlign w:val="center"/>
                </w:tcPr>
                <w:p w14:paraId="1280E3D1">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生活污水经化粪池处理后；生产废水（洗涤废水、</w:t>
                  </w:r>
                  <w:r>
                    <w:rPr>
                      <w:rFonts w:hint="eastAsia" w:ascii="Times New Roman" w:hAnsi="Times New Roman" w:eastAsia="宋体" w:cs="Times New Roman"/>
                      <w:color w:val="000000" w:themeColor="text1"/>
                      <w14:textFill>
                        <w14:solidFill>
                          <w14:schemeClr w14:val="tx1"/>
                        </w14:solidFill>
                      </w14:textFill>
                    </w:rPr>
                    <w:t>锅炉排污水、软化处理废水</w:t>
                  </w:r>
                  <w:r>
                    <w:rPr>
                      <w:rFonts w:hint="eastAsia" w:ascii="Times New Roman" w:hAnsi="Times New Roman" w:eastAsia="宋体" w:cs="Times New Roman"/>
                      <w:color w:val="000000" w:themeColor="text1"/>
                      <w:kern w:val="0"/>
                      <w:szCs w:val="21"/>
                      <w14:textFill>
                        <w14:solidFill>
                          <w14:schemeClr w14:val="tx1"/>
                        </w14:solidFill>
                      </w14:textFill>
                    </w:rPr>
                    <w:t>）经自建污水处理站处理后，均排入市政管网至湛江市霞山区水质净化厂。雨污分流、雨水排周边雨水管网</w:t>
                  </w:r>
                </w:p>
              </w:tc>
            </w:tr>
            <w:tr w14:paraId="2C4604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66744F6E">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1005" w:type="pct"/>
                  <w:noWrap w:val="0"/>
                  <w:vAlign w:val="center"/>
                </w:tcPr>
                <w:p w14:paraId="02A8519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废气</w:t>
                  </w:r>
                </w:p>
              </w:tc>
              <w:tc>
                <w:tcPr>
                  <w:tcW w:w="3080" w:type="pct"/>
                  <w:noWrap w:val="0"/>
                  <w:vAlign w:val="center"/>
                </w:tcPr>
                <w:p w14:paraId="0BE80B52">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锅炉燃烧废气经“低氮燃烧+锅炉节能器+布袋除尘器”处理后</w:t>
                  </w:r>
                  <w:r>
                    <w:rPr>
                      <w:rFonts w:hint="eastAsia" w:ascii="Times New Roman" w:hAnsi="Times New Roman" w:eastAsia="宋体" w:cs="Times New Roman"/>
                      <w:color w:val="000000" w:themeColor="text1"/>
                      <w:kern w:val="0"/>
                      <w:szCs w:val="21"/>
                      <w14:textFill>
                        <w14:solidFill>
                          <w14:schemeClr w14:val="tx1"/>
                        </w14:solidFill>
                      </w14:textFill>
                    </w:rPr>
                    <w:t>35m高排气筒</w:t>
                  </w:r>
                  <w:r>
                    <w:rPr>
                      <w:rFonts w:hint="eastAsia" w:ascii="Times New Roman" w:hAnsi="Times New Roman" w:eastAsia="宋体" w:cs="Times New Roman"/>
                      <w:color w:val="000000" w:themeColor="text1"/>
                      <w14:textFill>
                        <w14:solidFill>
                          <w14:schemeClr w14:val="tx1"/>
                        </w14:solidFill>
                      </w14:textFill>
                    </w:rPr>
                    <w:t>排放</w:t>
                  </w:r>
                </w:p>
              </w:tc>
            </w:tr>
            <w:tr w14:paraId="417F0E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022BA9C5">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1005" w:type="pct"/>
                  <w:noWrap w:val="0"/>
                  <w:vAlign w:val="center"/>
                </w:tcPr>
                <w:p w14:paraId="1A91EBF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噪声</w:t>
                  </w:r>
                </w:p>
              </w:tc>
              <w:tc>
                <w:tcPr>
                  <w:tcW w:w="3080" w:type="pct"/>
                  <w:noWrap w:val="0"/>
                  <w:vAlign w:val="center"/>
                </w:tcPr>
                <w:p w14:paraId="1D7D914C">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选用低噪声设备，基础减振、厂房隔声</w:t>
                  </w:r>
                </w:p>
              </w:tc>
            </w:tr>
            <w:tr w14:paraId="33B3A8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6" w:type="dxa"/>
                  <w:bottom w:w="0" w:type="dxa"/>
                  <w:right w:w="56" w:type="dxa"/>
                </w:tblCellMar>
              </w:tblPrEx>
              <w:trPr>
                <w:trHeight w:val="333" w:hRule="atLeast"/>
                <w:jc w:val="center"/>
              </w:trPr>
              <w:tc>
                <w:tcPr>
                  <w:tcW w:w="914" w:type="pct"/>
                  <w:vMerge w:val="continue"/>
                  <w:noWrap w:val="0"/>
                  <w:vAlign w:val="center"/>
                </w:tcPr>
                <w:p w14:paraId="0C8AC568">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1005" w:type="pct"/>
                  <w:noWrap w:val="0"/>
                  <w:vAlign w:val="center"/>
                </w:tcPr>
                <w:p w14:paraId="6ADB7E19">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固废</w:t>
                  </w:r>
                </w:p>
              </w:tc>
              <w:tc>
                <w:tcPr>
                  <w:tcW w:w="3080" w:type="pct"/>
                  <w:noWrap w:val="0"/>
                  <w:vAlign w:val="center"/>
                </w:tcPr>
                <w:p w14:paraId="7AFD1D96">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生活垃圾交由环卫部门清运处置；废包装物交由厂家回收利用；</w:t>
                  </w:r>
                  <w:r>
                    <w:rPr>
                      <w:rFonts w:hint="eastAsia" w:ascii="Times New Roman" w:hAnsi="Times New Roman" w:eastAsia="宋体" w:cs="Times New Roman"/>
                      <w:color w:val="000000" w:themeColor="text1"/>
                      <w:szCs w:val="21"/>
                      <w:lang w:bidi="ar"/>
                      <w14:textFill>
                        <w14:solidFill>
                          <w14:schemeClr w14:val="tx1"/>
                        </w14:solidFill>
                      </w14:textFill>
                    </w:rPr>
                    <w:t>锅炉灰渣、</w:t>
                  </w:r>
                  <w:r>
                    <w:rPr>
                      <w:rFonts w:hint="eastAsia" w:ascii="Times New Roman" w:hAnsi="Times New Roman" w:eastAsia="宋体" w:cs="Times New Roman"/>
                      <w:color w:val="000000" w:themeColor="text1"/>
                      <w:szCs w:val="21"/>
                      <w14:textFill>
                        <w14:solidFill>
                          <w14:schemeClr w14:val="tx1"/>
                        </w14:solidFill>
                      </w14:textFill>
                    </w:rPr>
                    <w:t>收尘灰、</w:t>
                  </w:r>
                  <w:r>
                    <w:rPr>
                      <w:rFonts w:hint="eastAsia" w:ascii="Times New Roman" w:hAnsi="Times New Roman" w:eastAsia="宋体" w:cs="Times New Roman"/>
                      <w:color w:val="000000" w:themeColor="text1"/>
                      <w:spacing w:val="-10"/>
                      <w:szCs w:val="21"/>
                      <w14:textFill>
                        <w14:solidFill>
                          <w14:schemeClr w14:val="tx1"/>
                        </w14:solidFill>
                      </w14:textFill>
                    </w:rPr>
                    <w:t>废布袋、</w:t>
                  </w:r>
                  <w:r>
                    <w:rPr>
                      <w:rFonts w:hint="eastAsia" w:ascii="Times New Roman" w:hAnsi="Times New Roman" w:eastAsia="宋体" w:cs="Times New Roman"/>
                      <w:color w:val="000000" w:themeColor="text1"/>
                      <w:szCs w:val="21"/>
                      <w14:textFill>
                        <w14:solidFill>
                          <w14:schemeClr w14:val="tx1"/>
                        </w14:solidFill>
                      </w14:textFill>
                    </w:rPr>
                    <w:t>废离子交换树脂</w:t>
                  </w:r>
                  <w:r>
                    <w:rPr>
                      <w:rFonts w:hint="eastAsia" w:ascii="Times New Roman" w:hAnsi="Times New Roman" w:eastAsia="宋体" w:cs="Times New Roman"/>
                      <w:color w:val="000000" w:themeColor="text1"/>
                      <w:kern w:val="0"/>
                      <w14:textFill>
                        <w14:solidFill>
                          <w14:schemeClr w14:val="tx1"/>
                        </w14:solidFill>
                      </w14:textFill>
                    </w:rPr>
                    <w:t>和废水处理污泥</w:t>
                  </w:r>
                  <w:r>
                    <w:rPr>
                      <w:rFonts w:hint="eastAsia" w:ascii="Times New Roman" w:hAnsi="Times New Roman" w:eastAsia="宋体" w:cs="Times New Roman"/>
                      <w:color w:val="000000" w:themeColor="text1"/>
                      <w14:textFill>
                        <w14:solidFill>
                          <w14:schemeClr w14:val="tx1"/>
                        </w14:solidFill>
                      </w14:textFill>
                    </w:rPr>
                    <w:t>交由一般固废处置单位处理</w:t>
                  </w:r>
                </w:p>
              </w:tc>
            </w:tr>
          </w:tbl>
          <w:p w14:paraId="393E873A">
            <w:pPr>
              <w:spacing w:line="480" w:lineRule="exact"/>
              <w:ind w:firstLine="482" w:firstLineChars="200"/>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3、主要产品及产能</w:t>
            </w:r>
          </w:p>
          <w:p w14:paraId="4AF412DB">
            <w:pPr>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项目的产品、产能及</w:t>
            </w:r>
            <w:r>
              <w:rPr>
                <w:rFonts w:ascii="Times New Roman" w:hAnsi="Times New Roman" w:eastAsia="宋体" w:cs="Times New Roman"/>
                <w:color w:val="000000" w:themeColor="text1"/>
                <w:sz w:val="24"/>
                <w14:textFill>
                  <w14:solidFill>
                    <w14:schemeClr w14:val="tx1"/>
                  </w14:solidFill>
                </w14:textFill>
              </w:rPr>
              <w:t>产量见下表</w:t>
            </w:r>
            <w:r>
              <w:rPr>
                <w:rFonts w:hint="eastAsia" w:ascii="Times New Roman" w:hAnsi="Times New Roman" w:eastAsia="宋体" w:cs="Times New Roman"/>
                <w:color w:val="000000" w:themeColor="text1"/>
                <w:sz w:val="24"/>
                <w14:textFill>
                  <w14:solidFill>
                    <w14:schemeClr w14:val="tx1"/>
                  </w14:solidFill>
                </w14:textFill>
              </w:rPr>
              <w:t>。</w:t>
            </w:r>
          </w:p>
          <w:p w14:paraId="03F78C2B">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表2-</w:t>
            </w:r>
            <w:r>
              <w:rPr>
                <w:rFonts w:hint="eastAsia" w:ascii="Times New Roman" w:hAnsi="Times New Roman" w:eastAsia="宋体" w:cs="Times New Roman"/>
                <w:b/>
                <w:color w:val="000000" w:themeColor="text1"/>
                <w:sz w:val="24"/>
                <w14:textFill>
                  <w14:solidFill>
                    <w14:schemeClr w14:val="tx1"/>
                  </w14:solidFill>
                </w14:textFill>
              </w:rPr>
              <w:t>2</w:t>
            </w:r>
            <w:r>
              <w:rPr>
                <w:rFonts w:ascii="Times New Roman" w:hAnsi="Times New Roman" w:eastAsia="宋体" w:cs="Times New Roman"/>
                <w:b/>
                <w:color w:val="000000" w:themeColor="text1"/>
                <w:sz w:val="24"/>
                <w14:textFill>
                  <w14:solidFill>
                    <w14:schemeClr w14:val="tx1"/>
                  </w14:solidFill>
                </w14:textFill>
              </w:rPr>
              <w:t>项目产品产量一览表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5"/>
              <w:gridCol w:w="950"/>
              <w:gridCol w:w="1600"/>
              <w:gridCol w:w="5004"/>
            </w:tblGrid>
            <w:tr w14:paraId="00F6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6" w:hRule="atLeast"/>
                <w:jc w:val="center"/>
              </w:trPr>
              <w:tc>
                <w:tcPr>
                  <w:tcW w:w="575" w:type="dxa"/>
                  <w:noWrap w:val="0"/>
                  <w:vAlign w:val="center"/>
                </w:tcPr>
                <w:p w14:paraId="5B229DC4">
                  <w:pPr>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序号</w:t>
                  </w:r>
                </w:p>
              </w:tc>
              <w:tc>
                <w:tcPr>
                  <w:tcW w:w="950" w:type="dxa"/>
                  <w:noWrap w:val="0"/>
                  <w:vAlign w:val="center"/>
                </w:tcPr>
                <w:p w14:paraId="22921B35">
                  <w:pPr>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产品名称</w:t>
                  </w:r>
                </w:p>
              </w:tc>
              <w:tc>
                <w:tcPr>
                  <w:tcW w:w="1600" w:type="dxa"/>
                  <w:noWrap w:val="0"/>
                  <w:vAlign w:val="center"/>
                </w:tcPr>
                <w:p w14:paraId="02F49010">
                  <w:pPr>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年产量（万套/a）</w:t>
                  </w:r>
                </w:p>
              </w:tc>
              <w:tc>
                <w:tcPr>
                  <w:tcW w:w="5004" w:type="dxa"/>
                  <w:noWrap w:val="0"/>
                  <w:vAlign w:val="center"/>
                </w:tcPr>
                <w:p w14:paraId="1E48174B">
                  <w:pPr>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备注</w:t>
                  </w:r>
                </w:p>
              </w:tc>
            </w:tr>
            <w:tr w14:paraId="2F60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75" w:type="dxa"/>
                  <w:noWrap w:val="0"/>
                  <w:vAlign w:val="center"/>
                </w:tcPr>
                <w:p w14:paraId="57A5741D">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c>
                <w:tcPr>
                  <w:tcW w:w="950" w:type="dxa"/>
                  <w:noWrap w:val="0"/>
                  <w:vAlign w:val="center"/>
                </w:tcPr>
                <w:p w14:paraId="73710352">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洗涤被服</w:t>
                  </w:r>
                </w:p>
              </w:tc>
              <w:tc>
                <w:tcPr>
                  <w:tcW w:w="1600" w:type="dxa"/>
                  <w:noWrap w:val="0"/>
                  <w:vAlign w:val="center"/>
                </w:tcPr>
                <w:p w14:paraId="447C4344">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62万套被服和26万套台布</w:t>
                  </w:r>
                </w:p>
              </w:tc>
              <w:tc>
                <w:tcPr>
                  <w:tcW w:w="5004" w:type="dxa"/>
                  <w:noWrap w:val="0"/>
                  <w:vAlign w:val="center"/>
                </w:tcPr>
                <w:p w14:paraId="39414622">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1个床单、1床被套、2个枕套、1个面巾、1个浴巾为一套被服；1张桌面的大布、6张桌裙（台裙）、1张口布（餐巾）、1张桌旗（台旗）为一套台布</w:t>
                  </w:r>
                  <w:r>
                    <w:rPr>
                      <w:rFonts w:hint="eastAsia" w:ascii="宋体" w:hAnsi="宋体" w:eastAsia="宋体" w:cs="宋体"/>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被服和台布来源为湛江市区，且仅霞山区酒店及宾馆就多达170家以上，可满足本项目洗涤规模</w:t>
                  </w:r>
                </w:p>
              </w:tc>
            </w:tr>
          </w:tbl>
          <w:p w14:paraId="5376F2E4">
            <w:pPr>
              <w:spacing w:line="480" w:lineRule="exact"/>
              <w:ind w:right="170" w:firstLine="472" w:firstLineChars="196"/>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主要原辅材料</w:t>
            </w:r>
          </w:p>
          <w:p w14:paraId="574E5011">
            <w:pPr>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根据原有项目的环保资料以及建设单位提供的资料，项目的原辅材料用量如下表所示。</w:t>
            </w:r>
          </w:p>
          <w:p w14:paraId="3327FF6F">
            <w:pPr>
              <w:adjustRightInd w:val="0"/>
              <w:snapToGrid w:val="0"/>
              <w:spacing w:line="480" w:lineRule="exact"/>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表2-3项目生产使用的</w:t>
            </w:r>
            <w:r>
              <w:rPr>
                <w:rFonts w:ascii="Times New Roman" w:hAnsi="Times New Roman" w:eastAsia="宋体" w:cs="Times New Roman"/>
                <w:b/>
                <w:color w:val="000000" w:themeColor="text1"/>
                <w:kern w:val="0"/>
                <w:sz w:val="24"/>
                <w14:textFill>
                  <w14:solidFill>
                    <w14:schemeClr w14:val="tx1"/>
                  </w14:solidFill>
                </w14:textFill>
              </w:rPr>
              <w:t>主要原辅材料</w:t>
            </w:r>
            <w:r>
              <w:rPr>
                <w:rFonts w:hint="eastAsia" w:ascii="Times New Roman" w:hAnsi="Times New Roman" w:eastAsia="宋体" w:cs="Times New Roman"/>
                <w:b/>
                <w:color w:val="000000" w:themeColor="text1"/>
                <w:sz w:val="24"/>
                <w14:textFill>
                  <w14:solidFill>
                    <w14:schemeClr w14:val="tx1"/>
                  </w14:solidFill>
                </w14:textFill>
              </w:rPr>
              <w:t>一览表</w:t>
            </w:r>
          </w:p>
          <w:tbl>
            <w:tblPr>
              <w:tblStyle w:val="3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877"/>
              <w:gridCol w:w="1021"/>
              <w:gridCol w:w="1342"/>
              <w:gridCol w:w="1342"/>
              <w:gridCol w:w="1346"/>
              <w:gridCol w:w="745"/>
            </w:tblGrid>
            <w:tr w14:paraId="5CDB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pct"/>
                  <w:noWrap w:val="0"/>
                  <w:vAlign w:val="center"/>
                </w:tcPr>
                <w:p w14:paraId="13BA458A">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snapToGrid w:val="0"/>
                      <w:color w:val="000000" w:themeColor="text1"/>
                      <w:kern w:val="0"/>
                      <w:szCs w:val="21"/>
                      <w14:textFill>
                        <w14:solidFill>
                          <w14:schemeClr w14:val="tx1"/>
                        </w14:solidFill>
                      </w14:textFill>
                    </w:rPr>
                    <w:t>序号</w:t>
                  </w:r>
                </w:p>
              </w:tc>
              <w:tc>
                <w:tcPr>
                  <w:tcW w:w="1116" w:type="pct"/>
                  <w:noWrap w:val="0"/>
                  <w:vAlign w:val="center"/>
                </w:tcPr>
                <w:p w14:paraId="38C30939">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snapToGrid w:val="0"/>
                      <w:color w:val="000000" w:themeColor="text1"/>
                      <w:kern w:val="0"/>
                      <w:szCs w:val="21"/>
                      <w14:textFill>
                        <w14:solidFill>
                          <w14:schemeClr w14:val="tx1"/>
                        </w14:solidFill>
                      </w14:textFill>
                    </w:rPr>
                    <w:t>名称</w:t>
                  </w:r>
                </w:p>
              </w:tc>
              <w:tc>
                <w:tcPr>
                  <w:tcW w:w="607" w:type="pct"/>
                  <w:noWrap w:val="0"/>
                  <w:vAlign w:val="center"/>
                </w:tcPr>
                <w:p w14:paraId="25E9DE38">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年用量（t/a）</w:t>
                  </w:r>
                </w:p>
              </w:tc>
              <w:tc>
                <w:tcPr>
                  <w:tcW w:w="798" w:type="pct"/>
                  <w:noWrap w:val="0"/>
                  <w:vAlign w:val="center"/>
                </w:tcPr>
                <w:p w14:paraId="0B27D76D">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形态</w:t>
                  </w:r>
                </w:p>
              </w:tc>
              <w:tc>
                <w:tcPr>
                  <w:tcW w:w="798" w:type="pct"/>
                  <w:noWrap w:val="0"/>
                  <w:vAlign w:val="center"/>
                </w:tcPr>
                <w:p w14:paraId="56810BF5">
                  <w:pPr>
                    <w:adjustRightInd w:val="0"/>
                    <w:snapToGrid w:val="0"/>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规格</w:t>
                  </w:r>
                </w:p>
              </w:tc>
              <w:tc>
                <w:tcPr>
                  <w:tcW w:w="800" w:type="pct"/>
                  <w:noWrap w:val="0"/>
                  <w:vAlign w:val="center"/>
                </w:tcPr>
                <w:p w14:paraId="500D9743">
                  <w:pPr>
                    <w:adjustRightInd w:val="0"/>
                    <w:snapToGrid w:val="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最大储存量（t/a）</w:t>
                  </w:r>
                </w:p>
              </w:tc>
              <w:tc>
                <w:tcPr>
                  <w:tcW w:w="443" w:type="pct"/>
                  <w:noWrap w:val="0"/>
                  <w:vAlign w:val="center"/>
                </w:tcPr>
                <w:p w14:paraId="19204391">
                  <w:pPr>
                    <w:adjustRightInd w:val="0"/>
                    <w:snapToGrid w:val="0"/>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位置</w:t>
                  </w:r>
                </w:p>
              </w:tc>
            </w:tr>
            <w:tr w14:paraId="47C3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pct"/>
                  <w:noWrap w:val="0"/>
                  <w:vAlign w:val="center"/>
                </w:tcPr>
                <w:p w14:paraId="05D1D885">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c>
                <w:tcPr>
                  <w:tcW w:w="1116" w:type="pct"/>
                  <w:noWrap w:val="0"/>
                  <w:vAlign w:val="center"/>
                </w:tcPr>
                <w:p w14:paraId="6540C985">
                  <w:pPr>
                    <w:adjustRightInd w:val="0"/>
                    <w:snapToGrid w:val="0"/>
                    <w:jc w:val="center"/>
                    <w:rPr>
                      <w:rFonts w:ascii="Times New Roman" w:hAnsi="Times New Roman" w:eastAsia="宋体" w:cs="Times New Roman"/>
                      <w:color w:val="000000" w:themeColor="text1"/>
                      <w:kern w:val="28"/>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生物质成型燃料</w:t>
                  </w:r>
                </w:p>
              </w:tc>
              <w:tc>
                <w:tcPr>
                  <w:tcW w:w="607" w:type="pct"/>
                  <w:noWrap w:val="0"/>
                  <w:vAlign w:val="center"/>
                </w:tcPr>
                <w:p w14:paraId="3C89878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1083.35</w:t>
                  </w:r>
                </w:p>
              </w:tc>
              <w:tc>
                <w:tcPr>
                  <w:tcW w:w="798" w:type="pct"/>
                  <w:noWrap w:val="0"/>
                  <w:vAlign w:val="center"/>
                </w:tcPr>
                <w:p w14:paraId="08BE4AE9">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颗粒固态</w:t>
                  </w:r>
                </w:p>
              </w:tc>
              <w:tc>
                <w:tcPr>
                  <w:tcW w:w="798" w:type="pct"/>
                  <w:noWrap w:val="0"/>
                  <w:vAlign w:val="center"/>
                </w:tcPr>
                <w:p w14:paraId="5199CEC9">
                  <w:pPr>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袋装</w:t>
                  </w:r>
                </w:p>
              </w:tc>
              <w:tc>
                <w:tcPr>
                  <w:tcW w:w="800" w:type="pct"/>
                  <w:noWrap w:val="0"/>
                  <w:vAlign w:val="center"/>
                </w:tcPr>
                <w:p w14:paraId="25C81F1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30</w:t>
                  </w:r>
                </w:p>
              </w:tc>
              <w:tc>
                <w:tcPr>
                  <w:tcW w:w="443" w:type="pct"/>
                  <w:noWrap w:val="0"/>
                  <w:vAlign w:val="center"/>
                </w:tcPr>
                <w:p w14:paraId="2BCE7A03">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燃料仓</w:t>
                  </w:r>
                </w:p>
              </w:tc>
            </w:tr>
            <w:tr w14:paraId="5CB6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pct"/>
                  <w:noWrap w:val="0"/>
                  <w:vAlign w:val="center"/>
                </w:tcPr>
                <w:p w14:paraId="0A79E611">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p>
              </w:tc>
              <w:tc>
                <w:tcPr>
                  <w:tcW w:w="1116" w:type="pct"/>
                  <w:noWrap w:val="0"/>
                  <w:vAlign w:val="center"/>
                </w:tcPr>
                <w:p w14:paraId="254B669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无磷洗衣粉（液）</w:t>
                  </w:r>
                </w:p>
              </w:tc>
              <w:tc>
                <w:tcPr>
                  <w:tcW w:w="607" w:type="pct"/>
                  <w:noWrap w:val="0"/>
                  <w:vAlign w:val="center"/>
                </w:tcPr>
                <w:p w14:paraId="0E0983A6">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w:t>
                  </w:r>
                </w:p>
              </w:tc>
              <w:tc>
                <w:tcPr>
                  <w:tcW w:w="798" w:type="pct"/>
                  <w:noWrap w:val="0"/>
                  <w:vAlign w:val="center"/>
                </w:tcPr>
                <w:p w14:paraId="57E27941">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颗粒固态</w:t>
                  </w:r>
                </w:p>
              </w:tc>
              <w:tc>
                <w:tcPr>
                  <w:tcW w:w="798" w:type="pct"/>
                  <w:noWrap w:val="0"/>
                  <w:vAlign w:val="center"/>
                </w:tcPr>
                <w:p w14:paraId="6F08AF6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袋装，25kg/包</w:t>
                  </w:r>
                </w:p>
              </w:tc>
              <w:tc>
                <w:tcPr>
                  <w:tcW w:w="800" w:type="pct"/>
                  <w:noWrap w:val="0"/>
                  <w:vAlign w:val="center"/>
                </w:tcPr>
                <w:p w14:paraId="764F04F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0.5</w:t>
                  </w:r>
                </w:p>
              </w:tc>
              <w:tc>
                <w:tcPr>
                  <w:tcW w:w="443" w:type="pct"/>
                  <w:vMerge w:val="restart"/>
                  <w:noWrap w:val="0"/>
                  <w:vAlign w:val="center"/>
                </w:tcPr>
                <w:p w14:paraId="54399991">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仓库</w:t>
                  </w:r>
                </w:p>
              </w:tc>
            </w:tr>
            <w:tr w14:paraId="14DC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434" w:type="pct"/>
                  <w:noWrap w:val="0"/>
                  <w:vAlign w:val="center"/>
                </w:tcPr>
                <w:p w14:paraId="16C19E46">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p>
              </w:tc>
              <w:tc>
                <w:tcPr>
                  <w:tcW w:w="1116" w:type="pct"/>
                  <w:noWrap w:val="0"/>
                  <w:vAlign w:val="center"/>
                </w:tcPr>
                <w:p w14:paraId="645B91D5">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助洗剂</w:t>
                  </w:r>
                </w:p>
              </w:tc>
              <w:tc>
                <w:tcPr>
                  <w:tcW w:w="607" w:type="pct"/>
                  <w:noWrap w:val="0"/>
                  <w:vAlign w:val="center"/>
                </w:tcPr>
                <w:p w14:paraId="7B98F05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2.5</w:t>
                  </w:r>
                </w:p>
              </w:tc>
              <w:tc>
                <w:tcPr>
                  <w:tcW w:w="798" w:type="pct"/>
                  <w:noWrap w:val="0"/>
                  <w:vAlign w:val="center"/>
                </w:tcPr>
                <w:p w14:paraId="640E7258">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液态</w:t>
                  </w:r>
                </w:p>
              </w:tc>
              <w:tc>
                <w:tcPr>
                  <w:tcW w:w="798" w:type="pct"/>
                  <w:noWrap w:val="0"/>
                  <w:vAlign w:val="center"/>
                </w:tcPr>
                <w:p w14:paraId="372524C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桶装，40kg/桶</w:t>
                  </w:r>
                </w:p>
              </w:tc>
              <w:tc>
                <w:tcPr>
                  <w:tcW w:w="800" w:type="pct"/>
                  <w:noWrap w:val="0"/>
                  <w:vAlign w:val="center"/>
                </w:tcPr>
                <w:p w14:paraId="60DFF69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0.2</w:t>
                  </w:r>
                </w:p>
              </w:tc>
              <w:tc>
                <w:tcPr>
                  <w:tcW w:w="443" w:type="pct"/>
                  <w:vMerge w:val="continue"/>
                  <w:noWrap w:val="0"/>
                  <w:vAlign w:val="center"/>
                </w:tcPr>
                <w:p w14:paraId="39147771">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r>
            <w:tr w14:paraId="0AA8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pct"/>
                  <w:noWrap w:val="0"/>
                  <w:vAlign w:val="center"/>
                </w:tcPr>
                <w:p w14:paraId="4EE3E3A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p>
              </w:tc>
              <w:tc>
                <w:tcPr>
                  <w:tcW w:w="1116" w:type="pct"/>
                  <w:noWrap w:val="0"/>
                  <w:vAlign w:val="center"/>
                </w:tcPr>
                <w:p w14:paraId="779BA138">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消毒剂（氯间二甲基苯酚）</w:t>
                  </w:r>
                </w:p>
              </w:tc>
              <w:tc>
                <w:tcPr>
                  <w:tcW w:w="607" w:type="pct"/>
                  <w:noWrap w:val="0"/>
                  <w:vAlign w:val="center"/>
                </w:tcPr>
                <w:p w14:paraId="2D8B1E7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7.5</w:t>
                  </w:r>
                </w:p>
              </w:tc>
              <w:tc>
                <w:tcPr>
                  <w:tcW w:w="798" w:type="pct"/>
                  <w:noWrap w:val="0"/>
                  <w:vAlign w:val="center"/>
                </w:tcPr>
                <w:p w14:paraId="7ECE4678">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液态</w:t>
                  </w:r>
                </w:p>
              </w:tc>
              <w:tc>
                <w:tcPr>
                  <w:tcW w:w="798" w:type="pct"/>
                  <w:noWrap w:val="0"/>
                  <w:vAlign w:val="center"/>
                </w:tcPr>
                <w:p w14:paraId="5E5D0B63">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桶装，40kg/桶</w:t>
                  </w:r>
                </w:p>
              </w:tc>
              <w:tc>
                <w:tcPr>
                  <w:tcW w:w="800" w:type="pct"/>
                  <w:noWrap w:val="0"/>
                  <w:vAlign w:val="center"/>
                </w:tcPr>
                <w:p w14:paraId="305C91B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0.6</w:t>
                  </w:r>
                </w:p>
              </w:tc>
              <w:tc>
                <w:tcPr>
                  <w:tcW w:w="443" w:type="pct"/>
                  <w:vMerge w:val="continue"/>
                  <w:noWrap w:val="0"/>
                  <w:vAlign w:val="center"/>
                </w:tcPr>
                <w:p w14:paraId="1750CAA4">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r>
            <w:tr w14:paraId="2423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 w:type="pct"/>
                  <w:noWrap w:val="0"/>
                  <w:vAlign w:val="center"/>
                </w:tcPr>
                <w:p w14:paraId="279AD992">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5</w:t>
                  </w:r>
                </w:p>
              </w:tc>
              <w:tc>
                <w:tcPr>
                  <w:tcW w:w="1116" w:type="pct"/>
                  <w:noWrap w:val="0"/>
                  <w:vAlign w:val="center"/>
                </w:tcPr>
                <w:p w14:paraId="2411EC51">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柴油</w:t>
                  </w:r>
                </w:p>
              </w:tc>
              <w:tc>
                <w:tcPr>
                  <w:tcW w:w="607" w:type="pct"/>
                  <w:noWrap w:val="0"/>
                  <w:vAlign w:val="center"/>
                </w:tcPr>
                <w:p w14:paraId="1AEAF4C1">
                  <w:pPr>
                    <w:adjustRightInd w:val="0"/>
                    <w:snapToGri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w:t>
                  </w:r>
                  <w:r>
                    <w:rPr>
                      <w:rFonts w:hint="eastAsia" w:ascii="Times New Roman" w:hAnsi="Times New Roman" w:eastAsia="宋体" w:cs="Times New Roman"/>
                      <w:color w:val="000000" w:themeColor="text1"/>
                      <w:szCs w:val="21"/>
                      <w:lang w:val="en-US" w:eastAsia="zh-CN"/>
                      <w14:textFill>
                        <w14:solidFill>
                          <w14:schemeClr w14:val="tx1"/>
                        </w14:solidFill>
                      </w14:textFill>
                    </w:rPr>
                    <w:t>632</w:t>
                  </w:r>
                </w:p>
              </w:tc>
              <w:tc>
                <w:tcPr>
                  <w:tcW w:w="798" w:type="pct"/>
                  <w:noWrap w:val="0"/>
                  <w:vAlign w:val="center"/>
                </w:tcPr>
                <w:p w14:paraId="3E188CA5">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液态</w:t>
                  </w:r>
                </w:p>
              </w:tc>
              <w:tc>
                <w:tcPr>
                  <w:tcW w:w="798" w:type="pct"/>
                  <w:noWrap w:val="0"/>
                  <w:vAlign w:val="center"/>
                </w:tcPr>
                <w:p w14:paraId="142A6E3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罐装</w:t>
                  </w:r>
                </w:p>
              </w:tc>
              <w:tc>
                <w:tcPr>
                  <w:tcW w:w="800" w:type="pct"/>
                  <w:noWrap w:val="0"/>
                  <w:vAlign w:val="center"/>
                </w:tcPr>
                <w:p w14:paraId="2B6D079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w:t>
                  </w:r>
                </w:p>
              </w:tc>
              <w:tc>
                <w:tcPr>
                  <w:tcW w:w="443" w:type="pct"/>
                  <w:vMerge w:val="continue"/>
                  <w:noWrap w:val="0"/>
                  <w:vAlign w:val="center"/>
                </w:tcPr>
                <w:p w14:paraId="1B2BD0EB">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r>
          </w:tbl>
          <w:p w14:paraId="611BD7EA">
            <w:pPr>
              <w:adjustRightInd w:val="0"/>
              <w:snapToGrid w:val="0"/>
              <w:spacing w:line="480" w:lineRule="exact"/>
              <w:jc w:val="center"/>
              <w:rPr>
                <w:rFonts w:hint="eastAsia"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表2-4主要成分及理化性质一览表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132"/>
              <w:gridCol w:w="6568"/>
            </w:tblGrid>
            <w:tr w14:paraId="0128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9" w:type="pct"/>
                  <w:noWrap w:val="0"/>
                  <w:vAlign w:val="center"/>
                </w:tcPr>
                <w:p w14:paraId="501C6481">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序号</w:t>
                  </w:r>
                </w:p>
              </w:tc>
              <w:tc>
                <w:tcPr>
                  <w:tcW w:w="673" w:type="pct"/>
                  <w:noWrap w:val="0"/>
                  <w:vAlign w:val="center"/>
                </w:tcPr>
                <w:p w14:paraId="4DF26BD1">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名称</w:t>
                  </w:r>
                </w:p>
              </w:tc>
              <w:tc>
                <w:tcPr>
                  <w:tcW w:w="3906" w:type="pct"/>
                  <w:noWrap w:val="0"/>
                  <w:vAlign w:val="center"/>
                </w:tcPr>
                <w:p w14:paraId="2D09944E">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理化性质</w:t>
                  </w:r>
                </w:p>
              </w:tc>
            </w:tr>
            <w:tr w14:paraId="4491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07D5750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w:t>
                  </w:r>
                </w:p>
              </w:tc>
              <w:tc>
                <w:tcPr>
                  <w:tcW w:w="673" w:type="pct"/>
                  <w:noWrap w:val="0"/>
                  <w:vAlign w:val="center"/>
                </w:tcPr>
                <w:p w14:paraId="3D2A252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生物质成型燃料</w:t>
                  </w:r>
                </w:p>
              </w:tc>
              <w:tc>
                <w:tcPr>
                  <w:tcW w:w="3906" w:type="pct"/>
                  <w:noWrap w:val="0"/>
                  <w:vAlign w:val="center"/>
                </w:tcPr>
                <w:p w14:paraId="454FB084">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是指主要以农林剩余物为原料，通过专门设备，经粉碎、混合、挤压、烘干等工艺加工制成的颗粒状生物质燃料。成型燃料较散装生物质燃料发热量多、热能利用率高。本项目生物质燃料采用袋包装，由运输车运至项目燃料仓。本项目锅炉使用的生物质燃料成分检测报告详见附件</w:t>
                  </w:r>
                  <w:r>
                    <w:rPr>
                      <w:rFonts w:hint="eastAsia" w:ascii="Times New Roman" w:hAnsi="Times New Roman" w:eastAsia="宋体" w:cs="Times New Roman"/>
                      <w:color w:val="000000" w:themeColor="text1"/>
                      <w:szCs w:val="21"/>
                      <w14:textFill>
                        <w14:solidFill>
                          <w14:schemeClr w14:val="tx1"/>
                        </w14:solidFill>
                      </w14:textFill>
                    </w:rPr>
                    <w:t>7</w:t>
                  </w:r>
                  <w:r>
                    <w:rPr>
                      <w:rFonts w:ascii="Times New Roman" w:hAnsi="Times New Roman" w:eastAsia="宋体" w:cs="Times New Roman"/>
                      <w:color w:val="000000" w:themeColor="text1"/>
                      <w:szCs w:val="21"/>
                      <w14:textFill>
                        <w14:solidFill>
                          <w14:schemeClr w14:val="tx1"/>
                        </w14:solidFill>
                      </w14:textFill>
                    </w:rPr>
                    <w:t>。</w:t>
                  </w:r>
                </w:p>
              </w:tc>
            </w:tr>
            <w:tr w14:paraId="241C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28CC06B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w:t>
                  </w:r>
                </w:p>
              </w:tc>
              <w:tc>
                <w:tcPr>
                  <w:tcW w:w="673" w:type="pct"/>
                  <w:noWrap w:val="0"/>
                  <w:vAlign w:val="center"/>
                </w:tcPr>
                <w:p w14:paraId="44F4FEB2">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无磷洗衣粉（液）</w:t>
                  </w:r>
                </w:p>
              </w:tc>
              <w:tc>
                <w:tcPr>
                  <w:tcW w:w="3906" w:type="pct"/>
                  <w:noWrap w:val="0"/>
                  <w:vAlign w:val="center"/>
                </w:tcPr>
                <w:p w14:paraId="75D1BB7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shd w:val="clear" w:color="auto" w:fill="FFFFFF"/>
                      <w14:textFill>
                        <w14:solidFill>
                          <w14:schemeClr w14:val="tx1"/>
                        </w14:solidFill>
                      </w14:textFill>
                    </w:rPr>
                    <w:t>洗衣粉是以阴离子表面活性剂、烷基苯磺酸钠为主成分，辅以少量非离子表面活性剂的碱性粉状合成洗涤剂，含有硅酸盐、元明粉、荧光剂、酶等助剂。无磷</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begin"/>
                  </w:r>
                  <w:r>
                    <w:rPr>
                      <w:rFonts w:ascii="Times New Roman" w:hAnsi="Times New Roman" w:eastAsia="宋体" w:cs="Times New Roman"/>
                      <w:color w:val="000000" w:themeColor="text1"/>
                      <w:szCs w:val="21"/>
                      <w:shd w:val="clear" w:color="auto" w:fill="FFFFFF"/>
                      <w14:textFill>
                        <w14:solidFill>
                          <w14:schemeClr w14:val="tx1"/>
                        </w14:solidFill>
                      </w14:textFill>
                    </w:rPr>
                    <w:instrText xml:space="preserve"> HYPERLINK "https://baike.baidu.com/item/%E6%B4%97%E8%A1%A3%E7%B2%89/2279?fromModule=lemma_inlink" \t "https://baike.baidu.com/item/%E6%97%A0%E7%A3%B7%E6%B4%97%E8%A1%A3%E7%B2%89/_blank" </w:instrTex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separate"/>
                  </w:r>
                  <w:r>
                    <w:rPr>
                      <w:rFonts w:ascii="Times New Roman" w:hAnsi="Times New Roman" w:eastAsia="宋体" w:cs="Times New Roman"/>
                      <w:color w:val="000000" w:themeColor="text1"/>
                      <w:szCs w:val="21"/>
                      <w:shd w:val="clear" w:color="auto" w:fill="FFFFFF"/>
                      <w14:textFill>
                        <w14:solidFill>
                          <w14:schemeClr w14:val="tx1"/>
                        </w14:solidFill>
                      </w14:textFill>
                    </w:rPr>
                    <w:t>洗衣粉</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end"/>
                  </w:r>
                  <w:r>
                    <w:rPr>
                      <w:rFonts w:ascii="Times New Roman" w:hAnsi="Times New Roman" w:eastAsia="宋体" w:cs="Times New Roman"/>
                      <w:color w:val="000000" w:themeColor="text1"/>
                      <w:szCs w:val="21"/>
                      <w:shd w:val="clear" w:color="auto" w:fill="FFFFFF"/>
                      <w14:textFill>
                        <w14:solidFill>
                          <w14:schemeClr w14:val="tx1"/>
                        </w14:solidFill>
                      </w14:textFill>
                    </w:rPr>
                    <w:t>就是指没有添加磷P的洗衣粉。无磷洗衣粉是通过</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begin"/>
                  </w:r>
                  <w:r>
                    <w:rPr>
                      <w:rFonts w:ascii="Times New Roman" w:hAnsi="Times New Roman" w:eastAsia="宋体" w:cs="Times New Roman"/>
                      <w:color w:val="000000" w:themeColor="text1"/>
                      <w:szCs w:val="21"/>
                      <w:shd w:val="clear" w:color="auto" w:fill="FFFFFF"/>
                      <w14:textFill>
                        <w14:solidFill>
                          <w14:schemeClr w14:val="tx1"/>
                        </w14:solidFill>
                      </w14:textFill>
                    </w:rPr>
                    <w:instrText xml:space="preserve"> HYPERLINK "https://baike.baidu.com/item/4A%E6%B2%B8%E7%9F%B3/914330?fromModule=lemma_inlink" \t "https://baike.baidu.com/item/%E6%97%A0%E7%A3%B7%E6%B4%97%E8%A1%A3%E7%B2%89/_blank" </w:instrTex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separate"/>
                  </w:r>
                  <w:r>
                    <w:rPr>
                      <w:rFonts w:ascii="Times New Roman" w:hAnsi="Times New Roman" w:eastAsia="宋体" w:cs="Times New Roman"/>
                      <w:color w:val="000000" w:themeColor="text1"/>
                      <w:szCs w:val="21"/>
                      <w:shd w:val="clear" w:color="auto" w:fill="FFFFFF"/>
                      <w14:textFill>
                        <w14:solidFill>
                          <w14:schemeClr w14:val="tx1"/>
                        </w14:solidFill>
                      </w14:textFill>
                    </w:rPr>
                    <w:t>4A沸石</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end"/>
                  </w:r>
                  <w:r>
                    <w:rPr>
                      <w:rFonts w:ascii="Times New Roman" w:hAnsi="Times New Roman" w:eastAsia="宋体" w:cs="Times New Roman"/>
                      <w:color w:val="000000" w:themeColor="text1"/>
                      <w:szCs w:val="21"/>
                      <w:shd w:val="clear" w:color="auto" w:fill="FFFFFF"/>
                      <w14:textFill>
                        <w14:solidFill>
                          <w14:schemeClr w14:val="tx1"/>
                        </w14:solidFill>
                      </w14:textFill>
                    </w:rPr>
                    <w:t>等不含磷的物质做</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begin"/>
                  </w:r>
                  <w:r>
                    <w:rPr>
                      <w:rFonts w:ascii="Times New Roman" w:hAnsi="Times New Roman" w:eastAsia="宋体" w:cs="Times New Roman"/>
                      <w:color w:val="000000" w:themeColor="text1"/>
                      <w:szCs w:val="21"/>
                      <w:shd w:val="clear" w:color="auto" w:fill="FFFFFF"/>
                      <w14:textFill>
                        <w14:solidFill>
                          <w14:schemeClr w14:val="tx1"/>
                        </w14:solidFill>
                      </w14:textFill>
                    </w:rPr>
                    <w:instrText xml:space="preserve"> HYPERLINK "https://baike.baidu.com/item/%E5%8A%A9%E6%B4%97%E5%89%82/1758086?fromModule=lemma_inlink" \t "https://baike.baidu.com/item/%E6%97%A0%E7%A3%B7%E6%B4%97%E8%A1%A3%E7%B2%89/_blank" </w:instrTex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separate"/>
                  </w:r>
                  <w:r>
                    <w:rPr>
                      <w:rFonts w:ascii="Times New Roman" w:hAnsi="Times New Roman" w:eastAsia="宋体" w:cs="Times New Roman"/>
                      <w:color w:val="000000" w:themeColor="text1"/>
                      <w:szCs w:val="21"/>
                      <w:shd w:val="clear" w:color="auto" w:fill="FFFFFF"/>
                      <w14:textFill>
                        <w14:solidFill>
                          <w14:schemeClr w14:val="tx1"/>
                        </w14:solidFill>
                      </w14:textFill>
                    </w:rPr>
                    <w:t>助洗剂</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end"/>
                  </w:r>
                  <w:r>
                    <w:rPr>
                      <w:rFonts w:ascii="Times New Roman" w:hAnsi="Times New Roman" w:eastAsia="宋体" w:cs="Times New Roman"/>
                      <w:color w:val="000000" w:themeColor="text1"/>
                      <w:szCs w:val="21"/>
                      <w:shd w:val="clear" w:color="auto" w:fill="FFFFFF"/>
                      <w14:textFill>
                        <w14:solidFill>
                          <w14:schemeClr w14:val="tx1"/>
                        </w14:solidFill>
                      </w14:textFill>
                    </w:rPr>
                    <w:t>，减少了含磷污水的排放，有利于</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begin"/>
                  </w:r>
                  <w:r>
                    <w:rPr>
                      <w:rFonts w:ascii="Times New Roman" w:hAnsi="Times New Roman" w:eastAsia="宋体" w:cs="Times New Roman"/>
                      <w:color w:val="000000" w:themeColor="text1"/>
                      <w:szCs w:val="21"/>
                      <w:shd w:val="clear" w:color="auto" w:fill="FFFFFF"/>
                      <w14:textFill>
                        <w14:solidFill>
                          <w14:schemeClr w14:val="tx1"/>
                        </w14:solidFill>
                      </w14:textFill>
                    </w:rPr>
                    <w:instrText xml:space="preserve"> HYPERLINK "https://baike.baidu.com/item/%E7%94%9F%E6%80%81%E7%8E%AF%E5%A2%83/84119?fromModule=lemma_inlink" \t "https://baike.baidu.com/item/%E6%97%A0%E7%A3%B7%E6%B4%97%E8%A1%A3%E7%B2%89/_blank" </w:instrTex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separate"/>
                  </w:r>
                  <w:r>
                    <w:rPr>
                      <w:rFonts w:ascii="Times New Roman" w:hAnsi="Times New Roman" w:eastAsia="宋体" w:cs="Times New Roman"/>
                      <w:color w:val="000000" w:themeColor="text1"/>
                      <w:szCs w:val="21"/>
                      <w:shd w:val="clear" w:color="auto" w:fill="FFFFFF"/>
                      <w14:textFill>
                        <w14:solidFill>
                          <w14:schemeClr w14:val="tx1"/>
                        </w14:solidFill>
                      </w14:textFill>
                    </w:rPr>
                    <w:t>生态环境</w:t>
                  </w:r>
                  <w:r>
                    <w:rPr>
                      <w:rFonts w:ascii="Times New Roman" w:hAnsi="Times New Roman" w:eastAsia="宋体" w:cs="Times New Roman"/>
                      <w:color w:val="000000" w:themeColor="text1"/>
                      <w:szCs w:val="21"/>
                      <w:shd w:val="clear" w:color="auto" w:fill="FFFFFF"/>
                      <w14:textFill>
                        <w14:solidFill>
                          <w14:schemeClr w14:val="tx1"/>
                        </w14:solidFill>
                      </w14:textFill>
                    </w:rPr>
                    <w:fldChar w:fldCharType="end"/>
                  </w:r>
                  <w:r>
                    <w:rPr>
                      <w:rFonts w:ascii="Times New Roman" w:hAnsi="Times New Roman" w:eastAsia="宋体" w:cs="Times New Roman"/>
                      <w:color w:val="000000" w:themeColor="text1"/>
                      <w:szCs w:val="21"/>
                      <w:shd w:val="clear" w:color="auto" w:fill="FFFFFF"/>
                      <w14:textFill>
                        <w14:solidFill>
                          <w14:schemeClr w14:val="tx1"/>
                        </w14:solidFill>
                      </w14:textFill>
                    </w:rPr>
                    <w:t>的维持。</w:t>
                  </w:r>
                </w:p>
              </w:tc>
            </w:tr>
            <w:tr w14:paraId="3A2F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156B437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3</w:t>
                  </w:r>
                </w:p>
              </w:tc>
              <w:tc>
                <w:tcPr>
                  <w:tcW w:w="673" w:type="pct"/>
                  <w:noWrap w:val="0"/>
                  <w:vAlign w:val="center"/>
                </w:tcPr>
                <w:p w14:paraId="6D980EBC">
                  <w:pPr>
                    <w:adjustRightInd w:val="0"/>
                    <w:snapToGrid w:val="0"/>
                    <w:jc w:val="center"/>
                    <w:rPr>
                      <w:rFonts w:ascii="Times New Roman" w:hAnsi="Times New Roman" w:eastAsia="宋体" w:cs="Times New Roman"/>
                      <w:color w:val="000000" w:themeColor="text1"/>
                      <w:kern w:val="28"/>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漂白剂（双氧水）</w:t>
                  </w:r>
                </w:p>
              </w:tc>
              <w:tc>
                <w:tcPr>
                  <w:tcW w:w="3906" w:type="pct"/>
                  <w:noWrap w:val="0"/>
                  <w:vAlign w:val="center"/>
                </w:tcPr>
                <w:p w14:paraId="5DAFD19B">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化学式为H</w:t>
                  </w:r>
                  <w:r>
                    <w:rPr>
                      <w:rFonts w:ascii="Times New Roman" w:hAnsi="Times New Roman" w:eastAsia="宋体" w:cs="Times New Roman"/>
                      <w:color w:val="000000" w:themeColor="text1"/>
                      <w:szCs w:val="21"/>
                      <w:vertAlign w:val="subscript"/>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O</w:t>
                  </w:r>
                  <w:r>
                    <w:rPr>
                      <w:rFonts w:ascii="Times New Roman" w:hAnsi="Times New Roman" w:eastAsia="宋体" w:cs="Times New Roman"/>
                      <w:color w:val="000000" w:themeColor="text1"/>
                      <w:szCs w:val="21"/>
                      <w:vertAlign w:val="subscript"/>
                      <w14:textFill>
                        <w14:solidFill>
                          <w14:schemeClr w14:val="tx1"/>
                        </w14:solidFill>
                      </w14:textFill>
                    </w:rPr>
                    <w:t>2</w:t>
                  </w:r>
                  <w:r>
                    <w:rPr>
                      <w:rFonts w:ascii="Times New Roman" w:hAnsi="Times New Roman" w:eastAsia="宋体" w:cs="Times New Roman"/>
                      <w:color w:val="000000" w:themeColor="text1"/>
                      <w:szCs w:val="21"/>
                      <w14:textFill>
                        <w14:solidFill>
                          <w14:schemeClr w14:val="tx1"/>
                        </w14:solidFill>
                      </w14:textFill>
                    </w:rPr>
                    <w:t>，是一种蓝色、有轻微刺激性气味的黏稠液体，在暗处较稳定，受热、光照或遇到某些杂质易分解为</w:t>
                  </w:r>
                  <w:r>
                    <w:rPr>
                      <w:rFonts w:ascii="Times New Roman" w:hAnsi="Times New Roman" w:eastAsia="宋体" w:cs="Times New Roman"/>
                      <w:color w:val="000000" w:themeColor="text1"/>
                      <w:szCs w:val="21"/>
                      <w14:textFill>
                        <w14:solidFill>
                          <w14:schemeClr w14:val="tx1"/>
                        </w14:solidFill>
                      </w14:textFill>
                    </w:rPr>
                    <w:fldChar w:fldCharType="begin"/>
                  </w:r>
                  <w:r>
                    <w:rPr>
                      <w:rFonts w:ascii="Times New Roman" w:hAnsi="Times New Roman" w:eastAsia="宋体" w:cs="Times New Roman"/>
                      <w:color w:val="000000" w:themeColor="text1"/>
                      <w:szCs w:val="21"/>
                      <w14:textFill>
                        <w14:solidFill>
                          <w14:schemeClr w14:val="tx1"/>
                        </w14:solidFill>
                      </w14:textFill>
                    </w:rPr>
                    <w:instrText xml:space="preserve"> HYPERLINK "https://baike.baidu.com/item/%E6%B0%A7%E6%B0%94/64782?fromModule=lemma_inlink" \t "https://baike.baidu.com/item/%E8%BF%87%E6%B0%A7%E5%8C%96%E6%B0%A2/_blank" </w:instrText>
                  </w:r>
                  <w:r>
                    <w:rPr>
                      <w:rFonts w:ascii="Times New Roman" w:hAnsi="Times New Roman" w:eastAsia="宋体" w:cs="Times New Roman"/>
                      <w:color w:val="000000" w:themeColor="text1"/>
                      <w:szCs w:val="21"/>
                      <w14:textFill>
                        <w14:solidFill>
                          <w14:schemeClr w14:val="tx1"/>
                        </w14:solidFill>
                      </w14:textFill>
                    </w:rPr>
                    <w:fldChar w:fldCharType="separate"/>
                  </w:r>
                  <w:r>
                    <w:rPr>
                      <w:rFonts w:ascii="Times New Roman" w:hAnsi="Times New Roman" w:eastAsia="宋体" w:cs="Times New Roman"/>
                      <w:color w:val="000000" w:themeColor="text1"/>
                      <w:szCs w:val="21"/>
                      <w14:textFill>
                        <w14:solidFill>
                          <w14:schemeClr w14:val="tx1"/>
                        </w14:solidFill>
                      </w14:textFill>
                    </w:rPr>
                    <w:t>氧气</w:t>
                  </w:r>
                  <w:r>
                    <w:rPr>
                      <w:rFonts w:ascii="Times New Roman" w:hAnsi="Times New Roman" w:eastAsia="宋体" w:cs="Times New Roman"/>
                      <w:color w:val="000000" w:themeColor="text1"/>
                      <w:szCs w:val="21"/>
                      <w14:textFill>
                        <w14:solidFill>
                          <w14:schemeClr w14:val="tx1"/>
                        </w14:solidFill>
                      </w14:textFill>
                    </w:rPr>
                    <w:fldChar w:fldCharType="end"/>
                  </w:r>
                  <w:r>
                    <w:rPr>
                      <w:rFonts w:ascii="Times New Roman" w:hAnsi="Times New Roman" w:eastAsia="宋体" w:cs="Times New Roman"/>
                      <w:color w:val="000000" w:themeColor="text1"/>
                      <w:szCs w:val="21"/>
                      <w14:textFill>
                        <w14:solidFill>
                          <w14:schemeClr w14:val="tx1"/>
                        </w14:solidFill>
                      </w14:textFill>
                    </w:rPr>
                    <w:t>和水，能以任意比例与水互溶。是一种强氧化剂，水溶液俗称双氧水，为无色透明液体。其水溶液适用于医用伤口消毒及环境消毒和食品消毒。</w:t>
                  </w:r>
                </w:p>
              </w:tc>
            </w:tr>
            <w:tr w14:paraId="6BDE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3AA9809A">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w:t>
                  </w:r>
                </w:p>
              </w:tc>
              <w:tc>
                <w:tcPr>
                  <w:tcW w:w="673" w:type="pct"/>
                  <w:noWrap w:val="0"/>
                  <w:vAlign w:val="center"/>
                </w:tcPr>
                <w:p w14:paraId="6EB187E6">
                  <w:pPr>
                    <w:adjustRightInd w:val="0"/>
                    <w:snapToGrid w:val="0"/>
                    <w:jc w:val="center"/>
                    <w:rPr>
                      <w:rFonts w:ascii="Times New Roman" w:hAnsi="Times New Roman" w:eastAsia="宋体" w:cs="Times New Roman"/>
                      <w:color w:val="000000" w:themeColor="text1"/>
                      <w:kern w:val="28"/>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消毒剂（氯间二甲基苯酚）</w:t>
                  </w:r>
                </w:p>
              </w:tc>
              <w:tc>
                <w:tcPr>
                  <w:tcW w:w="3906" w:type="pct"/>
                  <w:noWrap w:val="0"/>
                  <w:vAlign w:val="center"/>
                </w:tcPr>
                <w:p w14:paraId="774628FC">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化学名</w:t>
                  </w:r>
                  <w:r>
                    <w:rPr>
                      <w:rFonts w:ascii="Times New Roman" w:hAnsi="Times New Roman" w:eastAsia="宋体" w:cs="Times New Roman"/>
                      <w:color w:val="000000" w:themeColor="text1"/>
                      <w:szCs w:val="21"/>
                      <w14:textFill>
                        <w14:solidFill>
                          <w14:schemeClr w14:val="tx1"/>
                        </w14:solidFill>
                      </w14:textFill>
                    </w:rPr>
                    <w:fldChar w:fldCharType="begin"/>
                  </w:r>
                  <w:r>
                    <w:rPr>
                      <w:rFonts w:ascii="Times New Roman" w:hAnsi="Times New Roman" w:eastAsia="宋体" w:cs="Times New Roman"/>
                      <w:color w:val="000000" w:themeColor="text1"/>
                      <w:szCs w:val="21"/>
                      <w14:textFill>
                        <w14:solidFill>
                          <w14:schemeClr w14:val="tx1"/>
                        </w14:solidFill>
                      </w14:textFill>
                    </w:rPr>
                    <w:instrText xml:space="preserve"> HYPERLINK "https://baike.baidu.com/item/4-%E6%B0%AF-3,5-%E4%BA%8C%E7%94%B2%E5%9F%BA%E8%8B%AF%E9%85%9A/16738393?fromModule=lemma_inlink" \t "https://baike.baidu.com/item/%E6%B0%AF%E4%BA%8C%E7%94%B2%E9%85%9A/_blank" </w:instrText>
                  </w:r>
                  <w:r>
                    <w:rPr>
                      <w:rFonts w:ascii="Times New Roman" w:hAnsi="Times New Roman" w:eastAsia="宋体" w:cs="Times New Roman"/>
                      <w:color w:val="000000" w:themeColor="text1"/>
                      <w:szCs w:val="21"/>
                      <w14:textFill>
                        <w14:solidFill>
                          <w14:schemeClr w14:val="tx1"/>
                        </w14:solidFill>
                      </w14:textFill>
                    </w:rPr>
                    <w:fldChar w:fldCharType="separate"/>
                  </w:r>
                  <w:r>
                    <w:rPr>
                      <w:rFonts w:ascii="Times New Roman" w:hAnsi="Times New Roman" w:eastAsia="宋体" w:cs="Times New Roman"/>
                      <w:color w:val="000000" w:themeColor="text1"/>
                      <w:szCs w:val="21"/>
                      <w14:textFill>
                        <w14:solidFill>
                          <w14:schemeClr w14:val="tx1"/>
                        </w14:solidFill>
                      </w14:textFill>
                    </w:rPr>
                    <w:t>4-氯-3,5-二甲基苯酚</w:t>
                  </w:r>
                  <w:r>
                    <w:rPr>
                      <w:rFonts w:ascii="Times New Roman" w:hAnsi="Times New Roman" w:eastAsia="宋体" w:cs="Times New Roman"/>
                      <w:color w:val="000000" w:themeColor="text1"/>
                      <w:szCs w:val="21"/>
                      <w14:textFill>
                        <w14:solidFill>
                          <w14:schemeClr w14:val="tx1"/>
                        </w14:solidFill>
                      </w14:textFill>
                    </w:rPr>
                    <w:fldChar w:fldCharType="end"/>
                  </w:r>
                  <w:r>
                    <w:rPr>
                      <w:rFonts w:ascii="Times New Roman" w:hAnsi="Times New Roman" w:eastAsia="宋体" w:cs="Times New Roman"/>
                      <w:color w:val="000000" w:themeColor="text1"/>
                      <w:szCs w:val="21"/>
                      <w14:textFill>
                        <w14:solidFill>
                          <w14:schemeClr w14:val="tx1"/>
                        </w14:solidFill>
                      </w14:textFill>
                    </w:rPr>
                    <w:t>，分子式C</w:t>
                  </w:r>
                  <w:r>
                    <w:rPr>
                      <w:rFonts w:ascii="Times New Roman" w:hAnsi="Times New Roman" w:eastAsia="宋体" w:cs="Times New Roman"/>
                      <w:color w:val="000000" w:themeColor="text1"/>
                      <w:szCs w:val="21"/>
                      <w:vertAlign w:val="subscript"/>
                      <w14:textFill>
                        <w14:solidFill>
                          <w14:schemeClr w14:val="tx1"/>
                        </w14:solidFill>
                      </w14:textFill>
                    </w:rPr>
                    <w:t>8</w:t>
                  </w:r>
                  <w:r>
                    <w:rPr>
                      <w:rFonts w:ascii="Times New Roman" w:hAnsi="Times New Roman" w:eastAsia="宋体" w:cs="Times New Roman"/>
                      <w:color w:val="000000" w:themeColor="text1"/>
                      <w:szCs w:val="21"/>
                      <w14:textFill>
                        <w14:solidFill>
                          <w14:schemeClr w14:val="tx1"/>
                        </w14:solidFill>
                      </w14:textFill>
                    </w:rPr>
                    <w:t>H</w:t>
                  </w:r>
                  <w:r>
                    <w:rPr>
                      <w:rFonts w:ascii="Times New Roman" w:hAnsi="Times New Roman" w:eastAsia="宋体" w:cs="Times New Roman"/>
                      <w:color w:val="000000" w:themeColor="text1"/>
                      <w:szCs w:val="21"/>
                      <w:vertAlign w:val="subscript"/>
                      <w14:textFill>
                        <w14:solidFill>
                          <w14:schemeClr w14:val="tx1"/>
                        </w14:solidFill>
                      </w14:textFill>
                    </w:rPr>
                    <w:t>9</w:t>
                  </w:r>
                  <w:r>
                    <w:rPr>
                      <w:rFonts w:ascii="Times New Roman" w:hAnsi="Times New Roman" w:eastAsia="宋体" w:cs="Times New Roman"/>
                      <w:color w:val="000000" w:themeColor="text1"/>
                      <w:szCs w:val="21"/>
                      <w14:textFill>
                        <w14:solidFill>
                          <w14:schemeClr w14:val="tx1"/>
                        </w14:solidFill>
                      </w14:textFill>
                    </w:rPr>
                    <w:t>ClO，分子量156.61。该物质为白色或类白色结晶粉末，熔点114-116℃，微溶于水，易溶于乙醇、苯等有机溶剂。作为酚类消毒剂，氯二甲酚具有广谱抗菌性，对</w:t>
                  </w:r>
                  <w:r>
                    <w:rPr>
                      <w:rFonts w:ascii="Times New Roman" w:hAnsi="Times New Roman" w:eastAsia="宋体" w:cs="Times New Roman"/>
                      <w:color w:val="000000" w:themeColor="text1"/>
                      <w:szCs w:val="21"/>
                      <w14:textFill>
                        <w14:solidFill>
                          <w14:schemeClr w14:val="tx1"/>
                        </w14:solidFill>
                      </w14:textFill>
                    </w:rPr>
                    <w:fldChar w:fldCharType="begin"/>
                  </w:r>
                  <w:r>
                    <w:rPr>
                      <w:rFonts w:ascii="Times New Roman" w:hAnsi="Times New Roman" w:eastAsia="宋体" w:cs="Times New Roman"/>
                      <w:color w:val="000000" w:themeColor="text1"/>
                      <w:szCs w:val="21"/>
                      <w14:textFill>
                        <w14:solidFill>
                          <w14:schemeClr w14:val="tx1"/>
                        </w14:solidFill>
                      </w14:textFill>
                    </w:rPr>
                    <w:instrText xml:space="preserve"> HYPERLINK "https://baike.baidu.com/item/%E9%9D%A9%E5%85%B0%E6%B0%8F%E9%98%B3%E6%80%A7%E8%8F%8C/2796136?fromModule=lemma_inlink" \t "https://baike.baidu.com/item/%E6%B0%AF%E4%BA%8C%E7%94%B2%E9%85%9A/_blank" </w:instrText>
                  </w:r>
                  <w:r>
                    <w:rPr>
                      <w:rFonts w:ascii="Times New Roman" w:hAnsi="Times New Roman" w:eastAsia="宋体" w:cs="Times New Roman"/>
                      <w:color w:val="000000" w:themeColor="text1"/>
                      <w:szCs w:val="21"/>
                      <w14:textFill>
                        <w14:solidFill>
                          <w14:schemeClr w14:val="tx1"/>
                        </w14:solidFill>
                      </w14:textFill>
                    </w:rPr>
                    <w:fldChar w:fldCharType="separate"/>
                  </w:r>
                  <w:r>
                    <w:rPr>
                      <w:rFonts w:ascii="Times New Roman" w:hAnsi="Times New Roman" w:eastAsia="宋体" w:cs="Times New Roman"/>
                      <w:color w:val="000000" w:themeColor="text1"/>
                      <w:szCs w:val="21"/>
                      <w14:textFill>
                        <w14:solidFill>
                          <w14:schemeClr w14:val="tx1"/>
                        </w14:solidFill>
                      </w14:textFill>
                    </w:rPr>
                    <w:t>革兰氏阳性菌</w:t>
                  </w:r>
                  <w:r>
                    <w:rPr>
                      <w:rFonts w:ascii="Times New Roman" w:hAnsi="Times New Roman" w:eastAsia="宋体" w:cs="Times New Roman"/>
                      <w:color w:val="000000" w:themeColor="text1"/>
                      <w:szCs w:val="21"/>
                      <w14:textFill>
                        <w14:solidFill>
                          <w14:schemeClr w14:val="tx1"/>
                        </w14:solidFill>
                      </w14:textFill>
                    </w:rPr>
                    <w:fldChar w:fldCharType="end"/>
                  </w:r>
                  <w:r>
                    <w:rPr>
                      <w:rFonts w:ascii="Times New Roman" w:hAnsi="Times New Roman" w:eastAsia="宋体" w:cs="Times New Roman"/>
                      <w:color w:val="000000" w:themeColor="text1"/>
                      <w:szCs w:val="21"/>
                      <w14:textFill>
                        <w14:solidFill>
                          <w14:schemeClr w14:val="tx1"/>
                        </w14:solidFill>
                      </w14:textFill>
                    </w:rPr>
                    <w:t>、阴性菌及霉菌均有抑制作用，常用作个人护理产品、医用消毒剂和工业防霉剂。</w:t>
                  </w:r>
                </w:p>
              </w:tc>
            </w:tr>
          </w:tbl>
          <w:p w14:paraId="68BF60C5">
            <w:pPr>
              <w:spacing w:line="480" w:lineRule="exact"/>
              <w:ind w:right="170" w:firstLine="472" w:firstLineChars="196"/>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生物质燃料用量核算：</w:t>
            </w:r>
            <w:r>
              <w:rPr>
                <w:rFonts w:hint="eastAsia" w:ascii="Times New Roman" w:hAnsi="Times New Roman" w:eastAsia="宋体" w:cs="Times New Roman"/>
                <w:bCs/>
                <w:color w:val="000000" w:themeColor="text1"/>
                <w:sz w:val="24"/>
                <w14:textFill>
                  <w14:solidFill>
                    <w14:schemeClr w14:val="tx1"/>
                  </w14:solidFill>
                </w14:textFill>
              </w:rPr>
              <w:t>项目的加温主洗、烫干烫平工序使用燃生物质蒸汽锅炉提供的蒸汽作为热源，燃生物质锅炉使用生物质成型燃料作为燃料，项目4t/h的生物质锅炉的额定热负荷为240万大卡，</w:t>
            </w:r>
            <w:r>
              <w:rPr>
                <w:rFonts w:hint="eastAsia" w:ascii="Times New Roman" w:hAnsi="Times New Roman" w:eastAsia="宋体" w:cs="Times New Roman"/>
                <w:color w:val="000000" w:themeColor="text1"/>
                <w:sz w:val="24"/>
                <w14:textFill>
                  <w14:solidFill>
                    <w14:schemeClr w14:val="tx1"/>
                  </w14:solidFill>
                </w14:textFill>
              </w:rPr>
              <w:t>所选用的4t/h燃生物质锅炉在80%负荷率下可完全满足生产需求，因此</w:t>
            </w:r>
            <w:r>
              <w:rPr>
                <w:rFonts w:hint="eastAsia" w:ascii="Times New Roman" w:hAnsi="Times New Roman" w:eastAsia="宋体" w:cs="Times New Roman"/>
                <w:bCs/>
                <w:color w:val="000000" w:themeColor="text1"/>
                <w:sz w:val="24"/>
                <w14:textFill>
                  <w14:solidFill>
                    <w14:schemeClr w14:val="tx1"/>
                  </w14:solidFill>
                </w14:textFill>
              </w:rPr>
              <w:t>项目4t/h的生物质锅炉正常运行时热负荷为192万大卡</w:t>
            </w:r>
            <w:r>
              <w:rPr>
                <w:rFonts w:hint="eastAsia"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根据项目提供的生物质检测报告（见附件7），1kg生物质成型燃料低位发热量为4161大卡，项目使用的单锅筒纵置式链条炉排锅炉（</w:t>
            </w:r>
            <w:r>
              <w:rPr>
                <w:rFonts w:hint="eastAsia" w:ascii="Times New Roman" w:hAnsi="Times New Roman" w:eastAsia="宋体" w:cs="Times New Roman"/>
                <w:color w:val="000000" w:themeColor="text1"/>
                <w:sz w:val="24"/>
                <w14:textFill>
                  <w14:solidFill>
                    <w14:schemeClr w14:val="tx1"/>
                  </w14:solidFill>
                </w14:textFill>
              </w:rPr>
              <w:t>DZH4-1.25BMF</w:t>
            </w:r>
            <w:r>
              <w:rPr>
                <w:rFonts w:hint="eastAsia" w:ascii="Times New Roman" w:hAnsi="Times New Roman" w:eastAsia="宋体" w:cs="Times New Roman"/>
                <w:bCs/>
                <w:color w:val="000000" w:themeColor="text1"/>
                <w:sz w:val="24"/>
                <w14:textFill>
                  <w14:solidFill>
                    <w14:schemeClr w14:val="tx1"/>
                  </w14:solidFill>
                </w14:textFill>
              </w:rPr>
              <w:t>）热效率为92%，项目燃生物质锅炉的年使用时间为2160h，故可计算项目生物质成型燃料的年使用量约为192</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10</w:t>
            </w:r>
            <w:r>
              <w:rPr>
                <w:rFonts w:hint="eastAsia" w:ascii="Times New Roman" w:hAnsi="Times New Roman" w:eastAsia="宋体" w:cs="Times New Roman"/>
                <w:bCs/>
                <w:color w:val="000000" w:themeColor="text1"/>
                <w:sz w:val="24"/>
                <w:vertAlign w:val="superscript"/>
                <w14:textFill>
                  <w14:solidFill>
                    <w14:schemeClr w14:val="tx1"/>
                  </w14:solidFill>
                </w14:textFill>
              </w:rPr>
              <w:t>4</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4161</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92%</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2160=1083.35t。</w:t>
            </w:r>
          </w:p>
          <w:p w14:paraId="307C79B7">
            <w:pPr>
              <w:spacing w:line="480" w:lineRule="exact"/>
              <w:ind w:right="170" w:firstLine="472" w:firstLineChars="196"/>
              <w:rPr>
                <w:rFonts w:hint="eastAsia"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5、</w:t>
            </w:r>
            <w:r>
              <w:rPr>
                <w:rFonts w:ascii="Times New Roman" w:hAnsi="Times New Roman" w:eastAsia="宋体" w:cs="Times New Roman"/>
                <w:b/>
                <w:color w:val="000000" w:themeColor="text1"/>
                <w:sz w:val="24"/>
                <w14:textFill>
                  <w14:solidFill>
                    <w14:schemeClr w14:val="tx1"/>
                  </w14:solidFill>
                </w14:textFill>
              </w:rPr>
              <w:t>主要生产设备</w:t>
            </w:r>
            <w:r>
              <w:rPr>
                <w:rFonts w:hint="eastAsia" w:ascii="Times New Roman" w:hAnsi="Times New Roman" w:eastAsia="宋体" w:cs="Times New Roman"/>
                <w:b/>
                <w:color w:val="000000" w:themeColor="text1"/>
                <w:sz w:val="24"/>
                <w14:textFill>
                  <w14:solidFill>
                    <w14:schemeClr w14:val="tx1"/>
                  </w14:solidFill>
                </w14:textFill>
              </w:rPr>
              <w:t>清单</w:t>
            </w:r>
          </w:p>
          <w:p w14:paraId="190F98D9">
            <w:pPr>
              <w:snapToGrid w:val="0"/>
              <w:spacing w:line="480" w:lineRule="exact"/>
              <w:ind w:firstLine="482" w:firstLineChars="200"/>
              <w:rPr>
                <w:rFonts w:hint="eastAsia"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（1）主要生产设备</w:t>
            </w:r>
          </w:p>
          <w:p w14:paraId="787F4A11">
            <w:pPr>
              <w:spacing w:line="480" w:lineRule="exact"/>
              <w:ind w:right="170" w:firstLine="470" w:firstLineChars="196"/>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项目主要设备清单如下表所示。</w:t>
            </w:r>
          </w:p>
          <w:p w14:paraId="3BCE4D9D">
            <w:pPr>
              <w:spacing w:line="480" w:lineRule="exact"/>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表2-</w:t>
            </w:r>
            <w:r>
              <w:rPr>
                <w:rFonts w:hint="eastAsia" w:ascii="Times New Roman" w:hAnsi="Times New Roman" w:eastAsia="宋体" w:cs="Times New Roman"/>
                <w:b/>
                <w:color w:val="000000" w:themeColor="text1"/>
                <w:sz w:val="24"/>
                <w14:textFill>
                  <w14:solidFill>
                    <w14:schemeClr w14:val="tx1"/>
                  </w14:solidFill>
                </w14:textFill>
              </w:rPr>
              <w:t>5</w:t>
            </w:r>
            <w:r>
              <w:rPr>
                <w:rFonts w:ascii="Times New Roman" w:hAnsi="Times New Roman" w:eastAsia="宋体" w:cs="Times New Roman"/>
                <w:b/>
                <w:color w:val="000000" w:themeColor="text1"/>
                <w:sz w:val="24"/>
                <w14:textFill>
                  <w14:solidFill>
                    <w14:schemeClr w14:val="tx1"/>
                  </w14:solidFill>
                </w14:textFill>
              </w:rPr>
              <w:t>项目主要设备一览表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692"/>
              <w:gridCol w:w="1587"/>
              <w:gridCol w:w="1263"/>
              <w:gridCol w:w="1868"/>
              <w:gridCol w:w="1568"/>
            </w:tblGrid>
            <w:tr w14:paraId="474B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255" w:type="pct"/>
                  <w:noWrap w:val="0"/>
                  <w:vAlign w:val="center"/>
                </w:tcPr>
                <w:p w14:paraId="79CF8939">
                  <w:pPr>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序号</w:t>
                  </w:r>
                </w:p>
              </w:tc>
              <w:tc>
                <w:tcPr>
                  <w:tcW w:w="1013" w:type="pct"/>
                  <w:noWrap w:val="0"/>
                  <w:vAlign w:val="center"/>
                </w:tcPr>
                <w:p w14:paraId="11777BB9">
                  <w:pPr>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设备名称</w:t>
                  </w:r>
                </w:p>
              </w:tc>
              <w:tc>
                <w:tcPr>
                  <w:tcW w:w="923" w:type="pct"/>
                  <w:noWrap w:val="0"/>
                  <w:vAlign w:val="center"/>
                </w:tcPr>
                <w:p w14:paraId="233B9520">
                  <w:pPr>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型号规格</w:t>
                  </w:r>
                </w:p>
              </w:tc>
              <w:tc>
                <w:tcPr>
                  <w:tcW w:w="755" w:type="pct"/>
                  <w:noWrap w:val="0"/>
                  <w:vAlign w:val="center"/>
                </w:tcPr>
                <w:p w14:paraId="46D9AE69">
                  <w:pPr>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使用工序</w:t>
                  </w:r>
                </w:p>
              </w:tc>
              <w:tc>
                <w:tcPr>
                  <w:tcW w:w="1115" w:type="pct"/>
                  <w:noWrap w:val="0"/>
                  <w:vAlign w:val="center"/>
                </w:tcPr>
                <w:p w14:paraId="6AC30D59">
                  <w:pPr>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年计划工作时间/h</w:t>
                  </w:r>
                </w:p>
              </w:tc>
              <w:tc>
                <w:tcPr>
                  <w:tcW w:w="936" w:type="pct"/>
                  <w:noWrap w:val="0"/>
                  <w:vAlign w:val="center"/>
                </w:tcPr>
                <w:p w14:paraId="21C95AC3">
                  <w:pPr>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设备数量（台）</w:t>
                  </w:r>
                </w:p>
              </w:tc>
            </w:tr>
            <w:tr w14:paraId="77EF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55" w:type="pct"/>
                  <w:noWrap w:val="0"/>
                  <w:vAlign w:val="center"/>
                </w:tcPr>
                <w:p w14:paraId="329F097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c>
                <w:tcPr>
                  <w:tcW w:w="1013" w:type="pct"/>
                  <w:noWrap w:val="0"/>
                  <w:vAlign w:val="center"/>
                </w:tcPr>
                <w:p w14:paraId="10B4F52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4t/h</w:t>
                  </w:r>
                  <w:r>
                    <w:rPr>
                      <w:rFonts w:hint="eastAsia" w:ascii="Times New Roman" w:hAnsi="Times New Roman" w:eastAsia="宋体" w:cs="Times New Roman"/>
                      <w:color w:val="000000" w:themeColor="text1"/>
                      <w:szCs w:val="21"/>
                      <w14:textFill>
                        <w14:solidFill>
                          <w14:schemeClr w14:val="tx1"/>
                        </w14:solidFill>
                      </w14:textFill>
                    </w:rPr>
                    <w:t>生物质锅炉</w:t>
                  </w:r>
                </w:p>
              </w:tc>
              <w:tc>
                <w:tcPr>
                  <w:tcW w:w="923" w:type="pct"/>
                  <w:noWrap w:val="0"/>
                  <w:vAlign w:val="center"/>
                </w:tcPr>
                <w:p w14:paraId="0A8B294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DZH4-1.25-SCI</w:t>
                  </w:r>
                </w:p>
              </w:tc>
              <w:tc>
                <w:tcPr>
                  <w:tcW w:w="755" w:type="pct"/>
                  <w:noWrap w:val="0"/>
                  <w:vAlign w:val="center"/>
                </w:tcPr>
                <w:p w14:paraId="74DF5223">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辅助设备</w:t>
                  </w:r>
                </w:p>
              </w:tc>
              <w:tc>
                <w:tcPr>
                  <w:tcW w:w="1115" w:type="pct"/>
                  <w:noWrap w:val="0"/>
                  <w:vAlign w:val="center"/>
                </w:tcPr>
                <w:p w14:paraId="5F64D94C">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2160</w:t>
                  </w:r>
                </w:p>
              </w:tc>
              <w:tc>
                <w:tcPr>
                  <w:tcW w:w="936" w:type="pct"/>
                  <w:noWrap w:val="0"/>
                  <w:vAlign w:val="center"/>
                </w:tcPr>
                <w:p w14:paraId="4A4754C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r>
            <w:tr w14:paraId="1BB0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255" w:type="pct"/>
                  <w:noWrap w:val="0"/>
                  <w:vAlign w:val="center"/>
                </w:tcPr>
                <w:p w14:paraId="2048FAD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p>
              </w:tc>
              <w:tc>
                <w:tcPr>
                  <w:tcW w:w="1013" w:type="pct"/>
                  <w:noWrap w:val="0"/>
                  <w:vAlign w:val="center"/>
                </w:tcPr>
                <w:p w14:paraId="1F910E29">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备用发电机</w:t>
                  </w:r>
                </w:p>
              </w:tc>
              <w:tc>
                <w:tcPr>
                  <w:tcW w:w="923" w:type="pct"/>
                  <w:noWrap w:val="0"/>
                  <w:vAlign w:val="center"/>
                </w:tcPr>
                <w:p w14:paraId="7D9B2E2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80kw</w:t>
                  </w:r>
                </w:p>
              </w:tc>
              <w:tc>
                <w:tcPr>
                  <w:tcW w:w="755" w:type="pct"/>
                  <w:noWrap w:val="0"/>
                  <w:vAlign w:val="center"/>
                </w:tcPr>
                <w:p w14:paraId="735A9B6F">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辅助设备</w:t>
                  </w:r>
                </w:p>
              </w:tc>
              <w:tc>
                <w:tcPr>
                  <w:tcW w:w="1115" w:type="pct"/>
                  <w:noWrap w:val="0"/>
                  <w:vAlign w:val="center"/>
                </w:tcPr>
                <w:p w14:paraId="6F974921">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5</w:t>
                  </w:r>
                </w:p>
              </w:tc>
              <w:tc>
                <w:tcPr>
                  <w:tcW w:w="936" w:type="pct"/>
                  <w:noWrap w:val="0"/>
                  <w:vAlign w:val="center"/>
                </w:tcPr>
                <w:p w14:paraId="697095E0">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r>
            <w:tr w14:paraId="4706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5" w:type="pct"/>
                  <w:noWrap w:val="0"/>
                  <w:vAlign w:val="center"/>
                </w:tcPr>
                <w:p w14:paraId="34F88A21">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p>
              </w:tc>
              <w:tc>
                <w:tcPr>
                  <w:tcW w:w="1013" w:type="pct"/>
                  <w:noWrap w:val="0"/>
                  <w:vAlign w:val="center"/>
                </w:tcPr>
                <w:p w14:paraId="1571080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螺杆空压机</w:t>
                  </w:r>
                </w:p>
              </w:tc>
              <w:tc>
                <w:tcPr>
                  <w:tcW w:w="923" w:type="pct"/>
                  <w:noWrap w:val="0"/>
                  <w:vAlign w:val="center"/>
                </w:tcPr>
                <w:p w14:paraId="5C89B60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50kw</w:t>
                  </w:r>
                </w:p>
              </w:tc>
              <w:tc>
                <w:tcPr>
                  <w:tcW w:w="755" w:type="pct"/>
                  <w:noWrap w:val="0"/>
                  <w:vAlign w:val="center"/>
                </w:tcPr>
                <w:p w14:paraId="74C98A98">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辅助设备</w:t>
                  </w:r>
                </w:p>
              </w:tc>
              <w:tc>
                <w:tcPr>
                  <w:tcW w:w="1115" w:type="pct"/>
                  <w:noWrap w:val="0"/>
                  <w:vAlign w:val="center"/>
                </w:tcPr>
                <w:p w14:paraId="1AFAC36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2880</w:t>
                  </w:r>
                </w:p>
              </w:tc>
              <w:tc>
                <w:tcPr>
                  <w:tcW w:w="936" w:type="pct"/>
                  <w:noWrap w:val="0"/>
                  <w:vAlign w:val="center"/>
                </w:tcPr>
                <w:p w14:paraId="488605E1">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p>
              </w:tc>
            </w:tr>
            <w:tr w14:paraId="2290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5" w:type="pct"/>
                  <w:noWrap w:val="0"/>
                  <w:vAlign w:val="center"/>
                </w:tcPr>
                <w:p w14:paraId="0A64D02F">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w:t>
                  </w:r>
                </w:p>
              </w:tc>
              <w:tc>
                <w:tcPr>
                  <w:tcW w:w="1013" w:type="pct"/>
                  <w:noWrap w:val="0"/>
                  <w:vAlign w:val="center"/>
                </w:tcPr>
                <w:p w14:paraId="79FEDE8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大型烫机</w:t>
                  </w:r>
                </w:p>
              </w:tc>
              <w:tc>
                <w:tcPr>
                  <w:tcW w:w="923" w:type="pct"/>
                  <w:noWrap w:val="0"/>
                  <w:vAlign w:val="center"/>
                </w:tcPr>
                <w:p w14:paraId="4DD6171D">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10kw</w:t>
                  </w:r>
                </w:p>
              </w:tc>
              <w:tc>
                <w:tcPr>
                  <w:tcW w:w="755" w:type="pct"/>
                  <w:noWrap w:val="0"/>
                  <w:vAlign w:val="center"/>
                </w:tcPr>
                <w:p w14:paraId="30D411A7">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烫平</w:t>
                  </w:r>
                </w:p>
              </w:tc>
              <w:tc>
                <w:tcPr>
                  <w:tcW w:w="1115" w:type="pct"/>
                  <w:noWrap w:val="0"/>
                  <w:vAlign w:val="center"/>
                </w:tcPr>
                <w:p w14:paraId="64E17374">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2880</w:t>
                  </w:r>
                </w:p>
              </w:tc>
              <w:tc>
                <w:tcPr>
                  <w:tcW w:w="936" w:type="pct"/>
                  <w:noWrap w:val="0"/>
                  <w:vAlign w:val="center"/>
                </w:tcPr>
                <w:p w14:paraId="219F5FCF">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p>
              </w:tc>
            </w:tr>
            <w:tr w14:paraId="73B5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5" w:type="pct"/>
                  <w:noWrap w:val="0"/>
                  <w:vAlign w:val="center"/>
                </w:tcPr>
                <w:p w14:paraId="3549F74D">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5</w:t>
                  </w:r>
                </w:p>
              </w:tc>
              <w:tc>
                <w:tcPr>
                  <w:tcW w:w="1013" w:type="pct"/>
                  <w:noWrap w:val="0"/>
                  <w:vAlign w:val="center"/>
                </w:tcPr>
                <w:p w14:paraId="7CAA391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烘干机</w:t>
                  </w:r>
                </w:p>
              </w:tc>
              <w:tc>
                <w:tcPr>
                  <w:tcW w:w="923" w:type="pct"/>
                  <w:noWrap w:val="0"/>
                  <w:vAlign w:val="center"/>
                </w:tcPr>
                <w:p w14:paraId="66F099D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40kw</w:t>
                  </w:r>
                </w:p>
              </w:tc>
              <w:tc>
                <w:tcPr>
                  <w:tcW w:w="755" w:type="pct"/>
                  <w:noWrap w:val="0"/>
                  <w:vAlign w:val="center"/>
                </w:tcPr>
                <w:p w14:paraId="525524C2">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烘干</w:t>
                  </w:r>
                </w:p>
              </w:tc>
              <w:tc>
                <w:tcPr>
                  <w:tcW w:w="1115" w:type="pct"/>
                  <w:noWrap w:val="0"/>
                  <w:vAlign w:val="center"/>
                </w:tcPr>
                <w:p w14:paraId="4E6A7063">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2880</w:t>
                  </w:r>
                </w:p>
              </w:tc>
              <w:tc>
                <w:tcPr>
                  <w:tcW w:w="936" w:type="pct"/>
                  <w:noWrap w:val="0"/>
                  <w:vAlign w:val="center"/>
                </w:tcPr>
                <w:p w14:paraId="57E990A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w:t>
                  </w:r>
                </w:p>
              </w:tc>
            </w:tr>
            <w:tr w14:paraId="3CF5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255" w:type="pct"/>
                  <w:noWrap w:val="0"/>
                  <w:vAlign w:val="center"/>
                </w:tcPr>
                <w:p w14:paraId="57181137">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w:t>
                  </w:r>
                </w:p>
              </w:tc>
              <w:tc>
                <w:tcPr>
                  <w:tcW w:w="1013" w:type="pct"/>
                  <w:noWrap w:val="0"/>
                  <w:vAlign w:val="center"/>
                </w:tcPr>
                <w:p w14:paraId="679F85C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洗衣机</w:t>
                  </w:r>
                </w:p>
              </w:tc>
              <w:tc>
                <w:tcPr>
                  <w:tcW w:w="923" w:type="pct"/>
                  <w:noWrap w:val="0"/>
                  <w:vAlign w:val="center"/>
                </w:tcPr>
                <w:p w14:paraId="6164AD6E">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160kw</w:t>
                  </w:r>
                </w:p>
              </w:tc>
              <w:tc>
                <w:tcPr>
                  <w:tcW w:w="755" w:type="pct"/>
                  <w:noWrap w:val="0"/>
                  <w:vAlign w:val="center"/>
                </w:tcPr>
                <w:p w14:paraId="15829247">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洗衣</w:t>
                  </w:r>
                </w:p>
              </w:tc>
              <w:tc>
                <w:tcPr>
                  <w:tcW w:w="1115" w:type="pct"/>
                  <w:noWrap w:val="0"/>
                  <w:vAlign w:val="center"/>
                </w:tcPr>
                <w:p w14:paraId="5C10917C">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2880</w:t>
                  </w:r>
                </w:p>
              </w:tc>
              <w:tc>
                <w:tcPr>
                  <w:tcW w:w="936" w:type="pct"/>
                  <w:noWrap w:val="0"/>
                  <w:vAlign w:val="center"/>
                </w:tcPr>
                <w:p w14:paraId="2ED346EF">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16</w:t>
                  </w:r>
                </w:p>
              </w:tc>
            </w:tr>
          </w:tbl>
          <w:p w14:paraId="34FDEC07">
            <w:pPr>
              <w:snapToGrid w:val="0"/>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（2）项目燃生物质锅炉与项目生产能力匹配性分析</w:t>
            </w:r>
          </w:p>
          <w:p w14:paraId="13A9AC5C">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建设单位为响应酒店及宾馆核心客户对布草洁净度、平整度和卫生标准的更高要求，对生产工艺进行优化升级：在洗衣环节中，更高的洁净度要求需要更高的洗涤水温和更长的保温时间，会增加蒸汽消耗；在烫平烫干工序中，要达到更佳的平整度和干燥度，需要更高的烫平温度和更充足的蒸汽供应，以确保被服得到充分熨烫，杜绝潮湿和褶皱。</w:t>
            </w:r>
            <w:r>
              <w:rPr>
                <w:rFonts w:ascii="Times New Roman" w:hAnsi="Times New Roman" w:eastAsia="宋体" w:cs="Times New Roman"/>
                <w:color w:val="000000" w:themeColor="text1"/>
                <w:sz w:val="24"/>
                <w14:textFill>
                  <w14:solidFill>
                    <w14:schemeClr w14:val="tx1"/>
                  </w14:solidFill>
                </w14:textFill>
              </w:rPr>
              <w:t>根据建设单位提供的资料，项目在满足酒店及宾馆</w:t>
            </w:r>
            <w:r>
              <w:rPr>
                <w:rFonts w:ascii="Times New Roman" w:hAnsi="Times New Roman" w:eastAsia="宋体" w:cs="Times New Roman"/>
                <w:bCs/>
                <w:snapToGrid w:val="0"/>
                <w:color w:val="000000" w:themeColor="text1"/>
                <w:kern w:val="0"/>
                <w:sz w:val="24"/>
                <w14:textFill>
                  <w14:solidFill>
                    <w14:schemeClr w14:val="tx1"/>
                  </w14:solidFill>
                </w14:textFill>
              </w:rPr>
              <w:t>核心客户的要求下，</w:t>
            </w:r>
            <w:r>
              <w:rPr>
                <w:rFonts w:ascii="Times New Roman" w:hAnsi="Times New Roman" w:eastAsia="宋体" w:cs="Times New Roman"/>
                <w:color w:val="000000" w:themeColor="text1"/>
                <w:kern w:val="0"/>
                <w:sz w:val="24"/>
                <w:lang w:bidi="ar"/>
                <w14:textFill>
                  <w14:solidFill>
                    <w14:schemeClr w14:val="tx1"/>
                  </w14:solidFill>
                </w14:textFill>
              </w:rPr>
              <w:t>年洗涤62万套被服、26万套台布，被服单套耗汽1.4kg，台布单套耗汽2.1kg，全年总需蒸汽1414t；锅炉年运行360天、每日6h，年总工作时长2160h，平均小时用汽量约0.655t/h。叠加设备同步烘干熨烫高峰系数3，峰值蒸汽负荷约1.965t/h。</w:t>
            </w:r>
          </w:p>
          <w:p w14:paraId="3037DF20">
            <w:pPr>
              <w:widowControl/>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项目配套4t/h生物质锅炉，额定产汽量4t/h，高于1.965t/h最大峰值负荷。即便冬季进水温度低、用汽量上升，蒸汽供给仍有富余，可稳定满足洗涤、烘干、熨烫全部热需求，供热能力上完全匹配，留有扩产余量，</w:t>
            </w:r>
            <w:r>
              <w:rPr>
                <w:rFonts w:ascii="Times New Roman" w:hAnsi="Times New Roman" w:eastAsia="宋体" w:cs="Times New Roman"/>
                <w:color w:val="000000" w:themeColor="text1"/>
                <w:sz w:val="24"/>
                <w14:textFill>
                  <w14:solidFill>
                    <w14:schemeClr w14:val="tx1"/>
                  </w14:solidFill>
                </w14:textFill>
              </w:rPr>
              <w:t>故项目设置的4t/h燃生物质锅炉与项目生产能力相匹配。</w:t>
            </w:r>
          </w:p>
          <w:p w14:paraId="568A5447">
            <w:pPr>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6、劳动定员及工作制度</w:t>
            </w:r>
          </w:p>
          <w:p w14:paraId="412E81A9">
            <w:pPr>
              <w:widowControl/>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项目拟聘员工15人，实行1班制，每班工作8小时，年工作360天，厂区内均不设食宿。其中锅炉年工作时间为6h/d、360d/a。</w:t>
            </w:r>
          </w:p>
          <w:p w14:paraId="554AEA2F">
            <w:pPr>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7、</w:t>
            </w:r>
            <w:r>
              <w:rPr>
                <w:rFonts w:ascii="Times New Roman" w:hAnsi="Times New Roman" w:eastAsia="宋体" w:cs="Times New Roman"/>
                <w:b/>
                <w:color w:val="000000" w:themeColor="text1"/>
                <w:sz w:val="24"/>
                <w14:textFill>
                  <w14:solidFill>
                    <w14:schemeClr w14:val="tx1"/>
                  </w14:solidFill>
                </w14:textFill>
              </w:rPr>
              <w:t>公用工程</w:t>
            </w:r>
          </w:p>
          <w:p w14:paraId="0CE662A4">
            <w:pPr>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给水</w:t>
            </w:r>
          </w:p>
          <w:p w14:paraId="31CB8E2C">
            <w:pPr>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项目用水主要有</w:t>
            </w:r>
            <w:r>
              <w:rPr>
                <w:rFonts w:hint="eastAsia" w:ascii="Times New Roman" w:hAnsi="Times New Roman" w:eastAsia="宋体" w:cs="Times New Roman"/>
                <w:color w:val="000000" w:themeColor="text1"/>
                <w:sz w:val="24"/>
                <w14:textFill>
                  <w14:solidFill>
                    <w14:schemeClr w14:val="tx1"/>
                  </w14:solidFill>
                </w14:textFill>
              </w:rPr>
              <w:t>洗涤用水</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生活用水及</w:t>
            </w:r>
            <w:r>
              <w:rPr>
                <w:rFonts w:ascii="Times New Roman" w:hAnsi="Times New Roman" w:eastAsia="宋体" w:cs="Times New Roman"/>
                <w:color w:val="000000" w:themeColor="text1"/>
                <w:sz w:val="24"/>
                <w14:textFill>
                  <w14:solidFill>
                    <w14:schemeClr w14:val="tx1"/>
                  </w14:solidFill>
                </w14:textFill>
              </w:rPr>
              <w:t>软水设备再生用水。</w:t>
            </w:r>
          </w:p>
          <w:p w14:paraId="0BD26E25">
            <w:pPr>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（1）</w:t>
            </w:r>
            <w:r>
              <w:rPr>
                <w:rFonts w:hint="eastAsia" w:ascii="Times New Roman" w:hAnsi="Times New Roman" w:eastAsia="宋体" w:cs="Times New Roman"/>
                <w:color w:val="000000" w:themeColor="text1"/>
                <w:sz w:val="24"/>
                <w14:textFill>
                  <w14:solidFill>
                    <w14:schemeClr w14:val="tx1"/>
                  </w14:solidFill>
                </w14:textFill>
              </w:rPr>
              <w:t>洗涤用水</w:t>
            </w:r>
          </w:p>
          <w:p w14:paraId="31A391CF">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项目建成后预计年清洗62万套被服和26万套台布。</w:t>
            </w:r>
            <w:r>
              <w:rPr>
                <w:rFonts w:hint="eastAsia" w:ascii="Times New Roman" w:hAnsi="Times New Roman" w:eastAsia="宋体" w:cs="Times New Roman"/>
                <w:color w:val="000000" w:themeColor="text1"/>
                <w:sz w:val="24"/>
                <w14:textFill>
                  <w14:solidFill>
                    <w14:schemeClr w14:val="tx1"/>
                  </w14:solidFill>
                </w14:textFill>
              </w:rPr>
              <w:t>根据建设单位提供资料，</w:t>
            </w:r>
            <w:r>
              <w:rPr>
                <w:rFonts w:ascii="Times New Roman" w:hAnsi="Times New Roman" w:eastAsia="宋体" w:cs="Times New Roman"/>
                <w:color w:val="000000" w:themeColor="text1"/>
                <w:sz w:val="24"/>
                <w14:textFill>
                  <w14:solidFill>
                    <w14:schemeClr w14:val="tx1"/>
                  </w14:solidFill>
                </w14:textFill>
              </w:rPr>
              <w:t>被服平均干重2.0kg/套，台布平均干重1.0kg/套，总干织物量1500t/a。根据《环境标志产品技术要求洗衣店和洗衣工厂》（HJ1162-2021），水洗设备单位洗涤容量耗水量取25L/kg干织物，则洗涤用水量为37500m³/a。洗涤废水产生系数取0.85，洗涤废水量31875m³/a。</w:t>
            </w:r>
          </w:p>
          <w:p w14:paraId="6D3E88C1">
            <w:pPr>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（2）生活用水</w:t>
            </w:r>
          </w:p>
          <w:p w14:paraId="16F17E60">
            <w:pPr>
              <w:spacing w:line="360" w:lineRule="auto"/>
              <w:ind w:firstLine="480" w:firstLineChars="200"/>
              <w:jc w:val="left"/>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项目</w:t>
            </w:r>
            <w:r>
              <w:rPr>
                <w:rFonts w:hint="eastAsia" w:ascii="Times New Roman" w:hAnsi="Times New Roman" w:eastAsia="宋体" w:cs="Times New Roman"/>
                <w:color w:val="000000" w:themeColor="text1"/>
                <w:kern w:val="0"/>
                <w:sz w:val="24"/>
                <w:lang w:bidi="ar"/>
                <w14:textFill>
                  <w14:solidFill>
                    <w14:schemeClr w14:val="tx1"/>
                  </w14:solidFill>
                </w14:textFill>
              </w:rPr>
              <w:t>拟招聘</w:t>
            </w:r>
            <w:r>
              <w:rPr>
                <w:rFonts w:ascii="Times New Roman" w:hAnsi="Times New Roman" w:eastAsia="宋体" w:cs="Times New Roman"/>
                <w:color w:val="000000" w:themeColor="text1"/>
                <w:kern w:val="0"/>
                <w:sz w:val="24"/>
                <w:lang w:bidi="ar"/>
                <w14:textFill>
                  <w14:solidFill>
                    <w14:schemeClr w14:val="tx1"/>
                  </w14:solidFill>
                </w14:textFill>
              </w:rPr>
              <w:t>员工15人，均不在厂区内食宿。</w:t>
            </w:r>
            <w:r>
              <w:rPr>
                <w:rFonts w:ascii="Times New Roman" w:hAnsi="Times New Roman" w:eastAsia="宋体" w:cs="Times New Roman"/>
                <w:bCs/>
                <w:color w:val="000000" w:themeColor="text1"/>
                <w:sz w:val="24"/>
                <w14:textFill>
                  <w14:solidFill>
                    <w14:schemeClr w14:val="tx1"/>
                  </w14:solidFill>
                </w14:textFill>
              </w:rPr>
              <w:t>根据广东省地方标准</w:t>
            </w:r>
            <w:r>
              <w:rPr>
                <w:rFonts w:ascii="Times New Roman" w:hAnsi="Times New Roman" w:eastAsia="宋体" w:cs="Times New Roman"/>
                <w:color w:val="000000" w:themeColor="text1"/>
                <w:sz w:val="24"/>
                <w:lang w:bidi="ar"/>
                <w14:textFill>
                  <w14:solidFill>
                    <w14:schemeClr w14:val="tx1"/>
                  </w14:solidFill>
                </w14:textFill>
              </w:rPr>
              <w:t>广东省《用水定额第3部分：生活》（DB44/T1461.3-2021）</w:t>
            </w:r>
            <w:r>
              <w:rPr>
                <w:rFonts w:ascii="Times New Roman" w:hAnsi="Times New Roman" w:eastAsia="宋体" w:cs="Times New Roman"/>
                <w:bCs/>
                <w:color w:val="000000" w:themeColor="text1"/>
                <w:sz w:val="24"/>
                <w14:textFill>
                  <w14:solidFill>
                    <w14:schemeClr w14:val="tx1"/>
                  </w14:solidFill>
                </w14:textFill>
              </w:rPr>
              <w:t>，不在厂内住宿的员工生活用水参考“国家行政机构（922）：办公楼中无食堂和浴室的先进值”，按10m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Times New Roman" w:eastAsia="宋体" w:cs="Times New Roman"/>
                <w:bCs/>
                <w:color w:val="000000" w:themeColor="text1"/>
                <w:sz w:val="24"/>
                <w14:textFill>
                  <w14:solidFill>
                    <w14:schemeClr w14:val="tx1"/>
                  </w14:solidFill>
                </w14:textFill>
              </w:rPr>
              <w:t>/（人·a）计算，员工生活用水量为150</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w:t>
            </w:r>
            <w:r>
              <w:rPr>
                <w:rFonts w:ascii="Times New Roman" w:hAnsi="Times New Roman" w:eastAsia="宋体" w:cs="Times New Roman"/>
                <w:bCs/>
                <w:color w:val="000000" w:themeColor="text1"/>
                <w:sz w:val="24"/>
                <w14:textFill>
                  <w14:solidFill>
                    <w14:schemeClr w14:val="tx1"/>
                  </w14:solidFill>
                </w14:textFill>
              </w:rPr>
              <w:t>，污水排放系数按用水量的90%计算，则项目员工生活污水量约为135</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w:t>
            </w:r>
            <w:r>
              <w:rPr>
                <w:rFonts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厂内设置化粪池，经化粪池预处理后排入市政污水管网</w:t>
            </w:r>
            <w:r>
              <w:rPr>
                <w:rFonts w:hint="eastAsia" w:ascii="Times New Roman" w:hAnsi="Times New Roman" w:eastAsia="宋体" w:cs="Times New Roman"/>
                <w:color w:val="000000" w:themeColor="text1"/>
                <w:kern w:val="0"/>
                <w:sz w:val="24"/>
                <w:lang w:bidi="ar"/>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接入湛江市霞山区水质净化厂。</w:t>
            </w:r>
          </w:p>
          <w:p w14:paraId="2BFD0A41">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软水设备再生用水</w:t>
            </w:r>
          </w:p>
          <w:p w14:paraId="5166B977">
            <w:pPr>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生物质蒸汽锅炉用水来自于软水制备系统。锅炉用水经软化后进入锅炉产生蒸汽，产生量为4×80%×2160=6912m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/a，蒸汽经冷凝后，作为锅炉用水循环利用，定期补充损耗的新鲜水。根据《锅炉蒸汽冷凝水回收利用方法》，工业锅炉冷凝水回收率可达60%以上，按60%计算，则项目冷凝水回收量为4147.2m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/a，未回收的损耗蒸汽量为2764.8m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/a，则需进行补充新鲜用水2764.8m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/a。锅炉用水使用过程中会产生锅炉排污水和软化处理废水，排放量为385.67m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bCs/>
                <w:snapToGrid w:val="0"/>
                <w:color w:val="000000" w:themeColor="text1"/>
                <w:kern w:val="0"/>
                <w:sz w:val="24"/>
                <w14:textFill>
                  <w14:solidFill>
                    <w14:schemeClr w14:val="tx1"/>
                  </w14:solidFill>
                </w14:textFill>
              </w:rPr>
              <w:t>故项目锅炉用水量=2764.8+385.67=3150.47</w:t>
            </w:r>
            <w:r>
              <w:rPr>
                <w:rFonts w:hint="eastAsia"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bCs/>
                <w:snapToGrid w:val="0"/>
                <w:color w:val="000000" w:themeColor="text1"/>
                <w:kern w:val="0"/>
                <w:sz w:val="24"/>
                <w14:textFill>
                  <w14:solidFill>
                    <w14:schemeClr w14:val="tx1"/>
                  </w14:solidFill>
                </w14:textFill>
              </w:rPr>
              <w:t>/a</w:t>
            </w:r>
            <w:r>
              <w:rPr>
                <w:rFonts w:hint="eastAsia" w:ascii="Times New Roman" w:hAnsi="Times New Roman" w:eastAsia="宋体" w:cs="Times New Roman"/>
                <w:color w:val="000000" w:themeColor="text1"/>
                <w:sz w:val="24"/>
                <w14:textFill>
                  <w14:solidFill>
                    <w14:schemeClr w14:val="tx1"/>
                  </w14:solidFill>
                </w14:textFill>
              </w:rPr>
              <w:t>。项目实行雨、污分流制，雨水经雨水管网收集后排放至市政雨水管网，锅炉排污水和软化处理废水经自建污水站预处理后通过市政污水管网排入霞山水质净化厂。</w:t>
            </w:r>
          </w:p>
          <w:p w14:paraId="0EC4E1EE">
            <w:pPr>
              <w:spacing w:line="360" w:lineRule="auto"/>
              <w:ind w:firstLine="482" w:firstLineChars="200"/>
              <w:jc w:val="left"/>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排水</w:t>
            </w:r>
          </w:p>
          <w:p w14:paraId="763E8E13">
            <w:pPr>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用水由市政供水管网供给，主要为洗涤用水、软水设备再生用水及员工生活用水。总用水量为40800.47m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/a，冷凝水回用量为4147.2m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/a，其中洗涤用水量为37500m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/a，生物质蒸汽锅炉用水量为3150.47m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/a，职工生活用水量为150m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项目实行雨、污分流制，雨水经雨水管网收集后排放至市政雨水管网，生活污水经三级化粪池预处理后；洗涤废水、锅炉排污水和软化处理废水经自建污水站预处理后，一同通过市政污水管网排入霞山水质净化厂。总排放废水量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32395</w:t>
            </w:r>
            <w:r>
              <w:rPr>
                <w:rFonts w:hint="eastAsia" w:ascii="Times New Roman" w:hAnsi="Times New Roman" w:eastAsia="宋体" w:cs="Times New Roman"/>
                <w:color w:val="000000" w:themeColor="text1"/>
                <w:sz w:val="24"/>
                <w:szCs w:val="24"/>
                <w14:textFill>
                  <w14:solidFill>
                    <w14:schemeClr w14:val="tx1"/>
                  </w14:solidFill>
                </w14:textFill>
              </w:rPr>
              <w:t>.67m</w:t>
            </w:r>
            <w:r>
              <w:rPr>
                <w:rFonts w:hint="eastAsia"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/a，其中洗涤废水排放量为</w:t>
            </w:r>
            <w:r>
              <w:rPr>
                <w:rFonts w:ascii="Times New Roman" w:hAnsi="Times New Roman" w:eastAsia="宋体" w:cs="Times New Roman"/>
                <w:color w:val="000000" w:themeColor="text1"/>
                <w:sz w:val="24"/>
                <w:szCs w:val="24"/>
                <w14:textFill>
                  <w14:solidFill>
                    <w14:schemeClr w14:val="tx1"/>
                  </w14:solidFill>
                </w14:textFill>
              </w:rPr>
              <w:t>31875</w:t>
            </w:r>
            <w:r>
              <w:rPr>
                <w:rFonts w:hint="eastAsia" w:ascii="Times New Roman" w:hAnsi="Times New Roman" w:eastAsia="宋体" w:cs="Times New Roman"/>
                <w:color w:val="000000" w:themeColor="text1"/>
                <w:sz w:val="24"/>
                <w:szCs w:val="24"/>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/a，锅炉排污水和软化处理废水排放量为385.67m</w:t>
            </w:r>
            <w:r>
              <w:rPr>
                <w:rFonts w:hint="eastAsia"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/a，职工生活废水排放量为</w:t>
            </w:r>
            <w:r>
              <w:rPr>
                <w:rFonts w:ascii="Times New Roman" w:hAnsi="Times New Roman" w:eastAsia="宋体" w:cs="Times New Roman"/>
                <w:bCs/>
                <w:color w:val="000000" w:themeColor="text1"/>
                <w:sz w:val="24"/>
                <w:szCs w:val="24"/>
                <w14:textFill>
                  <w14:solidFill>
                    <w14:schemeClr w14:val="tx1"/>
                  </w14:solidFill>
                </w14:textFill>
              </w:rPr>
              <w:t>135</w:t>
            </w:r>
            <w:r>
              <w:rPr>
                <w:rFonts w:hint="eastAsia" w:ascii="Times New Roman" w:hAnsi="Times New Roman" w:eastAsia="宋体" w:cs="Times New Roman"/>
                <w:color w:val="000000" w:themeColor="text1"/>
                <w:sz w:val="24"/>
                <w:szCs w:val="24"/>
                <w14:textFill>
                  <w14:solidFill>
                    <w14:schemeClr w14:val="tx1"/>
                  </w14:solidFill>
                </w14:textFill>
              </w:rPr>
              <w:t>m</w:t>
            </w:r>
            <w:r>
              <w:rPr>
                <w:rFonts w:hint="eastAsia" w:ascii="Times New Roman" w:hAnsi="Times New Roman" w:eastAsia="宋体" w:cs="Times New Roman"/>
                <w:color w:val="000000" w:themeColor="text1"/>
                <w:sz w:val="24"/>
                <w:szCs w:val="24"/>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/a。</w:t>
            </w:r>
          </w:p>
          <w:p w14:paraId="5B20C0E1">
            <w:pPr>
              <w:spacing w:line="360" w:lineRule="auto"/>
              <w:jc w:val="center"/>
              <w:textAlignment w:val="baseline"/>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color w:val="000000" w:themeColor="text1"/>
                <w14:textFill>
                  <w14:solidFill>
                    <w14:schemeClr w14:val="tx1"/>
                  </w14:solidFill>
                </w14:textFill>
              </w:rPr>
              <w:object>
                <v:shape id="_x0000_i1025" o:spt="75" type="#_x0000_t75" style="height:552.1pt;width:420.75pt;" o:ole="t" filled="f" o:preferrelative="t" stroked="f" coordsize="21600,21600">
                  <v:path/>
                  <v:fill on="f" focussize="0,0"/>
                  <v:stroke on="f"/>
                  <v:imagedata r:id="rId11" o:title=""/>
                  <o:lock v:ext="edit" aspectratio="f"/>
                  <w10:wrap type="none"/>
                  <w10:anchorlock/>
                </v:shape>
                <o:OLEObject Type="Embed" ProgID="Visio.Drawing.11" ShapeID="_x0000_i1025" DrawAspect="Content" ObjectID="_1468075725" r:id="rId10">
                  <o:LockedField>false</o:LockedField>
                </o:OLEObject>
              </w:object>
            </w:r>
          </w:p>
          <w:p w14:paraId="0336C286">
            <w:pPr>
              <w:spacing w:line="360" w:lineRule="auto"/>
              <w:jc w:val="center"/>
              <w:textAlignment w:val="baseline"/>
              <w:rPr>
                <w:rFonts w:ascii="Times New Roman" w:hAnsi="Times New Roman" w:eastAsia="宋体" w:cs="Times New Roman"/>
                <w:b/>
                <w:color w:val="000000" w:themeColor="text1"/>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图2-</w:t>
            </w:r>
            <w:r>
              <w:rPr>
                <w:rFonts w:hint="eastAsia" w:ascii="Times New Roman" w:hAnsi="Times New Roman" w:eastAsia="宋体" w:cs="Times New Roman"/>
                <w:b/>
                <w:color w:val="000000" w:themeColor="text1"/>
                <w:sz w:val="24"/>
                <w14:textFill>
                  <w14:solidFill>
                    <w14:schemeClr w14:val="tx1"/>
                  </w14:solidFill>
                </w14:textFill>
              </w:rPr>
              <w:t>1项目</w:t>
            </w:r>
            <w:r>
              <w:rPr>
                <w:rFonts w:ascii="Times New Roman" w:hAnsi="Times New Roman" w:eastAsia="宋体" w:cs="Times New Roman"/>
                <w:b/>
                <w:color w:val="000000" w:themeColor="text1"/>
                <w:sz w:val="24"/>
                <w14:textFill>
                  <w14:solidFill>
                    <w14:schemeClr w14:val="tx1"/>
                  </w14:solidFill>
                </w14:textFill>
              </w:rPr>
              <w:t>水平衡图</w:t>
            </w:r>
            <w:r>
              <w:rPr>
                <w:rStyle w:val="39"/>
                <w:rFonts w:hint="eastAsia"/>
                <w:b/>
                <w:color w:val="000000" w:themeColor="text1"/>
                <w:kern w:val="0"/>
                <w:sz w:val="24"/>
                <w14:textFill>
                  <w14:solidFill>
                    <w14:schemeClr w14:val="tx1"/>
                  </w14:solidFill>
                </w14:textFill>
              </w:rPr>
              <w:t>（</w:t>
            </w:r>
            <w:r>
              <w:rPr>
                <w:rFonts w:hint="eastAsia" w:ascii="Times New Roman" w:hAnsi="Times New Roman" w:eastAsia="宋体" w:cs="Times New Roman"/>
                <w:b/>
                <w:color w:val="000000" w:themeColor="text1"/>
                <w:sz w:val="24"/>
                <w14:textFill>
                  <w14:solidFill>
                    <w14:schemeClr w14:val="tx1"/>
                  </w14:solidFill>
                </w14:textFill>
              </w:rPr>
              <w:t>m</w:t>
            </w:r>
            <w:r>
              <w:rPr>
                <w:rFonts w:hint="eastAsia" w:ascii="Times New Roman" w:hAnsi="Times New Roman" w:eastAsia="宋体" w:cs="Times New Roman"/>
                <w:b/>
                <w:color w:val="000000" w:themeColor="text1"/>
                <w:sz w:val="24"/>
                <w:vertAlign w:val="superscript"/>
                <w14:textFill>
                  <w14:solidFill>
                    <w14:schemeClr w14:val="tx1"/>
                  </w14:solidFill>
                </w14:textFill>
              </w:rPr>
              <w:t>3</w:t>
            </w:r>
            <w:r>
              <w:rPr>
                <w:rFonts w:hint="eastAsia" w:ascii="Times New Roman" w:hAnsi="Times New Roman" w:eastAsia="宋体" w:cs="Times New Roman"/>
                <w:b/>
                <w:color w:val="000000" w:themeColor="text1"/>
                <w:sz w:val="24"/>
                <w14:textFill>
                  <w14:solidFill>
                    <w14:schemeClr w14:val="tx1"/>
                  </w14:solidFill>
                </w14:textFill>
              </w:rPr>
              <w:t>/a</w:t>
            </w:r>
            <w:r>
              <w:rPr>
                <w:rStyle w:val="39"/>
                <w:rFonts w:hint="eastAsia"/>
                <w:b/>
                <w:color w:val="000000" w:themeColor="text1"/>
                <w:kern w:val="0"/>
                <w:sz w:val="24"/>
                <w14:textFill>
                  <w14:solidFill>
                    <w14:schemeClr w14:val="tx1"/>
                  </w14:solidFill>
                </w14:textFill>
              </w:rPr>
              <w:t>）</w:t>
            </w:r>
          </w:p>
          <w:p w14:paraId="0EE2C75C">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w:t>
            </w:r>
            <w:r>
              <w:rPr>
                <w:rFonts w:hint="eastAsia" w:ascii="Times New Roman" w:hAnsi="Times New Roman" w:eastAsia="宋体" w:cs="Times New Roman"/>
                <w:b/>
                <w:color w:val="000000" w:themeColor="text1"/>
                <w:sz w:val="24"/>
                <w14:textFill>
                  <w14:solidFill>
                    <w14:schemeClr w14:val="tx1"/>
                  </w14:solidFill>
                </w14:textFill>
              </w:rPr>
              <w:t>2</w:t>
            </w:r>
            <w:r>
              <w:rPr>
                <w:rFonts w:ascii="Times New Roman" w:hAnsi="Times New Roman" w:eastAsia="宋体" w:cs="Times New Roman"/>
                <w:b/>
                <w:color w:val="000000" w:themeColor="text1"/>
                <w:sz w:val="24"/>
                <w14:textFill>
                  <w14:solidFill>
                    <w14:schemeClr w14:val="tx1"/>
                  </w14:solidFill>
                </w14:textFill>
              </w:rPr>
              <w:t>）</w:t>
            </w:r>
            <w:r>
              <w:rPr>
                <w:rFonts w:hint="eastAsia" w:ascii="Times New Roman" w:hAnsi="Times New Roman" w:eastAsia="宋体" w:cs="Times New Roman"/>
                <w:b/>
                <w:color w:val="000000" w:themeColor="text1"/>
                <w:sz w:val="24"/>
                <w14:textFill>
                  <w14:solidFill>
                    <w14:schemeClr w14:val="tx1"/>
                  </w14:solidFill>
                </w14:textFill>
              </w:rPr>
              <w:t>电力</w:t>
            </w:r>
          </w:p>
          <w:p w14:paraId="6D9EE6FF">
            <w:pPr>
              <w:spacing w:line="480" w:lineRule="exact"/>
              <w:ind w:firstLine="480" w:firstLineChars="200"/>
              <w:textAlignment w:val="baseline"/>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项目的电力由市政供电管网提供，项目年用电量约10万度，配备1台80kw的备用柴油发电机。</w:t>
            </w:r>
          </w:p>
          <w:p w14:paraId="643A8404">
            <w:pPr>
              <w:spacing w:line="480" w:lineRule="exact"/>
              <w:ind w:firstLine="482" w:firstLineChars="200"/>
              <w:rPr>
                <w:rFonts w:hint="eastAsia"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（3）能源消耗</w:t>
            </w:r>
          </w:p>
          <w:p w14:paraId="26AD9A17">
            <w:pPr>
              <w:spacing w:line="480" w:lineRule="exact"/>
              <w:ind w:firstLine="480" w:firstLineChars="200"/>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项目主要能源消耗见下表：</w:t>
            </w:r>
          </w:p>
          <w:p w14:paraId="41C19400">
            <w:pPr>
              <w:adjustRightInd w:val="0"/>
              <w:snapToGrid w:val="0"/>
              <w:spacing w:line="480" w:lineRule="exact"/>
              <w:jc w:val="center"/>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表2-6项目主要能源消耗情况一览表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25"/>
              <w:gridCol w:w="1199"/>
              <w:gridCol w:w="1546"/>
              <w:gridCol w:w="1965"/>
              <w:gridCol w:w="1105"/>
              <w:gridCol w:w="915"/>
              <w:gridCol w:w="953"/>
            </w:tblGrid>
            <w:tr w14:paraId="5307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6" w:hRule="atLeast"/>
                <w:tblHeader/>
              </w:trPr>
              <w:tc>
                <w:tcPr>
                  <w:tcW w:w="431" w:type="pct"/>
                  <w:noWrap w:val="0"/>
                  <w:tcMar>
                    <w:top w:w="120" w:type="dxa"/>
                    <w:left w:w="120" w:type="dxa"/>
                    <w:bottom w:w="120" w:type="dxa"/>
                    <w:right w:w="120" w:type="dxa"/>
                  </w:tcMar>
                  <w:vAlign w:val="center"/>
                </w:tcPr>
                <w:p w14:paraId="3A6083C6">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序号</w:t>
                  </w:r>
                </w:p>
              </w:tc>
              <w:tc>
                <w:tcPr>
                  <w:tcW w:w="713" w:type="pct"/>
                  <w:noWrap w:val="0"/>
                  <w:tcMar>
                    <w:top w:w="120" w:type="dxa"/>
                    <w:left w:w="120" w:type="dxa"/>
                    <w:bottom w:w="120" w:type="dxa"/>
                    <w:right w:w="120" w:type="dxa"/>
                  </w:tcMar>
                  <w:vAlign w:val="center"/>
                </w:tcPr>
                <w:p w14:paraId="341ACA05">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名称</w:t>
                  </w:r>
                </w:p>
              </w:tc>
              <w:tc>
                <w:tcPr>
                  <w:tcW w:w="919" w:type="pct"/>
                  <w:noWrap w:val="0"/>
                  <w:tcMar>
                    <w:top w:w="120" w:type="dxa"/>
                    <w:left w:w="120" w:type="dxa"/>
                    <w:bottom w:w="120" w:type="dxa"/>
                    <w:right w:w="120" w:type="dxa"/>
                  </w:tcMar>
                  <w:vAlign w:val="center"/>
                </w:tcPr>
                <w:p w14:paraId="696D4363">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年用量</w:t>
                  </w:r>
                </w:p>
              </w:tc>
              <w:tc>
                <w:tcPr>
                  <w:tcW w:w="1168" w:type="pct"/>
                  <w:noWrap w:val="0"/>
                  <w:tcMar>
                    <w:top w:w="120" w:type="dxa"/>
                    <w:left w:w="120" w:type="dxa"/>
                    <w:bottom w:w="120" w:type="dxa"/>
                    <w:right w:w="120" w:type="dxa"/>
                  </w:tcMar>
                  <w:vAlign w:val="center"/>
                </w:tcPr>
                <w:p w14:paraId="595E26CD">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折标系数</w:t>
                  </w:r>
                </w:p>
              </w:tc>
              <w:tc>
                <w:tcPr>
                  <w:tcW w:w="657" w:type="pct"/>
                  <w:noWrap w:val="0"/>
                  <w:tcMar>
                    <w:top w:w="120" w:type="dxa"/>
                    <w:left w:w="120" w:type="dxa"/>
                    <w:bottom w:w="120" w:type="dxa"/>
                    <w:right w:w="120" w:type="dxa"/>
                  </w:tcMar>
                  <w:vAlign w:val="center"/>
                </w:tcPr>
                <w:p w14:paraId="7C119D3C">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年耗能量</w:t>
                  </w:r>
                </w:p>
              </w:tc>
              <w:tc>
                <w:tcPr>
                  <w:tcW w:w="544" w:type="pct"/>
                  <w:noWrap w:val="0"/>
                  <w:tcMar>
                    <w:top w:w="120" w:type="dxa"/>
                    <w:left w:w="120" w:type="dxa"/>
                    <w:bottom w:w="120" w:type="dxa"/>
                    <w:right w:w="120" w:type="dxa"/>
                  </w:tcMar>
                  <w:vAlign w:val="center"/>
                </w:tcPr>
                <w:p w14:paraId="2CB3F3F4">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单位</w:t>
                  </w:r>
                </w:p>
              </w:tc>
              <w:tc>
                <w:tcPr>
                  <w:tcW w:w="566" w:type="pct"/>
                  <w:noWrap w:val="0"/>
                  <w:tcMar>
                    <w:top w:w="120" w:type="dxa"/>
                    <w:left w:w="120" w:type="dxa"/>
                    <w:bottom w:w="120" w:type="dxa"/>
                    <w:right w:w="120" w:type="dxa"/>
                  </w:tcMar>
                  <w:vAlign w:val="center"/>
                </w:tcPr>
                <w:p w14:paraId="4A464605">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来源</w:t>
                  </w:r>
                </w:p>
              </w:tc>
            </w:tr>
            <w:tr w14:paraId="5D59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431" w:type="pct"/>
                  <w:noWrap w:val="0"/>
                  <w:tcMar>
                    <w:top w:w="120" w:type="dxa"/>
                    <w:left w:w="120" w:type="dxa"/>
                    <w:bottom w:w="120" w:type="dxa"/>
                    <w:right w:w="120" w:type="dxa"/>
                  </w:tcMar>
                  <w:vAlign w:val="center"/>
                </w:tcPr>
                <w:p w14:paraId="759B601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713" w:type="pct"/>
                  <w:noWrap w:val="0"/>
                  <w:tcMar>
                    <w:top w:w="120" w:type="dxa"/>
                    <w:left w:w="120" w:type="dxa"/>
                    <w:bottom w:w="120" w:type="dxa"/>
                    <w:right w:w="120" w:type="dxa"/>
                  </w:tcMar>
                  <w:vAlign w:val="center"/>
                </w:tcPr>
                <w:p w14:paraId="00CB2B8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水</w:t>
                  </w:r>
                </w:p>
              </w:tc>
              <w:tc>
                <w:tcPr>
                  <w:tcW w:w="919" w:type="pct"/>
                  <w:noWrap w:val="0"/>
                  <w:tcMar>
                    <w:top w:w="120" w:type="dxa"/>
                    <w:left w:w="120" w:type="dxa"/>
                    <w:bottom w:w="120" w:type="dxa"/>
                    <w:right w:w="120" w:type="dxa"/>
                  </w:tcMar>
                  <w:vAlign w:val="center"/>
                </w:tcPr>
                <w:p w14:paraId="00ED868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40800.47m³/a</w:t>
                  </w:r>
                </w:p>
              </w:tc>
              <w:tc>
                <w:tcPr>
                  <w:tcW w:w="1168" w:type="pct"/>
                  <w:noWrap w:val="0"/>
                  <w:tcMar>
                    <w:top w:w="120" w:type="dxa"/>
                    <w:left w:w="120" w:type="dxa"/>
                    <w:bottom w:w="120" w:type="dxa"/>
                    <w:right w:w="120" w:type="dxa"/>
                  </w:tcMar>
                  <w:vAlign w:val="center"/>
                </w:tcPr>
                <w:p w14:paraId="72B15E2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0.2571kg标准煤/t</w:t>
                  </w:r>
                </w:p>
              </w:tc>
              <w:tc>
                <w:tcPr>
                  <w:tcW w:w="657" w:type="pct"/>
                  <w:noWrap w:val="0"/>
                  <w:tcMar>
                    <w:top w:w="120" w:type="dxa"/>
                    <w:left w:w="120" w:type="dxa"/>
                    <w:bottom w:w="120" w:type="dxa"/>
                    <w:right w:w="120" w:type="dxa"/>
                  </w:tcMar>
                  <w:vAlign w:val="center"/>
                </w:tcPr>
                <w:p w14:paraId="089A26E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10.49</w:t>
                  </w:r>
                </w:p>
              </w:tc>
              <w:tc>
                <w:tcPr>
                  <w:tcW w:w="544" w:type="pct"/>
                  <w:noWrap w:val="0"/>
                  <w:tcMar>
                    <w:top w:w="120" w:type="dxa"/>
                    <w:left w:w="120" w:type="dxa"/>
                    <w:bottom w:w="120" w:type="dxa"/>
                    <w:right w:w="120" w:type="dxa"/>
                  </w:tcMar>
                  <w:vAlign w:val="center"/>
                </w:tcPr>
                <w:p w14:paraId="6B1D008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t标准煤</w:t>
                  </w:r>
                </w:p>
              </w:tc>
              <w:tc>
                <w:tcPr>
                  <w:tcW w:w="566" w:type="pct"/>
                  <w:noWrap w:val="0"/>
                  <w:tcMar>
                    <w:top w:w="120" w:type="dxa"/>
                    <w:left w:w="120" w:type="dxa"/>
                    <w:bottom w:w="120" w:type="dxa"/>
                    <w:right w:w="120" w:type="dxa"/>
                  </w:tcMar>
                  <w:vAlign w:val="center"/>
                </w:tcPr>
                <w:p w14:paraId="0B53961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市政供水</w:t>
                  </w:r>
                </w:p>
              </w:tc>
            </w:tr>
            <w:tr w14:paraId="48D8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1" w:type="pct"/>
                  <w:noWrap w:val="0"/>
                  <w:tcMar>
                    <w:top w:w="120" w:type="dxa"/>
                    <w:left w:w="120" w:type="dxa"/>
                    <w:bottom w:w="120" w:type="dxa"/>
                    <w:right w:w="120" w:type="dxa"/>
                  </w:tcMar>
                  <w:vAlign w:val="center"/>
                </w:tcPr>
                <w:p w14:paraId="1C89829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w:t>
                  </w:r>
                </w:p>
              </w:tc>
              <w:tc>
                <w:tcPr>
                  <w:tcW w:w="713" w:type="pct"/>
                  <w:noWrap w:val="0"/>
                  <w:tcMar>
                    <w:top w:w="120" w:type="dxa"/>
                    <w:left w:w="120" w:type="dxa"/>
                    <w:bottom w:w="120" w:type="dxa"/>
                    <w:right w:w="120" w:type="dxa"/>
                  </w:tcMar>
                  <w:vAlign w:val="center"/>
                </w:tcPr>
                <w:p w14:paraId="741C310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电</w:t>
                  </w:r>
                </w:p>
              </w:tc>
              <w:tc>
                <w:tcPr>
                  <w:tcW w:w="919" w:type="pct"/>
                  <w:noWrap w:val="0"/>
                  <w:tcMar>
                    <w:top w:w="120" w:type="dxa"/>
                    <w:left w:w="120" w:type="dxa"/>
                    <w:bottom w:w="120" w:type="dxa"/>
                    <w:right w:w="120" w:type="dxa"/>
                  </w:tcMar>
                  <w:vAlign w:val="center"/>
                </w:tcPr>
                <w:p w14:paraId="18302E0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100000kwh/a</w:t>
                  </w:r>
                </w:p>
              </w:tc>
              <w:tc>
                <w:tcPr>
                  <w:tcW w:w="1168" w:type="pct"/>
                  <w:noWrap w:val="0"/>
                  <w:tcMar>
                    <w:top w:w="120" w:type="dxa"/>
                    <w:left w:w="120" w:type="dxa"/>
                    <w:bottom w:w="120" w:type="dxa"/>
                    <w:right w:w="120" w:type="dxa"/>
                  </w:tcMar>
                  <w:vAlign w:val="center"/>
                </w:tcPr>
                <w:p w14:paraId="430A1AF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0.1229kg标准煤/kwh</w:t>
                  </w:r>
                </w:p>
              </w:tc>
              <w:tc>
                <w:tcPr>
                  <w:tcW w:w="657" w:type="pct"/>
                  <w:noWrap w:val="0"/>
                  <w:tcMar>
                    <w:top w:w="120" w:type="dxa"/>
                    <w:left w:w="120" w:type="dxa"/>
                    <w:bottom w:w="120" w:type="dxa"/>
                    <w:right w:w="120" w:type="dxa"/>
                  </w:tcMar>
                  <w:vAlign w:val="center"/>
                </w:tcPr>
                <w:p w14:paraId="0E0D161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12.29</w:t>
                  </w:r>
                </w:p>
              </w:tc>
              <w:tc>
                <w:tcPr>
                  <w:tcW w:w="544" w:type="pct"/>
                  <w:noWrap w:val="0"/>
                  <w:tcMar>
                    <w:top w:w="120" w:type="dxa"/>
                    <w:left w:w="120" w:type="dxa"/>
                    <w:bottom w:w="120" w:type="dxa"/>
                    <w:right w:w="120" w:type="dxa"/>
                  </w:tcMar>
                  <w:vAlign w:val="center"/>
                </w:tcPr>
                <w:p w14:paraId="109D08F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t标准煤</w:t>
                  </w:r>
                </w:p>
              </w:tc>
              <w:tc>
                <w:tcPr>
                  <w:tcW w:w="566" w:type="pct"/>
                  <w:noWrap w:val="0"/>
                  <w:tcMar>
                    <w:top w:w="120" w:type="dxa"/>
                    <w:left w:w="120" w:type="dxa"/>
                    <w:bottom w:w="120" w:type="dxa"/>
                    <w:right w:w="120" w:type="dxa"/>
                  </w:tcMar>
                  <w:vAlign w:val="center"/>
                </w:tcPr>
                <w:p w14:paraId="5CAA2F4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市政电网</w:t>
                  </w:r>
                </w:p>
              </w:tc>
            </w:tr>
            <w:tr w14:paraId="7721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1" w:type="pct"/>
                  <w:noWrap w:val="0"/>
                  <w:tcMar>
                    <w:top w:w="120" w:type="dxa"/>
                    <w:left w:w="120" w:type="dxa"/>
                    <w:bottom w:w="120" w:type="dxa"/>
                    <w:right w:w="120" w:type="dxa"/>
                  </w:tcMar>
                  <w:vAlign w:val="center"/>
                </w:tcPr>
                <w:p w14:paraId="040B7EB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w:t>
                  </w:r>
                </w:p>
              </w:tc>
              <w:tc>
                <w:tcPr>
                  <w:tcW w:w="713" w:type="pct"/>
                  <w:noWrap w:val="0"/>
                  <w:tcMar>
                    <w:top w:w="120" w:type="dxa"/>
                    <w:left w:w="120" w:type="dxa"/>
                    <w:bottom w:w="120" w:type="dxa"/>
                    <w:right w:w="120" w:type="dxa"/>
                  </w:tcMar>
                  <w:vAlign w:val="center"/>
                </w:tcPr>
                <w:p w14:paraId="3BB5F74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生物质成型燃料</w:t>
                  </w:r>
                </w:p>
              </w:tc>
              <w:tc>
                <w:tcPr>
                  <w:tcW w:w="919" w:type="pct"/>
                  <w:noWrap w:val="0"/>
                  <w:tcMar>
                    <w:top w:w="120" w:type="dxa"/>
                    <w:left w:w="120" w:type="dxa"/>
                    <w:bottom w:w="120" w:type="dxa"/>
                    <w:right w:w="120" w:type="dxa"/>
                  </w:tcMar>
                  <w:vAlign w:val="center"/>
                </w:tcPr>
                <w:p w14:paraId="090A2BF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1083.35t/a</w:t>
                  </w:r>
                </w:p>
              </w:tc>
              <w:tc>
                <w:tcPr>
                  <w:tcW w:w="1168" w:type="pct"/>
                  <w:noWrap w:val="0"/>
                  <w:tcMar>
                    <w:top w:w="120" w:type="dxa"/>
                    <w:left w:w="120" w:type="dxa"/>
                    <w:bottom w:w="120" w:type="dxa"/>
                    <w:right w:w="120" w:type="dxa"/>
                  </w:tcMar>
                  <w:vAlign w:val="center"/>
                </w:tcPr>
                <w:p w14:paraId="2D46886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0.5944t标准煤/t</w:t>
                  </w:r>
                </w:p>
              </w:tc>
              <w:tc>
                <w:tcPr>
                  <w:tcW w:w="657" w:type="pct"/>
                  <w:noWrap w:val="0"/>
                  <w:tcMar>
                    <w:top w:w="120" w:type="dxa"/>
                    <w:left w:w="120" w:type="dxa"/>
                    <w:bottom w:w="120" w:type="dxa"/>
                    <w:right w:w="120" w:type="dxa"/>
                  </w:tcMar>
                  <w:vAlign w:val="center"/>
                </w:tcPr>
                <w:p w14:paraId="20D1315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643.94</w:t>
                  </w:r>
                </w:p>
              </w:tc>
              <w:tc>
                <w:tcPr>
                  <w:tcW w:w="544" w:type="pct"/>
                  <w:noWrap w:val="0"/>
                  <w:tcMar>
                    <w:top w:w="120" w:type="dxa"/>
                    <w:left w:w="120" w:type="dxa"/>
                    <w:bottom w:w="120" w:type="dxa"/>
                    <w:right w:w="120" w:type="dxa"/>
                  </w:tcMar>
                  <w:vAlign w:val="center"/>
                </w:tcPr>
                <w:p w14:paraId="792AB49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t标准煤</w:t>
                  </w:r>
                </w:p>
              </w:tc>
              <w:tc>
                <w:tcPr>
                  <w:tcW w:w="566" w:type="pct"/>
                  <w:noWrap w:val="0"/>
                  <w:tcMar>
                    <w:top w:w="120" w:type="dxa"/>
                    <w:left w:w="120" w:type="dxa"/>
                    <w:bottom w:w="120" w:type="dxa"/>
                    <w:right w:w="120" w:type="dxa"/>
                  </w:tcMar>
                  <w:vAlign w:val="center"/>
                </w:tcPr>
                <w:p w14:paraId="2FAFBCA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外购</w:t>
                  </w:r>
                </w:p>
              </w:tc>
            </w:tr>
            <w:tr w14:paraId="175D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1" w:type="pct"/>
                  <w:noWrap w:val="0"/>
                  <w:tcMar>
                    <w:top w:w="120" w:type="dxa"/>
                    <w:left w:w="120" w:type="dxa"/>
                    <w:bottom w:w="120" w:type="dxa"/>
                    <w:right w:w="120" w:type="dxa"/>
                  </w:tcMar>
                  <w:vAlign w:val="center"/>
                </w:tcPr>
                <w:p w14:paraId="7DBDC71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4</w:t>
                  </w:r>
                </w:p>
              </w:tc>
              <w:tc>
                <w:tcPr>
                  <w:tcW w:w="713" w:type="pct"/>
                  <w:noWrap w:val="0"/>
                  <w:tcMar>
                    <w:top w:w="120" w:type="dxa"/>
                    <w:left w:w="120" w:type="dxa"/>
                    <w:bottom w:w="120" w:type="dxa"/>
                    <w:right w:w="120" w:type="dxa"/>
                  </w:tcMar>
                  <w:vAlign w:val="center"/>
                </w:tcPr>
                <w:p w14:paraId="17CB8C5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柴油</w:t>
                  </w:r>
                </w:p>
              </w:tc>
              <w:tc>
                <w:tcPr>
                  <w:tcW w:w="919" w:type="pct"/>
                  <w:noWrap w:val="0"/>
                  <w:tcMar>
                    <w:top w:w="120" w:type="dxa"/>
                    <w:left w:w="120" w:type="dxa"/>
                    <w:bottom w:w="120" w:type="dxa"/>
                    <w:right w:w="120" w:type="dxa"/>
                  </w:tcMar>
                  <w:vAlign w:val="center"/>
                </w:tcPr>
                <w:p w14:paraId="7E69487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0.1t/a</w:t>
                  </w:r>
                </w:p>
              </w:tc>
              <w:tc>
                <w:tcPr>
                  <w:tcW w:w="1168" w:type="pct"/>
                  <w:noWrap w:val="0"/>
                  <w:tcMar>
                    <w:top w:w="120" w:type="dxa"/>
                    <w:left w:w="120" w:type="dxa"/>
                    <w:bottom w:w="120" w:type="dxa"/>
                    <w:right w:w="120" w:type="dxa"/>
                  </w:tcMar>
                  <w:vAlign w:val="center"/>
                </w:tcPr>
                <w:p w14:paraId="67137B3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1.4571t标准煤/t</w:t>
                  </w:r>
                </w:p>
              </w:tc>
              <w:tc>
                <w:tcPr>
                  <w:tcW w:w="657" w:type="pct"/>
                  <w:noWrap w:val="0"/>
                  <w:tcMar>
                    <w:top w:w="120" w:type="dxa"/>
                    <w:left w:w="120" w:type="dxa"/>
                    <w:bottom w:w="120" w:type="dxa"/>
                    <w:right w:w="120" w:type="dxa"/>
                  </w:tcMar>
                  <w:vAlign w:val="center"/>
                </w:tcPr>
                <w:p w14:paraId="4C565E5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0.15</w:t>
                  </w:r>
                </w:p>
              </w:tc>
              <w:tc>
                <w:tcPr>
                  <w:tcW w:w="544" w:type="pct"/>
                  <w:noWrap w:val="0"/>
                  <w:tcMar>
                    <w:top w:w="120" w:type="dxa"/>
                    <w:left w:w="120" w:type="dxa"/>
                    <w:bottom w:w="120" w:type="dxa"/>
                    <w:right w:w="120" w:type="dxa"/>
                  </w:tcMar>
                  <w:vAlign w:val="center"/>
                </w:tcPr>
                <w:p w14:paraId="14021CA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t标准煤</w:t>
                  </w:r>
                </w:p>
              </w:tc>
              <w:tc>
                <w:tcPr>
                  <w:tcW w:w="566" w:type="pct"/>
                  <w:noWrap w:val="0"/>
                  <w:tcMar>
                    <w:top w:w="120" w:type="dxa"/>
                    <w:left w:w="120" w:type="dxa"/>
                    <w:bottom w:w="120" w:type="dxa"/>
                    <w:right w:w="120" w:type="dxa"/>
                  </w:tcMar>
                  <w:vAlign w:val="center"/>
                </w:tcPr>
                <w:p w14:paraId="2A28985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外购</w:t>
                  </w:r>
                </w:p>
              </w:tc>
            </w:tr>
            <w:tr w14:paraId="2BC5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431" w:type="pct"/>
                  <w:noWrap w:val="0"/>
                  <w:tcMar>
                    <w:top w:w="120" w:type="dxa"/>
                    <w:left w:w="120" w:type="dxa"/>
                    <w:bottom w:w="120" w:type="dxa"/>
                    <w:right w:w="120" w:type="dxa"/>
                  </w:tcMar>
                  <w:vAlign w:val="center"/>
                </w:tcPr>
                <w:p w14:paraId="3238120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5</w:t>
                  </w:r>
                </w:p>
              </w:tc>
              <w:tc>
                <w:tcPr>
                  <w:tcW w:w="713" w:type="pct"/>
                  <w:noWrap w:val="0"/>
                  <w:tcMar>
                    <w:top w:w="120" w:type="dxa"/>
                    <w:left w:w="120" w:type="dxa"/>
                    <w:bottom w:w="120" w:type="dxa"/>
                    <w:right w:w="120" w:type="dxa"/>
                  </w:tcMar>
                  <w:vAlign w:val="center"/>
                </w:tcPr>
                <w:p w14:paraId="7DEACDC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合计</w:t>
                  </w:r>
                </w:p>
              </w:tc>
              <w:tc>
                <w:tcPr>
                  <w:tcW w:w="919" w:type="pct"/>
                  <w:noWrap w:val="0"/>
                  <w:tcMar>
                    <w:top w:w="120" w:type="dxa"/>
                    <w:left w:w="120" w:type="dxa"/>
                    <w:bottom w:w="120" w:type="dxa"/>
                    <w:right w:w="120" w:type="dxa"/>
                  </w:tcMar>
                  <w:vAlign w:val="center"/>
                </w:tcPr>
                <w:p w14:paraId="5A30FEF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1168" w:type="pct"/>
                  <w:noWrap w:val="0"/>
                  <w:tcMar>
                    <w:top w:w="120" w:type="dxa"/>
                    <w:left w:w="120" w:type="dxa"/>
                    <w:bottom w:w="120" w:type="dxa"/>
                    <w:right w:w="120" w:type="dxa"/>
                  </w:tcMar>
                  <w:vAlign w:val="center"/>
                </w:tcPr>
                <w:p w14:paraId="5522A38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657" w:type="pct"/>
                  <w:noWrap w:val="0"/>
                  <w:tcMar>
                    <w:top w:w="120" w:type="dxa"/>
                    <w:left w:w="120" w:type="dxa"/>
                    <w:bottom w:w="120" w:type="dxa"/>
                    <w:right w:w="120" w:type="dxa"/>
                  </w:tcMar>
                  <w:vAlign w:val="center"/>
                </w:tcPr>
                <w:p w14:paraId="665975AC">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666.87</w:t>
                  </w:r>
                </w:p>
              </w:tc>
              <w:tc>
                <w:tcPr>
                  <w:tcW w:w="544" w:type="pct"/>
                  <w:noWrap w:val="0"/>
                  <w:tcMar>
                    <w:top w:w="120" w:type="dxa"/>
                    <w:left w:w="120" w:type="dxa"/>
                    <w:bottom w:w="120" w:type="dxa"/>
                    <w:right w:w="120" w:type="dxa"/>
                  </w:tcMar>
                  <w:vAlign w:val="center"/>
                </w:tcPr>
                <w:p w14:paraId="1234740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t标准煤</w:t>
                  </w:r>
                </w:p>
              </w:tc>
              <w:tc>
                <w:tcPr>
                  <w:tcW w:w="566" w:type="pct"/>
                  <w:noWrap w:val="0"/>
                  <w:tcMar>
                    <w:top w:w="120" w:type="dxa"/>
                    <w:left w:w="120" w:type="dxa"/>
                    <w:bottom w:w="120" w:type="dxa"/>
                    <w:right w:w="120" w:type="dxa"/>
                  </w:tcMar>
                  <w:vAlign w:val="center"/>
                </w:tcPr>
                <w:p w14:paraId="1ECB0F5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r>
          </w:tbl>
          <w:p w14:paraId="395A30FF">
            <w:pPr>
              <w:spacing w:line="480" w:lineRule="exact"/>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根据《固定资产投资项目节能审查办法》（国家发改委2023年第2号令）“年综合能源消费量不满1000吨标准煤，且年电力消费量不满500万千瓦时的固定资产投资项目，以及用能工艺简单、节能潜力小的行业的固定资产投资项目应按照相关节能标准、规范建设，不再单独进行节能审查”，项目年综合能源消费量</w:t>
            </w:r>
            <w:r>
              <w:rPr>
                <w:rFonts w:hint="eastAsia" w:ascii="Times New Roman" w:hAnsi="Times New Roman" w:eastAsia="宋体" w:cs="Times New Roman"/>
                <w:color w:val="000000" w:themeColor="text1"/>
                <w:kern w:val="0"/>
                <w:sz w:val="24"/>
                <w:lang w:bidi="ar"/>
                <w14:textFill>
                  <w14:solidFill>
                    <w14:schemeClr w14:val="tx1"/>
                  </w14:solidFill>
                </w14:textFill>
              </w:rPr>
              <w:t>666.87</w:t>
            </w:r>
            <w:r>
              <w:rPr>
                <w:rFonts w:hint="eastAsia" w:ascii="Times New Roman" w:hAnsi="Times New Roman" w:eastAsia="宋体" w:cs="Times New Roman"/>
                <w:bCs/>
                <w:color w:val="000000" w:themeColor="text1"/>
                <w:sz w:val="24"/>
                <w14:textFill>
                  <w14:solidFill>
                    <w14:schemeClr w14:val="tx1"/>
                  </w14:solidFill>
                </w14:textFill>
              </w:rPr>
              <w:t>吨标准煤，且年电力消费量不满500万千瓦时，项目用能工艺简单、节能潜力小，故不单独进行节能审查。</w:t>
            </w:r>
          </w:p>
          <w:p w14:paraId="5F887422">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8、厂区平面布置情况</w:t>
            </w:r>
          </w:p>
          <w:p w14:paraId="75F3D6C4">
            <w:pPr>
              <w:spacing w:line="480" w:lineRule="exact"/>
              <w:ind w:firstLine="488" w:firstLineChars="200"/>
              <w:rPr>
                <w:rFonts w:ascii="Times New Roman" w:hAnsi="Times New Roman" w:eastAsia="宋体" w:cs="Times New Roman"/>
                <w:color w:val="000000" w:themeColor="text1"/>
                <w:spacing w:val="2"/>
                <w:sz w:val="24"/>
                <w14:textFill>
                  <w14:solidFill>
                    <w14:schemeClr w14:val="tx1"/>
                  </w14:solidFill>
                </w14:textFill>
              </w:rPr>
            </w:pPr>
            <w:r>
              <w:rPr>
                <w:rFonts w:ascii="Times New Roman" w:hAnsi="Times New Roman" w:eastAsia="宋体" w:cs="Times New Roman"/>
                <w:color w:val="000000" w:themeColor="text1"/>
                <w:spacing w:val="2"/>
                <w:sz w:val="24"/>
                <w14:textFill>
                  <w14:solidFill>
                    <w14:schemeClr w14:val="tx1"/>
                  </w14:solidFill>
                </w14:textFill>
              </w:rPr>
              <w:t>项目选址位于</w:t>
            </w:r>
            <w:r>
              <w:rPr>
                <w:rFonts w:ascii="Times New Roman" w:hAnsi="Times New Roman" w:eastAsia="宋体" w:cs="Times New Roman"/>
                <w:color w:val="000000" w:themeColor="text1"/>
                <w:sz w:val="24"/>
                <w14:textFill>
                  <w14:solidFill>
                    <w14:schemeClr w14:val="tx1"/>
                  </w14:solidFill>
                </w14:textFill>
              </w:rPr>
              <w:t>湛江市霞山区铁路粤西农垦供销总公司南山库区8381-1仓</w:t>
            </w:r>
            <w:r>
              <w:rPr>
                <w:rFonts w:ascii="Times New Roman" w:hAnsi="Times New Roman" w:eastAsia="宋体" w:cs="Times New Roman"/>
                <w:color w:val="000000" w:themeColor="text1"/>
                <w:spacing w:val="2"/>
                <w:sz w:val="24"/>
                <w14:textFill>
                  <w14:solidFill>
                    <w14:schemeClr w14:val="tx1"/>
                  </w14:solidFill>
                </w14:textFill>
              </w:rPr>
              <w:t>，项目所占地面积为1</w:t>
            </w:r>
            <w:r>
              <w:rPr>
                <w:rFonts w:hint="eastAsia" w:cs="Times New Roman"/>
                <w:color w:val="000000" w:themeColor="text1"/>
                <w:spacing w:val="2"/>
                <w:sz w:val="24"/>
                <w:lang w:val="en-US" w:eastAsia="zh-CN"/>
                <w14:textFill>
                  <w14:solidFill>
                    <w14:schemeClr w14:val="tx1"/>
                  </w14:solidFill>
                </w14:textFill>
              </w:rPr>
              <w:t>758</w:t>
            </w:r>
            <w:r>
              <w:rPr>
                <w:rFonts w:ascii="Times New Roman" w:hAnsi="Times New Roman" w:eastAsia="宋体" w:cs="Times New Roman"/>
                <w:color w:val="000000" w:themeColor="text1"/>
                <w:spacing w:val="2"/>
                <w:sz w:val="24"/>
                <w14:textFill>
                  <w14:solidFill>
                    <w14:schemeClr w14:val="tx1"/>
                  </w14:solidFill>
                </w14:textFill>
              </w:rPr>
              <w:t>m</w:t>
            </w:r>
            <w:r>
              <w:rPr>
                <w:rFonts w:ascii="Times New Roman" w:hAnsi="Times New Roman" w:eastAsia="宋体" w:cs="Times New Roman"/>
                <w:color w:val="000000" w:themeColor="text1"/>
                <w:spacing w:val="2"/>
                <w:sz w:val="24"/>
                <w:vertAlign w:val="superscript"/>
                <w14:textFill>
                  <w14:solidFill>
                    <w14:schemeClr w14:val="tx1"/>
                  </w14:solidFill>
                </w14:textFill>
              </w:rPr>
              <w:t>2</w:t>
            </w:r>
            <w:r>
              <w:rPr>
                <w:rFonts w:ascii="Times New Roman" w:hAnsi="Times New Roman" w:eastAsia="宋体" w:cs="Times New Roman"/>
                <w:color w:val="000000" w:themeColor="text1"/>
                <w:spacing w:val="2"/>
                <w:sz w:val="24"/>
                <w14:textFill>
                  <w14:solidFill>
                    <w14:schemeClr w14:val="tx1"/>
                  </w14:solidFill>
                </w14:textFill>
              </w:rPr>
              <w:t>，根据企业提供的平面布置图，总平面整体呈矩形，厂内平面布置遵循人流、物流畅通原则，并结合项目实际进行合理布局，厂区大门入口位于西北侧，锅炉房位于燃料仓的南侧，一般固废暂存间位于东北侧，自建污水处理站位于一般固废暂存间的南侧，</w:t>
            </w:r>
            <w:r>
              <w:rPr>
                <w:rFonts w:hint="eastAsia" w:ascii="Times New Roman" w:hAnsi="Times New Roman" w:eastAsia="宋体" w:cs="Times New Roman"/>
                <w:color w:val="000000" w:themeColor="text1"/>
                <w:spacing w:val="2"/>
                <w:sz w:val="24"/>
                <w14:textFill>
                  <w14:solidFill>
                    <w14:schemeClr w14:val="tx1"/>
                  </w14:solidFill>
                </w14:textFill>
              </w:rPr>
              <w:t>洗水区域（</w:t>
            </w:r>
            <w:r>
              <w:rPr>
                <w:rFonts w:ascii="Times New Roman" w:hAnsi="Times New Roman" w:eastAsia="宋体" w:cs="Times New Roman"/>
                <w:color w:val="000000" w:themeColor="text1"/>
                <w:spacing w:val="2"/>
                <w:sz w:val="24"/>
                <w14:textFill>
                  <w14:solidFill>
                    <w14:schemeClr w14:val="tx1"/>
                  </w14:solidFill>
                </w14:textFill>
              </w:rPr>
              <w:t>2号车间</w:t>
            </w:r>
            <w:r>
              <w:rPr>
                <w:rFonts w:hint="eastAsia" w:ascii="Times New Roman" w:hAnsi="Times New Roman" w:eastAsia="宋体" w:cs="Times New Roman"/>
                <w:color w:val="000000" w:themeColor="text1"/>
                <w:spacing w:val="2"/>
                <w:sz w:val="24"/>
                <w14:textFill>
                  <w14:solidFill>
                    <w14:schemeClr w14:val="tx1"/>
                  </w14:solidFill>
                </w14:textFill>
              </w:rPr>
              <w:t>）</w:t>
            </w:r>
            <w:r>
              <w:rPr>
                <w:rFonts w:ascii="Times New Roman" w:hAnsi="Times New Roman" w:eastAsia="宋体" w:cs="Times New Roman"/>
                <w:color w:val="000000" w:themeColor="text1"/>
                <w:spacing w:val="2"/>
                <w:sz w:val="24"/>
                <w14:textFill>
                  <w14:solidFill>
                    <w14:schemeClr w14:val="tx1"/>
                  </w14:solidFill>
                </w14:textFill>
              </w:rPr>
              <w:t>位于东侧中部，办公区域位于南侧。详细厂区平面布置图见附图5。</w:t>
            </w:r>
          </w:p>
          <w:p w14:paraId="68A56F01">
            <w:pPr>
              <w:spacing w:line="480" w:lineRule="exact"/>
              <w:ind w:firstLine="488" w:firstLineChars="200"/>
              <w:rPr>
                <w:rFonts w:ascii="Times New Roman" w:hAnsi="Times New Roman" w:eastAsia="宋体" w:cs="Times New Roman"/>
                <w:color w:val="000000" w:themeColor="text1"/>
                <w:spacing w:val="2"/>
                <w:szCs w:val="21"/>
                <w14:textFill>
                  <w14:solidFill>
                    <w14:schemeClr w14:val="tx1"/>
                  </w14:solidFill>
                </w14:textFill>
              </w:rPr>
            </w:pPr>
            <w:r>
              <w:rPr>
                <w:rFonts w:ascii="Times New Roman" w:hAnsi="Times New Roman" w:eastAsia="宋体" w:cs="Times New Roman"/>
                <w:color w:val="000000" w:themeColor="text1"/>
                <w:spacing w:val="2"/>
                <w:sz w:val="24"/>
                <w14:textFill>
                  <w14:solidFill>
                    <w14:schemeClr w14:val="tx1"/>
                  </w14:solidFill>
                </w14:textFill>
              </w:rPr>
              <w:t>项目北侧为</w:t>
            </w:r>
            <w:r>
              <w:rPr>
                <w:rFonts w:hint="eastAsia" w:ascii="Times New Roman" w:hAnsi="Times New Roman" w:eastAsia="宋体" w:cs="Times New Roman"/>
                <w:color w:val="000000" w:themeColor="text1"/>
                <w:spacing w:val="2"/>
                <w:sz w:val="24"/>
                <w14:textFill>
                  <w14:solidFill>
                    <w14:schemeClr w14:val="tx1"/>
                  </w14:solidFill>
                </w14:textFill>
              </w:rPr>
              <w:t>街道道路</w:t>
            </w:r>
            <w:r>
              <w:rPr>
                <w:rFonts w:ascii="Times New Roman" w:hAnsi="Times New Roman" w:eastAsia="宋体" w:cs="Times New Roman"/>
                <w:color w:val="000000" w:themeColor="text1"/>
                <w:spacing w:val="2"/>
                <w:sz w:val="24"/>
                <w14:textFill>
                  <w14:solidFill>
                    <w14:schemeClr w14:val="tx1"/>
                  </w14:solidFill>
                </w14:textFill>
              </w:rPr>
              <w:t>，南侧为</w:t>
            </w:r>
            <w:r>
              <w:rPr>
                <w:rFonts w:hint="eastAsia" w:ascii="Times New Roman" w:hAnsi="Times New Roman" w:eastAsia="宋体" w:cs="Times New Roman"/>
                <w:color w:val="000000" w:themeColor="text1"/>
                <w:spacing w:val="2"/>
                <w:sz w:val="24"/>
                <w14:textFill>
                  <w14:solidFill>
                    <w14:schemeClr w14:val="tx1"/>
                  </w14:solidFill>
                </w14:textFill>
              </w:rPr>
              <w:t>兴嘉如制衣厂</w:t>
            </w:r>
            <w:r>
              <w:rPr>
                <w:rFonts w:ascii="Times New Roman" w:hAnsi="Times New Roman" w:eastAsia="宋体" w:cs="Times New Roman"/>
                <w:color w:val="000000" w:themeColor="text1"/>
                <w:spacing w:val="2"/>
                <w:sz w:val="24"/>
                <w14:textFill>
                  <w14:solidFill>
                    <w14:schemeClr w14:val="tx1"/>
                  </w14:solidFill>
                </w14:textFill>
              </w:rPr>
              <w:t>，西侧为</w:t>
            </w:r>
            <w:r>
              <w:rPr>
                <w:rFonts w:hint="eastAsia" w:ascii="Times New Roman" w:hAnsi="Times New Roman" w:eastAsia="宋体" w:cs="Times New Roman"/>
                <w:color w:val="000000" w:themeColor="text1"/>
                <w:spacing w:val="2"/>
                <w:sz w:val="24"/>
                <w14:textFill>
                  <w14:solidFill>
                    <w14:schemeClr w14:val="tx1"/>
                  </w14:solidFill>
                </w14:textFill>
              </w:rPr>
              <w:t>东风炭业</w:t>
            </w:r>
            <w:r>
              <w:rPr>
                <w:rFonts w:ascii="Times New Roman" w:hAnsi="Times New Roman" w:eastAsia="宋体" w:cs="Times New Roman"/>
                <w:color w:val="000000" w:themeColor="text1"/>
                <w:spacing w:val="2"/>
                <w:sz w:val="24"/>
                <w14:textFill>
                  <w14:solidFill>
                    <w14:schemeClr w14:val="tx1"/>
                  </w14:solidFill>
                </w14:textFill>
              </w:rPr>
              <w:t>，</w:t>
            </w:r>
            <w:r>
              <w:rPr>
                <w:rFonts w:hint="eastAsia" w:ascii="Times New Roman" w:hAnsi="Times New Roman" w:eastAsia="宋体" w:cs="Times New Roman"/>
                <w:color w:val="000000" w:themeColor="text1"/>
                <w:spacing w:val="2"/>
                <w:sz w:val="24"/>
                <w14:textFill>
                  <w14:solidFill>
                    <w14:schemeClr w14:val="tx1"/>
                  </w14:solidFill>
                </w14:textFill>
              </w:rPr>
              <w:t>东</w:t>
            </w:r>
            <w:r>
              <w:rPr>
                <w:rFonts w:ascii="Times New Roman" w:hAnsi="Times New Roman" w:eastAsia="宋体" w:cs="Times New Roman"/>
                <w:color w:val="000000" w:themeColor="text1"/>
                <w:spacing w:val="2"/>
                <w:sz w:val="24"/>
                <w14:textFill>
                  <w14:solidFill>
                    <w14:schemeClr w14:val="tx1"/>
                  </w14:solidFill>
                </w14:textFill>
              </w:rPr>
              <w:t>侧为</w:t>
            </w:r>
            <w:r>
              <w:rPr>
                <w:rFonts w:hint="eastAsia" w:ascii="Times New Roman" w:hAnsi="Times New Roman" w:eastAsia="宋体" w:cs="Times New Roman"/>
                <w:color w:val="000000" w:themeColor="text1"/>
                <w:spacing w:val="2"/>
                <w:sz w:val="24"/>
                <w14:textFill>
                  <w14:solidFill>
                    <w14:schemeClr w14:val="tx1"/>
                  </w14:solidFill>
                </w14:textFill>
              </w:rPr>
              <w:t>湛江市润丰水产有限公司</w:t>
            </w:r>
            <w:r>
              <w:rPr>
                <w:rFonts w:ascii="Times New Roman" w:hAnsi="Times New Roman" w:eastAsia="宋体" w:cs="Times New Roman"/>
                <w:color w:val="000000" w:themeColor="text1"/>
                <w:spacing w:val="2"/>
                <w:sz w:val="24"/>
                <w14:textFill>
                  <w14:solidFill>
                    <w14:schemeClr w14:val="tx1"/>
                  </w14:solidFill>
                </w14:textFill>
              </w:rPr>
              <w:t>。项目四至情况详见附图4。</w:t>
            </w:r>
          </w:p>
        </w:tc>
      </w:tr>
      <w:tr w14:paraId="691E27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3" w:hRule="atLeast"/>
          <w:jc w:val="center"/>
        </w:trPr>
        <w:tc>
          <w:tcPr>
            <w:tcW w:w="645" w:type="dxa"/>
            <w:noWrap w:val="0"/>
            <w:vAlign w:val="center"/>
          </w:tcPr>
          <w:p w14:paraId="6A321615">
            <w:pPr>
              <w:pStyle w:val="28"/>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工艺流程和产排污环节</w:t>
            </w:r>
          </w:p>
        </w:tc>
        <w:tc>
          <w:tcPr>
            <w:tcW w:w="8415" w:type="dxa"/>
            <w:noWrap w:val="0"/>
            <w:vAlign w:val="top"/>
          </w:tcPr>
          <w:p w14:paraId="2752E576">
            <w:pPr>
              <w:overflowPunct w:val="0"/>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一、施工期</w:t>
            </w:r>
          </w:p>
          <w:p w14:paraId="02AD1B93">
            <w:pPr>
              <w:overflowPunct w:val="0"/>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项目租赁铁路粤西农垦供销总公司南山库区8381-1仓，无土建工程，设备安装过程亦不涉及土建工程，仅存在设备调试过程产生的噪声且随着安装过程的结束而结束。</w:t>
            </w:r>
          </w:p>
          <w:p w14:paraId="678D57DF">
            <w:pPr>
              <w:overflowPunct w:val="0"/>
              <w:spacing w:line="480" w:lineRule="exact"/>
              <w:ind w:firstLine="482" w:firstLineChars="200"/>
              <w:rPr>
                <w:rFonts w:ascii="Times New Roman" w:hAnsi="Times New Roman" w:eastAsia="宋体" w:cs="Times New Roman"/>
                <w:b/>
                <w:snapToGrid w:val="0"/>
                <w:color w:val="000000" w:themeColor="text1"/>
                <w:kern w:val="0"/>
                <w:sz w:val="24"/>
                <w14:textFill>
                  <w14:solidFill>
                    <w14:schemeClr w14:val="tx1"/>
                  </w14:solidFill>
                </w14:textFill>
              </w:rPr>
            </w:pPr>
            <w:r>
              <w:rPr>
                <w:rFonts w:ascii="Times New Roman" w:hAnsi="Times New Roman" w:eastAsia="宋体" w:cs="Times New Roman"/>
                <w:b/>
                <w:snapToGrid w:val="0"/>
                <w:color w:val="000000" w:themeColor="text1"/>
                <w:kern w:val="0"/>
                <w:sz w:val="24"/>
                <w14:textFill>
                  <w14:solidFill>
                    <w14:schemeClr w14:val="tx1"/>
                  </w14:solidFill>
                </w14:textFill>
              </w:rPr>
              <w:t>二、营运期</w:t>
            </w:r>
          </w:p>
          <w:p w14:paraId="3AC52226">
            <w:pPr>
              <w:spacing w:line="480" w:lineRule="exact"/>
              <w:ind w:firstLine="488" w:firstLineChars="200"/>
              <w:rPr>
                <w:rFonts w:ascii="Times New Roman" w:hAnsi="Times New Roman" w:eastAsia="宋体" w:cs="Times New Roman"/>
                <w:color w:val="000000" w:themeColor="text1"/>
                <w:spacing w:val="2"/>
                <w:sz w:val="24"/>
                <w14:textFill>
                  <w14:solidFill>
                    <w14:schemeClr w14:val="tx1"/>
                  </w14:solidFill>
                </w14:textFill>
              </w:rPr>
            </w:pPr>
            <w:r>
              <w:rPr>
                <w:rFonts w:ascii="Times New Roman" w:hAnsi="Times New Roman" w:eastAsia="宋体" w:cs="Times New Roman"/>
                <w:color w:val="000000" w:themeColor="text1"/>
                <w:spacing w:val="2"/>
                <w:sz w:val="24"/>
                <w14:textFill>
                  <w14:solidFill>
                    <w14:schemeClr w14:val="tx1"/>
                  </w14:solidFill>
                </w14:textFill>
              </w:rPr>
              <w:t>本项目的生产工艺及产污环节具体如下：</w:t>
            </w:r>
          </w:p>
          <w:p w14:paraId="4C4490FB">
            <w:pPr>
              <w:overflowPunct w:val="0"/>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object>
                <v:shape id="_x0000_i1026" o:spt="75" type="#_x0000_t75" style="height:271.9pt;width:421.35pt;" o:ole="t" filled="f" o:preferrelative="t" stroked="f" coordsize="21600,21600">
                  <v:path/>
                  <v:fill on="f" focussize="0,0"/>
                  <v:stroke on="f"/>
                  <v:imagedata r:id="rId13" o:title=""/>
                  <o:lock v:ext="edit" aspectratio="f"/>
                  <w10:wrap type="none"/>
                  <w10:anchorlock/>
                </v:shape>
                <o:OLEObject Type="Embed" ProgID="Visio.Drawing.11" ShapeID="_x0000_i1026" DrawAspect="Content" ObjectID="_1468075726" r:id="rId12">
                  <o:LockedField>false</o:LockedField>
                </o:OLEObject>
              </w:object>
            </w:r>
            <w:r>
              <w:rPr>
                <w:rFonts w:ascii="Times New Roman" w:hAnsi="Times New Roman" w:eastAsia="宋体" w:cs="Times New Roman"/>
                <w:b/>
                <w:bCs/>
                <w:color w:val="000000" w:themeColor="text1"/>
                <w:sz w:val="24"/>
                <w14:textFill>
                  <w14:solidFill>
                    <w14:schemeClr w14:val="tx1"/>
                  </w14:solidFill>
                </w14:textFill>
              </w:rPr>
              <w:t>图2-</w:t>
            </w: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b/>
                <w:bCs/>
                <w:color w:val="000000" w:themeColor="text1"/>
                <w:sz w:val="24"/>
                <w14:textFill>
                  <w14:solidFill>
                    <w14:schemeClr w14:val="tx1"/>
                  </w14:solidFill>
                </w14:textFill>
              </w:rPr>
              <w:t>项目</w:t>
            </w:r>
            <w:r>
              <w:rPr>
                <w:rFonts w:ascii="Times New Roman" w:hAnsi="Times New Roman" w:eastAsia="宋体" w:cs="Times New Roman"/>
                <w:b/>
                <w:color w:val="000000" w:themeColor="text1"/>
                <w:sz w:val="24"/>
                <w14:textFill>
                  <w14:solidFill>
                    <w14:schemeClr w14:val="tx1"/>
                  </w14:solidFill>
                </w14:textFill>
              </w:rPr>
              <w:t>工艺流程及产污环节示意图</w:t>
            </w:r>
          </w:p>
          <w:p w14:paraId="77DCD3EE">
            <w:p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工艺流程说明：</w:t>
            </w:r>
          </w:p>
          <w:p w14:paraId="284A5EEC">
            <w:pPr>
              <w:overflowPunct w:val="0"/>
              <w:spacing w:line="480" w:lineRule="exact"/>
              <w:ind w:firstLine="480" w:firstLineChars="200"/>
              <w:rPr>
                <w:rFonts w:ascii="Times New Roman" w:hAnsi="Times New Roman" w:eastAsia="宋体" w:cs="Times New Roman"/>
                <w:bCs/>
                <w:snapToGrid w:val="0"/>
                <w:color w:val="000000" w:themeColor="text1"/>
                <w:kern w:val="0"/>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分拣:由人工对从酒店、宾馆回收的各类织物，</w:t>
            </w:r>
            <w:r>
              <w:rPr>
                <w:rFonts w:hint="eastAsia" w:ascii="Times New Roman" w:hAnsi="Times New Roman" w:eastAsia="宋体" w:cs="Times New Roman"/>
                <w:bCs/>
                <w:snapToGrid w:val="0"/>
                <w:color w:val="000000" w:themeColor="text1"/>
                <w:kern w:val="0"/>
                <w:sz w:val="24"/>
                <w:lang w:val="en-US" w:eastAsia="zh-CN"/>
                <w14:textFill>
                  <w14:solidFill>
                    <w14:schemeClr w14:val="tx1"/>
                  </w14:solidFill>
                </w14:textFill>
              </w:rPr>
              <w:t>如</w:t>
            </w:r>
            <w:r>
              <w:rPr>
                <w:rFonts w:ascii="Times New Roman" w:hAnsi="Times New Roman" w:eastAsia="宋体" w:cs="Times New Roman"/>
                <w:bCs/>
                <w:snapToGrid w:val="0"/>
                <w:color w:val="000000" w:themeColor="text1"/>
                <w:kern w:val="0"/>
                <w:sz w:val="24"/>
                <w14:textFill>
                  <w14:solidFill>
                    <w14:schemeClr w14:val="tx1"/>
                  </w14:solidFill>
                </w14:textFill>
              </w:rPr>
              <w:t>床单、被套、台布以及其他纺织品，进行细致分类。在此工序中，主要会产生少量的织物垃圾。</w:t>
            </w:r>
          </w:p>
          <w:p w14:paraId="0CA04189">
            <w:pPr>
              <w:overflowPunct w:val="0"/>
              <w:spacing w:line="480" w:lineRule="exact"/>
              <w:ind w:firstLine="480" w:firstLineChars="200"/>
              <w:rPr>
                <w:rFonts w:ascii="Times New Roman" w:hAnsi="Times New Roman" w:eastAsia="宋体" w:cs="Times New Roman"/>
                <w:bCs/>
                <w:snapToGrid w:val="0"/>
                <w:color w:val="000000" w:themeColor="text1"/>
                <w:kern w:val="0"/>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洗涤:人工把分类好的</w:t>
            </w:r>
            <w:r>
              <w:rPr>
                <w:rFonts w:hint="eastAsia" w:ascii="Times New Roman" w:hAnsi="Times New Roman" w:eastAsia="宋体" w:cs="Times New Roman"/>
                <w:bCs/>
                <w:snapToGrid w:val="0"/>
                <w:color w:val="000000" w:themeColor="text1"/>
                <w:kern w:val="0"/>
                <w:sz w:val="24"/>
                <w14:textFill>
                  <w14:solidFill>
                    <w14:schemeClr w14:val="tx1"/>
                  </w14:solidFill>
                </w14:textFill>
              </w:rPr>
              <w:t>被服和台布</w:t>
            </w:r>
            <w:r>
              <w:rPr>
                <w:rFonts w:ascii="Times New Roman" w:hAnsi="Times New Roman" w:eastAsia="宋体" w:cs="Times New Roman"/>
                <w:bCs/>
                <w:snapToGrid w:val="0"/>
                <w:color w:val="000000" w:themeColor="text1"/>
                <w:kern w:val="0"/>
                <w:sz w:val="24"/>
                <w14:textFill>
                  <w14:solidFill>
                    <w14:schemeClr w14:val="tx1"/>
                  </w14:solidFill>
                </w14:textFill>
              </w:rPr>
              <w:t>，分别投入水洗机进行自动清洗。洗涤过程中，需要用到</w:t>
            </w:r>
            <w:r>
              <w:rPr>
                <w:rFonts w:ascii="Times New Roman" w:hAnsi="Times New Roman" w:eastAsia="宋体" w:cs="Times New Roman"/>
                <w:color w:val="000000" w:themeColor="text1"/>
                <w:sz w:val="24"/>
                <w14:textFill>
                  <w14:solidFill>
                    <w14:schemeClr w14:val="tx1"/>
                  </w14:solidFill>
                </w14:textFill>
              </w:rPr>
              <w:t>无磷洗衣粉（液）</w:t>
            </w:r>
            <w:r>
              <w:rPr>
                <w:rFonts w:ascii="Times New Roman" w:hAnsi="Times New Roman" w:eastAsia="宋体" w:cs="Times New Roman"/>
                <w:bCs/>
                <w:snapToGrid w:val="0"/>
                <w:color w:val="000000" w:themeColor="text1"/>
                <w:kern w:val="0"/>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漂白剂（双氧水）</w:t>
            </w:r>
            <w:r>
              <w:rPr>
                <w:rFonts w:ascii="Times New Roman" w:hAnsi="Times New Roman" w:eastAsia="宋体" w:cs="Times New Roman"/>
                <w:bCs/>
                <w:snapToGrid w:val="0"/>
                <w:color w:val="000000" w:themeColor="text1"/>
                <w:kern w:val="0"/>
                <w:sz w:val="24"/>
                <w14:textFill>
                  <w14:solidFill>
                    <w14:schemeClr w14:val="tx1"/>
                  </w14:solidFill>
                </w14:textFill>
              </w:rPr>
              <w:t>、</w:t>
            </w:r>
            <w:r>
              <w:rPr>
                <w:rFonts w:hint="eastAsia" w:ascii="Times New Roman" w:hAnsi="Times New Roman" w:eastAsia="宋体" w:cs="Times New Roman"/>
                <w:bCs/>
                <w:snapToGrid w:val="0"/>
                <w:color w:val="000000" w:themeColor="text1"/>
                <w:kern w:val="0"/>
                <w:sz w:val="24"/>
                <w:szCs w:val="24"/>
                <w:lang w:val="en-US" w:eastAsia="zh-CN"/>
                <w14:textFill>
                  <w14:solidFill>
                    <w14:schemeClr w14:val="tx1"/>
                  </w14:solidFill>
                </w14:textFill>
              </w:rPr>
              <w:t>助洗剂</w:t>
            </w:r>
            <w:r>
              <w:rPr>
                <w:rFonts w:hint="eastAsia" w:ascii="Times New Roman" w:hAnsi="Times New Roman" w:eastAsia="宋体" w:cs="Times New Roman"/>
                <w:bCs/>
                <w:snapToGrid w:val="0"/>
                <w:color w:val="000000" w:themeColor="text1"/>
                <w:kern w:val="0"/>
                <w:sz w:val="24"/>
                <w:lang w:val="en-US"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消毒剂（氯间二甲基苯酚）</w:t>
            </w:r>
            <w:r>
              <w:rPr>
                <w:rFonts w:ascii="Times New Roman" w:hAnsi="Times New Roman" w:eastAsia="宋体" w:cs="Times New Roman"/>
                <w:bCs/>
                <w:snapToGrid w:val="0"/>
                <w:color w:val="000000" w:themeColor="text1"/>
                <w:kern w:val="0"/>
                <w:sz w:val="24"/>
                <w14:textFill>
                  <w14:solidFill>
                    <w14:schemeClr w14:val="tx1"/>
                  </w14:solidFill>
                </w14:textFill>
              </w:rPr>
              <w:t>等多种洗涤用品。这些洗涤用品由设备自带的分配器，按照既定配方自动化料，并注入水洗机。清洗、漂洗流程结束后，进行脱水处理，以便后续的烘干操作。该工序产生的污染物主要包括洗涤废水、洗涤剂等废包装材料，以及设备运行过程中产生的噪声。</w:t>
            </w:r>
          </w:p>
          <w:p w14:paraId="52B55EF6">
            <w:pPr>
              <w:overflowPunct w:val="0"/>
              <w:spacing w:line="480" w:lineRule="exact"/>
              <w:ind w:firstLine="480" w:firstLineChars="200"/>
              <w:rPr>
                <w:rFonts w:ascii="Times New Roman" w:hAnsi="Times New Roman" w:eastAsia="宋体" w:cs="Times New Roman"/>
                <w:bCs/>
                <w:snapToGrid w:val="0"/>
                <w:color w:val="000000" w:themeColor="text1"/>
                <w:kern w:val="0"/>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烘干:利用生物质锅炉所提供的高温干燥蒸汽，对烘干机内的</w:t>
            </w:r>
            <w:r>
              <w:rPr>
                <w:rFonts w:hint="eastAsia" w:ascii="Times New Roman" w:hAnsi="Times New Roman" w:eastAsia="宋体" w:cs="Times New Roman"/>
                <w:bCs/>
                <w:snapToGrid w:val="0"/>
                <w:color w:val="000000" w:themeColor="text1"/>
                <w:kern w:val="0"/>
                <w:sz w:val="24"/>
                <w14:textFill>
                  <w14:solidFill>
                    <w14:schemeClr w14:val="tx1"/>
                  </w14:solidFill>
                </w14:textFill>
              </w:rPr>
              <w:t>被服和台布</w:t>
            </w:r>
            <w:r>
              <w:rPr>
                <w:rFonts w:ascii="Times New Roman" w:hAnsi="Times New Roman" w:eastAsia="宋体" w:cs="Times New Roman"/>
                <w:bCs/>
                <w:snapToGrid w:val="0"/>
                <w:color w:val="000000" w:themeColor="text1"/>
                <w:kern w:val="0"/>
                <w:sz w:val="24"/>
                <w14:textFill>
                  <w14:solidFill>
                    <w14:schemeClr w14:val="tx1"/>
                  </w14:solidFill>
                </w14:textFill>
              </w:rPr>
              <w:t>进行烘干处理。烘干完成后，</w:t>
            </w:r>
            <w:r>
              <w:rPr>
                <w:rFonts w:hint="eastAsia" w:ascii="Times New Roman" w:hAnsi="Times New Roman" w:eastAsia="宋体" w:cs="Times New Roman"/>
                <w:bCs/>
                <w:snapToGrid w:val="0"/>
                <w:color w:val="000000" w:themeColor="text1"/>
                <w:kern w:val="0"/>
                <w:sz w:val="24"/>
                <w14:textFill>
                  <w14:solidFill>
                    <w14:schemeClr w14:val="tx1"/>
                  </w14:solidFill>
                </w14:textFill>
              </w:rPr>
              <w:t>经</w:t>
            </w:r>
            <w:r>
              <w:rPr>
                <w:rFonts w:ascii="Times New Roman" w:hAnsi="Times New Roman" w:eastAsia="宋体" w:cs="Times New Roman"/>
                <w:bCs/>
                <w:snapToGrid w:val="0"/>
                <w:color w:val="000000" w:themeColor="text1"/>
                <w:kern w:val="0"/>
                <w:sz w:val="24"/>
                <w14:textFill>
                  <w14:solidFill>
                    <w14:schemeClr w14:val="tx1"/>
                  </w14:solidFill>
                </w14:textFill>
              </w:rPr>
              <w:t>人工折叠将被服、台布按照统一规格(例如对折、三折等)进行折叠。此过程主要会产生锅炉排污水、反冲洗废水、浓水，还有设备运行产生的噪声。</w:t>
            </w:r>
          </w:p>
          <w:p w14:paraId="010975F3">
            <w:pPr>
              <w:overflowPunct w:val="0"/>
              <w:spacing w:line="480" w:lineRule="exact"/>
              <w:ind w:firstLine="480" w:firstLineChars="200"/>
              <w:rPr>
                <w:rFonts w:ascii="Times New Roman" w:hAnsi="Times New Roman" w:eastAsia="宋体" w:cs="Times New Roman"/>
                <w:bCs/>
                <w:snapToGrid w:val="0"/>
                <w:color w:val="000000" w:themeColor="text1"/>
                <w:kern w:val="0"/>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烫平:根据客户的不同需求，部分织物需要进行烫平处理，确保无褶皱。烫平机通过蒸汽加热的方式，将织物熨干、熨平，之后再通过人工对织物进行折叠操作。该工序主要产生的污染物有燃烧废气、锅炉排污水、反冲洗废水、浓水，以及设备运行产生的噪声。</w:t>
            </w:r>
          </w:p>
          <w:p w14:paraId="6C86ED04">
            <w:pPr>
              <w:overflowPunct w:val="0"/>
              <w:spacing w:line="480" w:lineRule="exact"/>
              <w:ind w:firstLine="480" w:firstLineChars="200"/>
              <w:rPr>
                <w:rFonts w:ascii="Times New Roman" w:hAnsi="Times New Roman" w:eastAsia="宋体" w:cs="Times New Roman"/>
                <w:bCs/>
                <w:snapToGrid w:val="0"/>
                <w:color w:val="000000" w:themeColor="text1"/>
                <w:kern w:val="0"/>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打包出库:人工把折叠好的织物，进行打包处理，随后等待出库。此工序主要会产生废包装材料。</w:t>
            </w:r>
          </w:p>
          <w:p w14:paraId="5D9157C8">
            <w:p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营运期产污环节见下表：</w:t>
            </w:r>
          </w:p>
          <w:p w14:paraId="08CE1D9A">
            <w:pPr>
              <w:spacing w:line="480" w:lineRule="exact"/>
              <w:ind w:firstLine="482" w:firstLineChars="200"/>
              <w:jc w:val="center"/>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表2-7项目产污情况一览表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2913"/>
              <w:gridCol w:w="4253"/>
            </w:tblGrid>
            <w:tr w14:paraId="2093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37" w:type="pct"/>
                  <w:noWrap w:val="0"/>
                  <w:vAlign w:val="center"/>
                </w:tcPr>
                <w:p w14:paraId="2DCA1CAC">
                  <w:pPr>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类别</w:t>
                  </w:r>
                </w:p>
              </w:tc>
              <w:tc>
                <w:tcPr>
                  <w:tcW w:w="1732" w:type="pct"/>
                  <w:noWrap w:val="0"/>
                  <w:vAlign w:val="center"/>
                </w:tcPr>
                <w:p w14:paraId="6515FD33">
                  <w:pPr>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产污环节</w:t>
                  </w:r>
                </w:p>
              </w:tc>
              <w:tc>
                <w:tcPr>
                  <w:tcW w:w="2529" w:type="pct"/>
                  <w:noWrap w:val="0"/>
                  <w:vAlign w:val="center"/>
                </w:tcPr>
                <w:p w14:paraId="6CA357E5">
                  <w:pPr>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污染物名称</w:t>
                  </w:r>
                </w:p>
              </w:tc>
            </w:tr>
            <w:tr w14:paraId="6554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pct"/>
                  <w:noWrap w:val="0"/>
                  <w:vAlign w:val="center"/>
                </w:tcPr>
                <w:p w14:paraId="5A523058">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废气</w:t>
                  </w:r>
                </w:p>
              </w:tc>
              <w:tc>
                <w:tcPr>
                  <w:tcW w:w="1732" w:type="pct"/>
                  <w:noWrap w:val="0"/>
                  <w:vAlign w:val="center"/>
                </w:tcPr>
                <w:p w14:paraId="7D151E6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锅炉废气</w:t>
                  </w:r>
                </w:p>
              </w:tc>
              <w:tc>
                <w:tcPr>
                  <w:tcW w:w="2529" w:type="pct"/>
                  <w:noWrap w:val="0"/>
                  <w:vAlign w:val="center"/>
                </w:tcPr>
                <w:p w14:paraId="2E9CB51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SO</w:t>
                  </w:r>
                  <w:r>
                    <w:rPr>
                      <w:rFonts w:hint="eastAsia" w:ascii="Times New Roman" w:hAnsi="Times New Roman" w:eastAsia="宋体" w:cs="Times New Roman"/>
                      <w:color w:val="000000" w:themeColor="text1"/>
                      <w:szCs w:val="21"/>
                      <w:vertAlign w:val="subscript"/>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、NO</w:t>
                  </w:r>
                  <w:r>
                    <w:rPr>
                      <w:rFonts w:hint="eastAsia" w:ascii="Times New Roman" w:hAnsi="Times New Roman" w:eastAsia="宋体" w:cs="Times New Roman"/>
                      <w:color w:val="000000" w:themeColor="text1"/>
                      <w:szCs w:val="21"/>
                      <w:vertAlign w:val="subscript"/>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、颗粒物、CO和烟气黑度</w:t>
                  </w:r>
                </w:p>
              </w:tc>
            </w:tr>
            <w:tr w14:paraId="6F75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pct"/>
                  <w:vMerge w:val="restart"/>
                  <w:noWrap w:val="0"/>
                  <w:vAlign w:val="center"/>
                </w:tcPr>
                <w:p w14:paraId="66F093C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废水</w:t>
                  </w:r>
                </w:p>
              </w:tc>
              <w:tc>
                <w:tcPr>
                  <w:tcW w:w="1732" w:type="pct"/>
                  <w:noWrap w:val="0"/>
                  <w:vAlign w:val="center"/>
                </w:tcPr>
                <w:p w14:paraId="4E68BF2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洗涤废水</w:t>
                  </w:r>
                </w:p>
              </w:tc>
              <w:tc>
                <w:tcPr>
                  <w:tcW w:w="2529" w:type="pct"/>
                  <w:noWrap w:val="0"/>
                  <w:vAlign w:val="center"/>
                </w:tcPr>
                <w:p w14:paraId="7BEC63B7">
                  <w:pPr>
                    <w:widowControl/>
                    <w:jc w:val="left"/>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r>
                    <w:rPr>
                      <w:rFonts w:hint="eastAsia" w:ascii="宋体" w:hAnsi="宋体" w:eastAsia="宋体" w:cs="宋体"/>
                      <w:color w:val="000000" w:themeColor="text1"/>
                      <w:kern w:val="0"/>
                      <w:szCs w:val="21"/>
                      <w:lang w:bidi="ar"/>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BOD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5</w:t>
                  </w:r>
                  <w:r>
                    <w:rPr>
                      <w:rFonts w:hint="eastAsia" w:ascii="宋体" w:hAnsi="宋体" w:eastAsia="宋体" w:cs="宋体"/>
                      <w:color w:val="000000" w:themeColor="text1"/>
                      <w:kern w:val="0"/>
                      <w:szCs w:val="21"/>
                      <w:lang w:bidi="ar"/>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SS</w:t>
                  </w:r>
                  <w:r>
                    <w:rPr>
                      <w:rFonts w:hint="eastAsia" w:ascii="宋体" w:hAnsi="宋体" w:eastAsia="宋体" w:cs="宋体"/>
                      <w:color w:val="000000" w:themeColor="text1"/>
                      <w:kern w:val="0"/>
                      <w:szCs w:val="21"/>
                      <w:lang w:bidi="ar"/>
                      <w14:textFill>
                        <w14:solidFill>
                          <w14:schemeClr w14:val="tx1"/>
                        </w14:solidFill>
                      </w14:textFill>
                    </w:rPr>
                    <w:t>、氨氮、</w:t>
                  </w:r>
                  <w:r>
                    <w:rPr>
                      <w:rFonts w:ascii="Times New Roman" w:hAnsi="Times New Roman" w:eastAsia="宋体" w:cs="Times New Roman"/>
                      <w:color w:val="000000" w:themeColor="text1"/>
                      <w:kern w:val="0"/>
                      <w:szCs w:val="21"/>
                      <w:lang w:bidi="ar"/>
                      <w14:textFill>
                        <w14:solidFill>
                          <w14:schemeClr w14:val="tx1"/>
                        </w14:solidFill>
                      </w14:textFill>
                    </w:rPr>
                    <w:t>LAS</w:t>
                  </w:r>
                  <w:r>
                    <w:rPr>
                      <w:rFonts w:hint="eastAsia" w:ascii="宋体" w:hAnsi="宋体" w:eastAsia="宋体" w:cs="宋体"/>
                      <w:color w:val="000000" w:themeColor="text1"/>
                      <w:kern w:val="0"/>
                      <w:szCs w:val="21"/>
                      <w:lang w:bidi="ar"/>
                      <w14:textFill>
                        <w14:solidFill>
                          <w14:schemeClr w14:val="tx1"/>
                        </w14:solidFill>
                      </w14:textFill>
                    </w:rPr>
                    <w:t>、总氮等</w:t>
                  </w:r>
                </w:p>
              </w:tc>
            </w:tr>
            <w:tr w14:paraId="50A0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737" w:type="pct"/>
                  <w:vMerge w:val="continue"/>
                  <w:noWrap w:val="0"/>
                  <w:vAlign w:val="center"/>
                </w:tcPr>
                <w:p w14:paraId="68E93BED">
                  <w:pPr>
                    <w:jc w:val="center"/>
                    <w:rPr>
                      <w:rFonts w:ascii="Times New Roman" w:hAnsi="Times New Roman" w:eastAsia="宋体" w:cs="Times New Roman"/>
                      <w:color w:val="000000" w:themeColor="text1"/>
                      <w:szCs w:val="21"/>
                      <w14:textFill>
                        <w14:solidFill>
                          <w14:schemeClr w14:val="tx1"/>
                        </w14:solidFill>
                      </w14:textFill>
                    </w:rPr>
                  </w:pPr>
                </w:p>
              </w:tc>
              <w:tc>
                <w:tcPr>
                  <w:tcW w:w="1732" w:type="pct"/>
                  <w:noWrap w:val="0"/>
                  <w:vAlign w:val="center"/>
                </w:tcPr>
                <w:p w14:paraId="3446C79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锅炉排污水和</w:t>
                  </w:r>
                  <w:r>
                    <w:rPr>
                      <w:rFonts w:hint="eastAsia" w:ascii="Times New Roman" w:hAnsi="Times New Roman" w:eastAsia="宋体" w:cs="Times New Roman"/>
                      <w:bCs/>
                      <w:snapToGrid w:val="0"/>
                      <w:color w:val="000000" w:themeColor="text1"/>
                      <w:kern w:val="0"/>
                      <w:szCs w:val="21"/>
                      <w14:textFill>
                        <w14:solidFill>
                          <w14:schemeClr w14:val="tx1"/>
                        </w14:solidFill>
                      </w14:textFill>
                    </w:rPr>
                    <w:t>软化处理废水</w:t>
                  </w:r>
                </w:p>
              </w:tc>
              <w:tc>
                <w:tcPr>
                  <w:tcW w:w="2529" w:type="pct"/>
                  <w:noWrap w:val="0"/>
                  <w:vAlign w:val="center"/>
                </w:tcPr>
                <w:p w14:paraId="1F1ADA9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pH、</w:t>
                  </w:r>
                  <w:r>
                    <w:rPr>
                      <w:rFonts w:ascii="Times New Roman" w:hAnsi="Times New Roman" w:eastAsia="宋体" w:cs="Times New Roman"/>
                      <w:color w:val="000000" w:themeColor="text1"/>
                      <w:szCs w:val="21"/>
                      <w14:textFill>
                        <w14:solidFill>
                          <w14:schemeClr w14:val="tx1"/>
                        </w14:solidFill>
                      </w14:textFill>
                    </w:rPr>
                    <w:t>COD</w:t>
                  </w:r>
                  <w:r>
                    <w:rPr>
                      <w:rFonts w:hint="eastAsia" w:ascii="Times New Roman" w:hAnsi="Times New Roman" w:eastAsia="宋体" w:cs="Times New Roman"/>
                      <w:color w:val="000000" w:themeColor="text1"/>
                      <w:szCs w:val="21"/>
                      <w:vertAlign w:val="subscript"/>
                      <w14:textFill>
                        <w14:solidFill>
                          <w14:schemeClr w14:val="tx1"/>
                        </w14:solidFill>
                      </w14:textFill>
                    </w:rPr>
                    <w:t>cr</w:t>
                  </w:r>
                  <w:r>
                    <w:rPr>
                      <w:rFonts w:ascii="Times New Roman" w:hAnsi="Times New Roman" w:eastAsia="宋体" w:cs="Times New Roman"/>
                      <w:color w:val="000000" w:themeColor="text1"/>
                      <w:szCs w:val="21"/>
                      <w14:textFill>
                        <w14:solidFill>
                          <w14:schemeClr w14:val="tx1"/>
                        </w14:solidFill>
                      </w14:textFill>
                    </w:rPr>
                    <w:t>、SS</w:t>
                  </w:r>
                </w:p>
              </w:tc>
            </w:tr>
            <w:tr w14:paraId="7A2A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noWrap w:val="0"/>
                  <w:vAlign w:val="center"/>
                </w:tcPr>
                <w:p w14:paraId="5ADCD453">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噪声</w:t>
                  </w:r>
                </w:p>
              </w:tc>
              <w:tc>
                <w:tcPr>
                  <w:tcW w:w="1732" w:type="pct"/>
                  <w:noWrap w:val="0"/>
                  <w:vAlign w:val="center"/>
                </w:tcPr>
                <w:p w14:paraId="26D6E2E3">
                  <w:pPr>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Cs/>
                      <w:snapToGrid w:val="0"/>
                      <w:color w:val="000000" w:themeColor="text1"/>
                      <w:szCs w:val="21"/>
                      <w14:textFill>
                        <w14:solidFill>
                          <w14:schemeClr w14:val="tx1"/>
                        </w14:solidFill>
                      </w14:textFill>
                    </w:rPr>
                    <w:t>生产设备</w:t>
                  </w:r>
                </w:p>
              </w:tc>
              <w:tc>
                <w:tcPr>
                  <w:tcW w:w="2529" w:type="pct"/>
                  <w:noWrap w:val="0"/>
                  <w:vAlign w:val="center"/>
                </w:tcPr>
                <w:p w14:paraId="4555106B">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机械设备噪声</w:t>
                  </w:r>
                </w:p>
              </w:tc>
            </w:tr>
            <w:tr w14:paraId="384A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restart"/>
                  <w:noWrap w:val="0"/>
                  <w:vAlign w:val="center"/>
                </w:tcPr>
                <w:p w14:paraId="6BDB9D8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固废</w:t>
                  </w:r>
                </w:p>
              </w:tc>
              <w:tc>
                <w:tcPr>
                  <w:tcW w:w="1732" w:type="pct"/>
                  <w:noWrap w:val="0"/>
                  <w:vAlign w:val="center"/>
                </w:tcPr>
                <w:p w14:paraId="1CF2744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锅炉废气处理</w:t>
                  </w:r>
                </w:p>
              </w:tc>
              <w:tc>
                <w:tcPr>
                  <w:tcW w:w="2529" w:type="pct"/>
                  <w:noWrap w:val="0"/>
                  <w:vAlign w:val="center"/>
                </w:tcPr>
                <w:p w14:paraId="0D1D213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除尘器收尘灰、废布袋</w:t>
                  </w:r>
                </w:p>
              </w:tc>
            </w:tr>
            <w:tr w14:paraId="24BE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14:paraId="27FAE925">
                  <w:pPr>
                    <w:jc w:val="center"/>
                    <w:rPr>
                      <w:rFonts w:hint="eastAsia" w:ascii="Times New Roman" w:hAnsi="Times New Roman" w:eastAsia="宋体" w:cs="Times New Roman"/>
                      <w:color w:val="000000" w:themeColor="text1"/>
                      <w:szCs w:val="21"/>
                      <w14:textFill>
                        <w14:solidFill>
                          <w14:schemeClr w14:val="tx1"/>
                        </w14:solidFill>
                      </w14:textFill>
                    </w:rPr>
                  </w:pPr>
                </w:p>
              </w:tc>
              <w:tc>
                <w:tcPr>
                  <w:tcW w:w="1732" w:type="pct"/>
                  <w:noWrap w:val="0"/>
                  <w:vAlign w:val="center"/>
                </w:tcPr>
                <w:p w14:paraId="70DD4486">
                  <w:pPr>
                    <w:jc w:val="center"/>
                    <w:rPr>
                      <w:rFonts w:ascii="Times New Roman" w:hAnsi="Times New Roman" w:eastAsia="宋体" w:cs="Times New Roman"/>
                      <w:bCs/>
                      <w:snapToGrid w:val="0"/>
                      <w:color w:val="000000" w:themeColor="text1"/>
                      <w:szCs w:val="21"/>
                      <w14:textFill>
                        <w14:solidFill>
                          <w14:schemeClr w14:val="tx1"/>
                        </w14:solidFill>
                      </w14:textFill>
                    </w:rPr>
                  </w:pPr>
                  <w:r>
                    <w:rPr>
                      <w:rFonts w:hint="eastAsia" w:ascii="Times New Roman" w:hAnsi="Times New Roman" w:eastAsia="宋体" w:cs="Times New Roman"/>
                      <w:bCs/>
                      <w:snapToGrid w:val="0"/>
                      <w:color w:val="000000" w:themeColor="text1"/>
                      <w:szCs w:val="21"/>
                      <w14:textFill>
                        <w14:solidFill>
                          <w14:schemeClr w14:val="tx1"/>
                        </w14:solidFill>
                      </w14:textFill>
                    </w:rPr>
                    <w:t>锅炉燃烧</w:t>
                  </w:r>
                </w:p>
              </w:tc>
              <w:tc>
                <w:tcPr>
                  <w:tcW w:w="2529" w:type="pct"/>
                  <w:noWrap w:val="0"/>
                  <w:vAlign w:val="center"/>
                </w:tcPr>
                <w:p w14:paraId="39874883">
                  <w:pPr>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锅炉灰渣</w:t>
                  </w:r>
                </w:p>
              </w:tc>
            </w:tr>
            <w:tr w14:paraId="3F12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14:paraId="39BBC8C1">
                  <w:pPr>
                    <w:jc w:val="center"/>
                    <w:rPr>
                      <w:rFonts w:hint="eastAsia" w:ascii="Times New Roman" w:hAnsi="Times New Roman" w:eastAsia="宋体" w:cs="Times New Roman"/>
                      <w:color w:val="000000" w:themeColor="text1"/>
                      <w:szCs w:val="21"/>
                      <w14:textFill>
                        <w14:solidFill>
                          <w14:schemeClr w14:val="tx1"/>
                        </w14:solidFill>
                      </w14:textFill>
                    </w:rPr>
                  </w:pPr>
                </w:p>
              </w:tc>
              <w:tc>
                <w:tcPr>
                  <w:tcW w:w="1732" w:type="pct"/>
                  <w:noWrap w:val="0"/>
                  <w:vAlign w:val="center"/>
                </w:tcPr>
                <w:p w14:paraId="792FFE8C">
                  <w:pPr>
                    <w:jc w:val="center"/>
                    <w:rPr>
                      <w:rFonts w:hint="eastAsia" w:ascii="Times New Roman" w:hAnsi="Times New Roman" w:eastAsia="宋体" w:cs="Times New Roman"/>
                      <w:bCs/>
                      <w:snapToGrid w:val="0"/>
                      <w:color w:val="000000" w:themeColor="text1"/>
                      <w:szCs w:val="21"/>
                      <w14:textFill>
                        <w14:solidFill>
                          <w14:schemeClr w14:val="tx1"/>
                        </w14:solidFill>
                      </w14:textFill>
                    </w:rPr>
                  </w:pPr>
                  <w:r>
                    <w:rPr>
                      <w:rFonts w:hint="eastAsia" w:ascii="Times New Roman" w:hAnsi="Times New Roman" w:eastAsia="宋体" w:cs="Times New Roman"/>
                      <w:bCs/>
                      <w:snapToGrid w:val="0"/>
                      <w:color w:val="000000" w:themeColor="text1"/>
                      <w:kern w:val="0"/>
                      <w:szCs w:val="21"/>
                      <w14:textFill>
                        <w14:solidFill>
                          <w14:schemeClr w14:val="tx1"/>
                        </w14:solidFill>
                      </w14:textFill>
                    </w:rPr>
                    <w:t>软水制备系统</w:t>
                  </w:r>
                </w:p>
              </w:tc>
              <w:tc>
                <w:tcPr>
                  <w:tcW w:w="2529" w:type="pct"/>
                  <w:noWrap w:val="0"/>
                  <w:vAlign w:val="center"/>
                </w:tcPr>
                <w:p w14:paraId="2BDCA6A5">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废离子交换树脂</w:t>
                  </w:r>
                </w:p>
              </w:tc>
            </w:tr>
            <w:tr w14:paraId="0646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14:paraId="5DF7A3CD">
                  <w:pPr>
                    <w:jc w:val="center"/>
                    <w:rPr>
                      <w:rFonts w:hint="eastAsia" w:ascii="Times New Roman" w:hAnsi="Times New Roman" w:eastAsia="宋体" w:cs="Times New Roman"/>
                      <w:color w:val="000000" w:themeColor="text1"/>
                      <w:szCs w:val="21"/>
                      <w14:textFill>
                        <w14:solidFill>
                          <w14:schemeClr w14:val="tx1"/>
                        </w14:solidFill>
                      </w14:textFill>
                    </w:rPr>
                  </w:pPr>
                </w:p>
              </w:tc>
              <w:tc>
                <w:tcPr>
                  <w:tcW w:w="1732" w:type="pct"/>
                  <w:noWrap w:val="0"/>
                  <w:vAlign w:val="center"/>
                </w:tcPr>
                <w:p w14:paraId="3E2E7B62">
                  <w:pPr>
                    <w:jc w:val="center"/>
                    <w:rPr>
                      <w:rFonts w:ascii="Times New Roman" w:hAnsi="Times New Roman" w:eastAsia="宋体" w:cs="Times New Roman"/>
                      <w:bCs/>
                      <w:snapToGrid w:val="0"/>
                      <w:color w:val="000000" w:themeColor="text1"/>
                      <w:kern w:val="0"/>
                      <w:szCs w:val="21"/>
                      <w14:textFill>
                        <w14:solidFill>
                          <w14:schemeClr w14:val="tx1"/>
                        </w14:solidFill>
                      </w14:textFill>
                    </w:rPr>
                  </w:pPr>
                  <w:r>
                    <w:rPr>
                      <w:rFonts w:hint="eastAsia" w:ascii="Times New Roman" w:hAnsi="Times New Roman" w:eastAsia="宋体" w:cs="Times New Roman"/>
                      <w:bCs/>
                      <w:snapToGrid w:val="0"/>
                      <w:color w:val="000000" w:themeColor="text1"/>
                      <w:kern w:val="0"/>
                      <w:szCs w:val="21"/>
                      <w14:textFill>
                        <w14:solidFill>
                          <w14:schemeClr w14:val="tx1"/>
                        </w14:solidFill>
                      </w14:textFill>
                    </w:rPr>
                    <w:t>自建污水站</w:t>
                  </w:r>
                </w:p>
              </w:tc>
              <w:tc>
                <w:tcPr>
                  <w:tcW w:w="2529" w:type="pct"/>
                  <w:noWrap w:val="0"/>
                  <w:vAlign w:val="center"/>
                </w:tcPr>
                <w:p w14:paraId="49B7204B">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废水处理污泥</w:t>
                  </w:r>
                </w:p>
              </w:tc>
            </w:tr>
            <w:tr w14:paraId="553A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14:paraId="5462A43A">
                  <w:pPr>
                    <w:jc w:val="center"/>
                    <w:rPr>
                      <w:rFonts w:hint="eastAsia" w:ascii="Times New Roman" w:hAnsi="Times New Roman" w:eastAsia="宋体" w:cs="Times New Roman"/>
                      <w:color w:val="000000" w:themeColor="text1"/>
                      <w:szCs w:val="21"/>
                      <w14:textFill>
                        <w14:solidFill>
                          <w14:schemeClr w14:val="tx1"/>
                        </w14:solidFill>
                      </w14:textFill>
                    </w:rPr>
                  </w:pPr>
                </w:p>
              </w:tc>
              <w:tc>
                <w:tcPr>
                  <w:tcW w:w="1732" w:type="pct"/>
                  <w:noWrap w:val="0"/>
                  <w:vAlign w:val="center"/>
                </w:tcPr>
                <w:p w14:paraId="27401A32">
                  <w:pPr>
                    <w:jc w:val="center"/>
                    <w:rPr>
                      <w:rFonts w:ascii="Times New Roman" w:hAnsi="Times New Roman" w:eastAsia="宋体" w:cs="Times New Roman"/>
                      <w:bCs/>
                      <w:snapToGrid w:val="0"/>
                      <w:color w:val="000000" w:themeColor="text1"/>
                      <w:kern w:val="0"/>
                      <w:szCs w:val="21"/>
                      <w14:textFill>
                        <w14:solidFill>
                          <w14:schemeClr w14:val="tx1"/>
                        </w14:solidFill>
                      </w14:textFill>
                    </w:rPr>
                  </w:pPr>
                  <w:r>
                    <w:rPr>
                      <w:rFonts w:hint="eastAsia" w:ascii="Times New Roman" w:hAnsi="Times New Roman" w:eastAsia="宋体" w:cs="Times New Roman"/>
                      <w:bCs/>
                      <w:snapToGrid w:val="0"/>
                      <w:color w:val="000000" w:themeColor="text1"/>
                      <w:kern w:val="0"/>
                      <w:szCs w:val="21"/>
                      <w14:textFill>
                        <w14:solidFill>
                          <w14:schemeClr w14:val="tx1"/>
                        </w14:solidFill>
                      </w14:textFill>
                    </w:rPr>
                    <w:t>员工生活垃圾</w:t>
                  </w:r>
                </w:p>
              </w:tc>
              <w:tc>
                <w:tcPr>
                  <w:tcW w:w="2529" w:type="pct"/>
                  <w:noWrap w:val="0"/>
                  <w:vAlign w:val="center"/>
                </w:tcPr>
                <w:p w14:paraId="67713743">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生活垃圾</w:t>
                  </w:r>
                </w:p>
              </w:tc>
            </w:tr>
            <w:tr w14:paraId="68F8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 w:type="pct"/>
                  <w:vMerge w:val="continue"/>
                  <w:noWrap w:val="0"/>
                  <w:vAlign w:val="center"/>
                </w:tcPr>
                <w:p w14:paraId="6EF3B08F">
                  <w:pPr>
                    <w:jc w:val="center"/>
                    <w:rPr>
                      <w:rFonts w:hint="eastAsia" w:ascii="Times New Roman" w:hAnsi="Times New Roman" w:eastAsia="宋体" w:cs="Times New Roman"/>
                      <w:color w:val="000000" w:themeColor="text1"/>
                      <w:szCs w:val="21"/>
                      <w14:textFill>
                        <w14:solidFill>
                          <w14:schemeClr w14:val="tx1"/>
                        </w14:solidFill>
                      </w14:textFill>
                    </w:rPr>
                  </w:pPr>
                </w:p>
              </w:tc>
              <w:tc>
                <w:tcPr>
                  <w:tcW w:w="1732" w:type="pct"/>
                  <w:noWrap w:val="0"/>
                  <w:vAlign w:val="center"/>
                </w:tcPr>
                <w:p w14:paraId="18D14593">
                  <w:pPr>
                    <w:jc w:val="center"/>
                    <w:rPr>
                      <w:rFonts w:ascii="Times New Roman" w:hAnsi="Times New Roman" w:eastAsia="宋体" w:cs="Times New Roman"/>
                      <w:bCs/>
                      <w:snapToGrid w:val="0"/>
                      <w:color w:val="000000" w:themeColor="text1"/>
                      <w:kern w:val="0"/>
                      <w:szCs w:val="21"/>
                      <w14:textFill>
                        <w14:solidFill>
                          <w14:schemeClr w14:val="tx1"/>
                        </w14:solidFill>
                      </w14:textFill>
                    </w:rPr>
                  </w:pPr>
                  <w:r>
                    <w:rPr>
                      <w:rFonts w:hint="eastAsia" w:ascii="Times New Roman" w:hAnsi="Times New Roman" w:eastAsia="宋体" w:cs="Times New Roman"/>
                      <w:bCs/>
                      <w:snapToGrid w:val="0"/>
                      <w:color w:val="000000" w:themeColor="text1"/>
                      <w:kern w:val="0"/>
                      <w:szCs w:val="21"/>
                      <w14:textFill>
                        <w14:solidFill>
                          <w14:schemeClr w14:val="tx1"/>
                        </w14:solidFill>
                      </w14:textFill>
                    </w:rPr>
                    <w:t>洗涤</w:t>
                  </w:r>
                </w:p>
              </w:tc>
              <w:tc>
                <w:tcPr>
                  <w:tcW w:w="2529" w:type="pct"/>
                  <w:noWrap w:val="0"/>
                  <w:vAlign w:val="center"/>
                </w:tcPr>
                <w:p w14:paraId="4DED96EA">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废包装材料</w:t>
                  </w:r>
                </w:p>
              </w:tc>
            </w:tr>
          </w:tbl>
          <w:p w14:paraId="4716C22B">
            <w:pPr>
              <w:spacing w:line="480" w:lineRule="exact"/>
              <w:rPr>
                <w:rFonts w:ascii="Times New Roman" w:hAnsi="Times New Roman" w:eastAsia="宋体" w:cs="Times New Roman"/>
                <w:b/>
                <w:bCs/>
                <w:color w:val="000000" w:themeColor="text1"/>
                <w:szCs w:val="21"/>
                <w14:textFill>
                  <w14:solidFill>
                    <w14:schemeClr w14:val="tx1"/>
                  </w14:solidFill>
                </w14:textFill>
              </w:rPr>
            </w:pPr>
          </w:p>
        </w:tc>
      </w:tr>
      <w:tr w14:paraId="4B4E61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5" w:type="dxa"/>
            <w:noWrap w:val="0"/>
            <w:vAlign w:val="center"/>
          </w:tcPr>
          <w:p w14:paraId="66527B9F">
            <w:pPr>
              <w:pStyle w:val="28"/>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bCs/>
                <w:color w:val="000000" w:themeColor="text1"/>
                <w:kern w:val="2"/>
                <w:sz w:val="21"/>
                <w:szCs w:val="21"/>
                <w14:textFill>
                  <w14:solidFill>
                    <w14:schemeClr w14:val="tx1"/>
                  </w14:solidFill>
                </w14:textFill>
              </w:rPr>
              <w:t>与项目有关的原有环境污染问题</w:t>
            </w:r>
          </w:p>
        </w:tc>
        <w:tc>
          <w:tcPr>
            <w:tcW w:w="8415" w:type="dxa"/>
            <w:noWrap w:val="0"/>
            <w:vAlign w:val="center"/>
          </w:tcPr>
          <w:p w14:paraId="1ABB8593">
            <w:pPr>
              <w:widowControl/>
              <w:ind w:firstLine="480" w:firstLineChars="200"/>
              <w:jc w:val="left"/>
              <w:rPr>
                <w:rFonts w:hint="eastAsia" w:ascii="Times New Roman" w:hAnsi="Times New Roman" w:eastAsia="宋体" w:cs="Times New Roman"/>
                <w:snapToGrid w:val="0"/>
                <w:color w:val="000000" w:themeColor="text1"/>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本项目为新建项目，不存在原有污染情况。</w:t>
            </w:r>
          </w:p>
        </w:tc>
      </w:tr>
    </w:tbl>
    <w:p w14:paraId="0BBEA9B1">
      <w:pPr>
        <w:pStyle w:val="28"/>
        <w:jc w:val="center"/>
        <w:rPr>
          <w:rFonts w:ascii="Times New Roman" w:hAnsi="Times New Roman"/>
          <w:snapToGrid w:val="0"/>
          <w:color w:val="000000" w:themeColor="text1"/>
          <w:sz w:val="36"/>
          <w:szCs w:val="36"/>
          <w14:textFill>
            <w14:solidFill>
              <w14:schemeClr w14:val="tx1"/>
            </w14:solidFill>
          </w14:textFill>
        </w:rPr>
        <w:sectPr>
          <w:pgSz w:w="11906" w:h="16838"/>
          <w:pgMar w:top="1701" w:right="1531" w:bottom="1701" w:left="1531" w:header="851" w:footer="851" w:gutter="0"/>
          <w:cols w:space="720" w:num="1"/>
          <w:docGrid w:linePitch="312" w:charSpace="0"/>
        </w:sectPr>
      </w:pPr>
    </w:p>
    <w:p w14:paraId="4350F980">
      <w:pPr>
        <w:pStyle w:val="28"/>
        <w:jc w:val="center"/>
        <w:outlineLvl w:val="0"/>
        <w:rPr>
          <w:rFonts w:ascii="Times New Roman" w:hAnsi="Times New Roman"/>
          <w:snapToGrid w:val="0"/>
          <w:color w:val="000000" w:themeColor="text1"/>
          <w:sz w:val="30"/>
          <w:szCs w:val="30"/>
          <w14:textFill>
            <w14:solidFill>
              <w14:schemeClr w14:val="tx1"/>
            </w14:solidFill>
          </w14:textFill>
        </w:rPr>
      </w:pPr>
      <w:bookmarkStart w:id="16" w:name="_Toc6887"/>
      <w:r>
        <w:rPr>
          <w:rFonts w:ascii="Times New Roman" w:hAnsi="Times New Roman"/>
          <w:b/>
          <w:bCs/>
          <w:snapToGrid w:val="0"/>
          <w:color w:val="000000" w:themeColor="text1"/>
          <w:sz w:val="30"/>
          <w:szCs w:val="30"/>
          <w14:textFill>
            <w14:solidFill>
              <w14:schemeClr w14:val="tx1"/>
            </w14:solidFill>
          </w14:textFill>
        </w:rPr>
        <w:t>三、区域环境质量现状、环境保护目标及评价标准</w:t>
      </w:r>
      <w:bookmarkEnd w:id="16"/>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244"/>
      </w:tblGrid>
      <w:tr w14:paraId="268EB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noWrap w:val="0"/>
            <w:vAlign w:val="center"/>
          </w:tcPr>
          <w:p w14:paraId="70B06ABE">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区域</w:t>
            </w:r>
          </w:p>
          <w:p w14:paraId="043E742E">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环境</w:t>
            </w:r>
          </w:p>
          <w:p w14:paraId="1B68E5FB">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质量</w:t>
            </w:r>
          </w:p>
          <w:p w14:paraId="19AA494E">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现状</w:t>
            </w:r>
          </w:p>
        </w:tc>
        <w:tc>
          <w:tcPr>
            <w:tcW w:w="8244" w:type="dxa"/>
            <w:noWrap w:val="0"/>
            <w:vAlign w:val="center"/>
          </w:tcPr>
          <w:p w14:paraId="226EDE19">
            <w:p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1、环境空气质量现状</w:t>
            </w:r>
          </w:p>
          <w:p w14:paraId="6BC37F22">
            <w:pPr>
              <w:pStyle w:val="56"/>
              <w:spacing w:line="480" w:lineRule="exact"/>
              <w:ind w:firstLine="482" w:firstLineChars="200"/>
              <w:rPr>
                <w:rFonts w:hint="eastAsia" w:ascii="Times New Roman" w:hAnsi="Times New Roman" w:eastAsia="宋体" w:cs="Times New Roman"/>
                <w:b/>
                <w:bCs/>
                <w:color w:val="000000" w:themeColor="text1"/>
                <w:kern w:val="0"/>
                <w14:textFill>
                  <w14:solidFill>
                    <w14:schemeClr w14:val="tx1"/>
                  </w14:solidFill>
                </w14:textFill>
              </w:rPr>
            </w:pPr>
            <w:r>
              <w:rPr>
                <w:rFonts w:hint="eastAsia" w:ascii="Times New Roman" w:hAnsi="Times New Roman" w:eastAsia="宋体" w:cs="Times New Roman"/>
                <w:b/>
                <w:bCs/>
                <w:color w:val="000000" w:themeColor="text1"/>
                <w:kern w:val="0"/>
                <w14:textFill>
                  <w14:solidFill>
                    <w14:schemeClr w14:val="tx1"/>
                  </w14:solidFill>
                </w14:textFill>
              </w:rPr>
              <w:t>（1）区域环境现状</w:t>
            </w:r>
          </w:p>
          <w:p w14:paraId="56DC8DAE">
            <w:pPr>
              <w:pStyle w:val="56"/>
              <w:spacing w:line="480" w:lineRule="exact"/>
              <w:ind w:firstLine="480" w:firstLineChars="200"/>
              <w:rPr>
                <w:rFonts w:hint="eastAsia"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根据《湛江市区环境空气质量功能区划调整技术报告》（2011年10月），项目所在区域为二类大气环境功能区，环境空气质量执行《环境空气质量标准》（GB3095—2026）</w:t>
            </w:r>
            <w:r>
              <w:rPr>
                <w:rFonts w:hint="eastAsia" w:ascii="Times New Roman" w:hAnsi="Times New Roman" w:eastAsia="宋体" w:cs="Times New Roman"/>
                <w:color w:val="000000" w:themeColor="text1"/>
                <w14:textFill>
                  <w14:solidFill>
                    <w14:schemeClr w14:val="tx1"/>
                  </w14:solidFill>
                </w14:textFill>
              </w:rPr>
              <w:t>过渡阶段二级浓度限值</w:t>
            </w:r>
            <w:r>
              <w:rPr>
                <w:rFonts w:hint="eastAsia" w:ascii="Times New Roman" w:hAnsi="Times New Roman" w:eastAsia="宋体" w:cs="Times New Roman"/>
                <w:color w:val="000000" w:themeColor="text1"/>
                <w:kern w:val="0"/>
                <w14:textFill>
                  <w14:solidFill>
                    <w14:schemeClr w14:val="tx1"/>
                  </w14:solidFill>
                </w14:textFill>
              </w:rPr>
              <w:t>。为了解项目周边空气环境质量情况，项目引用《湛江市生态环境质量年报简报（2024年）》（见附件6）的数据作为评价，监测项目有PM</w:t>
            </w:r>
            <w:r>
              <w:rPr>
                <w:rFonts w:hint="eastAsia" w:ascii="Times New Roman" w:hAnsi="Times New Roman" w:eastAsia="宋体" w:cs="Times New Roman"/>
                <w:color w:val="000000" w:themeColor="text1"/>
                <w:kern w:val="0"/>
                <w:vertAlign w:val="subscript"/>
                <w14:textFill>
                  <w14:solidFill>
                    <w14:schemeClr w14:val="tx1"/>
                  </w14:solidFill>
                </w14:textFill>
              </w:rPr>
              <w:t>10</w:t>
            </w:r>
            <w:r>
              <w:rPr>
                <w:rFonts w:hint="eastAsia" w:ascii="Times New Roman" w:hAnsi="Times New Roman" w:eastAsia="宋体" w:cs="Times New Roman"/>
                <w:color w:val="000000" w:themeColor="text1"/>
                <w:kern w:val="0"/>
                <w14:textFill>
                  <w14:solidFill>
                    <w14:schemeClr w14:val="tx1"/>
                  </w14:solidFill>
                </w14:textFill>
              </w:rPr>
              <w:t>、SO</w:t>
            </w:r>
            <w:r>
              <w:rPr>
                <w:rFonts w:hint="eastAsia" w:ascii="Times New Roman" w:hAnsi="Times New Roman" w:eastAsia="宋体" w:cs="Times New Roman"/>
                <w:color w:val="000000" w:themeColor="text1"/>
                <w:kern w:val="0"/>
                <w:vertAlign w:val="subscript"/>
                <w14:textFill>
                  <w14:solidFill>
                    <w14:schemeClr w14:val="tx1"/>
                  </w14:solidFill>
                </w14:textFill>
              </w:rPr>
              <w:t>2</w:t>
            </w:r>
            <w:r>
              <w:rPr>
                <w:rFonts w:hint="eastAsia" w:ascii="Times New Roman" w:hAnsi="Times New Roman" w:eastAsia="宋体" w:cs="Times New Roman"/>
                <w:color w:val="000000" w:themeColor="text1"/>
                <w:kern w:val="0"/>
                <w14:textFill>
                  <w14:solidFill>
                    <w14:schemeClr w14:val="tx1"/>
                  </w14:solidFill>
                </w14:textFill>
              </w:rPr>
              <w:t>、NO</w:t>
            </w:r>
            <w:r>
              <w:rPr>
                <w:rFonts w:hint="eastAsia" w:ascii="Times New Roman" w:hAnsi="Times New Roman" w:eastAsia="宋体" w:cs="Times New Roman"/>
                <w:color w:val="000000" w:themeColor="text1"/>
                <w:kern w:val="0"/>
                <w:vertAlign w:val="subscript"/>
                <w14:textFill>
                  <w14:solidFill>
                    <w14:schemeClr w14:val="tx1"/>
                  </w14:solidFill>
                </w14:textFill>
              </w:rPr>
              <w:t>2</w:t>
            </w:r>
            <w:r>
              <w:rPr>
                <w:rFonts w:hint="eastAsia" w:ascii="Times New Roman" w:hAnsi="Times New Roman" w:eastAsia="宋体" w:cs="Times New Roman"/>
                <w:color w:val="000000" w:themeColor="text1"/>
                <w:kern w:val="0"/>
                <w14:textFill>
                  <w14:solidFill>
                    <w14:schemeClr w14:val="tx1"/>
                  </w14:solidFill>
                </w14:textFill>
              </w:rPr>
              <w:t>、CO、PM</w:t>
            </w:r>
            <w:r>
              <w:rPr>
                <w:rFonts w:hint="eastAsia" w:ascii="Times New Roman" w:hAnsi="Times New Roman" w:eastAsia="宋体" w:cs="Times New Roman"/>
                <w:color w:val="000000" w:themeColor="text1"/>
                <w:kern w:val="0"/>
                <w:vertAlign w:val="subscript"/>
                <w14:textFill>
                  <w14:solidFill>
                    <w14:schemeClr w14:val="tx1"/>
                  </w14:solidFill>
                </w14:textFill>
              </w:rPr>
              <w:t>2.5</w:t>
            </w:r>
            <w:r>
              <w:rPr>
                <w:rFonts w:hint="eastAsia" w:ascii="Times New Roman" w:hAnsi="Times New Roman" w:eastAsia="宋体" w:cs="Times New Roman"/>
                <w:color w:val="000000" w:themeColor="text1"/>
                <w:kern w:val="0"/>
                <w14:textFill>
                  <w14:solidFill>
                    <w14:schemeClr w14:val="tx1"/>
                  </w14:solidFill>
                </w14:textFill>
              </w:rPr>
              <w:t>、O</w:t>
            </w:r>
            <w:r>
              <w:rPr>
                <w:rFonts w:hint="eastAsia" w:ascii="Times New Roman" w:hAnsi="Times New Roman" w:eastAsia="宋体" w:cs="Times New Roman"/>
                <w:color w:val="000000" w:themeColor="text1"/>
                <w:kern w:val="0"/>
                <w:vertAlign w:val="subscript"/>
                <w14:textFill>
                  <w14:solidFill>
                    <w14:schemeClr w14:val="tx1"/>
                  </w14:solidFill>
                </w14:textFill>
              </w:rPr>
              <w:t>3</w:t>
            </w:r>
            <w:r>
              <w:rPr>
                <w:rFonts w:hint="eastAsia" w:ascii="Times New Roman" w:hAnsi="Times New Roman" w:eastAsia="宋体" w:cs="Times New Roman"/>
                <w:color w:val="000000" w:themeColor="text1"/>
                <w:kern w:val="0"/>
                <w14:textFill>
                  <w14:solidFill>
                    <w14:schemeClr w14:val="tx1"/>
                  </w14:solidFill>
                </w14:textFill>
              </w:rPr>
              <w:t>，监测结果下表。</w:t>
            </w:r>
          </w:p>
          <w:p w14:paraId="5BA8F3FF">
            <w:pPr>
              <w:pStyle w:val="56"/>
              <w:spacing w:line="480" w:lineRule="exact"/>
              <w:ind w:firstLine="482" w:firstLineChars="200"/>
              <w:jc w:val="center"/>
              <w:rPr>
                <w:rFonts w:ascii="Times New Roman" w:hAnsi="Times New Roman" w:eastAsia="宋体" w:cs="Times New Roman"/>
                <w:b/>
                <w:bCs/>
                <w:color w:val="000000" w:themeColor="text1"/>
                <w:kern w:val="0"/>
                <w14:textFill>
                  <w14:solidFill>
                    <w14:schemeClr w14:val="tx1"/>
                  </w14:solidFill>
                </w14:textFill>
              </w:rPr>
            </w:pPr>
            <w:r>
              <w:rPr>
                <w:rFonts w:ascii="Times New Roman" w:hAnsi="Times New Roman" w:eastAsia="宋体" w:cs="Times New Roman"/>
                <w:b/>
                <w:bCs/>
                <w:color w:val="000000" w:themeColor="text1"/>
                <w:kern w:val="0"/>
                <w14:textFill>
                  <w14:solidFill>
                    <w14:schemeClr w14:val="tx1"/>
                  </w14:solidFill>
                </w14:textFill>
              </w:rPr>
              <w:t>表3-1</w:t>
            </w:r>
            <w:r>
              <w:rPr>
                <w:rFonts w:hint="eastAsia" w:ascii="Times New Roman" w:hAnsi="Times New Roman" w:eastAsia="宋体" w:cs="Times New Roman"/>
                <w:b/>
                <w:bCs/>
                <w:color w:val="000000" w:themeColor="text1"/>
                <w:kern w:val="0"/>
                <w14:textFill>
                  <w14:solidFill>
                    <w14:schemeClr w14:val="tx1"/>
                  </w14:solidFill>
                </w14:textFill>
              </w:rPr>
              <w:t>湛江市</w:t>
            </w:r>
            <w:r>
              <w:rPr>
                <w:rFonts w:ascii="Times New Roman" w:hAnsi="Times New Roman" w:eastAsia="宋体" w:cs="Times New Roman"/>
                <w:b/>
                <w:bCs/>
                <w:color w:val="000000" w:themeColor="text1"/>
                <w:kern w:val="0"/>
                <w14:textFill>
                  <w14:solidFill>
                    <w14:schemeClr w14:val="tx1"/>
                  </w14:solidFill>
                </w14:textFill>
              </w:rPr>
              <w:t>202</w:t>
            </w:r>
            <w:r>
              <w:rPr>
                <w:rFonts w:hint="eastAsia" w:ascii="Times New Roman" w:hAnsi="Times New Roman" w:eastAsia="宋体" w:cs="Times New Roman"/>
                <w:b/>
                <w:bCs/>
                <w:color w:val="000000" w:themeColor="text1"/>
                <w:kern w:val="0"/>
                <w14:textFill>
                  <w14:solidFill>
                    <w14:schemeClr w14:val="tx1"/>
                  </w14:solidFill>
                </w14:textFill>
              </w:rPr>
              <w:t>4</w:t>
            </w:r>
            <w:r>
              <w:rPr>
                <w:rFonts w:ascii="Times New Roman" w:hAnsi="Times New Roman" w:eastAsia="宋体" w:cs="Times New Roman"/>
                <w:b/>
                <w:bCs/>
                <w:color w:val="000000" w:themeColor="text1"/>
                <w:kern w:val="0"/>
                <w14:textFill>
                  <w14:solidFill>
                    <w14:schemeClr w14:val="tx1"/>
                  </w14:solidFill>
                </w14:textFill>
              </w:rPr>
              <w:t>年空气质量现状评价表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3288"/>
              <w:gridCol w:w="1163"/>
              <w:gridCol w:w="1163"/>
              <w:gridCol w:w="999"/>
              <w:gridCol w:w="715"/>
            </w:tblGrid>
            <w:tr w14:paraId="4F82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30" w:type="pct"/>
                  <w:noWrap w:val="0"/>
                  <w:vAlign w:val="center"/>
                </w:tcPr>
                <w:p w14:paraId="5D3C47AB">
                  <w:pPr>
                    <w:pStyle w:val="56"/>
                    <w:jc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污染物</w:t>
                  </w:r>
                </w:p>
              </w:tc>
              <w:tc>
                <w:tcPr>
                  <w:tcW w:w="2069" w:type="pct"/>
                  <w:noWrap w:val="0"/>
                  <w:vAlign w:val="center"/>
                </w:tcPr>
                <w:p w14:paraId="16C308D6">
                  <w:pPr>
                    <w:pStyle w:val="56"/>
                    <w:jc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年评价指标</w:t>
                  </w:r>
                </w:p>
              </w:tc>
              <w:tc>
                <w:tcPr>
                  <w:tcW w:w="667" w:type="pct"/>
                  <w:noWrap w:val="0"/>
                  <w:vAlign w:val="center"/>
                </w:tcPr>
                <w:p w14:paraId="6DFEDF71">
                  <w:pPr>
                    <w:pStyle w:val="56"/>
                    <w:jc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现状浓度/（μg/m</w:t>
                  </w:r>
                  <w:r>
                    <w:rPr>
                      <w:rFonts w:ascii="Times New Roman" w:hAnsi="Times New Roman" w:eastAsia="宋体" w:cs="Times New Roman"/>
                      <w:b/>
                      <w:bCs/>
                      <w:color w:val="000000" w:themeColor="text1"/>
                      <w:sz w:val="21"/>
                      <w:szCs w:val="21"/>
                      <w:vertAlign w:val="superscript"/>
                      <w14:textFill>
                        <w14:solidFill>
                          <w14:schemeClr w14:val="tx1"/>
                        </w14:solidFill>
                      </w14:textFill>
                    </w:rPr>
                    <w:t>3</w:t>
                  </w:r>
                  <w:r>
                    <w:rPr>
                      <w:rFonts w:ascii="Times New Roman" w:hAnsi="Times New Roman" w:eastAsia="宋体" w:cs="Times New Roman"/>
                      <w:b/>
                      <w:bCs/>
                      <w:color w:val="000000" w:themeColor="text1"/>
                      <w:sz w:val="21"/>
                      <w:szCs w:val="21"/>
                      <w14:textFill>
                        <w14:solidFill>
                          <w14:schemeClr w14:val="tx1"/>
                        </w14:solidFill>
                      </w14:textFill>
                    </w:rPr>
                    <w:t>）</w:t>
                  </w:r>
                </w:p>
              </w:tc>
              <w:tc>
                <w:tcPr>
                  <w:tcW w:w="725" w:type="pct"/>
                  <w:noWrap w:val="0"/>
                  <w:vAlign w:val="center"/>
                </w:tcPr>
                <w:p w14:paraId="04004ADD">
                  <w:pPr>
                    <w:pStyle w:val="56"/>
                    <w:jc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标准值/（μg/m</w:t>
                  </w:r>
                  <w:r>
                    <w:rPr>
                      <w:rFonts w:ascii="Times New Roman" w:hAnsi="Times New Roman" w:eastAsia="宋体" w:cs="Times New Roman"/>
                      <w:b/>
                      <w:bCs/>
                      <w:color w:val="000000" w:themeColor="text1"/>
                      <w:sz w:val="21"/>
                      <w:szCs w:val="21"/>
                      <w:vertAlign w:val="superscript"/>
                      <w14:textFill>
                        <w14:solidFill>
                          <w14:schemeClr w14:val="tx1"/>
                        </w14:solidFill>
                      </w14:textFill>
                    </w:rPr>
                    <w:t>3</w:t>
                  </w:r>
                  <w:r>
                    <w:rPr>
                      <w:rFonts w:ascii="Times New Roman" w:hAnsi="Times New Roman" w:eastAsia="宋体" w:cs="Times New Roman"/>
                      <w:b/>
                      <w:bCs/>
                      <w:color w:val="000000" w:themeColor="text1"/>
                      <w:sz w:val="21"/>
                      <w:szCs w:val="21"/>
                      <w14:textFill>
                        <w14:solidFill>
                          <w14:schemeClr w14:val="tx1"/>
                        </w14:solidFill>
                      </w14:textFill>
                    </w:rPr>
                    <w:t>）</w:t>
                  </w:r>
                </w:p>
              </w:tc>
              <w:tc>
                <w:tcPr>
                  <w:tcW w:w="642" w:type="pct"/>
                  <w:noWrap w:val="0"/>
                  <w:vAlign w:val="center"/>
                </w:tcPr>
                <w:p w14:paraId="77C5B088">
                  <w:pPr>
                    <w:pStyle w:val="56"/>
                    <w:jc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占标率/%</w:t>
                  </w:r>
                </w:p>
              </w:tc>
              <w:tc>
                <w:tcPr>
                  <w:tcW w:w="465" w:type="pct"/>
                  <w:noWrap w:val="0"/>
                  <w:vAlign w:val="center"/>
                </w:tcPr>
                <w:p w14:paraId="326A68E7">
                  <w:pPr>
                    <w:pStyle w:val="56"/>
                    <w:jc w:val="center"/>
                    <w:rPr>
                      <w:rFonts w:ascii="Times New Roman" w:hAnsi="Times New Roman" w:eastAsia="宋体" w:cs="Times New Roman"/>
                      <w:b/>
                      <w:bCs/>
                      <w:color w:val="000000" w:themeColor="text1"/>
                      <w:sz w:val="21"/>
                      <w:szCs w:val="21"/>
                      <w14:textFill>
                        <w14:solidFill>
                          <w14:schemeClr w14:val="tx1"/>
                        </w14:solidFill>
                      </w14:textFill>
                    </w:rPr>
                  </w:pPr>
                  <w:r>
                    <w:rPr>
                      <w:rFonts w:ascii="Times New Roman" w:hAnsi="Times New Roman" w:eastAsia="宋体" w:cs="Times New Roman"/>
                      <w:b/>
                      <w:bCs/>
                      <w:color w:val="000000" w:themeColor="text1"/>
                      <w:sz w:val="21"/>
                      <w:szCs w:val="21"/>
                      <w14:textFill>
                        <w14:solidFill>
                          <w14:schemeClr w14:val="tx1"/>
                        </w14:solidFill>
                      </w14:textFill>
                    </w:rPr>
                    <w:t>达标情况</w:t>
                  </w:r>
                </w:p>
              </w:tc>
            </w:tr>
            <w:tr w14:paraId="060B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430" w:type="pct"/>
                  <w:noWrap w:val="0"/>
                  <w:vAlign w:val="center"/>
                </w:tcPr>
                <w:p w14:paraId="6E3CADEA">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SO</w:t>
                  </w:r>
                  <w:r>
                    <w:rPr>
                      <w:rFonts w:ascii="Times New Roman" w:hAnsi="Times New Roman" w:eastAsia="宋体" w:cs="Times New Roman"/>
                      <w:color w:val="000000" w:themeColor="text1"/>
                      <w:sz w:val="21"/>
                      <w:szCs w:val="21"/>
                      <w:vertAlign w:val="subscript"/>
                      <w14:textFill>
                        <w14:solidFill>
                          <w14:schemeClr w14:val="tx1"/>
                        </w14:solidFill>
                      </w14:textFill>
                    </w:rPr>
                    <w:t>2</w:t>
                  </w:r>
                </w:p>
              </w:tc>
              <w:tc>
                <w:tcPr>
                  <w:tcW w:w="2069" w:type="pct"/>
                  <w:noWrap w:val="0"/>
                  <w:vAlign w:val="center"/>
                </w:tcPr>
                <w:p w14:paraId="10119018">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年平均质量浓度</w:t>
                  </w:r>
                </w:p>
              </w:tc>
              <w:tc>
                <w:tcPr>
                  <w:tcW w:w="1163" w:type="dxa"/>
                  <w:noWrap w:val="0"/>
                  <w:vAlign w:val="center"/>
                </w:tcPr>
                <w:p w14:paraId="11755726">
                  <w:pPr>
                    <w:pStyle w:val="56"/>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9</w:t>
                  </w:r>
                </w:p>
              </w:tc>
              <w:tc>
                <w:tcPr>
                  <w:tcW w:w="1163" w:type="dxa"/>
                  <w:noWrap w:val="0"/>
                  <w:vAlign w:val="center"/>
                </w:tcPr>
                <w:p w14:paraId="189859F8">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60</w:t>
                  </w:r>
                </w:p>
              </w:tc>
              <w:tc>
                <w:tcPr>
                  <w:tcW w:w="999" w:type="dxa"/>
                  <w:noWrap w:val="0"/>
                  <w:vAlign w:val="center"/>
                </w:tcPr>
                <w:p w14:paraId="49A8FA7A">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15</w:t>
                  </w:r>
                </w:p>
              </w:tc>
              <w:tc>
                <w:tcPr>
                  <w:tcW w:w="465" w:type="pct"/>
                  <w:noWrap w:val="0"/>
                  <w:vAlign w:val="center"/>
                </w:tcPr>
                <w:p w14:paraId="2237773B">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达标</w:t>
                  </w:r>
                </w:p>
              </w:tc>
            </w:tr>
            <w:tr w14:paraId="7ABC4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0" w:type="pct"/>
                  <w:noWrap w:val="0"/>
                  <w:vAlign w:val="center"/>
                </w:tcPr>
                <w:p w14:paraId="125C078A">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NO</w:t>
                  </w:r>
                  <w:r>
                    <w:rPr>
                      <w:rFonts w:ascii="Times New Roman" w:hAnsi="Times New Roman" w:eastAsia="宋体" w:cs="Times New Roman"/>
                      <w:color w:val="000000" w:themeColor="text1"/>
                      <w:sz w:val="21"/>
                      <w:szCs w:val="21"/>
                      <w:vertAlign w:val="subscript"/>
                      <w14:textFill>
                        <w14:solidFill>
                          <w14:schemeClr w14:val="tx1"/>
                        </w14:solidFill>
                      </w14:textFill>
                    </w:rPr>
                    <w:t>2</w:t>
                  </w:r>
                </w:p>
              </w:tc>
              <w:tc>
                <w:tcPr>
                  <w:tcW w:w="2069" w:type="pct"/>
                  <w:noWrap w:val="0"/>
                  <w:vAlign w:val="center"/>
                </w:tcPr>
                <w:p w14:paraId="0E283484">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年平均质量浓度</w:t>
                  </w:r>
                </w:p>
              </w:tc>
              <w:tc>
                <w:tcPr>
                  <w:tcW w:w="1163" w:type="dxa"/>
                  <w:noWrap w:val="0"/>
                  <w:vAlign w:val="center"/>
                </w:tcPr>
                <w:p w14:paraId="7E9B6940">
                  <w:pPr>
                    <w:pStyle w:val="56"/>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12</w:t>
                  </w:r>
                </w:p>
              </w:tc>
              <w:tc>
                <w:tcPr>
                  <w:tcW w:w="1163" w:type="dxa"/>
                  <w:noWrap w:val="0"/>
                  <w:vAlign w:val="center"/>
                </w:tcPr>
                <w:p w14:paraId="2537EF3F">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40</w:t>
                  </w:r>
                </w:p>
              </w:tc>
              <w:tc>
                <w:tcPr>
                  <w:tcW w:w="999" w:type="dxa"/>
                  <w:noWrap w:val="0"/>
                  <w:vAlign w:val="center"/>
                </w:tcPr>
                <w:p w14:paraId="6C4720DC">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30</w:t>
                  </w:r>
                </w:p>
              </w:tc>
              <w:tc>
                <w:tcPr>
                  <w:tcW w:w="465" w:type="pct"/>
                  <w:noWrap w:val="0"/>
                  <w:vAlign w:val="center"/>
                </w:tcPr>
                <w:p w14:paraId="31513A66">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达标</w:t>
                  </w:r>
                </w:p>
              </w:tc>
            </w:tr>
            <w:tr w14:paraId="361E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430" w:type="pct"/>
                  <w:noWrap w:val="0"/>
                  <w:vAlign w:val="center"/>
                </w:tcPr>
                <w:p w14:paraId="52B1EF78">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PM</w:t>
                  </w:r>
                  <w:r>
                    <w:rPr>
                      <w:rFonts w:ascii="Times New Roman" w:hAnsi="Times New Roman" w:eastAsia="宋体" w:cs="Times New Roman"/>
                      <w:color w:val="000000" w:themeColor="text1"/>
                      <w:sz w:val="21"/>
                      <w:szCs w:val="21"/>
                      <w:vertAlign w:val="subscript"/>
                      <w14:textFill>
                        <w14:solidFill>
                          <w14:schemeClr w14:val="tx1"/>
                        </w14:solidFill>
                      </w14:textFill>
                    </w:rPr>
                    <w:t>10</w:t>
                  </w:r>
                </w:p>
              </w:tc>
              <w:tc>
                <w:tcPr>
                  <w:tcW w:w="2069" w:type="pct"/>
                  <w:noWrap w:val="0"/>
                  <w:vAlign w:val="center"/>
                </w:tcPr>
                <w:p w14:paraId="21A18023">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年平均质量浓度</w:t>
                  </w:r>
                </w:p>
              </w:tc>
              <w:tc>
                <w:tcPr>
                  <w:tcW w:w="1163" w:type="dxa"/>
                  <w:noWrap w:val="0"/>
                  <w:vAlign w:val="center"/>
                </w:tcPr>
                <w:p w14:paraId="72C50A24">
                  <w:pPr>
                    <w:pStyle w:val="56"/>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33</w:t>
                  </w:r>
                </w:p>
              </w:tc>
              <w:tc>
                <w:tcPr>
                  <w:tcW w:w="1163" w:type="dxa"/>
                  <w:noWrap w:val="0"/>
                  <w:vAlign w:val="center"/>
                </w:tcPr>
                <w:p w14:paraId="6A0F54B4">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60</w:t>
                  </w:r>
                </w:p>
              </w:tc>
              <w:tc>
                <w:tcPr>
                  <w:tcW w:w="999" w:type="dxa"/>
                  <w:noWrap w:val="0"/>
                  <w:vAlign w:val="center"/>
                </w:tcPr>
                <w:p w14:paraId="20BAC1FB">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55</w:t>
                  </w:r>
                </w:p>
              </w:tc>
              <w:tc>
                <w:tcPr>
                  <w:tcW w:w="465" w:type="pct"/>
                  <w:noWrap w:val="0"/>
                  <w:vAlign w:val="center"/>
                </w:tcPr>
                <w:p w14:paraId="444B74F7">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达标</w:t>
                  </w:r>
                </w:p>
              </w:tc>
            </w:tr>
            <w:tr w14:paraId="463C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0" w:type="pct"/>
                  <w:noWrap w:val="0"/>
                  <w:vAlign w:val="center"/>
                </w:tcPr>
                <w:p w14:paraId="37D4299E">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PM</w:t>
                  </w:r>
                  <w:r>
                    <w:rPr>
                      <w:rFonts w:ascii="Times New Roman" w:hAnsi="Times New Roman" w:eastAsia="宋体" w:cs="Times New Roman"/>
                      <w:color w:val="000000" w:themeColor="text1"/>
                      <w:sz w:val="21"/>
                      <w:szCs w:val="21"/>
                      <w:vertAlign w:val="subscript"/>
                      <w14:textFill>
                        <w14:solidFill>
                          <w14:schemeClr w14:val="tx1"/>
                        </w14:solidFill>
                      </w14:textFill>
                    </w:rPr>
                    <w:t>2.5</w:t>
                  </w:r>
                </w:p>
              </w:tc>
              <w:tc>
                <w:tcPr>
                  <w:tcW w:w="2069" w:type="pct"/>
                  <w:noWrap w:val="0"/>
                  <w:vAlign w:val="center"/>
                </w:tcPr>
                <w:p w14:paraId="5899DF7A">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年平均质量浓度</w:t>
                  </w:r>
                </w:p>
              </w:tc>
              <w:tc>
                <w:tcPr>
                  <w:tcW w:w="1163" w:type="dxa"/>
                  <w:noWrap w:val="0"/>
                  <w:vAlign w:val="center"/>
                </w:tcPr>
                <w:p w14:paraId="19E6A83E">
                  <w:pPr>
                    <w:pStyle w:val="56"/>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21</w:t>
                  </w:r>
                </w:p>
              </w:tc>
              <w:tc>
                <w:tcPr>
                  <w:tcW w:w="1163" w:type="dxa"/>
                  <w:noWrap w:val="0"/>
                  <w:vAlign w:val="center"/>
                </w:tcPr>
                <w:p w14:paraId="72C31CA9">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3</w:t>
                  </w:r>
                  <w:r>
                    <w:rPr>
                      <w:rFonts w:hint="eastAsia" w:ascii="Times New Roman" w:hAnsi="Times New Roman" w:eastAsia="宋体" w:cs="Times New Roman"/>
                      <w:color w:val="000000" w:themeColor="text1"/>
                      <w:sz w:val="21"/>
                      <w:szCs w:val="21"/>
                      <w14:textFill>
                        <w14:solidFill>
                          <w14:schemeClr w14:val="tx1"/>
                        </w14:solidFill>
                      </w14:textFill>
                    </w:rPr>
                    <w:t>0</w:t>
                  </w:r>
                </w:p>
              </w:tc>
              <w:tc>
                <w:tcPr>
                  <w:tcW w:w="999" w:type="dxa"/>
                  <w:noWrap w:val="0"/>
                  <w:vAlign w:val="center"/>
                </w:tcPr>
                <w:p w14:paraId="09B90E25">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70</w:t>
                  </w:r>
                </w:p>
              </w:tc>
              <w:tc>
                <w:tcPr>
                  <w:tcW w:w="465" w:type="pct"/>
                  <w:noWrap w:val="0"/>
                  <w:vAlign w:val="center"/>
                </w:tcPr>
                <w:p w14:paraId="5DBD6F08">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达标</w:t>
                  </w:r>
                </w:p>
              </w:tc>
            </w:tr>
            <w:tr w14:paraId="0EC1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430" w:type="pct"/>
                  <w:noWrap w:val="0"/>
                  <w:vAlign w:val="center"/>
                </w:tcPr>
                <w:p w14:paraId="07B5BFCF">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CO</w:t>
                  </w:r>
                </w:p>
              </w:tc>
              <w:tc>
                <w:tcPr>
                  <w:tcW w:w="2069" w:type="pct"/>
                  <w:noWrap w:val="0"/>
                  <w:vAlign w:val="center"/>
                </w:tcPr>
                <w:p w14:paraId="26859BDA">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第95百分位数日平均浓度</w:t>
                  </w:r>
                </w:p>
              </w:tc>
              <w:tc>
                <w:tcPr>
                  <w:tcW w:w="1163" w:type="dxa"/>
                  <w:noWrap w:val="0"/>
                  <w:vAlign w:val="center"/>
                </w:tcPr>
                <w:p w14:paraId="400E81F3">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800</w:t>
                  </w:r>
                </w:p>
              </w:tc>
              <w:tc>
                <w:tcPr>
                  <w:tcW w:w="1163" w:type="dxa"/>
                  <w:noWrap w:val="0"/>
                  <w:vAlign w:val="center"/>
                </w:tcPr>
                <w:p w14:paraId="607FF490">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4</w:t>
                  </w:r>
                  <w:r>
                    <w:rPr>
                      <w:rFonts w:hint="eastAsia" w:ascii="Times New Roman" w:hAnsi="Times New Roman" w:eastAsia="宋体" w:cs="Times New Roman"/>
                      <w:color w:val="000000" w:themeColor="text1"/>
                      <w:sz w:val="21"/>
                      <w:szCs w:val="21"/>
                      <w14:textFill>
                        <w14:solidFill>
                          <w14:schemeClr w14:val="tx1"/>
                        </w14:solidFill>
                      </w14:textFill>
                    </w:rPr>
                    <w:t>000</w:t>
                  </w:r>
                </w:p>
              </w:tc>
              <w:tc>
                <w:tcPr>
                  <w:tcW w:w="999" w:type="dxa"/>
                  <w:noWrap w:val="0"/>
                  <w:vAlign w:val="center"/>
                </w:tcPr>
                <w:p w14:paraId="65C01BC2">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20</w:t>
                  </w:r>
                </w:p>
              </w:tc>
              <w:tc>
                <w:tcPr>
                  <w:tcW w:w="465" w:type="pct"/>
                  <w:noWrap w:val="0"/>
                  <w:vAlign w:val="center"/>
                </w:tcPr>
                <w:p w14:paraId="2A48114B">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达标</w:t>
                  </w:r>
                </w:p>
              </w:tc>
            </w:tr>
            <w:tr w14:paraId="4253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30" w:type="pct"/>
                  <w:noWrap w:val="0"/>
                  <w:vAlign w:val="center"/>
                </w:tcPr>
                <w:p w14:paraId="383F6775">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O</w:t>
                  </w:r>
                  <w:r>
                    <w:rPr>
                      <w:rFonts w:ascii="Times New Roman" w:hAnsi="Times New Roman" w:eastAsia="宋体" w:cs="Times New Roman"/>
                      <w:color w:val="000000" w:themeColor="text1"/>
                      <w:sz w:val="21"/>
                      <w:szCs w:val="21"/>
                      <w:vertAlign w:val="subscript"/>
                      <w14:textFill>
                        <w14:solidFill>
                          <w14:schemeClr w14:val="tx1"/>
                        </w14:solidFill>
                      </w14:textFill>
                    </w:rPr>
                    <w:t>3</w:t>
                  </w:r>
                </w:p>
              </w:tc>
              <w:tc>
                <w:tcPr>
                  <w:tcW w:w="2069" w:type="pct"/>
                  <w:noWrap w:val="0"/>
                  <w:vAlign w:val="center"/>
                </w:tcPr>
                <w:p w14:paraId="07B5874F">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第90百分位数日最大8h平均浓度</w:t>
                  </w:r>
                </w:p>
              </w:tc>
              <w:tc>
                <w:tcPr>
                  <w:tcW w:w="1163" w:type="dxa"/>
                  <w:noWrap w:val="0"/>
                  <w:vAlign w:val="center"/>
                </w:tcPr>
                <w:p w14:paraId="6EE9C384">
                  <w:pPr>
                    <w:pStyle w:val="56"/>
                    <w:jc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134</w:t>
                  </w:r>
                </w:p>
              </w:tc>
              <w:tc>
                <w:tcPr>
                  <w:tcW w:w="1163" w:type="dxa"/>
                  <w:noWrap w:val="0"/>
                  <w:vAlign w:val="center"/>
                </w:tcPr>
                <w:p w14:paraId="2D8EC523">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160</w:t>
                  </w:r>
                </w:p>
              </w:tc>
              <w:tc>
                <w:tcPr>
                  <w:tcW w:w="999" w:type="dxa"/>
                  <w:noWrap w:val="0"/>
                  <w:vAlign w:val="center"/>
                </w:tcPr>
                <w:p w14:paraId="0F06DACD">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83.8</w:t>
                  </w:r>
                </w:p>
              </w:tc>
              <w:tc>
                <w:tcPr>
                  <w:tcW w:w="465" w:type="pct"/>
                  <w:noWrap w:val="0"/>
                  <w:vAlign w:val="center"/>
                </w:tcPr>
                <w:p w14:paraId="4E587C10">
                  <w:pPr>
                    <w:pStyle w:val="56"/>
                    <w:jc w:val="center"/>
                    <w:rPr>
                      <w:rFonts w:ascii="Times New Roman" w:hAnsi="Times New Roman" w:eastAsia="宋体" w:cs="Times New Roman"/>
                      <w:color w:val="000000" w:themeColor="text1"/>
                      <w:sz w:val="21"/>
                      <w:szCs w:val="21"/>
                      <w14:textFill>
                        <w14:solidFill>
                          <w14:schemeClr w14:val="tx1"/>
                        </w14:solidFill>
                      </w14:textFill>
                    </w:rPr>
                  </w:pPr>
                  <w:r>
                    <w:rPr>
                      <w:rFonts w:ascii="Times New Roman" w:hAnsi="Times New Roman" w:eastAsia="宋体" w:cs="Times New Roman"/>
                      <w:color w:val="000000" w:themeColor="text1"/>
                      <w:sz w:val="21"/>
                      <w:szCs w:val="21"/>
                      <w14:textFill>
                        <w14:solidFill>
                          <w14:schemeClr w14:val="tx1"/>
                        </w14:solidFill>
                      </w14:textFill>
                    </w:rPr>
                    <w:t>超标</w:t>
                  </w:r>
                </w:p>
              </w:tc>
            </w:tr>
          </w:tbl>
          <w:p w14:paraId="37949E82">
            <w:pPr>
              <w:spacing w:line="480" w:lineRule="exact"/>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shd w:val="clear" w:color="auto" w:fill="FFFFFF"/>
                <w14:textFill>
                  <w14:solidFill>
                    <w14:schemeClr w14:val="tx1"/>
                  </w14:solidFill>
                </w14:textFill>
              </w:rPr>
              <w:t>根据生态环境部2026年2月13日发布的《关于发布国家生态环境质量标准〈环境空气质量标准〉的公告》（公告2026年第13号），《环境空气质量标准》（GB3095-2026）自2026年3月1日起实施，并设置过渡期至2030年12月31日。</w:t>
            </w:r>
            <w:r>
              <w:rPr>
                <w:rFonts w:ascii="Times New Roman" w:hAnsi="Times New Roman" w:eastAsia="宋体" w:cs="Times New Roman"/>
                <w:color w:val="000000" w:themeColor="text1"/>
                <w:kern w:val="0"/>
                <w:sz w:val="24"/>
                <w14:textFill>
                  <w14:solidFill>
                    <w14:schemeClr w14:val="tx1"/>
                  </w14:solidFill>
                </w14:textFill>
              </w:rPr>
              <w:t>由上表可知，2024年湛江市环境空气质量基本污染物的</w:t>
            </w:r>
            <w:r>
              <w:rPr>
                <w:rFonts w:ascii="Times New Roman" w:hAnsi="Times New Roman" w:eastAsia="宋体" w:cs="Times New Roman"/>
                <w:color w:val="000000" w:themeColor="text1"/>
                <w:sz w:val="24"/>
                <w14:textFill>
                  <w14:solidFill>
                    <w14:schemeClr w14:val="tx1"/>
                  </w14:solidFill>
                </w14:textFill>
              </w:rPr>
              <w:t>浓度均低于</w:t>
            </w:r>
            <w:r>
              <w:rPr>
                <w:rFonts w:ascii="Times New Roman" w:hAnsi="Times New Roman" w:eastAsia="宋体" w:cs="Times New Roman"/>
                <w:color w:val="000000" w:themeColor="text1"/>
                <w:kern w:val="0"/>
                <w:sz w:val="24"/>
                <w14:textFill>
                  <w14:solidFill>
                    <w14:schemeClr w14:val="tx1"/>
                  </w14:solidFill>
                </w14:textFill>
              </w:rPr>
              <w:t>《环境空气质量标准》（GB3095-2026）过渡阶段二级浓度限值</w:t>
            </w:r>
            <w:r>
              <w:rPr>
                <w:rFonts w:ascii="Times New Roman" w:hAnsi="Times New Roman" w:eastAsia="宋体" w:cs="Times New Roman"/>
                <w:color w:val="000000" w:themeColor="text1"/>
                <w:sz w:val="24"/>
                <w14:textFill>
                  <w14:solidFill>
                    <w14:schemeClr w14:val="tx1"/>
                  </w14:solidFill>
                </w14:textFill>
              </w:rPr>
              <w:t>。因此项目所在评价区域为大气环境质量达标区。</w:t>
            </w:r>
          </w:p>
          <w:p w14:paraId="7D22F2A8">
            <w:pPr>
              <w:spacing w:line="480" w:lineRule="exact"/>
              <w:ind w:firstLine="482" w:firstLineChars="200"/>
              <w:jc w:val="left"/>
              <w:rPr>
                <w:rFonts w:hint="eastAsia" w:ascii="Times New Roman" w:hAnsi="Times New Roman" w:eastAsia="宋体" w:cs="Times New Roman"/>
                <w:b/>
                <w:color w:val="000000" w:themeColor="text1"/>
                <w:kern w:val="0"/>
                <w:sz w:val="24"/>
                <w14:textFill>
                  <w14:solidFill>
                    <w14:schemeClr w14:val="tx1"/>
                  </w14:solidFill>
                </w14:textFill>
              </w:rPr>
            </w:pPr>
            <w:r>
              <w:rPr>
                <w:rFonts w:hint="eastAsia" w:ascii="Times New Roman" w:hAnsi="Times New Roman" w:eastAsia="宋体" w:cs="Times New Roman"/>
                <w:b/>
                <w:color w:val="000000" w:themeColor="text1"/>
                <w:kern w:val="0"/>
                <w:sz w:val="24"/>
                <w14:textFill>
                  <w14:solidFill>
                    <w14:schemeClr w14:val="tx1"/>
                  </w14:solidFill>
                </w14:textFill>
              </w:rPr>
              <w:t>（2）其他污染物补充调查</w:t>
            </w:r>
          </w:p>
          <w:p w14:paraId="5A9F20D2">
            <w:pPr>
              <w:spacing w:line="480" w:lineRule="exact"/>
              <w:ind w:firstLine="480" w:firstLineChars="200"/>
              <w:jc w:val="left"/>
              <w:rPr>
                <w:rFonts w:ascii="Times New Roman" w:hAnsi="Times New Roman" w:eastAsia="宋体" w:cs="Times New Roman"/>
                <w:bCs/>
                <w:color w:val="000000" w:themeColor="text1"/>
                <w:kern w:val="0"/>
                <w:sz w:val="24"/>
                <w14:textFill>
                  <w14:solidFill>
                    <w14:schemeClr w14:val="tx1"/>
                  </w14:solidFill>
                </w14:textFill>
              </w:rPr>
            </w:pPr>
            <w:r>
              <w:rPr>
                <w:rFonts w:ascii="Times New Roman" w:hAnsi="Times New Roman" w:eastAsia="宋体" w:cs="Times New Roman"/>
                <w:bCs/>
                <w:color w:val="000000" w:themeColor="text1"/>
                <w:kern w:val="0"/>
                <w:sz w:val="24"/>
                <w14:textFill>
                  <w14:solidFill>
                    <w14:schemeClr w14:val="tx1"/>
                  </w14:solidFill>
                </w14:textFill>
              </w:rPr>
              <w:t>根据《建设项目环境影响报告表编制技术指南（污染影响类）（试行）》，排放国家、地方环境空气质量标准中有标准限值要求的特征污染物时，</w:t>
            </w:r>
            <w:r>
              <w:rPr>
                <w:rFonts w:hint="eastAsia" w:ascii="Times New Roman" w:hAnsi="Times New Roman" w:eastAsia="宋体" w:cs="Times New Roman"/>
                <w:bCs/>
                <w:color w:val="000000" w:themeColor="text1"/>
                <w:kern w:val="0"/>
                <w:sz w:val="24"/>
                <w14:textFill>
                  <w14:solidFill>
                    <w14:schemeClr w14:val="tx1"/>
                  </w14:solidFill>
                </w14:textFill>
              </w:rPr>
              <w:t>可以</w:t>
            </w:r>
            <w:r>
              <w:rPr>
                <w:rFonts w:ascii="Times New Roman" w:hAnsi="Times New Roman" w:eastAsia="宋体" w:cs="Times New Roman"/>
                <w:bCs/>
                <w:color w:val="000000" w:themeColor="text1"/>
                <w:kern w:val="0"/>
                <w:sz w:val="24"/>
                <w14:textFill>
                  <w14:solidFill>
                    <w14:schemeClr w14:val="tx1"/>
                  </w14:solidFill>
                </w14:textFill>
              </w:rPr>
              <w:t>引用建设项目周边5千米范围内近3年的现有监测数据</w:t>
            </w:r>
            <w:r>
              <w:rPr>
                <w:rFonts w:hint="eastAsia" w:ascii="Times New Roman" w:hAnsi="Times New Roman" w:eastAsia="宋体" w:cs="Times New Roman"/>
                <w:bCs/>
                <w:color w:val="000000" w:themeColor="text1"/>
                <w:kern w:val="0"/>
                <w:sz w:val="24"/>
                <w14:textFill>
                  <w14:solidFill>
                    <w14:schemeClr w14:val="tx1"/>
                  </w14:solidFill>
                </w14:textFill>
              </w:rPr>
              <w:t>。为进一步</w:t>
            </w:r>
            <w:r>
              <w:rPr>
                <w:rFonts w:hint="eastAsia" w:ascii="Times New Roman" w:hAnsi="Times New Roman" w:eastAsia="宋体" w:cs="Times New Roman"/>
                <w:color w:val="000000" w:themeColor="text1"/>
                <w:sz w:val="24"/>
                <w14:textFill>
                  <w14:solidFill>
                    <w14:schemeClr w14:val="tx1"/>
                  </w14:solidFill>
                </w14:textFill>
              </w:rPr>
              <w:t>了解项目所在地TSP、NO</w:t>
            </w:r>
            <w:r>
              <w:rPr>
                <w:rFonts w:hint="eastAsia" w:ascii="Times New Roman" w:hAnsi="Times New Roman" w:eastAsia="宋体" w:cs="Times New Roman"/>
                <w:color w:val="000000" w:themeColor="text1"/>
                <w:sz w:val="24"/>
                <w:vertAlign w:val="subscript"/>
                <w14:textFill>
                  <w14:solidFill>
                    <w14:schemeClr w14:val="tx1"/>
                  </w14:solidFill>
                </w14:textFill>
              </w:rPr>
              <w:t>X</w:t>
            </w:r>
            <w:r>
              <w:rPr>
                <w:rFonts w:ascii="Times New Roman" w:hAnsi="Times New Roman" w:eastAsia="宋体" w:cs="Times New Roman"/>
                <w:bCs/>
                <w:color w:val="000000" w:themeColor="text1"/>
                <w:kern w:val="0"/>
                <w:sz w:val="24"/>
                <w14:textFill>
                  <w14:solidFill>
                    <w14:schemeClr w14:val="tx1"/>
                  </w14:solidFill>
                </w14:textFill>
              </w:rPr>
              <w:t>环境空气质量现状</w:t>
            </w:r>
            <w:r>
              <w:rPr>
                <w:rFonts w:hint="eastAsia" w:ascii="Times New Roman" w:hAnsi="Times New Roman" w:eastAsia="宋体" w:cs="Times New Roman"/>
                <w:color w:val="000000" w:themeColor="text1"/>
                <w:sz w:val="24"/>
                <w14:textFill>
                  <w14:solidFill>
                    <w14:schemeClr w14:val="tx1"/>
                  </w14:solidFill>
                </w14:textFill>
              </w:rPr>
              <w:t>，项目引用</w:t>
            </w:r>
            <w:r>
              <w:rPr>
                <w:rFonts w:hint="eastAsia" w:ascii="Times New Roman" w:hAnsi="Times New Roman" w:eastAsia="宋体" w:cs="Times New Roman"/>
                <w:snapToGrid w:val="0"/>
                <w:color w:val="000000" w:themeColor="text1"/>
                <w:kern w:val="0"/>
                <w:sz w:val="24"/>
                <w14:textFill>
                  <w14:solidFill>
                    <w14:schemeClr w14:val="tx1"/>
                  </w14:solidFill>
                </w14:textFill>
              </w:rPr>
              <w:t>湛江环峰能源科技有限公司</w:t>
            </w:r>
            <w:r>
              <w:rPr>
                <w:rFonts w:hint="eastAsia" w:ascii="Times New Roman" w:hAnsi="Times New Roman" w:eastAsia="宋体" w:cs="Times New Roman"/>
                <w:color w:val="000000" w:themeColor="text1"/>
                <w:sz w:val="24"/>
                <w14:textFill>
                  <w14:solidFill>
                    <w14:schemeClr w14:val="tx1"/>
                  </w14:solidFill>
                </w14:textFill>
              </w:rPr>
              <w:t>委托广东绿能检测技术有限公司对监测点G1的环境空气现状监测数据中TSP、NO</w:t>
            </w:r>
            <w:r>
              <w:rPr>
                <w:rFonts w:hint="eastAsia" w:ascii="Times New Roman" w:hAnsi="Times New Roman" w:eastAsia="宋体" w:cs="Times New Roman"/>
                <w:color w:val="000000" w:themeColor="text1"/>
                <w:sz w:val="24"/>
                <w:vertAlign w:val="subscript"/>
                <w14:textFill>
                  <w14:solidFill>
                    <w14:schemeClr w14:val="tx1"/>
                  </w14:solidFill>
                </w14:textFill>
              </w:rPr>
              <w:t>X</w:t>
            </w:r>
            <w:r>
              <w:rPr>
                <w:rFonts w:hint="eastAsia" w:ascii="Times New Roman" w:hAnsi="Times New Roman" w:eastAsia="宋体" w:cs="Times New Roman"/>
                <w:color w:val="000000" w:themeColor="text1"/>
                <w:sz w:val="24"/>
                <w14:textFill>
                  <w14:solidFill>
                    <w14:schemeClr w14:val="tx1"/>
                  </w14:solidFill>
                </w14:textFill>
              </w:rPr>
              <w:t>的大气监测数据来评价项目所在区域大气质量状况，报告编号：LN(综)2024011202（附件7），监测点G1位于项目东南侧，距离约4355m，项目所在地与引用空气监测点位关系图见附图6，监测结果见下表。</w:t>
            </w:r>
          </w:p>
          <w:p w14:paraId="1CF19902">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表3-</w:t>
            </w:r>
            <w:r>
              <w:rPr>
                <w:rFonts w:hint="eastAsia" w:ascii="Times New Roman" w:hAnsi="Times New Roman" w:eastAsia="宋体" w:cs="Times New Roman"/>
                <w:b/>
                <w:color w:val="000000" w:themeColor="text1"/>
                <w:sz w:val="24"/>
                <w14:textFill>
                  <w14:solidFill>
                    <w14:schemeClr w14:val="tx1"/>
                  </w14:solidFill>
                </w14:textFill>
              </w:rPr>
              <w:t>2</w:t>
            </w:r>
            <w:r>
              <w:rPr>
                <w:rFonts w:ascii="Times New Roman" w:hAnsi="Times New Roman" w:eastAsia="宋体" w:cs="Times New Roman"/>
                <w:b/>
                <w:color w:val="000000" w:themeColor="text1"/>
                <w:sz w:val="24"/>
                <w14:textFill>
                  <w14:solidFill>
                    <w14:schemeClr w14:val="tx1"/>
                  </w14:solidFill>
                </w14:textFill>
              </w:rPr>
              <w:t>项目特征污染物引用监测点位基本信息表</w:t>
            </w:r>
          </w:p>
          <w:tbl>
            <w:tblPr>
              <w:tblStyle w:val="32"/>
              <w:tblW w:w="8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21"/>
              <w:gridCol w:w="1587"/>
              <w:gridCol w:w="1036"/>
              <w:gridCol w:w="2076"/>
              <w:gridCol w:w="987"/>
              <w:gridCol w:w="1108"/>
            </w:tblGrid>
            <w:tr w14:paraId="3F8B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330" w:type="dxa"/>
                  <w:noWrap w:val="0"/>
                  <w:vAlign w:val="center"/>
                </w:tcPr>
                <w:p w14:paraId="3C792471">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监测点名称</w:t>
                  </w:r>
                </w:p>
              </w:tc>
              <w:tc>
                <w:tcPr>
                  <w:tcW w:w="1445" w:type="dxa"/>
                  <w:noWrap w:val="0"/>
                  <w:vAlign w:val="center"/>
                </w:tcPr>
                <w:p w14:paraId="7F910896">
                  <w:pPr>
                    <w:pStyle w:val="43"/>
                    <w:jc w:val="center"/>
                    <w:rPr>
                      <w:rFonts w:ascii="Times New Roman"/>
                      <w:b/>
                      <w:bCs/>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监测点坐标</w:t>
                  </w:r>
                </w:p>
              </w:tc>
              <w:tc>
                <w:tcPr>
                  <w:tcW w:w="1085" w:type="dxa"/>
                  <w:noWrap w:val="0"/>
                  <w:vAlign w:val="center"/>
                </w:tcPr>
                <w:p w14:paraId="0CF8EB7E">
                  <w:pPr>
                    <w:pStyle w:val="43"/>
                    <w:jc w:val="center"/>
                    <w:rPr>
                      <w:rFonts w:hint="eastAsia"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监测</w:t>
                  </w:r>
                  <w:r>
                    <w:rPr>
                      <w:rFonts w:hint="eastAsia" w:ascii="Times New Roman"/>
                      <w:b/>
                      <w:bCs/>
                      <w:color w:val="000000" w:themeColor="text1"/>
                      <w:sz w:val="21"/>
                      <w:szCs w:val="21"/>
                      <w14:textFill>
                        <w14:solidFill>
                          <w14:schemeClr w14:val="tx1"/>
                        </w14:solidFill>
                      </w14:textFill>
                    </w:rPr>
                    <w:t>项目</w:t>
                  </w:r>
                </w:p>
              </w:tc>
              <w:tc>
                <w:tcPr>
                  <w:tcW w:w="1917" w:type="dxa"/>
                  <w:noWrap w:val="0"/>
                  <w:vAlign w:val="center"/>
                </w:tcPr>
                <w:p w14:paraId="10A42C9F">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监测时段</w:t>
                  </w:r>
                </w:p>
              </w:tc>
              <w:tc>
                <w:tcPr>
                  <w:tcW w:w="1074" w:type="dxa"/>
                  <w:noWrap w:val="0"/>
                  <w:vAlign w:val="center"/>
                </w:tcPr>
                <w:p w14:paraId="3F0F5425">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相对厂址位置</w:t>
                  </w:r>
                </w:p>
              </w:tc>
              <w:tc>
                <w:tcPr>
                  <w:tcW w:w="1164" w:type="dxa"/>
                  <w:noWrap w:val="0"/>
                  <w:vAlign w:val="center"/>
                </w:tcPr>
                <w:p w14:paraId="30D9E5AB">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相对厂界距离</w:t>
                  </w:r>
                </w:p>
              </w:tc>
            </w:tr>
            <w:tr w14:paraId="4593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3" w:hRule="atLeast"/>
                <w:jc w:val="center"/>
              </w:trPr>
              <w:tc>
                <w:tcPr>
                  <w:tcW w:w="1330" w:type="dxa"/>
                  <w:noWrap w:val="0"/>
                  <w:vAlign w:val="center"/>
                </w:tcPr>
                <w:p w14:paraId="77F3E1D9">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G1</w:t>
                  </w:r>
                </w:p>
              </w:tc>
              <w:tc>
                <w:tcPr>
                  <w:tcW w:w="1445" w:type="dxa"/>
                  <w:noWrap w:val="0"/>
                  <w:vAlign w:val="center"/>
                </w:tcPr>
                <w:p w14:paraId="5877A568">
                  <w:pPr>
                    <w:pStyle w:val="43"/>
                    <w:jc w:val="center"/>
                    <w:rPr>
                      <w:rFonts w:ascii="Times New Roman"/>
                      <w:bCs/>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E110.371163°，N21.160981°</w:t>
                  </w:r>
                </w:p>
              </w:tc>
              <w:tc>
                <w:tcPr>
                  <w:tcW w:w="1085" w:type="dxa"/>
                  <w:noWrap w:val="0"/>
                  <w:vAlign w:val="center"/>
                </w:tcPr>
                <w:p w14:paraId="208137E9">
                  <w:pPr>
                    <w:pStyle w:val="43"/>
                    <w:jc w:val="center"/>
                    <w:rPr>
                      <w:rFonts w:hint="eastAsia" w:ascii="Times New Roman"/>
                      <w:bCs/>
                      <w:color w:val="000000" w:themeColor="text1"/>
                      <w:sz w:val="21"/>
                      <w:szCs w:val="21"/>
                      <w14:textFill>
                        <w14:solidFill>
                          <w14:schemeClr w14:val="tx1"/>
                        </w14:solidFill>
                      </w14:textFill>
                    </w:rPr>
                  </w:pPr>
                  <w:r>
                    <w:rPr>
                      <w:rFonts w:ascii="Times New Roman"/>
                      <w:bCs/>
                      <w:color w:val="000000" w:themeColor="text1"/>
                      <w:sz w:val="21"/>
                      <w:szCs w:val="21"/>
                      <w14:textFill>
                        <w14:solidFill>
                          <w14:schemeClr w14:val="tx1"/>
                        </w14:solidFill>
                      </w14:textFill>
                    </w:rPr>
                    <w:t>TSP</w:t>
                  </w:r>
                  <w:r>
                    <w:rPr>
                      <w:rFonts w:hint="eastAsia" w:ascii="Times New Roman"/>
                      <w:bCs/>
                      <w:color w:val="000000" w:themeColor="text1"/>
                      <w:sz w:val="21"/>
                      <w:szCs w:val="21"/>
                      <w14:textFill>
                        <w14:solidFill>
                          <w14:schemeClr w14:val="tx1"/>
                        </w14:solidFill>
                      </w14:textFill>
                    </w:rPr>
                    <w:t>、NO</w:t>
                  </w:r>
                  <w:r>
                    <w:rPr>
                      <w:rFonts w:hint="eastAsia" w:ascii="Times New Roman"/>
                      <w:bCs/>
                      <w:color w:val="000000" w:themeColor="text1"/>
                      <w:sz w:val="21"/>
                      <w:szCs w:val="21"/>
                      <w:vertAlign w:val="subscript"/>
                      <w14:textFill>
                        <w14:solidFill>
                          <w14:schemeClr w14:val="tx1"/>
                        </w14:solidFill>
                      </w14:textFill>
                    </w:rPr>
                    <w:t>X</w:t>
                  </w:r>
                </w:p>
              </w:tc>
              <w:tc>
                <w:tcPr>
                  <w:tcW w:w="1917" w:type="dxa"/>
                  <w:noWrap w:val="0"/>
                  <w:vAlign w:val="center"/>
                </w:tcPr>
                <w:p w14:paraId="6452FFEC">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202</w:t>
                  </w:r>
                  <w:r>
                    <w:rPr>
                      <w:rFonts w:hint="eastAsia" w:ascii="Times New Roman"/>
                      <w:color w:val="000000" w:themeColor="text1"/>
                      <w:sz w:val="21"/>
                      <w:szCs w:val="21"/>
                      <w14:textFill>
                        <w14:solidFill>
                          <w14:schemeClr w14:val="tx1"/>
                        </w14:solidFill>
                      </w14:textFill>
                    </w:rPr>
                    <w:t>3/12/11</w:t>
                  </w:r>
                  <w:r>
                    <w:rPr>
                      <w:rFonts w:ascii="Times New Roman"/>
                      <w:color w:val="000000" w:themeColor="text1"/>
                      <w:sz w:val="21"/>
                      <w:szCs w:val="21"/>
                      <w14:textFill>
                        <w14:solidFill>
                          <w14:schemeClr w14:val="tx1"/>
                        </w14:solidFill>
                      </w14:textFill>
                    </w:rPr>
                    <w:t>~</w:t>
                  </w:r>
                  <w:r>
                    <w:rPr>
                      <w:rFonts w:hint="eastAsia" w:ascii="Times New Roman"/>
                      <w:color w:val="000000" w:themeColor="text1"/>
                      <w:sz w:val="21"/>
                      <w:szCs w:val="21"/>
                      <w14:textFill>
                        <w14:solidFill>
                          <w14:schemeClr w14:val="tx1"/>
                        </w14:solidFill>
                      </w14:textFill>
                    </w:rPr>
                    <w:t>2023/12/17</w:t>
                  </w:r>
                </w:p>
              </w:tc>
              <w:tc>
                <w:tcPr>
                  <w:tcW w:w="1074" w:type="dxa"/>
                  <w:noWrap w:val="0"/>
                  <w:vAlign w:val="center"/>
                </w:tcPr>
                <w:p w14:paraId="4F54923C">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东南</w:t>
                  </w:r>
                  <w:r>
                    <w:rPr>
                      <w:rFonts w:ascii="Times New Roman"/>
                      <w:color w:val="000000" w:themeColor="text1"/>
                      <w:sz w:val="21"/>
                      <w:szCs w:val="21"/>
                      <w14:textFill>
                        <w14:solidFill>
                          <w14:schemeClr w14:val="tx1"/>
                        </w14:solidFill>
                      </w14:textFill>
                    </w:rPr>
                    <w:t>面</w:t>
                  </w:r>
                </w:p>
              </w:tc>
              <w:tc>
                <w:tcPr>
                  <w:tcW w:w="1164" w:type="dxa"/>
                  <w:noWrap w:val="0"/>
                  <w:vAlign w:val="center"/>
                </w:tcPr>
                <w:p w14:paraId="0ECA9A21">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约</w:t>
                  </w:r>
                  <w:r>
                    <w:rPr>
                      <w:rFonts w:hint="eastAsia" w:ascii="Times New Roman"/>
                      <w:color w:val="000000" w:themeColor="text1"/>
                      <w:sz w:val="21"/>
                      <w:szCs w:val="21"/>
                      <w14:textFill>
                        <w14:solidFill>
                          <w14:schemeClr w14:val="tx1"/>
                        </w14:solidFill>
                      </w14:textFill>
                    </w:rPr>
                    <w:t>4355</w:t>
                  </w:r>
                  <w:r>
                    <w:rPr>
                      <w:rFonts w:ascii="Times New Roman"/>
                      <w:color w:val="000000" w:themeColor="text1"/>
                      <w:sz w:val="21"/>
                      <w:szCs w:val="21"/>
                      <w14:textFill>
                        <w14:solidFill>
                          <w14:schemeClr w14:val="tx1"/>
                        </w14:solidFill>
                      </w14:textFill>
                    </w:rPr>
                    <w:t>m</w:t>
                  </w:r>
                </w:p>
              </w:tc>
            </w:tr>
          </w:tbl>
          <w:p w14:paraId="6A3FFD5A">
            <w:pPr>
              <w:spacing w:line="480" w:lineRule="exact"/>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表3-</w:t>
            </w:r>
            <w:r>
              <w:rPr>
                <w:rFonts w:hint="eastAsia" w:ascii="Times New Roman" w:hAnsi="Times New Roman" w:eastAsia="宋体" w:cs="Times New Roman"/>
                <w:b/>
                <w:bCs/>
                <w:color w:val="000000" w:themeColor="text1"/>
                <w:sz w:val="24"/>
                <w14:textFill>
                  <w14:solidFill>
                    <w14:schemeClr w14:val="tx1"/>
                  </w14:solidFill>
                </w14:textFill>
              </w:rPr>
              <w:t>3</w:t>
            </w:r>
            <w:r>
              <w:rPr>
                <w:rFonts w:ascii="Times New Roman" w:hAnsi="Times New Roman" w:eastAsia="宋体" w:cs="Times New Roman"/>
                <w:b/>
                <w:bCs/>
                <w:color w:val="000000" w:themeColor="text1"/>
                <w:sz w:val="24"/>
                <w14:textFill>
                  <w14:solidFill>
                    <w14:schemeClr w14:val="tx1"/>
                  </w14:solidFill>
                </w14:textFill>
              </w:rPr>
              <w:t>项目特征污染物监测结果表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4"/>
              <w:gridCol w:w="638"/>
              <w:gridCol w:w="548"/>
              <w:gridCol w:w="1186"/>
              <w:gridCol w:w="764"/>
              <w:gridCol w:w="1013"/>
              <w:gridCol w:w="1069"/>
              <w:gridCol w:w="834"/>
              <w:gridCol w:w="738"/>
              <w:gridCol w:w="470"/>
            </w:tblGrid>
            <w:tr w14:paraId="7B07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Merge w:val="restart"/>
                  <w:noWrap w:val="0"/>
                  <w:vAlign w:val="center"/>
                </w:tcPr>
                <w:p w14:paraId="19CF22B1">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监测点</w:t>
                  </w:r>
                </w:p>
              </w:tc>
              <w:tc>
                <w:tcPr>
                  <w:tcW w:w="1186" w:type="dxa"/>
                  <w:gridSpan w:val="2"/>
                  <w:noWrap w:val="0"/>
                  <w:vAlign w:val="center"/>
                </w:tcPr>
                <w:p w14:paraId="660591CC">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坐标/m</w:t>
                  </w:r>
                </w:p>
              </w:tc>
              <w:tc>
                <w:tcPr>
                  <w:tcW w:w="1186" w:type="dxa"/>
                  <w:vMerge w:val="restart"/>
                  <w:noWrap w:val="0"/>
                  <w:vAlign w:val="center"/>
                </w:tcPr>
                <w:p w14:paraId="197F696B">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污染物</w:t>
                  </w:r>
                </w:p>
              </w:tc>
              <w:tc>
                <w:tcPr>
                  <w:tcW w:w="764" w:type="dxa"/>
                  <w:vMerge w:val="restart"/>
                  <w:noWrap w:val="0"/>
                  <w:vAlign w:val="center"/>
                </w:tcPr>
                <w:p w14:paraId="37D78E6D">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平均时间</w:t>
                  </w:r>
                </w:p>
              </w:tc>
              <w:tc>
                <w:tcPr>
                  <w:tcW w:w="1013" w:type="dxa"/>
                  <w:vMerge w:val="restart"/>
                  <w:noWrap w:val="0"/>
                  <w:vAlign w:val="center"/>
                </w:tcPr>
                <w:p w14:paraId="41D1899C">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评价标准（μg/m</w:t>
                  </w:r>
                  <w:r>
                    <w:rPr>
                      <w:rFonts w:ascii="Times New Roman"/>
                      <w:b/>
                      <w:bCs/>
                      <w:color w:val="000000" w:themeColor="text1"/>
                      <w:sz w:val="21"/>
                      <w:szCs w:val="21"/>
                      <w:vertAlign w:val="superscript"/>
                      <w14:textFill>
                        <w14:solidFill>
                          <w14:schemeClr w14:val="tx1"/>
                        </w14:solidFill>
                      </w14:textFill>
                    </w:rPr>
                    <w:t>3</w:t>
                  </w:r>
                  <w:r>
                    <w:rPr>
                      <w:rFonts w:ascii="Times New Roman"/>
                      <w:b/>
                      <w:bCs/>
                      <w:color w:val="000000" w:themeColor="text1"/>
                      <w:sz w:val="21"/>
                      <w:szCs w:val="21"/>
                      <w14:textFill>
                        <w14:solidFill>
                          <w14:schemeClr w14:val="tx1"/>
                        </w14:solidFill>
                      </w14:textFill>
                    </w:rPr>
                    <w:t>）</w:t>
                  </w:r>
                </w:p>
              </w:tc>
              <w:tc>
                <w:tcPr>
                  <w:tcW w:w="1069" w:type="dxa"/>
                  <w:vMerge w:val="restart"/>
                  <w:noWrap w:val="0"/>
                  <w:vAlign w:val="center"/>
                </w:tcPr>
                <w:p w14:paraId="577060EC">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检测浓度范围（μg/m</w:t>
                  </w:r>
                  <w:r>
                    <w:rPr>
                      <w:rFonts w:ascii="Times New Roman"/>
                      <w:b/>
                      <w:bCs/>
                      <w:color w:val="000000" w:themeColor="text1"/>
                      <w:sz w:val="21"/>
                      <w:szCs w:val="21"/>
                      <w:vertAlign w:val="superscript"/>
                      <w14:textFill>
                        <w14:solidFill>
                          <w14:schemeClr w14:val="tx1"/>
                        </w14:solidFill>
                      </w14:textFill>
                    </w:rPr>
                    <w:t>3</w:t>
                  </w:r>
                  <w:r>
                    <w:rPr>
                      <w:rFonts w:ascii="Times New Roman"/>
                      <w:b/>
                      <w:bCs/>
                      <w:color w:val="000000" w:themeColor="text1"/>
                      <w:sz w:val="21"/>
                      <w:szCs w:val="21"/>
                      <w14:textFill>
                        <w14:solidFill>
                          <w14:schemeClr w14:val="tx1"/>
                        </w14:solidFill>
                      </w14:textFill>
                    </w:rPr>
                    <w:t>）</w:t>
                  </w:r>
                </w:p>
              </w:tc>
              <w:tc>
                <w:tcPr>
                  <w:tcW w:w="834" w:type="dxa"/>
                  <w:vMerge w:val="restart"/>
                  <w:noWrap w:val="0"/>
                  <w:vAlign w:val="center"/>
                </w:tcPr>
                <w:p w14:paraId="60C42F73">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最大浓度占标率（%）</w:t>
                  </w:r>
                </w:p>
              </w:tc>
              <w:tc>
                <w:tcPr>
                  <w:tcW w:w="738" w:type="dxa"/>
                  <w:vMerge w:val="restart"/>
                  <w:noWrap w:val="0"/>
                  <w:vAlign w:val="center"/>
                </w:tcPr>
                <w:p w14:paraId="7AA6E070">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超标率（%）</w:t>
                  </w:r>
                </w:p>
              </w:tc>
              <w:tc>
                <w:tcPr>
                  <w:tcW w:w="470" w:type="dxa"/>
                  <w:vMerge w:val="restart"/>
                  <w:noWrap w:val="0"/>
                  <w:vAlign w:val="center"/>
                </w:tcPr>
                <w:p w14:paraId="05ED8952">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达标情况</w:t>
                  </w:r>
                </w:p>
              </w:tc>
            </w:tr>
            <w:tr w14:paraId="2B98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Merge w:val="continue"/>
                  <w:noWrap w:val="0"/>
                  <w:vAlign w:val="center"/>
                </w:tcPr>
                <w:p w14:paraId="45155D88">
                  <w:pPr>
                    <w:pStyle w:val="43"/>
                    <w:jc w:val="center"/>
                    <w:rPr>
                      <w:rFonts w:ascii="Times New Roman"/>
                      <w:color w:val="000000" w:themeColor="text1"/>
                      <w:sz w:val="21"/>
                      <w:szCs w:val="21"/>
                      <w14:textFill>
                        <w14:solidFill>
                          <w14:schemeClr w14:val="tx1"/>
                        </w14:solidFill>
                      </w14:textFill>
                    </w:rPr>
                  </w:pPr>
                </w:p>
              </w:tc>
              <w:tc>
                <w:tcPr>
                  <w:tcW w:w="638" w:type="dxa"/>
                  <w:noWrap w:val="0"/>
                  <w:vAlign w:val="center"/>
                </w:tcPr>
                <w:p w14:paraId="516EB1CC">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X</w:t>
                  </w:r>
                </w:p>
              </w:tc>
              <w:tc>
                <w:tcPr>
                  <w:tcW w:w="548" w:type="dxa"/>
                  <w:noWrap w:val="0"/>
                  <w:vAlign w:val="center"/>
                </w:tcPr>
                <w:p w14:paraId="08BBED42">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Y</w:t>
                  </w:r>
                </w:p>
              </w:tc>
              <w:tc>
                <w:tcPr>
                  <w:tcW w:w="1186" w:type="dxa"/>
                  <w:vMerge w:val="continue"/>
                  <w:noWrap w:val="0"/>
                  <w:vAlign w:val="center"/>
                </w:tcPr>
                <w:p w14:paraId="719A7748">
                  <w:pPr>
                    <w:pStyle w:val="43"/>
                    <w:jc w:val="center"/>
                    <w:rPr>
                      <w:rFonts w:ascii="Times New Roman"/>
                      <w:color w:val="000000" w:themeColor="text1"/>
                      <w:sz w:val="21"/>
                      <w:szCs w:val="21"/>
                      <w14:textFill>
                        <w14:solidFill>
                          <w14:schemeClr w14:val="tx1"/>
                        </w14:solidFill>
                      </w14:textFill>
                    </w:rPr>
                  </w:pPr>
                </w:p>
              </w:tc>
              <w:tc>
                <w:tcPr>
                  <w:tcW w:w="764" w:type="dxa"/>
                  <w:vMerge w:val="continue"/>
                  <w:noWrap w:val="0"/>
                  <w:vAlign w:val="center"/>
                </w:tcPr>
                <w:p w14:paraId="17D309EA">
                  <w:pPr>
                    <w:pStyle w:val="43"/>
                    <w:jc w:val="center"/>
                    <w:rPr>
                      <w:rFonts w:ascii="Times New Roman"/>
                      <w:color w:val="000000" w:themeColor="text1"/>
                      <w:sz w:val="21"/>
                      <w:szCs w:val="21"/>
                      <w14:textFill>
                        <w14:solidFill>
                          <w14:schemeClr w14:val="tx1"/>
                        </w14:solidFill>
                      </w14:textFill>
                    </w:rPr>
                  </w:pPr>
                </w:p>
              </w:tc>
              <w:tc>
                <w:tcPr>
                  <w:tcW w:w="1013" w:type="dxa"/>
                  <w:vMerge w:val="continue"/>
                  <w:noWrap w:val="0"/>
                  <w:vAlign w:val="center"/>
                </w:tcPr>
                <w:p w14:paraId="3D9F7608">
                  <w:pPr>
                    <w:pStyle w:val="43"/>
                    <w:jc w:val="center"/>
                    <w:rPr>
                      <w:rFonts w:ascii="Times New Roman"/>
                      <w:color w:val="000000" w:themeColor="text1"/>
                      <w:sz w:val="21"/>
                      <w:szCs w:val="21"/>
                      <w14:textFill>
                        <w14:solidFill>
                          <w14:schemeClr w14:val="tx1"/>
                        </w14:solidFill>
                      </w14:textFill>
                    </w:rPr>
                  </w:pPr>
                </w:p>
              </w:tc>
              <w:tc>
                <w:tcPr>
                  <w:tcW w:w="1069" w:type="dxa"/>
                  <w:vMerge w:val="continue"/>
                  <w:noWrap w:val="0"/>
                  <w:vAlign w:val="center"/>
                </w:tcPr>
                <w:p w14:paraId="6643D017">
                  <w:pPr>
                    <w:pStyle w:val="43"/>
                    <w:jc w:val="center"/>
                    <w:rPr>
                      <w:rFonts w:ascii="Times New Roman"/>
                      <w:color w:val="000000" w:themeColor="text1"/>
                      <w:sz w:val="21"/>
                      <w:szCs w:val="21"/>
                      <w14:textFill>
                        <w14:solidFill>
                          <w14:schemeClr w14:val="tx1"/>
                        </w14:solidFill>
                      </w14:textFill>
                    </w:rPr>
                  </w:pPr>
                </w:p>
              </w:tc>
              <w:tc>
                <w:tcPr>
                  <w:tcW w:w="834" w:type="dxa"/>
                  <w:vMerge w:val="continue"/>
                  <w:noWrap w:val="0"/>
                  <w:vAlign w:val="center"/>
                </w:tcPr>
                <w:p w14:paraId="52241E69">
                  <w:pPr>
                    <w:pStyle w:val="43"/>
                    <w:jc w:val="center"/>
                    <w:rPr>
                      <w:rFonts w:ascii="Times New Roman"/>
                      <w:color w:val="000000" w:themeColor="text1"/>
                      <w:sz w:val="21"/>
                      <w:szCs w:val="21"/>
                      <w14:textFill>
                        <w14:solidFill>
                          <w14:schemeClr w14:val="tx1"/>
                        </w14:solidFill>
                      </w14:textFill>
                    </w:rPr>
                  </w:pPr>
                </w:p>
              </w:tc>
              <w:tc>
                <w:tcPr>
                  <w:tcW w:w="738" w:type="dxa"/>
                  <w:vMerge w:val="continue"/>
                  <w:noWrap w:val="0"/>
                  <w:vAlign w:val="center"/>
                </w:tcPr>
                <w:p w14:paraId="406D4277">
                  <w:pPr>
                    <w:pStyle w:val="43"/>
                    <w:jc w:val="center"/>
                    <w:rPr>
                      <w:rFonts w:ascii="Times New Roman"/>
                      <w:color w:val="000000" w:themeColor="text1"/>
                      <w:sz w:val="21"/>
                      <w:szCs w:val="21"/>
                      <w14:textFill>
                        <w14:solidFill>
                          <w14:schemeClr w14:val="tx1"/>
                        </w14:solidFill>
                      </w14:textFill>
                    </w:rPr>
                  </w:pPr>
                </w:p>
              </w:tc>
              <w:tc>
                <w:tcPr>
                  <w:tcW w:w="470" w:type="dxa"/>
                  <w:vMerge w:val="continue"/>
                  <w:noWrap w:val="0"/>
                  <w:vAlign w:val="center"/>
                </w:tcPr>
                <w:p w14:paraId="5AC082B9">
                  <w:pPr>
                    <w:pStyle w:val="43"/>
                    <w:jc w:val="center"/>
                    <w:rPr>
                      <w:rFonts w:ascii="Times New Roman"/>
                      <w:color w:val="000000" w:themeColor="text1"/>
                      <w:sz w:val="21"/>
                      <w:szCs w:val="21"/>
                      <w14:textFill>
                        <w14:solidFill>
                          <w14:schemeClr w14:val="tx1"/>
                        </w14:solidFill>
                      </w14:textFill>
                    </w:rPr>
                  </w:pPr>
                </w:p>
              </w:tc>
            </w:tr>
            <w:tr w14:paraId="761E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jc w:val="center"/>
              </w:trPr>
              <w:tc>
                <w:tcPr>
                  <w:tcW w:w="704" w:type="dxa"/>
                  <w:vMerge w:val="restart"/>
                  <w:noWrap w:val="0"/>
                  <w:vAlign w:val="center"/>
                </w:tcPr>
                <w:p w14:paraId="58E46C32">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G1</w:t>
                  </w:r>
                </w:p>
              </w:tc>
              <w:tc>
                <w:tcPr>
                  <w:tcW w:w="638" w:type="dxa"/>
                  <w:vMerge w:val="restart"/>
                  <w:noWrap w:val="0"/>
                  <w:vAlign w:val="center"/>
                </w:tcPr>
                <w:p w14:paraId="1EAC841D">
                  <w:pPr>
                    <w:widowControl/>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153</w:t>
                  </w:r>
                </w:p>
              </w:tc>
              <w:tc>
                <w:tcPr>
                  <w:tcW w:w="548" w:type="dxa"/>
                  <w:vMerge w:val="restart"/>
                  <w:noWrap w:val="0"/>
                  <w:vAlign w:val="center"/>
                </w:tcPr>
                <w:p w14:paraId="7BE0BA4B">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-4349</w:t>
                  </w:r>
                </w:p>
              </w:tc>
              <w:tc>
                <w:tcPr>
                  <w:tcW w:w="1186" w:type="dxa"/>
                  <w:noWrap w:val="0"/>
                  <w:vAlign w:val="center"/>
                </w:tcPr>
                <w:p w14:paraId="2BD95C53">
                  <w:pPr>
                    <w:pStyle w:val="43"/>
                    <w:jc w:val="center"/>
                    <w:rPr>
                      <w:rFonts w:ascii="Times New Roman"/>
                      <w:bCs/>
                      <w:color w:val="000000" w:themeColor="text1"/>
                      <w:sz w:val="21"/>
                      <w:szCs w:val="21"/>
                      <w14:textFill>
                        <w14:solidFill>
                          <w14:schemeClr w14:val="tx1"/>
                        </w14:solidFill>
                      </w14:textFill>
                    </w:rPr>
                  </w:pPr>
                  <w:r>
                    <w:rPr>
                      <w:rFonts w:ascii="Times New Roman"/>
                      <w:bCs/>
                      <w:color w:val="000000" w:themeColor="text1"/>
                      <w:sz w:val="21"/>
                      <w:szCs w:val="21"/>
                      <w14:textFill>
                        <w14:solidFill>
                          <w14:schemeClr w14:val="tx1"/>
                        </w14:solidFill>
                      </w14:textFill>
                    </w:rPr>
                    <w:t>TSP</w:t>
                  </w:r>
                </w:p>
              </w:tc>
              <w:tc>
                <w:tcPr>
                  <w:tcW w:w="764" w:type="dxa"/>
                  <w:noWrap w:val="0"/>
                  <w:vAlign w:val="center"/>
                </w:tcPr>
                <w:p w14:paraId="58629405">
                  <w:pPr>
                    <w:pStyle w:val="43"/>
                    <w:jc w:val="center"/>
                    <w:rPr>
                      <w:rFonts w:ascii="Times New Roman"/>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24小时均值</w:t>
                  </w:r>
                </w:p>
              </w:tc>
              <w:tc>
                <w:tcPr>
                  <w:tcW w:w="1013" w:type="dxa"/>
                  <w:noWrap w:val="0"/>
                  <w:vAlign w:val="center"/>
                </w:tcPr>
                <w:p w14:paraId="0E81CE9B">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300</w:t>
                  </w:r>
                </w:p>
              </w:tc>
              <w:tc>
                <w:tcPr>
                  <w:tcW w:w="1069" w:type="dxa"/>
                  <w:noWrap w:val="0"/>
                  <w:vAlign w:val="center"/>
                </w:tcPr>
                <w:p w14:paraId="300B80DF">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227</w:t>
                  </w:r>
                  <w:r>
                    <w:rPr>
                      <w:rFonts w:ascii="Times New Roman"/>
                      <w:color w:val="000000" w:themeColor="text1"/>
                      <w:sz w:val="21"/>
                      <w:szCs w:val="21"/>
                      <w14:textFill>
                        <w14:solidFill>
                          <w14:schemeClr w14:val="tx1"/>
                        </w14:solidFill>
                      </w14:textFill>
                    </w:rPr>
                    <w:t>~</w:t>
                  </w:r>
                  <w:r>
                    <w:rPr>
                      <w:rFonts w:hint="eastAsia" w:ascii="Times New Roman"/>
                      <w:color w:val="000000" w:themeColor="text1"/>
                      <w:sz w:val="21"/>
                      <w:szCs w:val="21"/>
                      <w14:textFill>
                        <w14:solidFill>
                          <w14:schemeClr w14:val="tx1"/>
                        </w14:solidFill>
                      </w14:textFill>
                    </w:rPr>
                    <w:t>286</w:t>
                  </w:r>
                </w:p>
              </w:tc>
              <w:tc>
                <w:tcPr>
                  <w:tcW w:w="834" w:type="dxa"/>
                  <w:noWrap w:val="0"/>
                  <w:vAlign w:val="center"/>
                </w:tcPr>
                <w:p w14:paraId="12802554">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95.33</w:t>
                  </w:r>
                </w:p>
              </w:tc>
              <w:tc>
                <w:tcPr>
                  <w:tcW w:w="738" w:type="dxa"/>
                  <w:noWrap w:val="0"/>
                  <w:vAlign w:val="center"/>
                </w:tcPr>
                <w:p w14:paraId="7BE4AED2">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0</w:t>
                  </w:r>
                </w:p>
              </w:tc>
              <w:tc>
                <w:tcPr>
                  <w:tcW w:w="470" w:type="dxa"/>
                  <w:noWrap w:val="0"/>
                  <w:vAlign w:val="center"/>
                </w:tcPr>
                <w:p w14:paraId="55412025">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达标</w:t>
                  </w:r>
                </w:p>
              </w:tc>
            </w:tr>
            <w:tr w14:paraId="46D5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jc w:val="center"/>
              </w:trPr>
              <w:tc>
                <w:tcPr>
                  <w:tcW w:w="704" w:type="dxa"/>
                  <w:vMerge w:val="continue"/>
                  <w:noWrap w:val="0"/>
                  <w:vAlign w:val="center"/>
                </w:tcPr>
                <w:p w14:paraId="45A6A2C3">
                  <w:pPr>
                    <w:pStyle w:val="43"/>
                    <w:jc w:val="center"/>
                    <w:rPr>
                      <w:rFonts w:hint="eastAsia" w:ascii="Times New Roman"/>
                      <w:color w:val="000000" w:themeColor="text1"/>
                      <w:sz w:val="21"/>
                      <w:szCs w:val="21"/>
                      <w14:textFill>
                        <w14:solidFill>
                          <w14:schemeClr w14:val="tx1"/>
                        </w14:solidFill>
                      </w14:textFill>
                    </w:rPr>
                  </w:pPr>
                </w:p>
              </w:tc>
              <w:tc>
                <w:tcPr>
                  <w:tcW w:w="638" w:type="dxa"/>
                  <w:vMerge w:val="continue"/>
                  <w:noWrap w:val="0"/>
                  <w:vAlign w:val="center"/>
                </w:tcPr>
                <w:p w14:paraId="28222936">
                  <w:pPr>
                    <w:widowControl/>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548" w:type="dxa"/>
                  <w:vMerge w:val="continue"/>
                  <w:noWrap w:val="0"/>
                  <w:vAlign w:val="center"/>
                </w:tcPr>
                <w:p w14:paraId="6B0C7E7B">
                  <w:pPr>
                    <w:jc w:val="center"/>
                    <w:rPr>
                      <w:rFonts w:hint="eastAsia" w:ascii="Times New Roman" w:hAnsi="Times New Roman" w:eastAsia="宋体" w:cs="Times New Roman"/>
                      <w:color w:val="000000" w:themeColor="text1"/>
                      <w:szCs w:val="21"/>
                      <w14:textFill>
                        <w14:solidFill>
                          <w14:schemeClr w14:val="tx1"/>
                        </w14:solidFill>
                      </w14:textFill>
                    </w:rPr>
                  </w:pPr>
                </w:p>
              </w:tc>
              <w:tc>
                <w:tcPr>
                  <w:tcW w:w="1186" w:type="dxa"/>
                  <w:noWrap w:val="0"/>
                  <w:vAlign w:val="center"/>
                </w:tcPr>
                <w:p w14:paraId="0C169A78">
                  <w:pPr>
                    <w:pStyle w:val="43"/>
                    <w:jc w:val="center"/>
                    <w:rPr>
                      <w:rFonts w:ascii="Times New Roman"/>
                      <w:bCs/>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NO</w:t>
                  </w:r>
                  <w:r>
                    <w:rPr>
                      <w:rFonts w:hint="eastAsia" w:ascii="Times New Roman"/>
                      <w:bCs/>
                      <w:color w:val="000000" w:themeColor="text1"/>
                      <w:sz w:val="21"/>
                      <w:szCs w:val="21"/>
                      <w:vertAlign w:val="subscript"/>
                      <w14:textFill>
                        <w14:solidFill>
                          <w14:schemeClr w14:val="tx1"/>
                        </w14:solidFill>
                      </w14:textFill>
                    </w:rPr>
                    <w:t>X</w:t>
                  </w:r>
                </w:p>
              </w:tc>
              <w:tc>
                <w:tcPr>
                  <w:tcW w:w="764" w:type="dxa"/>
                  <w:noWrap w:val="0"/>
                  <w:vAlign w:val="center"/>
                </w:tcPr>
                <w:p w14:paraId="6D60FB02">
                  <w:pPr>
                    <w:pStyle w:val="43"/>
                    <w:jc w:val="center"/>
                    <w:rPr>
                      <w:rFonts w:ascii="Times New Roman"/>
                      <w:bCs/>
                      <w:color w:val="000000" w:themeColor="text1"/>
                      <w:sz w:val="21"/>
                      <w:szCs w:val="21"/>
                      <w14:textFill>
                        <w14:solidFill>
                          <w14:schemeClr w14:val="tx1"/>
                        </w14:solidFill>
                      </w14:textFill>
                    </w:rPr>
                  </w:pPr>
                  <w:r>
                    <w:rPr>
                      <w:rFonts w:hint="eastAsia" w:ascii="Times New Roman"/>
                      <w:bCs/>
                      <w:color w:val="000000" w:themeColor="text1"/>
                      <w:sz w:val="21"/>
                      <w:szCs w:val="21"/>
                      <w14:textFill>
                        <w14:solidFill>
                          <w14:schemeClr w14:val="tx1"/>
                        </w14:solidFill>
                      </w14:textFill>
                    </w:rPr>
                    <w:t>1小时平均值</w:t>
                  </w:r>
                </w:p>
              </w:tc>
              <w:tc>
                <w:tcPr>
                  <w:tcW w:w="1013" w:type="dxa"/>
                  <w:noWrap w:val="0"/>
                  <w:vAlign w:val="center"/>
                </w:tcPr>
                <w:p w14:paraId="45932F87">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250</w:t>
                  </w:r>
                </w:p>
              </w:tc>
              <w:tc>
                <w:tcPr>
                  <w:tcW w:w="1069" w:type="dxa"/>
                  <w:noWrap w:val="0"/>
                  <w:vAlign w:val="center"/>
                </w:tcPr>
                <w:p w14:paraId="3BC2F9ED">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44</w:t>
                  </w:r>
                  <w:r>
                    <w:rPr>
                      <w:rFonts w:ascii="Times New Roman"/>
                      <w:color w:val="000000" w:themeColor="text1"/>
                      <w:sz w:val="21"/>
                      <w:szCs w:val="21"/>
                      <w14:textFill>
                        <w14:solidFill>
                          <w14:schemeClr w14:val="tx1"/>
                        </w14:solidFill>
                      </w14:textFill>
                    </w:rPr>
                    <w:t>~</w:t>
                  </w:r>
                  <w:r>
                    <w:rPr>
                      <w:rFonts w:hint="eastAsia" w:ascii="Times New Roman"/>
                      <w:color w:val="000000" w:themeColor="text1"/>
                      <w:sz w:val="21"/>
                      <w:szCs w:val="21"/>
                      <w14:textFill>
                        <w14:solidFill>
                          <w14:schemeClr w14:val="tx1"/>
                        </w14:solidFill>
                      </w14:textFill>
                    </w:rPr>
                    <w:t>54</w:t>
                  </w:r>
                </w:p>
              </w:tc>
              <w:tc>
                <w:tcPr>
                  <w:tcW w:w="834" w:type="dxa"/>
                  <w:noWrap w:val="0"/>
                  <w:vAlign w:val="center"/>
                </w:tcPr>
                <w:p w14:paraId="7AFD3257">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21.6</w:t>
                  </w:r>
                </w:p>
              </w:tc>
              <w:tc>
                <w:tcPr>
                  <w:tcW w:w="738" w:type="dxa"/>
                  <w:noWrap w:val="0"/>
                  <w:vAlign w:val="center"/>
                </w:tcPr>
                <w:p w14:paraId="03ECECA9">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0</w:t>
                  </w:r>
                </w:p>
              </w:tc>
              <w:tc>
                <w:tcPr>
                  <w:tcW w:w="470" w:type="dxa"/>
                  <w:noWrap w:val="0"/>
                  <w:vAlign w:val="center"/>
                </w:tcPr>
                <w:p w14:paraId="7C310807">
                  <w:pPr>
                    <w:pStyle w:val="43"/>
                    <w:jc w:val="center"/>
                    <w:rPr>
                      <w:rFonts w:ascii="Times New Roman"/>
                      <w:color w:val="000000" w:themeColor="text1"/>
                      <w:sz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达标</w:t>
                  </w:r>
                </w:p>
              </w:tc>
            </w:tr>
            <w:tr w14:paraId="7524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jc w:val="center"/>
              </w:trPr>
              <w:tc>
                <w:tcPr>
                  <w:tcW w:w="7964" w:type="dxa"/>
                  <w:gridSpan w:val="10"/>
                  <w:noWrap w:val="0"/>
                  <w:vAlign w:val="center"/>
                </w:tcPr>
                <w:p w14:paraId="102F9941">
                  <w:pPr>
                    <w:pStyle w:val="43"/>
                    <w:autoSpaceDE/>
                    <w:autoSpaceDN/>
                    <w:adjustRightInd/>
                    <w:rPr>
                      <w:rFonts w:ascii="Times New Roman"/>
                      <w:color w:val="000000" w:themeColor="text1"/>
                      <w:sz w:val="21"/>
                      <w:szCs w:val="21"/>
                      <w14:textFill>
                        <w14:solidFill>
                          <w14:schemeClr w14:val="tx1"/>
                        </w14:solidFill>
                      </w14:textFill>
                    </w:rPr>
                  </w:pPr>
                  <w:r>
                    <w:rPr>
                      <w:rFonts w:ascii="Times New Roman"/>
                      <w:bCs/>
                      <w:color w:val="000000" w:themeColor="text1"/>
                      <w:sz w:val="21"/>
                      <w:szCs w:val="21"/>
                      <w14:textFill>
                        <w14:solidFill>
                          <w14:schemeClr w14:val="tx1"/>
                        </w14:solidFill>
                      </w14:textFill>
                    </w:rPr>
                    <w:t>注：*选取</w:t>
                  </w:r>
                  <w:r>
                    <w:rPr>
                      <w:rFonts w:hint="eastAsia" w:ascii="Times New Roman"/>
                      <w:bCs/>
                      <w:color w:val="000000" w:themeColor="text1"/>
                      <w:sz w:val="21"/>
                      <w:szCs w:val="21"/>
                      <w14:textFill>
                        <w14:solidFill>
                          <w14:schemeClr w14:val="tx1"/>
                        </w14:solidFill>
                      </w14:textFill>
                    </w:rPr>
                    <w:t>项目</w:t>
                  </w:r>
                  <w:r>
                    <w:rPr>
                      <w:rFonts w:ascii="Times New Roman"/>
                      <w:bCs/>
                      <w:color w:val="000000" w:themeColor="text1"/>
                      <w:sz w:val="21"/>
                      <w:szCs w:val="21"/>
                      <w14:textFill>
                        <w14:solidFill>
                          <w14:schemeClr w14:val="tx1"/>
                        </w14:solidFill>
                      </w14:textFill>
                    </w:rPr>
                    <w:t>选址中心为坐标原点，并以</w:t>
                  </w:r>
                  <w:r>
                    <w:rPr>
                      <w:rFonts w:hint="eastAsia" w:ascii="Times New Roman"/>
                      <w:bCs/>
                      <w:color w:val="000000" w:themeColor="text1"/>
                      <w:sz w:val="21"/>
                      <w:szCs w:val="21"/>
                      <w14:textFill>
                        <w14:solidFill>
                          <w14:schemeClr w14:val="tx1"/>
                        </w14:solidFill>
                      </w14:textFill>
                    </w:rPr>
                    <w:t>项目</w:t>
                  </w:r>
                  <w:r>
                    <w:rPr>
                      <w:rFonts w:ascii="Times New Roman"/>
                      <w:bCs/>
                      <w:color w:val="000000" w:themeColor="text1"/>
                      <w:sz w:val="21"/>
                      <w:szCs w:val="21"/>
                      <w14:textFill>
                        <w14:solidFill>
                          <w14:schemeClr w14:val="tx1"/>
                        </w14:solidFill>
                      </w14:textFill>
                    </w:rPr>
                    <w:t>东面为X轴正方向，北面为Y轴正方向。</w:t>
                  </w:r>
                </w:p>
              </w:tc>
            </w:tr>
          </w:tbl>
          <w:p w14:paraId="660A161B">
            <w:pPr>
              <w:snapToGrid w:val="0"/>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由监测结果可见，</w:t>
            </w:r>
            <w:r>
              <w:rPr>
                <w:rFonts w:hint="eastAsia" w:ascii="Times New Roman" w:hAnsi="Times New Roman" w:eastAsia="宋体" w:cs="Times New Roman"/>
                <w:color w:val="000000" w:themeColor="text1"/>
                <w:sz w:val="24"/>
                <w14:textFill>
                  <w14:solidFill>
                    <w14:schemeClr w14:val="tx1"/>
                  </w14:solidFill>
                </w14:textFill>
              </w:rPr>
              <w:t>监测点G1的TSP、NO</w:t>
            </w:r>
            <w:r>
              <w:rPr>
                <w:rFonts w:hint="eastAsia" w:ascii="Times New Roman" w:hAnsi="Times New Roman" w:eastAsia="宋体" w:cs="Times New Roman"/>
                <w:color w:val="000000" w:themeColor="text1"/>
                <w:sz w:val="24"/>
                <w:vertAlign w:val="subscript"/>
                <w14:textFill>
                  <w14:solidFill>
                    <w14:schemeClr w14:val="tx1"/>
                  </w14:solidFill>
                </w14:textFill>
              </w:rPr>
              <w:t>X</w:t>
            </w:r>
            <w:r>
              <w:rPr>
                <w:rFonts w:hint="eastAsia" w:ascii="Times New Roman" w:hAnsi="Times New Roman" w:eastAsia="宋体" w:cs="Times New Roman"/>
                <w:color w:val="000000" w:themeColor="text1"/>
                <w:sz w:val="24"/>
                <w14:textFill>
                  <w14:solidFill>
                    <w14:schemeClr w14:val="tx1"/>
                  </w14:solidFill>
                </w14:textFill>
              </w:rPr>
              <w:t>能满足《环境空气质量标准》（GB3095-2026）二级浓度限值，说明项目所在区域TSP、NO</w:t>
            </w:r>
            <w:r>
              <w:rPr>
                <w:rFonts w:hint="eastAsia" w:ascii="Times New Roman" w:hAnsi="Times New Roman" w:eastAsia="宋体" w:cs="Times New Roman"/>
                <w:color w:val="000000" w:themeColor="text1"/>
                <w:sz w:val="24"/>
                <w:vertAlign w:val="subscript"/>
                <w14:textFill>
                  <w14:solidFill>
                    <w14:schemeClr w14:val="tx1"/>
                  </w14:solidFill>
                </w14:textFill>
              </w:rPr>
              <w:t>X</w:t>
            </w:r>
            <w:r>
              <w:rPr>
                <w:rFonts w:hint="eastAsia" w:ascii="Times New Roman" w:hAnsi="Times New Roman" w:eastAsia="宋体" w:cs="Times New Roman"/>
                <w:color w:val="000000" w:themeColor="text1"/>
                <w:sz w:val="24"/>
                <w14:textFill>
                  <w14:solidFill>
                    <w14:schemeClr w14:val="tx1"/>
                  </w14:solidFill>
                </w14:textFill>
              </w:rPr>
              <w:t>环境质量达标。</w:t>
            </w:r>
          </w:p>
          <w:p w14:paraId="6F35EC9D">
            <w:pPr>
              <w:snapToGrid w:val="0"/>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2、地表水环境质量现状</w:t>
            </w:r>
          </w:p>
          <w:p w14:paraId="0C77D4E7">
            <w:pPr>
              <w:pStyle w:val="57"/>
              <w:wordWrap w:val="0"/>
              <w:overflowPunct w:val="0"/>
              <w:spacing w:line="480" w:lineRule="exact"/>
              <w:rPr>
                <w:rFonts w:hint="eastAsia" w:ascii="Times New Roman" w:hAnsi="Times New Roman"/>
                <w:color w:val="000000" w:themeColor="text1"/>
                <w:kern w:val="2"/>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项目生活污水经化粪池处理后；生产废水（</w:t>
            </w:r>
            <w:r>
              <w:rPr>
                <w:rFonts w:hint="eastAsia"/>
                <w:color w:val="000000" w:themeColor="text1"/>
                <w14:textFill>
                  <w14:solidFill>
                    <w14:schemeClr w14:val="tx1"/>
                  </w14:solidFill>
                </w14:textFill>
              </w:rPr>
              <w:t>洗涤</w:t>
            </w:r>
            <w:r>
              <w:rPr>
                <w:rFonts w:hint="eastAsia" w:ascii="Times New Roman" w:hAnsi="Times New Roman"/>
                <w:color w:val="000000" w:themeColor="text1"/>
                <w14:textFill>
                  <w14:solidFill>
                    <w14:schemeClr w14:val="tx1"/>
                  </w14:solidFill>
                </w14:textFill>
              </w:rPr>
              <w:t>废水、锅炉排污水、软化处理废水）经自建污水处理站</w:t>
            </w:r>
            <w:r>
              <w:rPr>
                <w:rFonts w:hint="eastAsia" w:ascii="Times New Roman" w:hAnsi="Times New Roman"/>
                <w:color w:val="000000" w:themeColor="text1"/>
                <w:kern w:val="2"/>
                <w14:textFill>
                  <w14:solidFill>
                    <w14:schemeClr w14:val="tx1"/>
                  </w14:solidFill>
                </w14:textFill>
              </w:rPr>
              <w:t>（</w:t>
            </w:r>
            <w:r>
              <w:rPr>
                <w:rFonts w:hint="eastAsia" w:ascii="Times New Roman" w:hAnsi="Times New Roman"/>
                <w:color w:val="000000" w:themeColor="text1"/>
                <w:kern w:val="2"/>
                <w:lang w:eastAsia="zh-CN"/>
                <w14:textFill>
                  <w14:solidFill>
                    <w14:schemeClr w14:val="tx1"/>
                  </w14:solidFill>
                </w14:textFill>
              </w:rPr>
              <w:t>溶气气浮+A/O一体化</w:t>
            </w:r>
            <w:r>
              <w:rPr>
                <w:rFonts w:hint="eastAsia" w:ascii="Times New Roman" w:hAnsi="Times New Roman"/>
                <w:color w:val="000000" w:themeColor="text1"/>
                <w:kern w:val="2"/>
                <w14:textFill>
                  <w14:solidFill>
                    <w14:schemeClr w14:val="tx1"/>
                  </w14:solidFill>
                </w14:textFill>
              </w:rPr>
              <w:t>）预处理后，一同通过市政污水管网排入霞山水质净化厂</w:t>
            </w:r>
            <w:r>
              <w:rPr>
                <w:rFonts w:ascii="Times New Roman" w:hAnsi="Times New Roman"/>
                <w:color w:val="000000" w:themeColor="text1"/>
                <w:kern w:val="2"/>
                <w14:textFill>
                  <w14:solidFill>
                    <w14:schemeClr w14:val="tx1"/>
                  </w14:solidFill>
                </w14:textFill>
              </w:rPr>
              <w:t>，尾水排入</w:t>
            </w:r>
            <w:r>
              <w:rPr>
                <w:rFonts w:hint="eastAsia" w:ascii="Times New Roman" w:hAnsi="Times New Roman"/>
                <w:color w:val="000000" w:themeColor="text1"/>
                <w:kern w:val="2"/>
                <w14:textFill>
                  <w14:solidFill>
                    <w14:schemeClr w14:val="tx1"/>
                  </w14:solidFill>
                </w14:textFill>
              </w:rPr>
              <w:t>南柳河，最终汇入湛江港。本项目附近地表水体主要为湛江港海域，根据《广东省近岸海域环境功能区划》，湛江港属于海水三类功能区，执行《海水水质标准》（GB3097-1997）中三类标准。</w:t>
            </w:r>
          </w:p>
          <w:p w14:paraId="7DAEF481">
            <w:pPr>
              <w:pStyle w:val="57"/>
              <w:wordWrap w:val="0"/>
              <w:overflowPunct w:val="0"/>
              <w:spacing w:line="480" w:lineRule="exact"/>
              <w:rPr>
                <w:rFonts w:hint="eastAsia" w:ascii="Times New Roman" w:hAnsi="Times New Roman"/>
                <w:color w:val="000000" w:themeColor="text1"/>
                <w:kern w:val="2"/>
                <w14:textFill>
                  <w14:solidFill>
                    <w14:schemeClr w14:val="tx1"/>
                  </w14:solidFill>
                </w14:textFill>
              </w:rPr>
            </w:pPr>
            <w:r>
              <w:rPr>
                <w:rFonts w:hint="eastAsia" w:ascii="Times New Roman" w:hAnsi="Times New Roman"/>
                <w:color w:val="000000" w:themeColor="text1"/>
                <w:kern w:val="2"/>
                <w14:textFill>
                  <w14:solidFill>
                    <w14:schemeClr w14:val="tx1"/>
                  </w14:solidFill>
                </w14:textFill>
              </w:rPr>
              <w:t>为了解项目所在区域水体环境质量现状，项目地表水环境质量现状评价依据主要引用《湛江市生态环境质量年报简报（2024年）》的数据。</w:t>
            </w:r>
          </w:p>
          <w:p w14:paraId="178DC8B0">
            <w:pPr>
              <w:pStyle w:val="57"/>
              <w:wordWrap w:val="0"/>
              <w:overflowPunct w:val="0"/>
              <w:spacing w:line="480" w:lineRule="exact"/>
              <w:rPr>
                <w:rFonts w:hint="eastAsia" w:ascii="Times New Roman" w:hAnsi="Times New Roman"/>
                <w:color w:val="000000" w:themeColor="text1"/>
                <w:kern w:val="2"/>
                <w14:textFill>
                  <w14:solidFill>
                    <w14:schemeClr w14:val="tx1"/>
                  </w14:solidFill>
                </w14:textFill>
              </w:rPr>
            </w:pPr>
            <w:r>
              <w:rPr>
                <w:rFonts w:hint="eastAsia" w:ascii="Times New Roman" w:hAnsi="Times New Roman"/>
                <w:color w:val="000000" w:themeColor="text1"/>
                <w:kern w:val="2"/>
                <w14:textFill>
                  <w14:solidFill>
                    <w14:schemeClr w14:val="tx1"/>
                  </w14:solidFill>
                </w14:textFill>
              </w:rPr>
              <w:t>2024年，我市近岸海域设共有国控海水水质监测点位34个，分别于春季、夏季和秋季开展三次监测。湛江市近岸海域水质采用面积法评价(数据来自2025年1月国家海洋环境监测中心内部推送)，春、夏、秋季优良(一、二类)面积比例分别为96.0%、95.7%、94.4%，全年平均优良(一、二类)面积比例为95.4%,非优良水质(三类及以下)点位主要分布在湛江港、雷州湾和鉴江河口。</w:t>
            </w:r>
          </w:p>
          <w:p w14:paraId="1C573CFE">
            <w:pPr>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drawing>
                <wp:inline distT="0" distB="0" distL="114300" distR="114300">
                  <wp:extent cx="4523740" cy="3773170"/>
                  <wp:effectExtent l="0" t="0" r="10160" b="17780"/>
                  <wp:docPr id="4"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5"/>
                          <pic:cNvPicPr>
                            <a:picLocks noChangeAspect="1"/>
                          </pic:cNvPicPr>
                        </pic:nvPicPr>
                        <pic:blipFill>
                          <a:blip r:embed="rId14"/>
                          <a:stretch>
                            <a:fillRect/>
                          </a:stretch>
                        </pic:blipFill>
                        <pic:spPr>
                          <a:xfrm>
                            <a:off x="0" y="0"/>
                            <a:ext cx="4523740" cy="3773170"/>
                          </a:xfrm>
                          <a:prstGeom prst="rect">
                            <a:avLst/>
                          </a:prstGeom>
                          <a:noFill/>
                          <a:ln>
                            <a:noFill/>
                          </a:ln>
                        </pic:spPr>
                      </pic:pic>
                    </a:graphicData>
                  </a:graphic>
                </wp:inline>
              </w:drawing>
            </w:r>
          </w:p>
          <w:p w14:paraId="67D6B2BB">
            <w:pPr>
              <w:adjustRightInd w:val="0"/>
              <w:snapToGrid w:val="0"/>
              <w:spacing w:line="480" w:lineRule="exact"/>
              <w:ind w:firstLine="482" w:firstLineChars="200"/>
              <w:jc w:val="center"/>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图3-12024年（全年）湛江市近岸海域水质面积分布图</w:t>
            </w:r>
          </w:p>
          <w:p w14:paraId="718BF4B1">
            <w:pPr>
              <w:pStyle w:val="57"/>
              <w:wordWrap w:val="0"/>
              <w:overflowPunct w:val="0"/>
              <w:spacing w:line="480" w:lineRule="exact"/>
              <w:rPr>
                <w:rFonts w:hint="eastAsia"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综上，湛江港水质不能满足《海水水质标准》（GB3097-1997）第三类水质标准的要求。受区域企业生产废水和居民生活污水的影响，湛江港水质受到了不同程度的污染。</w:t>
            </w:r>
          </w:p>
          <w:p w14:paraId="1C287B83">
            <w:pPr>
              <w:widowControl/>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3、声环境质量现状</w:t>
            </w:r>
          </w:p>
          <w:p w14:paraId="641DF455">
            <w:pPr>
              <w:spacing w:line="480" w:lineRule="exact"/>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项目选址位于</w:t>
            </w:r>
            <w:r>
              <w:rPr>
                <w:rFonts w:ascii="Times New Roman" w:hAnsi="Times New Roman" w:eastAsia="宋体" w:cs="Times New Roman"/>
                <w:color w:val="000000" w:themeColor="text1"/>
                <w:sz w:val="24"/>
                <w14:textFill>
                  <w14:solidFill>
                    <w14:schemeClr w14:val="tx1"/>
                  </w14:solidFill>
                </w14:textFill>
              </w:rPr>
              <w:t>广东省湛江市霞山区铁路粤西农垦供销总公司南山库区8381-1仓</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根据</w:t>
            </w:r>
            <w:r>
              <w:rPr>
                <w:rFonts w:hint="eastAsia" w:ascii="Times New Roman" w:hAnsi="Times New Roman" w:eastAsia="宋体" w:cs="Times New Roman"/>
                <w:color w:val="000000" w:themeColor="text1"/>
                <w:sz w:val="24"/>
                <w14:textFill>
                  <w14:solidFill>
                    <w14:schemeClr w14:val="tx1"/>
                  </w14:solidFill>
                </w14:textFill>
              </w:rPr>
              <w:t>《湛江市城市声环境功能区划分（</w:t>
            </w:r>
            <w:r>
              <w:rPr>
                <w:rFonts w:ascii="Times New Roman" w:hAnsi="Times New Roman" w:eastAsia="宋体" w:cs="Times New Roman"/>
                <w:color w:val="000000" w:themeColor="text1"/>
                <w:sz w:val="24"/>
                <w14:textFill>
                  <w14:solidFill>
                    <w14:schemeClr w14:val="tx1"/>
                  </w14:solidFill>
                </w14:textFill>
              </w:rPr>
              <w:t>2020</w:t>
            </w:r>
            <w:r>
              <w:rPr>
                <w:rFonts w:hint="eastAsia" w:ascii="Times New Roman" w:hAnsi="Times New Roman" w:eastAsia="宋体" w:cs="Times New Roman"/>
                <w:color w:val="000000" w:themeColor="text1"/>
                <w:sz w:val="24"/>
                <w14:textFill>
                  <w14:solidFill>
                    <w14:schemeClr w14:val="tx1"/>
                  </w14:solidFill>
                </w14:textFill>
              </w:rPr>
              <w:t>年修订）》，</w:t>
            </w:r>
            <w:r>
              <w:rPr>
                <w:rFonts w:ascii="Times New Roman" w:hAnsi="Times New Roman" w:eastAsia="宋体" w:cs="Times New Roman"/>
                <w:color w:val="000000" w:themeColor="text1"/>
                <w:sz w:val="24"/>
                <w14:textFill>
                  <w14:solidFill>
                    <w14:schemeClr w14:val="tx1"/>
                  </w14:solidFill>
                </w14:textFill>
              </w:rPr>
              <w:t>项目所在地为</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类声功能区，执行《</w:t>
            </w:r>
            <w:r>
              <w:rPr>
                <w:rFonts w:hint="eastAsia" w:ascii="Times New Roman" w:hAnsi="Times New Roman" w:eastAsia="宋体" w:cs="Times New Roman"/>
                <w:color w:val="000000" w:themeColor="text1"/>
                <w:sz w:val="24"/>
                <w14:textFill>
                  <w14:solidFill>
                    <w14:schemeClr w14:val="tx1"/>
                  </w14:solidFill>
                </w14:textFill>
              </w:rPr>
              <w:t>声</w:t>
            </w:r>
            <w:r>
              <w:rPr>
                <w:rFonts w:ascii="Times New Roman" w:hAnsi="Times New Roman" w:eastAsia="宋体" w:cs="Times New Roman"/>
                <w:color w:val="000000" w:themeColor="text1"/>
                <w:sz w:val="24"/>
                <w14:textFill>
                  <w14:solidFill>
                    <w14:schemeClr w14:val="tx1"/>
                  </w14:solidFill>
                </w14:textFill>
              </w:rPr>
              <w:t>环境质量标准》（GB3096-2008）中的</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类标准（昼间噪声标准值≤6</w:t>
            </w:r>
            <w:r>
              <w:rPr>
                <w:rFonts w:hint="eastAsia" w:ascii="Times New Roman" w:hAnsi="Times New Roman" w:eastAsia="宋体" w:cs="Times New Roman"/>
                <w:color w:val="000000" w:themeColor="text1"/>
                <w:sz w:val="24"/>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dB（A），夜间噪声标准值≤5</w:t>
            </w:r>
            <w:r>
              <w:rPr>
                <w:rFonts w:hint="eastAsia" w:ascii="Times New Roman" w:hAnsi="Times New Roman" w:eastAsia="宋体" w:cs="Times New Roman"/>
                <w:color w:val="000000" w:themeColor="text1"/>
                <w:sz w:val="24"/>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dB（A））。</w:t>
            </w:r>
          </w:p>
          <w:p w14:paraId="4EE408A5">
            <w:pPr>
              <w:widowControl/>
              <w:spacing w:line="480" w:lineRule="exact"/>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项目厂界外50m范围内均为工业厂房、工业区道路，不涉及村庄、居民区、学校、医院等声环境保护目标，故</w:t>
            </w:r>
            <w:r>
              <w:rPr>
                <w:rFonts w:ascii="Times New Roman" w:hAnsi="Times New Roman" w:eastAsia="宋体" w:cs="Times New Roman"/>
                <w:color w:val="000000" w:themeColor="text1"/>
                <w:sz w:val="24"/>
                <w14:textFill>
                  <w14:solidFill>
                    <w14:schemeClr w14:val="tx1"/>
                  </w14:solidFill>
                </w14:textFill>
              </w:rPr>
              <w:t>不需进行声环境质量现状评价。</w:t>
            </w:r>
          </w:p>
          <w:p w14:paraId="3BFFED00">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、地下水、土壤环境</w:t>
            </w:r>
          </w:p>
          <w:p w14:paraId="3ED8D65A">
            <w:pPr>
              <w:widowControl/>
              <w:spacing w:line="480" w:lineRule="exact"/>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原则上不开展环境质量现状调查。建设项目存在土壤、地下水环境污染途径的，应结合污染源、保护目标分布情况开展现状调查以留作背景值”。项目产生的废气</w:t>
            </w:r>
            <w:r>
              <w:rPr>
                <w:rFonts w:ascii="Times New Roman" w:hAnsi="Times New Roman" w:eastAsia="宋体" w:cs="Times New Roman"/>
                <w:color w:val="000000" w:themeColor="text1"/>
                <w:sz w:val="24"/>
                <w14:textFill>
                  <w14:solidFill>
                    <w14:schemeClr w14:val="tx1"/>
                  </w14:solidFill>
                </w14:textFill>
              </w:rPr>
              <w:t>不涉及重金属和持久性有机物</w:t>
            </w:r>
            <w:r>
              <w:rPr>
                <w:rFonts w:hint="eastAsia" w:ascii="Times New Roman" w:hAnsi="Times New Roman" w:eastAsia="宋体" w:cs="Times New Roman"/>
                <w:color w:val="000000" w:themeColor="text1"/>
                <w:sz w:val="24"/>
                <w14:textFill>
                  <w14:solidFill>
                    <w14:schemeClr w14:val="tx1"/>
                  </w14:solidFill>
                </w14:textFill>
              </w:rPr>
              <w:t>，废气</w:t>
            </w:r>
            <w:r>
              <w:rPr>
                <w:rFonts w:ascii="Times New Roman" w:hAnsi="Times New Roman" w:eastAsia="宋体" w:cs="Times New Roman"/>
                <w:color w:val="000000" w:themeColor="text1"/>
                <w:sz w:val="24"/>
                <w14:textFill>
                  <w14:solidFill>
                    <w14:schemeClr w14:val="tx1"/>
                  </w14:solidFill>
                </w14:textFill>
              </w:rPr>
              <w:t>采取有效的收集治理措施和通风措施后，可达标排放，其沉降不会对厂区及厂界外土壤造成影响，</w:t>
            </w:r>
            <w:r>
              <w:rPr>
                <w:rFonts w:hint="eastAsia" w:ascii="Times New Roman" w:hAnsi="Times New Roman" w:eastAsia="宋体" w:cs="Times New Roman"/>
                <w:color w:val="000000" w:themeColor="text1"/>
                <w:sz w:val="24"/>
                <w14:textFill>
                  <w14:solidFill>
                    <w14:schemeClr w14:val="tx1"/>
                  </w14:solidFill>
                </w14:textFill>
              </w:rPr>
              <w:t>不属于土壤、地下水污染指标。生产单元全部作硬底化处理，一般固废间作防腐防渗处理，不抽取地下水，不向地下水排放污染物，排放的大气污染物不涉及《土壤环境质量建设用地土壤污染风险管控标准（试行）》(GB36600-2018）中的基本和其他污染项目，基本不存在土壤、地下水环境污染途径，因此，不开展地下水、土壤环境质量现状调查。</w:t>
            </w:r>
          </w:p>
          <w:p w14:paraId="5FD017B9">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5</w:t>
            </w:r>
            <w:r>
              <w:rPr>
                <w:rFonts w:ascii="Times New Roman" w:hAnsi="Times New Roman" w:eastAsia="宋体" w:cs="Times New Roman"/>
                <w:b/>
                <w:color w:val="000000" w:themeColor="text1"/>
                <w:sz w:val="24"/>
                <w14:textFill>
                  <w14:solidFill>
                    <w14:schemeClr w14:val="tx1"/>
                  </w14:solidFill>
                </w14:textFill>
              </w:rPr>
              <w:t>、生态环境</w:t>
            </w:r>
          </w:p>
          <w:p w14:paraId="5454DBC1">
            <w:pPr>
              <w:widowControl/>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产业园区外建设项目新增用地且用地范围内含有生态环境保护目标时，应进行生态现状调查”。项目选址用地范围不涉及《建设项目环境影响评价分类管理名录（2021年版）》规定的生态类环境敏感区，也没有涉及生态保护红线确定的其它生态环境敏感区，因此，不开展生态现状调查</w:t>
            </w:r>
            <w:r>
              <w:rPr>
                <w:rFonts w:ascii="Times New Roman" w:hAnsi="Times New Roman" w:eastAsia="宋体" w:cs="Times New Roman"/>
                <w:color w:val="000000" w:themeColor="text1"/>
                <w:sz w:val="24"/>
                <w14:textFill>
                  <w14:solidFill>
                    <w14:schemeClr w14:val="tx1"/>
                  </w14:solidFill>
                </w14:textFill>
              </w:rPr>
              <w:t>。</w:t>
            </w:r>
          </w:p>
          <w:p w14:paraId="3A4DE9E4">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6</w:t>
            </w:r>
            <w:r>
              <w:rPr>
                <w:rFonts w:ascii="Times New Roman" w:hAnsi="Times New Roman" w:eastAsia="宋体" w:cs="Times New Roman"/>
                <w:b/>
                <w:color w:val="000000" w:themeColor="text1"/>
                <w:sz w:val="24"/>
                <w14:textFill>
                  <w14:solidFill>
                    <w14:schemeClr w14:val="tx1"/>
                  </w14:solidFill>
                </w14:textFill>
              </w:rPr>
              <w:t>、电磁辐射</w:t>
            </w:r>
          </w:p>
          <w:p w14:paraId="13C10A06">
            <w:pPr>
              <w:widowControl/>
              <w:spacing w:line="480" w:lineRule="exact"/>
              <w:ind w:firstLine="480" w:firstLineChars="200"/>
              <w:jc w:val="left"/>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项目建设不涉及广播电台、差转台、电视塔台、卫星地球上行站、雷达等电磁辐射类项目，因此不需要开展电磁辐射现状调查。</w:t>
            </w:r>
          </w:p>
        </w:tc>
      </w:tr>
      <w:tr w14:paraId="35903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17" w:type="dxa"/>
            <w:noWrap w:val="0"/>
            <w:vAlign w:val="center"/>
          </w:tcPr>
          <w:p w14:paraId="4F82C971">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环境</w:t>
            </w:r>
          </w:p>
          <w:p w14:paraId="7207F32C">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保护</w:t>
            </w:r>
          </w:p>
          <w:p w14:paraId="6BF21AAE">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目标</w:t>
            </w:r>
          </w:p>
        </w:tc>
        <w:tc>
          <w:tcPr>
            <w:tcW w:w="8244" w:type="dxa"/>
            <w:noWrap w:val="0"/>
            <w:vAlign w:val="center"/>
          </w:tcPr>
          <w:p w14:paraId="2E871A42">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1、大气环境</w:t>
            </w:r>
          </w:p>
          <w:p w14:paraId="52CD1A9F">
            <w:pPr>
              <w:spacing w:line="480" w:lineRule="exact"/>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项目厂界外500米范围内的居民区、自然保护区、风景名胜区、居住区、文化区等属于保护目标。项目环境保护目标是确保项目所在区域大气环境质量达到</w:t>
            </w:r>
            <w:r>
              <w:rPr>
                <w:rFonts w:hint="eastAsia" w:ascii="Times New Roman" w:hAnsi="Times New Roman" w:eastAsia="宋体" w:cs="Times New Roman"/>
                <w:bCs/>
                <w:color w:val="000000" w:themeColor="text1"/>
                <w:sz w:val="24"/>
                <w14:textFill>
                  <w14:solidFill>
                    <w14:schemeClr w14:val="tx1"/>
                  </w14:solidFill>
                </w14:textFill>
              </w:rPr>
              <w:t>《环境空气质量标准》（GB3095-2026）二级浓度限值</w:t>
            </w:r>
            <w:r>
              <w:rPr>
                <w:rFonts w:ascii="Times New Roman" w:hAnsi="Times New Roman" w:eastAsia="宋体" w:cs="Times New Roman"/>
                <w:bCs/>
                <w:color w:val="000000" w:themeColor="text1"/>
                <w:sz w:val="24"/>
                <w14:textFill>
                  <w14:solidFill>
                    <w14:schemeClr w14:val="tx1"/>
                  </w14:solidFill>
                </w14:textFill>
              </w:rPr>
              <w:t>的要求。</w:t>
            </w:r>
            <w:r>
              <w:rPr>
                <w:rFonts w:hint="eastAsia" w:ascii="Times New Roman" w:hAnsi="Times New Roman" w:eastAsia="宋体" w:cs="Times New Roman"/>
                <w:bCs/>
                <w:color w:val="000000" w:themeColor="text1"/>
                <w:sz w:val="24"/>
                <w14:textFill>
                  <w14:solidFill>
                    <w14:schemeClr w14:val="tx1"/>
                  </w14:solidFill>
                </w14:textFill>
              </w:rPr>
              <w:t>项目厂界外500m范围内的敏感点情况详见表3-4。</w:t>
            </w:r>
          </w:p>
          <w:p w14:paraId="454A4DC6">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2、声环境</w:t>
            </w:r>
          </w:p>
          <w:p w14:paraId="73A1F669">
            <w:pPr>
              <w:widowControl/>
              <w:spacing w:line="480" w:lineRule="exact"/>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项目厂界外50m范围内均为工业厂房、工业区道路，不涉及村庄、居民区、学校、医院等声环境保护目标，故项目厂界外50m范围内无声环境保护目标。</w:t>
            </w:r>
          </w:p>
          <w:p w14:paraId="42D82F9A">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3、地下水环境</w:t>
            </w:r>
          </w:p>
          <w:p w14:paraId="74C56138">
            <w:pPr>
              <w:widowControl/>
              <w:spacing w:line="480" w:lineRule="exact"/>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项目厂界外500m范围内不涉及地下水集中式饮用水水源和热水、矿泉水、温泉等特殊地下水资源。</w:t>
            </w:r>
          </w:p>
          <w:p w14:paraId="4402947E">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4、生态环境</w:t>
            </w:r>
          </w:p>
          <w:p w14:paraId="6F7420C8">
            <w:pPr>
              <w:widowControl/>
              <w:spacing w:line="480" w:lineRule="exact"/>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w:t>
            </w:r>
            <w:r>
              <w:rPr>
                <w:rFonts w:hint="eastAsia" w:ascii="Times New Roman" w:hAnsi="Times New Roman" w:eastAsia="宋体" w:cs="Times New Roman"/>
                <w:bCs/>
                <w:color w:val="000000" w:themeColor="text1"/>
                <w:sz w:val="24"/>
                <w14:textFill>
                  <w14:solidFill>
                    <w14:schemeClr w14:val="tx1"/>
                  </w14:solidFill>
                </w14:textFill>
              </w:rPr>
              <w:t>利用</w:t>
            </w:r>
            <w:r>
              <w:rPr>
                <w:rFonts w:ascii="Times New Roman" w:hAnsi="Times New Roman" w:eastAsia="宋体" w:cs="Times New Roman"/>
                <w:bCs/>
                <w:color w:val="000000" w:themeColor="text1"/>
                <w:sz w:val="24"/>
                <w14:textFill>
                  <w14:solidFill>
                    <w14:schemeClr w14:val="tx1"/>
                  </w14:solidFill>
                </w14:textFill>
              </w:rPr>
              <w:t>已建成厂房进行生产，不涉及土建施工，项目占地范围内不含生态环境保护目标，因此不需要开展生态环境现状调查。</w:t>
            </w:r>
          </w:p>
          <w:p w14:paraId="632C79D1">
            <w:pPr>
              <w:widowControl/>
              <w:spacing w:line="480" w:lineRule="exact"/>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5、</w:t>
            </w:r>
            <w:r>
              <w:rPr>
                <w:rFonts w:hint="eastAsia" w:ascii="Times New Roman" w:hAnsi="Times New Roman" w:eastAsia="宋体" w:cs="Times New Roman"/>
                <w:b/>
                <w:color w:val="000000" w:themeColor="text1"/>
                <w:sz w:val="24"/>
                <w14:textFill>
                  <w14:solidFill>
                    <w14:schemeClr w14:val="tx1"/>
                  </w14:solidFill>
                </w14:textFill>
              </w:rPr>
              <w:t>项目</w:t>
            </w:r>
            <w:r>
              <w:rPr>
                <w:rFonts w:hint="eastAsia" w:ascii="Times New Roman" w:hAnsi="Times New Roman" w:eastAsia="宋体" w:cs="Times New Roman"/>
                <w:b/>
                <w:bCs/>
                <w:color w:val="000000" w:themeColor="text1"/>
                <w:sz w:val="24"/>
                <w14:textFill>
                  <w14:solidFill>
                    <w14:schemeClr w14:val="tx1"/>
                  </w14:solidFill>
                </w14:textFill>
              </w:rPr>
              <w:t>环境保护目标</w:t>
            </w:r>
          </w:p>
          <w:p w14:paraId="2BD0C12D">
            <w:pPr>
              <w:widowControl/>
              <w:spacing w:line="480" w:lineRule="exact"/>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项目周围</w:t>
            </w:r>
            <w:r>
              <w:rPr>
                <w:rFonts w:hint="eastAsia" w:ascii="Times New Roman" w:hAnsi="Times New Roman" w:eastAsia="宋体" w:cs="Times New Roman"/>
                <w:bCs/>
                <w:color w:val="000000" w:themeColor="text1"/>
                <w:sz w:val="24"/>
                <w14:textFill>
                  <w14:solidFill>
                    <w14:schemeClr w14:val="tx1"/>
                  </w14:solidFill>
                </w14:textFill>
              </w:rPr>
              <w:t>环境保护目标</w:t>
            </w:r>
            <w:r>
              <w:rPr>
                <w:rFonts w:ascii="Times New Roman" w:hAnsi="Times New Roman" w:eastAsia="宋体" w:cs="Times New Roman"/>
                <w:bCs/>
                <w:color w:val="000000" w:themeColor="text1"/>
                <w:sz w:val="24"/>
                <w14:textFill>
                  <w14:solidFill>
                    <w14:schemeClr w14:val="tx1"/>
                  </w14:solidFill>
                </w14:textFill>
              </w:rPr>
              <w:t>情况见下表。</w:t>
            </w:r>
          </w:p>
          <w:p w14:paraId="201A2CBF">
            <w:pPr>
              <w:spacing w:line="480" w:lineRule="exact"/>
              <w:jc w:val="center"/>
              <w:rPr>
                <w:rFonts w:hint="eastAsia"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w:t>
            </w:r>
            <w:r>
              <w:rPr>
                <w:rFonts w:hint="eastAsia" w:ascii="Times New Roman" w:hAnsi="Times New Roman" w:eastAsia="宋体" w:cs="Times New Roman"/>
                <w:b/>
                <w:bCs/>
                <w:color w:val="000000" w:themeColor="text1"/>
                <w:sz w:val="24"/>
                <w14:textFill>
                  <w14:solidFill>
                    <w14:schemeClr w14:val="tx1"/>
                  </w14:solidFill>
                </w14:textFill>
              </w:rPr>
              <w:t>3-4主要环境保护目标一览表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870"/>
              <w:gridCol w:w="1544"/>
              <w:gridCol w:w="1471"/>
              <w:gridCol w:w="697"/>
              <w:gridCol w:w="655"/>
              <w:gridCol w:w="646"/>
              <w:gridCol w:w="733"/>
              <w:gridCol w:w="924"/>
            </w:tblGrid>
            <w:tr w14:paraId="3DE59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78" w:type="dxa"/>
                  <w:vMerge w:val="restart"/>
                  <w:noWrap w:val="0"/>
                  <w:vAlign w:val="center"/>
                </w:tcPr>
                <w:p w14:paraId="7620E096">
                  <w:pPr>
                    <w:pStyle w:val="43"/>
                    <w:jc w:val="center"/>
                    <w:rPr>
                      <w:rFonts w:hint="eastAsia" w:ascii="Times New Roman"/>
                      <w:b/>
                      <w:bCs/>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序号</w:t>
                  </w:r>
                </w:p>
              </w:tc>
              <w:tc>
                <w:tcPr>
                  <w:tcW w:w="870" w:type="dxa"/>
                  <w:vMerge w:val="restart"/>
                  <w:noWrap w:val="0"/>
                  <w:vAlign w:val="center"/>
                </w:tcPr>
                <w:p w14:paraId="3FC9EB11">
                  <w:pPr>
                    <w:pStyle w:val="43"/>
                    <w:jc w:val="center"/>
                    <w:rPr>
                      <w:rFonts w:ascii="Times New Roman"/>
                      <w:b/>
                      <w:bCs/>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保护目标</w:t>
                  </w:r>
                </w:p>
              </w:tc>
              <w:tc>
                <w:tcPr>
                  <w:tcW w:w="3015" w:type="dxa"/>
                  <w:gridSpan w:val="2"/>
                  <w:noWrap w:val="0"/>
                  <w:vAlign w:val="center"/>
                </w:tcPr>
                <w:p w14:paraId="33113DBC">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坐标</w:t>
                  </w:r>
                </w:p>
              </w:tc>
              <w:tc>
                <w:tcPr>
                  <w:tcW w:w="697" w:type="dxa"/>
                  <w:vMerge w:val="restart"/>
                  <w:noWrap w:val="0"/>
                  <w:vAlign w:val="center"/>
                </w:tcPr>
                <w:p w14:paraId="49BD9688">
                  <w:pPr>
                    <w:pStyle w:val="43"/>
                    <w:jc w:val="center"/>
                    <w:rPr>
                      <w:rFonts w:hint="eastAsia" w:ascii="Times New Roman"/>
                      <w:b/>
                      <w:bCs/>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保护对象</w:t>
                  </w:r>
                </w:p>
              </w:tc>
              <w:tc>
                <w:tcPr>
                  <w:tcW w:w="655" w:type="dxa"/>
                  <w:vMerge w:val="restart"/>
                  <w:noWrap w:val="0"/>
                  <w:vAlign w:val="center"/>
                </w:tcPr>
                <w:p w14:paraId="75C28694">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保护内容</w:t>
                  </w:r>
                </w:p>
              </w:tc>
              <w:tc>
                <w:tcPr>
                  <w:tcW w:w="646" w:type="dxa"/>
                  <w:vMerge w:val="restart"/>
                  <w:noWrap w:val="0"/>
                  <w:vAlign w:val="center"/>
                </w:tcPr>
                <w:p w14:paraId="3E4C967D">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环境功能区</w:t>
                  </w:r>
                </w:p>
              </w:tc>
              <w:tc>
                <w:tcPr>
                  <w:tcW w:w="733" w:type="dxa"/>
                  <w:vMerge w:val="restart"/>
                  <w:noWrap w:val="0"/>
                  <w:vAlign w:val="center"/>
                </w:tcPr>
                <w:p w14:paraId="2A2157A8">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相对厂址方位</w:t>
                  </w:r>
                </w:p>
              </w:tc>
              <w:tc>
                <w:tcPr>
                  <w:tcW w:w="924" w:type="dxa"/>
                  <w:vMerge w:val="restart"/>
                  <w:noWrap w:val="0"/>
                  <w:vAlign w:val="center"/>
                </w:tcPr>
                <w:p w14:paraId="1ABFB12F">
                  <w:pPr>
                    <w:pStyle w:val="43"/>
                    <w:jc w:val="center"/>
                    <w:rPr>
                      <w:rFonts w:ascii="Times New Roman"/>
                      <w:b/>
                      <w:bCs/>
                      <w:color w:val="000000" w:themeColor="text1"/>
                      <w:sz w:val="21"/>
                      <w:szCs w:val="21"/>
                      <w14:textFill>
                        <w14:solidFill>
                          <w14:schemeClr w14:val="tx1"/>
                        </w14:solidFill>
                      </w14:textFill>
                    </w:rPr>
                  </w:pPr>
                  <w:r>
                    <w:rPr>
                      <w:rFonts w:ascii="Times New Roman"/>
                      <w:b/>
                      <w:bCs/>
                      <w:color w:val="000000" w:themeColor="text1"/>
                      <w:sz w:val="21"/>
                      <w:szCs w:val="21"/>
                      <w14:textFill>
                        <w14:solidFill>
                          <w14:schemeClr w14:val="tx1"/>
                        </w14:solidFill>
                      </w14:textFill>
                    </w:rPr>
                    <w:t>相对厂界距离/m</w:t>
                  </w:r>
                </w:p>
              </w:tc>
            </w:tr>
            <w:tr w14:paraId="37F2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478" w:type="dxa"/>
                  <w:vMerge w:val="continue"/>
                  <w:noWrap w:val="0"/>
                  <w:vAlign w:val="center"/>
                </w:tcPr>
                <w:p w14:paraId="038F8E7D">
                  <w:pPr>
                    <w:pStyle w:val="43"/>
                    <w:jc w:val="center"/>
                    <w:rPr>
                      <w:rFonts w:ascii="Times New Roman"/>
                      <w:color w:val="000000" w:themeColor="text1"/>
                      <w:sz w:val="21"/>
                      <w:szCs w:val="21"/>
                      <w14:textFill>
                        <w14:solidFill>
                          <w14:schemeClr w14:val="tx1"/>
                        </w14:solidFill>
                      </w14:textFill>
                    </w:rPr>
                  </w:pPr>
                </w:p>
              </w:tc>
              <w:tc>
                <w:tcPr>
                  <w:tcW w:w="870" w:type="dxa"/>
                  <w:vMerge w:val="continue"/>
                  <w:noWrap w:val="0"/>
                  <w:vAlign w:val="center"/>
                </w:tcPr>
                <w:p w14:paraId="49DC32F5">
                  <w:pPr>
                    <w:pStyle w:val="43"/>
                    <w:jc w:val="center"/>
                    <w:rPr>
                      <w:rFonts w:ascii="Times New Roman"/>
                      <w:color w:val="000000" w:themeColor="text1"/>
                      <w:sz w:val="21"/>
                      <w:szCs w:val="21"/>
                      <w14:textFill>
                        <w14:solidFill>
                          <w14:schemeClr w14:val="tx1"/>
                        </w14:solidFill>
                      </w14:textFill>
                    </w:rPr>
                  </w:pPr>
                </w:p>
              </w:tc>
              <w:tc>
                <w:tcPr>
                  <w:tcW w:w="1544" w:type="dxa"/>
                  <w:noWrap w:val="0"/>
                  <w:vAlign w:val="center"/>
                </w:tcPr>
                <w:p w14:paraId="27CD4DFB">
                  <w:pPr>
                    <w:pStyle w:val="43"/>
                    <w:jc w:val="center"/>
                    <w:rPr>
                      <w:rFonts w:hint="eastAsia" w:ascii="Times New Roman"/>
                      <w:b/>
                      <w:bCs/>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经度</w:t>
                  </w:r>
                </w:p>
              </w:tc>
              <w:tc>
                <w:tcPr>
                  <w:tcW w:w="1471" w:type="dxa"/>
                  <w:noWrap w:val="0"/>
                  <w:vAlign w:val="center"/>
                </w:tcPr>
                <w:p w14:paraId="4DC864AD">
                  <w:pPr>
                    <w:pStyle w:val="43"/>
                    <w:jc w:val="center"/>
                    <w:rPr>
                      <w:rFonts w:hint="eastAsia" w:ascii="Times New Roman"/>
                      <w:b/>
                      <w:bCs/>
                      <w:color w:val="000000" w:themeColor="text1"/>
                      <w:sz w:val="21"/>
                      <w:szCs w:val="21"/>
                      <w14:textFill>
                        <w14:solidFill>
                          <w14:schemeClr w14:val="tx1"/>
                        </w14:solidFill>
                      </w14:textFill>
                    </w:rPr>
                  </w:pPr>
                  <w:r>
                    <w:rPr>
                      <w:rFonts w:hint="eastAsia" w:ascii="Times New Roman"/>
                      <w:b/>
                      <w:bCs/>
                      <w:color w:val="000000" w:themeColor="text1"/>
                      <w:sz w:val="21"/>
                      <w:szCs w:val="21"/>
                      <w14:textFill>
                        <w14:solidFill>
                          <w14:schemeClr w14:val="tx1"/>
                        </w14:solidFill>
                      </w14:textFill>
                    </w:rPr>
                    <w:t>纬度</w:t>
                  </w:r>
                </w:p>
              </w:tc>
              <w:tc>
                <w:tcPr>
                  <w:tcW w:w="697" w:type="dxa"/>
                  <w:vMerge w:val="continue"/>
                  <w:noWrap w:val="0"/>
                  <w:vAlign w:val="center"/>
                </w:tcPr>
                <w:p w14:paraId="40A7C259">
                  <w:pPr>
                    <w:pStyle w:val="43"/>
                    <w:jc w:val="center"/>
                    <w:rPr>
                      <w:rFonts w:ascii="Times New Roman"/>
                      <w:color w:val="000000" w:themeColor="text1"/>
                      <w:sz w:val="21"/>
                      <w:szCs w:val="21"/>
                      <w14:textFill>
                        <w14:solidFill>
                          <w14:schemeClr w14:val="tx1"/>
                        </w14:solidFill>
                      </w14:textFill>
                    </w:rPr>
                  </w:pPr>
                </w:p>
              </w:tc>
              <w:tc>
                <w:tcPr>
                  <w:tcW w:w="655" w:type="dxa"/>
                  <w:vMerge w:val="continue"/>
                  <w:noWrap w:val="0"/>
                  <w:vAlign w:val="center"/>
                </w:tcPr>
                <w:p w14:paraId="46CBCCA7">
                  <w:pPr>
                    <w:pStyle w:val="43"/>
                    <w:jc w:val="center"/>
                    <w:rPr>
                      <w:rFonts w:ascii="Times New Roman"/>
                      <w:color w:val="000000" w:themeColor="text1"/>
                      <w:sz w:val="21"/>
                      <w:szCs w:val="21"/>
                      <w14:textFill>
                        <w14:solidFill>
                          <w14:schemeClr w14:val="tx1"/>
                        </w14:solidFill>
                      </w14:textFill>
                    </w:rPr>
                  </w:pPr>
                </w:p>
              </w:tc>
              <w:tc>
                <w:tcPr>
                  <w:tcW w:w="646" w:type="dxa"/>
                  <w:vMerge w:val="continue"/>
                  <w:noWrap w:val="0"/>
                  <w:vAlign w:val="center"/>
                </w:tcPr>
                <w:p w14:paraId="76A22A7A">
                  <w:pPr>
                    <w:pStyle w:val="43"/>
                    <w:jc w:val="center"/>
                    <w:rPr>
                      <w:rFonts w:ascii="Times New Roman"/>
                      <w:color w:val="000000" w:themeColor="text1"/>
                      <w:sz w:val="21"/>
                      <w:szCs w:val="21"/>
                      <w14:textFill>
                        <w14:solidFill>
                          <w14:schemeClr w14:val="tx1"/>
                        </w14:solidFill>
                      </w14:textFill>
                    </w:rPr>
                  </w:pPr>
                </w:p>
              </w:tc>
              <w:tc>
                <w:tcPr>
                  <w:tcW w:w="733" w:type="dxa"/>
                  <w:vMerge w:val="continue"/>
                  <w:noWrap w:val="0"/>
                  <w:vAlign w:val="center"/>
                </w:tcPr>
                <w:p w14:paraId="45D29E29">
                  <w:pPr>
                    <w:pStyle w:val="43"/>
                    <w:jc w:val="center"/>
                    <w:rPr>
                      <w:rFonts w:ascii="Times New Roman"/>
                      <w:color w:val="000000" w:themeColor="text1"/>
                      <w:sz w:val="21"/>
                      <w:szCs w:val="21"/>
                      <w14:textFill>
                        <w14:solidFill>
                          <w14:schemeClr w14:val="tx1"/>
                        </w14:solidFill>
                      </w14:textFill>
                    </w:rPr>
                  </w:pPr>
                </w:p>
              </w:tc>
              <w:tc>
                <w:tcPr>
                  <w:tcW w:w="924" w:type="dxa"/>
                  <w:vMerge w:val="continue"/>
                  <w:noWrap w:val="0"/>
                  <w:vAlign w:val="center"/>
                </w:tcPr>
                <w:p w14:paraId="5A1CBC7C">
                  <w:pPr>
                    <w:pStyle w:val="43"/>
                    <w:jc w:val="center"/>
                    <w:rPr>
                      <w:rFonts w:ascii="Times New Roman"/>
                      <w:color w:val="000000" w:themeColor="text1"/>
                      <w:sz w:val="21"/>
                      <w:szCs w:val="21"/>
                      <w14:textFill>
                        <w14:solidFill>
                          <w14:schemeClr w14:val="tx1"/>
                        </w14:solidFill>
                      </w14:textFill>
                    </w:rPr>
                  </w:pPr>
                </w:p>
              </w:tc>
            </w:tr>
            <w:tr w14:paraId="61D1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78" w:type="dxa"/>
                  <w:noWrap w:val="0"/>
                  <w:vAlign w:val="center"/>
                </w:tcPr>
                <w:p w14:paraId="48527F09">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w:t>
                  </w:r>
                </w:p>
              </w:tc>
              <w:tc>
                <w:tcPr>
                  <w:tcW w:w="870" w:type="dxa"/>
                  <w:noWrap w:val="0"/>
                  <w:vAlign w:val="center"/>
                </w:tcPr>
                <w:p w14:paraId="3ED5895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坛坡村</w:t>
                  </w:r>
                </w:p>
              </w:tc>
              <w:tc>
                <w:tcPr>
                  <w:tcW w:w="1544" w:type="dxa"/>
                  <w:noWrap w:val="0"/>
                  <w:vAlign w:val="center"/>
                </w:tcPr>
                <w:p w14:paraId="68EBDCB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E110.369811°</w:t>
                  </w:r>
                </w:p>
              </w:tc>
              <w:tc>
                <w:tcPr>
                  <w:tcW w:w="1471" w:type="dxa"/>
                  <w:noWrap w:val="0"/>
                  <w:vAlign w:val="center"/>
                </w:tcPr>
                <w:p w14:paraId="71485287">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N21.195736°</w:t>
                  </w:r>
                </w:p>
              </w:tc>
              <w:tc>
                <w:tcPr>
                  <w:tcW w:w="697" w:type="dxa"/>
                  <w:noWrap w:val="0"/>
                  <w:vAlign w:val="center"/>
                </w:tcPr>
                <w:p w14:paraId="0D3DDDE0">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居民</w:t>
                  </w:r>
                </w:p>
              </w:tc>
              <w:tc>
                <w:tcPr>
                  <w:tcW w:w="655" w:type="dxa"/>
                  <w:noWrap w:val="0"/>
                  <w:vAlign w:val="center"/>
                </w:tcPr>
                <w:p w14:paraId="5E083A9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环境空气</w:t>
                  </w:r>
                </w:p>
              </w:tc>
              <w:tc>
                <w:tcPr>
                  <w:tcW w:w="646" w:type="dxa"/>
                  <w:noWrap w:val="0"/>
                  <w:vAlign w:val="center"/>
                </w:tcPr>
                <w:p w14:paraId="157A92F0">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二类区</w:t>
                  </w:r>
                </w:p>
              </w:tc>
              <w:tc>
                <w:tcPr>
                  <w:tcW w:w="733" w:type="dxa"/>
                  <w:noWrap w:val="0"/>
                  <w:vAlign w:val="center"/>
                </w:tcPr>
                <w:p w14:paraId="245DF4E1">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西南</w:t>
                  </w:r>
                </w:p>
              </w:tc>
              <w:tc>
                <w:tcPr>
                  <w:tcW w:w="924" w:type="dxa"/>
                  <w:noWrap w:val="0"/>
                  <w:vAlign w:val="center"/>
                </w:tcPr>
                <w:p w14:paraId="6DD6B731">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412</w:t>
                  </w:r>
                </w:p>
              </w:tc>
            </w:tr>
          </w:tbl>
          <w:p w14:paraId="01328E55">
            <w:pPr>
              <w:spacing w:line="360" w:lineRule="auto"/>
              <w:rPr>
                <w:rFonts w:ascii="Times New Roman" w:hAnsi="Times New Roman" w:eastAsia="宋体" w:cs="Times New Roman"/>
                <w:color w:val="000000" w:themeColor="text1"/>
                <w:kern w:val="0"/>
                <w:szCs w:val="21"/>
                <w14:textFill>
                  <w14:solidFill>
                    <w14:schemeClr w14:val="tx1"/>
                  </w14:solidFill>
                </w14:textFill>
              </w:rPr>
            </w:pPr>
          </w:p>
        </w:tc>
      </w:tr>
      <w:tr w14:paraId="6C54C4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59" w:hRule="atLeast"/>
          <w:jc w:val="center"/>
        </w:trPr>
        <w:tc>
          <w:tcPr>
            <w:tcW w:w="817" w:type="dxa"/>
            <w:noWrap w:val="0"/>
            <w:tcMar>
              <w:left w:w="28" w:type="dxa"/>
              <w:right w:w="28" w:type="dxa"/>
            </w:tcMar>
            <w:vAlign w:val="center"/>
          </w:tcPr>
          <w:p w14:paraId="6A42D038">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污染</w:t>
            </w:r>
          </w:p>
          <w:p w14:paraId="2706ED9C">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物排</w:t>
            </w:r>
          </w:p>
          <w:p w14:paraId="1E219D8A">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放控</w:t>
            </w:r>
          </w:p>
          <w:p w14:paraId="19602248">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制标</w:t>
            </w:r>
          </w:p>
          <w:p w14:paraId="1F7EFEBA">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准</w:t>
            </w:r>
          </w:p>
        </w:tc>
        <w:tc>
          <w:tcPr>
            <w:tcW w:w="8244" w:type="dxa"/>
            <w:noWrap w:val="0"/>
            <w:vAlign w:val="center"/>
          </w:tcPr>
          <w:p w14:paraId="4FAEC406">
            <w:pPr>
              <w:widowControl/>
              <w:spacing w:line="480" w:lineRule="exact"/>
              <w:ind w:firstLine="482" w:firstLineChars="200"/>
              <w:jc w:val="left"/>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1、废水污染物控制标准</w:t>
            </w:r>
          </w:p>
          <w:p w14:paraId="7F09210A">
            <w:pPr>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项目生活污水经化粪池处理后、与生产废水（洗涤废水、锅炉排污水、软化处理废水）</w:t>
            </w:r>
            <w:r>
              <w:rPr>
                <w:rFonts w:hint="eastAsia" w:ascii="Times New Roman" w:hAnsi="Times New Roman" w:eastAsia="宋体" w:cs="Times New Roman"/>
                <w:color w:val="000000" w:themeColor="text1"/>
                <w:sz w:val="24"/>
                <w:lang w:val="en-US" w:eastAsia="zh-CN"/>
                <w14:textFill>
                  <w14:solidFill>
                    <w14:schemeClr w14:val="tx1"/>
                  </w14:solidFill>
                </w14:textFill>
              </w:rPr>
              <w:t>一并进入</w:t>
            </w:r>
            <w:r>
              <w:rPr>
                <w:rFonts w:hint="eastAsia" w:ascii="Times New Roman" w:hAnsi="Times New Roman" w:eastAsia="宋体" w:cs="Times New Roman"/>
                <w:color w:val="000000" w:themeColor="text1"/>
                <w:sz w:val="24"/>
                <w14:textFill>
                  <w14:solidFill>
                    <w14:schemeClr w14:val="tx1"/>
                  </w14:solidFill>
                </w14:textFill>
              </w:rPr>
              <w:t>自建污水处理站（</w:t>
            </w:r>
            <w:r>
              <w:rPr>
                <w:rFonts w:hint="eastAsia" w:ascii="Times New Roman" w:hAnsi="Times New Roman" w:eastAsia="宋体" w:cs="Times New Roman"/>
                <w:color w:val="000000" w:themeColor="text1"/>
                <w:sz w:val="24"/>
                <w:lang w:eastAsia="zh-CN"/>
                <w14:textFill>
                  <w14:solidFill>
                    <w14:schemeClr w14:val="tx1"/>
                  </w14:solidFill>
                </w14:textFill>
              </w:rPr>
              <w:t>溶气气浮+A/O一体化</w:t>
            </w:r>
            <w:r>
              <w:rPr>
                <w:rFonts w:hint="eastAsia" w:ascii="Times New Roman" w:hAnsi="Times New Roman" w:eastAsia="宋体" w:cs="Times New Roman"/>
                <w:color w:val="000000" w:themeColor="text1"/>
                <w:sz w:val="24"/>
                <w14:textFill>
                  <w14:solidFill>
                    <w14:schemeClr w14:val="tx1"/>
                  </w14:solidFill>
                </w14:textFill>
              </w:rPr>
              <w:t>）预处理后达到广东省《水污染物排放限值》(DB44/26-2001)中第二时段三级标准及霞山水质净化厂进水标准较严值后一同排入霞山水质净化厂。</w:t>
            </w:r>
          </w:p>
          <w:p w14:paraId="10F3C79B">
            <w:pPr>
              <w:snapToGrid w:val="0"/>
              <w:spacing w:line="480" w:lineRule="exact"/>
              <w:jc w:val="center"/>
              <w:rPr>
                <w:rFonts w:hint="eastAsia" w:ascii="Times New Roman" w:hAnsi="Times New Roman" w:eastAsia="宋体" w:cs="Times New Roman"/>
                <w:b/>
                <w:color w:val="000000" w:themeColor="text1"/>
                <w:sz w:val="24"/>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表</w:t>
            </w:r>
            <w:r>
              <w:rPr>
                <w:rFonts w:hint="eastAsia" w:ascii="Times New Roman" w:hAnsi="Times New Roman" w:eastAsia="宋体" w:cs="Times New Roman"/>
                <w:b/>
                <w:color w:val="000000" w:themeColor="text1"/>
                <w:sz w:val="24"/>
                <w:lang w:bidi="ar"/>
                <w14:textFill>
                  <w14:solidFill>
                    <w14:schemeClr w14:val="tx1"/>
                  </w14:solidFill>
                </w14:textFill>
              </w:rPr>
              <w:t>3</w:t>
            </w:r>
            <w:r>
              <w:rPr>
                <w:rFonts w:ascii="Times New Roman" w:hAnsi="Times New Roman" w:eastAsia="宋体" w:cs="Times New Roman"/>
                <w:b/>
                <w:color w:val="000000" w:themeColor="text1"/>
                <w:sz w:val="24"/>
                <w:lang w:bidi="ar"/>
                <w14:textFill>
                  <w14:solidFill>
                    <w14:schemeClr w14:val="tx1"/>
                  </w14:solidFill>
                </w14:textFill>
              </w:rPr>
              <w:t>-</w:t>
            </w:r>
            <w:r>
              <w:rPr>
                <w:rFonts w:hint="eastAsia" w:ascii="Times New Roman" w:hAnsi="Times New Roman" w:eastAsia="宋体" w:cs="Times New Roman"/>
                <w:b/>
                <w:color w:val="000000" w:themeColor="text1"/>
                <w:sz w:val="24"/>
                <w:lang w:bidi="ar"/>
                <w14:textFill>
                  <w14:solidFill>
                    <w14:schemeClr w14:val="tx1"/>
                  </w14:solidFill>
                </w14:textFill>
              </w:rPr>
              <w:t>5项目</w:t>
            </w:r>
            <w:r>
              <w:rPr>
                <w:rFonts w:ascii="Times New Roman" w:hAnsi="Times New Roman" w:eastAsia="宋体" w:cs="Times New Roman"/>
                <w:b/>
                <w:color w:val="000000" w:themeColor="text1"/>
                <w:sz w:val="24"/>
                <w:lang w:bidi="ar"/>
                <w14:textFill>
                  <w14:solidFill>
                    <w14:schemeClr w14:val="tx1"/>
                  </w14:solidFill>
                </w14:textFill>
              </w:rPr>
              <w:t>污水排放标准单位：mg/L</w:t>
            </w:r>
            <w:r>
              <w:rPr>
                <w:rFonts w:hint="eastAsia" w:ascii="Times New Roman" w:hAnsi="Times New Roman" w:eastAsia="宋体" w:cs="Times New Roman"/>
                <w:b/>
                <w:color w:val="000000" w:themeColor="text1"/>
                <w:sz w:val="24"/>
                <w:lang w:bidi="ar"/>
                <w14:textFill>
                  <w14:solidFill>
                    <w14:schemeClr w14:val="tx1"/>
                  </w14:solidFill>
                </w14:textFill>
              </w:rPr>
              <w:t>，</w:t>
            </w:r>
            <w:r>
              <w:rPr>
                <w:rFonts w:hint="eastAsia" w:ascii="Times New Roman" w:hAnsi="Times New Roman" w:eastAsia="宋体" w:cs="Times New Roman"/>
                <w:b/>
                <w:color w:val="000000" w:themeColor="text1"/>
                <w:sz w:val="24"/>
                <w14:textFill>
                  <w14:solidFill>
                    <w14:schemeClr w14:val="tx1"/>
                  </w14:solidFill>
                </w14:textFill>
              </w:rPr>
              <w:t>pH除外</w:t>
            </w:r>
          </w:p>
          <w:tbl>
            <w:tblPr>
              <w:tblStyle w:val="3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3"/>
              <w:gridCol w:w="1815"/>
              <w:gridCol w:w="659"/>
              <w:gridCol w:w="675"/>
              <w:gridCol w:w="606"/>
              <w:gridCol w:w="690"/>
              <w:gridCol w:w="614"/>
              <w:gridCol w:w="524"/>
              <w:gridCol w:w="931"/>
              <w:gridCol w:w="655"/>
            </w:tblGrid>
            <w:tr w14:paraId="586F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26" w:type="pct"/>
                  <w:noWrap w:val="0"/>
                  <w:vAlign w:val="center"/>
                </w:tcPr>
                <w:p w14:paraId="11A6ED6D">
                  <w:pPr>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类型</w:t>
                  </w:r>
                </w:p>
              </w:tc>
              <w:tc>
                <w:tcPr>
                  <w:tcW w:w="1132" w:type="pct"/>
                  <w:noWrap w:val="0"/>
                  <w:vAlign w:val="center"/>
                </w:tcPr>
                <w:p w14:paraId="3F1E1383">
                  <w:pPr>
                    <w:jc w:val="center"/>
                    <w:rPr>
                      <w:rFonts w:hint="eastAsia" w:ascii="Times New Roman" w:hAnsi="Times New Roman" w:eastAsia="宋体" w:cs="Times New Roman"/>
                      <w:b/>
                      <w:color w:val="000000" w:themeColor="text1"/>
                      <w:szCs w:val="21"/>
                      <w:lang w:bidi="ar"/>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名称</w:t>
                  </w:r>
                </w:p>
              </w:tc>
              <w:tc>
                <w:tcPr>
                  <w:tcW w:w="411" w:type="pct"/>
                  <w:noWrap w:val="0"/>
                  <w:vAlign w:val="center"/>
                </w:tcPr>
                <w:p w14:paraId="4A082A43">
                  <w:pPr>
                    <w:jc w:val="center"/>
                    <w:rPr>
                      <w:rFonts w:hint="eastAsia" w:ascii="Times New Roman" w:hAnsi="Times New Roman" w:eastAsia="宋体" w:cs="Times New Roman"/>
                      <w:b/>
                      <w:color w:val="000000" w:themeColor="text1"/>
                      <w:szCs w:val="21"/>
                      <w:lang w:bidi="ar"/>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pH</w:t>
                  </w:r>
                </w:p>
              </w:tc>
              <w:tc>
                <w:tcPr>
                  <w:tcW w:w="421" w:type="pct"/>
                  <w:noWrap w:val="0"/>
                  <w:vAlign w:val="center"/>
                </w:tcPr>
                <w:p w14:paraId="42C7DDDF">
                  <w:pPr>
                    <w:jc w:val="center"/>
                    <w:rPr>
                      <w:rFonts w:ascii="Times New Roman" w:hAnsi="Times New Roman" w:eastAsia="宋体" w:cs="Times New Roman"/>
                      <w:b/>
                      <w:color w:val="000000" w:themeColor="text1"/>
                      <w:szCs w:val="21"/>
                      <w:lang w:bidi="ar"/>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COD</w:t>
                  </w:r>
                  <w:r>
                    <w:rPr>
                      <w:rFonts w:ascii="Times New Roman" w:hAnsi="Times New Roman" w:eastAsia="宋体" w:cs="Times New Roman"/>
                      <w:b/>
                      <w:color w:val="000000" w:themeColor="text1"/>
                      <w:szCs w:val="21"/>
                      <w:vertAlign w:val="subscript"/>
                      <w14:textFill>
                        <w14:solidFill>
                          <w14:schemeClr w14:val="tx1"/>
                        </w14:solidFill>
                      </w14:textFill>
                    </w:rPr>
                    <w:t>Cr</w:t>
                  </w:r>
                </w:p>
              </w:tc>
              <w:tc>
                <w:tcPr>
                  <w:tcW w:w="378" w:type="pct"/>
                  <w:noWrap w:val="0"/>
                  <w:vAlign w:val="center"/>
                </w:tcPr>
                <w:p w14:paraId="6A8BAFC2">
                  <w:pPr>
                    <w:jc w:val="center"/>
                    <w:rPr>
                      <w:rFonts w:ascii="Times New Roman" w:hAnsi="Times New Roman" w:eastAsia="宋体" w:cs="Times New Roman"/>
                      <w:b/>
                      <w:color w:val="000000" w:themeColor="text1"/>
                      <w:szCs w:val="21"/>
                      <w:lang w:bidi="ar"/>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SS</w:t>
                  </w:r>
                </w:p>
              </w:tc>
              <w:tc>
                <w:tcPr>
                  <w:tcW w:w="430" w:type="pct"/>
                  <w:noWrap w:val="0"/>
                  <w:vAlign w:val="center"/>
                </w:tcPr>
                <w:p w14:paraId="761F3584">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BOD</w:t>
                  </w:r>
                  <w:r>
                    <w:rPr>
                      <w:rFonts w:hint="eastAsia" w:ascii="Times New Roman" w:hAnsi="Times New Roman" w:eastAsia="宋体" w:cs="Times New Roman"/>
                      <w:b/>
                      <w:color w:val="000000" w:themeColor="text1"/>
                      <w:szCs w:val="21"/>
                      <w:vertAlign w:val="subscript"/>
                      <w14:textFill>
                        <w14:solidFill>
                          <w14:schemeClr w14:val="tx1"/>
                        </w14:solidFill>
                      </w14:textFill>
                    </w:rPr>
                    <w:t>5</w:t>
                  </w:r>
                </w:p>
              </w:tc>
              <w:tc>
                <w:tcPr>
                  <w:tcW w:w="383" w:type="pct"/>
                  <w:noWrap w:val="0"/>
                  <w:vAlign w:val="center"/>
                </w:tcPr>
                <w:p w14:paraId="72CA82D7">
                  <w:pPr>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氨氮</w:t>
                  </w:r>
                </w:p>
              </w:tc>
              <w:tc>
                <w:tcPr>
                  <w:tcW w:w="327" w:type="pct"/>
                  <w:noWrap w:val="0"/>
                  <w:vAlign w:val="center"/>
                </w:tcPr>
                <w:p w14:paraId="26711979">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LAS</w:t>
                  </w:r>
                </w:p>
              </w:tc>
              <w:tc>
                <w:tcPr>
                  <w:tcW w:w="580" w:type="pct"/>
                  <w:noWrap w:val="0"/>
                  <w:vAlign w:val="center"/>
                </w:tcPr>
                <w:p w14:paraId="318FB7E9">
                  <w:pPr>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动植物油</w:t>
                  </w:r>
                </w:p>
              </w:tc>
              <w:tc>
                <w:tcPr>
                  <w:tcW w:w="408" w:type="pct"/>
                  <w:noWrap w:val="0"/>
                  <w:vAlign w:val="center"/>
                </w:tcPr>
                <w:p w14:paraId="57AE090D">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b/>
                      <w:color w:val="000000" w:themeColor="text1"/>
                      <w:szCs w:val="21"/>
                      <w14:textFill>
                        <w14:solidFill>
                          <w14:schemeClr w14:val="tx1"/>
                        </w14:solidFill>
                      </w14:textFill>
                    </w:rPr>
                    <w:t>元素磷</w:t>
                  </w:r>
                </w:p>
              </w:tc>
            </w:tr>
            <w:tr w14:paraId="64E7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26" w:type="pct"/>
                  <w:vMerge w:val="restart"/>
                  <w:noWrap w:val="0"/>
                  <w:vAlign w:val="center"/>
                </w:tcPr>
                <w:p w14:paraId="5AEBE3C1">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生活污水、锅炉排污水和软化处理废水</w:t>
                  </w:r>
                </w:p>
              </w:tc>
              <w:tc>
                <w:tcPr>
                  <w:tcW w:w="1132" w:type="pct"/>
                  <w:noWrap w:val="0"/>
                  <w:vAlign w:val="center"/>
                </w:tcPr>
                <w:p w14:paraId="486E00F3">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（DB44/26-2001）第二时段三级标准</w:t>
                  </w:r>
                </w:p>
              </w:tc>
              <w:tc>
                <w:tcPr>
                  <w:tcW w:w="411" w:type="pct"/>
                  <w:noWrap w:val="0"/>
                  <w:vAlign w:val="center"/>
                </w:tcPr>
                <w:p w14:paraId="7A4E1B73">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6-9</w:t>
                  </w:r>
                </w:p>
              </w:tc>
              <w:tc>
                <w:tcPr>
                  <w:tcW w:w="421" w:type="pct"/>
                  <w:noWrap w:val="0"/>
                  <w:vAlign w:val="center"/>
                </w:tcPr>
                <w:p w14:paraId="198815D4">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500</w:t>
                  </w:r>
                </w:p>
              </w:tc>
              <w:tc>
                <w:tcPr>
                  <w:tcW w:w="378" w:type="pct"/>
                  <w:noWrap w:val="0"/>
                  <w:vAlign w:val="center"/>
                </w:tcPr>
                <w:p w14:paraId="08B3A417">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400</w:t>
                  </w:r>
                </w:p>
              </w:tc>
              <w:tc>
                <w:tcPr>
                  <w:tcW w:w="430" w:type="pct"/>
                  <w:noWrap w:val="0"/>
                  <w:vAlign w:val="center"/>
                </w:tcPr>
                <w:p w14:paraId="6C1795DC">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300</w:t>
                  </w:r>
                </w:p>
              </w:tc>
              <w:tc>
                <w:tcPr>
                  <w:tcW w:w="383" w:type="pct"/>
                  <w:noWrap w:val="0"/>
                  <w:vAlign w:val="center"/>
                </w:tcPr>
                <w:p w14:paraId="16FC90EF">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327" w:type="pct"/>
                  <w:noWrap w:val="0"/>
                  <w:vAlign w:val="center"/>
                </w:tcPr>
                <w:p w14:paraId="3158A6D2">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20</w:t>
                  </w:r>
                </w:p>
              </w:tc>
              <w:tc>
                <w:tcPr>
                  <w:tcW w:w="580" w:type="pct"/>
                  <w:noWrap w:val="0"/>
                  <w:vAlign w:val="center"/>
                </w:tcPr>
                <w:p w14:paraId="3D30FF33">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100</w:t>
                  </w:r>
                </w:p>
              </w:tc>
              <w:tc>
                <w:tcPr>
                  <w:tcW w:w="408" w:type="pct"/>
                  <w:noWrap w:val="0"/>
                  <w:vAlign w:val="center"/>
                </w:tcPr>
                <w:p w14:paraId="1733ACE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0.3</w:t>
                  </w:r>
                </w:p>
              </w:tc>
            </w:tr>
            <w:tr w14:paraId="1AAE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26" w:type="pct"/>
                  <w:vMerge w:val="continue"/>
                  <w:noWrap w:val="0"/>
                  <w:vAlign w:val="center"/>
                </w:tcPr>
                <w:p w14:paraId="1C035B40">
                  <w:pPr>
                    <w:jc w:val="center"/>
                    <w:rPr>
                      <w:rFonts w:hint="eastAsia" w:ascii="Times New Roman" w:hAnsi="Times New Roman" w:eastAsia="宋体" w:cs="Times New Roman"/>
                      <w:bCs/>
                      <w:color w:val="000000" w:themeColor="text1"/>
                      <w:szCs w:val="21"/>
                      <w14:textFill>
                        <w14:solidFill>
                          <w14:schemeClr w14:val="tx1"/>
                        </w14:solidFill>
                      </w14:textFill>
                    </w:rPr>
                  </w:pPr>
                </w:p>
              </w:tc>
              <w:tc>
                <w:tcPr>
                  <w:tcW w:w="1132" w:type="pct"/>
                  <w:noWrap w:val="0"/>
                  <w:vAlign w:val="center"/>
                </w:tcPr>
                <w:p w14:paraId="70510EFE">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lang w:bidi="ar"/>
                      <w14:textFill>
                        <w14:solidFill>
                          <w14:schemeClr w14:val="tx1"/>
                        </w14:solidFill>
                      </w14:textFill>
                    </w:rPr>
                    <w:t>霞山水质净化厂进水标准</w:t>
                  </w:r>
                </w:p>
              </w:tc>
              <w:tc>
                <w:tcPr>
                  <w:tcW w:w="411" w:type="pct"/>
                  <w:noWrap w:val="0"/>
                  <w:vAlign w:val="center"/>
                </w:tcPr>
                <w:p w14:paraId="77AD542E">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6-9</w:t>
                  </w:r>
                </w:p>
              </w:tc>
              <w:tc>
                <w:tcPr>
                  <w:tcW w:w="421" w:type="pct"/>
                  <w:noWrap w:val="0"/>
                  <w:vAlign w:val="center"/>
                </w:tcPr>
                <w:p w14:paraId="2E0F6A85">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450</w:t>
                  </w:r>
                </w:p>
              </w:tc>
              <w:tc>
                <w:tcPr>
                  <w:tcW w:w="378" w:type="pct"/>
                  <w:noWrap w:val="0"/>
                  <w:vAlign w:val="center"/>
                </w:tcPr>
                <w:p w14:paraId="11EC73FE">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400</w:t>
                  </w:r>
                </w:p>
              </w:tc>
              <w:tc>
                <w:tcPr>
                  <w:tcW w:w="430" w:type="pct"/>
                  <w:noWrap w:val="0"/>
                  <w:vAlign w:val="center"/>
                </w:tcPr>
                <w:p w14:paraId="4A40C11E">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200</w:t>
                  </w:r>
                </w:p>
              </w:tc>
              <w:tc>
                <w:tcPr>
                  <w:tcW w:w="383" w:type="pct"/>
                  <w:noWrap w:val="0"/>
                  <w:vAlign w:val="center"/>
                </w:tcPr>
                <w:p w14:paraId="19B5E8B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35</w:t>
                  </w:r>
                </w:p>
              </w:tc>
              <w:tc>
                <w:tcPr>
                  <w:tcW w:w="327" w:type="pct"/>
                  <w:noWrap w:val="0"/>
                  <w:vAlign w:val="center"/>
                </w:tcPr>
                <w:p w14:paraId="4B245DE9">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580" w:type="pct"/>
                  <w:noWrap w:val="0"/>
                  <w:vAlign w:val="center"/>
                </w:tcPr>
                <w:p w14:paraId="7B861E60">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c>
                <w:tcPr>
                  <w:tcW w:w="408" w:type="pct"/>
                  <w:noWrap w:val="0"/>
                  <w:vAlign w:val="center"/>
                </w:tcPr>
                <w:p w14:paraId="38270B08">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w:t>
                  </w:r>
                </w:p>
              </w:tc>
            </w:tr>
            <w:tr w14:paraId="53E9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26" w:type="pct"/>
                  <w:vMerge w:val="continue"/>
                  <w:noWrap w:val="0"/>
                  <w:vAlign w:val="center"/>
                </w:tcPr>
                <w:p w14:paraId="13DF308D">
                  <w:pPr>
                    <w:jc w:val="center"/>
                    <w:rPr>
                      <w:rFonts w:ascii="Times New Roman" w:hAnsi="Times New Roman" w:eastAsia="宋体" w:cs="Times New Roman"/>
                      <w:bCs/>
                      <w:color w:val="000000" w:themeColor="text1"/>
                      <w:szCs w:val="21"/>
                      <w14:textFill>
                        <w14:solidFill>
                          <w14:schemeClr w14:val="tx1"/>
                        </w14:solidFill>
                      </w14:textFill>
                    </w:rPr>
                  </w:pPr>
                </w:p>
              </w:tc>
              <w:tc>
                <w:tcPr>
                  <w:tcW w:w="1132" w:type="pct"/>
                  <w:noWrap w:val="0"/>
                  <w:vAlign w:val="center"/>
                </w:tcPr>
                <w:p w14:paraId="15B62C07">
                  <w:pPr>
                    <w:jc w:val="center"/>
                    <w:rPr>
                      <w:rFonts w:hint="eastAsia"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较严者</w:t>
                  </w:r>
                </w:p>
              </w:tc>
              <w:tc>
                <w:tcPr>
                  <w:tcW w:w="411" w:type="pct"/>
                  <w:noWrap w:val="0"/>
                  <w:vAlign w:val="center"/>
                </w:tcPr>
                <w:p w14:paraId="2ED71165">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6-9</w:t>
                  </w:r>
                </w:p>
              </w:tc>
              <w:tc>
                <w:tcPr>
                  <w:tcW w:w="421" w:type="pct"/>
                  <w:noWrap w:val="0"/>
                  <w:vAlign w:val="center"/>
                </w:tcPr>
                <w:p w14:paraId="7820FF24">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450</w:t>
                  </w:r>
                </w:p>
              </w:tc>
              <w:tc>
                <w:tcPr>
                  <w:tcW w:w="378" w:type="pct"/>
                  <w:noWrap w:val="0"/>
                  <w:vAlign w:val="center"/>
                </w:tcPr>
                <w:p w14:paraId="33A091FA">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400</w:t>
                  </w:r>
                </w:p>
              </w:tc>
              <w:tc>
                <w:tcPr>
                  <w:tcW w:w="430" w:type="pct"/>
                  <w:noWrap w:val="0"/>
                  <w:vAlign w:val="center"/>
                </w:tcPr>
                <w:p w14:paraId="4A7A9E44">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200</w:t>
                  </w:r>
                </w:p>
              </w:tc>
              <w:tc>
                <w:tcPr>
                  <w:tcW w:w="383" w:type="pct"/>
                  <w:noWrap w:val="0"/>
                  <w:vAlign w:val="center"/>
                </w:tcPr>
                <w:p w14:paraId="196C3CFB">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35</w:t>
                  </w:r>
                </w:p>
              </w:tc>
              <w:tc>
                <w:tcPr>
                  <w:tcW w:w="327" w:type="pct"/>
                  <w:noWrap w:val="0"/>
                  <w:vAlign w:val="center"/>
                </w:tcPr>
                <w:p w14:paraId="0A351D27">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20</w:t>
                  </w:r>
                </w:p>
              </w:tc>
              <w:tc>
                <w:tcPr>
                  <w:tcW w:w="580" w:type="pct"/>
                  <w:noWrap w:val="0"/>
                  <w:vAlign w:val="center"/>
                </w:tcPr>
                <w:p w14:paraId="78A0CCC5">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100</w:t>
                  </w:r>
                </w:p>
              </w:tc>
              <w:tc>
                <w:tcPr>
                  <w:tcW w:w="408" w:type="pct"/>
                  <w:noWrap w:val="0"/>
                  <w:vAlign w:val="center"/>
                </w:tcPr>
                <w:p w14:paraId="23E2E71A">
                  <w:pPr>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0.3</w:t>
                  </w:r>
                </w:p>
              </w:tc>
            </w:tr>
          </w:tbl>
          <w:p w14:paraId="5357677F">
            <w:pPr>
              <w:spacing w:line="480" w:lineRule="exact"/>
              <w:ind w:firstLine="482" w:firstLineChars="200"/>
              <w:rPr>
                <w:rFonts w:ascii="Times New Roman" w:hAnsi="Times New Roman" w:eastAsia="宋体" w:cs="Times New Roman"/>
                <w:b/>
                <w:color w:val="000000" w:themeColor="text1"/>
                <w:sz w:val="24"/>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2、大气污染物控制标准</w:t>
            </w:r>
          </w:p>
          <w:p w14:paraId="51965F4C">
            <w:pPr>
              <w:spacing w:line="480" w:lineRule="exact"/>
              <w:ind w:firstLine="480" w:firstLineChars="200"/>
              <w:rPr>
                <w:rFonts w:ascii="Times New Roman" w:hAnsi="Times New Roman" w:eastAsia="宋体" w:cs="Times New Roman"/>
                <w:color w:val="000000" w:themeColor="text1"/>
                <w:kern w:val="0"/>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项目锅炉燃烧废气的排放执行广东省《锅炉大气污染物排放标准》(DB44/765-2019)中“表2新建锅炉大气污染物排放浓度限值”的要求，排气筒高度执行表4的要求。项目排气筒高度35m，可符合要求。同时，项目</w:t>
            </w:r>
            <w:r>
              <w:rPr>
                <w:rFonts w:ascii="Times New Roman" w:hAnsi="Times New Roman" w:eastAsia="宋体" w:cs="Times New Roman"/>
                <w:color w:val="000000" w:themeColor="text1"/>
                <w:sz w:val="24"/>
                <w14:textFill>
                  <w14:solidFill>
                    <w14:schemeClr w14:val="tx1"/>
                  </w14:solidFill>
                </w14:textFill>
              </w:rPr>
              <w:t>200</w:t>
            </w:r>
            <w:r>
              <w:rPr>
                <w:rFonts w:hint="eastAsia" w:ascii="Times New Roman" w:hAnsi="Times New Roman" w:eastAsia="宋体" w:cs="Times New Roman"/>
                <w:color w:val="000000" w:themeColor="text1"/>
                <w:sz w:val="24"/>
                <w14:textFill>
                  <w14:solidFill>
                    <w14:schemeClr w14:val="tx1"/>
                  </w14:solidFill>
                </w14:textFill>
              </w:rPr>
              <w:t>m范围内最高建筑的高度是21m，项目</w:t>
            </w:r>
            <w:r>
              <w:rPr>
                <w:rFonts w:hint="eastAsia" w:ascii="Times New Roman" w:hAnsi="Times New Roman" w:eastAsia="宋体" w:cs="Times New Roman"/>
                <w:color w:val="000000" w:themeColor="text1"/>
                <w:sz w:val="24"/>
                <w:lang w:bidi="ar"/>
                <w14:textFill>
                  <w14:solidFill>
                    <w14:schemeClr w14:val="tx1"/>
                  </w14:solidFill>
                </w14:textFill>
              </w:rPr>
              <w:t>排气筒高度符合“4.5新建锅炉房的烟囱周围半径200m距离内有建筑物时，其烟囱应高出最高建筑物3m以上”的要求。备用发电机</w:t>
            </w:r>
            <w:r>
              <w:rPr>
                <w:rFonts w:hint="eastAsia" w:ascii="Times New Roman" w:hAnsi="Times New Roman" w:eastAsia="宋体" w:cs="Times New Roman"/>
                <w:color w:val="000000" w:themeColor="text1"/>
                <w:sz w:val="24"/>
                <w:lang w:val="en-US" w:eastAsia="zh-CN" w:bidi="ar"/>
                <w14:textFill>
                  <w14:solidFill>
                    <w14:schemeClr w14:val="tx1"/>
                  </w14:solidFill>
                </w14:textFill>
              </w:rPr>
              <w:t>尾气（烟气）黑度参照执行</w:t>
            </w:r>
            <w:r>
              <w:rPr>
                <w:rFonts w:hint="eastAsia" w:ascii="Times New Roman" w:hAnsi="Times New Roman" w:eastAsia="宋体" w:cs="Times New Roman"/>
                <w:color w:val="000000" w:themeColor="text1"/>
                <w:sz w:val="24"/>
                <w:lang w:bidi="ar"/>
                <w14:textFill>
                  <w14:solidFill>
                    <w14:schemeClr w14:val="tx1"/>
                  </w14:solidFill>
                </w14:textFill>
              </w:rPr>
              <w:t>广东省《大气污染物排放限值》（DB44/27-2001）</w:t>
            </w:r>
            <w:r>
              <w:rPr>
                <w:rFonts w:hint="eastAsia" w:ascii="Times New Roman" w:hAnsi="Times New Roman" w:eastAsia="宋体" w:cs="Times New Roman"/>
                <w:color w:val="000000" w:themeColor="text1"/>
                <w:sz w:val="24"/>
                <w:lang w:val="en-US" w:eastAsia="zh-CN" w:bidi="ar"/>
                <w14:textFill>
                  <w14:solidFill>
                    <w14:schemeClr w14:val="tx1"/>
                  </w14:solidFill>
                </w14:textFill>
              </w:rPr>
              <w:t>表3烟气黑度 （林格曼黑度）限值</w:t>
            </w:r>
            <w:r>
              <w:rPr>
                <w:rFonts w:hint="eastAsia" w:ascii="Times New Roman" w:hAnsi="Times New Roman" w:eastAsia="宋体" w:cs="Times New Roman"/>
                <w:color w:val="000000" w:themeColor="text1"/>
                <w:sz w:val="24"/>
                <w:lang w:eastAsia="zh-CN" w:bidi="ar"/>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自建污水处理设施恶臭污染物的排放执行《恶臭污染物排放标准》（GB14554-93）</w:t>
            </w:r>
            <w:r>
              <w:rPr>
                <w:rFonts w:ascii="Times New Roman" w:hAnsi="Times New Roman" w:eastAsia="宋体" w:cs="Times New Roman"/>
                <w:bCs/>
                <w:color w:val="000000" w:themeColor="text1"/>
                <w:sz w:val="24"/>
                <w:szCs w:val="24"/>
                <w14:textFill>
                  <w14:solidFill>
                    <w14:schemeClr w14:val="tx1"/>
                  </w14:solidFill>
                </w14:textFill>
              </w:rPr>
              <w:t>表1恶臭污染物厂界</w:t>
            </w:r>
            <w:r>
              <w:rPr>
                <w:rFonts w:hint="eastAsia" w:ascii="Times New Roman" w:hAnsi="Times New Roman" w:eastAsia="宋体" w:cs="Times New Roman"/>
                <w:bCs/>
                <w:color w:val="000000" w:themeColor="text1"/>
                <w:sz w:val="24"/>
                <w:szCs w:val="24"/>
                <w14:textFill>
                  <w14:solidFill>
                    <w14:schemeClr w14:val="tx1"/>
                  </w14:solidFill>
                </w14:textFill>
              </w:rPr>
              <w:t>二级新扩改建</w:t>
            </w:r>
            <w:r>
              <w:rPr>
                <w:rFonts w:ascii="Times New Roman" w:hAnsi="Times New Roman" w:eastAsia="宋体" w:cs="Times New Roman"/>
                <w:color w:val="000000" w:themeColor="text1"/>
                <w:sz w:val="24"/>
                <w:szCs w:val="24"/>
                <w14:textFill>
                  <w14:solidFill>
                    <w14:schemeClr w14:val="tx1"/>
                  </w14:solidFill>
                </w14:textFill>
              </w:rPr>
              <w:t>标准值</w:t>
            </w:r>
            <w:r>
              <w:rPr>
                <w:rFonts w:ascii="Times New Roman" w:hAnsi="Times New Roman" w:eastAsia="宋体" w:cs="Times New Roman"/>
                <w:color w:val="000000" w:themeColor="text1"/>
                <w:kern w:val="0"/>
                <w:sz w:val="24"/>
                <w:szCs w:val="24"/>
                <w:lang w:bidi="ar"/>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具体执行标准见下表3-8。</w:t>
            </w:r>
          </w:p>
          <w:p w14:paraId="3FE65095">
            <w:pPr>
              <w:snapToGrid w:val="0"/>
              <w:ind w:firstLine="482" w:firstLineChars="200"/>
              <w:rPr>
                <w:rFonts w:ascii="宋体" w:hAnsi="宋体" w:eastAsia="宋体" w:cs="宋体"/>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表3-8</w:t>
            </w:r>
            <w:r>
              <w:rPr>
                <w:rFonts w:ascii="宋体" w:hAnsi="宋体" w:eastAsia="宋体" w:cs="宋体"/>
                <w:b/>
                <w:bCs/>
                <w:color w:val="000000" w:themeColor="text1"/>
                <w:sz w:val="24"/>
                <w14:textFill>
                  <w14:solidFill>
                    <w14:schemeClr w14:val="tx1"/>
                  </w14:solidFill>
                </w14:textFill>
              </w:rPr>
              <w:t>《恶臭污染物排放标准》（GB14554-93）</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2"/>
              <w:gridCol w:w="2003"/>
              <w:gridCol w:w="2005"/>
              <w:gridCol w:w="2005"/>
            </w:tblGrid>
            <w:tr w14:paraId="59BF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center"/>
                </w:tcPr>
                <w:p w14:paraId="34FDDDC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排放方式</w:t>
                  </w:r>
                </w:p>
                <w:p w14:paraId="6BEB25B4">
                  <w:pPr>
                    <w:widowControl/>
                    <w:jc w:val="center"/>
                    <w:rPr>
                      <w:rFonts w:ascii="Times New Roman" w:hAnsi="Times New Roman" w:eastAsia="宋体" w:cs="Times New Roman"/>
                      <w:color w:val="000000" w:themeColor="text1"/>
                      <w:szCs w:val="21"/>
                      <w14:textFill>
                        <w14:solidFill>
                          <w14:schemeClr w14:val="tx1"/>
                        </w14:solidFill>
                      </w14:textFill>
                    </w:rPr>
                  </w:pPr>
                </w:p>
                <w:p w14:paraId="7E06EE96">
                  <w:pPr>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1249" w:type="pct"/>
                  <w:noWrap w:val="0"/>
                  <w:vAlign w:val="center"/>
                </w:tcPr>
                <w:p w14:paraId="0FFB84D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污染物名称</w:t>
                  </w:r>
                </w:p>
                <w:p w14:paraId="66455ECA">
                  <w:pPr>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1250" w:type="pct"/>
                  <w:noWrap w:val="0"/>
                  <w:vAlign w:val="center"/>
                </w:tcPr>
                <w:p w14:paraId="62A66524">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最高允许排放浓度（mg/m3）</w:t>
                  </w:r>
                </w:p>
              </w:tc>
              <w:tc>
                <w:tcPr>
                  <w:tcW w:w="1250" w:type="pct"/>
                  <w:noWrap w:val="0"/>
                  <w:vAlign w:val="center"/>
                </w:tcPr>
                <w:p w14:paraId="04E2326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监控点</w:t>
                  </w:r>
                </w:p>
                <w:p w14:paraId="0DFFB190">
                  <w:pPr>
                    <w:snapToGrid w:val="0"/>
                    <w:jc w:val="center"/>
                    <w:rPr>
                      <w:rFonts w:ascii="Times New Roman" w:hAnsi="Times New Roman" w:eastAsia="宋体" w:cs="Times New Roman"/>
                      <w:color w:val="000000" w:themeColor="text1"/>
                      <w:szCs w:val="21"/>
                      <w14:textFill>
                        <w14:solidFill>
                          <w14:schemeClr w14:val="tx1"/>
                        </w14:solidFill>
                      </w14:textFill>
                    </w:rPr>
                  </w:pPr>
                </w:p>
              </w:tc>
            </w:tr>
            <w:tr w14:paraId="6C74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Merge w:val="restart"/>
                  <w:noWrap w:val="0"/>
                  <w:vAlign w:val="center"/>
                </w:tcPr>
                <w:p w14:paraId="5917A6D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无组织</w:t>
                  </w:r>
                </w:p>
                <w:p w14:paraId="13E4FD83">
                  <w:pPr>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1249" w:type="pct"/>
                  <w:noWrap w:val="0"/>
                  <w:vAlign w:val="center"/>
                </w:tcPr>
                <w:p w14:paraId="167D0C47">
                  <w:pPr>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氨气</w:t>
                  </w:r>
                </w:p>
              </w:tc>
              <w:tc>
                <w:tcPr>
                  <w:tcW w:w="1250" w:type="pct"/>
                  <w:noWrap w:val="0"/>
                  <w:vAlign w:val="center"/>
                </w:tcPr>
                <w:p w14:paraId="5F20414F">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1.0</w:t>
                  </w:r>
                </w:p>
              </w:tc>
              <w:tc>
                <w:tcPr>
                  <w:tcW w:w="1250" w:type="pct"/>
                  <w:vMerge w:val="restart"/>
                  <w:noWrap w:val="0"/>
                  <w:vAlign w:val="center"/>
                </w:tcPr>
                <w:p w14:paraId="1D75FBE8">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污水处理设施周边</w:t>
                  </w:r>
                </w:p>
              </w:tc>
            </w:tr>
            <w:tr w14:paraId="476B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Merge w:val="continue"/>
                  <w:noWrap w:val="0"/>
                  <w:vAlign w:val="center"/>
                </w:tcPr>
                <w:p w14:paraId="03B10E7D">
                  <w:pPr>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1249" w:type="pct"/>
                  <w:noWrap w:val="0"/>
                  <w:vAlign w:val="center"/>
                </w:tcPr>
                <w:p w14:paraId="2237BB73">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硫化氢</w:t>
                  </w:r>
                </w:p>
              </w:tc>
              <w:tc>
                <w:tcPr>
                  <w:tcW w:w="1250" w:type="pct"/>
                  <w:noWrap w:val="0"/>
                  <w:vAlign w:val="center"/>
                </w:tcPr>
                <w:p w14:paraId="1A6830D1">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0.03</w:t>
                  </w:r>
                </w:p>
              </w:tc>
              <w:tc>
                <w:tcPr>
                  <w:tcW w:w="1250" w:type="pct"/>
                  <w:vMerge w:val="continue"/>
                  <w:noWrap w:val="0"/>
                  <w:vAlign w:val="center"/>
                </w:tcPr>
                <w:p w14:paraId="13A40AE3">
                  <w:pPr>
                    <w:snapToGrid w:val="0"/>
                    <w:jc w:val="center"/>
                    <w:rPr>
                      <w:rFonts w:ascii="Times New Roman" w:hAnsi="Times New Roman" w:eastAsia="宋体" w:cs="Times New Roman"/>
                      <w:color w:val="000000" w:themeColor="text1"/>
                      <w:szCs w:val="21"/>
                      <w14:textFill>
                        <w14:solidFill>
                          <w14:schemeClr w14:val="tx1"/>
                        </w14:solidFill>
                      </w14:textFill>
                    </w:rPr>
                  </w:pPr>
                </w:p>
              </w:tc>
            </w:tr>
            <w:tr w14:paraId="3ED2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Merge w:val="continue"/>
                  <w:noWrap w:val="0"/>
                  <w:vAlign w:val="center"/>
                </w:tcPr>
                <w:p w14:paraId="11A19B38">
                  <w:pPr>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1249" w:type="pct"/>
                  <w:noWrap w:val="0"/>
                  <w:vAlign w:val="center"/>
                </w:tcPr>
                <w:p w14:paraId="64BDE437">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臭气浓度</w:t>
                  </w:r>
                </w:p>
              </w:tc>
              <w:tc>
                <w:tcPr>
                  <w:tcW w:w="1250" w:type="pct"/>
                  <w:noWrap w:val="0"/>
                  <w:vAlign w:val="center"/>
                </w:tcPr>
                <w:p w14:paraId="10F51CF2">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10（无量纲）</w:t>
                  </w:r>
                </w:p>
              </w:tc>
              <w:tc>
                <w:tcPr>
                  <w:tcW w:w="1250" w:type="pct"/>
                  <w:vMerge w:val="continue"/>
                  <w:noWrap w:val="0"/>
                  <w:vAlign w:val="center"/>
                </w:tcPr>
                <w:p w14:paraId="3E631CEC">
                  <w:pPr>
                    <w:snapToGrid w:val="0"/>
                    <w:jc w:val="center"/>
                    <w:rPr>
                      <w:rFonts w:ascii="Times New Roman" w:hAnsi="Times New Roman" w:eastAsia="宋体" w:cs="Times New Roman"/>
                      <w:color w:val="000000" w:themeColor="text1"/>
                      <w:szCs w:val="21"/>
                      <w14:textFill>
                        <w14:solidFill>
                          <w14:schemeClr w14:val="tx1"/>
                        </w14:solidFill>
                      </w14:textFill>
                    </w:rPr>
                  </w:pPr>
                </w:p>
              </w:tc>
            </w:tr>
          </w:tbl>
          <w:p w14:paraId="1B2BC9BF">
            <w:pPr>
              <w:snapToGrid w:val="0"/>
              <w:spacing w:line="480" w:lineRule="exact"/>
              <w:jc w:val="center"/>
              <w:rPr>
                <w:rFonts w:ascii="Times New Roman" w:hAnsi="Times New Roman" w:eastAsia="宋体" w:cs="Times New Roman"/>
                <w:b/>
                <w:color w:val="000000" w:themeColor="text1"/>
                <w:sz w:val="24"/>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表</w:t>
            </w:r>
            <w:r>
              <w:rPr>
                <w:rFonts w:hint="eastAsia" w:ascii="Times New Roman" w:hAnsi="Times New Roman" w:eastAsia="宋体" w:cs="Times New Roman"/>
                <w:b/>
                <w:color w:val="000000" w:themeColor="text1"/>
                <w:sz w:val="24"/>
                <w:lang w:bidi="ar"/>
                <w14:textFill>
                  <w14:solidFill>
                    <w14:schemeClr w14:val="tx1"/>
                  </w14:solidFill>
                </w14:textFill>
              </w:rPr>
              <w:t>3</w:t>
            </w:r>
            <w:r>
              <w:rPr>
                <w:rFonts w:ascii="Times New Roman" w:hAnsi="Times New Roman" w:eastAsia="宋体" w:cs="Times New Roman"/>
                <w:b/>
                <w:color w:val="000000" w:themeColor="text1"/>
                <w:sz w:val="24"/>
                <w:lang w:bidi="ar"/>
                <w14:textFill>
                  <w14:solidFill>
                    <w14:schemeClr w14:val="tx1"/>
                  </w14:solidFill>
                </w14:textFill>
              </w:rPr>
              <w:t>-</w:t>
            </w:r>
            <w:r>
              <w:rPr>
                <w:rFonts w:hint="eastAsia" w:ascii="Times New Roman" w:hAnsi="Times New Roman" w:eastAsia="宋体" w:cs="Times New Roman"/>
                <w:b/>
                <w:color w:val="000000" w:themeColor="text1"/>
                <w:sz w:val="24"/>
                <w:lang w:bidi="ar"/>
                <w14:textFill>
                  <w14:solidFill>
                    <w14:schemeClr w14:val="tx1"/>
                  </w14:solidFill>
                </w14:textFill>
              </w:rPr>
              <w:t>6项目废气排放标准限值</w:t>
            </w:r>
          </w:p>
          <w:tbl>
            <w:tblPr>
              <w:tblStyle w:val="32"/>
              <w:tblW w:w="8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28"/>
              <w:gridCol w:w="1759"/>
              <w:gridCol w:w="927"/>
              <w:gridCol w:w="1390"/>
              <w:gridCol w:w="1379"/>
              <w:gridCol w:w="1832"/>
            </w:tblGrid>
            <w:tr w14:paraId="1A96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restart"/>
                  <w:noWrap w:val="0"/>
                  <w:vAlign w:val="center"/>
                </w:tcPr>
                <w:p w14:paraId="13A5F411">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工序</w:t>
                  </w:r>
                </w:p>
              </w:tc>
              <w:tc>
                <w:tcPr>
                  <w:tcW w:w="1097" w:type="pct"/>
                  <w:vMerge w:val="restart"/>
                  <w:noWrap w:val="0"/>
                  <w:vAlign w:val="center"/>
                </w:tcPr>
                <w:p w14:paraId="0754C09A">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污染因子</w:t>
                  </w:r>
                </w:p>
              </w:tc>
              <w:tc>
                <w:tcPr>
                  <w:tcW w:w="2305" w:type="pct"/>
                  <w:gridSpan w:val="3"/>
                  <w:noWrap w:val="0"/>
                  <w:vAlign w:val="center"/>
                </w:tcPr>
                <w:p w14:paraId="5ECA5A50">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有组织</w:t>
                  </w:r>
                </w:p>
              </w:tc>
              <w:tc>
                <w:tcPr>
                  <w:tcW w:w="1142" w:type="pct"/>
                  <w:vMerge w:val="restart"/>
                  <w:noWrap w:val="0"/>
                  <w:vAlign w:val="center"/>
                </w:tcPr>
                <w:p w14:paraId="62F123D1">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执行标准</w:t>
                  </w:r>
                </w:p>
              </w:tc>
            </w:tr>
            <w:tr w14:paraId="64ED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78E63B5D">
                  <w:pPr>
                    <w:pStyle w:val="58"/>
                    <w:rPr>
                      <w:rFonts w:ascii="Times New Roman" w:hAnsi="Times New Roman" w:eastAsia="宋体" w:cs="Times New Roman"/>
                      <w:color w:val="000000" w:themeColor="text1"/>
                      <w14:textFill>
                        <w14:solidFill>
                          <w14:schemeClr w14:val="tx1"/>
                        </w14:solidFill>
                      </w14:textFill>
                    </w:rPr>
                  </w:pPr>
                </w:p>
              </w:tc>
              <w:tc>
                <w:tcPr>
                  <w:tcW w:w="1097" w:type="pct"/>
                  <w:vMerge w:val="continue"/>
                  <w:noWrap w:val="0"/>
                  <w:vAlign w:val="center"/>
                </w:tcPr>
                <w:p w14:paraId="435EE1F8">
                  <w:pPr>
                    <w:pStyle w:val="58"/>
                    <w:rPr>
                      <w:rFonts w:ascii="Times New Roman" w:hAnsi="Times New Roman" w:eastAsia="宋体" w:cs="Times New Roman"/>
                      <w:color w:val="000000" w:themeColor="text1"/>
                      <w14:textFill>
                        <w14:solidFill>
                          <w14:schemeClr w14:val="tx1"/>
                        </w14:solidFill>
                      </w14:textFill>
                    </w:rPr>
                  </w:pPr>
                </w:p>
              </w:tc>
              <w:tc>
                <w:tcPr>
                  <w:tcW w:w="578" w:type="pct"/>
                  <w:noWrap w:val="0"/>
                  <w:vAlign w:val="center"/>
                </w:tcPr>
                <w:p w14:paraId="5986AF88">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排气筒编号和高度</w:t>
                  </w:r>
                </w:p>
              </w:tc>
              <w:tc>
                <w:tcPr>
                  <w:tcW w:w="867" w:type="pct"/>
                  <w:noWrap w:val="0"/>
                  <w:vAlign w:val="center"/>
                </w:tcPr>
                <w:p w14:paraId="79EFD22C">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最高允许排放浓度mg/m</w:t>
                  </w:r>
                  <w:r>
                    <w:rPr>
                      <w:rFonts w:ascii="Times New Roman" w:hAnsi="Times New Roman" w:eastAsia="宋体" w:cs="Times New Roman"/>
                      <w:b/>
                      <w:bCs/>
                      <w:color w:val="000000" w:themeColor="text1"/>
                      <w:vertAlign w:val="superscript"/>
                      <w14:textFill>
                        <w14:solidFill>
                          <w14:schemeClr w14:val="tx1"/>
                        </w14:solidFill>
                      </w14:textFill>
                    </w:rPr>
                    <w:t>3</w:t>
                  </w:r>
                </w:p>
              </w:tc>
              <w:tc>
                <w:tcPr>
                  <w:tcW w:w="860" w:type="pct"/>
                  <w:noWrap w:val="0"/>
                  <w:vAlign w:val="center"/>
                </w:tcPr>
                <w:p w14:paraId="37B8C517">
                  <w:pPr>
                    <w:pStyle w:val="58"/>
                    <w:rPr>
                      <w:rFonts w:ascii="Times New Roman" w:hAnsi="Times New Roman" w:eastAsia="宋体" w:cs="Times New Roman"/>
                      <w:b/>
                      <w:bCs/>
                      <w:color w:val="000000" w:themeColor="text1"/>
                      <w14:textFill>
                        <w14:solidFill>
                          <w14:schemeClr w14:val="tx1"/>
                        </w14:solidFill>
                      </w14:textFill>
                    </w:rPr>
                  </w:pPr>
                  <w:r>
                    <w:rPr>
                      <w:rFonts w:ascii="Times New Roman" w:hAnsi="Times New Roman" w:eastAsia="宋体" w:cs="Times New Roman"/>
                      <w:b/>
                      <w:bCs/>
                      <w:color w:val="000000" w:themeColor="text1"/>
                      <w14:textFill>
                        <w14:solidFill>
                          <w14:schemeClr w14:val="tx1"/>
                        </w14:solidFill>
                      </w14:textFill>
                    </w:rPr>
                    <w:t>最高允许排放速率（kg/h）</w:t>
                  </w:r>
                </w:p>
              </w:tc>
              <w:tc>
                <w:tcPr>
                  <w:tcW w:w="1142" w:type="pct"/>
                  <w:vMerge w:val="continue"/>
                  <w:noWrap w:val="0"/>
                  <w:vAlign w:val="center"/>
                </w:tcPr>
                <w:p w14:paraId="03E4A428">
                  <w:pPr>
                    <w:pStyle w:val="58"/>
                    <w:rPr>
                      <w:rFonts w:ascii="Times New Roman" w:hAnsi="Times New Roman" w:eastAsia="宋体" w:cs="Times New Roman"/>
                      <w:color w:val="000000" w:themeColor="text1"/>
                      <w14:textFill>
                        <w14:solidFill>
                          <w14:schemeClr w14:val="tx1"/>
                        </w14:solidFill>
                      </w14:textFill>
                    </w:rPr>
                  </w:pPr>
                </w:p>
              </w:tc>
            </w:tr>
            <w:tr w14:paraId="2289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restart"/>
                  <w:noWrap w:val="0"/>
                  <w:vAlign w:val="center"/>
                </w:tcPr>
                <w:p w14:paraId="64F56B90">
                  <w:pPr>
                    <w:pStyle w:val="58"/>
                    <w:rPr>
                      <w:rFonts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锅炉燃烧废气</w:t>
                  </w:r>
                </w:p>
              </w:tc>
              <w:tc>
                <w:tcPr>
                  <w:tcW w:w="1097" w:type="pct"/>
                  <w:noWrap w:val="0"/>
                  <w:vAlign w:val="center"/>
                </w:tcPr>
                <w:p w14:paraId="26974474">
                  <w:pPr>
                    <w:pStyle w:val="58"/>
                    <w:rPr>
                      <w:rFonts w:hint="eastAsia"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颗粒物</w:t>
                  </w:r>
                </w:p>
              </w:tc>
              <w:tc>
                <w:tcPr>
                  <w:tcW w:w="578" w:type="pct"/>
                  <w:vMerge w:val="restart"/>
                  <w:noWrap w:val="0"/>
                  <w:vAlign w:val="center"/>
                </w:tcPr>
                <w:p w14:paraId="5C800DB2">
                  <w:pPr>
                    <w:pStyle w:val="58"/>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DA001，35</w:t>
                  </w:r>
                  <w:r>
                    <w:rPr>
                      <w:rFonts w:ascii="Times New Roman" w:hAnsi="Times New Roman" w:eastAsia="宋体" w:cs="Times New Roman"/>
                      <w:color w:val="000000" w:themeColor="text1"/>
                      <w14:textFill>
                        <w14:solidFill>
                          <w14:schemeClr w14:val="tx1"/>
                        </w14:solidFill>
                      </w14:textFill>
                    </w:rPr>
                    <w:t>m</w:t>
                  </w:r>
                </w:p>
              </w:tc>
              <w:tc>
                <w:tcPr>
                  <w:tcW w:w="867" w:type="pct"/>
                  <w:noWrap w:val="0"/>
                  <w:vAlign w:val="center"/>
                </w:tcPr>
                <w:p w14:paraId="11EE398B">
                  <w:pPr>
                    <w:pStyle w:val="58"/>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20</w:t>
                  </w:r>
                </w:p>
              </w:tc>
              <w:tc>
                <w:tcPr>
                  <w:tcW w:w="860" w:type="pct"/>
                  <w:noWrap w:val="0"/>
                  <w:vAlign w:val="center"/>
                </w:tcPr>
                <w:p w14:paraId="2ACDB082">
                  <w:pPr>
                    <w:pStyle w:val="58"/>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restart"/>
                  <w:noWrap w:val="0"/>
                  <w:vAlign w:val="center"/>
                </w:tcPr>
                <w:p w14:paraId="5673B04B">
                  <w:pPr>
                    <w:pStyle w:val="58"/>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《锅炉大气污染物排放标准》（DB44/765-2019）表2中燃生物质成型燃料锅炉的排放限值</w:t>
                  </w:r>
                </w:p>
              </w:tc>
            </w:tr>
            <w:tr w14:paraId="1D4B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76174A92">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3E0932F6">
                  <w:pPr>
                    <w:pStyle w:val="58"/>
                    <w:rPr>
                      <w:rFonts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SO</w:t>
                  </w:r>
                  <w:r>
                    <w:rPr>
                      <w:rFonts w:hint="eastAsia" w:ascii="Times New Roman" w:hAnsi="Times New Roman" w:eastAsia="宋体" w:cs="Times New Roman"/>
                      <w:color w:val="000000" w:themeColor="text1"/>
                      <w:kern w:val="0"/>
                      <w:vertAlign w:val="subscript"/>
                      <w14:textFill>
                        <w14:solidFill>
                          <w14:schemeClr w14:val="tx1"/>
                        </w14:solidFill>
                      </w14:textFill>
                    </w:rPr>
                    <w:t>2</w:t>
                  </w:r>
                </w:p>
              </w:tc>
              <w:tc>
                <w:tcPr>
                  <w:tcW w:w="578" w:type="pct"/>
                  <w:vMerge w:val="continue"/>
                  <w:noWrap w:val="0"/>
                  <w:vAlign w:val="center"/>
                </w:tcPr>
                <w:p w14:paraId="1C4E40E4">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2B0070C0">
                  <w:pPr>
                    <w:pStyle w:val="58"/>
                    <w:rPr>
                      <w:rFonts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35</w:t>
                  </w:r>
                </w:p>
              </w:tc>
              <w:tc>
                <w:tcPr>
                  <w:tcW w:w="860" w:type="pct"/>
                  <w:noWrap w:val="0"/>
                  <w:vAlign w:val="center"/>
                </w:tcPr>
                <w:p w14:paraId="43785A86">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4F34C11F">
                  <w:pPr>
                    <w:pStyle w:val="58"/>
                    <w:rPr>
                      <w:rFonts w:hint="eastAsia" w:ascii="Times New Roman" w:hAnsi="Times New Roman" w:eastAsia="宋体" w:cs="Times New Roman"/>
                      <w:bCs/>
                      <w:color w:val="000000" w:themeColor="text1"/>
                      <w14:textFill>
                        <w14:solidFill>
                          <w14:schemeClr w14:val="tx1"/>
                        </w14:solidFill>
                      </w14:textFill>
                    </w:rPr>
                  </w:pPr>
                </w:p>
              </w:tc>
            </w:tr>
            <w:tr w14:paraId="39AA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614CA079">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7C0964E7">
                  <w:pPr>
                    <w:pStyle w:val="58"/>
                    <w:rPr>
                      <w:rFonts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NO</w:t>
                  </w:r>
                  <w:r>
                    <w:rPr>
                      <w:rFonts w:hint="eastAsia" w:ascii="Times New Roman" w:hAnsi="Times New Roman" w:eastAsia="宋体" w:cs="Times New Roman"/>
                      <w:color w:val="000000" w:themeColor="text1"/>
                      <w:kern w:val="0"/>
                      <w:vertAlign w:val="subscript"/>
                      <w14:textFill>
                        <w14:solidFill>
                          <w14:schemeClr w14:val="tx1"/>
                        </w14:solidFill>
                      </w14:textFill>
                    </w:rPr>
                    <w:t>X</w:t>
                  </w:r>
                </w:p>
              </w:tc>
              <w:tc>
                <w:tcPr>
                  <w:tcW w:w="578" w:type="pct"/>
                  <w:vMerge w:val="continue"/>
                  <w:noWrap w:val="0"/>
                  <w:vAlign w:val="center"/>
                </w:tcPr>
                <w:p w14:paraId="53DF37B5">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44D5F8F6">
                  <w:pPr>
                    <w:pStyle w:val="58"/>
                    <w:rPr>
                      <w:rFonts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150</w:t>
                  </w:r>
                </w:p>
              </w:tc>
              <w:tc>
                <w:tcPr>
                  <w:tcW w:w="860" w:type="pct"/>
                  <w:noWrap w:val="0"/>
                  <w:vAlign w:val="center"/>
                </w:tcPr>
                <w:p w14:paraId="7EFB6639">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60695E62">
                  <w:pPr>
                    <w:pStyle w:val="58"/>
                    <w:rPr>
                      <w:rFonts w:hint="eastAsia" w:ascii="Times New Roman" w:hAnsi="Times New Roman" w:eastAsia="宋体" w:cs="Times New Roman"/>
                      <w:bCs/>
                      <w:color w:val="000000" w:themeColor="text1"/>
                      <w14:textFill>
                        <w14:solidFill>
                          <w14:schemeClr w14:val="tx1"/>
                        </w14:solidFill>
                      </w14:textFill>
                    </w:rPr>
                  </w:pPr>
                </w:p>
              </w:tc>
            </w:tr>
            <w:tr w14:paraId="0EAF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45E99908">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1F09E901">
                  <w:pPr>
                    <w:pStyle w:val="58"/>
                    <w:rPr>
                      <w:rFonts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CO</w:t>
                  </w:r>
                </w:p>
              </w:tc>
              <w:tc>
                <w:tcPr>
                  <w:tcW w:w="578" w:type="pct"/>
                  <w:vMerge w:val="continue"/>
                  <w:noWrap w:val="0"/>
                  <w:vAlign w:val="center"/>
                </w:tcPr>
                <w:p w14:paraId="2D2E7B4F">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42B77BF3">
                  <w:pPr>
                    <w:pStyle w:val="58"/>
                    <w:rPr>
                      <w:rFonts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200</w:t>
                  </w:r>
                </w:p>
              </w:tc>
              <w:tc>
                <w:tcPr>
                  <w:tcW w:w="860" w:type="pct"/>
                  <w:noWrap w:val="0"/>
                  <w:vAlign w:val="center"/>
                </w:tcPr>
                <w:p w14:paraId="2CA0EE37">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19AB5D66">
                  <w:pPr>
                    <w:pStyle w:val="58"/>
                    <w:rPr>
                      <w:rFonts w:hint="eastAsia" w:ascii="Times New Roman" w:hAnsi="Times New Roman" w:eastAsia="宋体" w:cs="Times New Roman"/>
                      <w:bCs/>
                      <w:color w:val="000000" w:themeColor="text1"/>
                      <w14:textFill>
                        <w14:solidFill>
                          <w14:schemeClr w14:val="tx1"/>
                        </w14:solidFill>
                      </w14:textFill>
                    </w:rPr>
                  </w:pPr>
                </w:p>
              </w:tc>
            </w:tr>
            <w:tr w14:paraId="557EB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10F36408">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021C5415">
                  <w:pPr>
                    <w:pStyle w:val="58"/>
                    <w:rPr>
                      <w:rFonts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烟气黑度（林格曼黑度）</w:t>
                  </w:r>
                </w:p>
              </w:tc>
              <w:tc>
                <w:tcPr>
                  <w:tcW w:w="578" w:type="pct"/>
                  <w:vMerge w:val="continue"/>
                  <w:noWrap w:val="0"/>
                  <w:vAlign w:val="center"/>
                </w:tcPr>
                <w:p w14:paraId="1694A1CD">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682971BE">
                  <w:pPr>
                    <w:pStyle w:val="58"/>
                    <w:rPr>
                      <w:rFonts w:ascii="Times New Roman" w:hAnsi="Times New Roman" w:eastAsia="宋体" w:cs="Times New Roman"/>
                      <w:color w:val="000000" w:themeColor="text1"/>
                      <w:kern w:val="0"/>
                      <w:lang w:bidi="ar"/>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w:t>
                  </w:r>
                  <w:r>
                    <w:rPr>
                      <w:rFonts w:hint="eastAsia" w:ascii="Times New Roman" w:hAnsi="Times New Roman" w:eastAsia="宋体" w:cs="Times New Roman"/>
                      <w:bCs/>
                      <w:color w:val="000000" w:themeColor="text1"/>
                      <w14:textFill>
                        <w14:solidFill>
                          <w14:schemeClr w14:val="tx1"/>
                        </w14:solidFill>
                      </w14:textFill>
                    </w:rPr>
                    <w:t>1级</w:t>
                  </w:r>
                </w:p>
              </w:tc>
              <w:tc>
                <w:tcPr>
                  <w:tcW w:w="860" w:type="pct"/>
                  <w:noWrap w:val="0"/>
                  <w:vAlign w:val="center"/>
                </w:tcPr>
                <w:p w14:paraId="5FBB13E5">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1964236E">
                  <w:pPr>
                    <w:pStyle w:val="58"/>
                    <w:rPr>
                      <w:rFonts w:hint="eastAsia" w:ascii="Times New Roman" w:hAnsi="Times New Roman" w:eastAsia="宋体" w:cs="Times New Roman"/>
                      <w:bCs/>
                      <w:color w:val="000000" w:themeColor="text1"/>
                      <w14:textFill>
                        <w14:solidFill>
                          <w14:schemeClr w14:val="tx1"/>
                        </w14:solidFill>
                      </w14:textFill>
                    </w:rPr>
                  </w:pPr>
                </w:p>
              </w:tc>
            </w:tr>
            <w:tr w14:paraId="03EA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55B08D4D">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3C275F6D">
                  <w:pPr>
                    <w:pStyle w:val="58"/>
                    <w:rPr>
                      <w:rFonts w:hint="eastAsia"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szCs w:val="24"/>
                      <w14:textFill>
                        <w14:solidFill>
                          <w14:schemeClr w14:val="tx1"/>
                        </w14:solidFill>
                      </w14:textFill>
                    </w:rPr>
                    <w:t>烟囱最低允许高度</w:t>
                  </w:r>
                </w:p>
              </w:tc>
              <w:tc>
                <w:tcPr>
                  <w:tcW w:w="578" w:type="pct"/>
                  <w:vMerge w:val="continue"/>
                  <w:noWrap w:val="0"/>
                  <w:vAlign w:val="center"/>
                </w:tcPr>
                <w:p w14:paraId="01AD565A">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4AB47142">
                  <w:pPr>
                    <w:pStyle w:val="58"/>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35m</w:t>
                  </w:r>
                </w:p>
              </w:tc>
              <w:tc>
                <w:tcPr>
                  <w:tcW w:w="860" w:type="pct"/>
                  <w:noWrap w:val="0"/>
                  <w:vAlign w:val="center"/>
                </w:tcPr>
                <w:p w14:paraId="020BA730">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780D857F">
                  <w:pPr>
                    <w:pStyle w:val="58"/>
                    <w:rPr>
                      <w:rFonts w:hint="eastAsia" w:ascii="Times New Roman" w:hAnsi="Times New Roman" w:eastAsia="宋体" w:cs="Times New Roman"/>
                      <w:bCs/>
                      <w:color w:val="000000" w:themeColor="text1"/>
                      <w14:textFill>
                        <w14:solidFill>
                          <w14:schemeClr w14:val="tx1"/>
                        </w14:solidFill>
                      </w14:textFill>
                    </w:rPr>
                  </w:pPr>
                </w:p>
              </w:tc>
            </w:tr>
            <w:tr w14:paraId="19FA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restart"/>
                  <w:noWrap w:val="0"/>
                  <w:vAlign w:val="center"/>
                </w:tcPr>
                <w:p w14:paraId="75BFDADC">
                  <w:pPr>
                    <w:pStyle w:val="58"/>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污水处理</w:t>
                  </w:r>
                  <w:r>
                    <w:rPr>
                      <w:rFonts w:hint="eastAsia" w:ascii="Times New Roman" w:hAnsi="Times New Roman" w:eastAsia="宋体" w:cs="Times New Roman"/>
                      <w:color w:val="000000" w:themeColor="text1"/>
                      <w14:textFill>
                        <w14:solidFill>
                          <w14:schemeClr w14:val="tx1"/>
                        </w14:solidFill>
                      </w14:textFill>
                    </w:rPr>
                    <w:t>站</w:t>
                  </w:r>
                </w:p>
              </w:tc>
              <w:tc>
                <w:tcPr>
                  <w:tcW w:w="1097" w:type="pct"/>
                  <w:noWrap w:val="0"/>
                  <w:vAlign w:val="center"/>
                </w:tcPr>
                <w:p w14:paraId="029DB9CC">
                  <w:pPr>
                    <w:snapToGrid w:val="0"/>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氨气</w:t>
                  </w:r>
                </w:p>
              </w:tc>
              <w:tc>
                <w:tcPr>
                  <w:tcW w:w="578" w:type="pct"/>
                  <w:vMerge w:val="restart"/>
                  <w:noWrap w:val="0"/>
                  <w:vAlign w:val="center"/>
                </w:tcPr>
                <w:p w14:paraId="29406EB4">
                  <w:pPr>
                    <w:pStyle w:val="58"/>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w:t>
                  </w:r>
                </w:p>
              </w:tc>
              <w:tc>
                <w:tcPr>
                  <w:tcW w:w="867" w:type="pct"/>
                  <w:noWrap w:val="0"/>
                  <w:vAlign w:val="center"/>
                </w:tcPr>
                <w:p w14:paraId="55AD72B0">
                  <w:pPr>
                    <w:snapToGrid w:val="0"/>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1.0</w:t>
                  </w:r>
                </w:p>
              </w:tc>
              <w:tc>
                <w:tcPr>
                  <w:tcW w:w="860" w:type="pct"/>
                  <w:noWrap w:val="0"/>
                  <w:vAlign w:val="center"/>
                </w:tcPr>
                <w:p w14:paraId="45229944">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restart"/>
                  <w:noWrap w:val="0"/>
                  <w:vAlign w:val="center"/>
                </w:tcPr>
                <w:p w14:paraId="53D4D4D7">
                  <w:pPr>
                    <w:pStyle w:val="58"/>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lang w:eastAsia="zh-CN" w:bidi="ar"/>
                      <w14:textFill>
                        <w14:solidFill>
                          <w14:schemeClr w14:val="tx1"/>
                        </w14:solidFill>
                      </w14:textFill>
                    </w:rPr>
                    <w:t>《恶臭污染物排放标准》（GB14554-93）表1恶臭污染物厂界二级新扩改建标准值</w:t>
                  </w:r>
                </w:p>
              </w:tc>
            </w:tr>
            <w:tr w14:paraId="5BE3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1F6BE7AC">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5C49DDB5">
                  <w:pPr>
                    <w:snapToGrid w:val="0"/>
                    <w:jc w:val="center"/>
                    <w:rPr>
                      <w:rFonts w:hint="eastAsia"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硫化氢</w:t>
                  </w:r>
                </w:p>
              </w:tc>
              <w:tc>
                <w:tcPr>
                  <w:tcW w:w="578" w:type="pct"/>
                  <w:vMerge w:val="continue"/>
                  <w:noWrap w:val="0"/>
                  <w:vAlign w:val="center"/>
                </w:tcPr>
                <w:p w14:paraId="478D50C0">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23C5A918">
                  <w:pPr>
                    <w:snapToGrid w:val="0"/>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0.03</w:t>
                  </w:r>
                </w:p>
              </w:tc>
              <w:tc>
                <w:tcPr>
                  <w:tcW w:w="860" w:type="pct"/>
                  <w:noWrap w:val="0"/>
                  <w:vAlign w:val="center"/>
                </w:tcPr>
                <w:p w14:paraId="5A15AC57">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5D847162">
                  <w:pPr>
                    <w:pStyle w:val="58"/>
                    <w:rPr>
                      <w:rFonts w:hint="eastAsia" w:ascii="Times New Roman" w:hAnsi="Times New Roman" w:eastAsia="宋体" w:cs="Times New Roman"/>
                      <w:bCs/>
                      <w:color w:val="000000" w:themeColor="text1"/>
                      <w14:textFill>
                        <w14:solidFill>
                          <w14:schemeClr w14:val="tx1"/>
                        </w14:solidFill>
                      </w14:textFill>
                    </w:rPr>
                  </w:pPr>
                </w:p>
              </w:tc>
            </w:tr>
            <w:tr w14:paraId="7A85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vMerge w:val="continue"/>
                  <w:noWrap w:val="0"/>
                  <w:vAlign w:val="center"/>
                </w:tcPr>
                <w:p w14:paraId="18CCDD2F">
                  <w:pPr>
                    <w:pStyle w:val="58"/>
                    <w:rPr>
                      <w:rFonts w:hint="eastAsia" w:ascii="Times New Roman" w:hAnsi="Times New Roman" w:eastAsia="宋体" w:cs="Times New Roman"/>
                      <w:bCs/>
                      <w:color w:val="000000" w:themeColor="text1"/>
                      <w14:textFill>
                        <w14:solidFill>
                          <w14:schemeClr w14:val="tx1"/>
                        </w14:solidFill>
                      </w14:textFill>
                    </w:rPr>
                  </w:pPr>
                </w:p>
              </w:tc>
              <w:tc>
                <w:tcPr>
                  <w:tcW w:w="1097" w:type="pct"/>
                  <w:noWrap w:val="0"/>
                  <w:vAlign w:val="center"/>
                </w:tcPr>
                <w:p w14:paraId="5B7FFCF4">
                  <w:pPr>
                    <w:snapToGrid w:val="0"/>
                    <w:jc w:val="center"/>
                    <w:rPr>
                      <w:rFonts w:hint="eastAsia"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臭气浓度</w:t>
                  </w:r>
                </w:p>
              </w:tc>
              <w:tc>
                <w:tcPr>
                  <w:tcW w:w="578" w:type="pct"/>
                  <w:vMerge w:val="continue"/>
                  <w:noWrap w:val="0"/>
                  <w:vAlign w:val="center"/>
                </w:tcPr>
                <w:p w14:paraId="5C7A8918">
                  <w:pPr>
                    <w:pStyle w:val="58"/>
                    <w:rPr>
                      <w:rFonts w:hint="eastAsia" w:ascii="Times New Roman" w:hAnsi="Times New Roman" w:eastAsia="宋体" w:cs="Times New Roman"/>
                      <w:color w:val="000000" w:themeColor="text1"/>
                      <w14:textFill>
                        <w14:solidFill>
                          <w14:schemeClr w14:val="tx1"/>
                        </w14:solidFill>
                      </w14:textFill>
                    </w:rPr>
                  </w:pPr>
                </w:p>
              </w:tc>
              <w:tc>
                <w:tcPr>
                  <w:tcW w:w="867" w:type="pct"/>
                  <w:noWrap w:val="0"/>
                  <w:vAlign w:val="center"/>
                </w:tcPr>
                <w:p w14:paraId="20F9FE91">
                  <w:pPr>
                    <w:snapToGrid w:val="0"/>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10（无量纲）</w:t>
                  </w:r>
                </w:p>
              </w:tc>
              <w:tc>
                <w:tcPr>
                  <w:tcW w:w="860" w:type="pct"/>
                  <w:noWrap w:val="0"/>
                  <w:vAlign w:val="center"/>
                </w:tcPr>
                <w:p w14:paraId="68407C1E">
                  <w:pPr>
                    <w:jc w:val="center"/>
                    <w:rPr>
                      <w:rFonts w:hint="eastAsia"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lang w:bidi="ar"/>
                      <w14:textFill>
                        <w14:solidFill>
                          <w14:schemeClr w14:val="tx1"/>
                        </w14:solidFill>
                      </w14:textFill>
                    </w:rPr>
                    <w:t>/</w:t>
                  </w:r>
                </w:p>
              </w:tc>
              <w:tc>
                <w:tcPr>
                  <w:tcW w:w="1142" w:type="pct"/>
                  <w:vMerge w:val="continue"/>
                  <w:noWrap w:val="0"/>
                  <w:vAlign w:val="center"/>
                </w:tcPr>
                <w:p w14:paraId="44189B8F">
                  <w:pPr>
                    <w:pStyle w:val="58"/>
                    <w:rPr>
                      <w:rFonts w:hint="eastAsia" w:ascii="Times New Roman" w:hAnsi="Times New Roman" w:eastAsia="宋体" w:cs="Times New Roman"/>
                      <w:bCs/>
                      <w:color w:val="000000" w:themeColor="text1"/>
                      <w14:textFill>
                        <w14:solidFill>
                          <w14:schemeClr w14:val="tx1"/>
                        </w14:solidFill>
                      </w14:textFill>
                    </w:rPr>
                  </w:pPr>
                </w:p>
              </w:tc>
            </w:tr>
            <w:tr w14:paraId="4929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454" w:type="pct"/>
                  <w:noWrap w:val="0"/>
                  <w:vAlign w:val="center"/>
                </w:tcPr>
                <w:p w14:paraId="65495C9E">
                  <w:pPr>
                    <w:pStyle w:val="58"/>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发电机尾气</w:t>
                  </w:r>
                </w:p>
              </w:tc>
              <w:tc>
                <w:tcPr>
                  <w:tcW w:w="1097" w:type="pct"/>
                  <w:noWrap w:val="0"/>
                  <w:vAlign w:val="center"/>
                </w:tcPr>
                <w:p w14:paraId="71360119">
                  <w:pPr>
                    <w:pStyle w:val="58"/>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烟气黑度</w:t>
                  </w:r>
                </w:p>
              </w:tc>
              <w:tc>
                <w:tcPr>
                  <w:tcW w:w="578" w:type="pct"/>
                  <w:noWrap w:val="0"/>
                  <w:vAlign w:val="center"/>
                </w:tcPr>
                <w:p w14:paraId="4832F4B2">
                  <w:pPr>
                    <w:pStyle w:val="58"/>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867" w:type="pct"/>
                  <w:noWrap w:val="0"/>
                  <w:vAlign w:val="center"/>
                </w:tcPr>
                <w:p w14:paraId="462E7DD1">
                  <w:pPr>
                    <w:pStyle w:val="58"/>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860" w:type="pct"/>
                  <w:noWrap w:val="0"/>
                  <w:vAlign w:val="center"/>
                </w:tcPr>
                <w:p w14:paraId="06DC8ED4">
                  <w:pPr>
                    <w:pStyle w:val="58"/>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林格曼1度</w:t>
                  </w:r>
                </w:p>
              </w:tc>
              <w:tc>
                <w:tcPr>
                  <w:tcW w:w="1142" w:type="pct"/>
                  <w:noWrap w:val="0"/>
                  <w:vAlign w:val="center"/>
                </w:tcPr>
                <w:p w14:paraId="4A193E7C">
                  <w:pPr>
                    <w:pStyle w:val="14"/>
                    <w:rPr>
                      <w:rFonts w:hint="eastAsia"/>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广东省《大气污染物排放限值》(DB44/27-2001)表3烟气黑度 （林格曼黑度）限值；</w:t>
                  </w:r>
                </w:p>
              </w:tc>
            </w:tr>
          </w:tbl>
          <w:p w14:paraId="665D70DD">
            <w:pPr>
              <w:spacing w:line="480" w:lineRule="exact"/>
              <w:ind w:firstLine="482" w:firstLineChars="200"/>
              <w:rPr>
                <w:rFonts w:ascii="Times New Roman" w:hAnsi="Times New Roman" w:eastAsia="宋体" w:cs="Times New Roman"/>
                <w:b/>
                <w:color w:val="000000" w:themeColor="text1"/>
                <w:sz w:val="24"/>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3、噪声排放标准</w:t>
            </w:r>
          </w:p>
          <w:p w14:paraId="206A5B96">
            <w:pPr>
              <w:spacing w:line="480" w:lineRule="exact"/>
              <w:ind w:firstLine="480" w:firstLineChars="200"/>
              <w:rPr>
                <w:rFonts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项目位于声环境功能区2类区中，营运期噪声执行《工业企业厂界环境噪声排放标准》（GB12348-2008）2类标准。</w:t>
            </w:r>
          </w:p>
          <w:p w14:paraId="4BF3480B">
            <w:pPr>
              <w:snapToGrid w:val="0"/>
              <w:spacing w:line="480" w:lineRule="exact"/>
              <w:jc w:val="center"/>
              <w:rPr>
                <w:rFonts w:ascii="Times New Roman" w:hAnsi="Times New Roman" w:eastAsia="宋体" w:cs="Times New Roman"/>
                <w:b/>
                <w:color w:val="000000" w:themeColor="text1"/>
                <w:sz w:val="24"/>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表</w:t>
            </w:r>
            <w:r>
              <w:rPr>
                <w:rFonts w:hint="eastAsia" w:ascii="Times New Roman" w:hAnsi="Times New Roman" w:eastAsia="宋体" w:cs="Times New Roman"/>
                <w:b/>
                <w:color w:val="000000" w:themeColor="text1"/>
                <w:sz w:val="24"/>
                <w:lang w:bidi="ar"/>
                <w14:textFill>
                  <w14:solidFill>
                    <w14:schemeClr w14:val="tx1"/>
                  </w14:solidFill>
                </w14:textFill>
              </w:rPr>
              <w:t>3</w:t>
            </w:r>
            <w:r>
              <w:rPr>
                <w:rFonts w:ascii="Times New Roman" w:hAnsi="Times New Roman" w:eastAsia="宋体" w:cs="Times New Roman"/>
                <w:b/>
                <w:color w:val="000000" w:themeColor="text1"/>
                <w:sz w:val="24"/>
                <w:lang w:bidi="ar"/>
                <w14:textFill>
                  <w14:solidFill>
                    <w14:schemeClr w14:val="tx1"/>
                  </w14:solidFill>
                </w14:textFill>
              </w:rPr>
              <w:t>-</w:t>
            </w:r>
            <w:r>
              <w:rPr>
                <w:rFonts w:hint="eastAsia" w:ascii="Times New Roman" w:hAnsi="Times New Roman" w:eastAsia="宋体" w:cs="Times New Roman"/>
                <w:b/>
                <w:color w:val="000000" w:themeColor="text1"/>
                <w:sz w:val="24"/>
                <w:lang w:bidi="ar"/>
                <w14:textFill>
                  <w14:solidFill>
                    <w14:schemeClr w14:val="tx1"/>
                  </w14:solidFill>
                </w14:textFill>
              </w:rPr>
              <w:t>7项目</w:t>
            </w:r>
            <w:r>
              <w:rPr>
                <w:rFonts w:ascii="Times New Roman" w:hAnsi="Times New Roman" w:eastAsia="宋体" w:cs="Times New Roman"/>
                <w:b/>
                <w:color w:val="000000" w:themeColor="text1"/>
                <w:sz w:val="24"/>
                <w:lang w:bidi="ar"/>
                <w14:textFill>
                  <w14:solidFill>
                    <w14:schemeClr w14:val="tx1"/>
                  </w14:solidFill>
                </w14:textFill>
              </w:rPr>
              <w:t>噪声执行的排放标准</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3208"/>
              <w:gridCol w:w="845"/>
              <w:gridCol w:w="1119"/>
              <w:gridCol w:w="1737"/>
            </w:tblGrid>
            <w:tr w14:paraId="4D80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exact"/>
                <w:jc w:val="center"/>
              </w:trPr>
              <w:tc>
                <w:tcPr>
                  <w:tcW w:w="1109" w:type="dxa"/>
                  <w:noWrap w:val="0"/>
                  <w:vAlign w:val="center"/>
                </w:tcPr>
                <w:p w14:paraId="35873E35">
                  <w:pPr>
                    <w:jc w:val="center"/>
                    <w:rPr>
                      <w:rFonts w:ascii="Times New Roman" w:hAnsi="Times New Roman" w:eastAsia="宋体" w:cs="Times New Roman"/>
                      <w:b/>
                      <w:color w:val="000000" w:themeColor="text1"/>
                      <w:szCs w:val="21"/>
                      <w:lang w:bidi="ar"/>
                      <w14:textFill>
                        <w14:solidFill>
                          <w14:schemeClr w14:val="tx1"/>
                        </w14:solidFill>
                      </w14:textFill>
                    </w:rPr>
                  </w:pPr>
                  <w:r>
                    <w:rPr>
                      <w:rFonts w:ascii="Times New Roman" w:hAnsi="Times New Roman" w:eastAsia="宋体" w:cs="Times New Roman"/>
                      <w:b/>
                      <w:color w:val="000000" w:themeColor="text1"/>
                      <w:szCs w:val="21"/>
                      <w:lang w:bidi="ar"/>
                      <w14:textFill>
                        <w14:solidFill>
                          <w14:schemeClr w14:val="tx1"/>
                        </w14:solidFill>
                      </w14:textFill>
                    </w:rPr>
                    <w:t>环境要素</w:t>
                  </w:r>
                </w:p>
              </w:tc>
              <w:tc>
                <w:tcPr>
                  <w:tcW w:w="4053" w:type="dxa"/>
                  <w:gridSpan w:val="2"/>
                  <w:noWrap w:val="0"/>
                  <w:vAlign w:val="center"/>
                </w:tcPr>
                <w:p w14:paraId="4A3DD3B3">
                  <w:pPr>
                    <w:jc w:val="center"/>
                    <w:rPr>
                      <w:rFonts w:ascii="Times New Roman" w:hAnsi="Times New Roman" w:eastAsia="宋体" w:cs="Times New Roman"/>
                      <w:b/>
                      <w:color w:val="000000" w:themeColor="text1"/>
                      <w:szCs w:val="21"/>
                      <w:lang w:bidi="ar"/>
                      <w14:textFill>
                        <w14:solidFill>
                          <w14:schemeClr w14:val="tx1"/>
                        </w14:solidFill>
                      </w14:textFill>
                    </w:rPr>
                  </w:pPr>
                  <w:r>
                    <w:rPr>
                      <w:rFonts w:ascii="Times New Roman" w:hAnsi="Times New Roman" w:eastAsia="宋体" w:cs="Times New Roman"/>
                      <w:b/>
                      <w:color w:val="000000" w:themeColor="text1"/>
                      <w:szCs w:val="21"/>
                      <w:lang w:bidi="ar"/>
                      <w14:textFill>
                        <w14:solidFill>
                          <w14:schemeClr w14:val="tx1"/>
                        </w14:solidFill>
                      </w14:textFill>
                    </w:rPr>
                    <w:t>标准名称及级（类）别</w:t>
                  </w:r>
                </w:p>
              </w:tc>
              <w:tc>
                <w:tcPr>
                  <w:tcW w:w="2856" w:type="dxa"/>
                  <w:gridSpan w:val="2"/>
                  <w:noWrap w:val="0"/>
                  <w:vAlign w:val="center"/>
                </w:tcPr>
                <w:p w14:paraId="0F0EDBF9">
                  <w:pPr>
                    <w:jc w:val="center"/>
                    <w:rPr>
                      <w:rFonts w:ascii="Times New Roman" w:hAnsi="Times New Roman" w:eastAsia="宋体" w:cs="Times New Roman"/>
                      <w:b/>
                      <w:color w:val="000000" w:themeColor="text1"/>
                      <w:szCs w:val="21"/>
                      <w:lang w:bidi="ar"/>
                      <w14:textFill>
                        <w14:solidFill>
                          <w14:schemeClr w14:val="tx1"/>
                        </w14:solidFill>
                      </w14:textFill>
                    </w:rPr>
                  </w:pPr>
                  <w:r>
                    <w:rPr>
                      <w:rFonts w:ascii="Times New Roman" w:hAnsi="Times New Roman" w:eastAsia="宋体" w:cs="Times New Roman"/>
                      <w:b/>
                      <w:color w:val="000000" w:themeColor="text1"/>
                      <w:szCs w:val="21"/>
                      <w:lang w:bidi="ar"/>
                      <w14:textFill>
                        <w14:solidFill>
                          <w14:schemeClr w14:val="tx1"/>
                        </w14:solidFill>
                      </w14:textFill>
                    </w:rPr>
                    <w:t>标准限值</w:t>
                  </w:r>
                </w:p>
              </w:tc>
            </w:tr>
            <w:tr w14:paraId="1BD4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atLeast"/>
                <w:jc w:val="center"/>
              </w:trPr>
              <w:tc>
                <w:tcPr>
                  <w:tcW w:w="1109" w:type="dxa"/>
                  <w:vMerge w:val="restart"/>
                  <w:noWrap w:val="0"/>
                  <w:vAlign w:val="center"/>
                </w:tcPr>
                <w:p w14:paraId="0E6FC545">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噪声</w:t>
                  </w:r>
                </w:p>
              </w:tc>
              <w:tc>
                <w:tcPr>
                  <w:tcW w:w="3208" w:type="dxa"/>
                  <w:vMerge w:val="restart"/>
                  <w:noWrap w:val="0"/>
                  <w:vAlign w:val="center"/>
                </w:tcPr>
                <w:p w14:paraId="6432C85B">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《工业企业厂界环境噪声排放标准》（GB12348-2008）</w:t>
                  </w:r>
                  <w:r>
                    <w:rPr>
                      <w:rFonts w:hint="eastAsia" w:ascii="Times New Roman" w:hAnsi="Times New Roman" w:eastAsia="宋体" w:cs="Times New Roman"/>
                      <w:bCs/>
                      <w:color w:val="000000" w:themeColor="text1"/>
                      <w:szCs w:val="21"/>
                      <w14:textFill>
                        <w14:solidFill>
                          <w14:schemeClr w14:val="tx1"/>
                        </w14:solidFill>
                      </w14:textFill>
                    </w:rPr>
                    <w:t>2类</w:t>
                  </w:r>
                  <w:r>
                    <w:rPr>
                      <w:rFonts w:ascii="Times New Roman" w:hAnsi="Times New Roman" w:eastAsia="宋体" w:cs="Times New Roman"/>
                      <w:bCs/>
                      <w:color w:val="000000" w:themeColor="text1"/>
                      <w:szCs w:val="21"/>
                      <w14:textFill>
                        <w14:solidFill>
                          <w14:schemeClr w14:val="tx1"/>
                        </w14:solidFill>
                      </w14:textFill>
                    </w:rPr>
                    <w:t>标准</w:t>
                  </w:r>
                </w:p>
              </w:tc>
              <w:tc>
                <w:tcPr>
                  <w:tcW w:w="845" w:type="dxa"/>
                  <w:vMerge w:val="restart"/>
                  <w:noWrap w:val="0"/>
                  <w:vAlign w:val="center"/>
                </w:tcPr>
                <w:p w14:paraId="262077E5">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2类</w:t>
                  </w:r>
                  <w:r>
                    <w:rPr>
                      <w:rFonts w:ascii="Times New Roman" w:hAnsi="Times New Roman" w:eastAsia="宋体" w:cs="Times New Roman"/>
                      <w:bCs/>
                      <w:color w:val="000000" w:themeColor="text1"/>
                      <w:szCs w:val="21"/>
                      <w:lang w:bidi="ar"/>
                      <w14:textFill>
                        <w14:solidFill>
                          <w14:schemeClr w14:val="tx1"/>
                        </w14:solidFill>
                      </w14:textFill>
                    </w:rPr>
                    <w:t>区标准</w:t>
                  </w:r>
                </w:p>
              </w:tc>
              <w:tc>
                <w:tcPr>
                  <w:tcW w:w="1119" w:type="dxa"/>
                  <w:noWrap w:val="0"/>
                  <w:vAlign w:val="center"/>
                </w:tcPr>
                <w:p w14:paraId="356BFEE1">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昼间</w:t>
                  </w:r>
                </w:p>
              </w:tc>
              <w:tc>
                <w:tcPr>
                  <w:tcW w:w="1737" w:type="dxa"/>
                  <w:noWrap w:val="0"/>
                  <w:vAlign w:val="center"/>
                </w:tcPr>
                <w:p w14:paraId="4D01FF63">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6</w:t>
                  </w:r>
                  <w:r>
                    <w:rPr>
                      <w:rFonts w:hint="eastAsia" w:ascii="Times New Roman" w:hAnsi="Times New Roman" w:eastAsia="宋体" w:cs="Times New Roman"/>
                      <w:bCs/>
                      <w:color w:val="000000" w:themeColor="text1"/>
                      <w:szCs w:val="21"/>
                      <w:lang w:bidi="ar"/>
                      <w14:textFill>
                        <w14:solidFill>
                          <w14:schemeClr w14:val="tx1"/>
                        </w14:solidFill>
                      </w14:textFill>
                    </w:rPr>
                    <w:t>0</w:t>
                  </w:r>
                  <w:r>
                    <w:rPr>
                      <w:rFonts w:ascii="Times New Roman" w:hAnsi="Times New Roman" w:eastAsia="宋体" w:cs="Times New Roman"/>
                      <w:bCs/>
                      <w:color w:val="000000" w:themeColor="text1"/>
                      <w:szCs w:val="21"/>
                      <w:lang w:bidi="ar"/>
                      <w14:textFill>
                        <w14:solidFill>
                          <w14:schemeClr w14:val="tx1"/>
                        </w14:solidFill>
                      </w14:textFill>
                    </w:rPr>
                    <w:t>dB(A)</w:t>
                  </w:r>
                </w:p>
              </w:tc>
            </w:tr>
            <w:tr w14:paraId="0C9F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 w:hRule="atLeast"/>
                <w:jc w:val="center"/>
              </w:trPr>
              <w:tc>
                <w:tcPr>
                  <w:tcW w:w="1109" w:type="dxa"/>
                  <w:vMerge w:val="continue"/>
                  <w:noWrap w:val="0"/>
                  <w:vAlign w:val="center"/>
                </w:tcPr>
                <w:p w14:paraId="6B4A5BC4">
                  <w:pPr>
                    <w:jc w:val="center"/>
                    <w:rPr>
                      <w:rFonts w:ascii="Times New Roman" w:hAnsi="Times New Roman" w:eastAsia="宋体" w:cs="Times New Roman"/>
                      <w:bCs/>
                      <w:color w:val="000000" w:themeColor="text1"/>
                      <w:szCs w:val="21"/>
                      <w:lang w:bidi="ar"/>
                      <w14:textFill>
                        <w14:solidFill>
                          <w14:schemeClr w14:val="tx1"/>
                        </w14:solidFill>
                      </w14:textFill>
                    </w:rPr>
                  </w:pPr>
                </w:p>
              </w:tc>
              <w:tc>
                <w:tcPr>
                  <w:tcW w:w="3208" w:type="dxa"/>
                  <w:vMerge w:val="continue"/>
                  <w:noWrap w:val="0"/>
                  <w:vAlign w:val="center"/>
                </w:tcPr>
                <w:p w14:paraId="6D47251D">
                  <w:pPr>
                    <w:jc w:val="center"/>
                    <w:rPr>
                      <w:rFonts w:ascii="Times New Roman" w:hAnsi="Times New Roman" w:eastAsia="宋体" w:cs="Times New Roman"/>
                      <w:bCs/>
                      <w:color w:val="000000" w:themeColor="text1"/>
                      <w:szCs w:val="21"/>
                      <w:lang w:bidi="ar"/>
                      <w14:textFill>
                        <w14:solidFill>
                          <w14:schemeClr w14:val="tx1"/>
                        </w14:solidFill>
                      </w14:textFill>
                    </w:rPr>
                  </w:pPr>
                </w:p>
              </w:tc>
              <w:tc>
                <w:tcPr>
                  <w:tcW w:w="845" w:type="dxa"/>
                  <w:vMerge w:val="continue"/>
                  <w:noWrap w:val="0"/>
                  <w:vAlign w:val="center"/>
                </w:tcPr>
                <w:p w14:paraId="23623EAD">
                  <w:pPr>
                    <w:jc w:val="center"/>
                    <w:rPr>
                      <w:rFonts w:ascii="Times New Roman" w:hAnsi="Times New Roman" w:eastAsia="宋体" w:cs="Times New Roman"/>
                      <w:bCs/>
                      <w:color w:val="000000" w:themeColor="text1"/>
                      <w:szCs w:val="21"/>
                      <w:lang w:bidi="ar"/>
                      <w14:textFill>
                        <w14:solidFill>
                          <w14:schemeClr w14:val="tx1"/>
                        </w14:solidFill>
                      </w14:textFill>
                    </w:rPr>
                  </w:pPr>
                </w:p>
              </w:tc>
              <w:tc>
                <w:tcPr>
                  <w:tcW w:w="1119" w:type="dxa"/>
                  <w:noWrap w:val="0"/>
                  <w:vAlign w:val="center"/>
                </w:tcPr>
                <w:p w14:paraId="0DEA4BB3">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夜间</w:t>
                  </w:r>
                </w:p>
              </w:tc>
              <w:tc>
                <w:tcPr>
                  <w:tcW w:w="1737" w:type="dxa"/>
                  <w:noWrap w:val="0"/>
                  <w:vAlign w:val="center"/>
                </w:tcPr>
                <w:p w14:paraId="3B1B467D">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szCs w:val="21"/>
                      <w:lang w:bidi="ar"/>
                      <w14:textFill>
                        <w14:solidFill>
                          <w14:schemeClr w14:val="tx1"/>
                        </w14:solidFill>
                      </w14:textFill>
                    </w:rPr>
                    <w:t>5</w:t>
                  </w:r>
                  <w:r>
                    <w:rPr>
                      <w:rFonts w:hint="eastAsia" w:ascii="Times New Roman" w:hAnsi="Times New Roman" w:eastAsia="宋体" w:cs="Times New Roman"/>
                      <w:bCs/>
                      <w:color w:val="000000" w:themeColor="text1"/>
                      <w:szCs w:val="21"/>
                      <w:lang w:bidi="ar"/>
                      <w14:textFill>
                        <w14:solidFill>
                          <w14:schemeClr w14:val="tx1"/>
                        </w14:solidFill>
                      </w14:textFill>
                    </w:rPr>
                    <w:t>0</w:t>
                  </w:r>
                  <w:r>
                    <w:rPr>
                      <w:rFonts w:ascii="Times New Roman" w:hAnsi="Times New Roman" w:eastAsia="宋体" w:cs="Times New Roman"/>
                      <w:bCs/>
                      <w:color w:val="000000" w:themeColor="text1"/>
                      <w:szCs w:val="21"/>
                      <w:lang w:bidi="ar"/>
                      <w14:textFill>
                        <w14:solidFill>
                          <w14:schemeClr w14:val="tx1"/>
                        </w14:solidFill>
                      </w14:textFill>
                    </w:rPr>
                    <w:t>dB(A)</w:t>
                  </w:r>
                </w:p>
              </w:tc>
            </w:tr>
          </w:tbl>
          <w:p w14:paraId="1B04F5F0">
            <w:pPr>
              <w:spacing w:line="480" w:lineRule="exact"/>
              <w:ind w:firstLine="482" w:firstLineChars="200"/>
              <w:rPr>
                <w:rFonts w:ascii="Times New Roman" w:hAnsi="Times New Roman" w:eastAsia="宋体" w:cs="Times New Roman"/>
                <w:b/>
                <w:color w:val="000000" w:themeColor="text1"/>
                <w:sz w:val="24"/>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4、固体废弃物</w:t>
            </w:r>
          </w:p>
          <w:p w14:paraId="2BDD5DBF">
            <w:pPr>
              <w:spacing w:line="480" w:lineRule="exact"/>
              <w:ind w:firstLine="480" w:firstLineChars="200"/>
              <w:rPr>
                <w:rFonts w:hint="eastAsia" w:ascii="Times New Roman" w:hAnsi="Times New Roman" w:eastAsia="宋体" w:cs="Times New Roman"/>
                <w:color w:val="000000" w:themeColor="text1"/>
                <w:szCs w:val="21"/>
                <w:lang w:bidi="ar"/>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项目固体废物全过程管理遵照</w:t>
            </w:r>
            <w:r>
              <w:rPr>
                <w:rFonts w:ascii="Times New Roman" w:hAnsi="Times New Roman" w:eastAsia="宋体" w:cs="Times New Roman"/>
                <w:color w:val="000000" w:themeColor="text1"/>
                <w:kern w:val="0"/>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中华人民共和国生态环境法典</w:t>
            </w:r>
            <w:r>
              <w:rPr>
                <w:rFonts w:ascii="Times New Roman" w:hAnsi="Times New Roman" w:eastAsia="宋体" w:cs="Times New Roman"/>
                <w:color w:val="000000" w:themeColor="text1"/>
                <w:kern w:val="0"/>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固体废物污染防治相关规定及《广东省固体废物污染环境防治条例》要求执行。一般固体废物厂内贮存参照《一般工业固体废物贮存和填埋污染控制标准》（GB18599</w:t>
            </w:r>
            <w:r>
              <w:rPr>
                <w:rFonts w:ascii="Times New Roman" w:hAnsi="Times New Roman" w:eastAsia="宋体" w:cs="Times New Roman"/>
                <w:color w:val="000000" w:themeColor="text1"/>
                <w:sz w:val="24"/>
                <w14:textFill>
                  <w14:solidFill>
                    <w14:schemeClr w14:val="tx1"/>
                  </w14:solidFill>
                </w14:textFill>
              </w:rPr>
              <w:noBreakHyphen/>
            </w:r>
            <w:r>
              <w:rPr>
                <w:rFonts w:ascii="Times New Roman" w:hAnsi="Times New Roman" w:eastAsia="宋体" w:cs="Times New Roman"/>
                <w:color w:val="000000" w:themeColor="text1"/>
                <w:sz w:val="24"/>
                <w14:textFill>
                  <w14:solidFill>
                    <w14:schemeClr w14:val="tx1"/>
                  </w14:solidFill>
                </w14:textFill>
              </w:rPr>
              <w:t>2020），采用专用库房或者包装工具进行贮存，贮存场所落实防渗漏、防雨淋、防扬尘等污染防控措施，防范固体废物贮存环节产生二次污染。</w:t>
            </w:r>
          </w:p>
        </w:tc>
      </w:tr>
      <w:tr w14:paraId="555DF8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17" w:type="dxa"/>
            <w:noWrap w:val="0"/>
            <w:vAlign w:val="center"/>
          </w:tcPr>
          <w:p w14:paraId="017F8266">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总量</w:t>
            </w:r>
          </w:p>
          <w:p w14:paraId="0B40A8F1">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控制</w:t>
            </w:r>
          </w:p>
          <w:p w14:paraId="29EF86AF">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指标</w:t>
            </w:r>
          </w:p>
        </w:tc>
        <w:tc>
          <w:tcPr>
            <w:tcW w:w="8244" w:type="dxa"/>
            <w:noWrap w:val="0"/>
            <w:vAlign w:val="center"/>
          </w:tcPr>
          <w:p w14:paraId="3D19D642">
            <w:pPr>
              <w:spacing w:line="480" w:lineRule="exact"/>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根据《广东省</w:t>
            </w:r>
            <w:r>
              <w:rPr>
                <w:rFonts w:hint="eastAsia" w:ascii="Times New Roman" w:hAnsi="Times New Roman" w:eastAsia="宋体" w:cs="Times New Roman"/>
                <w:bCs/>
                <w:color w:val="000000" w:themeColor="text1"/>
                <w:sz w:val="24"/>
                <w14:textFill>
                  <w14:solidFill>
                    <w14:schemeClr w14:val="tx1"/>
                  </w14:solidFill>
                </w14:textFill>
              </w:rPr>
              <w:t>生态</w:t>
            </w:r>
            <w:r>
              <w:rPr>
                <w:rFonts w:ascii="Times New Roman" w:hAnsi="Times New Roman" w:eastAsia="宋体" w:cs="Times New Roman"/>
                <w:bCs/>
                <w:color w:val="000000" w:themeColor="text1"/>
                <w:sz w:val="24"/>
                <w14:textFill>
                  <w14:solidFill>
                    <w14:schemeClr w14:val="tx1"/>
                  </w14:solidFill>
                </w14:textFill>
              </w:rPr>
              <w:t>环境保护</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十</w:t>
            </w:r>
            <w:r>
              <w:rPr>
                <w:rFonts w:hint="eastAsia" w:ascii="Times New Roman" w:hAnsi="Times New Roman" w:eastAsia="宋体" w:cs="Times New Roman"/>
                <w:bCs/>
                <w:color w:val="000000" w:themeColor="text1"/>
                <w:sz w:val="24"/>
                <w14:textFill>
                  <w14:solidFill>
                    <w14:schemeClr w14:val="tx1"/>
                  </w14:solidFill>
                </w14:textFill>
              </w:rPr>
              <w:t>四</w:t>
            </w:r>
            <w:r>
              <w:rPr>
                <w:rFonts w:ascii="Times New Roman" w:hAnsi="Times New Roman" w:eastAsia="宋体" w:cs="Times New Roman"/>
                <w:bCs/>
                <w:color w:val="000000" w:themeColor="text1"/>
                <w:sz w:val="24"/>
                <w14:textFill>
                  <w14:solidFill>
                    <w14:schemeClr w14:val="tx1"/>
                  </w14:solidFill>
                </w14:textFill>
              </w:rPr>
              <w:t>五</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规划》（粤环〔2021〕10号），</w:t>
            </w:r>
            <w:r>
              <w:rPr>
                <w:rFonts w:hint="eastAsia" w:ascii="Times New Roman" w:hAnsi="Times New Roman" w:eastAsia="宋体" w:cs="Times New Roman"/>
                <w:bCs/>
                <w:color w:val="000000" w:themeColor="text1"/>
                <w:sz w:val="24"/>
                <w14:textFill>
                  <w14:solidFill>
                    <w14:schemeClr w14:val="tx1"/>
                  </w14:solidFill>
                </w14:textFill>
              </w:rPr>
              <w:t>广东省对</w:t>
            </w:r>
            <w:r>
              <w:rPr>
                <w:rFonts w:ascii="Times New Roman" w:hAnsi="Times New Roman" w:eastAsia="宋体" w:cs="Times New Roman"/>
                <w:bCs/>
                <w:color w:val="000000" w:themeColor="text1"/>
                <w:sz w:val="24"/>
                <w14:textFill>
                  <w14:solidFill>
                    <w14:schemeClr w14:val="tx1"/>
                  </w14:solidFill>
                </w14:textFill>
              </w:rPr>
              <w:t>化学需氧量（COD</w:t>
            </w:r>
            <w:r>
              <w:rPr>
                <w:rFonts w:ascii="Times New Roman" w:hAnsi="Times New Roman" w:eastAsia="宋体" w:cs="Times New Roman"/>
                <w:bCs/>
                <w:color w:val="000000" w:themeColor="text1"/>
                <w:sz w:val="24"/>
                <w:vertAlign w:val="subscript"/>
                <w14:textFill>
                  <w14:solidFill>
                    <w14:schemeClr w14:val="tx1"/>
                  </w14:solidFill>
                </w14:textFill>
              </w:rPr>
              <w:t>Cr</w:t>
            </w:r>
            <w:r>
              <w:rPr>
                <w:rFonts w:ascii="Times New Roman" w:hAnsi="Times New Roman" w:eastAsia="宋体" w:cs="Times New Roman"/>
                <w:bCs/>
                <w:color w:val="000000" w:themeColor="text1"/>
                <w:sz w:val="24"/>
                <w14:textFill>
                  <w14:solidFill>
                    <w14:schemeClr w14:val="tx1"/>
                  </w14:solidFill>
                </w14:textFill>
              </w:rPr>
              <w:t>）、氨氮（NH</w:t>
            </w:r>
            <w:r>
              <w:rPr>
                <w:rFonts w:ascii="Times New Roman" w:hAnsi="Times New Roman" w:eastAsia="宋体" w:cs="Times New Roman"/>
                <w:bCs/>
                <w:color w:val="000000" w:themeColor="text1"/>
                <w:sz w:val="24"/>
                <w:vertAlign w:val="subscript"/>
                <w14:textFill>
                  <w14:solidFill>
                    <w14:schemeClr w14:val="tx1"/>
                  </w14:solidFill>
                </w14:textFill>
              </w:rPr>
              <w:t>3</w:t>
            </w:r>
            <w:r>
              <w:rPr>
                <w:rFonts w:ascii="Times New Roman" w:hAnsi="Times New Roman" w:eastAsia="宋体" w:cs="Times New Roman"/>
                <w:bCs/>
                <w:color w:val="000000" w:themeColor="text1"/>
                <w:sz w:val="24"/>
                <w14:textFill>
                  <w14:solidFill>
                    <w14:schemeClr w14:val="tx1"/>
                  </w14:solidFill>
                </w14:textFill>
              </w:rPr>
              <w:t>-N）、氮氧化物（NO</w:t>
            </w:r>
            <w:r>
              <w:rPr>
                <w:rFonts w:ascii="Times New Roman" w:hAnsi="Times New Roman" w:eastAsia="宋体" w:cs="Times New Roman"/>
                <w:bCs/>
                <w:color w:val="000000" w:themeColor="text1"/>
                <w:sz w:val="24"/>
                <w:vertAlign w:val="subscript"/>
                <w14:textFill>
                  <w14:solidFill>
                    <w14:schemeClr w14:val="tx1"/>
                  </w14:solidFill>
                </w14:textFill>
              </w:rPr>
              <w:t>X</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、挥发性有机物等主要污染物实行总量控制计划管理。</w:t>
            </w:r>
          </w:p>
          <w:p w14:paraId="52B92F8A">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w:t>
            </w:r>
            <w:r>
              <w:rPr>
                <w:rFonts w:hint="eastAsia" w:ascii="Times New Roman" w:hAnsi="Times New Roman" w:eastAsia="宋体" w:cs="Times New Roman"/>
                <w:b/>
                <w:color w:val="000000" w:themeColor="text1"/>
                <w:sz w:val="24"/>
                <w14:textFill>
                  <w14:solidFill>
                    <w14:schemeClr w14:val="tx1"/>
                  </w14:solidFill>
                </w14:textFill>
              </w:rPr>
              <w:t>水污染物总量控制指标</w:t>
            </w:r>
          </w:p>
          <w:p w14:paraId="37A78488">
            <w:pPr>
              <w:spacing w:line="480" w:lineRule="exact"/>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项目生活污水经化粪池处理后</w:t>
            </w:r>
            <w:r>
              <w:rPr>
                <w:rFonts w:hint="eastAsia" w:ascii="Times New Roman" w:hAnsi="Times New Roman" w:eastAsia="宋体" w:cs="Times New Roman"/>
                <w:color w:val="000000" w:themeColor="text1"/>
                <w:sz w:val="24"/>
                <w:lang w:val="en-US" w:eastAsia="zh-CN"/>
                <w14:textFill>
                  <w14:solidFill>
                    <w14:schemeClr w14:val="tx1"/>
                  </w14:solidFill>
                </w14:textFill>
              </w:rPr>
              <w:t>与</w:t>
            </w:r>
            <w:r>
              <w:rPr>
                <w:rFonts w:hint="eastAsia" w:ascii="Times New Roman" w:hAnsi="Times New Roman" w:eastAsia="宋体" w:cs="Times New Roman"/>
                <w:color w:val="000000" w:themeColor="text1"/>
                <w:sz w:val="24"/>
                <w14:textFill>
                  <w14:solidFill>
                    <w14:schemeClr w14:val="tx1"/>
                  </w14:solidFill>
                </w14:textFill>
              </w:rPr>
              <w:t>生产废水（洗涤废水、锅炉排污水、软化处理废水）</w:t>
            </w:r>
            <w:r>
              <w:rPr>
                <w:rFonts w:hint="eastAsia" w:ascii="Times New Roman" w:hAnsi="Times New Roman" w:eastAsia="宋体" w:cs="Times New Roman"/>
                <w:color w:val="000000" w:themeColor="text1"/>
                <w:sz w:val="24"/>
                <w:lang w:val="en-US" w:eastAsia="zh-CN"/>
                <w14:textFill>
                  <w14:solidFill>
                    <w14:schemeClr w14:val="tx1"/>
                  </w14:solidFill>
                </w14:textFill>
              </w:rPr>
              <w:t>一并进入</w:t>
            </w:r>
            <w:r>
              <w:rPr>
                <w:rFonts w:hint="eastAsia" w:ascii="Times New Roman" w:hAnsi="Times New Roman" w:eastAsia="宋体" w:cs="Times New Roman"/>
                <w:color w:val="000000" w:themeColor="text1"/>
                <w:sz w:val="24"/>
                <w14:textFill>
                  <w14:solidFill>
                    <w14:schemeClr w14:val="tx1"/>
                  </w14:solidFill>
                </w14:textFill>
              </w:rPr>
              <w:t>自建污水处理站（</w:t>
            </w:r>
            <w:r>
              <w:rPr>
                <w:rFonts w:hint="eastAsia" w:ascii="Times New Roman" w:hAnsi="Times New Roman" w:eastAsia="宋体" w:cs="Times New Roman"/>
                <w:color w:val="000000" w:themeColor="text1"/>
                <w:sz w:val="24"/>
                <w:lang w:eastAsia="zh-CN"/>
                <w14:textFill>
                  <w14:solidFill>
                    <w14:schemeClr w14:val="tx1"/>
                  </w14:solidFill>
                </w14:textFill>
              </w:rPr>
              <w:t>溶气气浮+A/O一体化</w:t>
            </w:r>
            <w:r>
              <w:rPr>
                <w:rFonts w:hint="eastAsia" w:ascii="Times New Roman" w:hAnsi="Times New Roman" w:eastAsia="宋体" w:cs="Times New Roman"/>
                <w:color w:val="000000" w:themeColor="text1"/>
                <w:sz w:val="24"/>
                <w14:textFill>
                  <w14:solidFill>
                    <w14:schemeClr w14:val="tx1"/>
                  </w14:solidFill>
                </w14:textFill>
              </w:rPr>
              <w:t>）预处理后，通过市政污水管网排入霞山水质净化厂</w:t>
            </w:r>
            <w:r>
              <w:rPr>
                <w:rFonts w:ascii="Times New Roman" w:hAnsi="Times New Roman" w:eastAsia="宋体" w:cs="Times New Roman"/>
                <w:bCs/>
                <w:color w:val="000000" w:themeColor="text1"/>
                <w:sz w:val="24"/>
                <w14:textFill>
                  <w14:solidFill>
                    <w14:schemeClr w14:val="tx1"/>
                  </w14:solidFill>
                </w14:textFill>
              </w:rPr>
              <w:t>，此时项目总量指标纳入</w:t>
            </w:r>
            <w:r>
              <w:rPr>
                <w:rFonts w:hint="eastAsia" w:ascii="Times New Roman" w:hAnsi="Times New Roman" w:eastAsia="宋体" w:cs="Times New Roman"/>
                <w:color w:val="000000" w:themeColor="text1"/>
                <w:sz w:val="24"/>
                <w:lang w:bidi="ar"/>
                <w14:textFill>
                  <w14:solidFill>
                    <w14:schemeClr w14:val="tx1"/>
                  </w14:solidFill>
                </w14:textFill>
              </w:rPr>
              <w:t>霞山水质净化厂</w:t>
            </w:r>
            <w:r>
              <w:rPr>
                <w:rFonts w:ascii="Times New Roman" w:hAnsi="Times New Roman" w:eastAsia="宋体" w:cs="Times New Roman"/>
                <w:bCs/>
                <w:color w:val="000000" w:themeColor="text1"/>
                <w:sz w:val="24"/>
                <w14:textFill>
                  <w14:solidFill>
                    <w14:schemeClr w14:val="tx1"/>
                  </w14:solidFill>
                </w14:textFill>
              </w:rPr>
              <w:t>，不另设</w:t>
            </w:r>
            <w:r>
              <w:rPr>
                <w:rFonts w:ascii="Times New Roman" w:hAnsi="Times New Roman" w:eastAsia="宋体" w:cs="Times New Roman"/>
                <w:color w:val="000000" w:themeColor="text1"/>
                <w:sz w:val="24"/>
                <w14:textFill>
                  <w14:solidFill>
                    <w14:schemeClr w14:val="tx1"/>
                  </w14:solidFill>
                </w14:textFill>
              </w:rPr>
              <w:t>总量控制指标</w:t>
            </w:r>
            <w:r>
              <w:rPr>
                <w:rFonts w:ascii="Times New Roman" w:hAnsi="Times New Roman" w:eastAsia="宋体" w:cs="Times New Roman"/>
                <w:bCs/>
                <w:color w:val="000000" w:themeColor="text1"/>
                <w:sz w:val="24"/>
                <w14:textFill>
                  <w14:solidFill>
                    <w14:schemeClr w14:val="tx1"/>
                  </w14:solidFill>
                </w14:textFill>
              </w:rPr>
              <w:t>。</w:t>
            </w:r>
          </w:p>
          <w:p w14:paraId="7B86F637">
            <w:pPr>
              <w:spacing w:line="480" w:lineRule="exact"/>
              <w:ind w:firstLine="482" w:firstLineChars="200"/>
              <w:rPr>
                <w:rFonts w:hint="eastAsia"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w:t>
            </w:r>
            <w:r>
              <w:rPr>
                <w:rFonts w:hint="eastAsia" w:ascii="Times New Roman" w:hAnsi="Times New Roman" w:eastAsia="宋体" w:cs="Times New Roman"/>
                <w:b/>
                <w:color w:val="000000" w:themeColor="text1"/>
                <w:sz w:val="24"/>
                <w14:textFill>
                  <w14:solidFill>
                    <w14:schemeClr w14:val="tx1"/>
                  </w14:solidFill>
                </w14:textFill>
              </w:rPr>
              <w:t>大气污染物总量控制指标</w:t>
            </w:r>
            <w:r>
              <w:rPr>
                <w:rFonts w:hint="eastAsia" w:ascii="Times New Roman" w:hAnsi="Times New Roman" w:eastAsia="宋体" w:cs="Times New Roman"/>
                <w:bCs/>
                <w:color w:val="000000" w:themeColor="text1"/>
                <w:sz w:val="24"/>
                <w14:textFill>
                  <w14:solidFill>
                    <w14:schemeClr w14:val="tx1"/>
                  </w14:solidFill>
                </w14:textFill>
              </w:rPr>
              <w:t>。</w:t>
            </w:r>
          </w:p>
          <w:p w14:paraId="48858FCF">
            <w:pPr>
              <w:spacing w:line="480" w:lineRule="exact"/>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项目大气污染物排放总量控制指标：颗粒物、</w:t>
            </w:r>
            <w:r>
              <w:rPr>
                <w:rFonts w:hint="eastAsia" w:ascii="Times New Roman" w:hAnsi="Times New Roman" w:eastAsia="宋体" w:cs="Times New Roman"/>
                <w:color w:val="000000" w:themeColor="text1"/>
                <w:kern w:val="0"/>
                <w:sz w:val="24"/>
                <w14:textFill>
                  <w14:solidFill>
                    <w14:schemeClr w14:val="tx1"/>
                  </w14:solidFill>
                </w14:textFill>
              </w:rPr>
              <w:t>SO</w:t>
            </w:r>
            <w:r>
              <w:rPr>
                <w:rFonts w:hint="eastAsia" w:ascii="Times New Roman" w:hAnsi="Times New Roman" w:eastAsia="宋体" w:cs="Times New Roman"/>
                <w:color w:val="000000" w:themeColor="text1"/>
                <w:kern w:val="0"/>
                <w:sz w:val="24"/>
                <w:vertAlign w:val="subscript"/>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NO</w:t>
            </w:r>
            <w:r>
              <w:rPr>
                <w:rFonts w:ascii="Times New Roman" w:hAnsi="Times New Roman" w:eastAsia="宋体" w:cs="Times New Roman"/>
                <w:bCs/>
                <w:color w:val="000000" w:themeColor="text1"/>
                <w:sz w:val="24"/>
                <w:vertAlign w:val="subscript"/>
                <w14:textFill>
                  <w14:solidFill>
                    <w14:schemeClr w14:val="tx1"/>
                  </w14:solidFill>
                </w14:textFill>
              </w:rPr>
              <w:t>X</w:t>
            </w:r>
            <w:r>
              <w:rPr>
                <w:rFonts w:hint="eastAsia" w:ascii="Times New Roman" w:hAnsi="Times New Roman" w:eastAsia="宋体" w:cs="Times New Roman"/>
                <w:bCs/>
                <w:color w:val="000000" w:themeColor="text1"/>
                <w:sz w:val="24"/>
                <w14:textFill>
                  <w14:solidFill>
                    <w14:schemeClr w14:val="tx1"/>
                  </w14:solidFill>
                </w14:textFill>
              </w:rPr>
              <w:t>，其中</w:t>
            </w:r>
            <w:r>
              <w:rPr>
                <w:rFonts w:ascii="Times New Roman" w:hAnsi="Times New Roman" w:eastAsia="宋体" w:cs="Times New Roman"/>
                <w:bCs/>
                <w:color w:val="000000" w:themeColor="text1"/>
                <w:sz w:val="24"/>
                <w14:textFill>
                  <w14:solidFill>
                    <w14:schemeClr w14:val="tx1"/>
                  </w14:solidFill>
                </w14:textFill>
              </w:rPr>
              <w:t>NO</w:t>
            </w:r>
            <w:r>
              <w:rPr>
                <w:rFonts w:ascii="Times New Roman" w:hAnsi="Times New Roman" w:eastAsia="宋体" w:cs="Times New Roman"/>
                <w:bCs/>
                <w:color w:val="000000" w:themeColor="text1"/>
                <w:sz w:val="24"/>
                <w:vertAlign w:val="subscript"/>
                <w14:textFill>
                  <w14:solidFill>
                    <w14:schemeClr w14:val="tx1"/>
                  </w14:solidFill>
                </w14:textFill>
              </w:rPr>
              <w:t>X</w:t>
            </w:r>
            <w:r>
              <w:rPr>
                <w:rFonts w:hint="eastAsia" w:ascii="Times New Roman" w:hAnsi="Times New Roman" w:eastAsia="宋体" w:cs="Times New Roman"/>
                <w:bCs/>
                <w:color w:val="000000" w:themeColor="text1"/>
                <w:sz w:val="24"/>
                <w14:textFill>
                  <w14:solidFill>
                    <w14:schemeClr w14:val="tx1"/>
                  </w14:solidFill>
                </w14:textFill>
              </w:rPr>
              <w:t>实施等量替代。</w:t>
            </w:r>
          </w:p>
          <w:p w14:paraId="0084569D">
            <w:pPr>
              <w:snapToGrid w:val="0"/>
              <w:spacing w:line="480" w:lineRule="exact"/>
              <w:jc w:val="center"/>
              <w:rPr>
                <w:rFonts w:hint="eastAsia" w:ascii="Times New Roman" w:hAnsi="Times New Roman" w:eastAsia="宋体" w:cs="Times New Roman"/>
                <w:b/>
                <w:color w:val="000000" w:themeColor="text1"/>
                <w:szCs w:val="21"/>
                <w:lang w:bidi="ar"/>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表</w:t>
            </w:r>
            <w:r>
              <w:rPr>
                <w:rFonts w:hint="eastAsia" w:ascii="Times New Roman" w:hAnsi="Times New Roman" w:eastAsia="宋体" w:cs="Times New Roman"/>
                <w:b/>
                <w:color w:val="000000" w:themeColor="text1"/>
                <w:sz w:val="24"/>
                <w:lang w:bidi="ar"/>
                <w14:textFill>
                  <w14:solidFill>
                    <w14:schemeClr w14:val="tx1"/>
                  </w14:solidFill>
                </w14:textFill>
              </w:rPr>
              <w:t>3</w:t>
            </w:r>
            <w:r>
              <w:rPr>
                <w:rFonts w:ascii="Times New Roman" w:hAnsi="Times New Roman" w:eastAsia="宋体" w:cs="Times New Roman"/>
                <w:b/>
                <w:color w:val="000000" w:themeColor="text1"/>
                <w:sz w:val="24"/>
                <w:lang w:bidi="ar"/>
                <w14:textFill>
                  <w14:solidFill>
                    <w14:schemeClr w14:val="tx1"/>
                  </w14:solidFill>
                </w14:textFill>
              </w:rPr>
              <w:t>-</w:t>
            </w:r>
            <w:r>
              <w:rPr>
                <w:rFonts w:hint="eastAsia" w:ascii="Times New Roman" w:hAnsi="Times New Roman" w:eastAsia="宋体" w:cs="Times New Roman"/>
                <w:b/>
                <w:color w:val="000000" w:themeColor="text1"/>
                <w:sz w:val="24"/>
                <w:lang w:bidi="ar"/>
                <w14:textFill>
                  <w14:solidFill>
                    <w14:schemeClr w14:val="tx1"/>
                  </w14:solidFill>
                </w14:textFill>
              </w:rPr>
              <w:t>8</w:t>
            </w:r>
            <w:r>
              <w:rPr>
                <w:rFonts w:hint="eastAsia" w:ascii="Times New Roman" w:hAnsi="Times New Roman" w:eastAsia="宋体" w:cs="Times New Roman"/>
                <w:b/>
                <w:color w:val="000000" w:themeColor="text1"/>
                <w:sz w:val="24"/>
                <w14:textFill>
                  <w14:solidFill>
                    <w14:schemeClr w14:val="tx1"/>
                  </w14:solidFill>
                </w14:textFill>
              </w:rPr>
              <w:t>总量控制指标一览表</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2"/>
              <w:gridCol w:w="2971"/>
              <w:gridCol w:w="2972"/>
            </w:tblGrid>
            <w:tr w14:paraId="017F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exact"/>
                <w:jc w:val="center"/>
              </w:trPr>
              <w:tc>
                <w:tcPr>
                  <w:tcW w:w="1292" w:type="pct"/>
                  <w:noWrap w:val="0"/>
                  <w:vAlign w:val="center"/>
                </w:tcPr>
                <w:p w14:paraId="55084EE5">
                  <w:pPr>
                    <w:jc w:val="center"/>
                    <w:rPr>
                      <w:rFonts w:hint="eastAsia" w:ascii="Times New Roman" w:hAnsi="Times New Roman" w:eastAsia="宋体" w:cs="Times New Roman"/>
                      <w:b/>
                      <w:color w:val="000000" w:themeColor="text1"/>
                      <w:szCs w:val="21"/>
                      <w:lang w:bidi="ar"/>
                      <w14:textFill>
                        <w14:solidFill>
                          <w14:schemeClr w14:val="tx1"/>
                        </w14:solidFill>
                      </w14:textFill>
                    </w:rPr>
                  </w:pPr>
                  <w:r>
                    <w:rPr>
                      <w:rFonts w:hint="eastAsia" w:ascii="Times New Roman" w:hAnsi="Times New Roman" w:eastAsia="宋体" w:cs="Times New Roman"/>
                      <w:b/>
                      <w:color w:val="000000" w:themeColor="text1"/>
                      <w:szCs w:val="21"/>
                      <w:lang w:bidi="ar"/>
                      <w14:textFill>
                        <w14:solidFill>
                          <w14:schemeClr w14:val="tx1"/>
                        </w14:solidFill>
                      </w14:textFill>
                    </w:rPr>
                    <w:t>污染物</w:t>
                  </w:r>
                </w:p>
              </w:tc>
              <w:tc>
                <w:tcPr>
                  <w:tcW w:w="1853" w:type="pct"/>
                  <w:noWrap w:val="0"/>
                  <w:vAlign w:val="center"/>
                </w:tcPr>
                <w:p w14:paraId="1E324908">
                  <w:pPr>
                    <w:jc w:val="center"/>
                    <w:rPr>
                      <w:rFonts w:hint="eastAsia" w:ascii="Times New Roman" w:hAnsi="Times New Roman" w:eastAsia="宋体" w:cs="Times New Roman"/>
                      <w:b/>
                      <w:color w:val="000000" w:themeColor="text1"/>
                      <w:szCs w:val="21"/>
                      <w:lang w:bidi="ar"/>
                      <w14:textFill>
                        <w14:solidFill>
                          <w14:schemeClr w14:val="tx1"/>
                        </w14:solidFill>
                      </w14:textFill>
                    </w:rPr>
                  </w:pPr>
                  <w:r>
                    <w:rPr>
                      <w:rFonts w:hint="eastAsia" w:ascii="Times New Roman" w:hAnsi="Times New Roman" w:eastAsia="宋体" w:cs="Times New Roman"/>
                      <w:b/>
                      <w:color w:val="000000" w:themeColor="text1"/>
                      <w:szCs w:val="21"/>
                      <w:lang w:bidi="ar"/>
                      <w14:textFill>
                        <w14:solidFill>
                          <w14:schemeClr w14:val="tx1"/>
                        </w14:solidFill>
                      </w14:textFill>
                    </w:rPr>
                    <w:t>排放量（t/a）</w:t>
                  </w:r>
                </w:p>
              </w:tc>
              <w:tc>
                <w:tcPr>
                  <w:tcW w:w="1853" w:type="pct"/>
                  <w:noWrap w:val="0"/>
                  <w:vAlign w:val="center"/>
                </w:tcPr>
                <w:p w14:paraId="5FFB1B31">
                  <w:pPr>
                    <w:jc w:val="center"/>
                    <w:rPr>
                      <w:rFonts w:ascii="Times New Roman" w:hAnsi="Times New Roman" w:eastAsia="宋体" w:cs="Times New Roman"/>
                      <w:b/>
                      <w:color w:val="000000" w:themeColor="text1"/>
                      <w:szCs w:val="21"/>
                      <w:lang w:bidi="ar"/>
                      <w14:textFill>
                        <w14:solidFill>
                          <w14:schemeClr w14:val="tx1"/>
                        </w14:solidFill>
                      </w14:textFill>
                    </w:rPr>
                  </w:pPr>
                  <w:r>
                    <w:rPr>
                      <w:rFonts w:hint="eastAsia" w:ascii="Times New Roman" w:hAnsi="Times New Roman" w:eastAsia="宋体" w:cs="Times New Roman"/>
                      <w:b/>
                      <w:color w:val="000000" w:themeColor="text1"/>
                      <w:szCs w:val="21"/>
                      <w:lang w:bidi="ar"/>
                      <w14:textFill>
                        <w14:solidFill>
                          <w14:schemeClr w14:val="tx1"/>
                        </w14:solidFill>
                      </w14:textFill>
                    </w:rPr>
                    <w:t>本次需要申请总量</w:t>
                  </w:r>
                </w:p>
              </w:tc>
            </w:tr>
            <w:tr w14:paraId="25AE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292" w:type="pct"/>
                  <w:noWrap w:val="0"/>
                  <w:vAlign w:val="center"/>
                </w:tcPr>
                <w:p w14:paraId="76C9037C">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SO</w:t>
                  </w:r>
                  <w:r>
                    <w:rPr>
                      <w:rFonts w:hint="eastAsia" w:ascii="Times New Roman" w:hAnsi="Times New Roman" w:eastAsia="宋体" w:cs="Times New Roman"/>
                      <w:color w:val="000000" w:themeColor="text1"/>
                      <w:kern w:val="0"/>
                      <w:vertAlign w:val="subscript"/>
                      <w14:textFill>
                        <w14:solidFill>
                          <w14:schemeClr w14:val="tx1"/>
                        </w14:solidFill>
                      </w14:textFill>
                    </w:rPr>
                    <w:t>2</w:t>
                  </w:r>
                </w:p>
              </w:tc>
              <w:tc>
                <w:tcPr>
                  <w:tcW w:w="1853" w:type="pct"/>
                  <w:noWrap w:val="0"/>
                  <w:vAlign w:val="center"/>
                </w:tcPr>
                <w:p w14:paraId="3299CBC8">
                  <w:pPr>
                    <w:widowControl/>
                    <w:jc w:val="center"/>
                    <w:textAlignment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0.1842</w:t>
                  </w:r>
                </w:p>
              </w:tc>
              <w:tc>
                <w:tcPr>
                  <w:tcW w:w="2972" w:type="dxa"/>
                  <w:noWrap w:val="0"/>
                  <w:vAlign w:val="center"/>
                </w:tcPr>
                <w:p w14:paraId="54B088D0">
                  <w:pPr>
                    <w:widowControl/>
                    <w:jc w:val="center"/>
                    <w:textAlignment w:val="center"/>
                    <w:rPr>
                      <w:rFonts w:hint="eastAsia"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0.1842</w:t>
                  </w:r>
                </w:p>
              </w:tc>
            </w:tr>
            <w:tr w14:paraId="133E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 w:hRule="atLeast"/>
                <w:jc w:val="center"/>
              </w:trPr>
              <w:tc>
                <w:tcPr>
                  <w:tcW w:w="1292" w:type="pct"/>
                  <w:noWrap w:val="0"/>
                  <w:vAlign w:val="center"/>
                </w:tcPr>
                <w:p w14:paraId="42F7CF95">
                  <w:pPr>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bCs/>
                      <w:color w:val="000000" w:themeColor="text1"/>
                      <w14:textFill>
                        <w14:solidFill>
                          <w14:schemeClr w14:val="tx1"/>
                        </w14:solidFill>
                      </w14:textFill>
                    </w:rPr>
                    <w:t>NO</w:t>
                  </w:r>
                  <w:r>
                    <w:rPr>
                      <w:rFonts w:ascii="Times New Roman" w:hAnsi="Times New Roman" w:eastAsia="宋体" w:cs="Times New Roman"/>
                      <w:bCs/>
                      <w:color w:val="000000" w:themeColor="text1"/>
                      <w:vertAlign w:val="subscript"/>
                      <w14:textFill>
                        <w14:solidFill>
                          <w14:schemeClr w14:val="tx1"/>
                        </w14:solidFill>
                      </w14:textFill>
                    </w:rPr>
                    <w:t>X</w:t>
                  </w:r>
                </w:p>
              </w:tc>
              <w:tc>
                <w:tcPr>
                  <w:tcW w:w="1853" w:type="pct"/>
                  <w:noWrap w:val="0"/>
                  <w:vAlign w:val="center"/>
                </w:tcPr>
                <w:p w14:paraId="2AA540EC">
                  <w:pPr>
                    <w:widowControl/>
                    <w:jc w:val="center"/>
                    <w:textAlignment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0.7735</w:t>
                  </w:r>
                </w:p>
              </w:tc>
              <w:tc>
                <w:tcPr>
                  <w:tcW w:w="2972" w:type="dxa"/>
                  <w:noWrap w:val="0"/>
                  <w:vAlign w:val="center"/>
                </w:tcPr>
                <w:p w14:paraId="27386781">
                  <w:pPr>
                    <w:widowControl/>
                    <w:jc w:val="center"/>
                    <w:textAlignment w:val="center"/>
                    <w:rPr>
                      <w:rFonts w:hint="eastAsia"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0.7735</w:t>
                  </w:r>
                </w:p>
              </w:tc>
            </w:tr>
            <w:tr w14:paraId="6D32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1292" w:type="pct"/>
                  <w:noWrap w:val="0"/>
                  <w:vAlign w:val="center"/>
                </w:tcPr>
                <w:p w14:paraId="0AF9EB1D">
                  <w:pPr>
                    <w:jc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bCs/>
                      <w:color w:val="000000" w:themeColor="text1"/>
                      <w14:textFill>
                        <w14:solidFill>
                          <w14:schemeClr w14:val="tx1"/>
                        </w14:solidFill>
                      </w14:textFill>
                    </w:rPr>
                    <w:t>颗粒物</w:t>
                  </w:r>
                </w:p>
              </w:tc>
              <w:tc>
                <w:tcPr>
                  <w:tcW w:w="1853" w:type="pct"/>
                  <w:noWrap w:val="0"/>
                  <w:vAlign w:val="center"/>
                </w:tcPr>
                <w:p w14:paraId="7FC6300B">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0.0542</w:t>
                  </w:r>
                </w:p>
              </w:tc>
              <w:tc>
                <w:tcPr>
                  <w:tcW w:w="2972" w:type="dxa"/>
                  <w:noWrap w:val="0"/>
                  <w:vAlign w:val="center"/>
                </w:tcPr>
                <w:p w14:paraId="7FBC0924">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0.0542</w:t>
                  </w:r>
                </w:p>
              </w:tc>
            </w:tr>
          </w:tbl>
          <w:p w14:paraId="79DD16CB">
            <w:pPr>
              <w:spacing w:line="480" w:lineRule="exact"/>
              <w:rPr>
                <w:rFonts w:hint="eastAsia" w:ascii="Times New Roman" w:hAnsi="Times New Roman" w:eastAsia="宋体" w:cs="Times New Roman"/>
                <w:bCs/>
                <w:color w:val="000000" w:themeColor="text1"/>
                <w:lang w:val="en-US" w:eastAsia="zh-CN"/>
                <w14:textFill>
                  <w14:solidFill>
                    <w14:schemeClr w14:val="tx1"/>
                  </w14:solidFill>
                </w14:textFill>
              </w:rPr>
            </w:pPr>
          </w:p>
        </w:tc>
      </w:tr>
    </w:tbl>
    <w:p w14:paraId="3C7574E2">
      <w:pPr>
        <w:pStyle w:val="28"/>
        <w:jc w:val="center"/>
        <w:rPr>
          <w:rFonts w:ascii="Times New Roman" w:hAnsi="Times New Roman"/>
          <w:snapToGrid w:val="0"/>
          <w:color w:val="000000" w:themeColor="text1"/>
          <w:sz w:val="36"/>
          <w:szCs w:val="36"/>
          <w14:textFill>
            <w14:solidFill>
              <w14:schemeClr w14:val="tx1"/>
            </w14:solidFill>
          </w14:textFill>
        </w:rPr>
        <w:sectPr>
          <w:pgSz w:w="11907" w:h="16840"/>
          <w:pgMar w:top="1701" w:right="1531" w:bottom="2127" w:left="1531" w:header="851" w:footer="851" w:gutter="0"/>
          <w:cols w:space="720" w:num="1"/>
          <w:docGrid w:linePitch="312" w:charSpace="0"/>
        </w:sectPr>
      </w:pPr>
    </w:p>
    <w:p w14:paraId="527D76CC">
      <w:pPr>
        <w:pStyle w:val="28"/>
        <w:jc w:val="center"/>
        <w:outlineLvl w:val="0"/>
        <w:rPr>
          <w:rFonts w:ascii="Times New Roman" w:hAnsi="Times New Roman"/>
          <w:b/>
          <w:bCs/>
          <w:snapToGrid w:val="0"/>
          <w:color w:val="000000" w:themeColor="text1"/>
          <w:sz w:val="30"/>
          <w:szCs w:val="30"/>
          <w14:textFill>
            <w14:solidFill>
              <w14:schemeClr w14:val="tx1"/>
            </w14:solidFill>
          </w14:textFill>
        </w:rPr>
      </w:pPr>
      <w:bookmarkStart w:id="17" w:name="_Toc9794"/>
      <w:r>
        <w:rPr>
          <w:rFonts w:ascii="Times New Roman" w:hAnsi="Times New Roman"/>
          <w:b/>
          <w:bCs/>
          <w:snapToGrid w:val="0"/>
          <w:color w:val="000000" w:themeColor="text1"/>
          <w:sz w:val="30"/>
          <w:szCs w:val="30"/>
          <w14:textFill>
            <w14:solidFill>
              <w14:schemeClr w14:val="tx1"/>
            </w14:solidFill>
          </w14:textFill>
        </w:rPr>
        <w:t>四、主要环境影响和保护措施</w:t>
      </w:r>
      <w:bookmarkEnd w:id="17"/>
    </w:p>
    <w:tbl>
      <w:tblPr>
        <w:tblStyle w:val="32"/>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8"/>
        <w:gridCol w:w="8223"/>
      </w:tblGrid>
      <w:tr w14:paraId="3112BA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58" w:type="dxa"/>
            <w:noWrap w:val="0"/>
            <w:tcMar>
              <w:left w:w="28" w:type="dxa"/>
              <w:right w:w="28" w:type="dxa"/>
            </w:tcMar>
            <w:vAlign w:val="center"/>
          </w:tcPr>
          <w:p w14:paraId="26410E43">
            <w:pPr>
              <w:pStyle w:val="28"/>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施工</w:t>
            </w:r>
          </w:p>
          <w:p w14:paraId="251F9AA0">
            <w:pPr>
              <w:pStyle w:val="28"/>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期环</w:t>
            </w:r>
          </w:p>
          <w:p w14:paraId="756754E3">
            <w:pPr>
              <w:pStyle w:val="28"/>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境保</w:t>
            </w:r>
          </w:p>
          <w:p w14:paraId="674DC947">
            <w:pPr>
              <w:pStyle w:val="28"/>
              <w:adjustRightInd w:val="0"/>
              <w:snapToGrid w:val="0"/>
              <w:spacing w:before="0" w:beforeAutospacing="0" w:after="0" w:afterAutospacing="0"/>
              <w:jc w:val="center"/>
              <w:rPr>
                <w:rFonts w:ascii="Times New Roman" w:hAnsi="Times New Roman"/>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护措</w:t>
            </w:r>
          </w:p>
          <w:p w14:paraId="42610E90">
            <w:pPr>
              <w:pStyle w:val="28"/>
              <w:adjustRightInd w:val="0"/>
              <w:snapToGrid w:val="0"/>
              <w:spacing w:before="0" w:beforeAutospacing="0" w:after="0" w:afterAutospacing="0"/>
              <w:jc w:val="center"/>
              <w:rPr>
                <w:rFonts w:ascii="Times New Roman" w:hAnsi="Times New Roman"/>
                <w:bCs/>
                <w:color w:val="000000" w:themeColor="text1"/>
                <w:kern w:val="2"/>
                <w:sz w:val="21"/>
                <w:szCs w:val="21"/>
                <w14:textFill>
                  <w14:solidFill>
                    <w14:schemeClr w14:val="tx1"/>
                  </w14:solidFill>
                </w14:textFill>
              </w:rPr>
            </w:pPr>
            <w:r>
              <w:rPr>
                <w:rFonts w:ascii="Times New Roman" w:hAnsi="Times New Roman"/>
                <w:color w:val="000000" w:themeColor="text1"/>
                <w:kern w:val="2"/>
                <w:sz w:val="21"/>
                <w:szCs w:val="21"/>
                <w14:textFill>
                  <w14:solidFill>
                    <w14:schemeClr w14:val="tx1"/>
                  </w14:solidFill>
                </w14:textFill>
              </w:rPr>
              <w:t>施</w:t>
            </w:r>
          </w:p>
        </w:tc>
        <w:tc>
          <w:tcPr>
            <w:tcW w:w="8223" w:type="dxa"/>
            <w:noWrap w:val="0"/>
            <w:vAlign w:val="center"/>
          </w:tcPr>
          <w:p w14:paraId="6623E1DB">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1、施工期环境影响分析：</w:t>
            </w:r>
          </w:p>
          <w:p w14:paraId="679E0031">
            <w:pPr>
              <w:spacing w:line="480" w:lineRule="exact"/>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项目租赁铁路粤西农垦供销总公司南山库区8381-1仓已建好的</w:t>
            </w:r>
            <w:r>
              <w:rPr>
                <w:rFonts w:hint="eastAsia" w:cs="Times New Roman"/>
                <w:color w:val="000000" w:themeColor="text1"/>
                <w:sz w:val="24"/>
                <w:lang w:val="en-US" w:eastAsia="zh-CN"/>
                <w14:textFill>
                  <w14:solidFill>
                    <w14:schemeClr w14:val="tx1"/>
                  </w14:solidFill>
                </w14:textFill>
              </w:rPr>
              <w:t>厂房</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不涉及土建施工，施工过程为厂房的内部装修和设备的安装、调试。施工过</w:t>
            </w:r>
            <w:r>
              <w:rPr>
                <w:rFonts w:hint="eastAsia" w:ascii="Times New Roman" w:hAnsi="Times New Roman" w:eastAsia="宋体" w:cs="Times New Roman"/>
                <w:bCs/>
                <w:color w:val="000000" w:themeColor="text1"/>
                <w:sz w:val="24"/>
                <w14:textFill>
                  <w14:solidFill>
                    <w14:schemeClr w14:val="tx1"/>
                  </w14:solidFill>
                </w14:textFill>
              </w:rPr>
              <w:t>程中</w:t>
            </w:r>
            <w:r>
              <w:rPr>
                <w:rFonts w:ascii="Times New Roman" w:hAnsi="Times New Roman" w:eastAsia="宋体" w:cs="Times New Roman"/>
                <w:bCs/>
                <w:color w:val="000000" w:themeColor="text1"/>
                <w:sz w:val="24"/>
                <w14:textFill>
                  <w14:solidFill>
                    <w14:schemeClr w14:val="tx1"/>
                  </w14:solidFill>
                </w14:textFill>
              </w:rPr>
              <w:t>产生的污染物主要为噪声和施工固废。</w:t>
            </w:r>
          </w:p>
          <w:p w14:paraId="1D920C05">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2、施工期环境保护措施：</w:t>
            </w:r>
          </w:p>
          <w:p w14:paraId="5A54A81C">
            <w:pPr>
              <w:spacing w:line="480" w:lineRule="exact"/>
              <w:ind w:firstLine="480" w:firstLineChars="200"/>
              <w:rPr>
                <w:rFonts w:ascii="Times New Roman" w:hAnsi="Times New Roman" w:eastAsia="宋体" w:cs="Times New Roman"/>
                <w:bCs/>
                <w:color w:val="000000" w:themeColor="text1"/>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安装过程必须严格按建筑施工的有关规定进行装修和施工，以减少对周围环境的影响。由于施工的时间是短暂的，因此项目建设方应严格遵守有关建筑施工的环境保护管理条例，加强施工管理，对建筑垃圾及时收运，将不会对周围环境造成严重影响。且项目施工应避免在中午和晚上施工，施工完成后需要将施工固废分类收集，交由相关单位回收处理。</w:t>
            </w:r>
          </w:p>
        </w:tc>
      </w:tr>
      <w:tr w14:paraId="73BFF1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29" w:hRule="atLeast"/>
          <w:jc w:val="center"/>
        </w:trPr>
        <w:tc>
          <w:tcPr>
            <w:tcW w:w="758" w:type="dxa"/>
            <w:noWrap w:val="0"/>
            <w:tcMar>
              <w:left w:w="28" w:type="dxa"/>
              <w:right w:w="28" w:type="dxa"/>
            </w:tcMar>
            <w:vAlign w:val="center"/>
          </w:tcPr>
          <w:p w14:paraId="7198AE58">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运营</w:t>
            </w:r>
          </w:p>
          <w:p w14:paraId="6C0ADB60">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期环</w:t>
            </w:r>
          </w:p>
          <w:p w14:paraId="0D56B66A">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境影</w:t>
            </w:r>
          </w:p>
          <w:p w14:paraId="7713B428">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响和</w:t>
            </w:r>
          </w:p>
          <w:p w14:paraId="0BC69A26">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保护</w:t>
            </w:r>
          </w:p>
          <w:p w14:paraId="64131D1F">
            <w:pPr>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措施</w:t>
            </w:r>
          </w:p>
        </w:tc>
        <w:tc>
          <w:tcPr>
            <w:tcW w:w="8223" w:type="dxa"/>
            <w:noWrap w:val="0"/>
            <w:vAlign w:val="center"/>
          </w:tcPr>
          <w:p w14:paraId="5B33DEBC">
            <w:pPr>
              <w:spacing w:line="480" w:lineRule="exact"/>
              <w:ind w:firstLine="482"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1、废气</w:t>
            </w:r>
          </w:p>
          <w:p w14:paraId="07B74BEB">
            <w:p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kern w:val="0"/>
                <w:sz w:val="24"/>
                <w14:textFill>
                  <w14:solidFill>
                    <w14:schemeClr w14:val="tx1"/>
                  </w14:solidFill>
                </w14:textFill>
              </w:rPr>
              <w:t>1.1</w:t>
            </w:r>
            <w:r>
              <w:rPr>
                <w:rFonts w:ascii="Times New Roman" w:hAnsi="Times New Roman" w:eastAsia="宋体" w:cs="Times New Roman"/>
                <w:b/>
                <w:bCs/>
                <w:color w:val="000000" w:themeColor="text1"/>
                <w:sz w:val="24"/>
                <w14:textFill>
                  <w14:solidFill>
                    <w14:schemeClr w14:val="tx1"/>
                  </w14:solidFill>
                </w14:textFill>
              </w:rPr>
              <w:t>污染源源强核算</w:t>
            </w:r>
          </w:p>
          <w:p w14:paraId="74939FEC">
            <w:pPr>
              <w:spacing w:line="480" w:lineRule="exact"/>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项目废气污染源源强核算如下表所示：</w:t>
            </w:r>
          </w:p>
          <w:p w14:paraId="402CF078">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表4-1废气污染源源强核算结果及相关参数一览表</w:t>
            </w:r>
          </w:p>
          <w:tbl>
            <w:tblPr>
              <w:tblStyle w:val="32"/>
              <w:tblW w:w="8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14"/>
              <w:gridCol w:w="751"/>
              <w:gridCol w:w="540"/>
              <w:gridCol w:w="414"/>
              <w:gridCol w:w="804"/>
              <w:gridCol w:w="717"/>
              <w:gridCol w:w="717"/>
              <w:gridCol w:w="414"/>
              <w:gridCol w:w="588"/>
              <w:gridCol w:w="414"/>
              <w:gridCol w:w="717"/>
              <w:gridCol w:w="717"/>
              <w:gridCol w:w="717"/>
              <w:gridCol w:w="589"/>
            </w:tblGrid>
            <w:tr w14:paraId="42DF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243" w:type="pct"/>
                  <w:noWrap w:val="0"/>
                  <w:tcMar>
                    <w:top w:w="120" w:type="dxa"/>
                    <w:left w:w="120" w:type="dxa"/>
                    <w:bottom w:w="120" w:type="dxa"/>
                    <w:right w:w="120" w:type="dxa"/>
                  </w:tcMar>
                  <w:vAlign w:val="center"/>
                </w:tcPr>
                <w:p w14:paraId="5E266540">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污染源</w:t>
                  </w:r>
                </w:p>
              </w:tc>
              <w:tc>
                <w:tcPr>
                  <w:tcW w:w="441" w:type="pct"/>
                  <w:noWrap w:val="0"/>
                  <w:tcMar>
                    <w:top w:w="120" w:type="dxa"/>
                    <w:left w:w="120" w:type="dxa"/>
                    <w:bottom w:w="120" w:type="dxa"/>
                    <w:right w:w="120" w:type="dxa"/>
                  </w:tcMar>
                  <w:vAlign w:val="center"/>
                </w:tcPr>
                <w:p w14:paraId="6F8A2DBA">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排放形式</w:t>
                  </w:r>
                </w:p>
              </w:tc>
              <w:tc>
                <w:tcPr>
                  <w:tcW w:w="317" w:type="pct"/>
                  <w:noWrap w:val="0"/>
                  <w:tcMar>
                    <w:top w:w="120" w:type="dxa"/>
                    <w:left w:w="120" w:type="dxa"/>
                    <w:bottom w:w="120" w:type="dxa"/>
                    <w:right w:w="120" w:type="dxa"/>
                  </w:tcMar>
                  <w:vAlign w:val="center"/>
                </w:tcPr>
                <w:p w14:paraId="24933F5B">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污染物</w:t>
                  </w:r>
                </w:p>
              </w:tc>
              <w:tc>
                <w:tcPr>
                  <w:tcW w:w="243" w:type="pct"/>
                  <w:noWrap w:val="0"/>
                  <w:tcMar>
                    <w:top w:w="120" w:type="dxa"/>
                    <w:left w:w="120" w:type="dxa"/>
                    <w:bottom w:w="120" w:type="dxa"/>
                    <w:right w:w="120" w:type="dxa"/>
                  </w:tcMar>
                  <w:vAlign w:val="center"/>
                </w:tcPr>
                <w:p w14:paraId="1CCD021E">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核算方法</w:t>
                  </w:r>
                </w:p>
              </w:tc>
              <w:tc>
                <w:tcPr>
                  <w:tcW w:w="472" w:type="pct"/>
                  <w:noWrap w:val="0"/>
                  <w:tcMar>
                    <w:top w:w="120" w:type="dxa"/>
                    <w:left w:w="120" w:type="dxa"/>
                    <w:bottom w:w="120" w:type="dxa"/>
                    <w:right w:w="120" w:type="dxa"/>
                  </w:tcMar>
                  <w:vAlign w:val="center"/>
                </w:tcPr>
                <w:p w14:paraId="2733621F">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废气产生m³/h</w:t>
                  </w:r>
                </w:p>
              </w:tc>
              <w:tc>
                <w:tcPr>
                  <w:tcW w:w="421" w:type="pct"/>
                  <w:noWrap w:val="0"/>
                  <w:tcMar>
                    <w:top w:w="120" w:type="dxa"/>
                    <w:left w:w="120" w:type="dxa"/>
                    <w:bottom w:w="120" w:type="dxa"/>
                    <w:right w:w="120" w:type="dxa"/>
                  </w:tcMar>
                  <w:vAlign w:val="center"/>
                </w:tcPr>
                <w:p w14:paraId="7F08654A">
                  <w:pPr>
                    <w:widowControl/>
                    <w:jc w:val="center"/>
                    <w:rPr>
                      <w:rFonts w:ascii="Times New Roman" w:hAnsi="Times New Roman" w:eastAsia="宋体" w:cs="Times New Roman"/>
                      <w:b/>
                      <w:bCs/>
                      <w:color w:val="000000" w:themeColor="text1"/>
                      <w:szCs w:val="21"/>
                      <w14:textFill>
                        <w14:solidFill>
                          <w14:schemeClr w14:val="tx1"/>
                        </w14:solidFill>
                      </w14:textFill>
                    </w:rPr>
                  </w:pPr>
                  <w:r>
                    <w:rPr>
                      <w:rStyle w:val="35"/>
                      <w:rFonts w:ascii="Times New Roman" w:hAnsi="Times New Roman" w:eastAsia="宋体" w:cs="Times New Roman"/>
                      <w:color w:val="000000" w:themeColor="text1"/>
                      <w:kern w:val="0"/>
                      <w:szCs w:val="21"/>
                      <w:lang w:bidi="ar"/>
                      <w14:textFill>
                        <w14:solidFill>
                          <w14:schemeClr w14:val="tx1"/>
                        </w14:solidFill>
                      </w14:textFill>
                    </w:rPr>
                    <w:t>产生浓度mg/m³</w:t>
                  </w:r>
                </w:p>
              </w:tc>
              <w:tc>
                <w:tcPr>
                  <w:tcW w:w="421" w:type="pct"/>
                  <w:noWrap w:val="0"/>
                  <w:tcMar>
                    <w:top w:w="120" w:type="dxa"/>
                    <w:left w:w="120" w:type="dxa"/>
                    <w:bottom w:w="120" w:type="dxa"/>
                    <w:right w:w="120" w:type="dxa"/>
                  </w:tcMar>
                  <w:vAlign w:val="center"/>
                </w:tcPr>
                <w:p w14:paraId="5FF3BABD">
                  <w:pPr>
                    <w:widowControl/>
                    <w:jc w:val="center"/>
                    <w:rPr>
                      <w:rFonts w:hint="eastAsia" w:ascii="Times New Roman" w:hAnsi="Times New Roman" w:eastAsia="宋体" w:cs="Times New Roman"/>
                      <w:b/>
                      <w:bCs/>
                      <w:color w:val="000000" w:themeColor="text1"/>
                      <w:szCs w:val="21"/>
                      <w:lang w:eastAsia="zh-CN"/>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产生量</w:t>
                  </w: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t</w:t>
                  </w:r>
                  <w:r>
                    <w:rPr>
                      <w:rFonts w:ascii="Times New Roman" w:hAnsi="Times New Roman" w:eastAsia="宋体" w:cs="Times New Roman"/>
                      <w:b/>
                      <w:bCs/>
                      <w:color w:val="000000" w:themeColor="text1"/>
                      <w:kern w:val="0"/>
                      <w:szCs w:val="21"/>
                      <w:lang w:bidi="ar"/>
                      <w14:textFill>
                        <w14:solidFill>
                          <w14:schemeClr w14:val="tx1"/>
                        </w14:solidFill>
                      </w14:textFill>
                    </w:rPr>
                    <w:t>/</w:t>
                  </w:r>
                  <w:r>
                    <w:rPr>
                      <w:rFonts w:hint="eastAsia" w:ascii="Times New Roman" w:hAnsi="Times New Roman" w:eastAsia="宋体" w:cs="Times New Roman"/>
                      <w:b/>
                      <w:bCs/>
                      <w:color w:val="000000" w:themeColor="text1"/>
                      <w:kern w:val="0"/>
                      <w:szCs w:val="21"/>
                      <w:lang w:val="en-US" w:eastAsia="zh-CN" w:bidi="ar"/>
                      <w14:textFill>
                        <w14:solidFill>
                          <w14:schemeClr w14:val="tx1"/>
                        </w14:solidFill>
                      </w14:textFill>
                    </w:rPr>
                    <w:t>a</w:t>
                  </w:r>
                </w:p>
              </w:tc>
              <w:tc>
                <w:tcPr>
                  <w:tcW w:w="243" w:type="pct"/>
                  <w:noWrap w:val="0"/>
                  <w:tcMar>
                    <w:top w:w="120" w:type="dxa"/>
                    <w:left w:w="120" w:type="dxa"/>
                    <w:bottom w:w="120" w:type="dxa"/>
                    <w:right w:w="120" w:type="dxa"/>
                  </w:tcMar>
                  <w:vAlign w:val="center"/>
                </w:tcPr>
                <w:p w14:paraId="2E170A64">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治理措施</w:t>
                  </w:r>
                </w:p>
              </w:tc>
              <w:tc>
                <w:tcPr>
                  <w:tcW w:w="345" w:type="pct"/>
                  <w:noWrap w:val="0"/>
                  <w:tcMar>
                    <w:top w:w="120" w:type="dxa"/>
                    <w:left w:w="120" w:type="dxa"/>
                    <w:bottom w:w="120" w:type="dxa"/>
                    <w:right w:w="120" w:type="dxa"/>
                  </w:tcMar>
                  <w:vAlign w:val="center"/>
                </w:tcPr>
                <w:p w14:paraId="4C106FCF">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治理效率%</w:t>
                  </w:r>
                </w:p>
              </w:tc>
              <w:tc>
                <w:tcPr>
                  <w:tcW w:w="243" w:type="pct"/>
                  <w:noWrap w:val="0"/>
                  <w:tcMar>
                    <w:top w:w="120" w:type="dxa"/>
                    <w:left w:w="120" w:type="dxa"/>
                    <w:bottom w:w="120" w:type="dxa"/>
                    <w:right w:w="120" w:type="dxa"/>
                  </w:tcMar>
                  <w:vAlign w:val="center"/>
                </w:tcPr>
                <w:p w14:paraId="475F1C55">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核算方法</w:t>
                  </w:r>
                </w:p>
              </w:tc>
              <w:tc>
                <w:tcPr>
                  <w:tcW w:w="421" w:type="pct"/>
                  <w:noWrap w:val="0"/>
                  <w:tcMar>
                    <w:top w:w="120" w:type="dxa"/>
                    <w:left w:w="120" w:type="dxa"/>
                    <w:bottom w:w="120" w:type="dxa"/>
                    <w:right w:w="120" w:type="dxa"/>
                  </w:tcMar>
                  <w:vAlign w:val="center"/>
                </w:tcPr>
                <w:p w14:paraId="43949F8A">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排放浓度mg/m³</w:t>
                  </w:r>
                </w:p>
              </w:tc>
              <w:tc>
                <w:tcPr>
                  <w:tcW w:w="421" w:type="pct"/>
                  <w:noWrap w:val="0"/>
                  <w:tcMar>
                    <w:top w:w="120" w:type="dxa"/>
                    <w:left w:w="120" w:type="dxa"/>
                    <w:bottom w:w="120" w:type="dxa"/>
                    <w:right w:w="120" w:type="dxa"/>
                  </w:tcMar>
                  <w:vAlign w:val="center"/>
                </w:tcPr>
                <w:p w14:paraId="7C020E47">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排放速率kg/h</w:t>
                  </w:r>
                </w:p>
              </w:tc>
              <w:tc>
                <w:tcPr>
                  <w:tcW w:w="421" w:type="pct"/>
                  <w:noWrap w:val="0"/>
                  <w:tcMar>
                    <w:top w:w="120" w:type="dxa"/>
                    <w:left w:w="120" w:type="dxa"/>
                    <w:bottom w:w="120" w:type="dxa"/>
                    <w:right w:w="120" w:type="dxa"/>
                  </w:tcMar>
                  <w:vAlign w:val="center"/>
                </w:tcPr>
                <w:p w14:paraId="5C770A01">
                  <w:pPr>
                    <w:widowControl/>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排放量t/a</w:t>
                  </w:r>
                </w:p>
              </w:tc>
              <w:tc>
                <w:tcPr>
                  <w:tcW w:w="345" w:type="pct"/>
                  <w:noWrap w:val="0"/>
                  <w:tcMar>
                    <w:top w:w="120" w:type="dxa"/>
                    <w:left w:w="120" w:type="dxa"/>
                    <w:bottom w:w="120" w:type="dxa"/>
                    <w:right w:w="120" w:type="dxa"/>
                  </w:tcMar>
                  <w:vAlign w:val="center"/>
                </w:tcPr>
                <w:p w14:paraId="6C5BF719">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排放时间h</w:t>
                  </w:r>
                </w:p>
              </w:tc>
            </w:tr>
            <w:tr w14:paraId="1253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3" w:type="pct"/>
                  <w:vMerge w:val="restart"/>
                  <w:noWrap w:val="0"/>
                  <w:tcMar>
                    <w:top w:w="120" w:type="dxa"/>
                    <w:left w:w="120" w:type="dxa"/>
                    <w:bottom w:w="120" w:type="dxa"/>
                    <w:right w:w="120" w:type="dxa"/>
                  </w:tcMar>
                  <w:vAlign w:val="center"/>
                </w:tcPr>
                <w:p w14:paraId="519602B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锅炉废气</w:t>
                  </w:r>
                </w:p>
              </w:tc>
              <w:tc>
                <w:tcPr>
                  <w:tcW w:w="441" w:type="pct"/>
                  <w:vMerge w:val="restart"/>
                  <w:noWrap w:val="0"/>
                  <w:tcMar>
                    <w:top w:w="120" w:type="dxa"/>
                    <w:left w:w="120" w:type="dxa"/>
                    <w:bottom w:w="120" w:type="dxa"/>
                    <w:right w:w="120" w:type="dxa"/>
                  </w:tcMar>
                  <w:vAlign w:val="center"/>
                </w:tcPr>
                <w:p w14:paraId="2D15777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DA001</w:t>
                  </w:r>
                </w:p>
              </w:tc>
              <w:tc>
                <w:tcPr>
                  <w:tcW w:w="317" w:type="pct"/>
                  <w:noWrap w:val="0"/>
                  <w:tcMar>
                    <w:top w:w="120" w:type="dxa"/>
                    <w:left w:w="120" w:type="dxa"/>
                    <w:bottom w:w="120" w:type="dxa"/>
                    <w:right w:w="120" w:type="dxa"/>
                  </w:tcMar>
                  <w:vAlign w:val="center"/>
                </w:tcPr>
                <w:p w14:paraId="0789833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SO₂</w:t>
                  </w:r>
                </w:p>
              </w:tc>
              <w:tc>
                <w:tcPr>
                  <w:tcW w:w="243" w:type="pct"/>
                  <w:vMerge w:val="restart"/>
                  <w:noWrap w:val="0"/>
                  <w:tcMar>
                    <w:top w:w="120" w:type="dxa"/>
                    <w:left w:w="120" w:type="dxa"/>
                    <w:bottom w:w="120" w:type="dxa"/>
                    <w:right w:w="120" w:type="dxa"/>
                  </w:tcMar>
                  <w:vAlign w:val="center"/>
                </w:tcPr>
                <w:p w14:paraId="177221C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系数法</w:t>
                  </w:r>
                </w:p>
              </w:tc>
              <w:tc>
                <w:tcPr>
                  <w:tcW w:w="472" w:type="pct"/>
                  <w:noWrap w:val="0"/>
                  <w:tcMar>
                    <w:top w:w="120" w:type="dxa"/>
                    <w:left w:w="120" w:type="dxa"/>
                    <w:bottom w:w="120" w:type="dxa"/>
                    <w:right w:w="120" w:type="dxa"/>
                  </w:tcMar>
                  <w:vAlign w:val="center"/>
                </w:tcPr>
                <w:p w14:paraId="05495C8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3129.68</w:t>
                  </w:r>
                </w:p>
              </w:tc>
              <w:tc>
                <w:tcPr>
                  <w:tcW w:w="421" w:type="pct"/>
                  <w:noWrap w:val="0"/>
                  <w:tcMar>
                    <w:top w:w="120" w:type="dxa"/>
                    <w:left w:w="120" w:type="dxa"/>
                    <w:bottom w:w="120" w:type="dxa"/>
                    <w:right w:w="120" w:type="dxa"/>
                  </w:tcMar>
                  <w:vAlign w:val="center"/>
                </w:tcPr>
                <w:p w14:paraId="7493160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58.86</w:t>
                  </w:r>
                </w:p>
              </w:tc>
              <w:tc>
                <w:tcPr>
                  <w:tcW w:w="421" w:type="pct"/>
                  <w:noWrap w:val="0"/>
                  <w:tcMar>
                    <w:top w:w="120" w:type="dxa"/>
                    <w:left w:w="120" w:type="dxa"/>
                    <w:bottom w:w="120" w:type="dxa"/>
                    <w:right w:w="120" w:type="dxa"/>
                  </w:tcMar>
                  <w:vAlign w:val="center"/>
                </w:tcPr>
                <w:p w14:paraId="3067DF1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0.1842</w:t>
                  </w:r>
                </w:p>
              </w:tc>
              <w:tc>
                <w:tcPr>
                  <w:tcW w:w="243" w:type="pct"/>
                  <w:vMerge w:val="restart"/>
                  <w:noWrap w:val="0"/>
                  <w:tcMar>
                    <w:top w:w="120" w:type="dxa"/>
                    <w:left w:w="120" w:type="dxa"/>
                    <w:bottom w:w="120" w:type="dxa"/>
                    <w:right w:w="120" w:type="dxa"/>
                  </w:tcMar>
                  <w:vAlign w:val="center"/>
                </w:tcPr>
                <w:p w14:paraId="4E3F75A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低氮燃烧+锅炉节能器+布袋除尘器</w:t>
                  </w:r>
                </w:p>
              </w:tc>
              <w:tc>
                <w:tcPr>
                  <w:tcW w:w="345" w:type="pct"/>
                  <w:noWrap w:val="0"/>
                  <w:tcMar>
                    <w:top w:w="120" w:type="dxa"/>
                    <w:left w:w="120" w:type="dxa"/>
                    <w:bottom w:w="120" w:type="dxa"/>
                    <w:right w:w="120" w:type="dxa"/>
                  </w:tcMar>
                  <w:vAlign w:val="center"/>
                </w:tcPr>
                <w:p w14:paraId="2EACA0B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243" w:type="pct"/>
                  <w:vMerge w:val="restart"/>
                  <w:noWrap w:val="0"/>
                  <w:tcMar>
                    <w:top w:w="120" w:type="dxa"/>
                    <w:left w:w="120" w:type="dxa"/>
                    <w:bottom w:w="120" w:type="dxa"/>
                    <w:right w:w="120" w:type="dxa"/>
                  </w:tcMar>
                  <w:vAlign w:val="center"/>
                </w:tcPr>
                <w:p w14:paraId="527F07D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物料衡算法</w:t>
                  </w:r>
                </w:p>
              </w:tc>
              <w:tc>
                <w:tcPr>
                  <w:tcW w:w="421" w:type="pct"/>
                  <w:noWrap w:val="0"/>
                  <w:tcMar>
                    <w:top w:w="120" w:type="dxa"/>
                    <w:left w:w="120" w:type="dxa"/>
                    <w:bottom w:w="120" w:type="dxa"/>
                    <w:right w:w="120" w:type="dxa"/>
                  </w:tcMar>
                  <w:vAlign w:val="center"/>
                </w:tcPr>
                <w:p w14:paraId="7A98BDBC">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27.25</w:t>
                  </w:r>
                </w:p>
              </w:tc>
              <w:tc>
                <w:tcPr>
                  <w:tcW w:w="421" w:type="pct"/>
                  <w:noWrap w:val="0"/>
                  <w:tcMar>
                    <w:top w:w="120" w:type="dxa"/>
                    <w:left w:w="120" w:type="dxa"/>
                    <w:bottom w:w="120" w:type="dxa"/>
                    <w:right w:w="120" w:type="dxa"/>
                  </w:tcMar>
                  <w:vAlign w:val="center"/>
                </w:tcPr>
                <w:p w14:paraId="1E7B352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0.0853</w:t>
                  </w:r>
                </w:p>
              </w:tc>
              <w:tc>
                <w:tcPr>
                  <w:tcW w:w="421" w:type="pct"/>
                  <w:noWrap w:val="0"/>
                  <w:tcMar>
                    <w:top w:w="120" w:type="dxa"/>
                    <w:left w:w="120" w:type="dxa"/>
                    <w:bottom w:w="120" w:type="dxa"/>
                    <w:right w:w="120" w:type="dxa"/>
                  </w:tcMar>
                  <w:vAlign w:val="center"/>
                </w:tcPr>
                <w:p w14:paraId="1B90D82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0.1842</w:t>
                  </w:r>
                </w:p>
              </w:tc>
              <w:tc>
                <w:tcPr>
                  <w:tcW w:w="345" w:type="pct"/>
                  <w:vMerge w:val="restart"/>
                  <w:noWrap w:val="0"/>
                  <w:tcMar>
                    <w:top w:w="120" w:type="dxa"/>
                    <w:left w:w="120" w:type="dxa"/>
                    <w:bottom w:w="120" w:type="dxa"/>
                    <w:right w:w="120" w:type="dxa"/>
                  </w:tcMar>
                  <w:vAlign w:val="center"/>
                </w:tcPr>
                <w:p w14:paraId="42F59E2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2160</w:t>
                  </w:r>
                </w:p>
              </w:tc>
            </w:tr>
            <w:tr w14:paraId="291B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3" w:type="pct"/>
                  <w:vMerge w:val="continue"/>
                  <w:noWrap w:val="0"/>
                  <w:tcMar>
                    <w:top w:w="120" w:type="dxa"/>
                    <w:left w:w="120" w:type="dxa"/>
                    <w:bottom w:w="120" w:type="dxa"/>
                    <w:right w:w="120" w:type="dxa"/>
                  </w:tcMar>
                  <w:vAlign w:val="center"/>
                </w:tcPr>
                <w:p w14:paraId="01BC6E51">
                  <w:pPr>
                    <w:jc w:val="center"/>
                    <w:rPr>
                      <w:rFonts w:ascii="Times New Roman" w:hAnsi="Times New Roman" w:eastAsia="宋体" w:cs="Times New Roman"/>
                      <w:color w:val="000000" w:themeColor="text1"/>
                      <w:szCs w:val="21"/>
                      <w14:textFill>
                        <w14:solidFill>
                          <w14:schemeClr w14:val="tx1"/>
                        </w14:solidFill>
                      </w14:textFill>
                    </w:rPr>
                  </w:pPr>
                </w:p>
              </w:tc>
              <w:tc>
                <w:tcPr>
                  <w:tcW w:w="441" w:type="pct"/>
                  <w:vMerge w:val="continue"/>
                  <w:noWrap w:val="0"/>
                  <w:tcMar>
                    <w:top w:w="120" w:type="dxa"/>
                    <w:left w:w="120" w:type="dxa"/>
                    <w:bottom w:w="120" w:type="dxa"/>
                    <w:right w:w="120" w:type="dxa"/>
                  </w:tcMar>
                  <w:vAlign w:val="center"/>
                </w:tcPr>
                <w:p w14:paraId="3E6F3E50">
                  <w:pPr>
                    <w:jc w:val="center"/>
                    <w:rPr>
                      <w:rFonts w:ascii="Times New Roman" w:hAnsi="Times New Roman" w:eastAsia="宋体" w:cs="Times New Roman"/>
                      <w:color w:val="000000" w:themeColor="text1"/>
                      <w:szCs w:val="21"/>
                      <w14:textFill>
                        <w14:solidFill>
                          <w14:schemeClr w14:val="tx1"/>
                        </w14:solidFill>
                      </w14:textFill>
                    </w:rPr>
                  </w:pPr>
                </w:p>
              </w:tc>
              <w:tc>
                <w:tcPr>
                  <w:tcW w:w="317" w:type="pct"/>
                  <w:noWrap w:val="0"/>
                  <w:tcMar>
                    <w:top w:w="120" w:type="dxa"/>
                    <w:left w:w="120" w:type="dxa"/>
                    <w:bottom w:w="120" w:type="dxa"/>
                    <w:right w:w="120" w:type="dxa"/>
                  </w:tcMar>
                  <w:vAlign w:val="center"/>
                </w:tcPr>
                <w:p w14:paraId="22EFEF6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NOₓ</w:t>
                  </w:r>
                </w:p>
              </w:tc>
              <w:tc>
                <w:tcPr>
                  <w:tcW w:w="243" w:type="pct"/>
                  <w:vMerge w:val="continue"/>
                  <w:noWrap w:val="0"/>
                  <w:tcMar>
                    <w:top w:w="120" w:type="dxa"/>
                    <w:left w:w="120" w:type="dxa"/>
                    <w:bottom w:w="120" w:type="dxa"/>
                    <w:right w:w="120" w:type="dxa"/>
                  </w:tcMar>
                  <w:vAlign w:val="center"/>
                </w:tcPr>
                <w:p w14:paraId="21F48B56">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472" w:type="pct"/>
                  <w:noWrap w:val="0"/>
                  <w:tcMar>
                    <w:top w:w="120" w:type="dxa"/>
                    <w:left w:w="120" w:type="dxa"/>
                    <w:bottom w:w="120" w:type="dxa"/>
                    <w:right w:w="120" w:type="dxa"/>
                  </w:tcMar>
                  <w:vAlign w:val="center"/>
                </w:tcPr>
                <w:p w14:paraId="658854FC">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3129.68</w:t>
                  </w:r>
                </w:p>
              </w:tc>
              <w:tc>
                <w:tcPr>
                  <w:tcW w:w="421" w:type="pct"/>
                  <w:noWrap w:val="0"/>
                  <w:tcMar>
                    <w:top w:w="120" w:type="dxa"/>
                    <w:left w:w="120" w:type="dxa"/>
                    <w:bottom w:w="120" w:type="dxa"/>
                    <w:right w:w="120" w:type="dxa"/>
                  </w:tcMar>
                  <w:vAlign w:val="center"/>
                </w:tcPr>
                <w:p w14:paraId="0A707382">
                  <w:pPr>
                    <w:widowControl/>
                    <w:jc w:val="center"/>
                    <w:rPr>
                      <w:rFonts w:ascii="Times New Roman" w:hAnsi="Times New Roman" w:eastAsia="宋体" w:cs="Times New Roman"/>
                      <w:b w:val="0"/>
                      <w:bCs w:val="0"/>
                      <w:color w:val="000000" w:themeColor="text1"/>
                      <w:szCs w:val="21"/>
                      <w14:textFill>
                        <w14:solidFill>
                          <w14:schemeClr w14:val="tx1"/>
                        </w14:solidFill>
                      </w14:textFill>
                    </w:rPr>
                  </w:pPr>
                  <w:r>
                    <w:rPr>
                      <w:rFonts w:ascii="Times New Roman" w:hAnsi="Times New Roman" w:eastAsia="宋体" w:cs="Times New Roman"/>
                      <w:b w:val="0"/>
                      <w:bCs w:val="0"/>
                      <w:color w:val="000000" w:themeColor="text1"/>
                      <w:kern w:val="0"/>
                      <w:szCs w:val="21"/>
                      <w:lang w:bidi="ar"/>
                      <w14:textFill>
                        <w14:solidFill>
                          <w14:schemeClr w14:val="tx1"/>
                        </w14:solidFill>
                      </w14:textFill>
                    </w:rPr>
                    <w:t>114.42</w:t>
                  </w:r>
                </w:p>
              </w:tc>
              <w:tc>
                <w:tcPr>
                  <w:tcW w:w="421" w:type="pct"/>
                  <w:noWrap w:val="0"/>
                  <w:tcMar>
                    <w:top w:w="120" w:type="dxa"/>
                    <w:left w:w="120" w:type="dxa"/>
                    <w:bottom w:w="120" w:type="dxa"/>
                    <w:right w:w="120" w:type="dxa"/>
                  </w:tcMar>
                  <w:vAlign w:val="center"/>
                </w:tcPr>
                <w:p w14:paraId="0B0AB730">
                  <w:pPr>
                    <w:widowControl/>
                    <w:jc w:val="center"/>
                    <w:rPr>
                      <w:rFonts w:ascii="Times New Roman" w:hAnsi="Times New Roman" w:eastAsia="宋体" w:cs="Times New Roman"/>
                      <w:b w:val="0"/>
                      <w:bCs w:val="0"/>
                      <w:color w:val="000000" w:themeColor="text1"/>
                      <w:szCs w:val="21"/>
                      <w14:textFill>
                        <w14:solidFill>
                          <w14:schemeClr w14:val="tx1"/>
                        </w14:solidFill>
                      </w14:textFill>
                    </w:rPr>
                  </w:pPr>
                  <w:r>
                    <w:rPr>
                      <w:rFonts w:ascii="Times New Roman" w:hAnsi="Times New Roman" w:eastAsia="宋体" w:cs="Times New Roman"/>
                      <w:b w:val="0"/>
                      <w:bCs w:val="0"/>
                      <w:color w:val="000000" w:themeColor="text1"/>
                      <w:kern w:val="0"/>
                      <w:szCs w:val="21"/>
                      <w:lang w:bidi="ar"/>
                      <w14:textFill>
                        <w14:solidFill>
                          <w14:schemeClr w14:val="tx1"/>
                        </w14:solidFill>
                      </w14:textFill>
                    </w:rPr>
                    <w:t>0.7735</w:t>
                  </w:r>
                </w:p>
              </w:tc>
              <w:tc>
                <w:tcPr>
                  <w:tcW w:w="243" w:type="pct"/>
                  <w:vMerge w:val="continue"/>
                  <w:noWrap w:val="0"/>
                  <w:tcMar>
                    <w:top w:w="120" w:type="dxa"/>
                    <w:left w:w="120" w:type="dxa"/>
                    <w:bottom w:w="120" w:type="dxa"/>
                    <w:right w:w="120" w:type="dxa"/>
                  </w:tcMar>
                  <w:vAlign w:val="center"/>
                </w:tcPr>
                <w:p w14:paraId="4819CDCE">
                  <w:pPr>
                    <w:jc w:val="center"/>
                    <w:rPr>
                      <w:rFonts w:ascii="Times New Roman" w:hAnsi="Times New Roman" w:eastAsia="宋体" w:cs="Times New Roman"/>
                      <w:color w:val="000000" w:themeColor="text1"/>
                      <w:szCs w:val="21"/>
                      <w14:textFill>
                        <w14:solidFill>
                          <w14:schemeClr w14:val="tx1"/>
                        </w14:solidFill>
                      </w14:textFill>
                    </w:rPr>
                  </w:pPr>
                </w:p>
              </w:tc>
              <w:tc>
                <w:tcPr>
                  <w:tcW w:w="588" w:type="dxa"/>
                  <w:noWrap w:val="0"/>
                  <w:tcMar>
                    <w:top w:w="120" w:type="dxa"/>
                    <w:left w:w="120" w:type="dxa"/>
                    <w:bottom w:w="120" w:type="dxa"/>
                    <w:right w:w="120" w:type="dxa"/>
                  </w:tcMar>
                  <w:vAlign w:val="center"/>
                </w:tcPr>
                <w:p w14:paraId="3AC7A89D">
                  <w:pPr>
                    <w:widowControl/>
                    <w:jc w:val="both"/>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30*</w:t>
                  </w:r>
                </w:p>
              </w:tc>
              <w:tc>
                <w:tcPr>
                  <w:tcW w:w="243" w:type="pct"/>
                  <w:vMerge w:val="continue"/>
                  <w:noWrap w:val="0"/>
                  <w:tcMar>
                    <w:top w:w="120" w:type="dxa"/>
                    <w:left w:w="120" w:type="dxa"/>
                    <w:bottom w:w="120" w:type="dxa"/>
                    <w:right w:w="120" w:type="dxa"/>
                  </w:tcMar>
                  <w:vAlign w:val="center"/>
                </w:tcPr>
                <w:p w14:paraId="161BCD85">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421" w:type="pct"/>
                  <w:noWrap w:val="0"/>
                  <w:tcMar>
                    <w:top w:w="120" w:type="dxa"/>
                    <w:left w:w="120" w:type="dxa"/>
                    <w:bottom w:w="120" w:type="dxa"/>
                    <w:right w:w="120" w:type="dxa"/>
                  </w:tcMar>
                  <w:vAlign w:val="center"/>
                </w:tcPr>
                <w:p w14:paraId="7D58C96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114.42</w:t>
                  </w:r>
                </w:p>
              </w:tc>
              <w:tc>
                <w:tcPr>
                  <w:tcW w:w="421" w:type="pct"/>
                  <w:noWrap w:val="0"/>
                  <w:tcMar>
                    <w:top w:w="120" w:type="dxa"/>
                    <w:left w:w="120" w:type="dxa"/>
                    <w:bottom w:w="120" w:type="dxa"/>
                    <w:right w:w="120" w:type="dxa"/>
                  </w:tcMar>
                  <w:vAlign w:val="center"/>
                </w:tcPr>
                <w:p w14:paraId="6F6495C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0.3581</w:t>
                  </w:r>
                </w:p>
              </w:tc>
              <w:tc>
                <w:tcPr>
                  <w:tcW w:w="421" w:type="pct"/>
                  <w:noWrap w:val="0"/>
                  <w:tcMar>
                    <w:top w:w="120" w:type="dxa"/>
                    <w:left w:w="120" w:type="dxa"/>
                    <w:bottom w:w="120" w:type="dxa"/>
                    <w:right w:w="120" w:type="dxa"/>
                  </w:tcMar>
                  <w:vAlign w:val="center"/>
                </w:tcPr>
                <w:p w14:paraId="6006FE4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0.7735</w:t>
                  </w:r>
                </w:p>
              </w:tc>
              <w:tc>
                <w:tcPr>
                  <w:tcW w:w="345" w:type="pct"/>
                  <w:vMerge w:val="continue"/>
                  <w:noWrap w:val="0"/>
                  <w:tcMar>
                    <w:top w:w="120" w:type="dxa"/>
                    <w:left w:w="120" w:type="dxa"/>
                    <w:bottom w:w="120" w:type="dxa"/>
                    <w:right w:w="120" w:type="dxa"/>
                  </w:tcMar>
                  <w:vAlign w:val="center"/>
                </w:tcPr>
                <w:p w14:paraId="7784DE5C">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28EE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3" w:type="pct"/>
                  <w:vMerge w:val="continue"/>
                  <w:noWrap w:val="0"/>
                  <w:tcMar>
                    <w:top w:w="120" w:type="dxa"/>
                    <w:left w:w="120" w:type="dxa"/>
                    <w:bottom w:w="120" w:type="dxa"/>
                    <w:right w:w="120" w:type="dxa"/>
                  </w:tcMar>
                  <w:vAlign w:val="center"/>
                </w:tcPr>
                <w:p w14:paraId="2C527DEA">
                  <w:pPr>
                    <w:jc w:val="center"/>
                    <w:rPr>
                      <w:rFonts w:ascii="Times New Roman" w:hAnsi="Times New Roman" w:eastAsia="宋体" w:cs="Times New Roman"/>
                      <w:color w:val="000000" w:themeColor="text1"/>
                      <w:szCs w:val="21"/>
                      <w14:textFill>
                        <w14:solidFill>
                          <w14:schemeClr w14:val="tx1"/>
                        </w14:solidFill>
                      </w14:textFill>
                    </w:rPr>
                  </w:pPr>
                </w:p>
              </w:tc>
              <w:tc>
                <w:tcPr>
                  <w:tcW w:w="441" w:type="pct"/>
                  <w:vMerge w:val="continue"/>
                  <w:noWrap w:val="0"/>
                  <w:tcMar>
                    <w:top w:w="120" w:type="dxa"/>
                    <w:left w:w="120" w:type="dxa"/>
                    <w:bottom w:w="120" w:type="dxa"/>
                    <w:right w:w="120" w:type="dxa"/>
                  </w:tcMar>
                  <w:vAlign w:val="center"/>
                </w:tcPr>
                <w:p w14:paraId="0DA72614">
                  <w:pPr>
                    <w:jc w:val="center"/>
                    <w:rPr>
                      <w:rFonts w:ascii="Times New Roman" w:hAnsi="Times New Roman" w:eastAsia="宋体" w:cs="Times New Roman"/>
                      <w:color w:val="000000" w:themeColor="text1"/>
                      <w:szCs w:val="21"/>
                      <w14:textFill>
                        <w14:solidFill>
                          <w14:schemeClr w14:val="tx1"/>
                        </w14:solidFill>
                      </w14:textFill>
                    </w:rPr>
                  </w:pPr>
                </w:p>
              </w:tc>
              <w:tc>
                <w:tcPr>
                  <w:tcW w:w="317" w:type="pct"/>
                  <w:noWrap w:val="0"/>
                  <w:tcMar>
                    <w:top w:w="120" w:type="dxa"/>
                    <w:left w:w="120" w:type="dxa"/>
                    <w:bottom w:w="120" w:type="dxa"/>
                    <w:right w:w="120" w:type="dxa"/>
                  </w:tcMar>
                  <w:vAlign w:val="center"/>
                </w:tcPr>
                <w:p w14:paraId="696306A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颗粒物</w:t>
                  </w:r>
                </w:p>
              </w:tc>
              <w:tc>
                <w:tcPr>
                  <w:tcW w:w="243" w:type="pct"/>
                  <w:vMerge w:val="continue"/>
                  <w:noWrap w:val="0"/>
                  <w:tcMar>
                    <w:top w:w="120" w:type="dxa"/>
                    <w:left w:w="120" w:type="dxa"/>
                    <w:bottom w:w="120" w:type="dxa"/>
                    <w:right w:w="120" w:type="dxa"/>
                  </w:tcMar>
                  <w:vAlign w:val="center"/>
                </w:tcPr>
                <w:p w14:paraId="67C29980">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472" w:type="pct"/>
                  <w:noWrap w:val="0"/>
                  <w:tcMar>
                    <w:top w:w="120" w:type="dxa"/>
                    <w:left w:w="120" w:type="dxa"/>
                    <w:bottom w:w="120" w:type="dxa"/>
                    <w:right w:w="120" w:type="dxa"/>
                  </w:tcMar>
                  <w:vAlign w:val="center"/>
                </w:tcPr>
                <w:p w14:paraId="2717821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3129.68</w:t>
                  </w:r>
                </w:p>
              </w:tc>
              <w:tc>
                <w:tcPr>
                  <w:tcW w:w="421" w:type="pct"/>
                  <w:noWrap w:val="0"/>
                  <w:tcMar>
                    <w:top w:w="120" w:type="dxa"/>
                    <w:left w:w="120" w:type="dxa"/>
                    <w:bottom w:w="120" w:type="dxa"/>
                    <w:right w:w="120" w:type="dxa"/>
                  </w:tcMar>
                  <w:vAlign w:val="center"/>
                </w:tcPr>
                <w:p w14:paraId="70DFA7EA">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80.14</w:t>
                  </w:r>
                </w:p>
              </w:tc>
              <w:tc>
                <w:tcPr>
                  <w:tcW w:w="421" w:type="pct"/>
                  <w:noWrap w:val="0"/>
                  <w:tcMar>
                    <w:top w:w="120" w:type="dxa"/>
                    <w:left w:w="120" w:type="dxa"/>
                    <w:bottom w:w="120" w:type="dxa"/>
                    <w:right w:w="120" w:type="dxa"/>
                  </w:tcMar>
                  <w:vAlign w:val="center"/>
                </w:tcPr>
                <w:p w14:paraId="4C093E58">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0.542</w:t>
                  </w:r>
                </w:p>
              </w:tc>
              <w:tc>
                <w:tcPr>
                  <w:tcW w:w="243" w:type="pct"/>
                  <w:vMerge w:val="continue"/>
                  <w:noWrap w:val="0"/>
                  <w:tcMar>
                    <w:top w:w="120" w:type="dxa"/>
                    <w:left w:w="120" w:type="dxa"/>
                    <w:bottom w:w="120" w:type="dxa"/>
                    <w:right w:w="120" w:type="dxa"/>
                  </w:tcMar>
                  <w:vAlign w:val="center"/>
                </w:tcPr>
                <w:p w14:paraId="69F45903">
                  <w:pPr>
                    <w:jc w:val="center"/>
                    <w:rPr>
                      <w:rFonts w:ascii="Times New Roman" w:hAnsi="Times New Roman" w:eastAsia="宋体" w:cs="Times New Roman"/>
                      <w:color w:val="000000" w:themeColor="text1"/>
                      <w:szCs w:val="21"/>
                      <w14:textFill>
                        <w14:solidFill>
                          <w14:schemeClr w14:val="tx1"/>
                        </w14:solidFill>
                      </w14:textFill>
                    </w:rPr>
                  </w:pPr>
                </w:p>
              </w:tc>
              <w:tc>
                <w:tcPr>
                  <w:tcW w:w="345" w:type="pct"/>
                  <w:noWrap w:val="0"/>
                  <w:tcMar>
                    <w:top w:w="120" w:type="dxa"/>
                    <w:left w:w="120" w:type="dxa"/>
                    <w:bottom w:w="120" w:type="dxa"/>
                    <w:right w:w="120" w:type="dxa"/>
                  </w:tcMar>
                  <w:vAlign w:val="center"/>
                </w:tcPr>
                <w:p w14:paraId="1DFA283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90</w:t>
                  </w:r>
                </w:p>
              </w:tc>
              <w:tc>
                <w:tcPr>
                  <w:tcW w:w="243" w:type="pct"/>
                  <w:vMerge w:val="continue"/>
                  <w:noWrap w:val="0"/>
                  <w:tcMar>
                    <w:top w:w="120" w:type="dxa"/>
                    <w:left w:w="120" w:type="dxa"/>
                    <w:bottom w:w="120" w:type="dxa"/>
                    <w:right w:w="120" w:type="dxa"/>
                  </w:tcMar>
                  <w:vAlign w:val="center"/>
                </w:tcPr>
                <w:p w14:paraId="2744E596">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421" w:type="pct"/>
                  <w:noWrap w:val="0"/>
                  <w:tcMar>
                    <w:top w:w="120" w:type="dxa"/>
                    <w:left w:w="120" w:type="dxa"/>
                    <w:bottom w:w="120" w:type="dxa"/>
                    <w:right w:w="120" w:type="dxa"/>
                  </w:tcMar>
                  <w:vAlign w:val="center"/>
                </w:tcPr>
                <w:p w14:paraId="5B0BD6F2">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8.02</w:t>
                  </w:r>
                </w:p>
              </w:tc>
              <w:tc>
                <w:tcPr>
                  <w:tcW w:w="421" w:type="pct"/>
                  <w:noWrap w:val="0"/>
                  <w:tcMar>
                    <w:top w:w="120" w:type="dxa"/>
                    <w:left w:w="120" w:type="dxa"/>
                    <w:bottom w:w="120" w:type="dxa"/>
                    <w:right w:w="120" w:type="dxa"/>
                  </w:tcMar>
                  <w:vAlign w:val="center"/>
                </w:tcPr>
                <w:p w14:paraId="1921C935">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0.0251</w:t>
                  </w:r>
                </w:p>
              </w:tc>
              <w:tc>
                <w:tcPr>
                  <w:tcW w:w="421" w:type="pct"/>
                  <w:noWrap w:val="0"/>
                  <w:tcMar>
                    <w:top w:w="120" w:type="dxa"/>
                    <w:left w:w="120" w:type="dxa"/>
                    <w:bottom w:w="120" w:type="dxa"/>
                    <w:right w:w="120" w:type="dxa"/>
                  </w:tcMar>
                  <w:vAlign w:val="center"/>
                </w:tcPr>
                <w:p w14:paraId="20D194D5">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0.0542</w:t>
                  </w:r>
                </w:p>
              </w:tc>
              <w:tc>
                <w:tcPr>
                  <w:tcW w:w="345" w:type="pct"/>
                  <w:vMerge w:val="continue"/>
                  <w:noWrap w:val="0"/>
                  <w:tcMar>
                    <w:top w:w="120" w:type="dxa"/>
                    <w:left w:w="120" w:type="dxa"/>
                    <w:bottom w:w="120" w:type="dxa"/>
                    <w:right w:w="120" w:type="dxa"/>
                  </w:tcMar>
                  <w:vAlign w:val="center"/>
                </w:tcPr>
                <w:p w14:paraId="6AE0DEAA">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7203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43" w:type="pct"/>
                  <w:vMerge w:val="continue"/>
                  <w:noWrap w:val="0"/>
                  <w:tcMar>
                    <w:top w:w="120" w:type="dxa"/>
                    <w:left w:w="120" w:type="dxa"/>
                    <w:bottom w:w="120" w:type="dxa"/>
                    <w:right w:w="120" w:type="dxa"/>
                  </w:tcMar>
                  <w:vAlign w:val="center"/>
                </w:tcPr>
                <w:p w14:paraId="627B15EB">
                  <w:pPr>
                    <w:jc w:val="center"/>
                    <w:rPr>
                      <w:rFonts w:ascii="Times New Roman" w:hAnsi="Times New Roman" w:eastAsia="宋体" w:cs="Times New Roman"/>
                      <w:color w:val="000000" w:themeColor="text1"/>
                      <w:szCs w:val="21"/>
                      <w14:textFill>
                        <w14:solidFill>
                          <w14:schemeClr w14:val="tx1"/>
                        </w14:solidFill>
                      </w14:textFill>
                    </w:rPr>
                  </w:pPr>
                </w:p>
              </w:tc>
              <w:tc>
                <w:tcPr>
                  <w:tcW w:w="441" w:type="pct"/>
                  <w:vMerge w:val="continue"/>
                  <w:noWrap w:val="0"/>
                  <w:tcMar>
                    <w:top w:w="120" w:type="dxa"/>
                    <w:left w:w="120" w:type="dxa"/>
                    <w:bottom w:w="120" w:type="dxa"/>
                    <w:right w:w="120" w:type="dxa"/>
                  </w:tcMar>
                  <w:vAlign w:val="center"/>
                </w:tcPr>
                <w:p w14:paraId="386A7339">
                  <w:pPr>
                    <w:jc w:val="center"/>
                    <w:rPr>
                      <w:rFonts w:ascii="Times New Roman" w:hAnsi="Times New Roman" w:eastAsia="宋体" w:cs="Times New Roman"/>
                      <w:color w:val="000000" w:themeColor="text1"/>
                      <w:szCs w:val="21"/>
                      <w14:textFill>
                        <w14:solidFill>
                          <w14:schemeClr w14:val="tx1"/>
                        </w14:solidFill>
                      </w14:textFill>
                    </w:rPr>
                  </w:pPr>
                </w:p>
              </w:tc>
              <w:tc>
                <w:tcPr>
                  <w:tcW w:w="317" w:type="pct"/>
                  <w:noWrap w:val="0"/>
                  <w:tcMar>
                    <w:top w:w="120" w:type="dxa"/>
                    <w:left w:w="120" w:type="dxa"/>
                    <w:bottom w:w="120" w:type="dxa"/>
                    <w:right w:w="120" w:type="dxa"/>
                  </w:tcMar>
                  <w:vAlign w:val="center"/>
                </w:tcPr>
                <w:p w14:paraId="48DFC92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w:t>
                  </w:r>
                </w:p>
              </w:tc>
              <w:tc>
                <w:tcPr>
                  <w:tcW w:w="243" w:type="pct"/>
                  <w:vMerge w:val="continue"/>
                  <w:noWrap w:val="0"/>
                  <w:tcMar>
                    <w:top w:w="120" w:type="dxa"/>
                    <w:left w:w="120" w:type="dxa"/>
                    <w:bottom w:w="120" w:type="dxa"/>
                    <w:right w:w="120" w:type="dxa"/>
                  </w:tcMar>
                  <w:vAlign w:val="center"/>
                </w:tcPr>
                <w:p w14:paraId="4FFC77FA">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472" w:type="pct"/>
                  <w:noWrap w:val="0"/>
                  <w:tcMar>
                    <w:top w:w="120" w:type="dxa"/>
                    <w:left w:w="120" w:type="dxa"/>
                    <w:bottom w:w="120" w:type="dxa"/>
                    <w:right w:w="120" w:type="dxa"/>
                  </w:tcMar>
                  <w:vAlign w:val="center"/>
                </w:tcPr>
                <w:p w14:paraId="7F562DD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3129.68</w:t>
                  </w:r>
                </w:p>
              </w:tc>
              <w:tc>
                <w:tcPr>
                  <w:tcW w:w="421" w:type="pct"/>
                  <w:noWrap w:val="0"/>
                  <w:tcMar>
                    <w:top w:w="120" w:type="dxa"/>
                    <w:left w:w="120" w:type="dxa"/>
                    <w:bottom w:w="120" w:type="dxa"/>
                    <w:right w:w="120" w:type="dxa"/>
                  </w:tcMar>
                  <w:vAlign w:val="center"/>
                </w:tcPr>
                <w:p w14:paraId="6C4511D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180.32</w:t>
                  </w:r>
                </w:p>
              </w:tc>
              <w:tc>
                <w:tcPr>
                  <w:tcW w:w="421" w:type="pct"/>
                  <w:noWrap w:val="0"/>
                  <w:tcMar>
                    <w:top w:w="120" w:type="dxa"/>
                    <w:left w:w="120" w:type="dxa"/>
                    <w:bottom w:w="120" w:type="dxa"/>
                    <w:right w:w="120" w:type="dxa"/>
                  </w:tcMar>
                  <w:vAlign w:val="center"/>
                </w:tcPr>
                <w:p w14:paraId="12DE106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1.219</w:t>
                  </w:r>
                </w:p>
              </w:tc>
              <w:tc>
                <w:tcPr>
                  <w:tcW w:w="243" w:type="pct"/>
                  <w:vMerge w:val="continue"/>
                  <w:noWrap w:val="0"/>
                  <w:tcMar>
                    <w:top w:w="120" w:type="dxa"/>
                    <w:left w:w="120" w:type="dxa"/>
                    <w:bottom w:w="120" w:type="dxa"/>
                    <w:right w:w="120" w:type="dxa"/>
                  </w:tcMar>
                  <w:vAlign w:val="center"/>
                </w:tcPr>
                <w:p w14:paraId="01A15154">
                  <w:pPr>
                    <w:jc w:val="center"/>
                    <w:rPr>
                      <w:rFonts w:ascii="Times New Roman" w:hAnsi="Times New Roman" w:eastAsia="宋体" w:cs="Times New Roman"/>
                      <w:color w:val="000000" w:themeColor="text1"/>
                      <w:szCs w:val="21"/>
                      <w14:textFill>
                        <w14:solidFill>
                          <w14:schemeClr w14:val="tx1"/>
                        </w14:solidFill>
                      </w14:textFill>
                    </w:rPr>
                  </w:pPr>
                </w:p>
              </w:tc>
              <w:tc>
                <w:tcPr>
                  <w:tcW w:w="345" w:type="pct"/>
                  <w:noWrap w:val="0"/>
                  <w:tcMar>
                    <w:top w:w="120" w:type="dxa"/>
                    <w:left w:w="120" w:type="dxa"/>
                    <w:bottom w:w="120" w:type="dxa"/>
                    <w:right w:w="120" w:type="dxa"/>
                  </w:tcMar>
                  <w:vAlign w:val="center"/>
                </w:tcPr>
                <w:p w14:paraId="131C2E6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243" w:type="pct"/>
                  <w:vMerge w:val="continue"/>
                  <w:noWrap w:val="0"/>
                  <w:tcMar>
                    <w:top w:w="120" w:type="dxa"/>
                    <w:left w:w="120" w:type="dxa"/>
                    <w:bottom w:w="120" w:type="dxa"/>
                    <w:right w:w="120" w:type="dxa"/>
                  </w:tcMar>
                  <w:vAlign w:val="center"/>
                </w:tcPr>
                <w:p w14:paraId="4EA6556B">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421" w:type="pct"/>
                  <w:noWrap w:val="0"/>
                  <w:tcMar>
                    <w:top w:w="120" w:type="dxa"/>
                    <w:left w:w="120" w:type="dxa"/>
                    <w:bottom w:w="120" w:type="dxa"/>
                    <w:right w:w="120" w:type="dxa"/>
                  </w:tcMar>
                  <w:vAlign w:val="center"/>
                </w:tcPr>
                <w:p w14:paraId="2297BF0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180.32</w:t>
                  </w:r>
                </w:p>
              </w:tc>
              <w:tc>
                <w:tcPr>
                  <w:tcW w:w="421" w:type="pct"/>
                  <w:noWrap w:val="0"/>
                  <w:tcMar>
                    <w:top w:w="120" w:type="dxa"/>
                    <w:left w:w="120" w:type="dxa"/>
                    <w:bottom w:w="120" w:type="dxa"/>
                    <w:right w:w="120" w:type="dxa"/>
                  </w:tcMar>
                  <w:vAlign w:val="center"/>
                </w:tcPr>
                <w:p w14:paraId="205A1CB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0.5644</w:t>
                  </w:r>
                </w:p>
              </w:tc>
              <w:tc>
                <w:tcPr>
                  <w:tcW w:w="421" w:type="pct"/>
                  <w:noWrap w:val="0"/>
                  <w:tcMar>
                    <w:top w:w="120" w:type="dxa"/>
                    <w:left w:w="120" w:type="dxa"/>
                    <w:bottom w:w="120" w:type="dxa"/>
                    <w:right w:w="120" w:type="dxa"/>
                  </w:tcMar>
                  <w:vAlign w:val="center"/>
                </w:tcPr>
                <w:p w14:paraId="40C40F1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1.219</w:t>
                  </w:r>
                </w:p>
              </w:tc>
              <w:tc>
                <w:tcPr>
                  <w:tcW w:w="345" w:type="pct"/>
                  <w:vMerge w:val="continue"/>
                  <w:noWrap w:val="0"/>
                  <w:tcMar>
                    <w:top w:w="120" w:type="dxa"/>
                    <w:left w:w="120" w:type="dxa"/>
                    <w:bottom w:w="120" w:type="dxa"/>
                    <w:right w:w="120" w:type="dxa"/>
                  </w:tcMar>
                  <w:vAlign w:val="center"/>
                </w:tcPr>
                <w:p w14:paraId="179184BB">
                  <w:pPr>
                    <w:widowControl/>
                    <w:jc w:val="center"/>
                    <w:rPr>
                      <w:rFonts w:ascii="Times New Roman" w:hAnsi="Times New Roman" w:eastAsia="宋体" w:cs="Times New Roman"/>
                      <w:color w:val="000000" w:themeColor="text1"/>
                      <w:szCs w:val="21"/>
                      <w14:textFill>
                        <w14:solidFill>
                          <w14:schemeClr w14:val="tx1"/>
                        </w14:solidFill>
                      </w14:textFill>
                    </w:rPr>
                  </w:pPr>
                </w:p>
              </w:tc>
            </w:tr>
          </w:tbl>
          <w:p w14:paraId="42B321AE">
            <w:pPr>
              <w:spacing w:line="480" w:lineRule="exact"/>
              <w:ind w:firstLine="420" w:firstLineChars="200"/>
              <w:jc w:val="both"/>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：采用</w:t>
            </w:r>
            <w:r>
              <w:rPr>
                <w:rFonts w:hint="default" w:ascii="Times New Roman" w:hAnsi="Times New Roman" w:eastAsia="宋体" w:cs="Times New Roman"/>
                <w:b w:val="0"/>
                <w:bCs w:val="0"/>
                <w:color w:val="000000" w:themeColor="text1"/>
                <w:kern w:val="0"/>
                <w:sz w:val="21"/>
                <w:szCs w:val="21"/>
                <w:lang w:bidi="ar"/>
                <w14:textFill>
                  <w14:solidFill>
                    <w14:schemeClr w14:val="tx1"/>
                  </w14:solidFill>
                </w14:textFill>
              </w:rPr>
              <w:t>低氮燃烧</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技术对</w:t>
            </w:r>
            <w:r>
              <w:rPr>
                <w:rFonts w:hint="default" w:ascii="Times New Roman" w:hAnsi="Times New Roman" w:eastAsia="宋体" w:cs="Times New Roman"/>
                <w:b w:val="0"/>
                <w:bCs w:val="0"/>
                <w:color w:val="000000" w:themeColor="text1"/>
                <w:kern w:val="0"/>
                <w:sz w:val="21"/>
                <w:szCs w:val="21"/>
                <w:lang w:bidi="ar"/>
                <w14:textFill>
                  <w14:solidFill>
                    <w14:schemeClr w14:val="tx1"/>
                  </w14:solidFill>
                </w14:textFill>
              </w:rPr>
              <w:t>NOₓ</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的</w:t>
            </w:r>
            <w:r>
              <w:rPr>
                <w:rFonts w:hint="default" w:ascii="Times New Roman" w:hAnsi="Times New Roman" w:eastAsia="宋体" w:cs="Times New Roman"/>
                <w:b w:val="0"/>
                <w:bCs w:val="0"/>
                <w:color w:val="000000" w:themeColor="text1"/>
                <w:kern w:val="0"/>
                <w:sz w:val="21"/>
                <w:szCs w:val="21"/>
                <w:lang w:bidi="ar"/>
                <w14:textFill>
                  <w14:solidFill>
                    <w14:schemeClr w14:val="tx1"/>
                  </w14:solidFill>
                </w14:textFill>
              </w:rPr>
              <w:t>治理效率</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30</w:t>
            </w:r>
            <w:r>
              <w:rPr>
                <w:rFonts w:hint="default" w:ascii="Times New Roman" w:hAnsi="Times New Roman" w:eastAsia="宋体" w:cs="Times New Roman"/>
                <w:b w:val="0"/>
                <w:bCs w:val="0"/>
                <w:color w:val="000000" w:themeColor="text1"/>
                <w:kern w:val="0"/>
                <w:sz w:val="21"/>
                <w:szCs w:val="21"/>
                <w:lang w:bidi="ar"/>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lang w:eastAsia="zh-CN" w:bidi="ar"/>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是指在通过控制燃料燃烧过程的氧量与温度来</w:t>
            </w:r>
            <w:r>
              <w:rPr>
                <w:rFonts w:hint="default" w:ascii="Times New Roman" w:hAnsi="Times New Roman" w:eastAsia="宋体" w:cs="Times New Roman"/>
                <w:b w:val="0"/>
                <w:bCs w:val="0"/>
                <w:color w:val="000000" w:themeColor="text1"/>
                <w:sz w:val="21"/>
                <w:szCs w:val="21"/>
                <w:lang w:bidi="ar"/>
                <w14:textFill>
                  <w14:solidFill>
                    <w14:schemeClr w14:val="tx1"/>
                  </w14:solidFill>
                </w14:textFill>
              </w:rPr>
              <w:t>抑制温度型和燃料型NOx生成</w:t>
            </w:r>
            <w:r>
              <w:rPr>
                <w:rFonts w:hint="default" w:ascii="Times New Roman" w:hAnsi="Times New Roman" w:eastAsia="宋体" w:cs="Times New Roman"/>
                <w:b w:val="0"/>
                <w:bCs w:val="0"/>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bidi="ar"/>
                <w14:textFill>
                  <w14:solidFill>
                    <w14:schemeClr w14:val="tx1"/>
                  </w14:solidFill>
                </w14:textFill>
              </w:rPr>
              <w:t>一般可控制减少</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30</w:t>
            </w:r>
            <w:r>
              <w:rPr>
                <w:rFonts w:hint="default" w:ascii="Times New Roman" w:hAnsi="Times New Roman" w:eastAsia="宋体" w:cs="Times New Roman"/>
                <w:b w:val="0"/>
                <w:bCs w:val="0"/>
                <w:color w:val="000000" w:themeColor="text1"/>
                <w:kern w:val="0"/>
                <w:sz w:val="21"/>
                <w:szCs w:val="21"/>
                <w:lang w:bidi="ar"/>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的</w:t>
            </w:r>
            <w:r>
              <w:rPr>
                <w:rFonts w:hint="default" w:ascii="Times New Roman" w:hAnsi="Times New Roman" w:eastAsia="宋体" w:cs="Times New Roman"/>
                <w:b w:val="0"/>
                <w:bCs w:val="0"/>
                <w:color w:val="000000" w:themeColor="text1"/>
                <w:sz w:val="21"/>
                <w:szCs w:val="21"/>
                <w:lang w:bidi="ar"/>
                <w14:textFill>
                  <w14:solidFill>
                    <w14:schemeClr w14:val="tx1"/>
                  </w14:solidFill>
                </w14:textFill>
              </w:rPr>
              <w:t>NOx生成</w:t>
            </w:r>
            <w:r>
              <w:rPr>
                <w:rFonts w:hint="default" w:ascii="Times New Roman" w:hAnsi="Times New Roman" w:eastAsia="宋体" w:cs="Times New Roman"/>
                <w:b w:val="0"/>
                <w:bCs w:val="0"/>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bidi="ar"/>
                <w14:textFill>
                  <w14:solidFill>
                    <w14:schemeClr w14:val="tx1"/>
                  </w14:solidFill>
                </w14:textFill>
              </w:rPr>
              <w:t>即从源头降低了</w:t>
            </w:r>
            <w:r>
              <w:rPr>
                <w:rFonts w:hint="default" w:ascii="Times New Roman" w:hAnsi="Times New Roman" w:eastAsia="宋体" w:cs="Times New Roman"/>
                <w:b w:val="0"/>
                <w:bCs w:val="0"/>
                <w:color w:val="000000" w:themeColor="text1"/>
                <w:sz w:val="21"/>
                <w:szCs w:val="21"/>
                <w:lang w:bidi="ar"/>
                <w14:textFill>
                  <w14:solidFill>
                    <w14:schemeClr w14:val="tx1"/>
                  </w14:solidFill>
                </w14:textFill>
              </w:rPr>
              <w:t>NOx</w:t>
            </w:r>
            <w:r>
              <w:rPr>
                <w:rFonts w:hint="default" w:ascii="Times New Roman" w:hAnsi="Times New Roman" w:eastAsia="宋体" w:cs="Times New Roman"/>
                <w:b w:val="0"/>
                <w:bCs w:val="0"/>
                <w:color w:val="000000" w:themeColor="text1"/>
                <w:sz w:val="21"/>
                <w:szCs w:val="21"/>
                <w:lang w:val="en-US" w:eastAsia="zh-CN" w:bidi="ar"/>
                <w14:textFill>
                  <w14:solidFill>
                    <w14:schemeClr w14:val="tx1"/>
                  </w14:solidFill>
                </w14:textFill>
              </w:rPr>
              <w:t>产生浓度的</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30</w:t>
            </w:r>
            <w:r>
              <w:rPr>
                <w:rFonts w:hint="default" w:ascii="Times New Roman" w:hAnsi="Times New Roman" w:eastAsia="宋体" w:cs="Times New Roman"/>
                <w:b w:val="0"/>
                <w:bCs w:val="0"/>
                <w:color w:val="000000" w:themeColor="text1"/>
                <w:kern w:val="0"/>
                <w:sz w:val="21"/>
                <w:szCs w:val="21"/>
                <w:lang w:bidi="ar"/>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lang w:eastAsia="zh-CN" w:bidi="ar"/>
                <w14:textFill>
                  <w14:solidFill>
                    <w14:schemeClr w14:val="tx1"/>
                  </w14:solidFill>
                </w14:textFill>
              </w:rPr>
              <w:t>。</w:t>
            </w:r>
          </w:p>
          <w:p w14:paraId="51BAE8FD">
            <w:pPr>
              <w:spacing w:line="480" w:lineRule="exact"/>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b/>
                <w:bCs/>
                <w:color w:val="000000" w:themeColor="text1"/>
                <w:sz w:val="24"/>
                <w14:textFill>
                  <w14:solidFill>
                    <w14:schemeClr w14:val="tx1"/>
                  </w14:solidFill>
                </w14:textFill>
              </w:rPr>
              <w:t>废气排放口基本情况表</w:t>
            </w:r>
          </w:p>
          <w:tbl>
            <w:tblPr>
              <w:tblStyle w:val="32"/>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35"/>
              <w:gridCol w:w="708"/>
              <w:gridCol w:w="988"/>
              <w:gridCol w:w="1041"/>
              <w:gridCol w:w="966"/>
              <w:gridCol w:w="697"/>
              <w:gridCol w:w="598"/>
              <w:gridCol w:w="545"/>
              <w:gridCol w:w="598"/>
              <w:gridCol w:w="657"/>
              <w:gridCol w:w="554"/>
            </w:tblGrid>
            <w:tr w14:paraId="32AD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97" w:type="pct"/>
                  <w:vMerge w:val="restart"/>
                  <w:noWrap w:val="0"/>
                  <w:vAlign w:val="center"/>
                </w:tcPr>
                <w:p w14:paraId="6FBC93B4">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排放口编号</w:t>
                  </w:r>
                </w:p>
              </w:tc>
              <w:tc>
                <w:tcPr>
                  <w:tcW w:w="443" w:type="pct"/>
                  <w:vMerge w:val="restart"/>
                  <w:noWrap w:val="0"/>
                  <w:vAlign w:val="center"/>
                </w:tcPr>
                <w:p w14:paraId="521D03F0">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排放口名称</w:t>
                  </w:r>
                </w:p>
              </w:tc>
              <w:tc>
                <w:tcPr>
                  <w:tcW w:w="618" w:type="pct"/>
                  <w:vMerge w:val="restart"/>
                  <w:noWrap w:val="0"/>
                  <w:vAlign w:val="center"/>
                </w:tcPr>
                <w:p w14:paraId="60D3D807">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污染物种类</w:t>
                  </w:r>
                </w:p>
              </w:tc>
              <w:tc>
                <w:tcPr>
                  <w:tcW w:w="1255" w:type="pct"/>
                  <w:gridSpan w:val="2"/>
                  <w:noWrap w:val="0"/>
                  <w:vAlign w:val="center"/>
                </w:tcPr>
                <w:p w14:paraId="064BC457">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排放口地理坐标</w:t>
                  </w:r>
                </w:p>
              </w:tc>
              <w:tc>
                <w:tcPr>
                  <w:tcW w:w="436" w:type="pct"/>
                  <w:vMerge w:val="restart"/>
                  <w:noWrap w:val="0"/>
                  <w:vAlign w:val="center"/>
                </w:tcPr>
                <w:p w14:paraId="18B42B3D">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color w:val="000000" w:themeColor="text1"/>
                      <w14:textFill>
                        <w14:solidFill>
                          <w14:schemeClr w14:val="tx1"/>
                        </w14:solidFill>
                      </w14:textFill>
                    </w:rPr>
                    <w:t>设计风量m</w:t>
                  </w:r>
                  <w:r>
                    <w:rPr>
                      <w:rFonts w:hint="eastAsia" w:ascii="Times New Roman" w:hAnsi="Times New Roman" w:eastAsia="宋体" w:cs="Times New Roman"/>
                      <w:b/>
                      <w:color w:val="000000" w:themeColor="text1"/>
                      <w:vertAlign w:val="superscript"/>
                      <w14:textFill>
                        <w14:solidFill>
                          <w14:schemeClr w14:val="tx1"/>
                        </w14:solidFill>
                      </w14:textFill>
                    </w:rPr>
                    <w:t>3</w:t>
                  </w:r>
                  <w:r>
                    <w:rPr>
                      <w:rFonts w:hint="eastAsia" w:ascii="Times New Roman" w:hAnsi="Times New Roman" w:eastAsia="宋体" w:cs="Times New Roman"/>
                      <w:b/>
                      <w:color w:val="000000" w:themeColor="text1"/>
                      <w14:textFill>
                        <w14:solidFill>
                          <w14:schemeClr w14:val="tx1"/>
                        </w14:solidFill>
                      </w14:textFill>
                    </w:rPr>
                    <w:t>/h</w:t>
                  </w:r>
                </w:p>
              </w:tc>
              <w:tc>
                <w:tcPr>
                  <w:tcW w:w="374" w:type="pct"/>
                  <w:vMerge w:val="restart"/>
                  <w:noWrap w:val="0"/>
                  <w:vAlign w:val="center"/>
                </w:tcPr>
                <w:p w14:paraId="158145E6">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烟气流速m/s</w:t>
                  </w:r>
                </w:p>
              </w:tc>
              <w:tc>
                <w:tcPr>
                  <w:tcW w:w="341" w:type="pct"/>
                  <w:vMerge w:val="restart"/>
                  <w:noWrap w:val="0"/>
                  <w:vAlign w:val="center"/>
                </w:tcPr>
                <w:p w14:paraId="0FFF4EE7">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排气筒</w:t>
                  </w:r>
                  <w:r>
                    <w:rPr>
                      <w:rFonts w:hint="eastAsia" w:ascii="Times New Roman" w:hAnsi="Times New Roman" w:eastAsia="宋体" w:cs="Times New Roman"/>
                      <w:b/>
                      <w:bCs/>
                      <w:color w:val="000000" w:themeColor="text1"/>
                      <w:kern w:val="0"/>
                      <w:szCs w:val="21"/>
                      <w14:textFill>
                        <w14:solidFill>
                          <w14:schemeClr w14:val="tx1"/>
                        </w14:solidFill>
                      </w14:textFill>
                    </w:rPr>
                    <w:t>内径</w:t>
                  </w:r>
                  <w:r>
                    <w:rPr>
                      <w:rFonts w:ascii="Times New Roman" w:hAnsi="Times New Roman" w:eastAsia="宋体" w:cs="Times New Roman"/>
                      <w:b/>
                      <w:bCs/>
                      <w:color w:val="000000" w:themeColor="text1"/>
                      <w:kern w:val="0"/>
                      <w:szCs w:val="21"/>
                      <w14:textFill>
                        <w14:solidFill>
                          <w14:schemeClr w14:val="tx1"/>
                        </w14:solidFill>
                      </w14:textFill>
                    </w:rPr>
                    <w:t>/m</w:t>
                  </w:r>
                </w:p>
              </w:tc>
              <w:tc>
                <w:tcPr>
                  <w:tcW w:w="374" w:type="pct"/>
                  <w:vMerge w:val="restart"/>
                  <w:noWrap w:val="0"/>
                  <w:vAlign w:val="center"/>
                </w:tcPr>
                <w:p w14:paraId="5B940EDC">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排气筒高度/m</w:t>
                  </w:r>
                </w:p>
              </w:tc>
              <w:tc>
                <w:tcPr>
                  <w:tcW w:w="411" w:type="pct"/>
                  <w:vMerge w:val="restart"/>
                  <w:noWrap w:val="0"/>
                  <w:vAlign w:val="center"/>
                </w:tcPr>
                <w:p w14:paraId="7526D392">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排气温度/℃</w:t>
                  </w:r>
                </w:p>
              </w:tc>
              <w:tc>
                <w:tcPr>
                  <w:tcW w:w="346" w:type="pct"/>
                  <w:vMerge w:val="restart"/>
                  <w:noWrap w:val="0"/>
                  <w:vAlign w:val="center"/>
                </w:tcPr>
                <w:p w14:paraId="26720F50">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排气筒类型</w:t>
                  </w:r>
                </w:p>
              </w:tc>
            </w:tr>
            <w:tr w14:paraId="2F85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97" w:type="pct"/>
                  <w:vMerge w:val="continue"/>
                  <w:noWrap w:val="0"/>
                  <w:vAlign w:val="center"/>
                </w:tcPr>
                <w:p w14:paraId="12667026">
                  <w:pPr>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443" w:type="pct"/>
                  <w:vMerge w:val="continue"/>
                  <w:noWrap w:val="0"/>
                  <w:vAlign w:val="center"/>
                </w:tcPr>
                <w:p w14:paraId="38FBE9A6">
                  <w:pPr>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618" w:type="pct"/>
                  <w:vMerge w:val="continue"/>
                  <w:noWrap w:val="0"/>
                  <w:vAlign w:val="center"/>
                </w:tcPr>
                <w:p w14:paraId="6A40AA02">
                  <w:pPr>
                    <w:jc w:val="center"/>
                    <w:rPr>
                      <w:rFonts w:ascii="Times New Roman" w:hAnsi="Times New Roman" w:eastAsia="宋体" w:cs="Times New Roman"/>
                      <w:b/>
                      <w:bCs/>
                      <w:color w:val="000000" w:themeColor="text1"/>
                      <w:kern w:val="0"/>
                      <w:szCs w:val="21"/>
                      <w14:textFill>
                        <w14:solidFill>
                          <w14:schemeClr w14:val="tx1"/>
                        </w14:solidFill>
                      </w14:textFill>
                    </w:rPr>
                  </w:pPr>
                </w:p>
              </w:tc>
              <w:tc>
                <w:tcPr>
                  <w:tcW w:w="651" w:type="pct"/>
                  <w:noWrap w:val="0"/>
                  <w:vAlign w:val="center"/>
                </w:tcPr>
                <w:p w14:paraId="15A6D65E">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经度</w:t>
                  </w:r>
                </w:p>
              </w:tc>
              <w:tc>
                <w:tcPr>
                  <w:tcW w:w="603" w:type="pct"/>
                  <w:noWrap w:val="0"/>
                  <w:vAlign w:val="center"/>
                </w:tcPr>
                <w:p w14:paraId="46E01E22">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themeColor="text1"/>
                      <w:kern w:val="0"/>
                      <w:szCs w:val="21"/>
                      <w14:textFill>
                        <w14:solidFill>
                          <w14:schemeClr w14:val="tx1"/>
                        </w14:solidFill>
                      </w14:textFill>
                    </w:rPr>
                    <w:t>纬度</w:t>
                  </w:r>
                </w:p>
              </w:tc>
              <w:tc>
                <w:tcPr>
                  <w:tcW w:w="436" w:type="pct"/>
                  <w:vMerge w:val="continue"/>
                  <w:noWrap w:val="0"/>
                  <w:vAlign w:val="center"/>
                </w:tcPr>
                <w:p w14:paraId="44E8E47A">
                  <w:pPr>
                    <w:jc w:val="center"/>
                    <w:rPr>
                      <w:rFonts w:ascii="Times New Roman" w:hAnsi="Times New Roman" w:eastAsia="宋体" w:cs="Times New Roman"/>
                      <w:color w:val="000000" w:themeColor="text1"/>
                      <w:kern w:val="0"/>
                      <w:szCs w:val="21"/>
                      <w14:textFill>
                        <w14:solidFill>
                          <w14:schemeClr w14:val="tx1"/>
                        </w14:solidFill>
                      </w14:textFill>
                    </w:rPr>
                  </w:pPr>
                </w:p>
              </w:tc>
              <w:tc>
                <w:tcPr>
                  <w:tcW w:w="374" w:type="pct"/>
                  <w:vMerge w:val="continue"/>
                  <w:noWrap w:val="0"/>
                  <w:vAlign w:val="center"/>
                </w:tcPr>
                <w:p w14:paraId="691CF5EC">
                  <w:pPr>
                    <w:jc w:val="center"/>
                    <w:rPr>
                      <w:rFonts w:ascii="Times New Roman" w:hAnsi="Times New Roman" w:eastAsia="宋体" w:cs="Times New Roman"/>
                      <w:color w:val="000000" w:themeColor="text1"/>
                      <w:kern w:val="0"/>
                      <w:szCs w:val="21"/>
                      <w14:textFill>
                        <w14:solidFill>
                          <w14:schemeClr w14:val="tx1"/>
                        </w14:solidFill>
                      </w14:textFill>
                    </w:rPr>
                  </w:pPr>
                </w:p>
              </w:tc>
              <w:tc>
                <w:tcPr>
                  <w:tcW w:w="341" w:type="pct"/>
                  <w:vMerge w:val="continue"/>
                  <w:noWrap w:val="0"/>
                  <w:vAlign w:val="center"/>
                </w:tcPr>
                <w:p w14:paraId="453BBE09">
                  <w:pPr>
                    <w:jc w:val="center"/>
                    <w:rPr>
                      <w:rFonts w:ascii="Times New Roman" w:hAnsi="Times New Roman" w:eastAsia="宋体" w:cs="Times New Roman"/>
                      <w:color w:val="000000" w:themeColor="text1"/>
                      <w:kern w:val="0"/>
                      <w:szCs w:val="21"/>
                      <w14:textFill>
                        <w14:solidFill>
                          <w14:schemeClr w14:val="tx1"/>
                        </w14:solidFill>
                      </w14:textFill>
                    </w:rPr>
                  </w:pPr>
                </w:p>
              </w:tc>
              <w:tc>
                <w:tcPr>
                  <w:tcW w:w="374" w:type="pct"/>
                  <w:vMerge w:val="continue"/>
                  <w:noWrap w:val="0"/>
                  <w:vAlign w:val="center"/>
                </w:tcPr>
                <w:p w14:paraId="23746E25">
                  <w:pPr>
                    <w:jc w:val="center"/>
                    <w:rPr>
                      <w:rFonts w:ascii="Times New Roman" w:hAnsi="Times New Roman" w:eastAsia="宋体" w:cs="Times New Roman"/>
                      <w:color w:val="000000" w:themeColor="text1"/>
                      <w:kern w:val="0"/>
                      <w:szCs w:val="21"/>
                      <w14:textFill>
                        <w14:solidFill>
                          <w14:schemeClr w14:val="tx1"/>
                        </w14:solidFill>
                      </w14:textFill>
                    </w:rPr>
                  </w:pPr>
                </w:p>
              </w:tc>
              <w:tc>
                <w:tcPr>
                  <w:tcW w:w="411" w:type="pct"/>
                  <w:vMerge w:val="continue"/>
                  <w:noWrap w:val="0"/>
                  <w:vAlign w:val="center"/>
                </w:tcPr>
                <w:p w14:paraId="6AF1A8CA">
                  <w:pPr>
                    <w:jc w:val="center"/>
                    <w:rPr>
                      <w:rFonts w:ascii="Times New Roman" w:hAnsi="Times New Roman" w:eastAsia="宋体" w:cs="Times New Roman"/>
                      <w:color w:val="000000" w:themeColor="text1"/>
                      <w:kern w:val="0"/>
                      <w:szCs w:val="21"/>
                      <w14:textFill>
                        <w14:solidFill>
                          <w14:schemeClr w14:val="tx1"/>
                        </w14:solidFill>
                      </w14:textFill>
                    </w:rPr>
                  </w:pPr>
                </w:p>
              </w:tc>
              <w:tc>
                <w:tcPr>
                  <w:tcW w:w="346" w:type="pct"/>
                  <w:vMerge w:val="continue"/>
                  <w:noWrap w:val="0"/>
                  <w:vAlign w:val="center"/>
                </w:tcPr>
                <w:p w14:paraId="3F50EEE0">
                  <w:pPr>
                    <w:jc w:val="center"/>
                    <w:rPr>
                      <w:rFonts w:ascii="Times New Roman" w:hAnsi="Times New Roman" w:eastAsia="宋体" w:cs="Times New Roman"/>
                      <w:color w:val="000000" w:themeColor="text1"/>
                      <w:kern w:val="0"/>
                      <w:szCs w:val="21"/>
                      <w14:textFill>
                        <w14:solidFill>
                          <w14:schemeClr w14:val="tx1"/>
                        </w14:solidFill>
                      </w14:textFill>
                    </w:rPr>
                  </w:pPr>
                </w:p>
              </w:tc>
            </w:tr>
            <w:tr w14:paraId="4D18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3" w:hRule="atLeast"/>
                <w:jc w:val="center"/>
              </w:trPr>
              <w:tc>
                <w:tcPr>
                  <w:tcW w:w="397" w:type="pct"/>
                  <w:noWrap w:val="0"/>
                  <w:vAlign w:val="center"/>
                </w:tcPr>
                <w:p w14:paraId="3DD39D25">
                  <w:pPr>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DA00</w:t>
                  </w:r>
                  <w:r>
                    <w:rPr>
                      <w:rFonts w:hint="eastAsia" w:ascii="Times New Roman" w:hAnsi="Times New Roman" w:eastAsia="宋体" w:cs="Times New Roman"/>
                      <w:color w:val="000000" w:themeColor="text1"/>
                      <w:kern w:val="0"/>
                      <w:szCs w:val="21"/>
                      <w14:textFill>
                        <w14:solidFill>
                          <w14:schemeClr w14:val="tx1"/>
                        </w14:solidFill>
                      </w14:textFill>
                    </w:rPr>
                    <w:t>1</w:t>
                  </w:r>
                </w:p>
              </w:tc>
              <w:tc>
                <w:tcPr>
                  <w:tcW w:w="443" w:type="pct"/>
                  <w:noWrap w:val="0"/>
                  <w:vAlign w:val="center"/>
                </w:tcPr>
                <w:p w14:paraId="2454D7C5">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锅炉</w:t>
                  </w:r>
                  <w:r>
                    <w:rPr>
                      <w:rFonts w:ascii="Times New Roman" w:hAnsi="Times New Roman" w:eastAsia="宋体" w:cs="Times New Roman"/>
                      <w:color w:val="000000" w:themeColor="text1"/>
                      <w:kern w:val="0"/>
                      <w:szCs w:val="21"/>
                      <w14:textFill>
                        <w14:solidFill>
                          <w14:schemeClr w14:val="tx1"/>
                        </w14:solidFill>
                      </w14:textFill>
                    </w:rPr>
                    <w:t>废气排放口</w:t>
                  </w:r>
                </w:p>
              </w:tc>
              <w:tc>
                <w:tcPr>
                  <w:tcW w:w="618" w:type="pct"/>
                  <w:noWrap w:val="0"/>
                  <w:vAlign w:val="center"/>
                </w:tcPr>
                <w:p w14:paraId="3249C640">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SO</w:t>
                  </w:r>
                  <w:r>
                    <w:rPr>
                      <w:rFonts w:hint="eastAsia" w:ascii="Times New Roman" w:hAnsi="Times New Roman" w:eastAsia="宋体" w:cs="Times New Roman"/>
                      <w:color w:val="000000" w:themeColor="text1"/>
                      <w:szCs w:val="21"/>
                      <w:vertAlign w:val="subscript"/>
                      <w14:textFill>
                        <w14:solidFill>
                          <w14:schemeClr w14:val="tx1"/>
                        </w14:solidFill>
                      </w14:textFill>
                    </w:rPr>
                    <w:t>2</w:t>
                  </w:r>
                  <w:r>
                    <w:rPr>
                      <w:rFonts w:hint="eastAsia" w:ascii="Times New Roman" w:hAnsi="Times New Roman" w:eastAsia="宋体" w:cs="Times New Roman"/>
                      <w:color w:val="000000" w:themeColor="text1"/>
                      <w:szCs w:val="21"/>
                      <w14:textFill>
                        <w14:solidFill>
                          <w14:schemeClr w14:val="tx1"/>
                        </w14:solidFill>
                      </w14:textFill>
                    </w:rPr>
                    <w:t>、NO</w:t>
                  </w:r>
                  <w:r>
                    <w:rPr>
                      <w:rFonts w:hint="eastAsia" w:ascii="Times New Roman" w:hAnsi="Times New Roman" w:eastAsia="宋体" w:cs="Times New Roman"/>
                      <w:color w:val="000000" w:themeColor="text1"/>
                      <w:szCs w:val="21"/>
                      <w:vertAlign w:val="subscript"/>
                      <w14:textFill>
                        <w14:solidFill>
                          <w14:schemeClr w14:val="tx1"/>
                        </w14:solidFill>
                      </w14:textFill>
                    </w:rPr>
                    <w:t>X</w:t>
                  </w:r>
                  <w:r>
                    <w:rPr>
                      <w:rFonts w:hint="eastAsia"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颗粒物、CO、烟气黑度</w:t>
                  </w:r>
                </w:p>
              </w:tc>
              <w:tc>
                <w:tcPr>
                  <w:tcW w:w="651" w:type="pct"/>
                  <w:noWrap w:val="0"/>
                  <w:vAlign w:val="center"/>
                </w:tcPr>
                <w:p w14:paraId="09892FB3">
                  <w:pPr>
                    <w:wordWrap w:val="0"/>
                    <w:overflowPunct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E110.367885366</w:t>
                  </w:r>
                  <w:r>
                    <w:rPr>
                      <w:rFonts w:ascii="Times New Roman" w:hAnsi="Times New Roman" w:eastAsia="宋体" w:cs="Times New Roman"/>
                      <w:color w:val="000000" w:themeColor="text1"/>
                      <w:kern w:val="0"/>
                      <w:szCs w:val="21"/>
                      <w14:textFill>
                        <w14:solidFill>
                          <w14:schemeClr w14:val="tx1"/>
                        </w14:solidFill>
                      </w14:textFill>
                    </w:rPr>
                    <w:t>°</w:t>
                  </w:r>
                </w:p>
              </w:tc>
              <w:tc>
                <w:tcPr>
                  <w:tcW w:w="603" w:type="pct"/>
                  <w:noWrap w:val="0"/>
                  <w:vAlign w:val="center"/>
                </w:tcPr>
                <w:p w14:paraId="66E3C8C3">
                  <w:pPr>
                    <w:wordWrap w:val="0"/>
                    <w:overflowPunct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N</w:t>
                  </w:r>
                  <w:r>
                    <w:rPr>
                      <w:rFonts w:hint="eastAsia" w:ascii="Times New Roman" w:hAnsi="Times New Roman" w:eastAsia="宋体" w:cs="Times New Roman"/>
                      <w:color w:val="000000" w:themeColor="text1"/>
                      <w14:textFill>
                        <w14:solidFill>
                          <w14:schemeClr w14:val="tx1"/>
                        </w14:solidFill>
                      </w14:textFill>
                    </w:rPr>
                    <w:t>21.202736972</w:t>
                  </w:r>
                  <w:r>
                    <w:rPr>
                      <w:rFonts w:ascii="Times New Roman" w:hAnsi="Times New Roman" w:eastAsia="宋体" w:cs="Times New Roman"/>
                      <w:color w:val="000000" w:themeColor="text1"/>
                      <w:kern w:val="0"/>
                      <w:szCs w:val="21"/>
                      <w14:textFill>
                        <w14:solidFill>
                          <w14:schemeClr w14:val="tx1"/>
                        </w14:solidFill>
                      </w14:textFill>
                    </w:rPr>
                    <w:t>°</w:t>
                  </w:r>
                </w:p>
              </w:tc>
              <w:tc>
                <w:tcPr>
                  <w:tcW w:w="436" w:type="pct"/>
                  <w:noWrap w:val="0"/>
                  <w:vAlign w:val="center"/>
                </w:tcPr>
                <w:p w14:paraId="3400A9A6">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3129.68</w:t>
                  </w:r>
                </w:p>
              </w:tc>
              <w:tc>
                <w:tcPr>
                  <w:tcW w:w="374" w:type="pct"/>
                  <w:noWrap w:val="0"/>
                  <w:vAlign w:val="center"/>
                </w:tcPr>
                <w:p w14:paraId="284A3E3A">
                  <w:pPr>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12.31</w:t>
                  </w:r>
                </w:p>
              </w:tc>
              <w:tc>
                <w:tcPr>
                  <w:tcW w:w="341" w:type="pct"/>
                  <w:noWrap w:val="0"/>
                  <w:vAlign w:val="center"/>
                </w:tcPr>
                <w:p w14:paraId="1C82FC70">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0.3</w:t>
                  </w:r>
                </w:p>
              </w:tc>
              <w:tc>
                <w:tcPr>
                  <w:tcW w:w="374" w:type="pct"/>
                  <w:noWrap w:val="0"/>
                  <w:vAlign w:val="center"/>
                </w:tcPr>
                <w:p w14:paraId="2BFF5246">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35</w:t>
                  </w:r>
                </w:p>
              </w:tc>
              <w:tc>
                <w:tcPr>
                  <w:tcW w:w="411" w:type="pct"/>
                  <w:noWrap w:val="0"/>
                  <w:vAlign w:val="center"/>
                </w:tcPr>
                <w:p w14:paraId="7C498069">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80</w:t>
                  </w:r>
                </w:p>
              </w:tc>
              <w:tc>
                <w:tcPr>
                  <w:tcW w:w="346" w:type="pct"/>
                  <w:noWrap w:val="0"/>
                  <w:vAlign w:val="center"/>
                </w:tcPr>
                <w:p w14:paraId="36659B65">
                  <w:pPr>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一般</w:t>
                  </w:r>
                </w:p>
              </w:tc>
            </w:tr>
          </w:tbl>
          <w:p w14:paraId="4194B2B0">
            <w:pPr>
              <w:spacing w:line="480" w:lineRule="exact"/>
              <w:ind w:firstLine="482" w:firstLineChars="200"/>
              <w:rPr>
                <w:rFonts w:hint="eastAsia"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1.2污染源分析</w:t>
            </w:r>
          </w:p>
          <w:p w14:paraId="576D73C6">
            <w:pPr>
              <w:adjustRightInd w:val="0"/>
              <w:snapToGrid w:val="0"/>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本项目大气污染物主要有生物质锅炉燃烧废气、污水处理臭气。</w:t>
            </w:r>
          </w:p>
          <w:p w14:paraId="440BE43E">
            <w:pPr>
              <w:adjustRightInd w:val="0"/>
              <w:snapToGrid w:val="0"/>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（1）锅炉燃烧废气</w:t>
            </w:r>
          </w:p>
          <w:p w14:paraId="39847A16">
            <w:pPr>
              <w:adjustRightInd w:val="0"/>
              <w:snapToGrid w:val="0"/>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项目拟设1台4t/h燃生物质（生物质成型燃料）锅炉，生物质成型燃料年用量1083.35t/a，为项目加温主洗、烫干烫平工序提供热能。生物质颗粒燃烧过程产生的废气主要污染物为颗粒物、SO</w:t>
            </w:r>
            <w:r>
              <w:rPr>
                <w:rFonts w:hint="eastAsia" w:ascii="Times New Roman" w:hAnsi="Times New Roman" w:eastAsia="宋体" w:cs="Times New Roman"/>
                <w:color w:val="000000" w:themeColor="text1"/>
                <w:sz w:val="24"/>
                <w:vertAlign w:val="subscript"/>
                <w14:textFill>
                  <w14:solidFill>
                    <w14:schemeClr w14:val="tx1"/>
                  </w14:solidFill>
                </w14:textFill>
              </w:rPr>
              <w:t>2</w:t>
            </w:r>
            <w:r>
              <w:rPr>
                <w:rFonts w:hint="eastAsia" w:ascii="Times New Roman" w:hAnsi="Times New Roman" w:eastAsia="宋体" w:cs="Times New Roman"/>
                <w:color w:val="000000" w:themeColor="text1"/>
                <w:sz w:val="24"/>
                <w14:textFill>
                  <w14:solidFill>
                    <w14:schemeClr w14:val="tx1"/>
                  </w14:solidFill>
                </w14:textFill>
              </w:rPr>
              <w:t>、NOx、CO和烟气黑度。</w:t>
            </w:r>
          </w:p>
          <w:p w14:paraId="031D88C5">
            <w:pPr>
              <w:pStyle w:val="13"/>
              <w:adjustRightInd w:val="0"/>
              <w:snapToGrid w:val="0"/>
              <w:spacing w:line="480" w:lineRule="exact"/>
              <w:ind w:firstLine="480" w:firstLineChars="200"/>
              <w:rPr>
                <w:rFonts w:hint="eastAsia" w:ascii="Times New Roman" w:hAnsi="Times New Roman" w:eastAsia="宋体"/>
                <w:color w:val="000000" w:themeColor="text1"/>
                <w:sz w:val="24"/>
                <w:szCs w:val="24"/>
                <w:lang w:bidi="ar"/>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项目生物质锅炉产生的SO</w:t>
            </w:r>
            <w:r>
              <w:rPr>
                <w:rFonts w:hint="eastAsia" w:ascii="Times New Roman" w:hAnsi="Times New Roman" w:eastAsia="宋体"/>
                <w:color w:val="000000" w:themeColor="text1"/>
                <w:sz w:val="24"/>
                <w:szCs w:val="24"/>
                <w:vertAlign w:val="subscript"/>
                <w14:textFill>
                  <w14:solidFill>
                    <w14:schemeClr w14:val="tx1"/>
                  </w14:solidFill>
                </w14:textFill>
              </w:rPr>
              <w:t>2</w:t>
            </w:r>
            <w:r>
              <w:rPr>
                <w:rFonts w:hint="eastAsia" w:ascii="Times New Roman" w:hAnsi="Times New Roman" w:eastAsia="宋体"/>
                <w:color w:val="000000" w:themeColor="text1"/>
                <w:sz w:val="24"/>
                <w:szCs w:val="24"/>
                <w14:textFill>
                  <w14:solidFill>
                    <w14:schemeClr w14:val="tx1"/>
                  </w14:solidFill>
                </w14:textFill>
              </w:rPr>
              <w:t>、NOx及颗粒物参照《排放源统计调查产排污核算方法和系数手册》（生态环境部公告2021年第24号）中4430锅炉产排污量核算系数手册-4430工业锅炉（热力生产和供应行业）产物系数表-生物质工业锅炉的产污系数进行计算。则项目的燃生物质锅炉的产排污系数详见下表。</w:t>
            </w:r>
          </w:p>
          <w:p w14:paraId="586080AA">
            <w:pPr>
              <w:adjustRightInd w:val="0"/>
              <w:snapToGrid w:val="0"/>
              <w:spacing w:line="480" w:lineRule="exact"/>
              <w:ind w:firstLine="482" w:firstLineChars="200"/>
              <w:jc w:val="center"/>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表4-3生物质锅炉污染物产生情况一览表</w:t>
            </w:r>
          </w:p>
          <w:tbl>
            <w:tblPr>
              <w:tblStyle w:val="32"/>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5"/>
              <w:gridCol w:w="845"/>
              <w:gridCol w:w="1159"/>
              <w:gridCol w:w="1188"/>
              <w:gridCol w:w="1569"/>
              <w:gridCol w:w="1206"/>
              <w:gridCol w:w="1207"/>
            </w:tblGrid>
            <w:tr w14:paraId="6D64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65" w:type="dxa"/>
                  <w:noWrap w:val="0"/>
                  <w:vAlign w:val="center"/>
                </w:tcPr>
                <w:p w14:paraId="5CF7F07B">
                  <w:pPr>
                    <w:jc w:val="center"/>
                    <w:rPr>
                      <w:rFonts w:hint="eastAsia"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原料名称</w:t>
                  </w:r>
                </w:p>
              </w:tc>
              <w:tc>
                <w:tcPr>
                  <w:tcW w:w="897" w:type="dxa"/>
                  <w:noWrap w:val="0"/>
                  <w:vAlign w:val="center"/>
                </w:tcPr>
                <w:p w14:paraId="67C612E5">
                  <w:pPr>
                    <w:jc w:val="center"/>
                    <w:rPr>
                      <w:rFonts w:hint="eastAsia"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工艺名称</w:t>
                  </w:r>
                </w:p>
              </w:tc>
              <w:tc>
                <w:tcPr>
                  <w:tcW w:w="1231" w:type="dxa"/>
                  <w:noWrap w:val="0"/>
                  <w:vAlign w:val="center"/>
                </w:tcPr>
                <w:p w14:paraId="4161A9BD">
                  <w:pPr>
                    <w:jc w:val="center"/>
                    <w:rPr>
                      <w:rFonts w:hint="eastAsia"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污染物</w:t>
                  </w:r>
                </w:p>
              </w:tc>
              <w:tc>
                <w:tcPr>
                  <w:tcW w:w="1261" w:type="dxa"/>
                  <w:noWrap w:val="0"/>
                  <w:vAlign w:val="center"/>
                </w:tcPr>
                <w:p w14:paraId="13E13E81">
                  <w:pPr>
                    <w:jc w:val="center"/>
                    <w:rPr>
                      <w:rFonts w:hint="eastAsia"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产污系数</w:t>
                  </w:r>
                </w:p>
              </w:tc>
              <w:tc>
                <w:tcPr>
                  <w:tcW w:w="1666" w:type="dxa"/>
                  <w:noWrap w:val="0"/>
                  <w:vAlign w:val="center"/>
                </w:tcPr>
                <w:p w14:paraId="2EE6EC19">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单位</w:t>
                  </w:r>
                </w:p>
              </w:tc>
              <w:tc>
                <w:tcPr>
                  <w:tcW w:w="1281" w:type="dxa"/>
                  <w:noWrap w:val="0"/>
                  <w:vAlign w:val="center"/>
                </w:tcPr>
                <w:p w14:paraId="55385BBB">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产生量</w:t>
                  </w:r>
                </w:p>
              </w:tc>
              <w:tc>
                <w:tcPr>
                  <w:tcW w:w="1282" w:type="dxa"/>
                  <w:noWrap w:val="0"/>
                  <w:vAlign w:val="center"/>
                </w:tcPr>
                <w:p w14:paraId="0EBCCB4B">
                  <w:pPr>
                    <w:jc w:val="center"/>
                    <w:rPr>
                      <w:rFonts w:ascii="Times New Roman" w:hAnsi="Times New Roman" w:eastAsia="宋体"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themeColor="text1"/>
                      <w:kern w:val="0"/>
                      <w:szCs w:val="21"/>
                      <w14:textFill>
                        <w14:solidFill>
                          <w14:schemeClr w14:val="tx1"/>
                        </w14:solidFill>
                      </w14:textFill>
                    </w:rPr>
                    <w:t>单位</w:t>
                  </w:r>
                </w:p>
              </w:tc>
            </w:tr>
            <w:tr w14:paraId="26A9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865" w:type="dxa"/>
                  <w:vMerge w:val="restart"/>
                  <w:noWrap w:val="0"/>
                  <w:vAlign w:val="center"/>
                </w:tcPr>
                <w:p w14:paraId="27CAAF75">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生物质燃料</w:t>
                  </w:r>
                </w:p>
              </w:tc>
              <w:tc>
                <w:tcPr>
                  <w:tcW w:w="897" w:type="dxa"/>
                  <w:vMerge w:val="restart"/>
                  <w:noWrap w:val="0"/>
                  <w:vAlign w:val="center"/>
                </w:tcPr>
                <w:p w14:paraId="3DFE2234">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层燃炉</w:t>
                  </w:r>
                </w:p>
              </w:tc>
              <w:tc>
                <w:tcPr>
                  <w:tcW w:w="1231" w:type="dxa"/>
                  <w:noWrap w:val="0"/>
                  <w:vAlign w:val="center"/>
                </w:tcPr>
                <w:p w14:paraId="070A443D">
                  <w:pPr>
                    <w:jc w:val="left"/>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工业废气量</w:t>
                  </w:r>
                </w:p>
              </w:tc>
              <w:tc>
                <w:tcPr>
                  <w:tcW w:w="1261" w:type="dxa"/>
                  <w:noWrap w:val="0"/>
                  <w:vAlign w:val="center"/>
                </w:tcPr>
                <w:p w14:paraId="515CE2DA">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6240</w:t>
                  </w:r>
                </w:p>
              </w:tc>
              <w:tc>
                <w:tcPr>
                  <w:tcW w:w="1666" w:type="dxa"/>
                  <w:noWrap w:val="0"/>
                  <w:vAlign w:val="center"/>
                </w:tcPr>
                <w:p w14:paraId="1F42F293">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标立方米/吨-原料</w:t>
                  </w:r>
                </w:p>
              </w:tc>
              <w:tc>
                <w:tcPr>
                  <w:tcW w:w="1281" w:type="dxa"/>
                  <w:noWrap w:val="0"/>
                  <w:vAlign w:val="center"/>
                </w:tcPr>
                <w:p w14:paraId="25E4E197">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6760104</w:t>
                  </w:r>
                </w:p>
              </w:tc>
              <w:tc>
                <w:tcPr>
                  <w:tcW w:w="1282" w:type="dxa"/>
                  <w:noWrap w:val="0"/>
                  <w:vAlign w:val="center"/>
                </w:tcPr>
                <w:p w14:paraId="3C52BF42">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m</w:t>
                  </w:r>
                  <w:r>
                    <w:rPr>
                      <w:rFonts w:hint="eastAsia" w:ascii="Times New Roman" w:hAnsi="Times New Roman" w:eastAsia="宋体" w:cs="Times New Roman"/>
                      <w:color w:val="000000" w:themeColor="text1"/>
                      <w:kern w:val="0"/>
                      <w:szCs w:val="21"/>
                      <w:vertAlign w:val="superscript"/>
                      <w14:textFill>
                        <w14:solidFill>
                          <w14:schemeClr w14:val="tx1"/>
                        </w14:solidFill>
                      </w14:textFill>
                    </w:rPr>
                    <w:t>3</w:t>
                  </w:r>
                  <w:r>
                    <w:rPr>
                      <w:rFonts w:hint="eastAsia" w:ascii="Times New Roman" w:hAnsi="Times New Roman" w:eastAsia="宋体" w:cs="Times New Roman"/>
                      <w:color w:val="000000" w:themeColor="text1"/>
                      <w:kern w:val="0"/>
                      <w:szCs w:val="21"/>
                      <w14:textFill>
                        <w14:solidFill>
                          <w14:schemeClr w14:val="tx1"/>
                        </w14:solidFill>
                      </w14:textFill>
                    </w:rPr>
                    <w:t>/a</w:t>
                  </w:r>
                </w:p>
              </w:tc>
            </w:tr>
            <w:tr w14:paraId="2F5A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5" w:type="dxa"/>
                  <w:vMerge w:val="continue"/>
                  <w:noWrap w:val="0"/>
                  <w:vAlign w:val="center"/>
                </w:tcPr>
                <w:p w14:paraId="0315838C">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897" w:type="dxa"/>
                  <w:vMerge w:val="continue"/>
                  <w:noWrap w:val="0"/>
                  <w:vAlign w:val="center"/>
                </w:tcPr>
                <w:p w14:paraId="2A40265F">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1231" w:type="dxa"/>
                  <w:noWrap w:val="0"/>
                  <w:vAlign w:val="center"/>
                </w:tcPr>
                <w:p w14:paraId="3AE2470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SO</w:t>
                  </w:r>
                  <w:r>
                    <w:rPr>
                      <w:rFonts w:hint="eastAsia" w:ascii="Times New Roman" w:hAnsi="Times New Roman" w:eastAsia="宋体" w:cs="Times New Roman"/>
                      <w:color w:val="000000" w:themeColor="text1"/>
                      <w:szCs w:val="21"/>
                      <w:vertAlign w:val="subscript"/>
                      <w14:textFill>
                        <w14:solidFill>
                          <w14:schemeClr w14:val="tx1"/>
                        </w14:solidFill>
                      </w14:textFill>
                    </w:rPr>
                    <w:t>2</w:t>
                  </w:r>
                </w:p>
              </w:tc>
              <w:tc>
                <w:tcPr>
                  <w:tcW w:w="1261" w:type="dxa"/>
                  <w:noWrap w:val="0"/>
                  <w:vAlign w:val="center"/>
                </w:tcPr>
                <w:p w14:paraId="65D61C9A">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17S*</w:t>
                  </w:r>
                </w:p>
              </w:tc>
              <w:tc>
                <w:tcPr>
                  <w:tcW w:w="1666" w:type="dxa"/>
                  <w:noWrap w:val="0"/>
                  <w:vAlign w:val="center"/>
                </w:tcPr>
                <w:p w14:paraId="7F57888A">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千克/吨-原料</w:t>
                  </w:r>
                </w:p>
              </w:tc>
              <w:tc>
                <w:tcPr>
                  <w:tcW w:w="1281" w:type="dxa"/>
                  <w:noWrap w:val="0"/>
                  <w:vAlign w:val="center"/>
                </w:tcPr>
                <w:p w14:paraId="4131A099">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0.1842</w:t>
                  </w:r>
                </w:p>
              </w:tc>
              <w:tc>
                <w:tcPr>
                  <w:tcW w:w="1282" w:type="dxa"/>
                  <w:noWrap w:val="0"/>
                  <w:vAlign w:val="center"/>
                </w:tcPr>
                <w:p w14:paraId="0352E99B">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t/a</w:t>
                  </w:r>
                </w:p>
              </w:tc>
            </w:tr>
            <w:tr w14:paraId="05EC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 w:hRule="atLeast"/>
                <w:jc w:val="center"/>
              </w:trPr>
              <w:tc>
                <w:tcPr>
                  <w:tcW w:w="865" w:type="dxa"/>
                  <w:vMerge w:val="continue"/>
                  <w:noWrap w:val="0"/>
                  <w:vAlign w:val="center"/>
                </w:tcPr>
                <w:p w14:paraId="7B57C1B5">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897" w:type="dxa"/>
                  <w:vMerge w:val="continue"/>
                  <w:noWrap w:val="0"/>
                  <w:vAlign w:val="center"/>
                </w:tcPr>
                <w:p w14:paraId="0C8B02EB">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1231" w:type="dxa"/>
                  <w:noWrap w:val="0"/>
                  <w:vAlign w:val="center"/>
                </w:tcPr>
                <w:p w14:paraId="0B0C852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NOx</w:t>
                  </w:r>
                </w:p>
              </w:tc>
              <w:tc>
                <w:tcPr>
                  <w:tcW w:w="1261" w:type="dxa"/>
                  <w:noWrap w:val="0"/>
                  <w:vAlign w:val="center"/>
                </w:tcPr>
                <w:p w14:paraId="4FF46A28">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1.02</w:t>
                  </w:r>
                </w:p>
              </w:tc>
              <w:tc>
                <w:tcPr>
                  <w:tcW w:w="1666" w:type="dxa"/>
                  <w:noWrap w:val="0"/>
                  <w:vAlign w:val="center"/>
                </w:tcPr>
                <w:p w14:paraId="47DC0510">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千克/吨-原料</w:t>
                  </w:r>
                </w:p>
              </w:tc>
              <w:tc>
                <w:tcPr>
                  <w:tcW w:w="1281" w:type="dxa"/>
                  <w:noWrap w:val="0"/>
                  <w:vAlign w:val="center"/>
                </w:tcPr>
                <w:p w14:paraId="0D72D6DA">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1.105</w:t>
                  </w:r>
                </w:p>
              </w:tc>
              <w:tc>
                <w:tcPr>
                  <w:tcW w:w="1282" w:type="dxa"/>
                  <w:noWrap w:val="0"/>
                  <w:vAlign w:val="center"/>
                </w:tcPr>
                <w:p w14:paraId="1E6D7413">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t/a</w:t>
                  </w:r>
                </w:p>
              </w:tc>
            </w:tr>
            <w:tr w14:paraId="4080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65" w:type="dxa"/>
                  <w:vMerge w:val="continue"/>
                  <w:noWrap w:val="0"/>
                  <w:vAlign w:val="center"/>
                </w:tcPr>
                <w:p w14:paraId="7878C058">
                  <w:pPr>
                    <w:adjustRightInd w:val="0"/>
                    <w:snapToGrid w:val="0"/>
                    <w:jc w:val="center"/>
                    <w:rPr>
                      <w:rFonts w:hint="eastAsia" w:ascii="Times New Roman" w:hAnsi="Times New Roman" w:eastAsia="宋体" w:cs="Times New Roman"/>
                      <w:color w:val="000000" w:themeColor="text1"/>
                      <w:kern w:val="0"/>
                      <w:szCs w:val="21"/>
                      <w14:textFill>
                        <w14:solidFill>
                          <w14:schemeClr w14:val="tx1"/>
                        </w14:solidFill>
                      </w14:textFill>
                    </w:rPr>
                  </w:pPr>
                </w:p>
              </w:tc>
              <w:tc>
                <w:tcPr>
                  <w:tcW w:w="897" w:type="dxa"/>
                  <w:vMerge w:val="continue"/>
                  <w:noWrap w:val="0"/>
                  <w:vAlign w:val="center"/>
                </w:tcPr>
                <w:p w14:paraId="757DD898">
                  <w:pPr>
                    <w:adjustRightInd w:val="0"/>
                    <w:snapToGrid w:val="0"/>
                    <w:jc w:val="center"/>
                    <w:rPr>
                      <w:rFonts w:ascii="Times New Roman" w:hAnsi="Times New Roman" w:eastAsia="宋体" w:cs="Times New Roman"/>
                      <w:color w:val="000000" w:themeColor="text1"/>
                      <w:kern w:val="0"/>
                      <w:szCs w:val="21"/>
                      <w14:textFill>
                        <w14:solidFill>
                          <w14:schemeClr w14:val="tx1"/>
                        </w14:solidFill>
                      </w14:textFill>
                    </w:rPr>
                  </w:pPr>
                </w:p>
              </w:tc>
              <w:tc>
                <w:tcPr>
                  <w:tcW w:w="1231" w:type="dxa"/>
                  <w:noWrap w:val="0"/>
                  <w:vAlign w:val="center"/>
                </w:tcPr>
                <w:p w14:paraId="01BE4882">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颗粒物</w:t>
                  </w:r>
                </w:p>
              </w:tc>
              <w:tc>
                <w:tcPr>
                  <w:tcW w:w="1261" w:type="dxa"/>
                  <w:noWrap w:val="0"/>
                  <w:vAlign w:val="center"/>
                </w:tcPr>
                <w:p w14:paraId="579D385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0.5</w:t>
                  </w:r>
                </w:p>
              </w:tc>
              <w:tc>
                <w:tcPr>
                  <w:tcW w:w="1666" w:type="dxa"/>
                  <w:noWrap w:val="0"/>
                  <w:vAlign w:val="center"/>
                </w:tcPr>
                <w:p w14:paraId="5C1D5CE2">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千克/吨-原料</w:t>
                  </w:r>
                </w:p>
              </w:tc>
              <w:tc>
                <w:tcPr>
                  <w:tcW w:w="1281" w:type="dxa"/>
                  <w:noWrap w:val="0"/>
                  <w:vAlign w:val="center"/>
                </w:tcPr>
                <w:p w14:paraId="11D50F47">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0.5417</w:t>
                  </w:r>
                </w:p>
              </w:tc>
              <w:tc>
                <w:tcPr>
                  <w:tcW w:w="1282" w:type="dxa"/>
                  <w:noWrap w:val="0"/>
                  <w:vAlign w:val="center"/>
                </w:tcPr>
                <w:p w14:paraId="3854CE49">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t/a</w:t>
                  </w:r>
                </w:p>
              </w:tc>
            </w:tr>
          </w:tbl>
          <w:p w14:paraId="78D92AE2">
            <w:pPr>
              <w:adjustRightInd w:val="0"/>
              <w:snapToGrid w:val="0"/>
              <w:ind w:firstLine="420" w:firstLineChars="200"/>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注*：二氧化硫的产污系数是以含硫量(S%)的形式表示的，其中含硫量(S%)是指生物质收到基硫分含量，以质量百分数的形式表示。例如生物质中含硫量(S%)为0.1%，则S=0.1。根据《工业锅炉用生物质成型燃料》（DB44/T1052-2018）规定，生物质成型燃料全硫的含量≤0.1%，根据建设单位提供的生物质成型燃料的检测报告（详见附件7），项目使用的生物质成型燃料的含硫量为“0.01%”，则本评价按0.01%进行核算。</w:t>
            </w:r>
          </w:p>
          <w:p w14:paraId="1347281C">
            <w:pPr>
              <w:pStyle w:val="13"/>
              <w:adjustRightInd w:val="0"/>
              <w:snapToGrid w:val="0"/>
              <w:spacing w:line="480" w:lineRule="exact"/>
              <w:ind w:firstLine="480" w:firstLineChars="200"/>
              <w:rPr>
                <w:rFonts w:hint="eastAsia"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项目生物质锅炉产生的CO主要来源于燃料不完全燃烧产生的，通过优化燃烧条件、改进燃料质量、加强设备维护，可以有效控制CO的生成，这不仅能提高锅炉效率，也能减少排放，保障安全。由于无相关CO的产排污系数可参考，本项目引用《广东铭盛生物科技有限公司公用工程热力生产供应技术改造项目环境影响报告表》，批文号为：遂环建函[2022]33号，该项目生物质锅炉为8t/h，根据该项目验收监测报告可知，该项目验收监测实测的平均风量为13600m</w:t>
            </w:r>
            <w:r>
              <w:rPr>
                <w:rFonts w:hint="eastAsia" w:ascii="Times New Roman" w:hAnsi="Times New Roman" w:eastAsia="宋体"/>
                <w:color w:val="000000" w:themeColor="text1"/>
                <w:sz w:val="24"/>
                <w:szCs w:val="24"/>
                <w:vertAlign w:val="superscript"/>
                <w14:textFill>
                  <w14:solidFill>
                    <w14:schemeClr w14:val="tx1"/>
                  </w14:solidFill>
                </w14:textFill>
              </w:rPr>
              <w:t>3</w:t>
            </w:r>
            <w:r>
              <w:rPr>
                <w:rFonts w:hint="eastAsia" w:ascii="Times New Roman" w:hAnsi="Times New Roman" w:eastAsia="宋体"/>
                <w:color w:val="000000" w:themeColor="text1"/>
                <w:sz w:val="24"/>
                <w:szCs w:val="24"/>
                <w14:textFill>
                  <w14:solidFill>
                    <w14:schemeClr w14:val="tx1"/>
                  </w14:solidFill>
                </w14:textFill>
              </w:rPr>
              <w:t>/h，实测平均浓度为133mg/m</w:t>
            </w:r>
            <w:r>
              <w:rPr>
                <w:rFonts w:hint="eastAsia" w:ascii="Times New Roman" w:hAnsi="Times New Roman" w:eastAsia="宋体"/>
                <w:color w:val="000000" w:themeColor="text1"/>
                <w:sz w:val="24"/>
                <w:szCs w:val="24"/>
                <w:vertAlign w:val="superscript"/>
                <w14:textFill>
                  <w14:solidFill>
                    <w14:schemeClr w14:val="tx1"/>
                  </w14:solidFill>
                </w14:textFill>
              </w:rPr>
              <w:t>3</w:t>
            </w:r>
            <w:r>
              <w:rPr>
                <w:rFonts w:hint="eastAsia" w:ascii="Times New Roman" w:hAnsi="Times New Roman" w:eastAsia="宋体"/>
                <w:color w:val="000000" w:themeColor="text1"/>
                <w:sz w:val="24"/>
                <w:szCs w:val="24"/>
                <w14:textFill>
                  <w14:solidFill>
                    <w14:schemeClr w14:val="tx1"/>
                  </w14:solidFill>
                </w14:textFill>
              </w:rPr>
              <w:t>，锅炉年工作时间为250d，一天24h（6000h）。</w:t>
            </w:r>
          </w:p>
          <w:p w14:paraId="5C2D8560">
            <w:pPr>
              <w:pStyle w:val="13"/>
              <w:adjustRightInd w:val="0"/>
              <w:snapToGrid w:val="0"/>
              <w:spacing w:line="480" w:lineRule="exact"/>
              <w:ind w:firstLine="480" w:firstLineChars="200"/>
              <w:rPr>
                <w:rFonts w:hint="eastAsia" w:ascii="Times New Roman" w:hAnsi="Times New Roman" w:eastAsia="宋体"/>
                <w:color w:val="000000" w:themeColor="text1"/>
                <w:sz w:val="24"/>
                <w:szCs w:val="24"/>
                <w14:textFill>
                  <w14:solidFill>
                    <w14:schemeClr w14:val="tx1"/>
                  </w14:solidFill>
                </w14:textFill>
              </w:rPr>
            </w:pPr>
            <w:r>
              <w:rPr>
                <w:rFonts w:hint="eastAsia" w:ascii="Times New Roman" w:hAnsi="Times New Roman" w:eastAsia="宋体"/>
                <w:color w:val="000000" w:themeColor="text1"/>
                <w:sz w:val="24"/>
                <w:szCs w:val="24"/>
                <w14:textFill>
                  <w14:solidFill>
                    <w14:schemeClr w14:val="tx1"/>
                  </w14:solidFill>
                </w14:textFill>
              </w:rPr>
              <w:t>本项目生物质锅炉设备4t/h，生物质成型燃料年用量1083.35t/a，年运行360d，一天6h，与其锅炉使用情况类似，类比可行。</w:t>
            </w:r>
            <w:r>
              <w:rPr>
                <w:rFonts w:hint="eastAsia" w:ascii="Times New Roman" w:hAnsi="Times New Roman" w:eastAsia="宋体"/>
                <w:color w:val="000000" w:themeColor="text1"/>
                <w:sz w:val="24"/>
                <w:szCs w:val="24"/>
                <w:highlight w:val="none"/>
                <w14:textFill>
                  <w14:solidFill>
                    <w14:schemeClr w14:val="tx1"/>
                  </w14:solidFill>
                </w14:textFill>
              </w:rPr>
              <w:t>该项目生物质燃料使用量为9600t/a，</w:t>
            </w:r>
            <w:r>
              <w:rPr>
                <w:rFonts w:hint="eastAsia" w:ascii="Times New Roman" w:hAnsi="Times New Roman" w:eastAsia="宋体"/>
                <w:color w:val="000000" w:themeColor="text1"/>
                <w:sz w:val="24"/>
                <w:szCs w:val="24"/>
                <w14:textFill>
                  <w14:solidFill>
                    <w14:schemeClr w14:val="tx1"/>
                  </w14:solidFill>
                </w14:textFill>
              </w:rPr>
              <w:t>一氧化碳实测浓度为133mg/m</w:t>
            </w:r>
            <w:r>
              <w:rPr>
                <w:rFonts w:hint="eastAsia" w:ascii="Times New Roman" w:hAnsi="Times New Roman" w:eastAsia="宋体"/>
                <w:color w:val="000000" w:themeColor="text1"/>
                <w:sz w:val="24"/>
                <w:szCs w:val="24"/>
                <w:vertAlign w:val="superscript"/>
                <w14:textFill>
                  <w14:solidFill>
                    <w14:schemeClr w14:val="tx1"/>
                  </w14:solidFill>
                </w14:textFill>
              </w:rPr>
              <w:t>3</w:t>
            </w:r>
            <w:r>
              <w:rPr>
                <w:rFonts w:hint="eastAsia" w:ascii="Times New Roman" w:hAnsi="Times New Roman" w:eastAsia="宋体"/>
                <w:color w:val="000000" w:themeColor="text1"/>
                <w:sz w:val="24"/>
                <w:szCs w:val="24"/>
                <w14:textFill>
                  <w14:solidFill>
                    <w14:schemeClr w14:val="tx1"/>
                  </w14:solidFill>
                </w14:textFill>
              </w:rPr>
              <w:t>，风量为13600m</w:t>
            </w:r>
            <w:r>
              <w:rPr>
                <w:rFonts w:hint="eastAsia" w:ascii="Times New Roman" w:hAnsi="Times New Roman" w:eastAsia="宋体"/>
                <w:color w:val="000000" w:themeColor="text1"/>
                <w:sz w:val="24"/>
                <w:szCs w:val="24"/>
                <w:vertAlign w:val="superscript"/>
                <w14:textFill>
                  <w14:solidFill>
                    <w14:schemeClr w14:val="tx1"/>
                  </w14:solidFill>
                </w14:textFill>
              </w:rPr>
              <w:t>3</w:t>
            </w:r>
            <w:r>
              <w:rPr>
                <w:rFonts w:hint="eastAsia" w:ascii="Times New Roman" w:hAnsi="Times New Roman" w:eastAsia="宋体"/>
                <w:color w:val="000000" w:themeColor="text1"/>
                <w:sz w:val="24"/>
                <w:szCs w:val="24"/>
                <w14:textFill>
                  <w14:solidFill>
                    <w14:schemeClr w14:val="tx1"/>
                  </w14:solidFill>
                </w14:textFill>
              </w:rPr>
              <w:t>/h，则一氧化碳的产生量为10.8t/a。根据该项目生物质燃料使用量和一氧化碳的产生量可计算出一氧化碳的单位产品量为1.125kg/t（原料）。本项目引用该系数，</w:t>
            </w:r>
            <w:r>
              <w:rPr>
                <w:rFonts w:hint="eastAsia" w:ascii="Times New Roman" w:hAnsi="Times New Roman" w:eastAsia="宋体" w:cs="宋体"/>
                <w:color w:val="000000" w:themeColor="text1"/>
                <w:sz w:val="24"/>
                <w:szCs w:val="24"/>
                <w14:textFill>
                  <w14:solidFill>
                    <w14:schemeClr w14:val="tx1"/>
                  </w14:solidFill>
                </w14:textFill>
              </w:rPr>
              <w:t>C</w:t>
            </w:r>
            <w:r>
              <w:rPr>
                <w:rFonts w:hint="eastAsia" w:ascii="Times New Roman" w:hAnsi="Times New Roman" w:eastAsia="宋体"/>
                <w:color w:val="000000" w:themeColor="text1"/>
                <w:sz w:val="24"/>
                <w:szCs w:val="24"/>
                <w14:textFill>
                  <w14:solidFill>
                    <w14:schemeClr w14:val="tx1"/>
                  </w14:solidFill>
                </w14:textFill>
              </w:rPr>
              <w:t>O产生量</w:t>
            </w:r>
            <w:r>
              <w:rPr>
                <w:rFonts w:hint="eastAsia" w:ascii="Times New Roman" w:hAnsi="Times New Roman" w:eastAsia="宋体"/>
                <w:color w:val="000000" w:themeColor="text1"/>
                <w:sz w:val="24"/>
                <w:szCs w:val="24"/>
                <w:lang w:val="en-US" w:eastAsia="zh-CN"/>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1.125kg/t原料</w:t>
            </w:r>
            <w:r>
              <w:rPr>
                <w:rFonts w:hint="eastAsia" w:ascii="Times New Roman" w:hAnsi="Times New Roman" w:eastAsia="宋体"/>
                <w:color w:val="000000" w:themeColor="text1"/>
                <w:sz w:val="24"/>
                <w:szCs w:val="24"/>
                <w:lang w:val="en-US" w:eastAsia="zh-CN"/>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1083.35t/a≈1.219t/a，根据本项目实际风量6760104</w:t>
            </w:r>
            <w:r>
              <w:rPr>
                <w:rFonts w:hint="eastAsia" w:ascii="Times New Roman" w:hAnsi="Times New Roman" w:eastAsia="宋体"/>
                <w:color w:val="000000" w:themeColor="text1"/>
                <w:sz w:val="24"/>
                <w:szCs w:val="24"/>
                <w:lang w:val="en-US" w:eastAsia="zh-CN"/>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2160h</w:t>
            </w:r>
            <w:r>
              <w:rPr>
                <w:rFonts w:hint="eastAsia" w:ascii="Times New Roman" w:hAnsi="Times New Roman" w:eastAsia="宋体"/>
                <w:color w:val="000000" w:themeColor="text1"/>
                <w:sz w:val="24"/>
                <w:szCs w:val="24"/>
                <w:lang w:val="en-US" w:eastAsia="zh-CN"/>
                <w14:textFill>
                  <w14:solidFill>
                    <w14:schemeClr w14:val="tx1"/>
                  </w14:solidFill>
                </w14:textFill>
              </w:rPr>
              <w:t>=</w:t>
            </w:r>
            <w:r>
              <w:rPr>
                <w:rFonts w:hint="eastAsia" w:ascii="Times New Roman" w:hAnsi="Times New Roman" w:eastAsia="宋体"/>
                <w:color w:val="000000" w:themeColor="text1"/>
                <w:sz w:val="24"/>
                <w:szCs w:val="24"/>
                <w14:textFill>
                  <w14:solidFill>
                    <w14:schemeClr w14:val="tx1"/>
                  </w14:solidFill>
                </w14:textFill>
              </w:rPr>
              <w:t>3129.68m³/h</w:t>
            </w:r>
            <w:r>
              <w:rPr>
                <w:rFonts w:hint="eastAsia" w:ascii="Times New Roman" w:hAnsi="Times New Roman" w:eastAsia="宋体"/>
                <w:color w:val="000000" w:themeColor="text1"/>
                <w:sz w:val="24"/>
                <w:szCs w:val="24"/>
                <w:lang w:val="en-US" w:eastAsia="zh-CN"/>
                <w14:textFill>
                  <w14:solidFill>
                    <w14:schemeClr w14:val="tx1"/>
                  </w14:solidFill>
                </w14:textFill>
              </w:rPr>
              <w:t>及</w:t>
            </w:r>
            <w:r>
              <w:rPr>
                <w:rFonts w:hint="eastAsia" w:ascii="Times New Roman" w:hAnsi="Times New Roman" w:eastAsia="宋体"/>
                <w:color w:val="000000" w:themeColor="text1"/>
                <w:sz w:val="24"/>
                <w:szCs w:val="24"/>
                <w14:textFill>
                  <w14:solidFill>
                    <w14:schemeClr w14:val="tx1"/>
                  </w14:solidFill>
                </w14:textFill>
              </w:rPr>
              <w:t>运行时间（2160h）</w:t>
            </w:r>
            <w:r>
              <w:rPr>
                <w:rFonts w:hint="eastAsia" w:ascii="Times New Roman" w:hAnsi="Times New Roman" w:eastAsia="宋体"/>
                <w:color w:val="000000" w:themeColor="text1"/>
                <w:sz w:val="24"/>
                <w:szCs w:val="24"/>
                <w:lang w:val="en-US" w:eastAsia="zh-CN"/>
                <w14:textFill>
                  <w14:solidFill>
                    <w14:schemeClr w14:val="tx1"/>
                  </w14:solidFill>
                </w14:textFill>
              </w:rPr>
              <w:t>则CO</w:t>
            </w:r>
            <w:r>
              <w:rPr>
                <w:rFonts w:hint="eastAsia" w:ascii="Times New Roman" w:hAnsi="Times New Roman" w:eastAsia="宋体"/>
                <w:color w:val="000000" w:themeColor="text1"/>
                <w:sz w:val="24"/>
                <w:szCs w:val="24"/>
                <w14:textFill>
                  <w14:solidFill>
                    <w14:schemeClr w14:val="tx1"/>
                  </w14:solidFill>
                </w14:textFill>
              </w:rPr>
              <w:t>产生浓度</w:t>
            </w:r>
            <w:r>
              <w:rPr>
                <w:rFonts w:hint="eastAsia" w:ascii="Times New Roman" w:hAnsi="Times New Roman" w:eastAsia="宋体"/>
                <w:color w:val="000000" w:themeColor="text1"/>
                <w:sz w:val="24"/>
                <w:szCs w:val="24"/>
                <w:lang w:val="en-US" w:eastAsia="zh-CN"/>
                <w14:textFill>
                  <w14:solidFill>
                    <w14:schemeClr w14:val="tx1"/>
                  </w14:solidFill>
                </w14:textFill>
              </w:rPr>
              <w:t>为=1.219t/a÷3129.68m³/h</w:t>
            </w:r>
            <w:r>
              <w:rPr>
                <w:rFonts w:hint="eastAsia" w:ascii="Times New Roman" w:hAnsi="Times New Roman" w:eastAsia="宋体"/>
                <w:color w:val="000000" w:themeColor="text1"/>
                <w:sz w:val="24"/>
                <w:szCs w:val="24"/>
                <w14:textFill>
                  <w14:solidFill>
                    <w14:schemeClr w14:val="tx1"/>
                  </w14:solidFill>
                </w14:textFill>
              </w:rPr>
              <w:t>≈180.32mg/m³。</w:t>
            </w:r>
          </w:p>
          <w:p w14:paraId="2E4FF4D6">
            <w:pPr>
              <w:pStyle w:val="13"/>
              <w:adjustRightInd w:val="0"/>
              <w:snapToGrid w:val="0"/>
              <w:spacing w:line="480" w:lineRule="exact"/>
              <w:ind w:firstLine="480" w:firstLineChars="200"/>
              <w:rPr>
                <w:rFonts w:hint="eastAsia" w:ascii="Times New Roman" w:hAnsi="Times New Roman" w:eastAsia="宋体" w:cs="宋体"/>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14:textFill>
                  <w14:solidFill>
                    <w14:schemeClr w14:val="tx1"/>
                  </w14:solidFill>
                </w14:textFill>
              </w:rPr>
              <w:t>项目生物质锅炉燃烧废气经“低氮燃烧+</w:t>
            </w:r>
            <w:r>
              <w:rPr>
                <w:rFonts w:hint="eastAsia" w:ascii="Times New Roman" w:hAnsi="Times New Roman" w:eastAsia="宋体"/>
                <w:color w:val="000000" w:themeColor="text1"/>
                <w:sz w:val="24"/>
                <w:szCs w:val="24"/>
                <w:lang w:bidi="ar"/>
                <w14:textFill>
                  <w14:solidFill>
                    <w14:schemeClr w14:val="tx1"/>
                  </w14:solidFill>
                </w14:textFill>
              </w:rPr>
              <w:t>锅炉节能器</w:t>
            </w:r>
            <w:r>
              <w:rPr>
                <w:rFonts w:hint="eastAsia" w:ascii="Times New Roman" w:hAnsi="Times New Roman" w:eastAsia="宋体" w:cs="宋体"/>
                <w:color w:val="000000" w:themeColor="text1"/>
                <w:sz w:val="24"/>
                <w:szCs w:val="24"/>
                <w14:textFill>
                  <w14:solidFill>
                    <w14:schemeClr w14:val="tx1"/>
                  </w14:solidFill>
                </w14:textFill>
              </w:rPr>
              <w:t>+布袋除尘器”处理后通过35米高排气筒(DA001)排放。根据《排放源统计调查产排污核算方法和系数手册》(生态环境部公告2021年第24号)中4430锅炉产排污量核算系数手册-4430工业锅炉(热力生产和供应行业)产污系数表-生物质工业锅炉的有关数据，低氮燃烧技术对氮氧化物治理效率取30%，布袋除尘器对颗粒物的治理效率取99.7%，项目保守取值90%。则项目锅炉燃烧废气排污情况详见下表。</w:t>
            </w:r>
          </w:p>
          <w:p w14:paraId="50B6D7DA">
            <w:pPr>
              <w:pStyle w:val="13"/>
              <w:adjustRightInd w:val="0"/>
              <w:snapToGrid w:val="0"/>
              <w:spacing w:line="480" w:lineRule="exact"/>
              <w:ind w:firstLine="482" w:firstLineChars="200"/>
              <w:jc w:val="center"/>
              <w:rPr>
                <w:rFonts w:ascii="Times New Roman" w:hAnsi="Times New Roman" w:eastAsia="宋体" w:cs="宋体"/>
                <w:b/>
                <w:bCs/>
                <w:color w:val="000000" w:themeColor="text1"/>
                <w:sz w:val="24"/>
                <w:szCs w:val="24"/>
                <w14:textFill>
                  <w14:solidFill>
                    <w14:schemeClr w14:val="tx1"/>
                  </w14:solidFill>
                </w14:textFill>
              </w:rPr>
            </w:pPr>
            <w:r>
              <w:rPr>
                <w:rFonts w:hint="eastAsia" w:ascii="Times New Roman" w:hAnsi="Times New Roman" w:eastAsia="宋体" w:cs="宋体"/>
                <w:b/>
                <w:bCs/>
                <w:color w:val="000000" w:themeColor="text1"/>
                <w:sz w:val="24"/>
                <w:szCs w:val="24"/>
                <w14:textFill>
                  <w14:solidFill>
                    <w14:schemeClr w14:val="tx1"/>
                  </w14:solidFill>
                </w14:textFill>
              </w:rPr>
              <w:t>表4-4生物质锅炉废气的产排情况一览表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08"/>
              <w:gridCol w:w="884"/>
              <w:gridCol w:w="871"/>
              <w:gridCol w:w="814"/>
              <w:gridCol w:w="636"/>
              <w:gridCol w:w="637"/>
              <w:gridCol w:w="814"/>
              <w:gridCol w:w="847"/>
              <w:gridCol w:w="983"/>
              <w:gridCol w:w="703"/>
            </w:tblGrid>
            <w:tr w14:paraId="0CB0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505" w:type="pct"/>
                  <w:noWrap w:val="0"/>
                  <w:tcMar>
                    <w:top w:w="120" w:type="dxa"/>
                    <w:left w:w="120" w:type="dxa"/>
                    <w:bottom w:w="120" w:type="dxa"/>
                    <w:right w:w="120" w:type="dxa"/>
                  </w:tcMar>
                  <w:vAlign w:val="center"/>
                </w:tcPr>
                <w:p w14:paraId="44A4EA3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排放口</w:t>
                  </w:r>
                </w:p>
              </w:tc>
              <w:tc>
                <w:tcPr>
                  <w:tcW w:w="552" w:type="pct"/>
                  <w:noWrap w:val="0"/>
                  <w:tcMar>
                    <w:top w:w="120" w:type="dxa"/>
                    <w:left w:w="120" w:type="dxa"/>
                    <w:bottom w:w="120" w:type="dxa"/>
                    <w:right w:w="120" w:type="dxa"/>
                  </w:tcMar>
                  <w:vAlign w:val="center"/>
                </w:tcPr>
                <w:p w14:paraId="0EA388D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烟气量(m³/h)</w:t>
                  </w:r>
                </w:p>
              </w:tc>
              <w:tc>
                <w:tcPr>
                  <w:tcW w:w="544" w:type="pct"/>
                  <w:noWrap w:val="0"/>
                  <w:tcMar>
                    <w:top w:w="120" w:type="dxa"/>
                    <w:left w:w="120" w:type="dxa"/>
                    <w:bottom w:w="120" w:type="dxa"/>
                    <w:right w:w="120" w:type="dxa"/>
                  </w:tcMar>
                  <w:vAlign w:val="center"/>
                </w:tcPr>
                <w:p w14:paraId="56E4933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污染物</w:t>
                  </w:r>
                </w:p>
              </w:tc>
              <w:tc>
                <w:tcPr>
                  <w:tcW w:w="508" w:type="pct"/>
                  <w:noWrap w:val="0"/>
                  <w:tcMar>
                    <w:top w:w="120" w:type="dxa"/>
                    <w:left w:w="120" w:type="dxa"/>
                    <w:bottom w:w="120" w:type="dxa"/>
                    <w:right w:w="120" w:type="dxa"/>
                  </w:tcMar>
                  <w:vAlign w:val="center"/>
                </w:tcPr>
                <w:p w14:paraId="0683CF4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产生量(t/a)</w:t>
                  </w:r>
                </w:p>
              </w:tc>
              <w:tc>
                <w:tcPr>
                  <w:tcW w:w="397" w:type="pct"/>
                  <w:noWrap w:val="0"/>
                  <w:tcMar>
                    <w:top w:w="120" w:type="dxa"/>
                    <w:left w:w="120" w:type="dxa"/>
                    <w:bottom w:w="120" w:type="dxa"/>
                    <w:right w:w="120" w:type="dxa"/>
                  </w:tcMar>
                  <w:vAlign w:val="center"/>
                </w:tcPr>
                <w:p w14:paraId="2C001A7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治理工艺</w:t>
                  </w:r>
                </w:p>
              </w:tc>
              <w:tc>
                <w:tcPr>
                  <w:tcW w:w="398" w:type="pct"/>
                  <w:noWrap w:val="0"/>
                  <w:tcMar>
                    <w:top w:w="120" w:type="dxa"/>
                    <w:left w:w="120" w:type="dxa"/>
                    <w:bottom w:w="120" w:type="dxa"/>
                    <w:right w:w="120" w:type="dxa"/>
                  </w:tcMar>
                  <w:vAlign w:val="center"/>
                </w:tcPr>
                <w:p w14:paraId="3DE62F4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处理效率(%)</w:t>
                  </w:r>
                </w:p>
              </w:tc>
              <w:tc>
                <w:tcPr>
                  <w:tcW w:w="508" w:type="pct"/>
                  <w:noWrap w:val="0"/>
                  <w:tcMar>
                    <w:top w:w="120" w:type="dxa"/>
                    <w:left w:w="120" w:type="dxa"/>
                    <w:bottom w:w="120" w:type="dxa"/>
                    <w:right w:w="120" w:type="dxa"/>
                  </w:tcMar>
                  <w:vAlign w:val="center"/>
                </w:tcPr>
                <w:p w14:paraId="5FA946C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排放量(t/a)</w:t>
                  </w:r>
                </w:p>
              </w:tc>
              <w:tc>
                <w:tcPr>
                  <w:tcW w:w="529" w:type="pct"/>
                  <w:noWrap w:val="0"/>
                  <w:tcMar>
                    <w:top w:w="120" w:type="dxa"/>
                    <w:left w:w="120" w:type="dxa"/>
                    <w:bottom w:w="120" w:type="dxa"/>
                    <w:right w:w="120" w:type="dxa"/>
                  </w:tcMar>
                  <w:vAlign w:val="center"/>
                </w:tcPr>
                <w:p w14:paraId="5A722EE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排放速率(kg/h)</w:t>
                  </w:r>
                </w:p>
              </w:tc>
              <w:tc>
                <w:tcPr>
                  <w:tcW w:w="614" w:type="pct"/>
                  <w:noWrap w:val="0"/>
                  <w:tcMar>
                    <w:top w:w="120" w:type="dxa"/>
                    <w:left w:w="120" w:type="dxa"/>
                    <w:bottom w:w="120" w:type="dxa"/>
                    <w:right w:w="120" w:type="dxa"/>
                  </w:tcMar>
                  <w:vAlign w:val="center"/>
                </w:tcPr>
                <w:p w14:paraId="2537F81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排放浓度(mg/m³)</w:t>
                  </w:r>
                </w:p>
              </w:tc>
              <w:tc>
                <w:tcPr>
                  <w:tcW w:w="439" w:type="pct"/>
                  <w:noWrap w:val="0"/>
                  <w:tcMar>
                    <w:top w:w="120" w:type="dxa"/>
                    <w:left w:w="120" w:type="dxa"/>
                    <w:bottom w:w="120" w:type="dxa"/>
                    <w:right w:w="120" w:type="dxa"/>
                  </w:tcMar>
                  <w:vAlign w:val="center"/>
                </w:tcPr>
                <w:p w14:paraId="54A683D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生产时间(h/a)</w:t>
                  </w:r>
                </w:p>
              </w:tc>
            </w:tr>
            <w:tr w14:paraId="21A8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05" w:type="pct"/>
                  <w:vMerge w:val="restart"/>
                  <w:noWrap w:val="0"/>
                  <w:tcMar>
                    <w:top w:w="120" w:type="dxa"/>
                    <w:left w:w="120" w:type="dxa"/>
                    <w:bottom w:w="120" w:type="dxa"/>
                    <w:right w:w="120" w:type="dxa"/>
                  </w:tcMar>
                  <w:vAlign w:val="center"/>
                </w:tcPr>
                <w:p w14:paraId="257F752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DA001</w:t>
                  </w:r>
                </w:p>
              </w:tc>
              <w:tc>
                <w:tcPr>
                  <w:tcW w:w="552" w:type="pct"/>
                  <w:vMerge w:val="restart"/>
                  <w:noWrap w:val="0"/>
                  <w:tcMar>
                    <w:top w:w="120" w:type="dxa"/>
                    <w:left w:w="120" w:type="dxa"/>
                    <w:bottom w:w="120" w:type="dxa"/>
                    <w:right w:w="120" w:type="dxa"/>
                  </w:tcMar>
                  <w:vAlign w:val="center"/>
                </w:tcPr>
                <w:p w14:paraId="70B9E51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3129.68</w:t>
                  </w:r>
                </w:p>
              </w:tc>
              <w:tc>
                <w:tcPr>
                  <w:tcW w:w="544" w:type="pct"/>
                  <w:noWrap w:val="0"/>
                  <w:tcMar>
                    <w:top w:w="120" w:type="dxa"/>
                    <w:left w:w="120" w:type="dxa"/>
                    <w:bottom w:w="120" w:type="dxa"/>
                    <w:right w:w="120" w:type="dxa"/>
                  </w:tcMar>
                  <w:vAlign w:val="center"/>
                </w:tcPr>
                <w:p w14:paraId="579074D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SO₂</w:t>
                  </w:r>
                </w:p>
              </w:tc>
              <w:tc>
                <w:tcPr>
                  <w:tcW w:w="508" w:type="pct"/>
                  <w:noWrap w:val="0"/>
                  <w:tcMar>
                    <w:top w:w="120" w:type="dxa"/>
                    <w:left w:w="120" w:type="dxa"/>
                    <w:bottom w:w="120" w:type="dxa"/>
                    <w:right w:w="120" w:type="dxa"/>
                  </w:tcMar>
                  <w:vAlign w:val="center"/>
                </w:tcPr>
                <w:p w14:paraId="7F15AF9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0.1842</w:t>
                  </w:r>
                </w:p>
              </w:tc>
              <w:tc>
                <w:tcPr>
                  <w:tcW w:w="397" w:type="pct"/>
                  <w:vMerge w:val="restart"/>
                  <w:noWrap w:val="0"/>
                  <w:tcMar>
                    <w:top w:w="120" w:type="dxa"/>
                    <w:left w:w="120" w:type="dxa"/>
                    <w:bottom w:w="120" w:type="dxa"/>
                    <w:right w:w="120" w:type="dxa"/>
                  </w:tcMar>
                  <w:vAlign w:val="center"/>
                </w:tcPr>
                <w:p w14:paraId="7973B54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低氮燃烧+锅炉节能器+布袋除尘器</w:t>
                  </w:r>
                </w:p>
              </w:tc>
              <w:tc>
                <w:tcPr>
                  <w:tcW w:w="398" w:type="pct"/>
                  <w:noWrap w:val="0"/>
                  <w:tcMar>
                    <w:top w:w="120" w:type="dxa"/>
                    <w:left w:w="120" w:type="dxa"/>
                    <w:bottom w:w="120" w:type="dxa"/>
                    <w:right w:w="120" w:type="dxa"/>
                  </w:tcMar>
                  <w:vAlign w:val="center"/>
                </w:tcPr>
                <w:p w14:paraId="7B11F50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508" w:type="pct"/>
                  <w:noWrap w:val="0"/>
                  <w:tcMar>
                    <w:top w:w="120" w:type="dxa"/>
                    <w:left w:w="120" w:type="dxa"/>
                    <w:bottom w:w="120" w:type="dxa"/>
                    <w:right w:w="120" w:type="dxa"/>
                  </w:tcMar>
                  <w:vAlign w:val="center"/>
                </w:tcPr>
                <w:p w14:paraId="1B70D76F">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0.1842</w:t>
                  </w:r>
                </w:p>
              </w:tc>
              <w:tc>
                <w:tcPr>
                  <w:tcW w:w="529" w:type="pct"/>
                  <w:noWrap w:val="0"/>
                  <w:tcMar>
                    <w:top w:w="120" w:type="dxa"/>
                    <w:left w:w="120" w:type="dxa"/>
                    <w:bottom w:w="120" w:type="dxa"/>
                    <w:right w:w="120" w:type="dxa"/>
                  </w:tcMar>
                  <w:vAlign w:val="center"/>
                </w:tcPr>
                <w:p w14:paraId="51E7B56F">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0.0853</w:t>
                  </w:r>
                </w:p>
              </w:tc>
              <w:tc>
                <w:tcPr>
                  <w:tcW w:w="614" w:type="pct"/>
                  <w:noWrap w:val="0"/>
                  <w:tcMar>
                    <w:top w:w="120" w:type="dxa"/>
                    <w:left w:w="120" w:type="dxa"/>
                    <w:bottom w:w="120" w:type="dxa"/>
                    <w:right w:w="120" w:type="dxa"/>
                  </w:tcMar>
                  <w:vAlign w:val="center"/>
                </w:tcPr>
                <w:p w14:paraId="05852935">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27.25</w:t>
                  </w:r>
                </w:p>
              </w:tc>
              <w:tc>
                <w:tcPr>
                  <w:tcW w:w="439" w:type="pct"/>
                  <w:vMerge w:val="restart"/>
                  <w:noWrap w:val="0"/>
                  <w:tcMar>
                    <w:top w:w="120" w:type="dxa"/>
                    <w:left w:w="120" w:type="dxa"/>
                    <w:bottom w:w="120" w:type="dxa"/>
                    <w:right w:w="120" w:type="dxa"/>
                  </w:tcMar>
                  <w:vAlign w:val="center"/>
                </w:tcPr>
                <w:p w14:paraId="4C04A72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2160</w:t>
                  </w:r>
                </w:p>
              </w:tc>
            </w:tr>
            <w:tr w14:paraId="6585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05" w:type="pct"/>
                  <w:vMerge w:val="continue"/>
                  <w:noWrap w:val="0"/>
                  <w:tcMar>
                    <w:top w:w="120" w:type="dxa"/>
                    <w:left w:w="120" w:type="dxa"/>
                    <w:bottom w:w="120" w:type="dxa"/>
                    <w:right w:w="120" w:type="dxa"/>
                  </w:tcMar>
                  <w:vAlign w:val="center"/>
                </w:tcPr>
                <w:p w14:paraId="770927AC">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52" w:type="pct"/>
                  <w:vMerge w:val="continue"/>
                  <w:noWrap w:val="0"/>
                  <w:tcMar>
                    <w:top w:w="120" w:type="dxa"/>
                    <w:left w:w="120" w:type="dxa"/>
                    <w:bottom w:w="120" w:type="dxa"/>
                    <w:right w:w="120" w:type="dxa"/>
                  </w:tcMar>
                  <w:vAlign w:val="center"/>
                </w:tcPr>
                <w:p w14:paraId="1C48186B">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44" w:type="pct"/>
                  <w:noWrap w:val="0"/>
                  <w:tcMar>
                    <w:top w:w="120" w:type="dxa"/>
                    <w:left w:w="120" w:type="dxa"/>
                    <w:bottom w:w="120" w:type="dxa"/>
                    <w:right w:w="120" w:type="dxa"/>
                  </w:tcMar>
                  <w:vAlign w:val="center"/>
                </w:tcPr>
                <w:p w14:paraId="1E0136E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NOx</w:t>
                  </w:r>
                </w:p>
              </w:tc>
              <w:tc>
                <w:tcPr>
                  <w:tcW w:w="508" w:type="pct"/>
                  <w:noWrap w:val="0"/>
                  <w:tcMar>
                    <w:top w:w="120" w:type="dxa"/>
                    <w:left w:w="120" w:type="dxa"/>
                    <w:bottom w:w="120" w:type="dxa"/>
                    <w:right w:w="120" w:type="dxa"/>
                  </w:tcMar>
                  <w:vAlign w:val="center"/>
                </w:tcPr>
                <w:p w14:paraId="5224E4D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1.105</w:t>
                  </w:r>
                </w:p>
              </w:tc>
              <w:tc>
                <w:tcPr>
                  <w:tcW w:w="397" w:type="pct"/>
                  <w:vMerge w:val="continue"/>
                  <w:noWrap w:val="0"/>
                  <w:tcMar>
                    <w:top w:w="120" w:type="dxa"/>
                    <w:left w:w="120" w:type="dxa"/>
                    <w:bottom w:w="120" w:type="dxa"/>
                    <w:right w:w="120" w:type="dxa"/>
                  </w:tcMar>
                  <w:vAlign w:val="center"/>
                </w:tcPr>
                <w:p w14:paraId="67513193">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398" w:type="pct"/>
                  <w:noWrap w:val="0"/>
                  <w:tcMar>
                    <w:top w:w="120" w:type="dxa"/>
                    <w:left w:w="120" w:type="dxa"/>
                    <w:bottom w:w="120" w:type="dxa"/>
                    <w:right w:w="120" w:type="dxa"/>
                  </w:tcMar>
                  <w:vAlign w:val="center"/>
                </w:tcPr>
                <w:p w14:paraId="65B3DDC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30</w:t>
                  </w:r>
                </w:p>
              </w:tc>
              <w:tc>
                <w:tcPr>
                  <w:tcW w:w="508" w:type="pct"/>
                  <w:noWrap w:val="0"/>
                  <w:tcMar>
                    <w:top w:w="120" w:type="dxa"/>
                    <w:left w:w="120" w:type="dxa"/>
                    <w:bottom w:w="120" w:type="dxa"/>
                    <w:right w:w="120" w:type="dxa"/>
                  </w:tcMar>
                  <w:vAlign w:val="center"/>
                </w:tcPr>
                <w:p w14:paraId="5DBB0EB6">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0.7735</w:t>
                  </w:r>
                </w:p>
              </w:tc>
              <w:tc>
                <w:tcPr>
                  <w:tcW w:w="529" w:type="pct"/>
                  <w:noWrap w:val="0"/>
                  <w:tcMar>
                    <w:top w:w="120" w:type="dxa"/>
                    <w:left w:w="120" w:type="dxa"/>
                    <w:bottom w:w="120" w:type="dxa"/>
                    <w:right w:w="120" w:type="dxa"/>
                  </w:tcMar>
                  <w:vAlign w:val="center"/>
                </w:tcPr>
                <w:p w14:paraId="058C6C3A">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0.3581</w:t>
                  </w:r>
                </w:p>
              </w:tc>
              <w:tc>
                <w:tcPr>
                  <w:tcW w:w="614" w:type="pct"/>
                  <w:noWrap w:val="0"/>
                  <w:tcMar>
                    <w:top w:w="120" w:type="dxa"/>
                    <w:left w:w="120" w:type="dxa"/>
                    <w:bottom w:w="120" w:type="dxa"/>
                    <w:right w:w="120" w:type="dxa"/>
                  </w:tcMar>
                  <w:vAlign w:val="center"/>
                </w:tcPr>
                <w:p w14:paraId="14EDF67C">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114.42</w:t>
                  </w:r>
                </w:p>
              </w:tc>
              <w:tc>
                <w:tcPr>
                  <w:tcW w:w="439" w:type="pct"/>
                  <w:vMerge w:val="continue"/>
                  <w:noWrap w:val="0"/>
                  <w:tcMar>
                    <w:top w:w="120" w:type="dxa"/>
                    <w:left w:w="120" w:type="dxa"/>
                    <w:bottom w:w="120" w:type="dxa"/>
                    <w:right w:w="120" w:type="dxa"/>
                  </w:tcMar>
                  <w:vAlign w:val="center"/>
                </w:tcPr>
                <w:p w14:paraId="2ADC8029">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3275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0" w:hRule="atLeast"/>
              </w:trPr>
              <w:tc>
                <w:tcPr>
                  <w:tcW w:w="505" w:type="pct"/>
                  <w:vMerge w:val="continue"/>
                  <w:noWrap w:val="0"/>
                  <w:tcMar>
                    <w:top w:w="120" w:type="dxa"/>
                    <w:left w:w="120" w:type="dxa"/>
                    <w:bottom w:w="120" w:type="dxa"/>
                    <w:right w:w="120" w:type="dxa"/>
                  </w:tcMar>
                  <w:vAlign w:val="center"/>
                </w:tcPr>
                <w:p w14:paraId="0480AC82">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52" w:type="pct"/>
                  <w:vMerge w:val="continue"/>
                  <w:noWrap w:val="0"/>
                  <w:tcMar>
                    <w:top w:w="120" w:type="dxa"/>
                    <w:left w:w="120" w:type="dxa"/>
                    <w:bottom w:w="120" w:type="dxa"/>
                    <w:right w:w="120" w:type="dxa"/>
                  </w:tcMar>
                  <w:vAlign w:val="center"/>
                </w:tcPr>
                <w:p w14:paraId="10467D27">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44" w:type="pct"/>
                  <w:noWrap w:val="0"/>
                  <w:tcMar>
                    <w:top w:w="120" w:type="dxa"/>
                    <w:left w:w="120" w:type="dxa"/>
                    <w:bottom w:w="120" w:type="dxa"/>
                    <w:right w:w="120" w:type="dxa"/>
                  </w:tcMar>
                  <w:vAlign w:val="center"/>
                </w:tcPr>
                <w:p w14:paraId="650672E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颗粒物</w:t>
                  </w:r>
                </w:p>
              </w:tc>
              <w:tc>
                <w:tcPr>
                  <w:tcW w:w="508" w:type="pct"/>
                  <w:noWrap w:val="0"/>
                  <w:tcMar>
                    <w:top w:w="120" w:type="dxa"/>
                    <w:left w:w="120" w:type="dxa"/>
                    <w:bottom w:w="120" w:type="dxa"/>
                    <w:right w:w="120" w:type="dxa"/>
                  </w:tcMar>
                  <w:vAlign w:val="center"/>
                </w:tcPr>
                <w:p w14:paraId="5443C7A6">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0.5417</w:t>
                  </w:r>
                </w:p>
              </w:tc>
              <w:tc>
                <w:tcPr>
                  <w:tcW w:w="397" w:type="pct"/>
                  <w:vMerge w:val="continue"/>
                  <w:noWrap w:val="0"/>
                  <w:tcMar>
                    <w:top w:w="120" w:type="dxa"/>
                    <w:left w:w="120" w:type="dxa"/>
                    <w:bottom w:w="120" w:type="dxa"/>
                    <w:right w:w="120" w:type="dxa"/>
                  </w:tcMar>
                  <w:vAlign w:val="center"/>
                </w:tcPr>
                <w:p w14:paraId="7962C22A">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398" w:type="pct"/>
                  <w:noWrap w:val="0"/>
                  <w:tcMar>
                    <w:top w:w="120" w:type="dxa"/>
                    <w:left w:w="120" w:type="dxa"/>
                    <w:bottom w:w="120" w:type="dxa"/>
                    <w:right w:w="120" w:type="dxa"/>
                  </w:tcMar>
                  <w:vAlign w:val="center"/>
                </w:tcPr>
                <w:p w14:paraId="6B4355F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90</w:t>
                  </w:r>
                </w:p>
              </w:tc>
              <w:tc>
                <w:tcPr>
                  <w:tcW w:w="508" w:type="pct"/>
                  <w:noWrap w:val="0"/>
                  <w:tcMar>
                    <w:top w:w="120" w:type="dxa"/>
                    <w:left w:w="120" w:type="dxa"/>
                    <w:bottom w:w="120" w:type="dxa"/>
                    <w:right w:w="120" w:type="dxa"/>
                  </w:tcMar>
                  <w:vAlign w:val="center"/>
                </w:tcPr>
                <w:p w14:paraId="3698ABCC">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hint="eastAsia" w:ascii="Times New Roman" w:hAnsi="Times New Roman" w:eastAsia="宋体" w:cs="Times New Roman"/>
                      <w:b w:val="0"/>
                      <w:color w:val="000000" w:themeColor="text1"/>
                      <w:kern w:val="0"/>
                      <w:szCs w:val="21"/>
                      <w:lang w:bidi="ar"/>
                      <w14:textFill>
                        <w14:solidFill>
                          <w14:schemeClr w14:val="tx1"/>
                        </w14:solidFill>
                      </w14:textFill>
                    </w:rPr>
                    <w:t>0.0542</w:t>
                  </w:r>
                </w:p>
              </w:tc>
              <w:tc>
                <w:tcPr>
                  <w:tcW w:w="529" w:type="pct"/>
                  <w:noWrap w:val="0"/>
                  <w:tcMar>
                    <w:top w:w="120" w:type="dxa"/>
                    <w:left w:w="120" w:type="dxa"/>
                    <w:bottom w:w="120" w:type="dxa"/>
                    <w:right w:w="120" w:type="dxa"/>
                  </w:tcMar>
                  <w:vAlign w:val="center"/>
                </w:tcPr>
                <w:p w14:paraId="727C2774">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0.0</w:t>
                  </w:r>
                  <w:r>
                    <w:rPr>
                      <w:rStyle w:val="35"/>
                      <w:rFonts w:hint="eastAsia" w:ascii="Times New Roman" w:hAnsi="Times New Roman" w:eastAsia="宋体" w:cs="Times New Roman"/>
                      <w:b w:val="0"/>
                      <w:color w:val="000000" w:themeColor="text1"/>
                      <w:kern w:val="0"/>
                      <w:szCs w:val="21"/>
                      <w:lang w:bidi="ar"/>
                      <w14:textFill>
                        <w14:solidFill>
                          <w14:schemeClr w14:val="tx1"/>
                        </w14:solidFill>
                      </w14:textFill>
                    </w:rPr>
                    <w:t>251</w:t>
                  </w:r>
                </w:p>
              </w:tc>
              <w:tc>
                <w:tcPr>
                  <w:tcW w:w="614" w:type="pct"/>
                  <w:noWrap w:val="0"/>
                  <w:tcMar>
                    <w:top w:w="120" w:type="dxa"/>
                    <w:left w:w="120" w:type="dxa"/>
                    <w:bottom w:w="120" w:type="dxa"/>
                    <w:right w:w="120" w:type="dxa"/>
                  </w:tcMar>
                  <w:vAlign w:val="center"/>
                </w:tcPr>
                <w:p w14:paraId="4ED1045A">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hint="eastAsia" w:ascii="Times New Roman" w:hAnsi="Times New Roman" w:eastAsia="宋体" w:cs="Times New Roman"/>
                      <w:b w:val="0"/>
                      <w:color w:val="000000" w:themeColor="text1"/>
                      <w:kern w:val="0"/>
                      <w:szCs w:val="21"/>
                      <w:lang w:bidi="ar"/>
                      <w14:textFill>
                        <w14:solidFill>
                          <w14:schemeClr w14:val="tx1"/>
                        </w14:solidFill>
                      </w14:textFill>
                    </w:rPr>
                    <w:t>8.02</w:t>
                  </w:r>
                </w:p>
              </w:tc>
              <w:tc>
                <w:tcPr>
                  <w:tcW w:w="439" w:type="pct"/>
                  <w:vMerge w:val="continue"/>
                  <w:noWrap w:val="0"/>
                  <w:tcMar>
                    <w:top w:w="120" w:type="dxa"/>
                    <w:left w:w="120" w:type="dxa"/>
                    <w:bottom w:w="120" w:type="dxa"/>
                    <w:right w:w="120" w:type="dxa"/>
                  </w:tcMar>
                  <w:vAlign w:val="center"/>
                </w:tcPr>
                <w:p w14:paraId="2A593047">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3C0D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05" w:type="pct"/>
                  <w:vMerge w:val="continue"/>
                  <w:noWrap w:val="0"/>
                  <w:tcMar>
                    <w:top w:w="120" w:type="dxa"/>
                    <w:left w:w="120" w:type="dxa"/>
                    <w:bottom w:w="120" w:type="dxa"/>
                    <w:right w:w="120" w:type="dxa"/>
                  </w:tcMar>
                  <w:vAlign w:val="center"/>
                </w:tcPr>
                <w:p w14:paraId="55DC5535">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52" w:type="pct"/>
                  <w:vMerge w:val="continue"/>
                  <w:noWrap w:val="0"/>
                  <w:tcMar>
                    <w:top w:w="120" w:type="dxa"/>
                    <w:left w:w="120" w:type="dxa"/>
                    <w:bottom w:w="120" w:type="dxa"/>
                    <w:right w:w="120" w:type="dxa"/>
                  </w:tcMar>
                  <w:vAlign w:val="center"/>
                </w:tcPr>
                <w:p w14:paraId="2168B756">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44" w:type="pct"/>
                  <w:noWrap w:val="0"/>
                  <w:tcMar>
                    <w:top w:w="120" w:type="dxa"/>
                    <w:left w:w="120" w:type="dxa"/>
                    <w:bottom w:w="120" w:type="dxa"/>
                    <w:right w:w="120" w:type="dxa"/>
                  </w:tcMar>
                  <w:vAlign w:val="center"/>
                </w:tcPr>
                <w:p w14:paraId="7A8A6A6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w:t>
                  </w:r>
                </w:p>
              </w:tc>
              <w:tc>
                <w:tcPr>
                  <w:tcW w:w="508" w:type="pct"/>
                  <w:noWrap w:val="0"/>
                  <w:tcMar>
                    <w:top w:w="120" w:type="dxa"/>
                    <w:left w:w="120" w:type="dxa"/>
                    <w:bottom w:w="120" w:type="dxa"/>
                    <w:right w:w="120" w:type="dxa"/>
                  </w:tcMar>
                  <w:vAlign w:val="center"/>
                </w:tcPr>
                <w:p w14:paraId="2917B94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1.219</w:t>
                  </w:r>
                </w:p>
              </w:tc>
              <w:tc>
                <w:tcPr>
                  <w:tcW w:w="397" w:type="pct"/>
                  <w:vMerge w:val="continue"/>
                  <w:noWrap w:val="0"/>
                  <w:tcMar>
                    <w:top w:w="120" w:type="dxa"/>
                    <w:left w:w="120" w:type="dxa"/>
                    <w:bottom w:w="120" w:type="dxa"/>
                    <w:right w:w="120" w:type="dxa"/>
                  </w:tcMar>
                  <w:vAlign w:val="center"/>
                </w:tcPr>
                <w:p w14:paraId="742E9CBD">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398" w:type="pct"/>
                  <w:noWrap w:val="0"/>
                  <w:tcMar>
                    <w:top w:w="120" w:type="dxa"/>
                    <w:left w:w="120" w:type="dxa"/>
                    <w:bottom w:w="120" w:type="dxa"/>
                    <w:right w:w="120" w:type="dxa"/>
                  </w:tcMar>
                  <w:vAlign w:val="center"/>
                </w:tcPr>
                <w:p w14:paraId="70E5945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508" w:type="pct"/>
                  <w:noWrap w:val="0"/>
                  <w:tcMar>
                    <w:top w:w="120" w:type="dxa"/>
                    <w:left w:w="120" w:type="dxa"/>
                    <w:bottom w:w="120" w:type="dxa"/>
                    <w:right w:w="120" w:type="dxa"/>
                  </w:tcMar>
                  <w:vAlign w:val="center"/>
                </w:tcPr>
                <w:p w14:paraId="3C197757">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1.219</w:t>
                  </w:r>
                </w:p>
              </w:tc>
              <w:tc>
                <w:tcPr>
                  <w:tcW w:w="529" w:type="pct"/>
                  <w:noWrap w:val="0"/>
                  <w:tcMar>
                    <w:top w:w="120" w:type="dxa"/>
                    <w:left w:w="120" w:type="dxa"/>
                    <w:bottom w:w="120" w:type="dxa"/>
                    <w:right w:w="120" w:type="dxa"/>
                  </w:tcMar>
                  <w:vAlign w:val="center"/>
                </w:tcPr>
                <w:p w14:paraId="738E98AA">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0.5644</w:t>
                  </w:r>
                </w:p>
              </w:tc>
              <w:tc>
                <w:tcPr>
                  <w:tcW w:w="614" w:type="pct"/>
                  <w:noWrap w:val="0"/>
                  <w:tcMar>
                    <w:top w:w="120" w:type="dxa"/>
                    <w:left w:w="120" w:type="dxa"/>
                    <w:bottom w:w="120" w:type="dxa"/>
                    <w:right w:w="120" w:type="dxa"/>
                  </w:tcMar>
                  <w:vAlign w:val="center"/>
                </w:tcPr>
                <w:p w14:paraId="60AC07F1">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180.32</w:t>
                  </w:r>
                </w:p>
              </w:tc>
              <w:tc>
                <w:tcPr>
                  <w:tcW w:w="439" w:type="pct"/>
                  <w:vMerge w:val="continue"/>
                  <w:noWrap w:val="0"/>
                  <w:tcMar>
                    <w:top w:w="120" w:type="dxa"/>
                    <w:left w:w="120" w:type="dxa"/>
                    <w:bottom w:w="120" w:type="dxa"/>
                    <w:right w:w="120" w:type="dxa"/>
                  </w:tcMar>
                  <w:vAlign w:val="center"/>
                </w:tcPr>
                <w:p w14:paraId="7C22A724">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74CB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05" w:type="pct"/>
                  <w:vMerge w:val="continue"/>
                  <w:noWrap w:val="0"/>
                  <w:tcMar>
                    <w:top w:w="120" w:type="dxa"/>
                    <w:left w:w="120" w:type="dxa"/>
                    <w:bottom w:w="120" w:type="dxa"/>
                    <w:right w:w="120" w:type="dxa"/>
                  </w:tcMar>
                  <w:vAlign w:val="center"/>
                </w:tcPr>
                <w:p w14:paraId="3586EF56">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52" w:type="pct"/>
                  <w:vMerge w:val="continue"/>
                  <w:noWrap w:val="0"/>
                  <w:tcMar>
                    <w:top w:w="120" w:type="dxa"/>
                    <w:left w:w="120" w:type="dxa"/>
                    <w:bottom w:w="120" w:type="dxa"/>
                    <w:right w:w="120" w:type="dxa"/>
                  </w:tcMar>
                  <w:vAlign w:val="center"/>
                </w:tcPr>
                <w:p w14:paraId="1A9BC69C">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544" w:type="pct"/>
                  <w:noWrap w:val="0"/>
                  <w:tcMar>
                    <w:top w:w="120" w:type="dxa"/>
                    <w:left w:w="120" w:type="dxa"/>
                    <w:bottom w:w="120" w:type="dxa"/>
                    <w:right w:w="120" w:type="dxa"/>
                  </w:tcMar>
                  <w:vAlign w:val="center"/>
                </w:tcPr>
                <w:p w14:paraId="4BF85B6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烟气黑度</w:t>
                  </w:r>
                </w:p>
              </w:tc>
              <w:tc>
                <w:tcPr>
                  <w:tcW w:w="508" w:type="pct"/>
                  <w:noWrap w:val="0"/>
                  <w:tcMar>
                    <w:top w:w="120" w:type="dxa"/>
                    <w:left w:w="120" w:type="dxa"/>
                    <w:bottom w:w="120" w:type="dxa"/>
                    <w:right w:w="120" w:type="dxa"/>
                  </w:tcMar>
                  <w:vAlign w:val="center"/>
                </w:tcPr>
                <w:p w14:paraId="74DCC0E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397" w:type="pct"/>
                  <w:vMerge w:val="continue"/>
                  <w:noWrap w:val="0"/>
                  <w:tcMar>
                    <w:top w:w="120" w:type="dxa"/>
                    <w:left w:w="120" w:type="dxa"/>
                    <w:bottom w:w="120" w:type="dxa"/>
                    <w:right w:w="120" w:type="dxa"/>
                  </w:tcMar>
                  <w:vAlign w:val="center"/>
                </w:tcPr>
                <w:p w14:paraId="4952B36A">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398" w:type="pct"/>
                  <w:noWrap w:val="0"/>
                  <w:tcMar>
                    <w:top w:w="120" w:type="dxa"/>
                    <w:left w:w="120" w:type="dxa"/>
                    <w:bottom w:w="120" w:type="dxa"/>
                    <w:right w:w="120" w:type="dxa"/>
                  </w:tcMar>
                  <w:vAlign w:val="center"/>
                </w:tcPr>
                <w:p w14:paraId="32527117">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508" w:type="pct"/>
                  <w:noWrap w:val="0"/>
                  <w:tcMar>
                    <w:top w:w="120" w:type="dxa"/>
                    <w:left w:w="120" w:type="dxa"/>
                    <w:bottom w:w="120" w:type="dxa"/>
                    <w:right w:w="120" w:type="dxa"/>
                  </w:tcMar>
                  <w:vAlign w:val="center"/>
                </w:tcPr>
                <w:p w14:paraId="35C7A09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529" w:type="pct"/>
                  <w:noWrap w:val="0"/>
                  <w:tcMar>
                    <w:top w:w="120" w:type="dxa"/>
                    <w:left w:w="120" w:type="dxa"/>
                    <w:bottom w:w="120" w:type="dxa"/>
                    <w:right w:w="120" w:type="dxa"/>
                  </w:tcMar>
                  <w:vAlign w:val="center"/>
                </w:tcPr>
                <w:p w14:paraId="0066E6C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614" w:type="pct"/>
                  <w:noWrap w:val="0"/>
                  <w:tcMar>
                    <w:top w:w="120" w:type="dxa"/>
                    <w:left w:w="120" w:type="dxa"/>
                    <w:bottom w:w="120" w:type="dxa"/>
                    <w:right w:w="120" w:type="dxa"/>
                  </w:tcMar>
                  <w:vAlign w:val="center"/>
                </w:tcPr>
                <w:p w14:paraId="1AC296E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439" w:type="pct"/>
                  <w:vMerge w:val="continue"/>
                  <w:noWrap w:val="0"/>
                  <w:tcMar>
                    <w:top w:w="120" w:type="dxa"/>
                    <w:left w:w="120" w:type="dxa"/>
                    <w:bottom w:w="120" w:type="dxa"/>
                    <w:right w:w="120" w:type="dxa"/>
                  </w:tcMar>
                  <w:vAlign w:val="center"/>
                </w:tcPr>
                <w:p w14:paraId="6774DC7C">
                  <w:pPr>
                    <w:widowControl/>
                    <w:jc w:val="center"/>
                    <w:rPr>
                      <w:rFonts w:ascii="Times New Roman" w:hAnsi="Times New Roman" w:eastAsia="宋体" w:cs="Times New Roman"/>
                      <w:color w:val="000000" w:themeColor="text1"/>
                      <w:szCs w:val="21"/>
                      <w14:textFill>
                        <w14:solidFill>
                          <w14:schemeClr w14:val="tx1"/>
                        </w14:solidFill>
                      </w14:textFill>
                    </w:rPr>
                  </w:pPr>
                </w:p>
              </w:tc>
            </w:tr>
          </w:tbl>
          <w:p w14:paraId="035920D0">
            <w:pPr>
              <w:widowControl/>
              <w:spacing w:line="360" w:lineRule="auto"/>
              <w:ind w:firstLine="482"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w:t>
            </w:r>
            <w:r>
              <w:rPr>
                <w:rFonts w:ascii="Times New Roman" w:hAnsi="Times New Roman" w:eastAsia="宋体" w:cs="Times New Roman"/>
                <w:b/>
                <w:bCs/>
                <w:color w:val="000000" w:themeColor="text1"/>
                <w:sz w:val="24"/>
                <w14:textFill>
                  <w14:solidFill>
                    <w14:schemeClr w14:val="tx1"/>
                  </w14:solidFill>
                </w14:textFill>
              </w:rPr>
              <w:t>2）</w:t>
            </w:r>
            <w:r>
              <w:rPr>
                <w:rFonts w:ascii="Times New Roman" w:hAnsi="Times New Roman" w:eastAsia="宋体" w:cs="Times New Roman"/>
                <w:b/>
                <w:bCs/>
                <w:color w:val="000000" w:themeColor="text1"/>
                <w:kern w:val="0"/>
                <w:sz w:val="24"/>
                <w:lang w:bidi="ar"/>
                <w14:textFill>
                  <w14:solidFill>
                    <w14:schemeClr w14:val="tx1"/>
                  </w14:solidFill>
                </w14:textFill>
              </w:rPr>
              <w:t>污水处理站恶臭</w:t>
            </w:r>
          </w:p>
          <w:p w14:paraId="0AF29CE1">
            <w:pPr>
              <w:widowControl/>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本项目有1座污水处理站，废水处理过程中会有恶臭产生，产生源包括沉淀池等，不涉及厌氧工艺，废水处理过程不会产生硫化氢及氨氮，主要污染物为臭气浓度。</w:t>
            </w:r>
          </w:p>
          <w:p w14:paraId="545D6E81">
            <w:pPr>
              <w:widowControl/>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污水处理设施在废水处理过程中会散发少量的恶臭气体，主要来源于有机物被微生物降解过</w:t>
            </w:r>
            <w:r>
              <w:rPr>
                <w:rFonts w:hint="eastAsia" w:ascii="Times New Roman" w:hAnsi="Times New Roman" w:eastAsia="宋体" w:cs="Times New Roman"/>
                <w:color w:val="000000" w:themeColor="text1"/>
                <w:kern w:val="0"/>
                <w:sz w:val="24"/>
                <w:lang w:bidi="ar"/>
                <w14:textFill>
                  <w14:solidFill>
                    <w14:schemeClr w14:val="tx1"/>
                  </w14:solidFill>
                </w14:textFill>
              </w:rPr>
              <w:t>程中</w:t>
            </w:r>
            <w:r>
              <w:rPr>
                <w:rFonts w:ascii="Times New Roman" w:hAnsi="Times New Roman" w:eastAsia="宋体" w:cs="Times New Roman"/>
                <w:color w:val="000000" w:themeColor="text1"/>
                <w:kern w:val="0"/>
                <w:sz w:val="24"/>
                <w:lang w:bidi="ar"/>
                <w14:textFill>
                  <w14:solidFill>
                    <w14:schemeClr w14:val="tx1"/>
                  </w14:solidFill>
                </w14:textFill>
              </w:rPr>
              <w:t>产生的气味，经曝气或者自身挥发随设备检修、清运污泥等过程而逸入环境空气中。北京环境监测中心在吸取国外经验的基础上提出了恶臭6级分级法，该分级法以嗅觉的感觉和人的主观感觉特征两方面来描述各级特征，既明确了各级的差别，也提高了分级的准确程度。</w:t>
            </w:r>
          </w:p>
          <w:p w14:paraId="28A2DEC3">
            <w:pPr>
              <w:widowControl/>
              <w:jc w:val="center"/>
              <w:rPr>
                <w:rFonts w:ascii="Times New Roman" w:hAnsi="Times New Roman" w:eastAsia="宋体" w:cs="Times New Roman"/>
                <w:color w:val="000000" w:themeColor="text1"/>
                <w:sz w:val="24"/>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表</w:t>
            </w:r>
            <w:r>
              <w:rPr>
                <w:rFonts w:ascii="Times New Roman" w:hAnsi="Times New Roman" w:eastAsia="宋体" w:cs="Times New Roman"/>
                <w:b/>
                <w:bCs/>
                <w:color w:val="000000" w:themeColor="text1"/>
                <w:kern w:val="0"/>
                <w:sz w:val="24"/>
                <w:lang w:bidi="ar"/>
                <w14:textFill>
                  <w14:solidFill>
                    <w14:schemeClr w14:val="tx1"/>
                  </w14:solidFill>
                </w14:textFill>
              </w:rPr>
              <w:t>4-</w:t>
            </w:r>
            <w:r>
              <w:rPr>
                <w:rFonts w:hint="eastAsia" w:ascii="Times New Roman" w:hAnsi="Times New Roman" w:eastAsia="宋体" w:cs="Times New Roman"/>
                <w:b/>
                <w:bCs/>
                <w:color w:val="000000" w:themeColor="text1"/>
                <w:kern w:val="0"/>
                <w:sz w:val="24"/>
                <w:lang w:bidi="ar"/>
                <w14:textFill>
                  <w14:solidFill>
                    <w14:schemeClr w14:val="tx1"/>
                  </w14:solidFill>
                </w14:textFill>
              </w:rPr>
              <w:t>5</w:t>
            </w:r>
            <w:r>
              <w:rPr>
                <w:rFonts w:hint="eastAsia" w:ascii="宋体" w:hAnsi="宋体" w:eastAsia="宋体" w:cs="宋体"/>
                <w:b/>
                <w:bCs/>
                <w:color w:val="000000" w:themeColor="text1"/>
                <w:kern w:val="0"/>
                <w:sz w:val="24"/>
                <w:lang w:bidi="ar"/>
                <w14:textFill>
                  <w14:solidFill>
                    <w14:schemeClr w14:val="tx1"/>
                  </w14:solidFill>
                </w14:textFill>
              </w:rPr>
              <w:t>恶臭</w:t>
            </w:r>
            <w:r>
              <w:rPr>
                <w:rFonts w:ascii="Times New Roman" w:hAnsi="Times New Roman" w:eastAsia="宋体" w:cs="Times New Roman"/>
                <w:b/>
                <w:bCs/>
                <w:color w:val="000000" w:themeColor="text1"/>
                <w:kern w:val="0"/>
                <w:sz w:val="24"/>
                <w:lang w:bidi="ar"/>
                <w14:textFill>
                  <w14:solidFill>
                    <w14:schemeClr w14:val="tx1"/>
                  </w14:solidFill>
                </w14:textFill>
              </w:rPr>
              <w:t>6</w:t>
            </w:r>
            <w:r>
              <w:rPr>
                <w:rFonts w:hint="eastAsia" w:ascii="宋体" w:hAnsi="宋体" w:eastAsia="宋体" w:cs="宋体"/>
                <w:b/>
                <w:bCs/>
                <w:color w:val="000000" w:themeColor="text1"/>
                <w:kern w:val="0"/>
                <w:sz w:val="24"/>
                <w:lang w:bidi="ar"/>
                <w14:textFill>
                  <w14:solidFill>
                    <w14:schemeClr w14:val="tx1"/>
                  </w14:solidFill>
                </w14:textFill>
              </w:rPr>
              <w:t>级分级</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6610"/>
            </w:tblGrid>
            <w:tr w14:paraId="3319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noWrap w:val="0"/>
                  <w:vAlign w:val="center"/>
                </w:tcPr>
                <w:p w14:paraId="2D35AFC4">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lang w:bidi="ar"/>
                      <w14:textFill>
                        <w14:solidFill>
                          <w14:schemeClr w14:val="tx1"/>
                        </w14:solidFill>
                      </w14:textFill>
                    </w:rPr>
                    <w:t>恶臭强度级</w:t>
                  </w:r>
                </w:p>
              </w:tc>
              <w:tc>
                <w:tcPr>
                  <w:tcW w:w="4132" w:type="pct"/>
                  <w:noWrap w:val="0"/>
                  <w:vAlign w:val="center"/>
                </w:tcPr>
                <w:p w14:paraId="4BF28857">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b/>
                      <w:bCs/>
                      <w:color w:val="000000" w:themeColor="text1"/>
                      <w:kern w:val="0"/>
                      <w:szCs w:val="21"/>
                      <w:lang w:bidi="ar"/>
                      <w14:textFill>
                        <w14:solidFill>
                          <w14:schemeClr w14:val="tx1"/>
                        </w14:solidFill>
                      </w14:textFill>
                    </w:rPr>
                    <w:t>特征</w:t>
                  </w:r>
                </w:p>
              </w:tc>
            </w:tr>
            <w:tr w14:paraId="04FD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noWrap w:val="0"/>
                  <w:vAlign w:val="center"/>
                </w:tcPr>
                <w:p w14:paraId="58F5BBEA">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w:t>
                  </w:r>
                </w:p>
              </w:tc>
              <w:tc>
                <w:tcPr>
                  <w:tcW w:w="4132" w:type="pct"/>
                  <w:noWrap w:val="0"/>
                  <w:vAlign w:val="center"/>
                </w:tcPr>
                <w:p w14:paraId="669E6B0F">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未闻到有任何气味，无任何反应</w:t>
                  </w:r>
                </w:p>
              </w:tc>
            </w:tr>
            <w:tr w14:paraId="75DB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noWrap w:val="0"/>
                  <w:vAlign w:val="center"/>
                </w:tcPr>
                <w:p w14:paraId="6D28ACE9">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4132" w:type="pct"/>
                  <w:noWrap w:val="0"/>
                  <w:vAlign w:val="center"/>
                </w:tcPr>
                <w:p w14:paraId="53D37CD8">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勉强能闻到有气味，但不易辨认气味性质（感觉阈值），认为无所谓</w:t>
                  </w:r>
                </w:p>
              </w:tc>
            </w:tr>
            <w:tr w14:paraId="31C9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noWrap w:val="0"/>
                  <w:vAlign w:val="center"/>
                </w:tcPr>
                <w:p w14:paraId="4CFC02B7">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w:t>
                  </w:r>
                </w:p>
              </w:tc>
              <w:tc>
                <w:tcPr>
                  <w:tcW w:w="4132" w:type="pct"/>
                  <w:noWrap w:val="0"/>
                  <w:vAlign w:val="center"/>
                </w:tcPr>
                <w:p w14:paraId="6EAB9AE4">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能闻到气味，且能辨认气味的性质（识别阈值），但感到很正常</w:t>
                  </w:r>
                </w:p>
              </w:tc>
            </w:tr>
            <w:tr w14:paraId="01B0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867" w:type="pct"/>
                  <w:noWrap w:val="0"/>
                  <w:vAlign w:val="center"/>
                </w:tcPr>
                <w:p w14:paraId="21FDAAB7">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w:t>
                  </w:r>
                </w:p>
              </w:tc>
              <w:tc>
                <w:tcPr>
                  <w:tcW w:w="4132" w:type="pct"/>
                  <w:noWrap w:val="0"/>
                  <w:vAlign w:val="center"/>
                </w:tcPr>
                <w:p w14:paraId="755ED87D">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很容易闻到气味，有所不快，但不反感</w:t>
                  </w:r>
                </w:p>
              </w:tc>
            </w:tr>
            <w:tr w14:paraId="2913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noWrap w:val="0"/>
                  <w:vAlign w:val="center"/>
                </w:tcPr>
                <w:p w14:paraId="70733D61">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4</w:t>
                  </w:r>
                </w:p>
              </w:tc>
              <w:tc>
                <w:tcPr>
                  <w:tcW w:w="4132" w:type="pct"/>
                  <w:noWrap w:val="0"/>
                  <w:vAlign w:val="center"/>
                </w:tcPr>
                <w:p w14:paraId="6F34DEA7">
                  <w:pPr>
                    <w:widowControl/>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有很强的气味，而且很反感，想离开</w:t>
                  </w:r>
                </w:p>
              </w:tc>
            </w:tr>
            <w:tr w14:paraId="35DC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7" w:type="pct"/>
                  <w:noWrap w:val="0"/>
                  <w:vAlign w:val="center"/>
                </w:tcPr>
                <w:p w14:paraId="21F08B04">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5</w:t>
                  </w:r>
                </w:p>
              </w:tc>
              <w:tc>
                <w:tcPr>
                  <w:tcW w:w="4132" w:type="pct"/>
                  <w:noWrap w:val="0"/>
                  <w:vAlign w:val="center"/>
                </w:tcPr>
                <w:p w14:paraId="033A3152">
                  <w:pPr>
                    <w:widowControl/>
                    <w:jc w:val="center"/>
                    <w:rPr>
                      <w:rFonts w:hint="eastAsia" w:ascii="宋体" w:hAnsi="宋体" w:eastAsia="宋体" w:cs="宋体"/>
                      <w:color w:val="000000" w:themeColor="text1"/>
                      <w:kern w:val="0"/>
                      <w:szCs w:val="21"/>
                      <w:lang w:bidi="ar"/>
                      <w14:textFill>
                        <w14:solidFill>
                          <w14:schemeClr w14:val="tx1"/>
                        </w14:solidFill>
                      </w14:textFill>
                    </w:rPr>
                  </w:pPr>
                  <w:r>
                    <w:rPr>
                      <w:rFonts w:hint="eastAsia" w:ascii="宋体" w:hAnsi="宋体" w:eastAsia="宋体" w:cs="宋体"/>
                      <w:color w:val="000000" w:themeColor="text1"/>
                      <w:kern w:val="0"/>
                      <w:szCs w:val="21"/>
                      <w:lang w:bidi="ar"/>
                      <w14:textFill>
                        <w14:solidFill>
                          <w14:schemeClr w14:val="tx1"/>
                        </w14:solidFill>
                      </w14:textFill>
                    </w:rPr>
                    <w:t>有极强的气味，无法忍受，立即逃跑</w:t>
                  </w:r>
                </w:p>
              </w:tc>
            </w:tr>
          </w:tbl>
          <w:p w14:paraId="0889FFB2">
            <w:pPr>
              <w:widowControl/>
              <w:spacing w:line="360" w:lineRule="auto"/>
              <w:ind w:firstLine="480"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本项目污水处理设施处理的废水为生产废水，恶臭等级为2~3级。项目加强污水处理设施周边的绿化等措施治理，污水处理设施臭气对周围环境及项目生产和办公影响很小。故本项目污水处理设施产生少量臭气，不做定量分析，只做定性分析。</w:t>
            </w:r>
          </w:p>
          <w:p w14:paraId="463620D4">
            <w:pPr>
              <w:widowControl/>
              <w:spacing w:line="360" w:lineRule="auto"/>
              <w:ind w:firstLine="480" w:firstLineChars="200"/>
              <w:jc w:val="left"/>
              <w:rPr>
                <w:rFonts w:hint="eastAsia" w:ascii="Times New Roman" w:hAnsi="Times New Roman" w:eastAsia="宋体" w:cs="Times New Roman"/>
                <w:color w:val="000000" w:themeColor="text1"/>
                <w:kern w:val="0"/>
                <w:sz w:val="24"/>
                <w:lang w:val="en-US" w:eastAsia="zh-CN"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项目自建污水处理站处理生产车间产生的废水，恶臭气味再经自然通风稀释后，厂界外的臭气浓度一般情况下可以达到《恶臭污染物排放标准》（GB14554-93）中“表1恶臭污染物厂界标准值”中二级新扩改建项目标准</w:t>
            </w:r>
            <w:r>
              <w:rPr>
                <w:rFonts w:hint="eastAsia" w:ascii="Times New Roman" w:hAnsi="Times New Roman" w:eastAsia="宋体" w:cs="Times New Roman"/>
                <w:color w:val="000000" w:themeColor="text1"/>
                <w:kern w:val="0"/>
                <w:sz w:val="24"/>
                <w:lang w:eastAsia="zh-CN" w:bidi="ar"/>
                <w14:textFill>
                  <w14:solidFill>
                    <w14:schemeClr w14:val="tx1"/>
                  </w14:solidFill>
                </w14:textFill>
              </w:rPr>
              <w:t>。</w:t>
            </w:r>
          </w:p>
          <w:p w14:paraId="70DAE23D">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iCs/>
                <w:color w:val="000000" w:themeColor="text1"/>
                <w:sz w:val="24"/>
                <w14:textFill>
                  <w14:solidFill>
                    <w14:schemeClr w14:val="tx1"/>
                  </w14:solidFill>
                </w14:textFill>
              </w:rPr>
            </w:pPr>
            <w:r>
              <w:rPr>
                <w:rFonts w:hint="default" w:ascii="Times New Roman" w:hAnsi="Times New Roman" w:eastAsia="宋体" w:cs="Times New Roman"/>
                <w:bCs/>
                <w:iCs/>
                <w:color w:val="000000" w:themeColor="text1"/>
                <w:sz w:val="24"/>
                <w14:textFill>
                  <w14:solidFill>
                    <w14:schemeClr w14:val="tx1"/>
                  </w14:solidFill>
                </w14:textFill>
              </w:rPr>
              <w:t>（3）备用发电机尾气</w:t>
            </w:r>
          </w:p>
          <w:p w14:paraId="79A50C1A">
            <w:pPr>
              <w:keepNext w:val="0"/>
              <w:keepLines w:val="0"/>
              <w:pageBreakBefore w:val="0"/>
              <w:widowControl/>
              <w:suppressLineNumbers w:val="0"/>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bCs/>
                <w:iCs/>
                <w:color w:val="000000" w:themeColor="text1"/>
                <w:sz w:val="24"/>
                <w14:textFill>
                  <w14:solidFill>
                    <w14:schemeClr w14:val="tx1"/>
                  </w14:solidFill>
                </w14:textFill>
              </w:rPr>
            </w:pPr>
            <w:r>
              <w:rPr>
                <w:rFonts w:hint="default" w:ascii="Times New Roman" w:hAnsi="Times New Roman" w:eastAsia="宋体" w:cs="Times New Roman"/>
                <w:bCs/>
                <w:iCs/>
                <w:color w:val="000000" w:themeColor="text1"/>
                <w:sz w:val="24"/>
                <w14:textFill>
                  <w14:solidFill>
                    <w14:schemeClr w14:val="tx1"/>
                  </w14:solidFill>
                </w14:textFill>
              </w:rPr>
              <w:t>项目拟设1台额定功率为</w:t>
            </w:r>
            <w:r>
              <w:rPr>
                <w:rFonts w:hint="default" w:ascii="Times New Roman" w:hAnsi="Times New Roman" w:eastAsia="宋体" w:cs="Times New Roman"/>
                <w:bCs/>
                <w:iCs/>
                <w:color w:val="000000" w:themeColor="text1"/>
                <w:sz w:val="24"/>
                <w:lang w:val="en-US" w:eastAsia="zh-CN"/>
                <w14:textFill>
                  <w14:solidFill>
                    <w14:schemeClr w14:val="tx1"/>
                  </w14:solidFill>
                </w14:textFill>
              </w:rPr>
              <w:t>8</w:t>
            </w:r>
            <w:r>
              <w:rPr>
                <w:rFonts w:hint="default" w:ascii="Times New Roman" w:hAnsi="Times New Roman" w:eastAsia="宋体" w:cs="Times New Roman"/>
                <w:bCs/>
                <w:iCs/>
                <w:color w:val="000000" w:themeColor="text1"/>
                <w:sz w:val="24"/>
                <w14:textFill>
                  <w14:solidFill>
                    <w14:schemeClr w14:val="tx1"/>
                  </w14:solidFill>
                </w14:textFill>
              </w:rPr>
              <w:t>0kW的备用发电机，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备用发电机使用频率低，</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发电机仅在市政停电时应急使用，</w:t>
            </w:r>
            <w:r>
              <w:rPr>
                <w:rFonts w:hint="default" w:ascii="Times New Roman" w:hAnsi="Times New Roman" w:eastAsia="宋体" w:cs="Times New Roman"/>
                <w:b w:val="0"/>
                <w:bCs w:val="0"/>
                <w:iCs/>
                <w:color w:val="000000" w:themeColor="text1"/>
                <w:sz w:val="24"/>
                <w14:textFill>
                  <w14:solidFill>
                    <w14:schemeClr w14:val="tx1"/>
                  </w14:solidFill>
                </w14:textFill>
              </w:rPr>
              <w:t>采用</w:t>
            </w:r>
            <w:r>
              <w:rPr>
                <w:rFonts w:hint="eastAsia" w:ascii="Times New Roman" w:hAnsi="Times New Roman" w:eastAsia="宋体" w:cs="Times New Roman"/>
                <w:b w:val="0"/>
                <w:bCs w:val="0"/>
                <w:iCs/>
                <w:color w:val="000000" w:themeColor="text1"/>
                <w:sz w:val="24"/>
                <w:lang w:val="en-US" w:eastAsia="zh-CN"/>
                <w14:textFill>
                  <w14:solidFill>
                    <w14:schemeClr w14:val="tx1"/>
                  </w14:solidFill>
                </w14:textFill>
              </w:rPr>
              <w:t>低硫份的</w:t>
            </w:r>
            <w:r>
              <w:rPr>
                <w:rFonts w:hint="default" w:ascii="Times New Roman" w:hAnsi="Times New Roman" w:eastAsia="宋体" w:cs="Times New Roman"/>
                <w:b w:val="0"/>
                <w:bCs w:val="0"/>
                <w:iCs/>
                <w:color w:val="000000" w:themeColor="text1"/>
                <w:sz w:val="24"/>
                <w14:textFill>
                  <w14:solidFill>
                    <w14:schemeClr w14:val="tx1"/>
                  </w14:solidFill>
                </w14:textFill>
              </w:rPr>
              <w:t>0号柴油</w:t>
            </w:r>
            <w:r>
              <w:rPr>
                <w:rFonts w:hint="default" w:ascii="Times New Roman" w:hAnsi="Times New Roman" w:eastAsia="宋体" w:cs="Times New Roman"/>
                <w:bCs/>
                <w:iCs/>
                <w:color w:val="000000" w:themeColor="text1"/>
                <w:sz w:val="24"/>
                <w14:textFill>
                  <w14:solidFill>
                    <w14:schemeClr w14:val="tx1"/>
                  </w14:solidFill>
                </w14:textFill>
              </w:rPr>
              <w:t>作为燃料其运行时产生一定量的燃油废气。参照《环境影响评价工程师职业资格登记培训系列教材（社会区域）》，单台柴油备用发电机100%满载时耗油量为170g/kW·h。据此，计算本项目备用发电机运行时的柴油消耗量约为</w:t>
            </w:r>
            <w:r>
              <w:rPr>
                <w:rFonts w:hint="default" w:ascii="Times New Roman" w:hAnsi="Times New Roman" w:eastAsia="宋体" w:cs="Times New Roman"/>
                <w:bCs/>
                <w:iCs/>
                <w:color w:val="000000" w:themeColor="text1"/>
                <w:sz w:val="24"/>
                <w:lang w:val="en-US" w:eastAsia="zh-CN"/>
                <w14:textFill>
                  <w14:solidFill>
                    <w14:schemeClr w14:val="tx1"/>
                  </w14:solidFill>
                </w14:textFill>
              </w:rPr>
              <w:t>13.6kg/h</w:t>
            </w:r>
            <w:r>
              <w:rPr>
                <w:rFonts w:hint="default" w:ascii="Times New Roman" w:hAnsi="Times New Roman" w:eastAsia="宋体" w:cs="Times New Roman"/>
                <w:bCs/>
                <w:iCs/>
                <w:color w:val="000000" w:themeColor="text1"/>
                <w:sz w:val="24"/>
                <w14:textFill>
                  <w14:solidFill>
                    <w14:schemeClr w14:val="tx1"/>
                  </w14:solidFill>
                </w14:textFill>
              </w:rPr>
              <w:t>。</w:t>
            </w:r>
          </w:p>
          <w:p w14:paraId="25D5845B">
            <w:pPr>
              <w:keepNext w:val="0"/>
              <w:keepLines w:val="0"/>
              <w:pageBreakBefore w:val="0"/>
              <w:widowControl/>
              <w:suppressLineNumbers w:val="0"/>
              <w:kinsoku/>
              <w:wordWrap/>
              <w:overflowPunct/>
              <w:topLinePunct w:val="0"/>
              <w:autoSpaceDE/>
              <w:autoSpaceDN/>
              <w:bidi w:val="0"/>
              <w:spacing w:line="360" w:lineRule="auto"/>
              <w:ind w:firstLine="480" w:firstLineChars="200"/>
              <w:jc w:val="left"/>
              <w:textAlignment w:val="auto"/>
              <w:rPr>
                <w:rFonts w:hint="default" w:ascii="Times New Roman" w:hAnsi="Times New Roman" w:eastAsia="宋体" w:cs="Times New Roman"/>
                <w:bCs/>
                <w:iCs/>
                <w:color w:val="000000" w:themeColor="text1"/>
                <w:sz w:val="24"/>
                <w14:textFill>
                  <w14:solidFill>
                    <w14:schemeClr w14:val="tx1"/>
                  </w14:solidFill>
                </w14:textFill>
              </w:rPr>
            </w:pPr>
            <w:r>
              <w:rPr>
                <w:rFonts w:hint="default" w:ascii="Times New Roman" w:hAnsi="Times New Roman" w:eastAsia="宋体" w:cs="Times New Roman"/>
                <w:bCs/>
                <w:iCs/>
                <w:color w:val="000000" w:themeColor="text1"/>
                <w:sz w:val="24"/>
                <w14:textFill>
                  <w14:solidFill>
                    <w14:schemeClr w14:val="tx1"/>
                  </w14:solidFill>
                </w14:textFill>
              </w:rPr>
              <w:t>项目所在区域供电较为稳定，年停电时长仅约8小时，故本项目使用发电机的频率有限仅在本项目</w:t>
            </w:r>
            <w:r>
              <w:rPr>
                <w:rFonts w:hint="eastAsia" w:ascii="Times New Roman" w:hAnsi="Times New Roman" w:eastAsia="宋体" w:cs="Times New Roman"/>
                <w:bCs/>
                <w:iCs/>
                <w:color w:val="000000" w:themeColor="text1"/>
                <w:sz w:val="24"/>
                <w:lang w:val="en-US" w:eastAsia="zh-CN"/>
                <w14:textFill>
                  <w14:solidFill>
                    <w14:schemeClr w14:val="tx1"/>
                  </w14:solidFill>
                </w14:textFill>
              </w:rPr>
              <w:t>厂</w:t>
            </w:r>
            <w:r>
              <w:rPr>
                <w:rFonts w:hint="default" w:ascii="Times New Roman" w:hAnsi="Times New Roman" w:eastAsia="宋体" w:cs="Times New Roman"/>
                <w:bCs/>
                <w:iCs/>
                <w:color w:val="000000" w:themeColor="text1"/>
                <w:sz w:val="24"/>
                <w14:textFill>
                  <w14:solidFill>
                    <w14:schemeClr w14:val="tx1"/>
                  </w14:solidFill>
                </w14:textFill>
              </w:rPr>
              <w:t>区断电时使用，同时每2个月启动一次备用发电机进行维护，每次维护的启动时长为20分钟，则本项目备用发电机全年运行时长为12小时，年耗油量为</w:t>
            </w:r>
            <w:r>
              <w:rPr>
                <w:rFonts w:hint="default" w:ascii="Times New Roman" w:hAnsi="Times New Roman" w:eastAsia="宋体" w:cs="Times New Roman"/>
                <w:bCs/>
                <w:iCs/>
                <w:color w:val="000000" w:themeColor="text1"/>
                <w:sz w:val="24"/>
                <w:lang w:val="en-US" w:eastAsia="zh-CN"/>
                <w14:textFill>
                  <w14:solidFill>
                    <w14:schemeClr w14:val="tx1"/>
                  </w14:solidFill>
                </w14:textFill>
              </w:rPr>
              <w:t>0.1632</w:t>
            </w:r>
            <w:r>
              <w:rPr>
                <w:rFonts w:hint="default" w:ascii="Times New Roman" w:hAnsi="Times New Roman" w:eastAsia="宋体" w:cs="Times New Roman"/>
                <w:bCs/>
                <w:iCs/>
                <w:color w:val="000000" w:themeColor="text1"/>
                <w:sz w:val="24"/>
                <w14:textFill>
                  <w14:solidFill>
                    <w14:schemeClr w14:val="tx1"/>
                  </w14:solidFill>
                </w14:textFill>
              </w:rPr>
              <w:t>吨。</w:t>
            </w:r>
          </w:p>
          <w:p w14:paraId="4F184E0C">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iCs/>
                <w:color w:val="000000" w:themeColor="text1"/>
                <w:sz w:val="24"/>
                <w14:textFill>
                  <w14:solidFill>
                    <w14:schemeClr w14:val="tx1"/>
                  </w14:solidFill>
                </w14:textFill>
              </w:rPr>
            </w:pPr>
            <w:r>
              <w:rPr>
                <w:rFonts w:hint="default" w:ascii="Times New Roman" w:hAnsi="Times New Roman" w:eastAsia="宋体" w:cs="Times New Roman"/>
                <w:bCs/>
                <w:iCs/>
                <w:color w:val="000000" w:themeColor="text1"/>
                <w:sz w:val="24"/>
                <w14:textFill>
                  <w14:solidFill>
                    <w14:schemeClr w14:val="tx1"/>
                  </w14:solidFill>
                </w14:textFill>
              </w:rPr>
              <w:t>根据《大气污染工程师手册》，当空气过剩系数为1时，1kg柴油产生的烟气量为11Nm</w:t>
            </w:r>
            <w:r>
              <w:rPr>
                <w:rFonts w:hint="default" w:ascii="Times New Roman" w:hAnsi="Times New Roman" w:eastAsia="宋体" w:cs="Times New Roman"/>
                <w:bCs/>
                <w:iCs/>
                <w:color w:val="000000" w:themeColor="text1"/>
                <w:sz w:val="24"/>
                <w:vertAlign w:val="superscript"/>
                <w14:textFill>
                  <w14:solidFill>
                    <w14:schemeClr w14:val="tx1"/>
                  </w14:solidFill>
                </w14:textFill>
              </w:rPr>
              <w:t>3</w:t>
            </w:r>
            <w:r>
              <w:rPr>
                <w:rFonts w:hint="default" w:ascii="Times New Roman" w:hAnsi="Times New Roman" w:eastAsia="宋体" w:cs="Times New Roman"/>
                <w:bCs/>
                <w:iCs/>
                <w:color w:val="000000" w:themeColor="text1"/>
                <w:sz w:val="24"/>
                <w14:textFill>
                  <w14:solidFill>
                    <w14:schemeClr w14:val="tx1"/>
                  </w14:solidFill>
                </w14:textFill>
              </w:rPr>
              <w:t>，一般柴油发电机空气系数为1.8，则每燃烧1kg柴油产生的烟气量为</w:t>
            </w:r>
            <w:r>
              <w:rPr>
                <w:rFonts w:hint="eastAsia" w:ascii="Times New Roman" w:hAnsi="Times New Roman" w:eastAsia="宋体" w:cs="Times New Roman"/>
                <w:bCs/>
                <w:iCs/>
                <w:color w:val="000000" w:themeColor="text1"/>
                <w:sz w:val="24"/>
                <w14:textFill>
                  <w14:solidFill>
                    <w14:schemeClr w14:val="tx1"/>
                  </w14:solidFill>
                </w14:textFill>
              </w:rPr>
              <w:t>1</w:t>
            </w:r>
            <w:r>
              <w:rPr>
                <w:rFonts w:hint="default" w:ascii="Times New Roman" w:hAnsi="Times New Roman" w:eastAsia="宋体" w:cs="Times New Roman"/>
                <w:bCs/>
                <w:iCs/>
                <w:color w:val="000000" w:themeColor="text1"/>
                <w:sz w:val="24"/>
                <w14:textFill>
                  <w14:solidFill>
                    <w14:schemeClr w14:val="tx1"/>
                  </w14:solidFill>
                </w14:textFill>
              </w:rPr>
              <w:t>9.8Nm</w:t>
            </w:r>
            <w:r>
              <w:rPr>
                <w:rFonts w:hint="default" w:ascii="Times New Roman" w:hAnsi="Times New Roman" w:eastAsia="宋体" w:cs="Times New Roman"/>
                <w:bCs/>
                <w:iCs/>
                <w:color w:val="000000" w:themeColor="text1"/>
                <w:sz w:val="24"/>
                <w:vertAlign w:val="superscript"/>
                <w14:textFill>
                  <w14:solidFill>
                    <w14:schemeClr w14:val="tx1"/>
                  </w14:solidFill>
                </w14:textFill>
              </w:rPr>
              <w:t>3</w:t>
            </w:r>
            <w:r>
              <w:rPr>
                <w:rFonts w:hint="default" w:ascii="Times New Roman" w:hAnsi="Times New Roman" w:eastAsia="宋体" w:cs="Times New Roman"/>
                <w:bCs/>
                <w:iCs/>
                <w:color w:val="000000" w:themeColor="text1"/>
                <w:sz w:val="24"/>
                <w14:textFill>
                  <w14:solidFill>
                    <w14:schemeClr w14:val="tx1"/>
                  </w14:solidFill>
                </w14:textFill>
              </w:rPr>
              <w:t>。项目备用发电机共产生烟气量</w:t>
            </w:r>
            <w:r>
              <w:rPr>
                <w:rFonts w:hint="default" w:ascii="Times New Roman" w:hAnsi="Times New Roman" w:eastAsia="宋体" w:cs="Times New Roman"/>
                <w:bCs/>
                <w:iCs/>
                <w:color w:val="000000" w:themeColor="text1"/>
                <w:sz w:val="24"/>
                <w:lang w:val="en-US" w:eastAsia="zh-CN"/>
                <w14:textFill>
                  <w14:solidFill>
                    <w14:schemeClr w14:val="tx1"/>
                  </w14:solidFill>
                </w14:textFill>
              </w:rPr>
              <w:t>3231.36</w:t>
            </w:r>
            <w:r>
              <w:rPr>
                <w:rFonts w:hint="default" w:ascii="Times New Roman" w:hAnsi="Times New Roman" w:eastAsia="宋体" w:cs="Times New Roman"/>
                <w:bCs/>
                <w:iCs/>
                <w:color w:val="000000" w:themeColor="text1"/>
                <w:sz w:val="24"/>
                <w14:textFill>
                  <w14:solidFill>
                    <w14:schemeClr w14:val="tx1"/>
                  </w14:solidFill>
                </w14:textFill>
              </w:rPr>
              <w:t>m</w:t>
            </w:r>
            <w:r>
              <w:rPr>
                <w:rFonts w:hint="default" w:ascii="Times New Roman" w:hAnsi="Times New Roman" w:eastAsia="宋体" w:cs="Times New Roman"/>
                <w:bCs/>
                <w:iCs/>
                <w:color w:val="000000" w:themeColor="text1"/>
                <w:sz w:val="24"/>
                <w:vertAlign w:val="superscript"/>
                <w14:textFill>
                  <w14:solidFill>
                    <w14:schemeClr w14:val="tx1"/>
                  </w14:solidFill>
                </w14:textFill>
              </w:rPr>
              <w:t>3</w:t>
            </w:r>
            <w:r>
              <w:rPr>
                <w:rFonts w:hint="default" w:ascii="Times New Roman" w:hAnsi="Times New Roman" w:eastAsia="宋体" w:cs="Times New Roman"/>
                <w:bCs/>
                <w:iCs/>
                <w:color w:val="000000" w:themeColor="text1"/>
                <w:sz w:val="24"/>
                <w14:textFill>
                  <w14:solidFill>
                    <w14:schemeClr w14:val="tx1"/>
                  </w14:solidFill>
                </w14:textFill>
              </w:rPr>
              <w:t>。</w:t>
            </w:r>
          </w:p>
          <w:p w14:paraId="50575D78">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ascii="Times New Roman" w:hAnsi="Times New Roman" w:eastAsia="宋体" w:cs="Times New Roman"/>
                <w:bCs/>
                <w:iCs/>
                <w:color w:val="000000" w:themeColor="text1"/>
                <w:sz w:val="24"/>
                <w14:textFill>
                  <w14:solidFill>
                    <w14:schemeClr w14:val="tx1"/>
                  </w14:solidFill>
                </w14:textFill>
              </w:rPr>
            </w:pPr>
            <w:r>
              <w:rPr>
                <w:rFonts w:hint="default" w:ascii="Times New Roman" w:hAnsi="Times New Roman" w:eastAsia="宋体" w:cs="Times New Roman"/>
                <w:bCs/>
                <w:iCs/>
                <w:color w:val="000000" w:themeColor="text1"/>
                <w:sz w:val="24"/>
                <w14:textFill>
                  <w14:solidFill>
                    <w14:schemeClr w14:val="tx1"/>
                  </w14:solidFill>
                </w14:textFill>
              </w:rPr>
              <w:t>备用柴油发电机产污情况根据《环境影响评价工程师职业资格登记培训系列教材（社会区域）》中的系数核算（SO</w:t>
            </w:r>
            <w:r>
              <w:rPr>
                <w:rFonts w:hint="default" w:ascii="Times New Roman" w:hAnsi="Times New Roman" w:eastAsia="宋体" w:cs="Times New Roman"/>
                <w:bCs/>
                <w:iCs/>
                <w:color w:val="000000" w:themeColor="text1"/>
                <w:sz w:val="24"/>
                <w:vertAlign w:val="subscript"/>
                <w14:textFill>
                  <w14:solidFill>
                    <w14:schemeClr w14:val="tx1"/>
                  </w14:solidFill>
                </w14:textFill>
              </w:rPr>
              <w:t>2</w:t>
            </w:r>
            <w:r>
              <w:rPr>
                <w:rFonts w:hint="default" w:ascii="Times New Roman" w:hAnsi="Times New Roman" w:eastAsia="宋体" w:cs="Times New Roman"/>
                <w:bCs/>
                <w:iCs/>
                <w:color w:val="000000" w:themeColor="text1"/>
                <w:sz w:val="24"/>
                <w14:textFill>
                  <w14:solidFill>
                    <w14:schemeClr w14:val="tx1"/>
                  </w14:solidFill>
                </w14:textFill>
              </w:rPr>
              <w:t>：20Sg/kg-柴油，烟尘（颗粒物）：0.31g/kg-柴油，NOx：2.36g/kg-柴油，根据《车用柴油》（GB19147-2016）表3，0号柴油硫含量不大于10mg/kg-柴油，则S取0.001）。产生的发电机尾气经收集后引至15m高排气筒DA00</w:t>
            </w:r>
            <w:r>
              <w:rPr>
                <w:rFonts w:hint="default" w:ascii="Times New Roman" w:hAnsi="Times New Roman" w:eastAsia="宋体" w:cs="Times New Roman"/>
                <w:bCs/>
                <w:iCs/>
                <w:color w:val="000000" w:themeColor="text1"/>
                <w:sz w:val="24"/>
                <w:lang w:val="en-US" w:eastAsia="zh-CN"/>
                <w14:textFill>
                  <w14:solidFill>
                    <w14:schemeClr w14:val="tx1"/>
                  </w14:solidFill>
                </w14:textFill>
              </w:rPr>
              <w:t>2</w:t>
            </w:r>
            <w:r>
              <w:rPr>
                <w:rFonts w:hint="default" w:ascii="Times New Roman" w:hAnsi="Times New Roman" w:eastAsia="宋体" w:cs="Times New Roman"/>
                <w:bCs/>
                <w:iCs/>
                <w:color w:val="000000" w:themeColor="text1"/>
                <w:sz w:val="24"/>
                <w14:textFill>
                  <w14:solidFill>
                    <w14:schemeClr w14:val="tx1"/>
                  </w14:solidFill>
                </w14:textFill>
              </w:rPr>
              <w:t>排放，则本项目备用发电机燃油尾气污染物产排情况如下：</w:t>
            </w:r>
          </w:p>
          <w:p w14:paraId="775CC786">
            <w:pPr>
              <w:adjustRightInd w:val="0"/>
              <w:snapToGrid w:val="0"/>
              <w:spacing w:line="360" w:lineRule="auto"/>
              <w:jc w:val="center"/>
              <w:rPr>
                <w:rFonts w:ascii="Times New Roman" w:hAnsi="Times New Roman" w:eastAsia="宋体" w:cs="Times New Roman"/>
                <w:b/>
                <w:bCs/>
                <w:iCs/>
                <w:color w:val="000000" w:themeColor="text1"/>
                <w14:textFill>
                  <w14:solidFill>
                    <w14:schemeClr w14:val="tx1"/>
                  </w14:solidFill>
                </w14:textFill>
              </w:rPr>
            </w:pPr>
            <w:r>
              <w:rPr>
                <w:rFonts w:hint="eastAsia" w:ascii="Times New Roman" w:hAnsi="Times New Roman" w:eastAsia="宋体" w:cs="Times New Roman"/>
                <w:b/>
                <w:bCs/>
                <w:iCs/>
                <w:color w:val="000000" w:themeColor="text1"/>
                <w14:textFill>
                  <w14:solidFill>
                    <w14:schemeClr w14:val="tx1"/>
                  </w14:solidFill>
                </w14:textFill>
              </w:rPr>
              <w:t>表</w:t>
            </w:r>
            <w:r>
              <w:rPr>
                <w:rFonts w:ascii="Times New Roman" w:hAnsi="Times New Roman" w:eastAsia="宋体" w:cs="Times New Roman"/>
                <w:b/>
                <w:bCs/>
                <w:iCs/>
                <w:color w:val="000000" w:themeColor="text1"/>
                <w14:textFill>
                  <w14:solidFill>
                    <w14:schemeClr w14:val="tx1"/>
                  </w14:solidFill>
                </w14:textFill>
              </w:rPr>
              <w:t>4-2</w:t>
            </w:r>
            <w:r>
              <w:rPr>
                <w:rFonts w:hint="eastAsia" w:ascii="Times New Roman" w:hAnsi="Times New Roman" w:eastAsia="宋体" w:cs="Times New Roman"/>
                <w:b/>
                <w:bCs/>
                <w:iCs/>
                <w:color w:val="000000" w:themeColor="text1"/>
                <w14:textFill>
                  <w14:solidFill>
                    <w14:schemeClr w14:val="tx1"/>
                  </w14:solidFill>
                </w14:textFill>
              </w:rPr>
              <w:t>备用发电机尾气中污染物产排情况表</w:t>
            </w:r>
          </w:p>
          <w:tbl>
            <w:tblPr>
              <w:tblStyle w:val="32"/>
              <w:tblW w:w="4996"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11"/>
              <w:gridCol w:w="865"/>
              <w:gridCol w:w="1095"/>
              <w:gridCol w:w="1095"/>
              <w:gridCol w:w="915"/>
              <w:gridCol w:w="1095"/>
              <w:gridCol w:w="1110"/>
              <w:gridCol w:w="905"/>
            </w:tblGrid>
            <w:tr w14:paraId="22A3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5" w:hRule="atLeast"/>
                <w:tblHeader/>
              </w:trPr>
              <w:tc>
                <w:tcPr>
                  <w:tcW w:w="570" w:type="pct"/>
                  <w:noWrap w:val="0"/>
                  <w:tcMar>
                    <w:top w:w="120" w:type="dxa"/>
                    <w:left w:w="120" w:type="dxa"/>
                    <w:bottom w:w="120" w:type="dxa"/>
                    <w:right w:w="120" w:type="dxa"/>
                  </w:tcMar>
                  <w:vAlign w:val="center"/>
                </w:tcPr>
                <w:p w14:paraId="56304B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排气筒</w:t>
                  </w:r>
                </w:p>
              </w:tc>
              <w:tc>
                <w:tcPr>
                  <w:tcW w:w="541" w:type="pct"/>
                  <w:noWrap w:val="0"/>
                  <w:tcMar>
                    <w:top w:w="120" w:type="dxa"/>
                    <w:left w:w="120" w:type="dxa"/>
                    <w:bottom w:w="120" w:type="dxa"/>
                    <w:right w:w="120" w:type="dxa"/>
                  </w:tcMar>
                  <w:vAlign w:val="center"/>
                </w:tcPr>
                <w:p w14:paraId="2C49CF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污染物</w:t>
                  </w:r>
                </w:p>
              </w:tc>
              <w:tc>
                <w:tcPr>
                  <w:tcW w:w="685" w:type="pct"/>
                  <w:noWrap w:val="0"/>
                  <w:tcMar>
                    <w:top w:w="120" w:type="dxa"/>
                    <w:left w:w="120" w:type="dxa"/>
                    <w:bottom w:w="120" w:type="dxa"/>
                    <w:right w:w="120" w:type="dxa"/>
                  </w:tcMar>
                  <w:vAlign w:val="center"/>
                </w:tcPr>
                <w:p w14:paraId="04BC4B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产生浓度mg/m³</w:t>
                  </w:r>
                </w:p>
              </w:tc>
              <w:tc>
                <w:tcPr>
                  <w:tcW w:w="685" w:type="pct"/>
                  <w:noWrap w:val="0"/>
                  <w:tcMar>
                    <w:top w:w="120" w:type="dxa"/>
                    <w:left w:w="120" w:type="dxa"/>
                    <w:bottom w:w="120" w:type="dxa"/>
                    <w:right w:w="120" w:type="dxa"/>
                  </w:tcMar>
                  <w:vAlign w:val="center"/>
                </w:tcPr>
                <w:p w14:paraId="285972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产生速率kg/h</w:t>
                  </w:r>
                </w:p>
              </w:tc>
              <w:tc>
                <w:tcPr>
                  <w:tcW w:w="572" w:type="pct"/>
                  <w:noWrap w:val="0"/>
                  <w:tcMar>
                    <w:top w:w="120" w:type="dxa"/>
                    <w:left w:w="120" w:type="dxa"/>
                    <w:bottom w:w="120" w:type="dxa"/>
                    <w:right w:w="120" w:type="dxa"/>
                  </w:tcMar>
                  <w:vAlign w:val="center"/>
                </w:tcPr>
                <w:p w14:paraId="2AC442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产生量kg/a</w:t>
                  </w:r>
                </w:p>
              </w:tc>
              <w:tc>
                <w:tcPr>
                  <w:tcW w:w="685" w:type="pct"/>
                  <w:noWrap w:val="0"/>
                  <w:tcMar>
                    <w:top w:w="120" w:type="dxa"/>
                    <w:left w:w="120" w:type="dxa"/>
                    <w:bottom w:w="120" w:type="dxa"/>
                    <w:right w:w="120" w:type="dxa"/>
                  </w:tcMar>
                  <w:vAlign w:val="center"/>
                </w:tcPr>
                <w:p w14:paraId="5C6E40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排放浓度mg/m³</w:t>
                  </w:r>
                </w:p>
              </w:tc>
              <w:tc>
                <w:tcPr>
                  <w:tcW w:w="694" w:type="pct"/>
                  <w:noWrap w:val="0"/>
                  <w:tcMar>
                    <w:top w:w="120" w:type="dxa"/>
                    <w:left w:w="120" w:type="dxa"/>
                    <w:bottom w:w="120" w:type="dxa"/>
                    <w:right w:w="120" w:type="dxa"/>
                  </w:tcMar>
                  <w:vAlign w:val="center"/>
                </w:tcPr>
                <w:p w14:paraId="3374B1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排放速率kg/h</w:t>
                  </w:r>
                </w:p>
              </w:tc>
              <w:tc>
                <w:tcPr>
                  <w:tcW w:w="566" w:type="pct"/>
                  <w:noWrap w:val="0"/>
                  <w:tcMar>
                    <w:top w:w="120" w:type="dxa"/>
                    <w:left w:w="120" w:type="dxa"/>
                    <w:bottom w:w="120" w:type="dxa"/>
                    <w:right w:w="120" w:type="dxa"/>
                  </w:tcMar>
                  <w:vAlign w:val="center"/>
                </w:tcPr>
                <w:p w14:paraId="0B5EDC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排放量kg/a</w:t>
                  </w:r>
                </w:p>
              </w:tc>
            </w:tr>
            <w:tr w14:paraId="07F5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0" w:hRule="atLeast"/>
              </w:trPr>
              <w:tc>
                <w:tcPr>
                  <w:tcW w:w="570" w:type="pct"/>
                  <w:vMerge w:val="restart"/>
                  <w:noWrap w:val="0"/>
                  <w:tcMar>
                    <w:top w:w="120" w:type="dxa"/>
                    <w:left w:w="120" w:type="dxa"/>
                    <w:bottom w:w="120" w:type="dxa"/>
                    <w:right w:w="120" w:type="dxa"/>
                  </w:tcMar>
                  <w:vAlign w:val="center"/>
                </w:tcPr>
                <w:p w14:paraId="059D4F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DA002</w:t>
                  </w:r>
                </w:p>
              </w:tc>
              <w:tc>
                <w:tcPr>
                  <w:tcW w:w="541" w:type="pct"/>
                  <w:noWrap w:val="0"/>
                  <w:tcMar>
                    <w:top w:w="120" w:type="dxa"/>
                    <w:left w:w="120" w:type="dxa"/>
                    <w:bottom w:w="120" w:type="dxa"/>
                    <w:right w:w="120" w:type="dxa"/>
                  </w:tcMar>
                  <w:vAlign w:val="center"/>
                </w:tcPr>
                <w:p w14:paraId="6FAF24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SO₂</w:t>
                  </w:r>
                </w:p>
              </w:tc>
              <w:tc>
                <w:tcPr>
                  <w:tcW w:w="685" w:type="pct"/>
                  <w:noWrap w:val="0"/>
                  <w:tcMar>
                    <w:top w:w="120" w:type="dxa"/>
                    <w:left w:w="120" w:type="dxa"/>
                    <w:bottom w:w="120" w:type="dxa"/>
                    <w:right w:w="120" w:type="dxa"/>
                  </w:tcMar>
                  <w:vAlign w:val="center"/>
                </w:tcPr>
                <w:p w14:paraId="353223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1.01</w:t>
                  </w:r>
                </w:p>
              </w:tc>
              <w:tc>
                <w:tcPr>
                  <w:tcW w:w="685" w:type="pct"/>
                  <w:noWrap w:val="0"/>
                  <w:tcMar>
                    <w:top w:w="120" w:type="dxa"/>
                    <w:left w:w="120" w:type="dxa"/>
                    <w:bottom w:w="120" w:type="dxa"/>
                    <w:right w:w="120" w:type="dxa"/>
                  </w:tcMar>
                  <w:vAlign w:val="center"/>
                </w:tcPr>
                <w:p w14:paraId="4CBBA7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0.000272</w:t>
                  </w:r>
                </w:p>
              </w:tc>
              <w:tc>
                <w:tcPr>
                  <w:tcW w:w="572" w:type="pct"/>
                  <w:noWrap w:val="0"/>
                  <w:tcMar>
                    <w:top w:w="120" w:type="dxa"/>
                    <w:left w:w="120" w:type="dxa"/>
                    <w:bottom w:w="120" w:type="dxa"/>
                    <w:right w:w="120" w:type="dxa"/>
                  </w:tcMar>
                  <w:vAlign w:val="center"/>
                </w:tcPr>
                <w:p w14:paraId="34B4B5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0.003264</w:t>
                  </w:r>
                </w:p>
              </w:tc>
              <w:tc>
                <w:tcPr>
                  <w:tcW w:w="685" w:type="pct"/>
                  <w:noWrap w:val="0"/>
                  <w:tcMar>
                    <w:top w:w="120" w:type="dxa"/>
                    <w:left w:w="120" w:type="dxa"/>
                    <w:bottom w:w="120" w:type="dxa"/>
                    <w:right w:w="120" w:type="dxa"/>
                  </w:tcMar>
                  <w:vAlign w:val="center"/>
                </w:tcPr>
                <w:p w14:paraId="2617F4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1.01</w:t>
                  </w:r>
                </w:p>
              </w:tc>
              <w:tc>
                <w:tcPr>
                  <w:tcW w:w="694" w:type="pct"/>
                  <w:noWrap w:val="0"/>
                  <w:tcMar>
                    <w:top w:w="120" w:type="dxa"/>
                    <w:left w:w="120" w:type="dxa"/>
                    <w:bottom w:w="120" w:type="dxa"/>
                    <w:right w:w="120" w:type="dxa"/>
                  </w:tcMar>
                  <w:vAlign w:val="center"/>
                </w:tcPr>
                <w:p w14:paraId="23DE77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0.000272</w:t>
                  </w:r>
                </w:p>
              </w:tc>
              <w:tc>
                <w:tcPr>
                  <w:tcW w:w="566" w:type="pct"/>
                  <w:noWrap w:val="0"/>
                  <w:tcMar>
                    <w:top w:w="120" w:type="dxa"/>
                    <w:left w:w="120" w:type="dxa"/>
                    <w:bottom w:w="120" w:type="dxa"/>
                    <w:right w:w="120" w:type="dxa"/>
                  </w:tcMar>
                  <w:vAlign w:val="center"/>
                </w:tcPr>
                <w:p w14:paraId="235FCA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0.003264</w:t>
                  </w:r>
                </w:p>
              </w:tc>
            </w:tr>
            <w:tr w14:paraId="2DDA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0" w:hRule="atLeast"/>
              </w:trPr>
              <w:tc>
                <w:tcPr>
                  <w:tcW w:w="570" w:type="pct"/>
                  <w:vMerge w:val="continue"/>
                  <w:noWrap w:val="0"/>
                  <w:tcMar>
                    <w:top w:w="120" w:type="dxa"/>
                    <w:left w:w="120" w:type="dxa"/>
                    <w:bottom w:w="120" w:type="dxa"/>
                    <w:right w:w="120" w:type="dxa"/>
                  </w:tcMar>
                  <w:vAlign w:val="center"/>
                </w:tcPr>
                <w:p w14:paraId="40AE7D4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41" w:type="pct"/>
                  <w:noWrap w:val="0"/>
                  <w:tcMar>
                    <w:top w:w="120" w:type="dxa"/>
                    <w:left w:w="120" w:type="dxa"/>
                    <w:bottom w:w="120" w:type="dxa"/>
                    <w:right w:w="120" w:type="dxa"/>
                  </w:tcMar>
                  <w:vAlign w:val="center"/>
                </w:tcPr>
                <w:p w14:paraId="5CCE47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NOₓ</w:t>
                  </w:r>
                </w:p>
              </w:tc>
              <w:tc>
                <w:tcPr>
                  <w:tcW w:w="685" w:type="pct"/>
                  <w:noWrap w:val="0"/>
                  <w:tcMar>
                    <w:top w:w="120" w:type="dxa"/>
                    <w:left w:w="120" w:type="dxa"/>
                    <w:bottom w:w="120" w:type="dxa"/>
                    <w:right w:w="120" w:type="dxa"/>
                  </w:tcMar>
                  <w:vAlign w:val="center"/>
                </w:tcPr>
                <w:p w14:paraId="4BE7CA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119.19</w:t>
                  </w:r>
                </w:p>
              </w:tc>
              <w:tc>
                <w:tcPr>
                  <w:tcW w:w="685" w:type="pct"/>
                  <w:noWrap w:val="0"/>
                  <w:tcMar>
                    <w:top w:w="120" w:type="dxa"/>
                    <w:left w:w="120" w:type="dxa"/>
                    <w:bottom w:w="120" w:type="dxa"/>
                    <w:right w:w="120" w:type="dxa"/>
                  </w:tcMar>
                  <w:vAlign w:val="center"/>
                </w:tcPr>
                <w:p w14:paraId="7F90E2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0.032096</w:t>
                  </w:r>
                </w:p>
              </w:tc>
              <w:tc>
                <w:tcPr>
                  <w:tcW w:w="572" w:type="pct"/>
                  <w:noWrap w:val="0"/>
                  <w:tcMar>
                    <w:top w:w="120" w:type="dxa"/>
                    <w:left w:w="120" w:type="dxa"/>
                    <w:bottom w:w="120" w:type="dxa"/>
                    <w:right w:w="120" w:type="dxa"/>
                  </w:tcMar>
                  <w:vAlign w:val="center"/>
                </w:tcPr>
                <w:p w14:paraId="4DF865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0.385152</w:t>
                  </w:r>
                </w:p>
              </w:tc>
              <w:tc>
                <w:tcPr>
                  <w:tcW w:w="685" w:type="pct"/>
                  <w:noWrap w:val="0"/>
                  <w:tcMar>
                    <w:top w:w="120" w:type="dxa"/>
                    <w:left w:w="120" w:type="dxa"/>
                    <w:bottom w:w="120" w:type="dxa"/>
                    <w:right w:w="120" w:type="dxa"/>
                  </w:tcMar>
                  <w:vAlign w:val="center"/>
                </w:tcPr>
                <w:p w14:paraId="308591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119.19</w:t>
                  </w:r>
                </w:p>
              </w:tc>
              <w:tc>
                <w:tcPr>
                  <w:tcW w:w="694" w:type="pct"/>
                  <w:noWrap w:val="0"/>
                  <w:tcMar>
                    <w:top w:w="120" w:type="dxa"/>
                    <w:left w:w="120" w:type="dxa"/>
                    <w:bottom w:w="120" w:type="dxa"/>
                    <w:right w:w="120" w:type="dxa"/>
                  </w:tcMar>
                  <w:vAlign w:val="center"/>
                </w:tcPr>
                <w:p w14:paraId="439D0E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0.032096</w:t>
                  </w:r>
                </w:p>
              </w:tc>
              <w:tc>
                <w:tcPr>
                  <w:tcW w:w="566" w:type="pct"/>
                  <w:noWrap w:val="0"/>
                  <w:tcMar>
                    <w:top w:w="120" w:type="dxa"/>
                    <w:left w:w="120" w:type="dxa"/>
                    <w:bottom w:w="120" w:type="dxa"/>
                    <w:right w:w="120" w:type="dxa"/>
                  </w:tcMar>
                  <w:vAlign w:val="center"/>
                </w:tcPr>
                <w:p w14:paraId="147014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0.385152</w:t>
                  </w:r>
                </w:p>
              </w:tc>
            </w:tr>
            <w:tr w14:paraId="1864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0" w:hRule="atLeast"/>
              </w:trPr>
              <w:tc>
                <w:tcPr>
                  <w:tcW w:w="570" w:type="pct"/>
                  <w:vMerge w:val="continue"/>
                  <w:noWrap w:val="0"/>
                  <w:tcMar>
                    <w:top w:w="120" w:type="dxa"/>
                    <w:left w:w="120" w:type="dxa"/>
                    <w:bottom w:w="120" w:type="dxa"/>
                    <w:right w:w="120" w:type="dxa"/>
                  </w:tcMar>
                  <w:vAlign w:val="center"/>
                </w:tcPr>
                <w:p w14:paraId="4FB8D8D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41" w:type="pct"/>
                  <w:noWrap w:val="0"/>
                  <w:tcMar>
                    <w:top w:w="120" w:type="dxa"/>
                    <w:left w:w="120" w:type="dxa"/>
                    <w:bottom w:w="120" w:type="dxa"/>
                    <w:right w:w="120" w:type="dxa"/>
                  </w:tcMar>
                  <w:vAlign w:val="center"/>
                </w:tcPr>
                <w:p w14:paraId="37B951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颗粒物</w:t>
                  </w:r>
                </w:p>
              </w:tc>
              <w:tc>
                <w:tcPr>
                  <w:tcW w:w="685" w:type="pct"/>
                  <w:noWrap w:val="0"/>
                  <w:tcMar>
                    <w:top w:w="120" w:type="dxa"/>
                    <w:left w:w="120" w:type="dxa"/>
                    <w:bottom w:w="120" w:type="dxa"/>
                    <w:right w:w="120" w:type="dxa"/>
                  </w:tcMar>
                  <w:vAlign w:val="center"/>
                </w:tcPr>
                <w:p w14:paraId="381EB4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15.66</w:t>
                  </w:r>
                </w:p>
              </w:tc>
              <w:tc>
                <w:tcPr>
                  <w:tcW w:w="685" w:type="pct"/>
                  <w:noWrap w:val="0"/>
                  <w:tcMar>
                    <w:top w:w="120" w:type="dxa"/>
                    <w:left w:w="120" w:type="dxa"/>
                    <w:bottom w:w="120" w:type="dxa"/>
                    <w:right w:w="120" w:type="dxa"/>
                  </w:tcMar>
                  <w:vAlign w:val="center"/>
                </w:tcPr>
                <w:p w14:paraId="0CE7D9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0.004216</w:t>
                  </w:r>
                </w:p>
              </w:tc>
              <w:tc>
                <w:tcPr>
                  <w:tcW w:w="572" w:type="pct"/>
                  <w:noWrap w:val="0"/>
                  <w:tcMar>
                    <w:top w:w="120" w:type="dxa"/>
                    <w:left w:w="120" w:type="dxa"/>
                    <w:bottom w:w="120" w:type="dxa"/>
                    <w:right w:w="120" w:type="dxa"/>
                  </w:tcMar>
                  <w:vAlign w:val="center"/>
                </w:tcPr>
                <w:p w14:paraId="2C968D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0.050592</w:t>
                  </w:r>
                </w:p>
              </w:tc>
              <w:tc>
                <w:tcPr>
                  <w:tcW w:w="685" w:type="pct"/>
                  <w:noWrap w:val="0"/>
                  <w:tcMar>
                    <w:top w:w="120" w:type="dxa"/>
                    <w:left w:w="120" w:type="dxa"/>
                    <w:bottom w:w="120" w:type="dxa"/>
                    <w:right w:w="120" w:type="dxa"/>
                  </w:tcMar>
                  <w:vAlign w:val="center"/>
                </w:tcPr>
                <w:p w14:paraId="0A361B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15.66</w:t>
                  </w:r>
                </w:p>
              </w:tc>
              <w:tc>
                <w:tcPr>
                  <w:tcW w:w="694" w:type="pct"/>
                  <w:noWrap w:val="0"/>
                  <w:tcMar>
                    <w:top w:w="120" w:type="dxa"/>
                    <w:left w:w="120" w:type="dxa"/>
                    <w:bottom w:w="120" w:type="dxa"/>
                    <w:right w:w="120" w:type="dxa"/>
                  </w:tcMar>
                  <w:vAlign w:val="center"/>
                </w:tcPr>
                <w:p w14:paraId="589149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0.004216</w:t>
                  </w:r>
                </w:p>
              </w:tc>
              <w:tc>
                <w:tcPr>
                  <w:tcW w:w="566" w:type="pct"/>
                  <w:noWrap w:val="0"/>
                  <w:tcMar>
                    <w:top w:w="120" w:type="dxa"/>
                    <w:left w:w="120" w:type="dxa"/>
                    <w:bottom w:w="120" w:type="dxa"/>
                    <w:right w:w="120" w:type="dxa"/>
                  </w:tcMar>
                  <w:vAlign w:val="center"/>
                </w:tcPr>
                <w:p w14:paraId="2C9A42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top"/>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0.050592</w:t>
                  </w:r>
                </w:p>
              </w:tc>
            </w:tr>
          </w:tbl>
          <w:p w14:paraId="76DC06DF">
            <w:pPr>
              <w:adjustRightInd w:val="0"/>
              <w:snapToGrid w:val="0"/>
              <w:spacing w:line="360" w:lineRule="auto"/>
              <w:ind w:firstLine="480" w:firstLineChars="200"/>
              <w:rPr>
                <w:rFonts w:ascii="Times New Roman" w:hAnsi="Times New Roman" w:eastAsia="宋体" w:cs="Times New Roman"/>
                <w:bCs/>
                <w:iCs/>
                <w:color w:val="000000" w:themeColor="text1"/>
                <w:sz w:val="24"/>
                <w14:textFill>
                  <w14:solidFill>
                    <w14:schemeClr w14:val="tx1"/>
                  </w14:solidFill>
                </w14:textFill>
              </w:rPr>
            </w:pPr>
            <w:r>
              <w:rPr>
                <w:rFonts w:hint="eastAsia" w:ascii="Times New Roman" w:hAnsi="Times New Roman" w:eastAsia="宋体" w:cs="Times New Roman"/>
                <w:bCs/>
                <w:iCs/>
                <w:color w:val="000000" w:themeColor="text1"/>
                <w:sz w:val="24"/>
                <w14:textFill>
                  <w14:solidFill>
                    <w14:schemeClr w14:val="tx1"/>
                  </w14:solidFill>
                </w14:textFill>
              </w:rPr>
              <w:t>由上表可见，本项目备用发电机尾气中的</w:t>
            </w:r>
            <w:r>
              <w:rPr>
                <w:rFonts w:ascii="Times New Roman" w:hAnsi="Times New Roman" w:eastAsia="宋体" w:cs="Times New Roman"/>
                <w:bCs/>
                <w:iCs/>
                <w:color w:val="000000" w:themeColor="text1"/>
                <w:sz w:val="24"/>
                <w14:textFill>
                  <w14:solidFill>
                    <w14:schemeClr w14:val="tx1"/>
                  </w14:solidFill>
                </w14:textFill>
              </w:rPr>
              <w:t>SO</w:t>
            </w:r>
            <w:r>
              <w:rPr>
                <w:rFonts w:ascii="Times New Roman" w:hAnsi="Times New Roman" w:eastAsia="宋体" w:cs="Times New Roman"/>
                <w:bCs/>
                <w:iCs/>
                <w:color w:val="000000" w:themeColor="text1"/>
                <w:sz w:val="24"/>
                <w:vertAlign w:val="subscript"/>
                <w14:textFill>
                  <w14:solidFill>
                    <w14:schemeClr w14:val="tx1"/>
                  </w14:solidFill>
                </w14:textFill>
              </w:rPr>
              <w:t>2</w:t>
            </w:r>
            <w:r>
              <w:rPr>
                <w:rFonts w:hint="eastAsia" w:ascii="Times New Roman" w:hAnsi="Times New Roman" w:eastAsia="宋体" w:cs="Times New Roman"/>
                <w:bCs/>
                <w:iCs/>
                <w:color w:val="000000" w:themeColor="text1"/>
                <w:sz w:val="24"/>
                <w14:textFill>
                  <w14:solidFill>
                    <w14:schemeClr w14:val="tx1"/>
                  </w14:solidFill>
                </w14:textFill>
              </w:rPr>
              <w:t>、</w:t>
            </w:r>
            <w:r>
              <w:rPr>
                <w:rFonts w:ascii="Times New Roman" w:hAnsi="Times New Roman" w:eastAsia="宋体" w:cs="Times New Roman"/>
                <w:bCs/>
                <w:iCs/>
                <w:color w:val="000000" w:themeColor="text1"/>
                <w:sz w:val="24"/>
                <w14:textFill>
                  <w14:solidFill>
                    <w14:schemeClr w14:val="tx1"/>
                  </w14:solidFill>
                </w14:textFill>
              </w:rPr>
              <w:t>NOx</w:t>
            </w:r>
            <w:r>
              <w:rPr>
                <w:rFonts w:hint="eastAsia" w:ascii="Times New Roman" w:hAnsi="Times New Roman" w:eastAsia="宋体" w:cs="Times New Roman"/>
                <w:bCs/>
                <w:iCs/>
                <w:color w:val="000000" w:themeColor="text1"/>
                <w:sz w:val="24"/>
                <w14:textFill>
                  <w14:solidFill>
                    <w14:schemeClr w14:val="tx1"/>
                  </w14:solidFill>
                </w14:textFill>
              </w:rPr>
              <w:t>、</w:t>
            </w:r>
            <w:r>
              <w:rPr>
                <w:rFonts w:ascii="Times New Roman" w:hAnsi="Times New Roman" w:eastAsia="宋体" w:cs="Times New Roman"/>
                <w:bCs/>
                <w:iCs/>
                <w:color w:val="000000" w:themeColor="text1"/>
                <w:sz w:val="24"/>
                <w14:textFill>
                  <w14:solidFill>
                    <w14:schemeClr w14:val="tx1"/>
                  </w14:solidFill>
                </w14:textFill>
              </w:rPr>
              <w:t>烟尘（颗粒物）</w:t>
            </w:r>
            <w:r>
              <w:rPr>
                <w:rFonts w:hint="eastAsia" w:ascii="Times New Roman" w:hAnsi="Times New Roman" w:eastAsia="宋体" w:cs="Times New Roman"/>
                <w:bCs/>
                <w:iCs/>
                <w:color w:val="000000" w:themeColor="text1"/>
                <w:sz w:val="24"/>
                <w14:textFill>
                  <w14:solidFill>
                    <w14:schemeClr w14:val="tx1"/>
                  </w14:solidFill>
                </w14:textFill>
              </w:rPr>
              <w:t>排放浓度满足广东省《大气污染物排放限值》第二时段二级标准（</w:t>
            </w:r>
            <w:r>
              <w:rPr>
                <w:rFonts w:ascii="Times New Roman" w:hAnsi="Times New Roman" w:eastAsia="宋体" w:cs="Times New Roman"/>
                <w:bCs/>
                <w:iCs/>
                <w:color w:val="000000" w:themeColor="text1"/>
                <w:sz w:val="24"/>
                <w14:textFill>
                  <w14:solidFill>
                    <w14:schemeClr w14:val="tx1"/>
                  </w14:solidFill>
                </w14:textFill>
              </w:rPr>
              <w:t>SO</w:t>
            </w:r>
            <w:r>
              <w:rPr>
                <w:rFonts w:ascii="Times New Roman" w:hAnsi="Times New Roman" w:eastAsia="宋体" w:cs="Times New Roman"/>
                <w:bCs/>
                <w:iCs/>
                <w:color w:val="000000" w:themeColor="text1"/>
                <w:sz w:val="24"/>
                <w:vertAlign w:val="subscript"/>
                <w14:textFill>
                  <w14:solidFill>
                    <w14:schemeClr w14:val="tx1"/>
                  </w14:solidFill>
                </w14:textFill>
              </w:rPr>
              <w:t>2</w:t>
            </w:r>
            <w:r>
              <w:rPr>
                <w:rFonts w:hint="eastAsia" w:ascii="Times New Roman" w:hAnsi="Times New Roman" w:eastAsia="宋体" w:cs="Times New Roman"/>
                <w:bCs/>
                <w:iCs/>
                <w:color w:val="000000" w:themeColor="text1"/>
                <w:sz w:val="24"/>
                <w14:textFill>
                  <w14:solidFill>
                    <w14:schemeClr w14:val="tx1"/>
                  </w14:solidFill>
                </w14:textFill>
              </w:rPr>
              <w:t>：5</w:t>
            </w:r>
            <w:r>
              <w:rPr>
                <w:rFonts w:ascii="Times New Roman" w:hAnsi="Times New Roman" w:eastAsia="宋体" w:cs="Times New Roman"/>
                <w:bCs/>
                <w:iCs/>
                <w:color w:val="000000" w:themeColor="text1"/>
                <w:sz w:val="24"/>
                <w14:textFill>
                  <w14:solidFill>
                    <w14:schemeClr w14:val="tx1"/>
                  </w14:solidFill>
                </w14:textFill>
              </w:rPr>
              <w:t>00</w:t>
            </w:r>
            <w:r>
              <w:rPr>
                <w:rFonts w:hint="eastAsia" w:ascii="Times New Roman" w:hAnsi="Times New Roman" w:eastAsia="宋体" w:cs="Times New Roman"/>
                <w:bCs/>
                <w:iCs/>
                <w:color w:val="000000" w:themeColor="text1"/>
                <w:sz w:val="24"/>
                <w14:textFill>
                  <w14:solidFill>
                    <w14:schemeClr w14:val="tx1"/>
                  </w14:solidFill>
                </w14:textFill>
              </w:rPr>
              <w:t>mg</w:t>
            </w:r>
            <w:r>
              <w:rPr>
                <w:rFonts w:ascii="Times New Roman" w:hAnsi="Times New Roman" w:eastAsia="宋体" w:cs="Times New Roman"/>
                <w:bCs/>
                <w:iCs/>
                <w:color w:val="000000" w:themeColor="text1"/>
                <w:sz w:val="24"/>
                <w14:textFill>
                  <w14:solidFill>
                    <w14:schemeClr w14:val="tx1"/>
                  </w14:solidFill>
                </w14:textFill>
              </w:rPr>
              <w:t>/</w:t>
            </w:r>
            <w:r>
              <w:rPr>
                <w:rFonts w:hint="eastAsia" w:ascii="Times New Roman" w:hAnsi="Times New Roman" w:eastAsia="宋体" w:cs="Times New Roman"/>
                <w:bCs/>
                <w:iCs/>
                <w:color w:val="000000" w:themeColor="text1"/>
                <w:sz w:val="24"/>
                <w14:textFill>
                  <w14:solidFill>
                    <w14:schemeClr w14:val="tx1"/>
                  </w14:solidFill>
                </w14:textFill>
              </w:rPr>
              <w:t>m</w:t>
            </w:r>
            <w:r>
              <w:rPr>
                <w:rFonts w:ascii="Times New Roman" w:hAnsi="Times New Roman" w:eastAsia="宋体" w:cs="Times New Roman"/>
                <w:bCs/>
                <w:iCs/>
                <w:color w:val="000000" w:themeColor="text1"/>
                <w:sz w:val="24"/>
                <w:vertAlign w:val="superscript"/>
                <w14:textFill>
                  <w14:solidFill>
                    <w14:schemeClr w14:val="tx1"/>
                  </w14:solidFill>
                </w14:textFill>
              </w:rPr>
              <w:t>3</w:t>
            </w:r>
            <w:r>
              <w:rPr>
                <w:rFonts w:ascii="Times New Roman" w:hAnsi="Times New Roman" w:eastAsia="宋体" w:cs="Times New Roman"/>
                <w:bCs/>
                <w:iCs/>
                <w:color w:val="000000" w:themeColor="text1"/>
                <w:sz w:val="24"/>
                <w14:textFill>
                  <w14:solidFill>
                    <w14:schemeClr w14:val="tx1"/>
                  </w14:solidFill>
                </w14:textFill>
              </w:rPr>
              <w:t>、NOx</w:t>
            </w:r>
            <w:r>
              <w:rPr>
                <w:rFonts w:hint="eastAsia" w:ascii="Times New Roman" w:hAnsi="Times New Roman" w:eastAsia="宋体" w:cs="Times New Roman"/>
                <w:bCs/>
                <w:iCs/>
                <w:color w:val="000000" w:themeColor="text1"/>
                <w:sz w:val="24"/>
                <w14:textFill>
                  <w14:solidFill>
                    <w14:schemeClr w14:val="tx1"/>
                  </w14:solidFill>
                </w14:textFill>
              </w:rPr>
              <w:t>：1</w:t>
            </w:r>
            <w:r>
              <w:rPr>
                <w:rFonts w:ascii="Times New Roman" w:hAnsi="Times New Roman" w:eastAsia="宋体" w:cs="Times New Roman"/>
                <w:bCs/>
                <w:iCs/>
                <w:color w:val="000000" w:themeColor="text1"/>
                <w:sz w:val="24"/>
                <w14:textFill>
                  <w14:solidFill>
                    <w14:schemeClr w14:val="tx1"/>
                  </w14:solidFill>
                </w14:textFill>
              </w:rPr>
              <w:t>20mg/m</w:t>
            </w:r>
            <w:r>
              <w:rPr>
                <w:rFonts w:ascii="Times New Roman" w:hAnsi="Times New Roman" w:eastAsia="宋体" w:cs="Times New Roman"/>
                <w:bCs/>
                <w:iCs/>
                <w:color w:val="000000" w:themeColor="text1"/>
                <w:sz w:val="24"/>
                <w:vertAlign w:val="superscript"/>
                <w14:textFill>
                  <w14:solidFill>
                    <w14:schemeClr w14:val="tx1"/>
                  </w14:solidFill>
                </w14:textFill>
              </w:rPr>
              <w:t>3</w:t>
            </w:r>
            <w:r>
              <w:rPr>
                <w:rFonts w:ascii="Times New Roman" w:hAnsi="Times New Roman" w:eastAsia="宋体" w:cs="Times New Roman"/>
                <w:bCs/>
                <w:iCs/>
                <w:color w:val="000000" w:themeColor="text1"/>
                <w:sz w:val="24"/>
                <w14:textFill>
                  <w14:solidFill>
                    <w14:schemeClr w14:val="tx1"/>
                  </w14:solidFill>
                </w14:textFill>
              </w:rPr>
              <w:t>、烟尘（颗粒物）</w:t>
            </w:r>
            <w:r>
              <w:rPr>
                <w:rFonts w:hint="eastAsia" w:ascii="Times New Roman" w:hAnsi="Times New Roman" w:eastAsia="宋体" w:cs="Times New Roman"/>
                <w:bCs/>
                <w:iCs/>
                <w:color w:val="000000" w:themeColor="text1"/>
                <w:sz w:val="24"/>
                <w14:textFill>
                  <w14:solidFill>
                    <w14:schemeClr w14:val="tx1"/>
                  </w14:solidFill>
                </w14:textFill>
              </w:rPr>
              <w:t>：1</w:t>
            </w:r>
            <w:r>
              <w:rPr>
                <w:rFonts w:ascii="Times New Roman" w:hAnsi="Times New Roman" w:eastAsia="宋体" w:cs="Times New Roman"/>
                <w:bCs/>
                <w:iCs/>
                <w:color w:val="000000" w:themeColor="text1"/>
                <w:sz w:val="24"/>
                <w14:textFill>
                  <w14:solidFill>
                    <w14:schemeClr w14:val="tx1"/>
                  </w14:solidFill>
                </w14:textFill>
              </w:rPr>
              <w:t>20mg/m</w:t>
            </w:r>
            <w:r>
              <w:rPr>
                <w:rFonts w:ascii="Times New Roman" w:hAnsi="Times New Roman" w:eastAsia="宋体" w:cs="Times New Roman"/>
                <w:bCs/>
                <w:iCs/>
                <w:color w:val="000000" w:themeColor="text1"/>
                <w:sz w:val="24"/>
                <w:vertAlign w:val="superscript"/>
                <w14:textFill>
                  <w14:solidFill>
                    <w14:schemeClr w14:val="tx1"/>
                  </w14:solidFill>
                </w14:textFill>
              </w:rPr>
              <w:t>3</w:t>
            </w:r>
            <w:r>
              <w:rPr>
                <w:rFonts w:hint="eastAsia" w:ascii="Times New Roman" w:hAnsi="Times New Roman" w:eastAsia="宋体" w:cs="Times New Roman"/>
                <w:bCs/>
                <w:iCs/>
                <w:color w:val="000000" w:themeColor="text1"/>
                <w:sz w:val="24"/>
                <w14:textFill>
                  <w14:solidFill>
                    <w14:schemeClr w14:val="tx1"/>
                  </w14:solidFill>
                </w14:textFill>
              </w:rPr>
              <w:t>，排放速率不作要求）。</w:t>
            </w:r>
          </w:p>
          <w:p w14:paraId="3B84119A">
            <w:pPr>
              <w:adjustRightInd w:val="0"/>
              <w:spacing w:line="360" w:lineRule="auto"/>
              <w:ind w:firstLine="482" w:firstLineChars="200"/>
              <w:jc w:val="left"/>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1.3废气处理措施有效性分析</w:t>
            </w:r>
          </w:p>
          <w:p w14:paraId="1DC149D9">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废水处理站在运营过程中会散发一定的恶臭气体，为进一步减少治理废水处理站的恶臭无组织排放对厂区及周围环境的影响，建设单位应做好密闭化措施和定期清理工作，定期喷洒除臭剂进行除臭处理，则基本可满足《恶臭污染物排放标准》（</w:t>
            </w:r>
            <w:r>
              <w:rPr>
                <w:rFonts w:ascii="Times New Roman" w:hAnsi="Times New Roman" w:eastAsia="宋体" w:cs="Times New Roman"/>
                <w:color w:val="000000" w:themeColor="text1"/>
                <w:sz w:val="24"/>
                <w:lang w:bidi="ar"/>
                <w14:textFill>
                  <w14:solidFill>
                    <w14:schemeClr w14:val="tx1"/>
                  </w14:solidFill>
                </w14:textFill>
              </w:rPr>
              <w:t>GB14554-93</w:t>
            </w:r>
            <w:r>
              <w:rPr>
                <w:rFonts w:hint="eastAsia" w:ascii="Times New Roman" w:hAnsi="Times New Roman" w:eastAsia="宋体" w:cs="Times New Roman"/>
                <w:color w:val="000000" w:themeColor="text1"/>
                <w:sz w:val="24"/>
                <w:lang w:bidi="ar"/>
                <w14:textFill>
                  <w14:solidFill>
                    <w14:schemeClr w14:val="tx1"/>
                  </w14:solidFill>
                </w14:textFill>
              </w:rPr>
              <w:t>）中</w:t>
            </w:r>
            <w:r>
              <w:rPr>
                <w:rFonts w:ascii="Times New Roman" w:hAnsi="Times New Roman" w:eastAsia="宋体" w:cs="Times New Roman"/>
                <w:color w:val="000000" w:themeColor="text1"/>
                <w:sz w:val="24"/>
                <w:lang w:bidi="ar"/>
                <w14:textFill>
                  <w14:solidFill>
                    <w14:schemeClr w14:val="tx1"/>
                  </w14:solidFill>
                </w14:textFill>
              </w:rPr>
              <w:t>“</w:t>
            </w:r>
            <w:r>
              <w:rPr>
                <w:rFonts w:hint="eastAsia" w:ascii="Times New Roman" w:hAnsi="Times New Roman" w:eastAsia="宋体" w:cs="Times New Roman"/>
                <w:color w:val="000000" w:themeColor="text1"/>
                <w:sz w:val="24"/>
                <w:lang w:bidi="ar"/>
                <w14:textFill>
                  <w14:solidFill>
                    <w14:schemeClr w14:val="tx1"/>
                  </w14:solidFill>
                </w14:textFill>
              </w:rPr>
              <w:t>表</w:t>
            </w:r>
            <w:r>
              <w:rPr>
                <w:rFonts w:ascii="Times New Roman" w:hAnsi="Times New Roman" w:eastAsia="宋体" w:cs="Times New Roman"/>
                <w:color w:val="000000" w:themeColor="text1"/>
                <w:sz w:val="24"/>
                <w:lang w:bidi="ar"/>
                <w14:textFill>
                  <w14:solidFill>
                    <w14:schemeClr w14:val="tx1"/>
                  </w14:solidFill>
                </w14:textFill>
              </w:rPr>
              <w:t>1</w:t>
            </w:r>
            <w:r>
              <w:rPr>
                <w:rFonts w:hint="eastAsia" w:ascii="Times New Roman" w:hAnsi="Times New Roman" w:eastAsia="宋体" w:cs="Times New Roman"/>
                <w:color w:val="000000" w:themeColor="text1"/>
                <w:sz w:val="24"/>
                <w:lang w:bidi="ar"/>
                <w14:textFill>
                  <w14:solidFill>
                    <w14:schemeClr w14:val="tx1"/>
                  </w14:solidFill>
                </w14:textFill>
              </w:rPr>
              <w:t>恶臭污染物厂界标准值</w:t>
            </w:r>
            <w:r>
              <w:rPr>
                <w:rFonts w:ascii="Times New Roman" w:hAnsi="Times New Roman" w:eastAsia="宋体" w:cs="Times New Roman"/>
                <w:color w:val="000000" w:themeColor="text1"/>
                <w:sz w:val="24"/>
                <w:lang w:bidi="ar"/>
                <w14:textFill>
                  <w14:solidFill>
                    <w14:schemeClr w14:val="tx1"/>
                  </w14:solidFill>
                </w14:textFill>
              </w:rPr>
              <w:t>”</w:t>
            </w:r>
            <w:r>
              <w:rPr>
                <w:rFonts w:hint="eastAsia" w:ascii="Times New Roman" w:hAnsi="Times New Roman" w:eastAsia="宋体" w:cs="Times New Roman"/>
                <w:color w:val="000000" w:themeColor="text1"/>
                <w:sz w:val="24"/>
                <w:lang w:bidi="ar"/>
                <w14:textFill>
                  <w14:solidFill>
                    <w14:schemeClr w14:val="tx1"/>
                  </w14:solidFill>
                </w14:textFill>
              </w:rPr>
              <w:t>二级新扩改建项目标准。落实上述措施后，恶臭污染物对周围环境影响很小。</w:t>
            </w:r>
          </w:p>
          <w:p w14:paraId="716AEFEC">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项目生物质锅炉燃烧废气经“低氮燃烧+锅炉节能器+布袋除尘器”处理后通过35米高排气筒(DA001)排放。</w:t>
            </w:r>
          </w:p>
          <w:p w14:paraId="78B08A1C">
            <w:pPr>
              <w:spacing w:line="360" w:lineRule="auto"/>
              <w:ind w:firstLine="482" w:firstLineChars="200"/>
              <w:rPr>
                <w:rFonts w:hint="eastAsia" w:ascii="Times New Roman" w:hAnsi="Times New Roman" w:eastAsia="宋体" w:cs="Times New Roman"/>
                <w:b/>
                <w:bCs/>
                <w:color w:val="000000" w:themeColor="text1"/>
                <w:sz w:val="24"/>
                <w:lang w:bidi="ar"/>
                <w14:textFill>
                  <w14:solidFill>
                    <w14:schemeClr w14:val="tx1"/>
                  </w14:solidFill>
                </w14:textFill>
              </w:rPr>
            </w:pPr>
            <w:r>
              <w:rPr>
                <w:rFonts w:hint="eastAsia" w:ascii="Times New Roman" w:hAnsi="Times New Roman" w:eastAsia="宋体" w:cs="Times New Roman"/>
                <w:b/>
                <w:bCs/>
                <w:color w:val="000000" w:themeColor="text1"/>
                <w:sz w:val="24"/>
                <w:lang w:bidi="ar"/>
                <w14:textFill>
                  <w14:solidFill>
                    <w14:schemeClr w14:val="tx1"/>
                  </w14:solidFill>
                </w14:textFill>
              </w:rPr>
              <w:t>（1）低氮燃烧</w:t>
            </w:r>
          </w:p>
          <w:p w14:paraId="2AFDA640">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项目采用的低氮氧化物燃烧技术为二段燃烧法（Two-stagecombustion），通过分两次供给空气实现NOx减排。第一次供给理论空气量的80%～85%，在缺氧条件下进行低温燃烧以减少氮氧化物（NOx）生成；第二次补充剩余空气完成完全燃烧过程。该低氮燃烧技术成熟可靠，能有效降低氮氧化物生成。其原理是基于避开NOx生成峰值时的空气过量系数，通过燃料过浓燃烧抑制温度型和燃料型NOx生成。一段燃烧区因空气系数小于1导致氧气浓度低且温度下降，抑制NOx产生；二次空气与剩余燃气混合时，烟气稀释作用进一步降低氧气浓度和温度。该技术通过精准控制空气比例实现燃烧效率与排放控制的平衡。</w:t>
            </w:r>
          </w:p>
          <w:p w14:paraId="55062DFB">
            <w:pPr>
              <w:spacing w:line="360" w:lineRule="auto"/>
              <w:ind w:firstLine="482" w:firstLineChars="200"/>
              <w:rPr>
                <w:rFonts w:hint="eastAsia" w:ascii="Times New Roman" w:hAnsi="Times New Roman" w:eastAsia="宋体" w:cs="Times New Roman"/>
                <w:b/>
                <w:bCs/>
                <w:color w:val="000000" w:themeColor="text1"/>
                <w:sz w:val="24"/>
                <w:lang w:bidi="ar"/>
                <w14:textFill>
                  <w14:solidFill>
                    <w14:schemeClr w14:val="tx1"/>
                  </w14:solidFill>
                </w14:textFill>
              </w:rPr>
            </w:pPr>
            <w:r>
              <w:rPr>
                <w:rFonts w:hint="eastAsia" w:ascii="Times New Roman" w:hAnsi="Times New Roman" w:eastAsia="宋体" w:cs="Times New Roman"/>
                <w:b/>
                <w:bCs/>
                <w:color w:val="000000" w:themeColor="text1"/>
                <w:sz w:val="24"/>
                <w:lang w:bidi="ar"/>
                <w14:textFill>
                  <w14:solidFill>
                    <w14:schemeClr w14:val="tx1"/>
                  </w14:solidFill>
                </w14:textFill>
              </w:rPr>
              <w:t>（2）锅炉节能器</w:t>
            </w:r>
          </w:p>
          <w:p w14:paraId="2FB3E15A">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生物质锅炉在燃烧生物质燃料时，产生的烟气会携带大量的热量，锅炉节能器的首要作用便是利用这部分余热。利用热交换的原理，将进入锅炉的低温给水（来自软水制备系统）引入锅炉节能器管束，使高温烟气与低温水在节能器内逆向流动，热量从高温烟气传递到低温水上，使水的温度升高，起到对锅炉进水预热的作用，从而达到降低锅炉燃料消耗的目的。此外，降温后的燃烧烟气也有利于后端布袋除尘器的正常稳定运行。</w:t>
            </w:r>
          </w:p>
          <w:p w14:paraId="2CCA7180">
            <w:pPr>
              <w:spacing w:line="360" w:lineRule="auto"/>
              <w:ind w:firstLine="482" w:firstLineChars="200"/>
              <w:rPr>
                <w:rFonts w:hint="eastAsia" w:ascii="Times New Roman" w:hAnsi="Times New Roman" w:eastAsia="宋体" w:cs="Times New Roman"/>
                <w:b/>
                <w:bCs/>
                <w:color w:val="000000" w:themeColor="text1"/>
                <w:sz w:val="24"/>
                <w:lang w:bidi="ar"/>
                <w14:textFill>
                  <w14:solidFill>
                    <w14:schemeClr w14:val="tx1"/>
                  </w14:solidFill>
                </w14:textFill>
              </w:rPr>
            </w:pPr>
            <w:r>
              <w:rPr>
                <w:rFonts w:hint="eastAsia" w:ascii="Times New Roman" w:hAnsi="Times New Roman" w:eastAsia="宋体" w:cs="Times New Roman"/>
                <w:b/>
                <w:bCs/>
                <w:color w:val="000000" w:themeColor="text1"/>
                <w:sz w:val="24"/>
                <w:lang w:bidi="ar"/>
                <w14:textFill>
                  <w14:solidFill>
                    <w14:schemeClr w14:val="tx1"/>
                  </w14:solidFill>
                </w14:textFill>
              </w:rPr>
              <w:t>（3）布袋除尘器</w:t>
            </w:r>
          </w:p>
          <w:p w14:paraId="152B42C1">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布袋除尘器结构简单，方便维护和操作，对于粉尘的特性不敏感，不受粉尘及电阻的影响，不受运行负荷影响，且在运行费用、运行维护方便程度及占地面积、初期投资等方面具有明显优势。</w:t>
            </w:r>
          </w:p>
          <w:p w14:paraId="042982D2">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工艺原理：袋式除尘技术是利用纤维织物的过滤作用对含尘气体进行过滤，当含尘气体进入袋式除尘器后，颗粒大，比重大的粉尘，由于重力作用沉降下来，落入灰斗，含有较细小粉尘的气体在通过滤料时，烟尘被阻留，使气体得到净化。</w:t>
            </w:r>
          </w:p>
          <w:p w14:paraId="31711717">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技术适用性：袋式除尘器技术适用性强，不受烟尘比电阻和物化性能的影响，影响袋式除尘器性能的主要因素是滤料性能、滤风速、清灰方式等。滤料应根据烟气条件进行选择。在设备选型阶段，选择适宜的滤料类型，确定最佳运行工艺参数，如气布比、运行温度，确保袋式过滤器正常稳定运行。在运行过程中，袋式除尘器应定期清灰，及时检查滤袋的破损情况并更换滤袋。布袋除尘器在国内应用较为广泛，技术成熟，除尘效率可达99.8%以上，可满足本项目要求，实现达标排放。</w:t>
            </w:r>
          </w:p>
          <w:p w14:paraId="1DA06ACF">
            <w:pPr>
              <w:spacing w:line="360" w:lineRule="auto"/>
              <w:ind w:firstLine="480" w:firstLineChars="200"/>
              <w:rPr>
                <w:rFonts w:hint="eastAsia" w:ascii="Times New Roman" w:hAnsi="Times New Roman" w:eastAsia="宋体" w:cs="Times New Roman"/>
                <w:color w:val="000000" w:themeColor="text1"/>
                <w:spacing w:val="2"/>
                <w:sz w:val="24"/>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参考《排污许可证申请与核发技术规范锅炉》（HJ953-2018）中“表7锅炉烟气污染防治可行技术”可知，一般地区生物质层燃炉二氧化硫污染防治可行技术为“/”；氮氧化物污染防治可行技术为“低氮燃烧技术、低氮燃烧+SNCR脱硝技术、低氮燃烧+SCR脱硝技术、低氮燃烧+(SNCR-SCR联合)脱硝技术、SNCR脱硝技术、SCR脱硝技术、SNCR-SCR联合脱硝技术”；颗粒物污染防治可行技术为“旋风除尘和袋式除尘组合技术”，项目锅炉废气采用“低氮燃烧+锅炉节能器+布袋除尘”处理，属于可行技术。</w:t>
            </w:r>
          </w:p>
          <w:p w14:paraId="176F6401">
            <w:pPr>
              <w:spacing w:line="360" w:lineRule="auto"/>
              <w:ind w:firstLine="488" w:firstLineChars="200"/>
              <w:rPr>
                <w:rFonts w:hint="eastAsia" w:ascii="Times New Roman" w:hAnsi="Times New Roman" w:eastAsia="宋体" w:cs="Times New Roman"/>
                <w:color w:val="000000" w:themeColor="text1"/>
                <w:spacing w:val="2"/>
                <w:sz w:val="24"/>
                <w14:textFill>
                  <w14:solidFill>
                    <w14:schemeClr w14:val="tx1"/>
                  </w14:solidFill>
                </w14:textFill>
              </w:rPr>
            </w:pPr>
            <w:r>
              <w:rPr>
                <w:rFonts w:hint="eastAsia" w:ascii="Times New Roman" w:hAnsi="Times New Roman" w:eastAsia="宋体" w:cs="Times New Roman"/>
                <w:color w:val="000000" w:themeColor="text1"/>
                <w:spacing w:val="2"/>
                <w:sz w:val="24"/>
                <w14:textFill>
                  <w14:solidFill>
                    <w14:schemeClr w14:val="tx1"/>
                  </w14:solidFill>
                </w14:textFill>
              </w:rPr>
              <w:t>综上，项目锅炉废气污染防治设施的设计及环境污染防治是可行的。</w:t>
            </w:r>
          </w:p>
          <w:p w14:paraId="0EE2E8D9">
            <w:pPr>
              <w:widowControl/>
              <w:spacing w:line="360" w:lineRule="auto"/>
              <w:ind w:firstLine="482" w:firstLineChars="200"/>
              <w:jc w:val="left"/>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1.4</w:t>
            </w:r>
            <w:r>
              <w:rPr>
                <w:rFonts w:hint="eastAsia" w:ascii="Times New Roman" w:hAnsi="Times New Roman" w:eastAsia="宋体" w:cs="Times New Roman"/>
                <w:b/>
                <w:bCs/>
                <w:color w:val="000000" w:themeColor="text1"/>
                <w:sz w:val="24"/>
                <w14:textFill>
                  <w14:solidFill>
                    <w14:schemeClr w14:val="tx1"/>
                  </w14:solidFill>
                </w14:textFill>
              </w:rPr>
              <w:t>废气排放的环境影响</w:t>
            </w:r>
          </w:p>
          <w:p w14:paraId="457FD316">
            <w:pPr>
              <w:spacing w:line="360" w:lineRule="auto"/>
              <w:ind w:firstLine="488"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color w:val="000000" w:themeColor="text1"/>
                <w:spacing w:val="2"/>
                <w:sz w:val="24"/>
                <w14:textFill>
                  <w14:solidFill>
                    <w14:schemeClr w14:val="tx1"/>
                  </w14:solidFill>
                </w14:textFill>
              </w:rPr>
              <w:t>项目评价区域环境质量现状良好，基本因子可达到《环境空气质量标准》（GB3095-2026）</w:t>
            </w:r>
            <w:r>
              <w:rPr>
                <w:rFonts w:hint="eastAsia" w:ascii="Times New Roman" w:hAnsi="Times New Roman" w:eastAsia="宋体" w:cs="Times New Roman"/>
                <w:color w:val="000000" w:themeColor="text1"/>
                <w:sz w:val="24"/>
                <w:szCs w:val="24"/>
                <w14:textFill>
                  <w14:solidFill>
                    <w14:schemeClr w14:val="tx1"/>
                  </w14:solidFill>
                </w14:textFill>
              </w:rPr>
              <w:t>过渡阶段二级浓度限值</w:t>
            </w:r>
            <w:r>
              <w:rPr>
                <w:rFonts w:hint="eastAsia" w:ascii="Times New Roman" w:hAnsi="Times New Roman" w:eastAsia="宋体" w:cs="Times New Roman"/>
                <w:color w:val="000000" w:themeColor="text1"/>
                <w:spacing w:val="2"/>
                <w:sz w:val="24"/>
                <w14:textFill>
                  <w14:solidFill>
                    <w14:schemeClr w14:val="tx1"/>
                  </w14:solidFill>
                </w14:textFill>
              </w:rPr>
              <w:t>，特征因子TSP、氮氧化物可达到《环境空气质量标准》（GB3095-2026）二级浓度限值。项目采取的污染防治措施可行，锅炉燃烧产生SO</w:t>
            </w:r>
            <w:r>
              <w:rPr>
                <w:rFonts w:hint="eastAsia" w:ascii="Times New Roman" w:hAnsi="Times New Roman" w:eastAsia="宋体" w:cs="Times New Roman"/>
                <w:color w:val="000000" w:themeColor="text1"/>
                <w:spacing w:val="2"/>
                <w:sz w:val="24"/>
                <w:vertAlign w:val="subscript"/>
                <w14:textFill>
                  <w14:solidFill>
                    <w14:schemeClr w14:val="tx1"/>
                  </w14:solidFill>
                </w14:textFill>
              </w:rPr>
              <w:t>2</w:t>
            </w:r>
            <w:r>
              <w:rPr>
                <w:rFonts w:hint="eastAsia" w:ascii="Times New Roman" w:hAnsi="Times New Roman" w:eastAsia="宋体" w:cs="Times New Roman"/>
                <w:color w:val="000000" w:themeColor="text1"/>
                <w:spacing w:val="2"/>
                <w:sz w:val="24"/>
                <w14:textFill>
                  <w14:solidFill>
                    <w14:schemeClr w14:val="tx1"/>
                  </w14:solidFill>
                </w14:textFill>
              </w:rPr>
              <w:t>、NOx、颗粒物、CO和烟气黑度的排放浓度可满足广东省《锅炉大气污染物排放标准》(DB44/765-2019)中“表2新建锅炉大气污染物排放浓度限值”的要求，对外环境影响不大。</w:t>
            </w:r>
          </w:p>
          <w:p w14:paraId="5DB8F131">
            <w:pPr>
              <w:spacing w:line="360" w:lineRule="auto"/>
              <w:ind w:firstLine="482" w:firstLineChars="200"/>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1.5非正常工况废气</w:t>
            </w:r>
          </w:p>
          <w:p w14:paraId="7BC6DEAE">
            <w:pPr>
              <w:spacing w:line="360" w:lineRule="auto"/>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非正常排放是指生产过程中开停车（工、炉）、设备检修、工艺设备运转异常等非正常工况下的污染物排放，以及污染物排放控制措施达不到应有效率等情况下的排放。项目废气非正常工况排放主要为污染物排放治理措施达不到应有效率，造成排气筒废气中废气污染物未经净化直接排放，发生故障时，持续时间最长按1个小时计算，每年发生频次按2次计算。项目废气处理能力按0%算。废气非正常工况源强情况见下表。</w:t>
            </w:r>
          </w:p>
          <w:p w14:paraId="1F62AAE9">
            <w:pPr>
              <w:spacing w:line="480" w:lineRule="exact"/>
              <w:ind w:firstLine="482" w:firstLineChars="200"/>
              <w:jc w:val="center"/>
              <w:outlineLvl w:val="1"/>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lang w:bidi="ar"/>
                <w14:textFill>
                  <w14:solidFill>
                    <w14:schemeClr w14:val="tx1"/>
                  </w14:solidFill>
                </w14:textFill>
              </w:rPr>
              <w:t>表4-</w:t>
            </w:r>
            <w:r>
              <w:rPr>
                <w:rFonts w:hint="eastAsia" w:ascii="Times New Roman" w:hAnsi="Times New Roman" w:eastAsia="宋体" w:cs="Times New Roman"/>
                <w:b/>
                <w:color w:val="000000" w:themeColor="text1"/>
                <w:sz w:val="24"/>
                <w:lang w:bidi="ar"/>
                <w14:textFill>
                  <w14:solidFill>
                    <w14:schemeClr w14:val="tx1"/>
                  </w14:solidFill>
                </w14:textFill>
              </w:rPr>
              <w:t>6项目</w:t>
            </w:r>
            <w:r>
              <w:rPr>
                <w:rFonts w:ascii="Times New Roman" w:hAnsi="Times New Roman" w:eastAsia="宋体" w:cs="Times New Roman"/>
                <w:b/>
                <w:color w:val="000000" w:themeColor="text1"/>
                <w:sz w:val="24"/>
                <w:lang w:bidi="ar"/>
                <w14:textFill>
                  <w14:solidFill>
                    <w14:schemeClr w14:val="tx1"/>
                  </w14:solidFill>
                </w14:textFill>
              </w:rPr>
              <w:t>污染源非正常排放量核算表</w:t>
            </w:r>
          </w:p>
          <w:tbl>
            <w:tblPr>
              <w:tblStyle w:val="32"/>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06"/>
              <w:gridCol w:w="734"/>
              <w:gridCol w:w="964"/>
              <w:gridCol w:w="707"/>
              <w:gridCol w:w="1122"/>
              <w:gridCol w:w="1109"/>
              <w:gridCol w:w="724"/>
              <w:gridCol w:w="780"/>
              <w:gridCol w:w="865"/>
              <w:gridCol w:w="572"/>
            </w:tblGrid>
            <w:tr w14:paraId="48A2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54" w:type="pct"/>
                  <w:tcBorders>
                    <w:top w:val="single" w:color="auto" w:sz="4" w:space="0"/>
                    <w:left w:val="single" w:color="auto" w:sz="4" w:space="0"/>
                    <w:bottom w:val="single" w:color="auto" w:sz="4" w:space="0"/>
                    <w:right w:val="single" w:color="auto" w:sz="4" w:space="0"/>
                  </w:tcBorders>
                  <w:noWrap w:val="0"/>
                  <w:vAlign w:val="center"/>
                </w:tcPr>
                <w:p w14:paraId="10890693">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序号</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2803CA6B">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污染源</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47637C11">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非正常排放原因</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064E2AA2">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污染物</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4599A249">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非正常排放浓度(mg/m</w:t>
                  </w:r>
                  <w:r>
                    <w:rPr>
                      <w:rFonts w:ascii="Times New Roman" w:hAnsi="Times New Roman"/>
                      <w:b/>
                      <w:color w:val="000000" w:themeColor="text1"/>
                      <w:kern w:val="2"/>
                      <w:sz w:val="21"/>
                      <w:szCs w:val="21"/>
                      <w:vertAlign w:val="superscript"/>
                      <w:lang w:bidi="ar"/>
                      <w14:textFill>
                        <w14:solidFill>
                          <w14:schemeClr w14:val="tx1"/>
                        </w14:solidFill>
                      </w14:textFill>
                    </w:rPr>
                    <w:t>3</w:t>
                  </w:r>
                  <w:r>
                    <w:rPr>
                      <w:rFonts w:ascii="Times New Roman" w:hAnsi="Times New Roman"/>
                      <w:b/>
                      <w:color w:val="000000" w:themeColor="text1"/>
                      <w:kern w:val="2"/>
                      <w:sz w:val="21"/>
                      <w:szCs w:val="21"/>
                      <w:lang w:bidi="ar"/>
                      <w14:textFill>
                        <w14:solidFill>
                          <w14:schemeClr w14:val="tx1"/>
                        </w14:solidFill>
                      </w14:textFill>
                    </w:rPr>
                    <w:t>)</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24E7AEDF">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非正常排放速率(kg/h)</w:t>
                  </w:r>
                </w:p>
              </w:tc>
              <w:tc>
                <w:tcPr>
                  <w:tcW w:w="453" w:type="pct"/>
                  <w:tcBorders>
                    <w:top w:val="single" w:color="auto" w:sz="4" w:space="0"/>
                    <w:left w:val="single" w:color="auto" w:sz="4" w:space="0"/>
                    <w:bottom w:val="single" w:color="auto" w:sz="4" w:space="0"/>
                    <w:right w:val="single" w:color="auto" w:sz="4" w:space="0"/>
                  </w:tcBorders>
                  <w:noWrap w:val="0"/>
                  <w:vAlign w:val="center"/>
                </w:tcPr>
                <w:p w14:paraId="0C33AEA0">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单次持续时间/h</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0094401D">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年发生频次/次</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1B60F948">
                  <w:pPr>
                    <w:pStyle w:val="28"/>
                    <w:widowControl w:val="0"/>
                    <w:autoSpaceDE w:val="0"/>
                    <w:autoSpaceDN w:val="0"/>
                    <w:adjustRightInd w:val="0"/>
                    <w:spacing w:before="0" w:beforeAutospacing="0" w:after="0" w:afterAutospacing="0"/>
                    <w:jc w:val="center"/>
                    <w:rPr>
                      <w:rFonts w:ascii="Times New Roman" w:hAnsi="Times New Roman"/>
                      <w:b/>
                      <w:color w:val="000000" w:themeColor="text1"/>
                      <w:kern w:val="2"/>
                      <w:sz w:val="21"/>
                      <w:szCs w:val="21"/>
                      <w:lang w:bidi="ar"/>
                      <w14:textFill>
                        <w14:solidFill>
                          <w14:schemeClr w14:val="tx1"/>
                        </w14:solidFill>
                      </w14:textFill>
                    </w:rPr>
                  </w:pPr>
                  <w:r>
                    <w:rPr>
                      <w:rFonts w:hint="eastAsia" w:ascii="Times New Roman" w:hAnsi="Times New Roman"/>
                      <w:b/>
                      <w:color w:val="000000" w:themeColor="text1"/>
                      <w:kern w:val="2"/>
                      <w:sz w:val="21"/>
                      <w:szCs w:val="21"/>
                      <w:lang w:bidi="ar"/>
                      <w14:textFill>
                        <w14:solidFill>
                          <w14:schemeClr w14:val="tx1"/>
                        </w14:solidFill>
                      </w14:textFill>
                    </w:rPr>
                    <w:t>非正常排放量（kg/a）</w:t>
                  </w:r>
                </w:p>
              </w:tc>
              <w:tc>
                <w:tcPr>
                  <w:tcW w:w="358" w:type="pct"/>
                  <w:tcBorders>
                    <w:top w:val="single" w:color="auto" w:sz="4" w:space="0"/>
                    <w:left w:val="single" w:color="auto" w:sz="4" w:space="0"/>
                    <w:bottom w:val="single" w:color="auto" w:sz="4" w:space="0"/>
                    <w:right w:val="single" w:color="auto" w:sz="4" w:space="0"/>
                  </w:tcBorders>
                  <w:noWrap w:val="0"/>
                  <w:vAlign w:val="center"/>
                </w:tcPr>
                <w:p w14:paraId="0325DB0E">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应对措施</w:t>
                  </w:r>
                </w:p>
              </w:tc>
            </w:tr>
            <w:tr w14:paraId="51B8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7" w:hRule="atLeast"/>
                <w:jc w:val="center"/>
              </w:trPr>
              <w:tc>
                <w:tcPr>
                  <w:tcW w:w="254" w:type="pct"/>
                  <w:vMerge w:val="restart"/>
                  <w:tcBorders>
                    <w:left w:val="single" w:color="auto" w:sz="4" w:space="0"/>
                    <w:right w:val="single" w:color="auto" w:sz="4" w:space="0"/>
                  </w:tcBorders>
                  <w:noWrap w:val="0"/>
                  <w:vAlign w:val="center"/>
                </w:tcPr>
                <w:p w14:paraId="33F2C38A">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r>
                    <w:rPr>
                      <w:rFonts w:hint="eastAsia" w:ascii="Times New Roman" w:hAnsi="Times New Roman"/>
                      <w:bCs/>
                      <w:color w:val="000000" w:themeColor="text1"/>
                      <w:kern w:val="2"/>
                      <w:sz w:val="21"/>
                      <w:szCs w:val="21"/>
                      <w:lang w:bidi="ar"/>
                      <w14:textFill>
                        <w14:solidFill>
                          <w14:schemeClr w14:val="tx1"/>
                        </w14:solidFill>
                      </w14:textFill>
                    </w:rPr>
                    <w:t>1</w:t>
                  </w:r>
                </w:p>
              </w:tc>
              <w:tc>
                <w:tcPr>
                  <w:tcW w:w="459" w:type="pct"/>
                  <w:vMerge w:val="restart"/>
                  <w:tcBorders>
                    <w:left w:val="single" w:color="auto" w:sz="4" w:space="0"/>
                    <w:right w:val="single" w:color="auto" w:sz="4" w:space="0"/>
                  </w:tcBorders>
                  <w:noWrap w:val="0"/>
                  <w:vAlign w:val="center"/>
                </w:tcPr>
                <w:p w14:paraId="115C6FA3">
                  <w:pPr>
                    <w:pStyle w:val="28"/>
                    <w:widowControl w:val="0"/>
                    <w:autoSpaceDE w:val="0"/>
                    <w:autoSpaceDN w:val="0"/>
                    <w:adjustRightInd w:val="0"/>
                    <w:spacing w:before="0" w:beforeAutospacing="0" w:after="0" w:afterAutospacing="0"/>
                    <w:jc w:val="center"/>
                    <w:rPr>
                      <w:rFonts w:ascii="Times New Roman" w:hAnsi="Times New Roman"/>
                      <w:bCs/>
                      <w:color w:val="000000" w:themeColor="text1"/>
                      <w:kern w:val="2"/>
                      <w:sz w:val="21"/>
                      <w:szCs w:val="21"/>
                      <w:lang w:bidi="ar"/>
                      <w14:textFill>
                        <w14:solidFill>
                          <w14:schemeClr w14:val="tx1"/>
                        </w14:solidFill>
                      </w14:textFill>
                    </w:rPr>
                  </w:pPr>
                  <w:r>
                    <w:rPr>
                      <w:rFonts w:hint="eastAsia" w:ascii="Times New Roman" w:hAnsi="Times New Roman"/>
                      <w:bCs/>
                      <w:color w:val="000000" w:themeColor="text1"/>
                      <w:kern w:val="2"/>
                      <w:sz w:val="21"/>
                      <w:szCs w:val="21"/>
                      <w:lang w:bidi="ar"/>
                      <w14:textFill>
                        <w14:solidFill>
                          <w14:schemeClr w14:val="tx1"/>
                        </w14:solidFill>
                      </w14:textFill>
                    </w:rPr>
                    <w:t>DA001</w:t>
                  </w:r>
                </w:p>
              </w:tc>
              <w:tc>
                <w:tcPr>
                  <w:tcW w:w="603" w:type="pct"/>
                  <w:vMerge w:val="restart"/>
                  <w:tcBorders>
                    <w:left w:val="single" w:color="auto" w:sz="4" w:space="0"/>
                    <w:right w:val="single" w:color="auto" w:sz="4" w:space="0"/>
                  </w:tcBorders>
                  <w:noWrap w:val="0"/>
                  <w:vAlign w:val="center"/>
                </w:tcPr>
                <w:p w14:paraId="26E20BEC">
                  <w:pPr>
                    <w:widowControl/>
                    <w:jc w:val="center"/>
                    <w:rPr>
                      <w:rFonts w:ascii="Times New Roman" w:hAnsi="Times New Roman" w:eastAsia="宋体" w:cs="Times New Roman"/>
                      <w:color w:val="000000" w:themeColor="text1"/>
                      <w:szCs w:val="21"/>
                      <w:lang w:bidi="ar"/>
                      <w14:textFill>
                        <w14:solidFill>
                          <w14:schemeClr w14:val="tx1"/>
                        </w14:solidFill>
                      </w14:textFill>
                    </w:rPr>
                  </w:pPr>
                  <w:r>
                    <w:rPr>
                      <w:rFonts w:ascii="Times New Roman" w:hAnsi="Times New Roman" w:eastAsia="宋体" w:cs="Times New Roman"/>
                      <w:color w:val="000000" w:themeColor="text1"/>
                      <w:szCs w:val="21"/>
                      <w:lang w:bidi="ar"/>
                      <w14:textFill>
                        <w14:solidFill>
                          <w14:schemeClr w14:val="tx1"/>
                        </w14:solidFill>
                      </w14:textFill>
                    </w:rPr>
                    <w:t>处理设施出现故障或失效</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1D773FF9">
                  <w:pPr>
                    <w:widowControl/>
                    <w:jc w:val="center"/>
                    <w:textAlignment w:val="center"/>
                    <w:rPr>
                      <w:rFonts w:hint="eastAsia"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SO</w:t>
                  </w:r>
                  <w:r>
                    <w:rPr>
                      <w:rFonts w:hint="eastAsia" w:ascii="Times New Roman" w:hAnsi="Times New Roman" w:eastAsia="宋体" w:cs="Times New Roman"/>
                      <w:color w:val="000000" w:themeColor="text1"/>
                      <w:vertAlign w:val="subscript"/>
                      <w14:textFill>
                        <w14:solidFill>
                          <w14:schemeClr w14:val="tx1"/>
                        </w14:solidFill>
                      </w14:textFill>
                    </w:rPr>
                    <w:t>2</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3EA00410">
                  <w:pPr>
                    <w:widowControl/>
                    <w:jc w:val="center"/>
                    <w:rPr>
                      <w:rFonts w:hint="default" w:ascii="Times New Roman" w:hAnsi="Times New Roman" w:eastAsia="宋体" w:cs="Times New Roman"/>
                      <w:color w:val="000000" w:themeColor="text1"/>
                      <w:kern w:val="0"/>
                      <w:szCs w:val="21"/>
                      <w:lang w:val="en-US"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27.25</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388A487E">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0.0853</w:t>
                  </w:r>
                </w:p>
              </w:tc>
              <w:tc>
                <w:tcPr>
                  <w:tcW w:w="453" w:type="pct"/>
                  <w:tcBorders>
                    <w:top w:val="single" w:color="auto" w:sz="4" w:space="0"/>
                    <w:left w:val="single" w:color="auto" w:sz="4" w:space="0"/>
                    <w:bottom w:val="single" w:color="auto" w:sz="4" w:space="0"/>
                    <w:right w:val="single" w:color="auto" w:sz="4" w:space="0"/>
                  </w:tcBorders>
                  <w:noWrap w:val="0"/>
                  <w:vAlign w:val="center"/>
                </w:tcPr>
                <w:p w14:paraId="3D2836A7">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2FAF040E">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5EE10111">
                  <w:pPr>
                    <w:widowControl/>
                    <w:jc w:val="center"/>
                    <w:rPr>
                      <w:rFonts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0.1842</w:t>
                  </w:r>
                </w:p>
              </w:tc>
              <w:tc>
                <w:tcPr>
                  <w:tcW w:w="358" w:type="pct"/>
                  <w:vMerge w:val="restart"/>
                  <w:tcBorders>
                    <w:left w:val="single" w:color="auto" w:sz="4" w:space="0"/>
                    <w:right w:val="single" w:color="auto" w:sz="4" w:space="0"/>
                  </w:tcBorders>
                  <w:noWrap w:val="0"/>
                  <w:vAlign w:val="center"/>
                </w:tcPr>
                <w:p w14:paraId="0FE10982">
                  <w:pPr>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停工检修</w:t>
                  </w:r>
                </w:p>
              </w:tc>
            </w:tr>
            <w:tr w14:paraId="5C24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7" w:hRule="atLeast"/>
                <w:jc w:val="center"/>
              </w:trPr>
              <w:tc>
                <w:tcPr>
                  <w:tcW w:w="254" w:type="pct"/>
                  <w:vMerge w:val="continue"/>
                  <w:tcBorders>
                    <w:left w:val="single" w:color="auto" w:sz="4" w:space="0"/>
                    <w:right w:val="single" w:color="auto" w:sz="4" w:space="0"/>
                  </w:tcBorders>
                  <w:noWrap w:val="0"/>
                  <w:vAlign w:val="center"/>
                </w:tcPr>
                <w:p w14:paraId="5D547B70">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p>
              </w:tc>
              <w:tc>
                <w:tcPr>
                  <w:tcW w:w="459" w:type="pct"/>
                  <w:vMerge w:val="continue"/>
                  <w:tcBorders>
                    <w:left w:val="single" w:color="auto" w:sz="4" w:space="0"/>
                    <w:right w:val="single" w:color="auto" w:sz="4" w:space="0"/>
                  </w:tcBorders>
                  <w:noWrap w:val="0"/>
                  <w:vAlign w:val="center"/>
                </w:tcPr>
                <w:p w14:paraId="5877A157">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p>
              </w:tc>
              <w:tc>
                <w:tcPr>
                  <w:tcW w:w="603" w:type="pct"/>
                  <w:vMerge w:val="continue"/>
                  <w:tcBorders>
                    <w:left w:val="single" w:color="auto" w:sz="4" w:space="0"/>
                    <w:right w:val="single" w:color="auto" w:sz="4" w:space="0"/>
                  </w:tcBorders>
                  <w:noWrap w:val="0"/>
                  <w:vAlign w:val="center"/>
                </w:tcPr>
                <w:p w14:paraId="137CA174">
                  <w:pPr>
                    <w:widowControl/>
                    <w:jc w:val="center"/>
                    <w:rPr>
                      <w:rFonts w:ascii="Times New Roman" w:hAnsi="Times New Roman" w:eastAsia="宋体" w:cs="Times New Roman"/>
                      <w:color w:val="000000" w:themeColor="text1"/>
                      <w:szCs w:val="21"/>
                      <w:lang w:bidi="ar"/>
                      <w14:textFill>
                        <w14:solidFill>
                          <w14:schemeClr w14:val="tx1"/>
                        </w14:solidFill>
                      </w14:textFill>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085C8AD1">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NOx</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25A619FA">
                  <w:pPr>
                    <w:widowControl/>
                    <w:jc w:val="center"/>
                    <w:rPr>
                      <w:rFonts w:hint="default" w:ascii="Times New Roman" w:hAnsi="Times New Roman" w:eastAsia="宋体" w:cs="Times New Roman"/>
                      <w:color w:val="000000" w:themeColor="text1"/>
                      <w:kern w:val="0"/>
                      <w:szCs w:val="21"/>
                      <w:lang w:val="en-US" w:bidi="ar"/>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bidi="ar"/>
                      <w14:textFill>
                        <w14:solidFill>
                          <w14:schemeClr w14:val="tx1"/>
                        </w14:solidFill>
                      </w14:textFill>
                    </w:rPr>
                    <w:t>163.46</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226A856E">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w:t>
                  </w:r>
                  <w:r>
                    <w:rPr>
                      <w:rStyle w:val="35"/>
                      <w:rFonts w:hint="eastAsia" w:ascii="Times New Roman" w:hAnsi="Times New Roman" w:eastAsia="宋体" w:cs="Times New Roman"/>
                      <w:b w:val="0"/>
                      <w:color w:val="000000" w:themeColor="text1"/>
                      <w:kern w:val="0"/>
                      <w:szCs w:val="21"/>
                      <w:lang w:bidi="ar"/>
                      <w14:textFill>
                        <w14:solidFill>
                          <w14:schemeClr w14:val="tx1"/>
                        </w14:solidFill>
                      </w14:textFill>
                    </w:rPr>
                    <w:t>5116</w:t>
                  </w:r>
                </w:p>
              </w:tc>
              <w:tc>
                <w:tcPr>
                  <w:tcW w:w="453" w:type="pct"/>
                  <w:tcBorders>
                    <w:top w:val="single" w:color="auto" w:sz="4" w:space="0"/>
                    <w:left w:val="single" w:color="auto" w:sz="4" w:space="0"/>
                    <w:bottom w:val="single" w:color="auto" w:sz="4" w:space="0"/>
                    <w:right w:val="single" w:color="auto" w:sz="4" w:space="0"/>
                  </w:tcBorders>
                  <w:noWrap w:val="0"/>
                  <w:vAlign w:val="center"/>
                </w:tcPr>
                <w:p w14:paraId="138A487F">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5A85724C">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5385CFDD">
                  <w:pPr>
                    <w:widowControl/>
                    <w:jc w:val="center"/>
                    <w:rPr>
                      <w:rFonts w:hint="eastAsia" w:ascii="Times New Roman" w:hAnsi="Times New Roman" w:eastAsia="宋体" w:cs="Times New Roman"/>
                      <w:bCs/>
                      <w:color w:val="000000" w:themeColor="text1"/>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1.105</w:t>
                  </w:r>
                </w:p>
              </w:tc>
              <w:tc>
                <w:tcPr>
                  <w:tcW w:w="358" w:type="pct"/>
                  <w:vMerge w:val="continue"/>
                  <w:tcBorders>
                    <w:left w:val="single" w:color="auto" w:sz="4" w:space="0"/>
                    <w:right w:val="single" w:color="auto" w:sz="4" w:space="0"/>
                  </w:tcBorders>
                  <w:noWrap w:val="0"/>
                  <w:vAlign w:val="center"/>
                </w:tcPr>
                <w:p w14:paraId="33EB259C">
                  <w:pPr>
                    <w:jc w:val="center"/>
                    <w:rPr>
                      <w:rFonts w:ascii="Times New Roman" w:hAnsi="Times New Roman" w:eastAsia="宋体" w:cs="Times New Roman"/>
                      <w:color w:val="000000" w:themeColor="text1"/>
                      <w:kern w:val="0"/>
                      <w:szCs w:val="21"/>
                      <w:lang w:bidi="ar"/>
                      <w14:textFill>
                        <w14:solidFill>
                          <w14:schemeClr w14:val="tx1"/>
                        </w14:solidFill>
                      </w14:textFill>
                    </w:rPr>
                  </w:pPr>
                </w:p>
              </w:tc>
            </w:tr>
            <w:tr w14:paraId="3FC9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7" w:hRule="atLeast"/>
                <w:jc w:val="center"/>
              </w:trPr>
              <w:tc>
                <w:tcPr>
                  <w:tcW w:w="254" w:type="pct"/>
                  <w:vMerge w:val="continue"/>
                  <w:tcBorders>
                    <w:left w:val="single" w:color="auto" w:sz="4" w:space="0"/>
                    <w:right w:val="single" w:color="auto" w:sz="4" w:space="0"/>
                  </w:tcBorders>
                  <w:noWrap w:val="0"/>
                  <w:vAlign w:val="center"/>
                </w:tcPr>
                <w:p w14:paraId="2C149C5D">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p>
              </w:tc>
              <w:tc>
                <w:tcPr>
                  <w:tcW w:w="459" w:type="pct"/>
                  <w:vMerge w:val="continue"/>
                  <w:tcBorders>
                    <w:left w:val="single" w:color="auto" w:sz="4" w:space="0"/>
                    <w:right w:val="single" w:color="auto" w:sz="4" w:space="0"/>
                  </w:tcBorders>
                  <w:noWrap w:val="0"/>
                  <w:vAlign w:val="center"/>
                </w:tcPr>
                <w:p w14:paraId="2EDB10FA">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p>
              </w:tc>
              <w:tc>
                <w:tcPr>
                  <w:tcW w:w="603" w:type="pct"/>
                  <w:vMerge w:val="continue"/>
                  <w:tcBorders>
                    <w:left w:val="single" w:color="auto" w:sz="4" w:space="0"/>
                    <w:right w:val="single" w:color="auto" w:sz="4" w:space="0"/>
                  </w:tcBorders>
                  <w:noWrap w:val="0"/>
                  <w:vAlign w:val="center"/>
                </w:tcPr>
                <w:p w14:paraId="7DF92393">
                  <w:pPr>
                    <w:widowControl/>
                    <w:jc w:val="center"/>
                    <w:rPr>
                      <w:rFonts w:ascii="Times New Roman" w:hAnsi="Times New Roman" w:eastAsia="宋体" w:cs="Times New Roman"/>
                      <w:color w:val="000000" w:themeColor="text1"/>
                      <w:szCs w:val="21"/>
                      <w:lang w:bidi="ar"/>
                      <w14:textFill>
                        <w14:solidFill>
                          <w14:schemeClr w14:val="tx1"/>
                        </w14:solidFill>
                      </w14:textFill>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36896B33">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颗粒物</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6511C42D">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80.14</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12356555">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Style w:val="35"/>
                      <w:rFonts w:hint="eastAsia" w:ascii="Times New Roman" w:hAnsi="Times New Roman" w:eastAsia="宋体" w:cs="Times New Roman"/>
                      <w:b w:val="0"/>
                      <w:color w:val="000000" w:themeColor="text1"/>
                      <w:kern w:val="0"/>
                      <w:szCs w:val="21"/>
                      <w:lang w:bidi="ar"/>
                      <w14:textFill>
                        <w14:solidFill>
                          <w14:schemeClr w14:val="tx1"/>
                        </w14:solidFill>
                      </w14:textFill>
                    </w:rPr>
                    <w:t>0.2508</w:t>
                  </w:r>
                </w:p>
              </w:tc>
              <w:tc>
                <w:tcPr>
                  <w:tcW w:w="453" w:type="pct"/>
                  <w:tcBorders>
                    <w:top w:val="single" w:color="auto" w:sz="4" w:space="0"/>
                    <w:left w:val="single" w:color="auto" w:sz="4" w:space="0"/>
                    <w:bottom w:val="single" w:color="auto" w:sz="4" w:space="0"/>
                    <w:right w:val="single" w:color="auto" w:sz="4" w:space="0"/>
                  </w:tcBorders>
                  <w:noWrap w:val="0"/>
                  <w:vAlign w:val="center"/>
                </w:tcPr>
                <w:p w14:paraId="61506610">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0402EB04">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075C61F5">
                  <w:pPr>
                    <w:widowControl/>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0.5417</w:t>
                  </w:r>
                </w:p>
              </w:tc>
              <w:tc>
                <w:tcPr>
                  <w:tcW w:w="358" w:type="pct"/>
                  <w:vMerge w:val="continue"/>
                  <w:tcBorders>
                    <w:left w:val="single" w:color="auto" w:sz="4" w:space="0"/>
                    <w:right w:val="single" w:color="auto" w:sz="4" w:space="0"/>
                  </w:tcBorders>
                  <w:noWrap w:val="0"/>
                  <w:vAlign w:val="center"/>
                </w:tcPr>
                <w:p w14:paraId="3F86BE33">
                  <w:pPr>
                    <w:jc w:val="center"/>
                    <w:rPr>
                      <w:rFonts w:ascii="Times New Roman" w:hAnsi="Times New Roman" w:eastAsia="宋体" w:cs="Times New Roman"/>
                      <w:color w:val="000000" w:themeColor="text1"/>
                      <w:kern w:val="0"/>
                      <w:szCs w:val="21"/>
                      <w:lang w:bidi="ar"/>
                      <w14:textFill>
                        <w14:solidFill>
                          <w14:schemeClr w14:val="tx1"/>
                        </w14:solidFill>
                      </w14:textFill>
                    </w:rPr>
                  </w:pPr>
                </w:p>
              </w:tc>
            </w:tr>
            <w:tr w14:paraId="0D85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7" w:hRule="atLeast"/>
                <w:jc w:val="center"/>
              </w:trPr>
              <w:tc>
                <w:tcPr>
                  <w:tcW w:w="254" w:type="pct"/>
                  <w:vMerge w:val="continue"/>
                  <w:tcBorders>
                    <w:left w:val="single" w:color="auto" w:sz="4" w:space="0"/>
                    <w:right w:val="single" w:color="auto" w:sz="4" w:space="0"/>
                  </w:tcBorders>
                  <w:noWrap w:val="0"/>
                  <w:vAlign w:val="center"/>
                </w:tcPr>
                <w:p w14:paraId="50155DD9">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p>
              </w:tc>
              <w:tc>
                <w:tcPr>
                  <w:tcW w:w="459" w:type="pct"/>
                  <w:vMerge w:val="continue"/>
                  <w:tcBorders>
                    <w:left w:val="single" w:color="auto" w:sz="4" w:space="0"/>
                    <w:right w:val="single" w:color="auto" w:sz="4" w:space="0"/>
                  </w:tcBorders>
                  <w:noWrap w:val="0"/>
                  <w:vAlign w:val="center"/>
                </w:tcPr>
                <w:p w14:paraId="20D00607">
                  <w:pPr>
                    <w:pStyle w:val="28"/>
                    <w:widowControl w:val="0"/>
                    <w:autoSpaceDE w:val="0"/>
                    <w:autoSpaceDN w:val="0"/>
                    <w:adjustRightInd w:val="0"/>
                    <w:spacing w:before="0" w:beforeAutospacing="0" w:after="0" w:afterAutospacing="0"/>
                    <w:jc w:val="center"/>
                    <w:rPr>
                      <w:rFonts w:hint="eastAsia" w:ascii="Times New Roman" w:hAnsi="Times New Roman"/>
                      <w:bCs/>
                      <w:color w:val="000000" w:themeColor="text1"/>
                      <w:kern w:val="2"/>
                      <w:sz w:val="21"/>
                      <w:szCs w:val="21"/>
                      <w:lang w:bidi="ar"/>
                      <w14:textFill>
                        <w14:solidFill>
                          <w14:schemeClr w14:val="tx1"/>
                        </w14:solidFill>
                      </w14:textFill>
                    </w:rPr>
                  </w:pPr>
                </w:p>
              </w:tc>
              <w:tc>
                <w:tcPr>
                  <w:tcW w:w="603" w:type="pct"/>
                  <w:vMerge w:val="continue"/>
                  <w:tcBorders>
                    <w:left w:val="single" w:color="auto" w:sz="4" w:space="0"/>
                    <w:right w:val="single" w:color="auto" w:sz="4" w:space="0"/>
                  </w:tcBorders>
                  <w:noWrap w:val="0"/>
                  <w:vAlign w:val="center"/>
                </w:tcPr>
                <w:p w14:paraId="459EF013">
                  <w:pPr>
                    <w:widowControl/>
                    <w:jc w:val="center"/>
                    <w:rPr>
                      <w:rFonts w:ascii="Times New Roman" w:hAnsi="Times New Roman" w:eastAsia="宋体" w:cs="Times New Roman"/>
                      <w:color w:val="000000" w:themeColor="text1"/>
                      <w:szCs w:val="21"/>
                      <w:lang w:bidi="ar"/>
                      <w14:textFill>
                        <w14:solidFill>
                          <w14:schemeClr w14:val="tx1"/>
                        </w14:solidFill>
                      </w14:textFill>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6EBC44EB">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CO</w:t>
                  </w:r>
                </w:p>
              </w:tc>
              <w:tc>
                <w:tcPr>
                  <w:tcW w:w="702" w:type="pct"/>
                  <w:tcBorders>
                    <w:top w:val="single" w:color="auto" w:sz="4" w:space="0"/>
                    <w:left w:val="single" w:color="auto" w:sz="4" w:space="0"/>
                    <w:bottom w:val="single" w:color="auto" w:sz="4" w:space="0"/>
                    <w:right w:val="single" w:color="auto" w:sz="4" w:space="0"/>
                  </w:tcBorders>
                  <w:noWrap w:val="0"/>
                  <w:vAlign w:val="center"/>
                </w:tcPr>
                <w:p w14:paraId="7F88F1EB">
                  <w:pPr>
                    <w:widowControl/>
                    <w:jc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180.32</w:t>
                  </w:r>
                </w:p>
              </w:tc>
              <w:tc>
                <w:tcPr>
                  <w:tcW w:w="694" w:type="pct"/>
                  <w:tcBorders>
                    <w:top w:val="single" w:color="auto" w:sz="4" w:space="0"/>
                    <w:left w:val="single" w:color="auto" w:sz="4" w:space="0"/>
                    <w:bottom w:val="single" w:color="auto" w:sz="4" w:space="0"/>
                    <w:right w:val="single" w:color="auto" w:sz="4" w:space="0"/>
                  </w:tcBorders>
                  <w:noWrap w:val="0"/>
                  <w:vAlign w:val="center"/>
                </w:tcPr>
                <w:p w14:paraId="1A558951">
                  <w:pPr>
                    <w:widowControl/>
                    <w:jc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Style w:val="35"/>
                      <w:rFonts w:ascii="Times New Roman" w:hAnsi="Times New Roman" w:eastAsia="宋体" w:cs="Times New Roman"/>
                      <w:b w:val="0"/>
                      <w:color w:val="000000" w:themeColor="text1"/>
                      <w:kern w:val="0"/>
                      <w:szCs w:val="21"/>
                      <w:lang w:bidi="ar"/>
                      <w14:textFill>
                        <w14:solidFill>
                          <w14:schemeClr w14:val="tx1"/>
                        </w14:solidFill>
                      </w14:textFill>
                    </w:rPr>
                    <w:t>0.5644</w:t>
                  </w:r>
                </w:p>
              </w:tc>
              <w:tc>
                <w:tcPr>
                  <w:tcW w:w="453" w:type="pct"/>
                  <w:tcBorders>
                    <w:top w:val="single" w:color="auto" w:sz="4" w:space="0"/>
                    <w:left w:val="single" w:color="auto" w:sz="4" w:space="0"/>
                    <w:bottom w:val="single" w:color="auto" w:sz="4" w:space="0"/>
                    <w:right w:val="single" w:color="auto" w:sz="4" w:space="0"/>
                  </w:tcBorders>
                  <w:noWrap w:val="0"/>
                  <w:vAlign w:val="center"/>
                </w:tcPr>
                <w:p w14:paraId="7FD181FF">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2E7A13BF">
                  <w:pPr>
                    <w:widowControl/>
                    <w:jc w:val="center"/>
                    <w:textAlignment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23FF75A3">
                  <w:pPr>
                    <w:widowControl/>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1.219</w:t>
                  </w:r>
                </w:p>
              </w:tc>
              <w:tc>
                <w:tcPr>
                  <w:tcW w:w="358" w:type="pct"/>
                  <w:vMerge w:val="continue"/>
                  <w:tcBorders>
                    <w:left w:val="single" w:color="auto" w:sz="4" w:space="0"/>
                    <w:right w:val="single" w:color="auto" w:sz="4" w:space="0"/>
                  </w:tcBorders>
                  <w:noWrap w:val="0"/>
                  <w:vAlign w:val="center"/>
                </w:tcPr>
                <w:p w14:paraId="20B4377D">
                  <w:pPr>
                    <w:jc w:val="center"/>
                    <w:rPr>
                      <w:rFonts w:ascii="Times New Roman" w:hAnsi="Times New Roman" w:eastAsia="宋体" w:cs="Times New Roman"/>
                      <w:color w:val="000000" w:themeColor="text1"/>
                      <w:kern w:val="0"/>
                      <w:szCs w:val="21"/>
                      <w:lang w:bidi="ar"/>
                      <w14:textFill>
                        <w14:solidFill>
                          <w14:schemeClr w14:val="tx1"/>
                        </w14:solidFill>
                      </w14:textFill>
                    </w:rPr>
                  </w:pPr>
                </w:p>
              </w:tc>
            </w:tr>
          </w:tbl>
          <w:p w14:paraId="6F768A60">
            <w:pPr>
              <w:spacing w:line="480" w:lineRule="exact"/>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运行过程中应加强废气处理设施的运行管理，确保设施正常运行，一旦出现故障，应该立即停工、维修，处理设施恢复正常后才能复工。运营期间，项目做好废气的有效收集与净化处理，确保废气处理设施正常运转，及时检查设备工况，保障废气处理装置稳定可靠</w:t>
            </w:r>
            <w:r>
              <w:rPr>
                <w:rFonts w:hint="eastAsia" w:ascii="Times New Roman" w:hAnsi="Times New Roman" w:eastAsia="宋体" w:cs="Times New Roman"/>
                <w:bCs/>
                <w:color w:val="000000" w:themeColor="text1"/>
                <w:sz w:val="24"/>
                <w14:textFill>
                  <w14:solidFill>
                    <w14:schemeClr w14:val="tx1"/>
                  </w14:solidFill>
                </w14:textFill>
              </w:rPr>
              <w:t>地</w:t>
            </w:r>
            <w:r>
              <w:rPr>
                <w:rFonts w:ascii="Times New Roman" w:hAnsi="Times New Roman" w:eastAsia="宋体" w:cs="Times New Roman"/>
                <w:bCs/>
                <w:color w:val="000000" w:themeColor="text1"/>
                <w:sz w:val="24"/>
                <w14:textFill>
                  <w14:solidFill>
                    <w14:schemeClr w14:val="tx1"/>
                  </w14:solidFill>
                </w14:textFill>
              </w:rPr>
              <w:t>运行。</w:t>
            </w:r>
          </w:p>
          <w:p w14:paraId="5E907ACA">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1.6监测计划</w:t>
            </w:r>
          </w:p>
          <w:p w14:paraId="45DD8BC4">
            <w:pPr>
              <w:spacing w:line="480" w:lineRule="exact"/>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根据《排污单位自行监测技术指南总则》（HJ819-2017）和《排污单位自行监测技术指南火力发电及锅炉》（HJ820-2017），项目制定了废气自行监测计划，详见下表所示。</w:t>
            </w:r>
          </w:p>
          <w:p w14:paraId="3596DE10">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表4-</w:t>
            </w:r>
            <w:r>
              <w:rPr>
                <w:rFonts w:hint="eastAsia" w:ascii="Times New Roman" w:hAnsi="Times New Roman" w:eastAsia="宋体" w:cs="Times New Roman"/>
                <w:b/>
                <w:color w:val="000000" w:themeColor="text1"/>
                <w:sz w:val="24"/>
                <w14:textFill>
                  <w14:solidFill>
                    <w14:schemeClr w14:val="tx1"/>
                  </w14:solidFill>
                </w14:textFill>
              </w:rPr>
              <w:t>7</w:t>
            </w:r>
            <w:r>
              <w:rPr>
                <w:rFonts w:ascii="Times New Roman" w:hAnsi="Times New Roman" w:eastAsia="宋体" w:cs="Times New Roman"/>
                <w:b/>
                <w:color w:val="000000" w:themeColor="text1"/>
                <w:sz w:val="24"/>
                <w14:textFill>
                  <w14:solidFill>
                    <w14:schemeClr w14:val="tx1"/>
                  </w14:solidFill>
                </w14:textFill>
              </w:rPr>
              <w:t>废气环境监测计划</w:t>
            </w:r>
          </w:p>
          <w:tbl>
            <w:tblPr>
              <w:tblStyle w:val="32"/>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899"/>
              <w:gridCol w:w="1329"/>
              <w:gridCol w:w="1145"/>
              <w:gridCol w:w="4070"/>
            </w:tblGrid>
            <w:tr w14:paraId="4E64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8" w:type="pct"/>
                  <w:noWrap w:val="0"/>
                  <w:vAlign w:val="center"/>
                </w:tcPr>
                <w:p w14:paraId="784CC5A3">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序号</w:t>
                  </w:r>
                </w:p>
              </w:tc>
              <w:tc>
                <w:tcPr>
                  <w:tcW w:w="563" w:type="pct"/>
                  <w:noWrap w:val="0"/>
                  <w:vAlign w:val="center"/>
                </w:tcPr>
                <w:p w14:paraId="7EDF313D">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监测位置</w:t>
                  </w:r>
                </w:p>
              </w:tc>
              <w:tc>
                <w:tcPr>
                  <w:tcW w:w="832" w:type="pct"/>
                  <w:noWrap w:val="0"/>
                  <w:vAlign w:val="center"/>
                </w:tcPr>
                <w:p w14:paraId="4356E861">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监测项目</w:t>
                  </w:r>
                </w:p>
              </w:tc>
              <w:tc>
                <w:tcPr>
                  <w:tcW w:w="717" w:type="pct"/>
                  <w:noWrap w:val="0"/>
                  <w:vAlign w:val="center"/>
                </w:tcPr>
                <w:p w14:paraId="2E1C1491">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监测频次</w:t>
                  </w:r>
                </w:p>
              </w:tc>
              <w:tc>
                <w:tcPr>
                  <w:tcW w:w="2547" w:type="pct"/>
                  <w:noWrap w:val="0"/>
                  <w:vAlign w:val="center"/>
                </w:tcPr>
                <w:p w14:paraId="06EA4E7F">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排放标准</w:t>
                  </w:r>
                </w:p>
              </w:tc>
            </w:tr>
            <w:tr w14:paraId="609C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2" w:hRule="atLeast"/>
                <w:jc w:val="center"/>
              </w:trPr>
              <w:tc>
                <w:tcPr>
                  <w:tcW w:w="338" w:type="pct"/>
                  <w:vMerge w:val="restart"/>
                  <w:noWrap w:val="0"/>
                  <w:vAlign w:val="center"/>
                </w:tcPr>
                <w:p w14:paraId="0CDA9F7D">
                  <w:pPr>
                    <w:pStyle w:val="61"/>
                    <w:spacing w:line="240" w:lineRule="auto"/>
                    <w:ind w:firstLine="0"/>
                    <w:rPr>
                      <w:rFonts w:hint="eastAsia"/>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w:t>
                  </w:r>
                </w:p>
              </w:tc>
              <w:tc>
                <w:tcPr>
                  <w:tcW w:w="563" w:type="pct"/>
                  <w:vMerge w:val="restart"/>
                  <w:noWrap w:val="0"/>
                  <w:vAlign w:val="center"/>
                </w:tcPr>
                <w:p w14:paraId="7303259A">
                  <w:pPr>
                    <w:pStyle w:val="61"/>
                    <w:spacing w:line="240" w:lineRule="auto"/>
                    <w:ind w:firstLine="0"/>
                    <w:rPr>
                      <w:rFonts w:hint="eastAsia" w:ascii="Times New Roman" w:hAnsi="Times New Roman" w:eastAsia="宋体" w:cs="Times New Roman"/>
                      <w:b w:val="0"/>
                      <w:color w:val="000000" w:themeColor="text1"/>
                      <w:kern w:val="2"/>
                      <w:sz w:val="20"/>
                      <w:szCs w:val="20"/>
                      <w:lang w:val="en-US" w:eastAsia="zh-CN" w:bidi="ar-SA"/>
                      <w14:textFill>
                        <w14:solidFill>
                          <w14:schemeClr w14:val="tx1"/>
                        </w14:solidFill>
                      </w14:textFill>
                    </w:rPr>
                  </w:pPr>
                  <w:r>
                    <w:rPr>
                      <w:rFonts w:hint="eastAsia" w:ascii="Times New Roman" w:hAnsi="Times New Roman" w:eastAsia="宋体" w:cs="Times New Roman"/>
                      <w:b w:val="0"/>
                      <w:color w:val="000000" w:themeColor="text1"/>
                      <w:kern w:val="2"/>
                      <w:sz w:val="20"/>
                      <w:szCs w:val="20"/>
                      <w:lang w:val="en-US" w:eastAsia="zh-CN" w:bidi="ar-SA"/>
                      <w14:textFill>
                        <w14:solidFill>
                          <w14:schemeClr w14:val="tx1"/>
                        </w14:solidFill>
                      </w14:textFill>
                    </w:rPr>
                    <w:t>DA001</w:t>
                  </w:r>
                </w:p>
              </w:tc>
              <w:tc>
                <w:tcPr>
                  <w:tcW w:w="832" w:type="pct"/>
                  <w:noWrap w:val="0"/>
                  <w:vAlign w:val="center"/>
                </w:tcPr>
                <w:p w14:paraId="78ED0ECF">
                  <w:pPr>
                    <w:widowControl/>
                    <w:jc w:val="center"/>
                    <w:textAlignment w:val="center"/>
                    <w:rPr>
                      <w:rFonts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SO</w:t>
                  </w:r>
                  <w:r>
                    <w:rPr>
                      <w:rFonts w:hint="eastAsia" w:ascii="Times New Roman" w:hAnsi="Times New Roman" w:eastAsia="宋体" w:cs="Times New Roman"/>
                      <w:color w:val="000000" w:themeColor="text1"/>
                      <w:vertAlign w:val="subscript"/>
                      <w14:textFill>
                        <w14:solidFill>
                          <w14:schemeClr w14:val="tx1"/>
                        </w14:solidFill>
                      </w14:textFill>
                    </w:rPr>
                    <w:t>2</w:t>
                  </w:r>
                </w:p>
              </w:tc>
              <w:tc>
                <w:tcPr>
                  <w:tcW w:w="717" w:type="pct"/>
                  <w:noWrap w:val="0"/>
                  <w:vAlign w:val="center"/>
                </w:tcPr>
                <w:p w14:paraId="7B585E8B">
                  <w:pPr>
                    <w:pStyle w:val="78"/>
                    <w:rPr>
                      <w:rFonts w:hint="eastAsia"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1次/月</w:t>
                  </w:r>
                </w:p>
              </w:tc>
              <w:tc>
                <w:tcPr>
                  <w:tcW w:w="2547" w:type="pct"/>
                  <w:vMerge w:val="restart"/>
                  <w:noWrap w:val="0"/>
                  <w:vAlign w:val="center"/>
                </w:tcPr>
                <w:p w14:paraId="38D4DF13">
                  <w:pPr>
                    <w:pStyle w:val="61"/>
                    <w:spacing w:line="240" w:lineRule="auto"/>
                    <w:ind w:firstLine="0"/>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广东省《锅炉大气污染物排放标准》（DB44/765-2019）表2中燃生物质成型燃料锅炉的排放限值</w:t>
                  </w:r>
                </w:p>
              </w:tc>
            </w:tr>
            <w:tr w14:paraId="2442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 w:hRule="atLeast"/>
                <w:jc w:val="center"/>
              </w:trPr>
              <w:tc>
                <w:tcPr>
                  <w:tcW w:w="338" w:type="pct"/>
                  <w:vMerge w:val="continue"/>
                  <w:noWrap w:val="0"/>
                  <w:vAlign w:val="center"/>
                </w:tcPr>
                <w:p w14:paraId="28463260">
                  <w:pPr>
                    <w:pStyle w:val="61"/>
                    <w:spacing w:line="240" w:lineRule="auto"/>
                    <w:ind w:firstLine="0"/>
                    <w:rPr>
                      <w:rFonts w:hint="eastAsia"/>
                      <w:b w:val="0"/>
                      <w:color w:val="000000" w:themeColor="text1"/>
                      <w14:textFill>
                        <w14:solidFill>
                          <w14:schemeClr w14:val="tx1"/>
                        </w14:solidFill>
                      </w14:textFill>
                    </w:rPr>
                  </w:pPr>
                </w:p>
              </w:tc>
              <w:tc>
                <w:tcPr>
                  <w:tcW w:w="563" w:type="pct"/>
                  <w:vMerge w:val="continue"/>
                  <w:noWrap w:val="0"/>
                  <w:vAlign w:val="center"/>
                </w:tcPr>
                <w:p w14:paraId="501FA8EE">
                  <w:pPr>
                    <w:pStyle w:val="61"/>
                    <w:spacing w:line="240" w:lineRule="auto"/>
                    <w:ind w:firstLine="0"/>
                    <w:rPr>
                      <w:rFonts w:hint="eastAsia" w:ascii="Times New Roman" w:hAnsi="Times New Roman" w:eastAsia="宋体" w:cs="Times New Roman"/>
                      <w:b w:val="0"/>
                      <w:color w:val="000000" w:themeColor="text1"/>
                      <w:kern w:val="2"/>
                      <w:sz w:val="20"/>
                      <w:szCs w:val="20"/>
                      <w:lang w:val="en-US" w:eastAsia="zh-CN" w:bidi="ar-SA"/>
                      <w14:textFill>
                        <w14:solidFill>
                          <w14:schemeClr w14:val="tx1"/>
                        </w14:solidFill>
                      </w14:textFill>
                    </w:rPr>
                  </w:pPr>
                </w:p>
              </w:tc>
              <w:tc>
                <w:tcPr>
                  <w:tcW w:w="832" w:type="pct"/>
                  <w:noWrap w:val="0"/>
                  <w:vAlign w:val="center"/>
                </w:tcPr>
                <w:p w14:paraId="75C68D38">
                  <w:pPr>
                    <w:widowControl/>
                    <w:jc w:val="center"/>
                    <w:textAlignment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NO</w:t>
                  </w:r>
                  <w:r>
                    <w:rPr>
                      <w:rFonts w:hint="eastAsia" w:ascii="Times New Roman" w:hAnsi="Times New Roman" w:eastAsia="宋体" w:cs="Times New Roman"/>
                      <w:color w:val="000000" w:themeColor="text1"/>
                      <w:vertAlign w:val="subscript"/>
                      <w14:textFill>
                        <w14:solidFill>
                          <w14:schemeClr w14:val="tx1"/>
                        </w14:solidFill>
                      </w14:textFill>
                    </w:rPr>
                    <w:t>x</w:t>
                  </w:r>
                </w:p>
              </w:tc>
              <w:tc>
                <w:tcPr>
                  <w:tcW w:w="717" w:type="pct"/>
                  <w:noWrap w:val="0"/>
                  <w:vAlign w:val="center"/>
                </w:tcPr>
                <w:p w14:paraId="173FEA3D">
                  <w:pPr>
                    <w:pStyle w:val="78"/>
                    <w:rPr>
                      <w:rFonts w:hint="eastAsia"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1次/月</w:t>
                  </w:r>
                </w:p>
              </w:tc>
              <w:tc>
                <w:tcPr>
                  <w:tcW w:w="2547" w:type="pct"/>
                  <w:vMerge w:val="continue"/>
                  <w:noWrap w:val="0"/>
                  <w:vAlign w:val="center"/>
                </w:tcPr>
                <w:p w14:paraId="50A907CC">
                  <w:pPr>
                    <w:pStyle w:val="61"/>
                    <w:spacing w:line="240" w:lineRule="auto"/>
                    <w:ind w:firstLine="0"/>
                    <w:rPr>
                      <w:rFonts w:hint="eastAsia"/>
                      <w:b w:val="0"/>
                      <w:color w:val="000000" w:themeColor="text1"/>
                      <w14:textFill>
                        <w14:solidFill>
                          <w14:schemeClr w14:val="tx1"/>
                        </w14:solidFill>
                      </w14:textFill>
                    </w:rPr>
                  </w:pPr>
                </w:p>
              </w:tc>
            </w:tr>
            <w:tr w14:paraId="66A6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jc w:val="center"/>
              </w:trPr>
              <w:tc>
                <w:tcPr>
                  <w:tcW w:w="338" w:type="pct"/>
                  <w:vMerge w:val="continue"/>
                  <w:noWrap w:val="0"/>
                  <w:vAlign w:val="center"/>
                </w:tcPr>
                <w:p w14:paraId="1184EC91">
                  <w:pPr>
                    <w:pStyle w:val="61"/>
                    <w:spacing w:line="240" w:lineRule="auto"/>
                    <w:ind w:firstLine="0"/>
                    <w:rPr>
                      <w:b w:val="0"/>
                      <w:color w:val="000000" w:themeColor="text1"/>
                      <w14:textFill>
                        <w14:solidFill>
                          <w14:schemeClr w14:val="tx1"/>
                        </w14:solidFill>
                      </w14:textFill>
                    </w:rPr>
                  </w:pPr>
                </w:p>
              </w:tc>
              <w:tc>
                <w:tcPr>
                  <w:tcW w:w="563" w:type="pct"/>
                  <w:vMerge w:val="continue"/>
                  <w:noWrap w:val="0"/>
                  <w:vAlign w:val="center"/>
                </w:tcPr>
                <w:p w14:paraId="757FD483">
                  <w:pPr>
                    <w:pStyle w:val="61"/>
                    <w:spacing w:line="240" w:lineRule="auto"/>
                    <w:ind w:firstLine="0"/>
                    <w:rPr>
                      <w:rFonts w:hint="eastAsia" w:ascii="Times New Roman" w:hAnsi="Times New Roman" w:eastAsia="宋体" w:cs="Times New Roman"/>
                      <w:b w:val="0"/>
                      <w:color w:val="000000" w:themeColor="text1"/>
                      <w:kern w:val="2"/>
                      <w:sz w:val="20"/>
                      <w:szCs w:val="20"/>
                      <w:lang w:val="en-US" w:eastAsia="zh-CN" w:bidi="ar-SA"/>
                      <w14:textFill>
                        <w14:solidFill>
                          <w14:schemeClr w14:val="tx1"/>
                        </w14:solidFill>
                      </w14:textFill>
                    </w:rPr>
                  </w:pPr>
                </w:p>
              </w:tc>
              <w:tc>
                <w:tcPr>
                  <w:tcW w:w="832" w:type="pct"/>
                  <w:noWrap w:val="0"/>
                  <w:vAlign w:val="center"/>
                </w:tcPr>
                <w:p w14:paraId="44DFCDDF">
                  <w:pPr>
                    <w:widowControl/>
                    <w:jc w:val="center"/>
                    <w:textAlignment w:val="center"/>
                    <w:rPr>
                      <w:rFonts w:ascii="Times New Roman" w:hAnsi="Times New Roman" w:eastAsia="宋体" w:cs="Times New Roman"/>
                      <w:b/>
                      <w:bCs/>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颗粒物</w:t>
                  </w:r>
                </w:p>
              </w:tc>
              <w:tc>
                <w:tcPr>
                  <w:tcW w:w="717" w:type="pct"/>
                  <w:noWrap w:val="0"/>
                  <w:vAlign w:val="center"/>
                </w:tcPr>
                <w:p w14:paraId="41E94A76">
                  <w:pPr>
                    <w:pStyle w:val="78"/>
                    <w:rPr>
                      <w:rFonts w:hint="eastAsia"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1次/月</w:t>
                  </w:r>
                </w:p>
              </w:tc>
              <w:tc>
                <w:tcPr>
                  <w:tcW w:w="2547" w:type="pct"/>
                  <w:vMerge w:val="continue"/>
                  <w:noWrap w:val="0"/>
                  <w:vAlign w:val="center"/>
                </w:tcPr>
                <w:p w14:paraId="386A1D59">
                  <w:pPr>
                    <w:pStyle w:val="61"/>
                    <w:spacing w:line="240" w:lineRule="auto"/>
                    <w:ind w:firstLine="0"/>
                    <w:rPr>
                      <w:b w:val="0"/>
                      <w:color w:val="000000" w:themeColor="text1"/>
                      <w14:textFill>
                        <w14:solidFill>
                          <w14:schemeClr w14:val="tx1"/>
                        </w14:solidFill>
                      </w14:textFill>
                    </w:rPr>
                  </w:pPr>
                </w:p>
              </w:tc>
            </w:tr>
            <w:tr w14:paraId="6CDA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7" w:hRule="atLeast"/>
                <w:jc w:val="center"/>
              </w:trPr>
              <w:tc>
                <w:tcPr>
                  <w:tcW w:w="338" w:type="pct"/>
                  <w:vMerge w:val="continue"/>
                  <w:noWrap w:val="0"/>
                  <w:vAlign w:val="center"/>
                </w:tcPr>
                <w:p w14:paraId="2C84E305">
                  <w:pPr>
                    <w:pStyle w:val="61"/>
                    <w:spacing w:line="240" w:lineRule="auto"/>
                    <w:ind w:firstLine="0"/>
                    <w:rPr>
                      <w:b w:val="0"/>
                      <w:color w:val="000000" w:themeColor="text1"/>
                      <w14:textFill>
                        <w14:solidFill>
                          <w14:schemeClr w14:val="tx1"/>
                        </w14:solidFill>
                      </w14:textFill>
                    </w:rPr>
                  </w:pPr>
                </w:p>
              </w:tc>
              <w:tc>
                <w:tcPr>
                  <w:tcW w:w="563" w:type="pct"/>
                  <w:vMerge w:val="continue"/>
                  <w:noWrap w:val="0"/>
                  <w:vAlign w:val="center"/>
                </w:tcPr>
                <w:p w14:paraId="7C26AE22">
                  <w:pPr>
                    <w:pStyle w:val="61"/>
                    <w:spacing w:line="240" w:lineRule="auto"/>
                    <w:ind w:firstLine="0"/>
                    <w:rPr>
                      <w:rFonts w:hint="eastAsia" w:ascii="Times New Roman" w:hAnsi="Times New Roman" w:eastAsia="宋体" w:cs="Times New Roman"/>
                      <w:b w:val="0"/>
                      <w:color w:val="000000" w:themeColor="text1"/>
                      <w:kern w:val="2"/>
                      <w:sz w:val="20"/>
                      <w:szCs w:val="20"/>
                      <w:lang w:val="en-US" w:eastAsia="zh-CN" w:bidi="ar-SA"/>
                      <w14:textFill>
                        <w14:solidFill>
                          <w14:schemeClr w14:val="tx1"/>
                        </w14:solidFill>
                      </w14:textFill>
                    </w:rPr>
                  </w:pPr>
                </w:p>
              </w:tc>
              <w:tc>
                <w:tcPr>
                  <w:tcW w:w="832" w:type="pct"/>
                  <w:noWrap w:val="0"/>
                  <w:vAlign w:val="center"/>
                </w:tcPr>
                <w:p w14:paraId="0ECFBF75">
                  <w:pPr>
                    <w:widowControl/>
                    <w:jc w:val="center"/>
                    <w:textAlignment w:val="center"/>
                    <w:rPr>
                      <w:rFonts w:hint="eastAsia" w:ascii="Times New Roman" w:hAnsi="Times New Roman" w:eastAsia="宋体" w:cs="Times New Roman"/>
                      <w:b/>
                      <w:bCs/>
                      <w:color w:val="000000" w:themeColor="text1"/>
                      <w:kern w:val="0"/>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CO</w:t>
                  </w:r>
                </w:p>
              </w:tc>
              <w:tc>
                <w:tcPr>
                  <w:tcW w:w="717" w:type="pct"/>
                  <w:noWrap w:val="0"/>
                  <w:vAlign w:val="center"/>
                </w:tcPr>
                <w:p w14:paraId="1C7E8447">
                  <w:pPr>
                    <w:pStyle w:val="78"/>
                    <w:rPr>
                      <w:rFonts w:hint="eastAsia"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1次/年</w:t>
                  </w:r>
                </w:p>
              </w:tc>
              <w:tc>
                <w:tcPr>
                  <w:tcW w:w="2547" w:type="pct"/>
                  <w:vMerge w:val="continue"/>
                  <w:noWrap w:val="0"/>
                  <w:vAlign w:val="center"/>
                </w:tcPr>
                <w:p w14:paraId="0BD68D8B">
                  <w:pPr>
                    <w:pStyle w:val="61"/>
                    <w:spacing w:line="240" w:lineRule="auto"/>
                    <w:ind w:firstLine="0"/>
                    <w:rPr>
                      <w:b w:val="0"/>
                      <w:color w:val="000000" w:themeColor="text1"/>
                      <w14:textFill>
                        <w14:solidFill>
                          <w14:schemeClr w14:val="tx1"/>
                        </w14:solidFill>
                      </w14:textFill>
                    </w:rPr>
                  </w:pPr>
                </w:p>
              </w:tc>
            </w:tr>
            <w:tr w14:paraId="3840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38" w:type="pct"/>
                  <w:vMerge w:val="continue"/>
                  <w:noWrap w:val="0"/>
                  <w:vAlign w:val="center"/>
                </w:tcPr>
                <w:p w14:paraId="01DA2D0F">
                  <w:pPr>
                    <w:pStyle w:val="61"/>
                    <w:spacing w:line="240" w:lineRule="auto"/>
                    <w:ind w:firstLine="0"/>
                    <w:rPr>
                      <w:b w:val="0"/>
                      <w:color w:val="000000" w:themeColor="text1"/>
                      <w14:textFill>
                        <w14:solidFill>
                          <w14:schemeClr w14:val="tx1"/>
                        </w14:solidFill>
                      </w14:textFill>
                    </w:rPr>
                  </w:pPr>
                </w:p>
              </w:tc>
              <w:tc>
                <w:tcPr>
                  <w:tcW w:w="563" w:type="pct"/>
                  <w:vMerge w:val="continue"/>
                  <w:noWrap w:val="0"/>
                  <w:vAlign w:val="center"/>
                </w:tcPr>
                <w:p w14:paraId="644F6A50">
                  <w:pPr>
                    <w:pStyle w:val="61"/>
                    <w:spacing w:line="240" w:lineRule="auto"/>
                    <w:ind w:firstLine="0"/>
                    <w:rPr>
                      <w:rFonts w:hint="eastAsia" w:ascii="Times New Roman" w:hAnsi="Times New Roman" w:eastAsia="宋体" w:cs="Times New Roman"/>
                      <w:b w:val="0"/>
                      <w:color w:val="000000" w:themeColor="text1"/>
                      <w:kern w:val="2"/>
                      <w:sz w:val="20"/>
                      <w:szCs w:val="20"/>
                      <w:lang w:val="en-US" w:eastAsia="zh-CN" w:bidi="ar-SA"/>
                      <w14:textFill>
                        <w14:solidFill>
                          <w14:schemeClr w14:val="tx1"/>
                        </w14:solidFill>
                      </w14:textFill>
                    </w:rPr>
                  </w:pPr>
                </w:p>
              </w:tc>
              <w:tc>
                <w:tcPr>
                  <w:tcW w:w="832" w:type="pct"/>
                  <w:noWrap w:val="0"/>
                  <w:vAlign w:val="center"/>
                </w:tcPr>
                <w:p w14:paraId="30DA974F">
                  <w:pPr>
                    <w:widowControl/>
                    <w:jc w:val="center"/>
                    <w:textAlignment w:val="center"/>
                    <w:rPr>
                      <w:rFonts w:hint="eastAsia" w:ascii="Times New Roman" w:hAnsi="Times New Roman" w:eastAsia="宋体" w:cs="Times New Roman"/>
                      <w:b/>
                      <w:bCs/>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烟气黑度（林格曼黑度）</w:t>
                  </w:r>
                </w:p>
              </w:tc>
              <w:tc>
                <w:tcPr>
                  <w:tcW w:w="717" w:type="pct"/>
                  <w:noWrap w:val="0"/>
                  <w:vAlign w:val="center"/>
                </w:tcPr>
                <w:p w14:paraId="3F842A13">
                  <w:pPr>
                    <w:pStyle w:val="78"/>
                    <w:rPr>
                      <w:rFonts w:hint="eastAsia" w:eastAsia="宋体"/>
                      <w:color w:val="000000" w:themeColor="text1"/>
                      <w14:textFill>
                        <w14:solidFill>
                          <w14:schemeClr w14:val="tx1"/>
                        </w14:solidFill>
                      </w14:textFill>
                    </w:rPr>
                  </w:pPr>
                  <w:r>
                    <w:rPr>
                      <w:rFonts w:hint="eastAsia" w:eastAsia="宋体"/>
                      <w:color w:val="000000" w:themeColor="text1"/>
                      <w14:textFill>
                        <w14:solidFill>
                          <w14:schemeClr w14:val="tx1"/>
                        </w14:solidFill>
                      </w14:textFill>
                    </w:rPr>
                    <w:t>1次/月</w:t>
                  </w:r>
                </w:p>
              </w:tc>
              <w:tc>
                <w:tcPr>
                  <w:tcW w:w="2547" w:type="pct"/>
                  <w:vMerge w:val="continue"/>
                  <w:noWrap w:val="0"/>
                  <w:vAlign w:val="center"/>
                </w:tcPr>
                <w:p w14:paraId="6A3BF567">
                  <w:pPr>
                    <w:pStyle w:val="61"/>
                    <w:spacing w:line="240" w:lineRule="auto"/>
                    <w:ind w:firstLine="0"/>
                    <w:rPr>
                      <w:b w:val="0"/>
                      <w:color w:val="000000" w:themeColor="text1"/>
                      <w14:textFill>
                        <w14:solidFill>
                          <w14:schemeClr w14:val="tx1"/>
                        </w14:solidFill>
                      </w14:textFill>
                    </w:rPr>
                  </w:pPr>
                </w:p>
              </w:tc>
            </w:tr>
            <w:tr w14:paraId="2092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38" w:type="pct"/>
                  <w:vMerge w:val="restart"/>
                  <w:noWrap w:val="0"/>
                  <w:vAlign w:val="center"/>
                </w:tcPr>
                <w:p w14:paraId="37043CE2">
                  <w:pPr>
                    <w:pStyle w:val="61"/>
                    <w:spacing w:line="240" w:lineRule="auto"/>
                    <w:ind w:firstLine="0"/>
                    <w:rPr>
                      <w:rFonts w:hint="eastAsia"/>
                      <w:b w:val="0"/>
                      <w:color w:val="000000" w:themeColor="text1"/>
                      <w:sz w:val="21"/>
                      <w:szCs w:val="21"/>
                      <w14:textFill>
                        <w14:solidFill>
                          <w14:schemeClr w14:val="tx1"/>
                        </w14:solidFill>
                      </w14:textFill>
                    </w:rPr>
                  </w:pPr>
                  <w:r>
                    <w:rPr>
                      <w:rFonts w:hint="eastAsia"/>
                      <w:b w:val="0"/>
                      <w:color w:val="000000" w:themeColor="text1"/>
                      <w:sz w:val="21"/>
                      <w:szCs w:val="21"/>
                      <w14:textFill>
                        <w14:solidFill>
                          <w14:schemeClr w14:val="tx1"/>
                        </w14:solidFill>
                      </w14:textFill>
                    </w:rPr>
                    <w:t>2</w:t>
                  </w:r>
                </w:p>
              </w:tc>
              <w:tc>
                <w:tcPr>
                  <w:tcW w:w="563" w:type="pct"/>
                  <w:vMerge w:val="restart"/>
                  <w:noWrap w:val="0"/>
                  <w:vAlign w:val="center"/>
                </w:tcPr>
                <w:p w14:paraId="617C8242">
                  <w:pPr>
                    <w:pStyle w:val="61"/>
                    <w:spacing w:line="240" w:lineRule="auto"/>
                    <w:ind w:firstLine="0"/>
                    <w:rPr>
                      <w:rFonts w:hint="default" w:ascii="Times New Roman" w:hAnsi="Times New Roman" w:eastAsia="宋体" w:cs="Times New Roman"/>
                      <w:b w:val="0"/>
                      <w:color w:val="000000" w:themeColor="text1"/>
                      <w:kern w:val="2"/>
                      <w:sz w:val="21"/>
                      <w:szCs w:val="21"/>
                      <w:lang w:val="en-US" w:eastAsia="zh-CN" w:bidi="ar-SA"/>
                      <w14:textFill>
                        <w14:solidFill>
                          <w14:schemeClr w14:val="tx1"/>
                        </w14:solidFill>
                      </w14:textFill>
                    </w:rPr>
                  </w:pPr>
                  <w:r>
                    <w:rPr>
                      <w:rFonts w:hint="eastAsia" w:eastAsia="宋体" w:cs="Times New Roman"/>
                      <w:b w:val="0"/>
                      <w:color w:val="000000" w:themeColor="text1"/>
                      <w:kern w:val="2"/>
                      <w:sz w:val="21"/>
                      <w:szCs w:val="21"/>
                      <w:lang w:val="en-US" w:eastAsia="zh-CN" w:bidi="ar-SA"/>
                      <w14:textFill>
                        <w14:solidFill>
                          <w14:schemeClr w14:val="tx1"/>
                        </w14:solidFill>
                      </w14:textFill>
                    </w:rPr>
                    <w:t>污水站周边</w:t>
                  </w:r>
                </w:p>
              </w:tc>
              <w:tc>
                <w:tcPr>
                  <w:tcW w:w="832" w:type="pct"/>
                  <w:noWrap w:val="0"/>
                  <w:vAlign w:val="center"/>
                </w:tcPr>
                <w:p w14:paraId="3099EDE6">
                  <w:pPr>
                    <w:widowControl/>
                    <w:jc w:val="center"/>
                    <w:textAlignment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臭气浓度</w:t>
                  </w:r>
                </w:p>
              </w:tc>
              <w:tc>
                <w:tcPr>
                  <w:tcW w:w="717" w:type="pct"/>
                  <w:vMerge w:val="restart"/>
                  <w:noWrap w:val="0"/>
                  <w:vAlign w:val="center"/>
                </w:tcPr>
                <w:p w14:paraId="2AD0ACBA">
                  <w:pPr>
                    <w:pStyle w:val="78"/>
                    <w:rPr>
                      <w:rFonts w:hint="default" w:eastAsia="宋体"/>
                      <w:color w:val="000000" w:themeColor="text1"/>
                      <w:sz w:val="21"/>
                      <w:szCs w:val="21"/>
                      <w:lang w:val="en-US" w:eastAsia="zh-CN"/>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半年/次</w:t>
                  </w:r>
                </w:p>
              </w:tc>
              <w:tc>
                <w:tcPr>
                  <w:tcW w:w="2547" w:type="pct"/>
                  <w:vMerge w:val="restart"/>
                  <w:noWrap w:val="0"/>
                  <w:vAlign w:val="center"/>
                </w:tcPr>
                <w:p w14:paraId="3F59C2B1">
                  <w:pPr>
                    <w:widowControl/>
                    <w:textAlignment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执行《恶臭污染物排放标准》（</w:t>
                  </w:r>
                  <w:r>
                    <w:rPr>
                      <w:rFonts w:ascii="Times New Roman" w:hAnsi="Times New Roman" w:eastAsia="宋体" w:cs="Times New Roman"/>
                      <w:color w:val="000000" w:themeColor="text1"/>
                      <w:sz w:val="21"/>
                      <w:szCs w:val="21"/>
                      <w14:textFill>
                        <w14:solidFill>
                          <w14:schemeClr w14:val="tx1"/>
                        </w14:solidFill>
                      </w14:textFill>
                    </w:rPr>
                    <w:t>GB14554-93</w:t>
                  </w:r>
                  <w:r>
                    <w:rPr>
                      <w:rFonts w:hint="eastAsia" w:ascii="Times New Roman" w:hAnsi="Times New Roman" w:eastAsia="宋体" w:cs="Times New Roman"/>
                      <w:color w:val="000000" w:themeColor="text1"/>
                      <w:sz w:val="21"/>
                      <w:szCs w:val="21"/>
                      <w14:textFill>
                        <w14:solidFill>
                          <w14:schemeClr w14:val="tx1"/>
                        </w14:solidFill>
                      </w14:textFill>
                    </w:rPr>
                    <w:t>）表</w:t>
                  </w:r>
                  <w:r>
                    <w:rPr>
                      <w:rFonts w:ascii="Times New Roman" w:hAnsi="Times New Roman" w:eastAsia="宋体" w:cs="Times New Roman"/>
                      <w:color w:val="000000" w:themeColor="text1"/>
                      <w:sz w:val="21"/>
                      <w:szCs w:val="21"/>
                      <w14:textFill>
                        <w14:solidFill>
                          <w14:schemeClr w14:val="tx1"/>
                        </w14:solidFill>
                      </w14:textFill>
                    </w:rPr>
                    <w:t>1</w:t>
                  </w:r>
                  <w:r>
                    <w:rPr>
                      <w:rFonts w:hint="eastAsia" w:ascii="Times New Roman" w:hAnsi="Times New Roman" w:eastAsia="宋体" w:cs="Times New Roman"/>
                      <w:color w:val="000000" w:themeColor="text1"/>
                      <w:sz w:val="21"/>
                      <w:szCs w:val="21"/>
                      <w14:textFill>
                        <w14:solidFill>
                          <w14:schemeClr w14:val="tx1"/>
                        </w14:solidFill>
                      </w14:textFill>
                    </w:rPr>
                    <w:t>恶臭污染物厂界标准值新改扩建二级标准</w:t>
                  </w:r>
                </w:p>
              </w:tc>
            </w:tr>
            <w:tr w14:paraId="3773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38" w:type="pct"/>
                  <w:vMerge w:val="continue"/>
                  <w:noWrap w:val="0"/>
                  <w:vAlign w:val="center"/>
                </w:tcPr>
                <w:p w14:paraId="2EBFBDB6">
                  <w:pPr>
                    <w:pStyle w:val="61"/>
                    <w:spacing w:line="240" w:lineRule="auto"/>
                    <w:ind w:firstLine="0"/>
                    <w:rPr>
                      <w:rFonts w:hint="eastAsia"/>
                      <w:b w:val="0"/>
                      <w:color w:val="000000" w:themeColor="text1"/>
                      <w:sz w:val="21"/>
                      <w:szCs w:val="21"/>
                      <w14:textFill>
                        <w14:solidFill>
                          <w14:schemeClr w14:val="tx1"/>
                        </w14:solidFill>
                      </w14:textFill>
                    </w:rPr>
                  </w:pPr>
                </w:p>
              </w:tc>
              <w:tc>
                <w:tcPr>
                  <w:tcW w:w="563" w:type="pct"/>
                  <w:vMerge w:val="continue"/>
                  <w:noWrap w:val="0"/>
                  <w:vAlign w:val="center"/>
                </w:tcPr>
                <w:p w14:paraId="4682E6D3">
                  <w:pPr>
                    <w:pStyle w:val="61"/>
                    <w:spacing w:line="240" w:lineRule="auto"/>
                    <w:ind w:firstLine="0"/>
                    <w:rPr>
                      <w:rFonts w:hint="eastAsia"/>
                      <w:b w:val="0"/>
                      <w:color w:val="000000" w:themeColor="text1"/>
                      <w:sz w:val="21"/>
                      <w:szCs w:val="21"/>
                      <w14:textFill>
                        <w14:solidFill>
                          <w14:schemeClr w14:val="tx1"/>
                        </w14:solidFill>
                      </w14:textFill>
                    </w:rPr>
                  </w:pPr>
                </w:p>
              </w:tc>
              <w:tc>
                <w:tcPr>
                  <w:tcW w:w="832" w:type="pct"/>
                  <w:noWrap w:val="0"/>
                  <w:vAlign w:val="center"/>
                </w:tcPr>
                <w:p w14:paraId="7A2A4A48">
                  <w:pPr>
                    <w:pStyle w:val="78"/>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氨</w:t>
                  </w:r>
                </w:p>
              </w:tc>
              <w:tc>
                <w:tcPr>
                  <w:tcW w:w="717" w:type="pct"/>
                  <w:vMerge w:val="continue"/>
                  <w:noWrap w:val="0"/>
                  <w:vAlign w:val="center"/>
                </w:tcPr>
                <w:p w14:paraId="6382949C">
                  <w:pPr>
                    <w:pStyle w:val="78"/>
                    <w:rPr>
                      <w:rFonts w:hint="default" w:eastAsia="宋体"/>
                      <w:color w:val="000000" w:themeColor="text1"/>
                      <w:sz w:val="21"/>
                      <w:szCs w:val="21"/>
                      <w:lang w:val="en-US" w:eastAsia="zh-CN"/>
                      <w14:textFill>
                        <w14:solidFill>
                          <w14:schemeClr w14:val="tx1"/>
                        </w14:solidFill>
                      </w14:textFill>
                    </w:rPr>
                  </w:pPr>
                </w:p>
              </w:tc>
              <w:tc>
                <w:tcPr>
                  <w:tcW w:w="2547" w:type="pct"/>
                  <w:vMerge w:val="continue"/>
                  <w:noWrap w:val="0"/>
                  <w:vAlign w:val="center"/>
                </w:tcPr>
                <w:p w14:paraId="612BCB3C">
                  <w:pPr>
                    <w:widowControl/>
                    <w:textAlignment w:val="center"/>
                    <w:rPr>
                      <w:rFonts w:hint="eastAsia" w:ascii="Times New Roman" w:hAnsi="Times New Roman" w:eastAsia="宋体" w:cs="Times New Roman"/>
                      <w:color w:val="000000" w:themeColor="text1"/>
                      <w:sz w:val="21"/>
                      <w:szCs w:val="21"/>
                      <w14:textFill>
                        <w14:solidFill>
                          <w14:schemeClr w14:val="tx1"/>
                        </w14:solidFill>
                      </w14:textFill>
                    </w:rPr>
                  </w:pPr>
                </w:p>
              </w:tc>
            </w:tr>
            <w:tr w14:paraId="0E47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38" w:type="pct"/>
                  <w:vMerge w:val="continue"/>
                  <w:noWrap w:val="0"/>
                  <w:vAlign w:val="center"/>
                </w:tcPr>
                <w:p w14:paraId="67B4C137">
                  <w:pPr>
                    <w:pStyle w:val="61"/>
                    <w:spacing w:line="240" w:lineRule="auto"/>
                    <w:ind w:firstLine="0"/>
                    <w:rPr>
                      <w:rFonts w:hint="eastAsia"/>
                      <w:b w:val="0"/>
                      <w:color w:val="000000" w:themeColor="text1"/>
                      <w:sz w:val="21"/>
                      <w:szCs w:val="21"/>
                      <w14:textFill>
                        <w14:solidFill>
                          <w14:schemeClr w14:val="tx1"/>
                        </w14:solidFill>
                      </w14:textFill>
                    </w:rPr>
                  </w:pPr>
                </w:p>
              </w:tc>
              <w:tc>
                <w:tcPr>
                  <w:tcW w:w="563" w:type="pct"/>
                  <w:vMerge w:val="continue"/>
                  <w:noWrap w:val="0"/>
                  <w:vAlign w:val="center"/>
                </w:tcPr>
                <w:p w14:paraId="456F3F72">
                  <w:pPr>
                    <w:pStyle w:val="61"/>
                    <w:spacing w:line="240" w:lineRule="auto"/>
                    <w:ind w:firstLine="0"/>
                    <w:rPr>
                      <w:rFonts w:hint="eastAsia"/>
                      <w:b w:val="0"/>
                      <w:color w:val="000000" w:themeColor="text1"/>
                      <w:sz w:val="21"/>
                      <w:szCs w:val="21"/>
                      <w14:textFill>
                        <w14:solidFill>
                          <w14:schemeClr w14:val="tx1"/>
                        </w14:solidFill>
                      </w14:textFill>
                    </w:rPr>
                  </w:pPr>
                </w:p>
              </w:tc>
              <w:tc>
                <w:tcPr>
                  <w:tcW w:w="832" w:type="pct"/>
                  <w:noWrap w:val="0"/>
                  <w:vAlign w:val="center"/>
                </w:tcPr>
                <w:p w14:paraId="117D8071">
                  <w:pPr>
                    <w:pStyle w:val="78"/>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硫化氢</w:t>
                  </w:r>
                </w:p>
              </w:tc>
              <w:tc>
                <w:tcPr>
                  <w:tcW w:w="717" w:type="pct"/>
                  <w:vMerge w:val="continue"/>
                  <w:noWrap w:val="0"/>
                  <w:vAlign w:val="center"/>
                </w:tcPr>
                <w:p w14:paraId="34717FB9">
                  <w:pPr>
                    <w:pStyle w:val="78"/>
                    <w:rPr>
                      <w:rFonts w:hint="eastAsia" w:eastAsia="宋体"/>
                      <w:color w:val="000000" w:themeColor="text1"/>
                      <w:sz w:val="21"/>
                      <w:szCs w:val="21"/>
                      <w14:textFill>
                        <w14:solidFill>
                          <w14:schemeClr w14:val="tx1"/>
                        </w14:solidFill>
                      </w14:textFill>
                    </w:rPr>
                  </w:pPr>
                </w:p>
              </w:tc>
              <w:tc>
                <w:tcPr>
                  <w:tcW w:w="2547" w:type="pct"/>
                  <w:vMerge w:val="continue"/>
                  <w:noWrap w:val="0"/>
                  <w:vAlign w:val="center"/>
                </w:tcPr>
                <w:p w14:paraId="4B109D54">
                  <w:pPr>
                    <w:widowControl/>
                    <w:textAlignment w:val="center"/>
                    <w:rPr>
                      <w:rFonts w:hint="eastAsia" w:ascii="Times New Roman" w:hAnsi="Times New Roman" w:eastAsia="宋体" w:cs="Times New Roman"/>
                      <w:color w:val="000000" w:themeColor="text1"/>
                      <w:sz w:val="21"/>
                      <w:szCs w:val="21"/>
                      <w14:textFill>
                        <w14:solidFill>
                          <w14:schemeClr w14:val="tx1"/>
                        </w14:solidFill>
                      </w14:textFill>
                    </w:rPr>
                  </w:pPr>
                </w:p>
              </w:tc>
            </w:tr>
            <w:tr w14:paraId="494C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38" w:type="pct"/>
                  <w:noWrap w:val="0"/>
                  <w:vAlign w:val="center"/>
                </w:tcPr>
                <w:p w14:paraId="168FA4F0">
                  <w:pPr>
                    <w:pStyle w:val="61"/>
                    <w:spacing w:line="240" w:lineRule="auto"/>
                    <w:ind w:firstLine="0"/>
                    <w:rPr>
                      <w:rFonts w:hint="eastAsia" w:eastAsia="宋体"/>
                      <w:b w:val="0"/>
                      <w:color w:val="000000" w:themeColor="text1"/>
                      <w:sz w:val="21"/>
                      <w:szCs w:val="21"/>
                      <w:lang w:val="en-US" w:eastAsia="zh-CN"/>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3</w:t>
                  </w:r>
                </w:p>
              </w:tc>
              <w:tc>
                <w:tcPr>
                  <w:tcW w:w="563" w:type="pct"/>
                  <w:noWrap w:val="0"/>
                  <w:vAlign w:val="center"/>
                </w:tcPr>
                <w:p w14:paraId="63D41176">
                  <w:pPr>
                    <w:pStyle w:val="61"/>
                    <w:spacing w:line="240" w:lineRule="auto"/>
                    <w:ind w:firstLine="0"/>
                    <w:rPr>
                      <w:rFonts w:hint="eastAsia" w:eastAsia="宋体"/>
                      <w:b w:val="0"/>
                      <w:color w:val="000000" w:themeColor="text1"/>
                      <w:sz w:val="21"/>
                      <w:szCs w:val="21"/>
                      <w:lang w:val="en-US" w:eastAsia="zh-CN"/>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厂界</w:t>
                  </w:r>
                </w:p>
              </w:tc>
              <w:tc>
                <w:tcPr>
                  <w:tcW w:w="832" w:type="pct"/>
                  <w:noWrap w:val="0"/>
                  <w:vAlign w:val="center"/>
                </w:tcPr>
                <w:p w14:paraId="1D6670F6">
                  <w:pPr>
                    <w:widowControl/>
                    <w:jc w:val="center"/>
                    <w:textAlignment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颗粒物</w:t>
                  </w:r>
                </w:p>
              </w:tc>
              <w:tc>
                <w:tcPr>
                  <w:tcW w:w="717" w:type="pct"/>
                  <w:noWrap w:val="0"/>
                  <w:vAlign w:val="center"/>
                </w:tcPr>
                <w:p w14:paraId="29F897FF">
                  <w:pPr>
                    <w:pStyle w:val="78"/>
                    <w:rPr>
                      <w:rFonts w:hint="eastAsia" w:eastAsia="宋体"/>
                      <w:color w:val="000000" w:themeColor="text1"/>
                      <w:sz w:val="21"/>
                      <w:szCs w:val="21"/>
                      <w14:textFill>
                        <w14:solidFill>
                          <w14:schemeClr w14:val="tx1"/>
                        </w14:solidFill>
                      </w14:textFill>
                    </w:rPr>
                  </w:pPr>
                  <w:r>
                    <w:rPr>
                      <w:rFonts w:hint="eastAsia" w:eastAsia="宋体"/>
                      <w:color w:val="000000" w:themeColor="text1"/>
                      <w:sz w:val="21"/>
                      <w:szCs w:val="21"/>
                      <w:lang w:val="en-US" w:eastAsia="zh-CN"/>
                      <w14:textFill>
                        <w14:solidFill>
                          <w14:schemeClr w14:val="tx1"/>
                        </w14:solidFill>
                      </w14:textFill>
                    </w:rPr>
                    <w:t>1次/季</w:t>
                  </w:r>
                </w:p>
              </w:tc>
              <w:tc>
                <w:tcPr>
                  <w:tcW w:w="2547" w:type="pct"/>
                  <w:noWrap w:val="0"/>
                  <w:vAlign w:val="center"/>
                </w:tcPr>
                <w:p w14:paraId="7F432A95">
                  <w:pPr>
                    <w:widowControl/>
                    <w:textAlignment w:val="center"/>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执行广东省《大气污染物排放限值》（DB44/27</w:t>
                  </w:r>
                  <w:r>
                    <w:rPr>
                      <w:rFonts w:hint="eastAsia" w:ascii="Times New Roman" w:hAnsi="Times New Roman" w:eastAsia="宋体" w:cs="Times New Roman"/>
                      <w:color w:val="000000" w:themeColor="text1"/>
                      <w:sz w:val="21"/>
                      <w:szCs w:val="21"/>
                      <w14:textFill>
                        <w14:solidFill>
                          <w14:schemeClr w14:val="tx1"/>
                        </w14:solidFill>
                      </w14:textFill>
                    </w:rPr>
                    <w:noBreakHyphen/>
                  </w:r>
                  <w:r>
                    <w:rPr>
                      <w:rFonts w:hint="eastAsia" w:ascii="Times New Roman" w:hAnsi="Times New Roman" w:eastAsia="宋体" w:cs="Times New Roman"/>
                      <w:color w:val="000000" w:themeColor="text1"/>
                      <w:sz w:val="21"/>
                      <w:szCs w:val="21"/>
                      <w14:textFill>
                        <w14:solidFill>
                          <w14:schemeClr w14:val="tx1"/>
                        </w14:solidFill>
                      </w14:textFill>
                    </w:rPr>
                    <w:t>2001）第二时段无组织排放监控浓度限值（周界外浓度最高点≤1.0mg/m³）</w:t>
                  </w:r>
                </w:p>
              </w:tc>
            </w:tr>
          </w:tbl>
          <w:p w14:paraId="7FB84DB0">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2、废水</w:t>
            </w:r>
          </w:p>
          <w:p w14:paraId="595E6668">
            <w:p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kern w:val="0"/>
                <w:sz w:val="24"/>
                <w14:textFill>
                  <w14:solidFill>
                    <w14:schemeClr w14:val="tx1"/>
                  </w14:solidFill>
                </w14:textFill>
              </w:rPr>
              <w:t>2.</w:t>
            </w:r>
            <w:r>
              <w:rPr>
                <w:rFonts w:ascii="Times New Roman" w:hAnsi="Times New Roman" w:eastAsia="宋体" w:cs="Times New Roman"/>
                <w:b/>
                <w:bCs/>
                <w:color w:val="000000" w:themeColor="text1"/>
                <w:kern w:val="0"/>
                <w:sz w:val="24"/>
                <w14:textFill>
                  <w14:solidFill>
                    <w14:schemeClr w14:val="tx1"/>
                  </w14:solidFill>
                </w14:textFill>
              </w:rPr>
              <w:t>1</w:t>
            </w:r>
            <w:r>
              <w:rPr>
                <w:rFonts w:ascii="Times New Roman" w:hAnsi="Times New Roman" w:eastAsia="宋体" w:cs="Times New Roman"/>
                <w:b/>
                <w:bCs/>
                <w:color w:val="000000" w:themeColor="text1"/>
                <w:sz w:val="24"/>
                <w14:textFill>
                  <w14:solidFill>
                    <w14:schemeClr w14:val="tx1"/>
                  </w14:solidFill>
                </w14:textFill>
              </w:rPr>
              <w:t>污染源源强核算</w:t>
            </w:r>
          </w:p>
          <w:p w14:paraId="767C92ED">
            <w:pPr>
              <w:spacing w:before="48" w:beforeLines="20" w:line="480" w:lineRule="exact"/>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sz w:val="24"/>
                <w14:textFill>
                  <w14:solidFill>
                    <w14:schemeClr w14:val="tx1"/>
                  </w14:solidFill>
                </w14:textFill>
              </w:rPr>
              <w:t>项目废水污染源源强核算结果及相关参数见下表。</w:t>
            </w:r>
          </w:p>
          <w:p w14:paraId="78E7FA4D">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表4-8项目废水污染源源强核算结果及相关参数一览表</w:t>
            </w:r>
          </w:p>
          <w:tbl>
            <w:tblPr>
              <w:tblStyle w:val="32"/>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345"/>
              <w:gridCol w:w="497"/>
              <w:gridCol w:w="540"/>
              <w:gridCol w:w="637"/>
              <w:gridCol w:w="389"/>
              <w:gridCol w:w="554"/>
              <w:gridCol w:w="554"/>
              <w:gridCol w:w="648"/>
              <w:gridCol w:w="930"/>
              <w:gridCol w:w="418"/>
              <w:gridCol w:w="336"/>
              <w:gridCol w:w="578"/>
              <w:gridCol w:w="509"/>
              <w:gridCol w:w="600"/>
              <w:gridCol w:w="461"/>
            </w:tblGrid>
            <w:tr w14:paraId="72009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16" w:type="pct"/>
                  <w:vMerge w:val="restart"/>
                  <w:noWrap w:val="0"/>
                  <w:vAlign w:val="center"/>
                </w:tcPr>
                <w:p w14:paraId="3BC68ABF">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工序/生产线</w:t>
                  </w:r>
                </w:p>
              </w:tc>
              <w:tc>
                <w:tcPr>
                  <w:tcW w:w="311" w:type="pct"/>
                  <w:vMerge w:val="restart"/>
                  <w:noWrap w:val="0"/>
                  <w:vAlign w:val="center"/>
                </w:tcPr>
                <w:p w14:paraId="5D041987">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装置</w:t>
                  </w:r>
                </w:p>
              </w:tc>
              <w:tc>
                <w:tcPr>
                  <w:tcW w:w="338" w:type="pct"/>
                  <w:vMerge w:val="restart"/>
                  <w:noWrap w:val="0"/>
                  <w:vAlign w:val="center"/>
                </w:tcPr>
                <w:p w14:paraId="38788C29">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污染源</w:t>
                  </w:r>
                </w:p>
              </w:tc>
              <w:tc>
                <w:tcPr>
                  <w:tcW w:w="398" w:type="pct"/>
                  <w:vMerge w:val="restart"/>
                  <w:noWrap w:val="0"/>
                  <w:vAlign w:val="center"/>
                </w:tcPr>
                <w:p w14:paraId="30AF07F1">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污染物</w:t>
                  </w:r>
                </w:p>
              </w:tc>
              <w:tc>
                <w:tcPr>
                  <w:tcW w:w="1340" w:type="pct"/>
                  <w:gridSpan w:val="4"/>
                  <w:noWrap w:val="0"/>
                  <w:vAlign w:val="center"/>
                </w:tcPr>
                <w:p w14:paraId="69A0BB42">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污染物产生</w:t>
                  </w:r>
                </w:p>
              </w:tc>
              <w:tc>
                <w:tcPr>
                  <w:tcW w:w="842" w:type="pct"/>
                  <w:gridSpan w:val="2"/>
                  <w:noWrap w:val="0"/>
                  <w:vAlign w:val="center"/>
                </w:tcPr>
                <w:p w14:paraId="7372BD60">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治理措施</w:t>
                  </w:r>
                </w:p>
              </w:tc>
              <w:tc>
                <w:tcPr>
                  <w:tcW w:w="1264" w:type="pct"/>
                  <w:gridSpan w:val="4"/>
                  <w:noWrap w:val="0"/>
                  <w:vAlign w:val="center"/>
                </w:tcPr>
                <w:p w14:paraId="79244831">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污染物排放</w:t>
                  </w:r>
                </w:p>
              </w:tc>
              <w:tc>
                <w:tcPr>
                  <w:tcW w:w="288" w:type="pct"/>
                  <w:vMerge w:val="restart"/>
                  <w:noWrap w:val="0"/>
                  <w:vAlign w:val="center"/>
                </w:tcPr>
                <w:p w14:paraId="3A3AED59">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排放时间h</w:t>
                  </w:r>
                </w:p>
              </w:tc>
            </w:tr>
            <w:tr w14:paraId="369907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16" w:type="pct"/>
                  <w:vMerge w:val="continue"/>
                  <w:noWrap w:val="0"/>
                  <w:vAlign w:val="center"/>
                </w:tcPr>
                <w:p w14:paraId="17A20395">
                  <w:pPr>
                    <w:jc w:val="center"/>
                    <w:rPr>
                      <w:rFonts w:ascii="Times New Roman" w:hAnsi="Times New Roman" w:eastAsia="宋体" w:cs="Times New Roman"/>
                      <w:b/>
                      <w:bCs/>
                      <w:color w:val="000000" w:themeColor="text1"/>
                      <w:szCs w:val="21"/>
                      <w14:textFill>
                        <w14:solidFill>
                          <w14:schemeClr w14:val="tx1"/>
                        </w14:solidFill>
                      </w14:textFill>
                    </w:rPr>
                  </w:pPr>
                </w:p>
              </w:tc>
              <w:tc>
                <w:tcPr>
                  <w:tcW w:w="311" w:type="pct"/>
                  <w:vMerge w:val="continue"/>
                  <w:noWrap w:val="0"/>
                  <w:vAlign w:val="center"/>
                </w:tcPr>
                <w:p w14:paraId="5940E396">
                  <w:pPr>
                    <w:jc w:val="center"/>
                    <w:rPr>
                      <w:rFonts w:ascii="Times New Roman" w:hAnsi="Times New Roman" w:eastAsia="宋体" w:cs="Times New Roman"/>
                      <w:b/>
                      <w:bCs/>
                      <w:color w:val="000000" w:themeColor="text1"/>
                      <w:szCs w:val="21"/>
                      <w14:textFill>
                        <w14:solidFill>
                          <w14:schemeClr w14:val="tx1"/>
                        </w14:solidFill>
                      </w14:textFill>
                    </w:rPr>
                  </w:pPr>
                </w:p>
              </w:tc>
              <w:tc>
                <w:tcPr>
                  <w:tcW w:w="338" w:type="pct"/>
                  <w:vMerge w:val="continue"/>
                  <w:noWrap w:val="0"/>
                  <w:vAlign w:val="center"/>
                </w:tcPr>
                <w:p w14:paraId="003CE34B">
                  <w:pPr>
                    <w:jc w:val="center"/>
                    <w:rPr>
                      <w:rFonts w:ascii="Times New Roman" w:hAnsi="Times New Roman" w:eastAsia="宋体" w:cs="Times New Roman"/>
                      <w:b/>
                      <w:bCs/>
                      <w:color w:val="000000" w:themeColor="text1"/>
                      <w:szCs w:val="21"/>
                      <w14:textFill>
                        <w14:solidFill>
                          <w14:schemeClr w14:val="tx1"/>
                        </w14:solidFill>
                      </w14:textFill>
                    </w:rPr>
                  </w:pPr>
                </w:p>
              </w:tc>
              <w:tc>
                <w:tcPr>
                  <w:tcW w:w="398" w:type="pct"/>
                  <w:vMerge w:val="continue"/>
                  <w:noWrap w:val="0"/>
                  <w:vAlign w:val="center"/>
                </w:tcPr>
                <w:p w14:paraId="1E15C3CF">
                  <w:pPr>
                    <w:jc w:val="center"/>
                    <w:rPr>
                      <w:rFonts w:ascii="Times New Roman" w:hAnsi="Times New Roman" w:eastAsia="宋体" w:cs="Times New Roman"/>
                      <w:b/>
                      <w:bCs/>
                      <w:color w:val="000000" w:themeColor="text1"/>
                      <w:szCs w:val="21"/>
                      <w14:textFill>
                        <w14:solidFill>
                          <w14:schemeClr w14:val="tx1"/>
                        </w14:solidFill>
                      </w14:textFill>
                    </w:rPr>
                  </w:pPr>
                </w:p>
              </w:tc>
              <w:tc>
                <w:tcPr>
                  <w:tcW w:w="243" w:type="pct"/>
                  <w:noWrap w:val="0"/>
                  <w:vAlign w:val="center"/>
                </w:tcPr>
                <w:p w14:paraId="6C90EBD2">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核算方法</w:t>
                  </w:r>
                </w:p>
              </w:tc>
              <w:tc>
                <w:tcPr>
                  <w:tcW w:w="346" w:type="pct"/>
                  <w:noWrap w:val="0"/>
                  <w:vAlign w:val="center"/>
                </w:tcPr>
                <w:p w14:paraId="32657C6B">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产生废水量m</w:t>
                  </w:r>
                  <w:r>
                    <w:rPr>
                      <w:rFonts w:ascii="Times New Roman" w:hAnsi="Times New Roman" w:eastAsia="宋体" w:cs="Times New Roman"/>
                      <w:b/>
                      <w:bCs/>
                      <w:color w:val="000000" w:themeColor="text1"/>
                      <w:szCs w:val="21"/>
                      <w:vertAlign w:val="superscript"/>
                      <w14:textFill>
                        <w14:solidFill>
                          <w14:schemeClr w14:val="tx1"/>
                        </w14:solidFill>
                      </w14:textFill>
                    </w:rPr>
                    <w:t>3</w:t>
                  </w:r>
                  <w:r>
                    <w:rPr>
                      <w:rFonts w:ascii="Times New Roman" w:hAnsi="Times New Roman" w:eastAsia="宋体" w:cs="Times New Roman"/>
                      <w:b/>
                      <w:bCs/>
                      <w:color w:val="000000" w:themeColor="text1"/>
                      <w:szCs w:val="21"/>
                      <w14:textFill>
                        <w14:solidFill>
                          <w14:schemeClr w14:val="tx1"/>
                        </w14:solidFill>
                      </w14:textFill>
                    </w:rPr>
                    <w:t>/a</w:t>
                  </w:r>
                </w:p>
              </w:tc>
              <w:tc>
                <w:tcPr>
                  <w:tcW w:w="346" w:type="pct"/>
                  <w:noWrap w:val="0"/>
                  <w:vAlign w:val="center"/>
                </w:tcPr>
                <w:p w14:paraId="2BAAE0EC">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产生浓度mg/L</w:t>
                  </w:r>
                </w:p>
              </w:tc>
              <w:tc>
                <w:tcPr>
                  <w:tcW w:w="403" w:type="pct"/>
                  <w:noWrap w:val="0"/>
                  <w:vAlign w:val="center"/>
                </w:tcPr>
                <w:p w14:paraId="5571F243">
                  <w:pPr>
                    <w:jc w:val="center"/>
                    <w:rPr>
                      <w:rFonts w:hint="eastAsia" w:ascii="Times New Roman" w:hAnsi="Times New Roman" w:eastAsia="宋体" w:cs="Times New Roman"/>
                      <w:b/>
                      <w:bCs/>
                      <w:color w:val="000000" w:themeColor="text1"/>
                      <w:szCs w:val="21"/>
                      <w:lang w:val="en-US" w:eastAsia="zh-CN"/>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产生量</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t</w:t>
                  </w:r>
                  <w:r>
                    <w:rPr>
                      <w:rFonts w:ascii="Times New Roman" w:hAnsi="Times New Roman" w:eastAsia="宋体" w:cs="Times New Roman"/>
                      <w:b/>
                      <w:bCs/>
                      <w:color w:val="000000" w:themeColor="text1"/>
                      <w:szCs w:val="21"/>
                      <w14:textFill>
                        <w14:solidFill>
                          <w14:schemeClr w14:val="tx1"/>
                        </w14:solidFill>
                      </w14:textFill>
                    </w:rPr>
                    <w:t>/</w:t>
                  </w:r>
                  <w:r>
                    <w:rPr>
                      <w:rFonts w:hint="eastAsia" w:ascii="Times New Roman" w:hAnsi="Times New Roman" w:eastAsia="宋体" w:cs="Times New Roman"/>
                      <w:b/>
                      <w:bCs/>
                      <w:color w:val="000000" w:themeColor="text1"/>
                      <w:szCs w:val="21"/>
                      <w:lang w:val="en-US" w:eastAsia="zh-CN"/>
                      <w14:textFill>
                        <w14:solidFill>
                          <w14:schemeClr w14:val="tx1"/>
                        </w14:solidFill>
                      </w14:textFill>
                    </w:rPr>
                    <w:t>a</w:t>
                  </w:r>
                </w:p>
              </w:tc>
              <w:tc>
                <w:tcPr>
                  <w:tcW w:w="581" w:type="pct"/>
                  <w:noWrap w:val="0"/>
                  <w:vAlign w:val="center"/>
                </w:tcPr>
                <w:p w14:paraId="7A974402">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工艺</w:t>
                  </w:r>
                </w:p>
              </w:tc>
              <w:tc>
                <w:tcPr>
                  <w:tcW w:w="261" w:type="pct"/>
                  <w:noWrap w:val="0"/>
                  <w:vAlign w:val="center"/>
                </w:tcPr>
                <w:p w14:paraId="249F0357">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效率%</w:t>
                  </w:r>
                </w:p>
              </w:tc>
              <w:tc>
                <w:tcPr>
                  <w:tcW w:w="210" w:type="pct"/>
                  <w:noWrap w:val="0"/>
                  <w:vAlign w:val="center"/>
                </w:tcPr>
                <w:p w14:paraId="4919B508">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核算方法</w:t>
                  </w:r>
                </w:p>
              </w:tc>
              <w:tc>
                <w:tcPr>
                  <w:tcW w:w="361" w:type="pct"/>
                  <w:noWrap w:val="0"/>
                  <w:vAlign w:val="center"/>
                </w:tcPr>
                <w:p w14:paraId="6838A3A8">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排放废水量m</w:t>
                  </w:r>
                  <w:r>
                    <w:rPr>
                      <w:rFonts w:ascii="Times New Roman" w:hAnsi="Times New Roman" w:eastAsia="宋体" w:cs="Times New Roman"/>
                      <w:b/>
                      <w:bCs/>
                      <w:color w:val="000000" w:themeColor="text1"/>
                      <w:szCs w:val="21"/>
                      <w:vertAlign w:val="superscript"/>
                      <w14:textFill>
                        <w14:solidFill>
                          <w14:schemeClr w14:val="tx1"/>
                        </w14:solidFill>
                      </w14:textFill>
                    </w:rPr>
                    <w:t>3</w:t>
                  </w:r>
                  <w:r>
                    <w:rPr>
                      <w:rFonts w:ascii="Times New Roman" w:hAnsi="Times New Roman" w:eastAsia="宋体" w:cs="Times New Roman"/>
                      <w:b/>
                      <w:bCs/>
                      <w:color w:val="000000" w:themeColor="text1"/>
                      <w:szCs w:val="21"/>
                      <w14:textFill>
                        <w14:solidFill>
                          <w14:schemeClr w14:val="tx1"/>
                        </w14:solidFill>
                      </w14:textFill>
                    </w:rPr>
                    <w:t>/a</w:t>
                  </w:r>
                </w:p>
              </w:tc>
              <w:tc>
                <w:tcPr>
                  <w:tcW w:w="318" w:type="pct"/>
                  <w:noWrap w:val="0"/>
                  <w:vAlign w:val="center"/>
                </w:tcPr>
                <w:p w14:paraId="442D8909">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排放浓度mg/L</w:t>
                  </w:r>
                </w:p>
              </w:tc>
              <w:tc>
                <w:tcPr>
                  <w:tcW w:w="374" w:type="pct"/>
                  <w:noWrap w:val="0"/>
                  <w:vAlign w:val="center"/>
                </w:tcPr>
                <w:p w14:paraId="367DD2E3">
                  <w:pPr>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排放量</w:t>
                  </w:r>
                  <w:r>
                    <w:rPr>
                      <w:rFonts w:hint="eastAsia" w:ascii="Times New Roman" w:hAnsi="Times New Roman" w:eastAsia="宋体" w:cs="Times New Roman"/>
                      <w:b/>
                      <w:bCs/>
                      <w:color w:val="000000" w:themeColor="text1"/>
                      <w:szCs w:val="21"/>
                      <w14:textFill>
                        <w14:solidFill>
                          <w14:schemeClr w14:val="tx1"/>
                        </w14:solidFill>
                      </w14:textFill>
                    </w:rPr>
                    <w:t>t/a</w:t>
                  </w:r>
                </w:p>
              </w:tc>
              <w:tc>
                <w:tcPr>
                  <w:tcW w:w="288" w:type="pct"/>
                  <w:vMerge w:val="continue"/>
                  <w:noWrap w:val="0"/>
                  <w:vAlign w:val="center"/>
                </w:tcPr>
                <w:p w14:paraId="2B967A42">
                  <w:pPr>
                    <w:jc w:val="center"/>
                    <w:rPr>
                      <w:rFonts w:ascii="Times New Roman" w:hAnsi="Times New Roman" w:eastAsia="宋体" w:cs="Times New Roman"/>
                      <w:color w:val="000000" w:themeColor="text1"/>
                      <w:szCs w:val="21"/>
                      <w14:textFill>
                        <w14:solidFill>
                          <w14:schemeClr w14:val="tx1"/>
                        </w14:solidFill>
                      </w14:textFill>
                    </w:rPr>
                  </w:pPr>
                </w:p>
              </w:tc>
            </w:tr>
            <w:tr w14:paraId="32D7AE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009" w:hRule="atLeast"/>
                <w:jc w:val="center"/>
              </w:trPr>
              <w:tc>
                <w:tcPr>
                  <w:tcW w:w="216" w:type="pct"/>
                  <w:vMerge w:val="restart"/>
                  <w:noWrap w:val="0"/>
                  <w:vAlign w:val="center"/>
                </w:tcPr>
                <w:p w14:paraId="69BC299E">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锅炉</w:t>
                  </w:r>
                </w:p>
              </w:tc>
              <w:tc>
                <w:tcPr>
                  <w:tcW w:w="311" w:type="pct"/>
                  <w:vMerge w:val="restart"/>
                  <w:noWrap w:val="0"/>
                  <w:vAlign w:val="center"/>
                </w:tcPr>
                <w:p w14:paraId="28B00CDD">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锅炉、软水制备系统</w:t>
                  </w:r>
                </w:p>
              </w:tc>
              <w:tc>
                <w:tcPr>
                  <w:tcW w:w="338" w:type="pct"/>
                  <w:vMerge w:val="restart"/>
                  <w:noWrap w:val="0"/>
                  <w:vAlign w:val="center"/>
                </w:tcPr>
                <w:p w14:paraId="427F6F8A">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snapToGrid w:val="0"/>
                      <w:color w:val="000000" w:themeColor="text1"/>
                      <w:kern w:val="0"/>
                      <w:szCs w:val="21"/>
                      <w14:textFill>
                        <w14:solidFill>
                          <w14:schemeClr w14:val="tx1"/>
                        </w14:solidFill>
                      </w14:textFill>
                    </w:rPr>
                    <w:t>锅炉排污水和软化处理废</w:t>
                  </w:r>
                  <w:r>
                    <w:rPr>
                      <w:rFonts w:ascii="Times New Roman" w:hAnsi="Times New Roman" w:eastAsia="宋体" w:cs="Times New Roman"/>
                      <w:bCs/>
                      <w:color w:val="000000" w:themeColor="text1"/>
                      <w:szCs w:val="21"/>
                      <w14:textFill>
                        <w14:solidFill>
                          <w14:schemeClr w14:val="tx1"/>
                        </w14:solidFill>
                      </w14:textFill>
                    </w:rPr>
                    <w:t>水</w:t>
                  </w:r>
                </w:p>
              </w:tc>
              <w:tc>
                <w:tcPr>
                  <w:tcW w:w="398" w:type="pct"/>
                  <w:noWrap w:val="0"/>
                  <w:vAlign w:val="center"/>
                </w:tcPr>
                <w:p w14:paraId="16457CA3">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COD</w:t>
                  </w:r>
                  <w:r>
                    <w:rPr>
                      <w:rFonts w:ascii="Times New Roman" w:hAnsi="Times New Roman" w:eastAsia="宋体" w:cs="Times New Roman"/>
                      <w:color w:val="000000" w:themeColor="text1"/>
                      <w:szCs w:val="21"/>
                      <w:vertAlign w:val="subscript"/>
                      <w14:textFill>
                        <w14:solidFill>
                          <w14:schemeClr w14:val="tx1"/>
                        </w14:solidFill>
                      </w14:textFill>
                    </w:rPr>
                    <w:t>Cr</w:t>
                  </w:r>
                </w:p>
              </w:tc>
              <w:tc>
                <w:tcPr>
                  <w:tcW w:w="243" w:type="pct"/>
                  <w:vMerge w:val="restart"/>
                  <w:noWrap w:val="0"/>
                  <w:vAlign w:val="center"/>
                </w:tcPr>
                <w:p w14:paraId="339DAFAB">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产污系数法</w:t>
                  </w:r>
                </w:p>
              </w:tc>
              <w:tc>
                <w:tcPr>
                  <w:tcW w:w="346" w:type="pct"/>
                  <w:vMerge w:val="restart"/>
                  <w:noWrap w:val="0"/>
                  <w:vAlign w:val="center"/>
                </w:tcPr>
                <w:p w14:paraId="3C7ED366">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385.67</w:t>
                  </w:r>
                </w:p>
              </w:tc>
              <w:tc>
                <w:tcPr>
                  <w:tcW w:w="346" w:type="pct"/>
                  <w:noWrap w:val="0"/>
                  <w:vAlign w:val="center"/>
                </w:tcPr>
                <w:p w14:paraId="4732BD13">
                  <w:pPr>
                    <w:widowControl/>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84.27</w:t>
                  </w:r>
                </w:p>
              </w:tc>
              <w:tc>
                <w:tcPr>
                  <w:tcW w:w="403" w:type="pct"/>
                  <w:noWrap w:val="0"/>
                  <w:vAlign w:val="center"/>
                </w:tcPr>
                <w:p w14:paraId="0635B51C">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0.0325</w:t>
                  </w:r>
                </w:p>
              </w:tc>
              <w:tc>
                <w:tcPr>
                  <w:tcW w:w="581" w:type="pct"/>
                  <w:vMerge w:val="restart"/>
                  <w:noWrap w:val="0"/>
                  <w:vAlign w:val="center"/>
                </w:tcPr>
                <w:p w14:paraId="72D36BF2">
                  <w:pPr>
                    <w:widowControl/>
                    <w:jc w:val="center"/>
                    <w:textAlignment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溶气气浮+A/O一体化</w:t>
                  </w:r>
                </w:p>
              </w:tc>
              <w:tc>
                <w:tcPr>
                  <w:tcW w:w="261" w:type="pct"/>
                  <w:noWrap w:val="0"/>
                  <w:vAlign w:val="center"/>
                </w:tcPr>
                <w:p w14:paraId="010B564A">
                  <w:pPr>
                    <w:widowControl/>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90</w:t>
                  </w:r>
                </w:p>
              </w:tc>
              <w:tc>
                <w:tcPr>
                  <w:tcW w:w="210" w:type="pct"/>
                  <w:vMerge w:val="restart"/>
                  <w:noWrap w:val="0"/>
                  <w:vAlign w:val="center"/>
                </w:tcPr>
                <w:p w14:paraId="3B75BD7A">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物料衡算法</w:t>
                  </w:r>
                </w:p>
              </w:tc>
              <w:tc>
                <w:tcPr>
                  <w:tcW w:w="361" w:type="pct"/>
                  <w:vMerge w:val="restart"/>
                  <w:noWrap w:val="0"/>
                  <w:vAlign w:val="center"/>
                </w:tcPr>
                <w:p w14:paraId="41B4FE9D">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385.67</w:t>
                  </w:r>
                </w:p>
              </w:tc>
              <w:tc>
                <w:tcPr>
                  <w:tcW w:w="318" w:type="pct"/>
                  <w:noWrap w:val="0"/>
                  <w:vAlign w:val="center"/>
                </w:tcPr>
                <w:p w14:paraId="24A5AC56">
                  <w:pPr>
                    <w:widowControl/>
                    <w:jc w:val="center"/>
                    <w:rPr>
                      <w:rFonts w:ascii="Times New Roman" w:hAnsi="Times New Roman" w:eastAsia="宋体" w:cs="Times New Roman"/>
                      <w:bCs/>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8.43</w:t>
                  </w:r>
                </w:p>
              </w:tc>
              <w:tc>
                <w:tcPr>
                  <w:tcW w:w="374" w:type="pct"/>
                  <w:noWrap w:val="0"/>
                  <w:vAlign w:val="center"/>
                </w:tcPr>
                <w:p w14:paraId="26B585F6">
                  <w:pPr>
                    <w:widowControl/>
                    <w:jc w:val="center"/>
                    <w:rPr>
                      <w:rFonts w:ascii="Times New Roman" w:hAnsi="Times New Roman" w:eastAsia="宋体" w:cs="Times New Roman"/>
                      <w:color w:val="000000" w:themeColor="text1"/>
                      <w:kern w:val="0"/>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0.00325</w:t>
                  </w:r>
                </w:p>
              </w:tc>
              <w:tc>
                <w:tcPr>
                  <w:tcW w:w="288" w:type="pct"/>
                  <w:vMerge w:val="restart"/>
                  <w:noWrap w:val="0"/>
                  <w:vAlign w:val="center"/>
                </w:tcPr>
                <w:p w14:paraId="38F7AED0">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2160</w:t>
                  </w:r>
                </w:p>
              </w:tc>
            </w:tr>
            <w:tr w14:paraId="4D5F1B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151D226A">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4111B0B2">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14EB83C1">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043EE75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SS</w:t>
                  </w:r>
                </w:p>
              </w:tc>
              <w:tc>
                <w:tcPr>
                  <w:tcW w:w="243" w:type="pct"/>
                  <w:vMerge w:val="continue"/>
                  <w:noWrap w:val="0"/>
                  <w:vAlign w:val="center"/>
                </w:tcPr>
                <w:p w14:paraId="755D2B0F">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3F2C5A4F">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0077712F">
                  <w:pPr>
                    <w:widowControl/>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200</w:t>
                  </w:r>
                </w:p>
              </w:tc>
              <w:tc>
                <w:tcPr>
                  <w:tcW w:w="403" w:type="pct"/>
                  <w:noWrap w:val="0"/>
                  <w:vAlign w:val="center"/>
                </w:tcPr>
                <w:p w14:paraId="6C1F02F8">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0.077134</w:t>
                  </w:r>
                </w:p>
              </w:tc>
              <w:tc>
                <w:tcPr>
                  <w:tcW w:w="581" w:type="pct"/>
                  <w:vMerge w:val="continue"/>
                  <w:noWrap w:val="0"/>
                  <w:vAlign w:val="center"/>
                </w:tcPr>
                <w:p w14:paraId="03A61A45">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1EACC1D2">
                  <w:pPr>
                    <w:widowControl/>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95</w:t>
                  </w:r>
                </w:p>
              </w:tc>
              <w:tc>
                <w:tcPr>
                  <w:tcW w:w="210" w:type="pct"/>
                  <w:vMerge w:val="continue"/>
                  <w:noWrap w:val="0"/>
                  <w:vAlign w:val="center"/>
                </w:tcPr>
                <w:p w14:paraId="60F105AE">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387B4B30">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25843CDF">
                  <w:pPr>
                    <w:widowControl/>
                    <w:jc w:val="center"/>
                    <w:rPr>
                      <w:rFonts w:ascii="Times New Roman" w:hAnsi="Times New Roman" w:eastAsia="宋体" w:cs="Times New Roman"/>
                      <w:bCs/>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10</w:t>
                  </w:r>
                </w:p>
              </w:tc>
              <w:tc>
                <w:tcPr>
                  <w:tcW w:w="374" w:type="pct"/>
                  <w:tcBorders>
                    <w:bottom w:val="single" w:color="auto" w:sz="4" w:space="0"/>
                  </w:tcBorders>
                  <w:noWrap w:val="0"/>
                  <w:vAlign w:val="center"/>
                </w:tcPr>
                <w:p w14:paraId="074E8182">
                  <w:pPr>
                    <w:widowControl/>
                    <w:jc w:val="center"/>
                    <w:rPr>
                      <w:rFonts w:ascii="Times New Roman" w:hAnsi="Times New Roman" w:eastAsia="宋体" w:cs="Times New Roman"/>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0.00386</w:t>
                  </w:r>
                </w:p>
              </w:tc>
              <w:tc>
                <w:tcPr>
                  <w:tcW w:w="288" w:type="pct"/>
                  <w:vMerge w:val="continue"/>
                  <w:tcBorders>
                    <w:bottom w:val="single" w:color="auto" w:sz="4" w:space="0"/>
                  </w:tcBorders>
                  <w:noWrap w:val="0"/>
                  <w:vAlign w:val="center"/>
                </w:tcPr>
                <w:p w14:paraId="43132219">
                  <w:pPr>
                    <w:jc w:val="center"/>
                    <w:rPr>
                      <w:rFonts w:ascii="Times New Roman" w:hAnsi="Times New Roman" w:eastAsia="宋体" w:cs="Times New Roman"/>
                      <w:color w:val="000000" w:themeColor="text1"/>
                      <w:szCs w:val="21"/>
                      <w14:textFill>
                        <w14:solidFill>
                          <w14:schemeClr w14:val="tx1"/>
                        </w14:solidFill>
                      </w14:textFill>
                    </w:rPr>
                  </w:pPr>
                </w:p>
              </w:tc>
            </w:tr>
            <w:tr w14:paraId="5639F9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restart"/>
                  <w:noWrap w:val="0"/>
                  <w:vAlign w:val="center"/>
                </w:tcPr>
                <w:p w14:paraId="53F45DC8">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洗涤</w:t>
                  </w:r>
                </w:p>
              </w:tc>
              <w:tc>
                <w:tcPr>
                  <w:tcW w:w="311" w:type="pct"/>
                  <w:vMerge w:val="restart"/>
                  <w:noWrap w:val="0"/>
                  <w:vAlign w:val="center"/>
                </w:tcPr>
                <w:p w14:paraId="3B5D9B95">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w:t>
                  </w:r>
                </w:p>
              </w:tc>
              <w:tc>
                <w:tcPr>
                  <w:tcW w:w="338" w:type="pct"/>
                  <w:vMerge w:val="restart"/>
                  <w:noWrap w:val="0"/>
                  <w:vAlign w:val="center"/>
                </w:tcPr>
                <w:p w14:paraId="348615F6">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洗涤废水</w:t>
                  </w:r>
                </w:p>
              </w:tc>
              <w:tc>
                <w:tcPr>
                  <w:tcW w:w="398" w:type="pct"/>
                  <w:noWrap w:val="0"/>
                  <w:vAlign w:val="center"/>
                </w:tcPr>
                <w:p w14:paraId="0F5DE084">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p>
              </w:tc>
              <w:tc>
                <w:tcPr>
                  <w:tcW w:w="243" w:type="pct"/>
                  <w:vMerge w:val="restart"/>
                  <w:noWrap w:val="0"/>
                  <w:vAlign w:val="center"/>
                </w:tcPr>
                <w:p w14:paraId="79D40DD9">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类比法</w:t>
                  </w:r>
                </w:p>
              </w:tc>
              <w:tc>
                <w:tcPr>
                  <w:tcW w:w="346" w:type="pct"/>
                  <w:vMerge w:val="restart"/>
                  <w:noWrap w:val="0"/>
                  <w:vAlign w:val="center"/>
                </w:tcPr>
                <w:p w14:paraId="4095AB26">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31875</w:t>
                  </w:r>
                </w:p>
              </w:tc>
              <w:tc>
                <w:tcPr>
                  <w:tcW w:w="346" w:type="pct"/>
                  <w:noWrap w:val="0"/>
                  <w:vAlign w:val="center"/>
                </w:tcPr>
                <w:p w14:paraId="7DC38125">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2460</w:t>
                  </w:r>
                </w:p>
              </w:tc>
              <w:tc>
                <w:tcPr>
                  <w:tcW w:w="403" w:type="pct"/>
                  <w:noWrap w:val="0"/>
                  <w:vAlign w:val="center"/>
                </w:tcPr>
                <w:p w14:paraId="12CA13C6">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78.412</w:t>
                  </w:r>
                </w:p>
              </w:tc>
              <w:tc>
                <w:tcPr>
                  <w:tcW w:w="581" w:type="pct"/>
                  <w:vMerge w:val="continue"/>
                  <w:noWrap w:val="0"/>
                  <w:vAlign w:val="center"/>
                </w:tcPr>
                <w:p w14:paraId="43F6AE89">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6CC6DE22">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85.93</w:t>
                  </w:r>
                </w:p>
              </w:tc>
              <w:tc>
                <w:tcPr>
                  <w:tcW w:w="210" w:type="pct"/>
                  <w:vMerge w:val="restart"/>
                  <w:noWrap w:val="0"/>
                  <w:vAlign w:val="center"/>
                </w:tcPr>
                <w:p w14:paraId="6A895BFA">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物料衡算法</w:t>
                  </w:r>
                </w:p>
              </w:tc>
              <w:tc>
                <w:tcPr>
                  <w:tcW w:w="361" w:type="pct"/>
                  <w:vMerge w:val="restart"/>
                  <w:noWrap w:val="0"/>
                  <w:vAlign w:val="center"/>
                </w:tcPr>
                <w:p w14:paraId="2E523844">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31875</w:t>
                  </w:r>
                </w:p>
              </w:tc>
              <w:tc>
                <w:tcPr>
                  <w:tcW w:w="318" w:type="pct"/>
                  <w:noWrap w:val="0"/>
                  <w:vAlign w:val="center"/>
                </w:tcPr>
                <w:p w14:paraId="3E4AD417">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346</w:t>
                  </w:r>
                </w:p>
              </w:tc>
              <w:tc>
                <w:tcPr>
                  <w:tcW w:w="374" w:type="pct"/>
                  <w:tcBorders>
                    <w:top w:val="single" w:color="auto" w:sz="4" w:space="0"/>
                  </w:tcBorders>
                  <w:noWrap w:val="0"/>
                  <w:vAlign w:val="center"/>
                </w:tcPr>
                <w:p w14:paraId="23C6C47B">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11.02</w:t>
                  </w:r>
                  <w:r>
                    <w:rPr>
                      <w:rFonts w:hint="eastAsia" w:ascii="Times New Roman" w:hAnsi="Times New Roman" w:eastAsia="宋体" w:cs="Times New Roman"/>
                      <w:color w:val="000000" w:themeColor="text1"/>
                      <w:kern w:val="0"/>
                      <w:szCs w:val="21"/>
                      <w:lang w:bidi="ar"/>
                      <w14:textFill>
                        <w14:solidFill>
                          <w14:schemeClr w14:val="tx1"/>
                        </w14:solidFill>
                      </w14:textFill>
                    </w:rPr>
                    <w:t>9</w:t>
                  </w:r>
                </w:p>
              </w:tc>
              <w:tc>
                <w:tcPr>
                  <w:tcW w:w="288" w:type="pct"/>
                  <w:vMerge w:val="restart"/>
                  <w:tcBorders>
                    <w:top w:val="single" w:color="auto" w:sz="4" w:space="0"/>
                  </w:tcBorders>
                  <w:noWrap w:val="0"/>
                  <w:vAlign w:val="center"/>
                </w:tcPr>
                <w:p w14:paraId="6EA1072F">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2880</w:t>
                  </w:r>
                </w:p>
              </w:tc>
            </w:tr>
            <w:tr w14:paraId="27CC34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4C83DADD">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4B0F59A8">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23C9EC1B">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21B6CA36">
                  <w:pPr>
                    <w:adjustRightInd w:val="0"/>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BOD₅</w:t>
                  </w:r>
                </w:p>
              </w:tc>
              <w:tc>
                <w:tcPr>
                  <w:tcW w:w="243" w:type="pct"/>
                  <w:vMerge w:val="continue"/>
                  <w:noWrap w:val="0"/>
                  <w:vAlign w:val="center"/>
                </w:tcPr>
                <w:p w14:paraId="7D0B219F">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438BC653">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2651E26A">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797</w:t>
                  </w:r>
                </w:p>
              </w:tc>
              <w:tc>
                <w:tcPr>
                  <w:tcW w:w="403" w:type="pct"/>
                  <w:noWrap w:val="0"/>
                  <w:vAlign w:val="center"/>
                </w:tcPr>
                <w:p w14:paraId="42565E62">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25.404</w:t>
                  </w:r>
                </w:p>
              </w:tc>
              <w:tc>
                <w:tcPr>
                  <w:tcW w:w="581" w:type="pct"/>
                  <w:vMerge w:val="continue"/>
                  <w:noWrap w:val="0"/>
                  <w:vAlign w:val="center"/>
                </w:tcPr>
                <w:p w14:paraId="26204BA1">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10096480">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81.93</w:t>
                  </w:r>
                </w:p>
              </w:tc>
              <w:tc>
                <w:tcPr>
                  <w:tcW w:w="210" w:type="pct"/>
                  <w:vMerge w:val="continue"/>
                  <w:noWrap w:val="0"/>
                  <w:vAlign w:val="center"/>
                </w:tcPr>
                <w:p w14:paraId="10503C9E">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4E077B7A">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28545F04">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144</w:t>
                  </w:r>
                </w:p>
              </w:tc>
              <w:tc>
                <w:tcPr>
                  <w:tcW w:w="374" w:type="pct"/>
                  <w:noWrap w:val="0"/>
                  <w:vAlign w:val="center"/>
                </w:tcPr>
                <w:p w14:paraId="37EB6E89">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4.59</w:t>
                  </w:r>
                </w:p>
              </w:tc>
              <w:tc>
                <w:tcPr>
                  <w:tcW w:w="288" w:type="pct"/>
                  <w:vMerge w:val="continue"/>
                  <w:noWrap w:val="0"/>
                  <w:vAlign w:val="center"/>
                </w:tcPr>
                <w:p w14:paraId="6E1FE36C">
                  <w:pPr>
                    <w:jc w:val="center"/>
                    <w:rPr>
                      <w:rFonts w:ascii="Times New Roman" w:hAnsi="Times New Roman" w:eastAsia="宋体" w:cs="Times New Roman"/>
                      <w:color w:val="000000" w:themeColor="text1"/>
                      <w:szCs w:val="21"/>
                      <w14:textFill>
                        <w14:solidFill>
                          <w14:schemeClr w14:val="tx1"/>
                        </w14:solidFill>
                      </w14:textFill>
                    </w:rPr>
                  </w:pPr>
                </w:p>
              </w:tc>
            </w:tr>
            <w:tr w14:paraId="44D4AC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7FE49949">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1554CADA">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1EBCD858">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370D4F9C">
                  <w:pPr>
                    <w:adjustRightInd w:val="0"/>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SS</w:t>
                  </w:r>
                </w:p>
              </w:tc>
              <w:tc>
                <w:tcPr>
                  <w:tcW w:w="243" w:type="pct"/>
                  <w:vMerge w:val="continue"/>
                  <w:noWrap w:val="0"/>
                  <w:vAlign w:val="center"/>
                </w:tcPr>
                <w:p w14:paraId="3445FC73">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7EB3A3C1">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399C6D9C">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870</w:t>
                  </w:r>
                </w:p>
              </w:tc>
              <w:tc>
                <w:tcPr>
                  <w:tcW w:w="403" w:type="pct"/>
                  <w:noWrap w:val="0"/>
                  <w:vAlign w:val="center"/>
                </w:tcPr>
                <w:p w14:paraId="30F09EDA">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27.731</w:t>
                  </w:r>
                </w:p>
              </w:tc>
              <w:tc>
                <w:tcPr>
                  <w:tcW w:w="581" w:type="pct"/>
                  <w:vMerge w:val="continue"/>
                  <w:noWrap w:val="0"/>
                  <w:vAlign w:val="center"/>
                </w:tcPr>
                <w:p w14:paraId="3082E1BE">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5856286E">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89.89</w:t>
                  </w:r>
                </w:p>
              </w:tc>
              <w:tc>
                <w:tcPr>
                  <w:tcW w:w="210" w:type="pct"/>
                  <w:vMerge w:val="continue"/>
                  <w:noWrap w:val="0"/>
                  <w:vAlign w:val="center"/>
                </w:tcPr>
                <w:p w14:paraId="5CD2829C">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40F9FC88">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4B79B962">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88</w:t>
                  </w:r>
                </w:p>
              </w:tc>
              <w:tc>
                <w:tcPr>
                  <w:tcW w:w="374" w:type="pct"/>
                  <w:noWrap w:val="0"/>
                  <w:vAlign w:val="center"/>
                </w:tcPr>
                <w:p w14:paraId="2BC6FD10">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2.805</w:t>
                  </w:r>
                </w:p>
              </w:tc>
              <w:tc>
                <w:tcPr>
                  <w:tcW w:w="288" w:type="pct"/>
                  <w:vMerge w:val="continue"/>
                  <w:noWrap w:val="0"/>
                  <w:vAlign w:val="center"/>
                </w:tcPr>
                <w:p w14:paraId="63144BC0">
                  <w:pPr>
                    <w:jc w:val="center"/>
                    <w:rPr>
                      <w:rFonts w:ascii="Times New Roman" w:hAnsi="Times New Roman" w:eastAsia="宋体" w:cs="Times New Roman"/>
                      <w:color w:val="000000" w:themeColor="text1"/>
                      <w:szCs w:val="21"/>
                      <w14:textFill>
                        <w14:solidFill>
                          <w14:schemeClr w14:val="tx1"/>
                        </w14:solidFill>
                      </w14:textFill>
                    </w:rPr>
                  </w:pPr>
                </w:p>
              </w:tc>
            </w:tr>
            <w:tr w14:paraId="5D2EF2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41719064">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241C7AC7">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69B79C82">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7B99EC05">
                  <w:pPr>
                    <w:adjustRightInd w:val="0"/>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NH₃</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N</w:t>
                  </w:r>
                </w:p>
              </w:tc>
              <w:tc>
                <w:tcPr>
                  <w:tcW w:w="243" w:type="pct"/>
                  <w:vMerge w:val="continue"/>
                  <w:noWrap w:val="0"/>
                  <w:vAlign w:val="center"/>
                </w:tcPr>
                <w:p w14:paraId="69AC4F3F">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1DA1AB1A">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50E204E8">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21.9</w:t>
                  </w:r>
                </w:p>
              </w:tc>
              <w:tc>
                <w:tcPr>
                  <w:tcW w:w="403" w:type="pct"/>
                  <w:noWrap w:val="0"/>
                  <w:vAlign w:val="center"/>
                </w:tcPr>
                <w:p w14:paraId="384D67D4">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0.698</w:t>
                  </w:r>
                </w:p>
              </w:tc>
              <w:tc>
                <w:tcPr>
                  <w:tcW w:w="581" w:type="pct"/>
                  <w:vMerge w:val="continue"/>
                  <w:noWrap w:val="0"/>
                  <w:vAlign w:val="center"/>
                </w:tcPr>
                <w:p w14:paraId="64C9B5F3">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462A4A45">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53.42</w:t>
                  </w:r>
                </w:p>
              </w:tc>
              <w:tc>
                <w:tcPr>
                  <w:tcW w:w="210" w:type="pct"/>
                  <w:vMerge w:val="continue"/>
                  <w:noWrap w:val="0"/>
                  <w:vAlign w:val="center"/>
                </w:tcPr>
                <w:p w14:paraId="73CCCDFB">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090CB719">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749A9495">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10.2</w:t>
                  </w:r>
                </w:p>
              </w:tc>
              <w:tc>
                <w:tcPr>
                  <w:tcW w:w="374" w:type="pct"/>
                  <w:noWrap w:val="0"/>
                  <w:vAlign w:val="center"/>
                </w:tcPr>
                <w:p w14:paraId="222D8F65">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0.325</w:t>
                  </w:r>
                </w:p>
              </w:tc>
              <w:tc>
                <w:tcPr>
                  <w:tcW w:w="288" w:type="pct"/>
                  <w:vMerge w:val="continue"/>
                  <w:noWrap w:val="0"/>
                  <w:vAlign w:val="center"/>
                </w:tcPr>
                <w:p w14:paraId="6D96DCAF">
                  <w:pPr>
                    <w:jc w:val="center"/>
                    <w:rPr>
                      <w:rFonts w:ascii="Times New Roman" w:hAnsi="Times New Roman" w:eastAsia="宋体" w:cs="Times New Roman"/>
                      <w:color w:val="000000" w:themeColor="text1"/>
                      <w:szCs w:val="21"/>
                      <w14:textFill>
                        <w14:solidFill>
                          <w14:schemeClr w14:val="tx1"/>
                        </w14:solidFill>
                      </w14:textFill>
                    </w:rPr>
                  </w:pPr>
                </w:p>
              </w:tc>
            </w:tr>
            <w:tr w14:paraId="3AC469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0851C0CD">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1778E022">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48C2665D">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3666BD8B">
                  <w:pPr>
                    <w:adjustRightInd w:val="0"/>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LAS</w:t>
                  </w:r>
                </w:p>
              </w:tc>
              <w:tc>
                <w:tcPr>
                  <w:tcW w:w="243" w:type="pct"/>
                  <w:vMerge w:val="continue"/>
                  <w:noWrap w:val="0"/>
                  <w:vAlign w:val="center"/>
                </w:tcPr>
                <w:p w14:paraId="444AE63E">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13F78A94">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2E352785">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99.4</w:t>
                  </w:r>
                </w:p>
              </w:tc>
              <w:tc>
                <w:tcPr>
                  <w:tcW w:w="403" w:type="pct"/>
                  <w:noWrap w:val="0"/>
                  <w:vAlign w:val="center"/>
                </w:tcPr>
                <w:p w14:paraId="26208785">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3.168</w:t>
                  </w:r>
                </w:p>
              </w:tc>
              <w:tc>
                <w:tcPr>
                  <w:tcW w:w="581" w:type="pct"/>
                  <w:vMerge w:val="continue"/>
                  <w:noWrap w:val="0"/>
                  <w:vAlign w:val="center"/>
                </w:tcPr>
                <w:p w14:paraId="2DC92EC9">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334DE492">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87.22</w:t>
                  </w:r>
                </w:p>
              </w:tc>
              <w:tc>
                <w:tcPr>
                  <w:tcW w:w="210" w:type="pct"/>
                  <w:vMerge w:val="continue"/>
                  <w:noWrap w:val="0"/>
                  <w:vAlign w:val="center"/>
                </w:tcPr>
                <w:p w14:paraId="2BAC4F07">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23AE62D9">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6250CFC5">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12.7</w:t>
                  </w:r>
                </w:p>
              </w:tc>
              <w:tc>
                <w:tcPr>
                  <w:tcW w:w="374" w:type="pct"/>
                  <w:noWrap w:val="0"/>
                  <w:vAlign w:val="center"/>
                </w:tcPr>
                <w:p w14:paraId="3BD5507E">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0.40</w:t>
                  </w:r>
                  <w:r>
                    <w:rPr>
                      <w:rFonts w:hint="eastAsia" w:ascii="Times New Roman" w:hAnsi="Times New Roman" w:eastAsia="宋体" w:cs="Times New Roman"/>
                      <w:color w:val="000000" w:themeColor="text1"/>
                      <w:kern w:val="0"/>
                      <w:szCs w:val="21"/>
                      <w:lang w:bidi="ar"/>
                      <w14:textFill>
                        <w14:solidFill>
                          <w14:schemeClr w14:val="tx1"/>
                        </w14:solidFill>
                      </w14:textFill>
                    </w:rPr>
                    <w:t>5</w:t>
                  </w:r>
                </w:p>
              </w:tc>
              <w:tc>
                <w:tcPr>
                  <w:tcW w:w="288" w:type="pct"/>
                  <w:vMerge w:val="continue"/>
                  <w:noWrap w:val="0"/>
                  <w:vAlign w:val="center"/>
                </w:tcPr>
                <w:p w14:paraId="7E6B51F7">
                  <w:pPr>
                    <w:jc w:val="center"/>
                    <w:rPr>
                      <w:rFonts w:ascii="Times New Roman" w:hAnsi="Times New Roman" w:eastAsia="宋体" w:cs="Times New Roman"/>
                      <w:color w:val="000000" w:themeColor="text1"/>
                      <w:szCs w:val="21"/>
                      <w14:textFill>
                        <w14:solidFill>
                          <w14:schemeClr w14:val="tx1"/>
                        </w14:solidFill>
                      </w14:textFill>
                    </w:rPr>
                  </w:pPr>
                </w:p>
              </w:tc>
            </w:tr>
            <w:tr w14:paraId="724666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583A4A18">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60C62EBB">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21D1A7E5">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6554E072">
                  <w:pPr>
                    <w:adjustRightInd w:val="0"/>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TP</w:t>
                  </w:r>
                </w:p>
              </w:tc>
              <w:tc>
                <w:tcPr>
                  <w:tcW w:w="243" w:type="pct"/>
                  <w:vMerge w:val="continue"/>
                  <w:noWrap w:val="0"/>
                  <w:vAlign w:val="center"/>
                </w:tcPr>
                <w:p w14:paraId="5ACCB79E">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5D0D8ABB">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6FC94DBF">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94.6</w:t>
                  </w:r>
                </w:p>
              </w:tc>
              <w:tc>
                <w:tcPr>
                  <w:tcW w:w="403" w:type="pct"/>
                  <w:noWrap w:val="0"/>
                  <w:vAlign w:val="center"/>
                </w:tcPr>
                <w:p w14:paraId="22AB44D8">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3.015</w:t>
                  </w:r>
                </w:p>
              </w:tc>
              <w:tc>
                <w:tcPr>
                  <w:tcW w:w="581" w:type="pct"/>
                  <w:vMerge w:val="continue"/>
                  <w:noWrap w:val="0"/>
                  <w:vAlign w:val="center"/>
                </w:tcPr>
                <w:p w14:paraId="50CDF464">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7C53D717">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64.27</w:t>
                  </w:r>
                </w:p>
              </w:tc>
              <w:tc>
                <w:tcPr>
                  <w:tcW w:w="210" w:type="pct"/>
                  <w:vMerge w:val="continue"/>
                  <w:noWrap w:val="0"/>
                  <w:vAlign w:val="center"/>
                </w:tcPr>
                <w:p w14:paraId="65751E26">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79FC4FF7">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60B67564">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33.8</w:t>
                  </w:r>
                </w:p>
              </w:tc>
              <w:tc>
                <w:tcPr>
                  <w:tcW w:w="374" w:type="pct"/>
                  <w:noWrap w:val="0"/>
                  <w:vAlign w:val="center"/>
                </w:tcPr>
                <w:p w14:paraId="05A5AA95">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1.077</w:t>
                  </w:r>
                </w:p>
              </w:tc>
              <w:tc>
                <w:tcPr>
                  <w:tcW w:w="288" w:type="pct"/>
                  <w:vMerge w:val="continue"/>
                  <w:tcBorders>
                    <w:bottom w:val="single" w:color="auto" w:sz="4" w:space="0"/>
                  </w:tcBorders>
                  <w:noWrap w:val="0"/>
                  <w:vAlign w:val="center"/>
                </w:tcPr>
                <w:p w14:paraId="77DEA0D0">
                  <w:pPr>
                    <w:jc w:val="center"/>
                    <w:rPr>
                      <w:rFonts w:ascii="Times New Roman" w:hAnsi="Times New Roman" w:eastAsia="宋体" w:cs="Times New Roman"/>
                      <w:color w:val="000000" w:themeColor="text1"/>
                      <w:szCs w:val="21"/>
                      <w14:textFill>
                        <w14:solidFill>
                          <w14:schemeClr w14:val="tx1"/>
                        </w14:solidFill>
                      </w14:textFill>
                    </w:rPr>
                  </w:pPr>
                </w:p>
              </w:tc>
            </w:tr>
            <w:tr w14:paraId="1D09D8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restart"/>
                  <w:noWrap w:val="0"/>
                  <w:vAlign w:val="center"/>
                </w:tcPr>
                <w:p w14:paraId="23390407">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生活污水</w:t>
                  </w:r>
                </w:p>
              </w:tc>
              <w:tc>
                <w:tcPr>
                  <w:tcW w:w="311" w:type="pct"/>
                  <w:vMerge w:val="restart"/>
                  <w:noWrap w:val="0"/>
                  <w:vAlign w:val="center"/>
                </w:tcPr>
                <w:p w14:paraId="412C8259">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restart"/>
                  <w:noWrap w:val="0"/>
                  <w:vAlign w:val="center"/>
                </w:tcPr>
                <w:p w14:paraId="7642EC12">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生活污水</w:t>
                  </w:r>
                </w:p>
              </w:tc>
              <w:tc>
                <w:tcPr>
                  <w:tcW w:w="398" w:type="pct"/>
                  <w:noWrap w:val="0"/>
                  <w:vAlign w:val="center"/>
                </w:tcPr>
                <w:p w14:paraId="3F25394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p>
              </w:tc>
              <w:tc>
                <w:tcPr>
                  <w:tcW w:w="243" w:type="pct"/>
                  <w:vMerge w:val="restart"/>
                  <w:noWrap w:val="0"/>
                  <w:vAlign w:val="center"/>
                </w:tcPr>
                <w:p w14:paraId="001978F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产污系数法</w:t>
                  </w:r>
                </w:p>
              </w:tc>
              <w:tc>
                <w:tcPr>
                  <w:tcW w:w="346" w:type="pct"/>
                  <w:vMerge w:val="restart"/>
                  <w:noWrap w:val="0"/>
                  <w:vAlign w:val="center"/>
                </w:tcPr>
                <w:p w14:paraId="341DCE74">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135</w:t>
                  </w:r>
                </w:p>
              </w:tc>
              <w:tc>
                <w:tcPr>
                  <w:tcW w:w="346" w:type="pct"/>
                  <w:noWrap w:val="0"/>
                  <w:vAlign w:val="center"/>
                </w:tcPr>
                <w:p w14:paraId="0C460247">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250</w:t>
                  </w:r>
                </w:p>
              </w:tc>
              <w:tc>
                <w:tcPr>
                  <w:tcW w:w="403" w:type="pct"/>
                  <w:noWrap w:val="0"/>
                  <w:vAlign w:val="center"/>
                </w:tcPr>
                <w:p w14:paraId="55C479D2">
                  <w:pPr>
                    <w:widowControl/>
                    <w:jc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0.033</w:t>
                  </w:r>
                  <w:r>
                    <w:rPr>
                      <w:rFonts w:hint="eastAsia" w:ascii="Times New Roman" w:hAnsi="Times New Roman" w:eastAsia="宋体" w:cs="Times New Roman"/>
                      <w:color w:val="000000" w:themeColor="text1"/>
                      <w:kern w:val="0"/>
                      <w:szCs w:val="21"/>
                      <w:lang w:bidi="ar"/>
                      <w14:textFill>
                        <w14:solidFill>
                          <w14:schemeClr w14:val="tx1"/>
                        </w14:solidFill>
                      </w14:textFill>
                    </w:rPr>
                    <w:t>8</w:t>
                  </w:r>
                </w:p>
              </w:tc>
              <w:tc>
                <w:tcPr>
                  <w:tcW w:w="581" w:type="pct"/>
                  <w:vMerge w:val="restart"/>
                  <w:noWrap w:val="0"/>
                  <w:vAlign w:val="center"/>
                </w:tcPr>
                <w:p w14:paraId="17130462">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bCs/>
                      <w:color w:val="000000" w:themeColor="text1"/>
                      <w:szCs w:val="21"/>
                      <w14:textFill>
                        <w14:solidFill>
                          <w14:schemeClr w14:val="tx1"/>
                        </w14:solidFill>
                      </w14:textFill>
                    </w:rPr>
                    <w:t>三级化粪池</w:t>
                  </w:r>
                </w:p>
              </w:tc>
              <w:tc>
                <w:tcPr>
                  <w:tcW w:w="261" w:type="pct"/>
                  <w:noWrap w:val="0"/>
                  <w:vAlign w:val="center"/>
                </w:tcPr>
                <w:p w14:paraId="1EB246F6">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50</w:t>
                  </w:r>
                </w:p>
              </w:tc>
              <w:tc>
                <w:tcPr>
                  <w:tcW w:w="210" w:type="pct"/>
                  <w:vMerge w:val="restart"/>
                  <w:noWrap w:val="0"/>
                  <w:vAlign w:val="center"/>
                </w:tcPr>
                <w:p w14:paraId="50651572">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物料衡算法</w:t>
                  </w:r>
                </w:p>
              </w:tc>
              <w:tc>
                <w:tcPr>
                  <w:tcW w:w="361" w:type="pct"/>
                  <w:vMerge w:val="restart"/>
                  <w:noWrap w:val="0"/>
                  <w:vAlign w:val="center"/>
                </w:tcPr>
                <w:p w14:paraId="006F4448">
                  <w:pPr>
                    <w:jc w:val="center"/>
                    <w:rPr>
                      <w:rFonts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135</w:t>
                  </w:r>
                </w:p>
              </w:tc>
              <w:tc>
                <w:tcPr>
                  <w:tcW w:w="318" w:type="pct"/>
                  <w:noWrap w:val="0"/>
                  <w:vAlign w:val="center"/>
                </w:tcPr>
                <w:p w14:paraId="4975F7E2">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125.00</w:t>
                  </w:r>
                </w:p>
              </w:tc>
              <w:tc>
                <w:tcPr>
                  <w:tcW w:w="374" w:type="pct"/>
                  <w:noWrap w:val="0"/>
                  <w:vAlign w:val="center"/>
                </w:tcPr>
                <w:p w14:paraId="0C83A76A">
                  <w:pPr>
                    <w:widowControl/>
                    <w:jc w:val="center"/>
                    <w:rPr>
                      <w:rStyle w:val="35"/>
                      <w:rFonts w:hint="eastAsia"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0.016</w:t>
                  </w:r>
                  <w:r>
                    <w:rPr>
                      <w:rFonts w:hint="eastAsia" w:ascii="Times New Roman" w:hAnsi="Times New Roman" w:eastAsia="宋体" w:cs="Times New Roman"/>
                      <w:color w:val="000000" w:themeColor="text1"/>
                      <w:kern w:val="0"/>
                      <w:szCs w:val="21"/>
                      <w:lang w:bidi="ar"/>
                      <w14:textFill>
                        <w14:solidFill>
                          <w14:schemeClr w14:val="tx1"/>
                        </w14:solidFill>
                      </w14:textFill>
                    </w:rPr>
                    <w:t>9</w:t>
                  </w:r>
                </w:p>
              </w:tc>
              <w:tc>
                <w:tcPr>
                  <w:tcW w:w="288" w:type="pct"/>
                  <w:vMerge w:val="restart"/>
                  <w:tcBorders>
                    <w:top w:val="single" w:color="auto" w:sz="4" w:space="0"/>
                  </w:tcBorders>
                  <w:noWrap w:val="0"/>
                  <w:vAlign w:val="center"/>
                </w:tcPr>
                <w:p w14:paraId="7FB4BFA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2880</w:t>
                  </w:r>
                </w:p>
              </w:tc>
            </w:tr>
            <w:tr w14:paraId="233E67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6CCEEC60">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655715E2">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4C42D32D">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4573E1F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BOD₅</w:t>
                  </w:r>
                </w:p>
              </w:tc>
              <w:tc>
                <w:tcPr>
                  <w:tcW w:w="243" w:type="pct"/>
                  <w:vMerge w:val="continue"/>
                  <w:noWrap w:val="0"/>
                  <w:vAlign w:val="center"/>
                </w:tcPr>
                <w:p w14:paraId="3994280E">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656DAB6F">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3A137DD4">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150</w:t>
                  </w:r>
                </w:p>
              </w:tc>
              <w:tc>
                <w:tcPr>
                  <w:tcW w:w="403" w:type="pct"/>
                  <w:noWrap w:val="0"/>
                  <w:vAlign w:val="center"/>
                </w:tcPr>
                <w:p w14:paraId="7B246674">
                  <w:pPr>
                    <w:widowControl/>
                    <w:jc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0.020</w:t>
                  </w:r>
                  <w:r>
                    <w:rPr>
                      <w:rFonts w:hint="eastAsia" w:ascii="Times New Roman" w:hAnsi="Times New Roman" w:eastAsia="宋体" w:cs="Times New Roman"/>
                      <w:color w:val="000000" w:themeColor="text1"/>
                      <w:kern w:val="0"/>
                      <w:szCs w:val="21"/>
                      <w:lang w:bidi="ar"/>
                      <w14:textFill>
                        <w14:solidFill>
                          <w14:schemeClr w14:val="tx1"/>
                        </w14:solidFill>
                      </w14:textFill>
                    </w:rPr>
                    <w:t>3</w:t>
                  </w:r>
                </w:p>
              </w:tc>
              <w:tc>
                <w:tcPr>
                  <w:tcW w:w="581" w:type="pct"/>
                  <w:vMerge w:val="continue"/>
                  <w:noWrap w:val="0"/>
                  <w:vAlign w:val="center"/>
                </w:tcPr>
                <w:p w14:paraId="05DA2F69">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2ED074D7">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50</w:t>
                  </w:r>
                </w:p>
              </w:tc>
              <w:tc>
                <w:tcPr>
                  <w:tcW w:w="210" w:type="pct"/>
                  <w:vMerge w:val="continue"/>
                  <w:noWrap w:val="0"/>
                  <w:vAlign w:val="center"/>
                </w:tcPr>
                <w:p w14:paraId="0211B2AB">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35EFD2D2">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1F6F26A8">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75.00</w:t>
                  </w:r>
                </w:p>
              </w:tc>
              <w:tc>
                <w:tcPr>
                  <w:tcW w:w="374" w:type="pct"/>
                  <w:noWrap w:val="0"/>
                  <w:vAlign w:val="center"/>
                </w:tcPr>
                <w:p w14:paraId="0016A76C">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0.0101</w:t>
                  </w:r>
                </w:p>
              </w:tc>
              <w:tc>
                <w:tcPr>
                  <w:tcW w:w="288" w:type="pct"/>
                  <w:vMerge w:val="continue"/>
                  <w:tcBorders>
                    <w:top w:val="single" w:color="auto" w:sz="4" w:space="0"/>
                    <w:bottom w:val="single" w:color="auto" w:sz="4" w:space="0"/>
                  </w:tcBorders>
                  <w:noWrap w:val="0"/>
                  <w:vAlign w:val="center"/>
                </w:tcPr>
                <w:p w14:paraId="6F362A42">
                  <w:pPr>
                    <w:jc w:val="center"/>
                    <w:rPr>
                      <w:rFonts w:ascii="Times New Roman" w:hAnsi="Times New Roman" w:eastAsia="宋体" w:cs="Times New Roman"/>
                      <w:color w:val="000000" w:themeColor="text1"/>
                      <w:szCs w:val="21"/>
                      <w14:textFill>
                        <w14:solidFill>
                          <w14:schemeClr w14:val="tx1"/>
                        </w14:solidFill>
                      </w14:textFill>
                    </w:rPr>
                  </w:pPr>
                </w:p>
              </w:tc>
            </w:tr>
            <w:tr w14:paraId="512A3A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084D9DE7">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1B4BF2C5">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17AB5FFF">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06326E0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SS</w:t>
                  </w:r>
                </w:p>
              </w:tc>
              <w:tc>
                <w:tcPr>
                  <w:tcW w:w="243" w:type="pct"/>
                  <w:vMerge w:val="continue"/>
                  <w:noWrap w:val="0"/>
                  <w:vAlign w:val="center"/>
                </w:tcPr>
                <w:p w14:paraId="70BCB058">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79A47E79">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32392B22">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150</w:t>
                  </w:r>
                </w:p>
              </w:tc>
              <w:tc>
                <w:tcPr>
                  <w:tcW w:w="403" w:type="pct"/>
                  <w:noWrap w:val="0"/>
                  <w:vAlign w:val="center"/>
                </w:tcPr>
                <w:p w14:paraId="0F02A617">
                  <w:pPr>
                    <w:widowControl/>
                    <w:jc w:val="center"/>
                    <w:rPr>
                      <w:rFonts w:hint="eastAsia"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0.020</w:t>
                  </w:r>
                  <w:r>
                    <w:rPr>
                      <w:rFonts w:hint="eastAsia" w:ascii="Times New Roman" w:hAnsi="Times New Roman" w:eastAsia="宋体" w:cs="Times New Roman"/>
                      <w:color w:val="000000" w:themeColor="text1"/>
                      <w:kern w:val="0"/>
                      <w:szCs w:val="21"/>
                      <w:lang w:bidi="ar"/>
                      <w14:textFill>
                        <w14:solidFill>
                          <w14:schemeClr w14:val="tx1"/>
                        </w14:solidFill>
                      </w14:textFill>
                    </w:rPr>
                    <w:t>3</w:t>
                  </w:r>
                </w:p>
              </w:tc>
              <w:tc>
                <w:tcPr>
                  <w:tcW w:w="581" w:type="pct"/>
                  <w:vMerge w:val="continue"/>
                  <w:noWrap w:val="0"/>
                  <w:vAlign w:val="center"/>
                </w:tcPr>
                <w:p w14:paraId="43659D13">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4568D369">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60</w:t>
                  </w:r>
                </w:p>
              </w:tc>
              <w:tc>
                <w:tcPr>
                  <w:tcW w:w="210" w:type="pct"/>
                  <w:vMerge w:val="continue"/>
                  <w:noWrap w:val="0"/>
                  <w:vAlign w:val="center"/>
                </w:tcPr>
                <w:p w14:paraId="39A6310F">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5432FDB7">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193B720C">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60.00</w:t>
                  </w:r>
                </w:p>
              </w:tc>
              <w:tc>
                <w:tcPr>
                  <w:tcW w:w="374" w:type="pct"/>
                  <w:noWrap w:val="0"/>
                  <w:vAlign w:val="center"/>
                </w:tcPr>
                <w:p w14:paraId="4CFADFAD">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0.0081</w:t>
                  </w:r>
                </w:p>
              </w:tc>
              <w:tc>
                <w:tcPr>
                  <w:tcW w:w="288" w:type="pct"/>
                  <w:vMerge w:val="continue"/>
                  <w:tcBorders>
                    <w:top w:val="single" w:color="auto" w:sz="4" w:space="0"/>
                    <w:bottom w:val="single" w:color="auto" w:sz="4" w:space="0"/>
                  </w:tcBorders>
                  <w:noWrap w:val="0"/>
                  <w:vAlign w:val="center"/>
                </w:tcPr>
                <w:p w14:paraId="1864C366">
                  <w:pPr>
                    <w:jc w:val="center"/>
                    <w:rPr>
                      <w:rFonts w:ascii="Times New Roman" w:hAnsi="Times New Roman" w:eastAsia="宋体" w:cs="Times New Roman"/>
                      <w:color w:val="000000" w:themeColor="text1"/>
                      <w:szCs w:val="21"/>
                      <w14:textFill>
                        <w14:solidFill>
                          <w14:schemeClr w14:val="tx1"/>
                        </w14:solidFill>
                      </w14:textFill>
                    </w:rPr>
                  </w:pPr>
                </w:p>
              </w:tc>
            </w:tr>
            <w:tr w14:paraId="186EE4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216" w:type="pct"/>
                  <w:vMerge w:val="continue"/>
                  <w:noWrap w:val="0"/>
                  <w:vAlign w:val="center"/>
                </w:tcPr>
                <w:p w14:paraId="1BCAC842">
                  <w:pPr>
                    <w:jc w:val="center"/>
                    <w:rPr>
                      <w:rFonts w:ascii="Times New Roman" w:hAnsi="Times New Roman" w:eastAsia="宋体" w:cs="Times New Roman"/>
                      <w:bCs/>
                      <w:color w:val="000000" w:themeColor="text1"/>
                      <w:szCs w:val="21"/>
                      <w14:textFill>
                        <w14:solidFill>
                          <w14:schemeClr w14:val="tx1"/>
                        </w14:solidFill>
                      </w14:textFill>
                    </w:rPr>
                  </w:pPr>
                </w:p>
              </w:tc>
              <w:tc>
                <w:tcPr>
                  <w:tcW w:w="311" w:type="pct"/>
                  <w:vMerge w:val="continue"/>
                  <w:noWrap w:val="0"/>
                  <w:vAlign w:val="center"/>
                </w:tcPr>
                <w:p w14:paraId="5B7E21D0">
                  <w:pPr>
                    <w:jc w:val="center"/>
                    <w:rPr>
                      <w:rFonts w:ascii="Times New Roman" w:hAnsi="Times New Roman" w:eastAsia="宋体" w:cs="Times New Roman"/>
                      <w:bCs/>
                      <w:color w:val="000000" w:themeColor="text1"/>
                      <w:szCs w:val="21"/>
                      <w14:textFill>
                        <w14:solidFill>
                          <w14:schemeClr w14:val="tx1"/>
                        </w14:solidFill>
                      </w14:textFill>
                    </w:rPr>
                  </w:pPr>
                </w:p>
              </w:tc>
              <w:tc>
                <w:tcPr>
                  <w:tcW w:w="338" w:type="pct"/>
                  <w:vMerge w:val="continue"/>
                  <w:noWrap w:val="0"/>
                  <w:vAlign w:val="center"/>
                </w:tcPr>
                <w:p w14:paraId="5B5C0D47">
                  <w:pPr>
                    <w:jc w:val="center"/>
                    <w:rPr>
                      <w:rFonts w:ascii="Times New Roman" w:hAnsi="Times New Roman" w:eastAsia="宋体" w:cs="Times New Roman"/>
                      <w:bCs/>
                      <w:color w:val="000000" w:themeColor="text1"/>
                      <w:szCs w:val="21"/>
                      <w14:textFill>
                        <w14:solidFill>
                          <w14:schemeClr w14:val="tx1"/>
                        </w14:solidFill>
                      </w14:textFill>
                    </w:rPr>
                  </w:pPr>
                </w:p>
              </w:tc>
              <w:tc>
                <w:tcPr>
                  <w:tcW w:w="398" w:type="pct"/>
                  <w:noWrap w:val="0"/>
                  <w:vAlign w:val="center"/>
                </w:tcPr>
                <w:p w14:paraId="0D61DDA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NH₃-N</w:t>
                  </w:r>
                </w:p>
              </w:tc>
              <w:tc>
                <w:tcPr>
                  <w:tcW w:w="243" w:type="pct"/>
                  <w:vMerge w:val="continue"/>
                  <w:noWrap w:val="0"/>
                  <w:vAlign w:val="center"/>
                </w:tcPr>
                <w:p w14:paraId="209E398F">
                  <w:pPr>
                    <w:jc w:val="center"/>
                    <w:rPr>
                      <w:rFonts w:ascii="Times New Roman" w:hAnsi="Times New Roman" w:eastAsia="宋体" w:cs="Times New Roman"/>
                      <w:color w:val="000000" w:themeColor="text1"/>
                      <w:szCs w:val="21"/>
                      <w14:textFill>
                        <w14:solidFill>
                          <w14:schemeClr w14:val="tx1"/>
                        </w14:solidFill>
                      </w14:textFill>
                    </w:rPr>
                  </w:pPr>
                </w:p>
              </w:tc>
              <w:tc>
                <w:tcPr>
                  <w:tcW w:w="346" w:type="pct"/>
                  <w:vMerge w:val="continue"/>
                  <w:noWrap w:val="0"/>
                  <w:vAlign w:val="center"/>
                </w:tcPr>
                <w:p w14:paraId="64A09802">
                  <w:pPr>
                    <w:jc w:val="center"/>
                    <w:rPr>
                      <w:rFonts w:ascii="Times New Roman" w:hAnsi="Times New Roman" w:eastAsia="宋体" w:cs="Times New Roman"/>
                      <w:bCs/>
                      <w:color w:val="000000" w:themeColor="text1"/>
                      <w:szCs w:val="21"/>
                      <w14:textFill>
                        <w14:solidFill>
                          <w14:schemeClr w14:val="tx1"/>
                        </w14:solidFill>
                      </w14:textFill>
                    </w:rPr>
                  </w:pPr>
                </w:p>
              </w:tc>
              <w:tc>
                <w:tcPr>
                  <w:tcW w:w="346" w:type="pct"/>
                  <w:noWrap w:val="0"/>
                  <w:vAlign w:val="center"/>
                </w:tcPr>
                <w:p w14:paraId="4A078A68">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20</w:t>
                  </w:r>
                </w:p>
              </w:tc>
              <w:tc>
                <w:tcPr>
                  <w:tcW w:w="403" w:type="pct"/>
                  <w:noWrap w:val="0"/>
                  <w:vAlign w:val="center"/>
                </w:tcPr>
                <w:p w14:paraId="4FEB4FE8">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0.0027</w:t>
                  </w:r>
                </w:p>
              </w:tc>
              <w:tc>
                <w:tcPr>
                  <w:tcW w:w="581" w:type="pct"/>
                  <w:vMerge w:val="continue"/>
                  <w:noWrap w:val="0"/>
                  <w:vAlign w:val="center"/>
                </w:tcPr>
                <w:p w14:paraId="633FB2EC">
                  <w:pPr>
                    <w:jc w:val="center"/>
                    <w:rPr>
                      <w:rFonts w:ascii="Times New Roman" w:hAnsi="Times New Roman" w:eastAsia="宋体" w:cs="Times New Roman"/>
                      <w:bCs/>
                      <w:color w:val="000000" w:themeColor="text1"/>
                      <w:szCs w:val="21"/>
                      <w14:textFill>
                        <w14:solidFill>
                          <w14:schemeClr w14:val="tx1"/>
                        </w14:solidFill>
                      </w14:textFill>
                    </w:rPr>
                  </w:pPr>
                </w:p>
              </w:tc>
              <w:tc>
                <w:tcPr>
                  <w:tcW w:w="261" w:type="pct"/>
                  <w:noWrap w:val="0"/>
                  <w:vAlign w:val="center"/>
                </w:tcPr>
                <w:p w14:paraId="771B56F8">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w:t>
                  </w:r>
                </w:p>
              </w:tc>
              <w:tc>
                <w:tcPr>
                  <w:tcW w:w="210" w:type="pct"/>
                  <w:vMerge w:val="continue"/>
                  <w:noWrap w:val="0"/>
                  <w:vAlign w:val="center"/>
                </w:tcPr>
                <w:p w14:paraId="0E89E087">
                  <w:pPr>
                    <w:jc w:val="center"/>
                    <w:rPr>
                      <w:rFonts w:ascii="Times New Roman" w:hAnsi="Times New Roman" w:eastAsia="宋体" w:cs="Times New Roman"/>
                      <w:color w:val="000000" w:themeColor="text1"/>
                      <w:szCs w:val="21"/>
                      <w14:textFill>
                        <w14:solidFill>
                          <w14:schemeClr w14:val="tx1"/>
                        </w14:solidFill>
                      </w14:textFill>
                    </w:rPr>
                  </w:pPr>
                </w:p>
              </w:tc>
              <w:tc>
                <w:tcPr>
                  <w:tcW w:w="361" w:type="pct"/>
                  <w:vMerge w:val="continue"/>
                  <w:noWrap w:val="0"/>
                  <w:vAlign w:val="center"/>
                </w:tcPr>
                <w:p w14:paraId="134DF58A">
                  <w:pPr>
                    <w:jc w:val="center"/>
                    <w:rPr>
                      <w:rFonts w:ascii="Times New Roman" w:hAnsi="Times New Roman" w:eastAsia="宋体" w:cs="Times New Roman"/>
                      <w:bCs/>
                      <w:color w:val="000000" w:themeColor="text1"/>
                      <w:szCs w:val="21"/>
                      <w14:textFill>
                        <w14:solidFill>
                          <w14:schemeClr w14:val="tx1"/>
                        </w14:solidFill>
                      </w14:textFill>
                    </w:rPr>
                  </w:pPr>
                </w:p>
              </w:tc>
              <w:tc>
                <w:tcPr>
                  <w:tcW w:w="318" w:type="pct"/>
                  <w:noWrap w:val="0"/>
                  <w:vAlign w:val="center"/>
                </w:tcPr>
                <w:p w14:paraId="023B37A8">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19.40</w:t>
                  </w:r>
                </w:p>
              </w:tc>
              <w:tc>
                <w:tcPr>
                  <w:tcW w:w="374" w:type="pct"/>
                  <w:noWrap w:val="0"/>
                  <w:vAlign w:val="center"/>
                </w:tcPr>
                <w:p w14:paraId="0ACADD7B">
                  <w:pPr>
                    <w:widowControl/>
                    <w:jc w:val="center"/>
                    <w:rPr>
                      <w:rStyle w:val="35"/>
                      <w:rFonts w:ascii="Times New Roman" w:hAnsi="Times New Roman" w:eastAsia="宋体" w:cs="Times New Roman"/>
                      <w:b w:val="0"/>
                      <w:bCs/>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0.0026</w:t>
                  </w:r>
                </w:p>
              </w:tc>
              <w:tc>
                <w:tcPr>
                  <w:tcW w:w="288" w:type="pct"/>
                  <w:vMerge w:val="continue"/>
                  <w:tcBorders>
                    <w:top w:val="single" w:color="auto" w:sz="4" w:space="0"/>
                    <w:bottom w:val="single" w:color="auto" w:sz="4" w:space="0"/>
                  </w:tcBorders>
                  <w:noWrap w:val="0"/>
                  <w:vAlign w:val="center"/>
                </w:tcPr>
                <w:p w14:paraId="7B080787">
                  <w:pPr>
                    <w:jc w:val="center"/>
                    <w:rPr>
                      <w:rFonts w:ascii="Times New Roman" w:hAnsi="Times New Roman" w:eastAsia="宋体" w:cs="Times New Roman"/>
                      <w:color w:val="000000" w:themeColor="text1"/>
                      <w:szCs w:val="21"/>
                      <w14:textFill>
                        <w14:solidFill>
                          <w14:schemeClr w14:val="tx1"/>
                        </w14:solidFill>
                      </w14:textFill>
                    </w:rPr>
                  </w:pPr>
                </w:p>
              </w:tc>
            </w:tr>
          </w:tbl>
          <w:p w14:paraId="4B293347">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2.2废水污染源分析</w:t>
            </w:r>
          </w:p>
          <w:p w14:paraId="5F2CAB45">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kern w:val="0"/>
                <w:sz w:val="24"/>
                <w:lang w:bidi="ar"/>
                <w14:textFill>
                  <w14:solidFill>
                    <w14:schemeClr w14:val="tx1"/>
                  </w14:solidFill>
                </w14:textFill>
              </w:rPr>
              <w:t>产生的废水主要有</w:t>
            </w:r>
            <w:r>
              <w:rPr>
                <w:rFonts w:ascii="Times New Roman" w:hAnsi="Times New Roman" w:eastAsia="宋体" w:cs="Times New Roman"/>
                <w:color w:val="000000" w:themeColor="text1"/>
                <w:sz w:val="24"/>
                <w14:textFill>
                  <w14:solidFill>
                    <w14:schemeClr w14:val="tx1"/>
                  </w14:solidFill>
                </w14:textFill>
              </w:rPr>
              <w:t>生活</w:t>
            </w:r>
            <w:r>
              <w:rPr>
                <w:rFonts w:hint="eastAsia" w:ascii="Times New Roman" w:hAnsi="Times New Roman" w:eastAsia="宋体" w:cs="Times New Roman"/>
                <w:color w:val="000000" w:themeColor="text1"/>
                <w:sz w:val="24"/>
                <w14:textFill>
                  <w14:solidFill>
                    <w14:schemeClr w14:val="tx1"/>
                  </w14:solidFill>
                </w14:textFill>
              </w:rPr>
              <w:t>污水、洗涤废水</w:t>
            </w:r>
            <w:r>
              <w:rPr>
                <w:rFonts w:ascii="Times New Roman" w:hAnsi="Times New Roman" w:eastAsia="宋体" w:cs="Times New Roman"/>
                <w:color w:val="000000" w:themeColor="text1"/>
                <w:sz w:val="24"/>
                <w14:textFill>
                  <w14:solidFill>
                    <w14:schemeClr w14:val="tx1"/>
                  </w14:solidFill>
                </w14:textFill>
              </w:rPr>
              <w:t>及软水设备再生用水。</w:t>
            </w:r>
          </w:p>
          <w:p w14:paraId="5CF80A24">
            <w:pPr>
              <w:spacing w:line="480" w:lineRule="exact"/>
              <w:ind w:firstLine="482" w:firstLineChars="200"/>
              <w:rPr>
                <w:rFonts w:ascii="Times New Roman" w:hAnsi="Times New Roman" w:eastAsia="宋体" w:cs="Times New Roman"/>
                <w:b/>
                <w:snapToGrid w:val="0"/>
                <w:color w:val="000000" w:themeColor="text1"/>
                <w:kern w:val="0"/>
                <w:sz w:val="24"/>
                <w14:textFill>
                  <w14:solidFill>
                    <w14:schemeClr w14:val="tx1"/>
                  </w14:solidFill>
                </w14:textFill>
              </w:rPr>
            </w:pPr>
            <w:r>
              <w:rPr>
                <w:rFonts w:hint="eastAsia" w:ascii="Times New Roman" w:hAnsi="Times New Roman" w:eastAsia="宋体" w:cs="Times New Roman"/>
                <w:b/>
                <w:snapToGrid w:val="0"/>
                <w:color w:val="000000" w:themeColor="text1"/>
                <w:kern w:val="0"/>
                <w:sz w:val="24"/>
                <w14:textFill>
                  <w14:solidFill>
                    <w14:schemeClr w14:val="tx1"/>
                  </w14:solidFill>
                </w14:textFill>
              </w:rPr>
              <w:t>（1）生活污水</w:t>
            </w:r>
          </w:p>
          <w:p w14:paraId="52C184FB">
            <w:pPr>
              <w:spacing w:line="480" w:lineRule="exact"/>
              <w:ind w:firstLine="480" w:firstLineChars="200"/>
              <w:rPr>
                <w:rFonts w:hint="eastAsia"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本项目废水主要为员工的生活污水。</w:t>
            </w:r>
            <w:r>
              <w:rPr>
                <w:rFonts w:ascii="Times New Roman" w:hAnsi="Times New Roman" w:eastAsia="宋体" w:cs="Times New Roman"/>
                <w:color w:val="000000" w:themeColor="text1"/>
                <w:sz w:val="24"/>
                <w14:textFill>
                  <w14:solidFill>
                    <w14:schemeClr w14:val="tx1"/>
                  </w14:solidFill>
                </w14:textFill>
              </w:rPr>
              <w:t>项目工人数为</w:t>
            </w:r>
            <w:r>
              <w:rPr>
                <w:rFonts w:hint="eastAsia" w:ascii="Times New Roman" w:hAnsi="Times New Roman" w:eastAsia="宋体" w:cs="Times New Roman"/>
                <w:color w:val="000000" w:themeColor="text1"/>
                <w:sz w:val="24"/>
                <w14:textFill>
                  <w14:solidFill>
                    <w14:schemeClr w14:val="tx1"/>
                  </w14:solidFill>
                </w14:textFill>
              </w:rPr>
              <w:t>15</w:t>
            </w:r>
            <w:r>
              <w:rPr>
                <w:rFonts w:ascii="Times New Roman" w:hAnsi="Times New Roman" w:eastAsia="宋体" w:cs="Times New Roman"/>
                <w:color w:val="000000" w:themeColor="text1"/>
                <w:sz w:val="24"/>
                <w14:textFill>
                  <w14:solidFill>
                    <w14:schemeClr w14:val="tx1"/>
                  </w14:solidFill>
                </w14:textFill>
              </w:rPr>
              <w:t>人</w:t>
            </w:r>
            <w:r>
              <w:rPr>
                <w:rFonts w:ascii="Times New Roman" w:hAnsi="Times New Roman" w:eastAsia="宋体" w:cs="Times New Roman"/>
                <w:color w:val="000000" w:themeColor="text1"/>
                <w:sz w:val="24"/>
                <w:lang w:val="en-GB"/>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均不</w:t>
            </w:r>
            <w:r>
              <w:rPr>
                <w:rFonts w:ascii="Times New Roman" w:hAnsi="Times New Roman" w:eastAsia="宋体" w:cs="Times New Roman"/>
                <w:color w:val="000000" w:themeColor="text1"/>
                <w:sz w:val="24"/>
                <w14:textFill>
                  <w14:solidFill>
                    <w14:schemeClr w14:val="tx1"/>
                  </w14:solidFill>
                </w14:textFill>
              </w:rPr>
              <w:t>在厂内食宿。</w:t>
            </w:r>
            <w:r>
              <w:rPr>
                <w:rFonts w:ascii="Times New Roman" w:hAnsi="Times New Roman" w:eastAsia="宋体" w:cs="Times New Roman"/>
                <w:bCs/>
                <w:color w:val="000000" w:themeColor="text1"/>
                <w:sz w:val="24"/>
                <w14:textFill>
                  <w14:solidFill>
                    <w14:schemeClr w14:val="tx1"/>
                  </w14:solidFill>
                </w14:textFill>
              </w:rPr>
              <w:t>根据广东省地方标准</w:t>
            </w:r>
            <w:r>
              <w:rPr>
                <w:rFonts w:hint="eastAsia" w:ascii="Times New Roman" w:hAnsi="Times New Roman" w:eastAsia="宋体" w:cs="Times New Roman"/>
                <w:color w:val="000000" w:themeColor="text1"/>
                <w:sz w:val="24"/>
                <w:lang w:bidi="ar"/>
                <w14:textFill>
                  <w14:solidFill>
                    <w14:schemeClr w14:val="tx1"/>
                  </w14:solidFill>
                </w14:textFill>
              </w:rPr>
              <w:t>广东省《用水定额第3部分：生活》（DB44/T1461.3-2021）</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不</w:t>
            </w:r>
            <w:r>
              <w:rPr>
                <w:rFonts w:ascii="Times New Roman" w:hAnsi="Times New Roman" w:eastAsia="宋体" w:cs="Times New Roman"/>
                <w:bCs/>
                <w:color w:val="000000" w:themeColor="text1"/>
                <w:sz w:val="24"/>
                <w14:textFill>
                  <w14:solidFill>
                    <w14:schemeClr w14:val="tx1"/>
                  </w14:solidFill>
                </w14:textFill>
              </w:rPr>
              <w:t>在厂内</w:t>
            </w:r>
            <w:r>
              <w:rPr>
                <w:rFonts w:hint="eastAsia" w:ascii="Times New Roman" w:hAnsi="Times New Roman" w:eastAsia="宋体" w:cs="Times New Roman"/>
                <w:bCs/>
                <w:color w:val="000000" w:themeColor="text1"/>
                <w:sz w:val="24"/>
                <w14:textFill>
                  <w14:solidFill>
                    <w14:schemeClr w14:val="tx1"/>
                  </w14:solidFill>
                </w14:textFill>
              </w:rPr>
              <w:t>住</w:t>
            </w:r>
            <w:r>
              <w:rPr>
                <w:rFonts w:ascii="Times New Roman" w:hAnsi="Times New Roman" w:eastAsia="宋体" w:cs="Times New Roman"/>
                <w:bCs/>
                <w:color w:val="000000" w:themeColor="text1"/>
                <w:sz w:val="24"/>
                <w14:textFill>
                  <w14:solidFill>
                    <w14:schemeClr w14:val="tx1"/>
                  </w14:solidFill>
                </w14:textFill>
              </w:rPr>
              <w:t>宿的员工生活用水参考</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国家行政机构（922）</w:t>
            </w:r>
            <w:r>
              <w:rPr>
                <w:rFonts w:hint="eastAsia" w:ascii="Times New Roman" w:hAnsi="Times New Roman" w:eastAsia="宋体" w:cs="Times New Roman"/>
                <w:bCs/>
                <w:color w:val="000000" w:themeColor="text1"/>
                <w:sz w:val="24"/>
                <w14:textFill>
                  <w14:solidFill>
                    <w14:schemeClr w14:val="tx1"/>
                  </w14:solidFill>
                </w14:textFill>
              </w:rPr>
              <w:t>：办</w:t>
            </w:r>
            <w:r>
              <w:rPr>
                <w:rFonts w:ascii="Times New Roman" w:hAnsi="Times New Roman" w:eastAsia="宋体" w:cs="Times New Roman"/>
                <w:bCs/>
                <w:color w:val="000000" w:themeColor="text1"/>
                <w:sz w:val="24"/>
                <w14:textFill>
                  <w14:solidFill>
                    <w14:schemeClr w14:val="tx1"/>
                  </w14:solidFill>
                </w14:textFill>
              </w:rPr>
              <w:t>公楼中</w:t>
            </w:r>
            <w:r>
              <w:rPr>
                <w:rFonts w:hint="eastAsia" w:ascii="Times New Roman" w:hAnsi="Times New Roman" w:eastAsia="宋体" w:cs="Times New Roman"/>
                <w:bCs/>
                <w:color w:val="000000" w:themeColor="text1"/>
                <w:sz w:val="24"/>
                <w14:textFill>
                  <w14:solidFill>
                    <w14:schemeClr w14:val="tx1"/>
                  </w14:solidFill>
                </w14:textFill>
              </w:rPr>
              <w:t>无</w:t>
            </w:r>
            <w:r>
              <w:rPr>
                <w:rFonts w:ascii="Times New Roman" w:hAnsi="Times New Roman" w:eastAsia="宋体" w:cs="Times New Roman"/>
                <w:bCs/>
                <w:color w:val="000000" w:themeColor="text1"/>
                <w:sz w:val="24"/>
                <w14:textFill>
                  <w14:solidFill>
                    <w14:schemeClr w14:val="tx1"/>
                  </w14:solidFill>
                </w14:textFill>
              </w:rPr>
              <w:t>食堂和浴室的先进值</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，按1</w:t>
            </w:r>
            <w:r>
              <w:rPr>
                <w:rFonts w:hint="eastAsia" w:ascii="Times New Roman" w:hAnsi="Times New Roman" w:eastAsia="宋体" w:cs="Times New Roman"/>
                <w:bCs/>
                <w:color w:val="000000" w:themeColor="text1"/>
                <w:sz w:val="24"/>
                <w14:textFill>
                  <w14:solidFill>
                    <w14:schemeClr w14:val="tx1"/>
                  </w14:solidFill>
                </w14:textFill>
              </w:rPr>
              <w:t>0</w:t>
            </w:r>
            <w:r>
              <w:rPr>
                <w:rFonts w:ascii="Times New Roman" w:hAnsi="Times New Roman" w:eastAsia="宋体" w:cs="Times New Roman"/>
                <w:bCs/>
                <w:color w:val="000000" w:themeColor="text1"/>
                <w:sz w:val="24"/>
                <w14:textFill>
                  <w14:solidFill>
                    <w14:schemeClr w14:val="tx1"/>
                  </w14:solidFill>
                </w14:textFill>
              </w:rPr>
              <w:t>m</w:t>
            </w:r>
            <w:r>
              <w:rPr>
                <w:rFonts w:ascii="Times New Roman" w:hAnsi="Times New Roman" w:eastAsia="宋体" w:cs="Times New Roman"/>
                <w:bCs/>
                <w:color w:val="000000" w:themeColor="text1"/>
                <w:sz w:val="24"/>
                <w:vertAlign w:val="superscript"/>
                <w14:textFill>
                  <w14:solidFill>
                    <w14:schemeClr w14:val="tx1"/>
                  </w14:solidFill>
                </w14:textFill>
              </w:rPr>
              <w:t>3</w:t>
            </w:r>
            <w:r>
              <w:rPr>
                <w:rFonts w:ascii="Times New Roman" w:hAnsi="Times New Roman" w:eastAsia="宋体" w:cs="Times New Roman"/>
                <w:bCs/>
                <w:color w:val="000000" w:themeColor="text1"/>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人·a</w:t>
            </w:r>
            <w:r>
              <w:rPr>
                <w:rFonts w:hint="eastAsia"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bCs/>
                <w:color w:val="000000" w:themeColor="text1"/>
                <w:sz w:val="24"/>
                <w14:textFill>
                  <w14:solidFill>
                    <w14:schemeClr w14:val="tx1"/>
                  </w14:solidFill>
                </w14:textFill>
              </w:rPr>
              <w:t>计算</w:t>
            </w:r>
            <w:r>
              <w:rPr>
                <w:rFonts w:hint="eastAsia" w:ascii="Times New Roman" w:hAnsi="Times New Roman" w:eastAsia="宋体" w:cs="Times New Roman"/>
                <w:bCs/>
                <w:color w:val="000000" w:themeColor="text1"/>
                <w:sz w:val="24"/>
                <w14:textFill>
                  <w14:solidFill>
                    <w14:schemeClr w14:val="tx1"/>
                  </w14:solidFill>
                </w14:textFill>
              </w:rPr>
              <w:t>，员工生活用水量为150</w:t>
            </w:r>
            <w:r>
              <w:rPr>
                <w:rFonts w:hint="eastAsia"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bCs/>
                <w:color w:val="000000" w:themeColor="text1"/>
                <w:sz w:val="24"/>
                <w14:textFill>
                  <w14:solidFill>
                    <w14:schemeClr w14:val="tx1"/>
                  </w14:solidFill>
                </w14:textFill>
              </w:rPr>
              <w:t>，污水排放系数按用水量的90%计算，则项目员工生活污水量约为135</w:t>
            </w:r>
            <w:r>
              <w:rPr>
                <w:rFonts w:hint="eastAsia" w:ascii="Times New Roman" w:hAnsi="Times New Roman" w:eastAsia="宋体" w:cs="Times New Roman"/>
                <w:color w:val="000000" w:themeColor="text1"/>
                <w:sz w:val="24"/>
                <w14:textFill>
                  <w14:solidFill>
                    <w14:schemeClr w14:val="tx1"/>
                  </w14:solidFill>
                </w14:textFill>
              </w:rPr>
              <w:t>m</w:t>
            </w:r>
            <w:r>
              <w:rPr>
                <w:rFonts w:hint="eastAsia" w:ascii="Times New Roman" w:hAnsi="Times New Roman" w:eastAsia="宋体" w:cs="Times New Roman"/>
                <w:color w:val="000000" w:themeColor="text1"/>
                <w:sz w:val="24"/>
                <w:vertAlign w:val="super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/a</w:t>
            </w:r>
            <w:r>
              <w:rPr>
                <w:rFonts w:hint="eastAsia" w:ascii="Times New Roman" w:hAnsi="Times New Roman" w:eastAsia="宋体" w:cs="Times New Roman"/>
                <w:bCs/>
                <w:color w:val="000000" w:themeColor="text1"/>
                <w:sz w:val="24"/>
                <w14:textFill>
                  <w14:solidFill>
                    <w14:schemeClr w14:val="tx1"/>
                  </w14:solidFill>
                </w14:textFill>
              </w:rPr>
              <w:t>。</w:t>
            </w:r>
          </w:p>
          <w:p w14:paraId="2B5A925F">
            <w:pPr>
              <w:spacing w:line="480" w:lineRule="exact"/>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本项目生活污水污染物以COD</w:t>
            </w:r>
            <w:r>
              <w:rPr>
                <w:rFonts w:hint="eastAsia" w:ascii="Times New Roman" w:hAnsi="Times New Roman" w:eastAsia="宋体" w:cs="Times New Roman"/>
                <w:color w:val="000000" w:themeColor="text1"/>
                <w:sz w:val="24"/>
                <w:vertAlign w:val="subscript"/>
                <w14:textFill>
                  <w14:solidFill>
                    <w14:schemeClr w14:val="tx1"/>
                  </w14:solidFill>
                </w14:textFill>
              </w:rPr>
              <w:t>Cr</w:t>
            </w:r>
            <w:r>
              <w:rPr>
                <w:rFonts w:hint="eastAsia" w:ascii="Times New Roman" w:hAnsi="Times New Roman" w:eastAsia="宋体" w:cs="Times New Roman"/>
                <w:color w:val="000000" w:themeColor="text1"/>
                <w:sz w:val="24"/>
                <w14:textFill>
                  <w14:solidFill>
                    <w14:schemeClr w14:val="tx1"/>
                  </w14:solidFill>
                </w14:textFill>
              </w:rPr>
              <w:t>、BOD</w:t>
            </w:r>
            <w:r>
              <w:rPr>
                <w:rFonts w:hint="eastAsia" w:ascii="Times New Roman" w:hAnsi="Times New Roman" w:eastAsia="宋体" w:cs="Times New Roman"/>
                <w:color w:val="000000" w:themeColor="text1"/>
                <w:sz w:val="24"/>
                <w:vertAlign w:val="subscript"/>
                <w14:textFill>
                  <w14:solidFill>
                    <w14:schemeClr w14:val="tx1"/>
                  </w14:solidFill>
                </w14:textFill>
              </w:rPr>
              <w:t>5</w:t>
            </w:r>
            <w:r>
              <w:rPr>
                <w:rFonts w:hint="eastAsia" w:ascii="Times New Roman" w:hAnsi="Times New Roman" w:eastAsia="宋体" w:cs="Times New Roman"/>
                <w:color w:val="000000" w:themeColor="text1"/>
                <w:sz w:val="24"/>
                <w14:textFill>
                  <w14:solidFill>
                    <w14:schemeClr w14:val="tx1"/>
                  </w14:solidFill>
                </w14:textFill>
              </w:rPr>
              <w:t>、SS、氨氮为主，经三级化粪池预处理排入自建污水处理站处理。产生浓度参考《环境影响评价技术基础》（环境科学系编）中统计多年实际监测经验结果中的南方地区办公污水主要污染物的产生浓度CODcr：250mg/L、BOD：150mg/L、SS：150mg/L、氨氮：20mg/L、动植物油20mg/L。处理效率参考《村镇生活污染防治最佳可行技术指南（试行）》</w:t>
            </w:r>
            <w:r>
              <w:rPr>
                <w:rFonts w:ascii="Times New Roman" w:hAnsi="Times New Roman" w:eastAsia="宋体" w:cs="Times New Roman"/>
                <w:color w:val="000000" w:themeColor="text1"/>
                <w:sz w:val="24"/>
                <w14:textFill>
                  <w14:solidFill>
                    <w14:schemeClr w14:val="tx1"/>
                  </w14:solidFill>
                </w14:textFill>
              </w:rPr>
              <w:t>（HJ-BAT-9）三级化粪池对生活污水污染物的去除效率：COD</w:t>
            </w:r>
            <w:r>
              <w:rPr>
                <w:rFonts w:hint="eastAsia" w:ascii="Times New Roman" w:hAnsi="Times New Roman" w:eastAsia="宋体" w:cs="Times New Roman"/>
                <w:color w:val="000000" w:themeColor="text1"/>
                <w:sz w:val="24"/>
                <w:vertAlign w:val="subscript"/>
                <w14:textFill>
                  <w14:solidFill>
                    <w14:schemeClr w14:val="tx1"/>
                  </w14:solidFill>
                </w14:textFill>
              </w:rPr>
              <w:t>Cr</w:t>
            </w:r>
            <w:r>
              <w:rPr>
                <w:rFonts w:hint="eastAsia" w:ascii="Times New Roman" w:hAnsi="Times New Roman" w:eastAsia="宋体" w:cs="Times New Roman"/>
                <w:color w:val="000000" w:themeColor="text1"/>
                <w:sz w:val="24"/>
                <w14:textFill>
                  <w14:solidFill>
                    <w14:schemeClr w14:val="tx1"/>
                  </w14:solidFill>
                </w14:textFill>
              </w:rPr>
              <w:t>去除率取</w:t>
            </w:r>
            <w:r>
              <w:rPr>
                <w:rFonts w:ascii="Times New Roman" w:hAnsi="Times New Roman" w:eastAsia="宋体" w:cs="Times New Roman"/>
                <w:color w:val="000000" w:themeColor="text1"/>
                <w:sz w:val="24"/>
                <w14:textFill>
                  <w14:solidFill>
                    <w14:schemeClr w14:val="tx1"/>
                  </w14:solidFill>
                </w14:textFill>
              </w:rPr>
              <w:t>50%、SS</w:t>
            </w:r>
            <w:r>
              <w:rPr>
                <w:rFonts w:hint="eastAsia" w:ascii="Times New Roman" w:hAnsi="Times New Roman" w:eastAsia="宋体" w:cs="Times New Roman"/>
                <w:color w:val="000000" w:themeColor="text1"/>
                <w:sz w:val="24"/>
                <w14:textFill>
                  <w14:solidFill>
                    <w14:schemeClr w14:val="tx1"/>
                  </w14:solidFill>
                </w14:textFill>
              </w:rPr>
              <w:t>去除率取</w:t>
            </w:r>
            <w:r>
              <w:rPr>
                <w:rFonts w:ascii="Times New Roman" w:hAnsi="Times New Roman" w:eastAsia="宋体" w:cs="Times New Roman"/>
                <w:color w:val="000000" w:themeColor="text1"/>
                <w:sz w:val="24"/>
                <w14:textFill>
                  <w14:solidFill>
                    <w14:schemeClr w14:val="tx1"/>
                  </w14:solidFill>
                </w14:textFill>
              </w:rPr>
              <w:t>60%、</w:t>
            </w:r>
            <w:r>
              <w:rPr>
                <w:rFonts w:hint="eastAsia" w:ascii="Times New Roman" w:hAnsi="Times New Roman" w:eastAsia="宋体" w:cs="Times New Roman"/>
                <w:color w:val="000000" w:themeColor="text1"/>
                <w:sz w:val="24"/>
                <w14:textFill>
                  <w14:solidFill>
                    <w14:schemeClr w14:val="tx1"/>
                  </w14:solidFill>
                </w14:textFill>
              </w:rPr>
              <w:t>NH</w:t>
            </w:r>
            <w:r>
              <w:rPr>
                <w:rFonts w:hint="eastAsia" w:ascii="Times New Roman" w:hAnsi="Times New Roman" w:eastAsia="宋体" w:cs="Times New Roman"/>
                <w:color w:val="000000" w:themeColor="text1"/>
                <w:sz w:val="24"/>
                <w:vertAlign w:val="subscript"/>
                <w14:textFill>
                  <w14:solidFill>
                    <w14:schemeClr w14:val="tx1"/>
                  </w14:solidFill>
                </w14:textFill>
              </w:rPr>
              <w:t>3</w:t>
            </w:r>
            <w:r>
              <w:rPr>
                <w:rFonts w:hint="eastAsia" w:ascii="Times New Roman" w:hAnsi="Times New Roman" w:eastAsia="宋体" w:cs="Times New Roman"/>
                <w:color w:val="000000" w:themeColor="text1"/>
                <w:sz w:val="24"/>
                <w14:textFill>
                  <w14:solidFill>
                    <w14:schemeClr w14:val="tx1"/>
                  </w14:solidFill>
                </w14:textFill>
              </w:rPr>
              <w:t>-N去除率取3</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14:textFill>
                  <w14:solidFill>
                    <w14:schemeClr w14:val="tx1"/>
                  </w14:solidFill>
                </w14:textFill>
              </w:rPr>
              <w:t>一般处理工艺对BOD和COD的去除效率相当，本评价BOD</w:t>
            </w:r>
            <w:r>
              <w:rPr>
                <w:rFonts w:hint="eastAsia" w:ascii="Times New Roman" w:hAnsi="Times New Roman" w:eastAsia="宋体" w:cs="Times New Roman"/>
                <w:color w:val="000000" w:themeColor="text1"/>
                <w:sz w:val="24"/>
                <w:vertAlign w:val="subscript"/>
                <w14:textFill>
                  <w14:solidFill>
                    <w14:schemeClr w14:val="tx1"/>
                  </w14:solidFill>
                </w14:textFill>
              </w:rPr>
              <w:t>5</w:t>
            </w:r>
            <w:r>
              <w:rPr>
                <w:rFonts w:hint="eastAsia" w:ascii="Times New Roman" w:hAnsi="Times New Roman" w:eastAsia="宋体" w:cs="Times New Roman"/>
                <w:color w:val="000000" w:themeColor="text1"/>
                <w:sz w:val="24"/>
                <w14:textFill>
                  <w14:solidFill>
                    <w14:schemeClr w14:val="tx1"/>
                  </w14:solidFill>
                </w14:textFill>
              </w:rPr>
              <w:t>去除效率同取50%。</w:t>
            </w:r>
            <w:r>
              <w:rPr>
                <w:rFonts w:ascii="Times New Roman" w:hAnsi="Times New Roman" w:eastAsia="宋体" w:cs="Times New Roman"/>
                <w:color w:val="000000" w:themeColor="text1"/>
                <w:sz w:val="24"/>
                <w14:textFill>
                  <w14:solidFill>
                    <w14:schemeClr w14:val="tx1"/>
                  </w14:solidFill>
                </w14:textFill>
              </w:rPr>
              <w:t>生活污水污染物的产</w:t>
            </w:r>
            <w:r>
              <w:rPr>
                <w:rFonts w:hint="eastAsia" w:ascii="Times New Roman" w:hAnsi="Times New Roman" w:eastAsia="宋体" w:cs="Times New Roman"/>
                <w:color w:val="000000" w:themeColor="text1"/>
                <w:sz w:val="24"/>
                <w14:textFill>
                  <w14:solidFill>
                    <w14:schemeClr w14:val="tx1"/>
                  </w14:solidFill>
                </w14:textFill>
              </w:rPr>
              <w:t>排</w:t>
            </w:r>
            <w:r>
              <w:rPr>
                <w:rFonts w:ascii="Times New Roman" w:hAnsi="Times New Roman" w:eastAsia="宋体" w:cs="Times New Roman"/>
                <w:color w:val="000000" w:themeColor="text1"/>
                <w:sz w:val="24"/>
                <w14:textFill>
                  <w14:solidFill>
                    <w14:schemeClr w14:val="tx1"/>
                  </w14:solidFill>
                </w14:textFill>
              </w:rPr>
              <w:t>情况见下表。</w:t>
            </w:r>
          </w:p>
          <w:p w14:paraId="462AD512">
            <w:pPr>
              <w:spacing w:line="480" w:lineRule="exact"/>
              <w:ind w:firstLine="482" w:firstLineChars="200"/>
              <w:jc w:val="center"/>
              <w:rPr>
                <w:rFonts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表4-10项目生活污水产排情况</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614"/>
              <w:gridCol w:w="1285"/>
              <w:gridCol w:w="1323"/>
              <w:gridCol w:w="1136"/>
              <w:gridCol w:w="1448"/>
              <w:gridCol w:w="1191"/>
            </w:tblGrid>
            <w:tr w14:paraId="0E3C2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1009" w:type="pct"/>
                  <w:noWrap w:val="0"/>
                  <w:tcMar>
                    <w:top w:w="120" w:type="dxa"/>
                    <w:left w:w="120" w:type="dxa"/>
                    <w:bottom w:w="120" w:type="dxa"/>
                    <w:right w:w="120" w:type="dxa"/>
                  </w:tcMar>
                  <w:vAlign w:val="center"/>
                </w:tcPr>
                <w:p w14:paraId="76CAECFA">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污染源类型</w:t>
                  </w:r>
                </w:p>
              </w:tc>
              <w:tc>
                <w:tcPr>
                  <w:tcW w:w="803" w:type="pct"/>
                  <w:noWrap w:val="0"/>
                  <w:tcMar>
                    <w:top w:w="120" w:type="dxa"/>
                    <w:left w:w="120" w:type="dxa"/>
                    <w:bottom w:w="120" w:type="dxa"/>
                    <w:right w:w="120" w:type="dxa"/>
                  </w:tcMar>
                  <w:vAlign w:val="center"/>
                </w:tcPr>
                <w:p w14:paraId="55D9E2B7">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污染物名称</w:t>
                  </w:r>
                </w:p>
              </w:tc>
              <w:tc>
                <w:tcPr>
                  <w:tcW w:w="827" w:type="pct"/>
                  <w:noWrap w:val="0"/>
                  <w:tcMar>
                    <w:top w:w="120" w:type="dxa"/>
                    <w:left w:w="120" w:type="dxa"/>
                    <w:bottom w:w="120" w:type="dxa"/>
                    <w:right w:w="120" w:type="dxa"/>
                  </w:tcMar>
                  <w:vAlign w:val="center"/>
                </w:tcPr>
                <w:p w14:paraId="75544F38">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产生浓度（mg/L）</w:t>
                  </w:r>
                </w:p>
              </w:tc>
              <w:tc>
                <w:tcPr>
                  <w:tcW w:w="710" w:type="pct"/>
                  <w:noWrap w:val="0"/>
                  <w:tcMar>
                    <w:top w:w="120" w:type="dxa"/>
                    <w:left w:w="120" w:type="dxa"/>
                    <w:bottom w:w="120" w:type="dxa"/>
                    <w:right w:w="120" w:type="dxa"/>
                  </w:tcMar>
                  <w:vAlign w:val="center"/>
                </w:tcPr>
                <w:p w14:paraId="1CE5C0BE">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产生量（t/a）</w:t>
                  </w:r>
                </w:p>
              </w:tc>
              <w:tc>
                <w:tcPr>
                  <w:tcW w:w="905" w:type="pct"/>
                  <w:noWrap w:val="0"/>
                  <w:tcMar>
                    <w:top w:w="120" w:type="dxa"/>
                    <w:left w:w="120" w:type="dxa"/>
                    <w:bottom w:w="120" w:type="dxa"/>
                    <w:right w:w="120" w:type="dxa"/>
                  </w:tcMar>
                  <w:vAlign w:val="center"/>
                </w:tcPr>
                <w:p w14:paraId="16F13553">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排放浓度（mg/L）</w:t>
                  </w:r>
                </w:p>
              </w:tc>
              <w:tc>
                <w:tcPr>
                  <w:tcW w:w="744" w:type="pct"/>
                  <w:noWrap w:val="0"/>
                  <w:tcMar>
                    <w:top w:w="120" w:type="dxa"/>
                    <w:left w:w="120" w:type="dxa"/>
                    <w:bottom w:w="120" w:type="dxa"/>
                    <w:right w:w="120" w:type="dxa"/>
                  </w:tcMar>
                  <w:vAlign w:val="center"/>
                </w:tcPr>
                <w:p w14:paraId="128CF3C2">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排放量（t/a）</w:t>
                  </w:r>
                </w:p>
              </w:tc>
            </w:tr>
            <w:tr w14:paraId="0C9C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9" w:type="pct"/>
                  <w:vMerge w:val="restart"/>
                  <w:noWrap w:val="0"/>
                  <w:tcMar>
                    <w:top w:w="120" w:type="dxa"/>
                    <w:left w:w="120" w:type="dxa"/>
                    <w:bottom w:w="120" w:type="dxa"/>
                    <w:right w:w="120" w:type="dxa"/>
                  </w:tcMar>
                  <w:vAlign w:val="center"/>
                </w:tcPr>
                <w:p w14:paraId="26A8658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生活污水污水产生量135m³/a</w:t>
                  </w:r>
                </w:p>
              </w:tc>
              <w:tc>
                <w:tcPr>
                  <w:tcW w:w="803" w:type="pct"/>
                  <w:noWrap w:val="0"/>
                  <w:tcMar>
                    <w:top w:w="120" w:type="dxa"/>
                    <w:left w:w="120" w:type="dxa"/>
                    <w:bottom w:w="120" w:type="dxa"/>
                    <w:right w:w="120" w:type="dxa"/>
                  </w:tcMar>
                  <w:vAlign w:val="center"/>
                </w:tcPr>
                <w:p w14:paraId="6C1410B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p>
              </w:tc>
              <w:tc>
                <w:tcPr>
                  <w:tcW w:w="827" w:type="pct"/>
                  <w:noWrap w:val="0"/>
                  <w:tcMar>
                    <w:top w:w="120" w:type="dxa"/>
                    <w:left w:w="120" w:type="dxa"/>
                    <w:bottom w:w="120" w:type="dxa"/>
                    <w:right w:w="120" w:type="dxa"/>
                  </w:tcMar>
                  <w:vAlign w:val="center"/>
                </w:tcPr>
                <w:p w14:paraId="11E1A1A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250</w:t>
                  </w:r>
                </w:p>
              </w:tc>
              <w:tc>
                <w:tcPr>
                  <w:tcW w:w="710" w:type="pct"/>
                  <w:noWrap w:val="0"/>
                  <w:tcMar>
                    <w:top w:w="120" w:type="dxa"/>
                    <w:left w:w="120" w:type="dxa"/>
                    <w:bottom w:w="120" w:type="dxa"/>
                    <w:right w:w="120" w:type="dxa"/>
                  </w:tcMar>
                  <w:vAlign w:val="center"/>
                </w:tcPr>
                <w:p w14:paraId="44F2AB7D">
                  <w:pPr>
                    <w:widowControl/>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0.033</w:t>
                  </w:r>
                  <w:r>
                    <w:rPr>
                      <w:rFonts w:hint="eastAsia" w:ascii="Times New Roman" w:hAnsi="Times New Roman" w:eastAsia="宋体" w:cs="Times New Roman"/>
                      <w:color w:val="000000" w:themeColor="text1"/>
                      <w:kern w:val="0"/>
                      <w:szCs w:val="21"/>
                      <w:lang w:bidi="ar"/>
                      <w14:textFill>
                        <w14:solidFill>
                          <w14:schemeClr w14:val="tx1"/>
                        </w14:solidFill>
                      </w14:textFill>
                    </w:rPr>
                    <w:t>8</w:t>
                  </w:r>
                </w:p>
              </w:tc>
              <w:tc>
                <w:tcPr>
                  <w:tcW w:w="905" w:type="pct"/>
                  <w:noWrap w:val="0"/>
                  <w:tcMar>
                    <w:top w:w="120" w:type="dxa"/>
                    <w:left w:w="120" w:type="dxa"/>
                    <w:bottom w:w="120" w:type="dxa"/>
                    <w:right w:w="120" w:type="dxa"/>
                  </w:tcMar>
                  <w:vAlign w:val="center"/>
                </w:tcPr>
                <w:p w14:paraId="4A5B2B6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125.00</w:t>
                  </w:r>
                </w:p>
              </w:tc>
              <w:tc>
                <w:tcPr>
                  <w:tcW w:w="744" w:type="pct"/>
                  <w:noWrap w:val="0"/>
                  <w:tcMar>
                    <w:top w:w="120" w:type="dxa"/>
                    <w:left w:w="120" w:type="dxa"/>
                    <w:bottom w:w="120" w:type="dxa"/>
                    <w:right w:w="120" w:type="dxa"/>
                  </w:tcMar>
                  <w:vAlign w:val="center"/>
                </w:tcPr>
                <w:p w14:paraId="408AFE33">
                  <w:pPr>
                    <w:widowControl/>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0.016</w:t>
                  </w:r>
                  <w:r>
                    <w:rPr>
                      <w:rFonts w:hint="eastAsia" w:ascii="Times New Roman" w:hAnsi="Times New Roman" w:eastAsia="宋体" w:cs="Times New Roman"/>
                      <w:color w:val="000000" w:themeColor="text1"/>
                      <w:kern w:val="0"/>
                      <w:szCs w:val="21"/>
                      <w:lang w:bidi="ar"/>
                      <w14:textFill>
                        <w14:solidFill>
                          <w14:schemeClr w14:val="tx1"/>
                        </w14:solidFill>
                      </w14:textFill>
                    </w:rPr>
                    <w:t>9</w:t>
                  </w:r>
                </w:p>
              </w:tc>
            </w:tr>
            <w:tr w14:paraId="3FFE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9" w:type="pct"/>
                  <w:vMerge w:val="continue"/>
                  <w:noWrap w:val="0"/>
                  <w:tcMar>
                    <w:top w:w="120" w:type="dxa"/>
                    <w:left w:w="120" w:type="dxa"/>
                    <w:bottom w:w="120" w:type="dxa"/>
                    <w:right w:w="120" w:type="dxa"/>
                  </w:tcMar>
                  <w:vAlign w:val="center"/>
                </w:tcPr>
                <w:p w14:paraId="1302269C">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803" w:type="pct"/>
                  <w:noWrap w:val="0"/>
                  <w:tcMar>
                    <w:top w:w="120" w:type="dxa"/>
                    <w:left w:w="120" w:type="dxa"/>
                    <w:bottom w:w="120" w:type="dxa"/>
                    <w:right w:w="120" w:type="dxa"/>
                  </w:tcMar>
                  <w:vAlign w:val="center"/>
                </w:tcPr>
                <w:p w14:paraId="1145F27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BOD₅</w:t>
                  </w:r>
                </w:p>
              </w:tc>
              <w:tc>
                <w:tcPr>
                  <w:tcW w:w="827" w:type="pct"/>
                  <w:noWrap w:val="0"/>
                  <w:tcMar>
                    <w:top w:w="120" w:type="dxa"/>
                    <w:left w:w="120" w:type="dxa"/>
                    <w:bottom w:w="120" w:type="dxa"/>
                    <w:right w:w="120" w:type="dxa"/>
                  </w:tcMar>
                  <w:vAlign w:val="center"/>
                </w:tcPr>
                <w:p w14:paraId="7CE8D5D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150</w:t>
                  </w:r>
                </w:p>
              </w:tc>
              <w:tc>
                <w:tcPr>
                  <w:tcW w:w="710" w:type="pct"/>
                  <w:noWrap w:val="0"/>
                  <w:tcMar>
                    <w:top w:w="120" w:type="dxa"/>
                    <w:left w:w="120" w:type="dxa"/>
                    <w:bottom w:w="120" w:type="dxa"/>
                    <w:right w:w="120" w:type="dxa"/>
                  </w:tcMar>
                  <w:vAlign w:val="center"/>
                </w:tcPr>
                <w:p w14:paraId="696E2BD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0.0202</w:t>
                  </w:r>
                </w:p>
              </w:tc>
              <w:tc>
                <w:tcPr>
                  <w:tcW w:w="905" w:type="pct"/>
                  <w:noWrap w:val="0"/>
                  <w:tcMar>
                    <w:top w:w="120" w:type="dxa"/>
                    <w:left w:w="120" w:type="dxa"/>
                    <w:bottom w:w="120" w:type="dxa"/>
                    <w:right w:w="120" w:type="dxa"/>
                  </w:tcMar>
                  <w:vAlign w:val="center"/>
                </w:tcPr>
                <w:p w14:paraId="5199F73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75.00</w:t>
                  </w:r>
                </w:p>
              </w:tc>
              <w:tc>
                <w:tcPr>
                  <w:tcW w:w="744" w:type="pct"/>
                  <w:noWrap w:val="0"/>
                  <w:tcMar>
                    <w:top w:w="120" w:type="dxa"/>
                    <w:left w:w="120" w:type="dxa"/>
                    <w:bottom w:w="120" w:type="dxa"/>
                    <w:right w:w="120" w:type="dxa"/>
                  </w:tcMar>
                  <w:vAlign w:val="center"/>
                </w:tcPr>
                <w:p w14:paraId="238540E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0.0101</w:t>
                  </w:r>
                </w:p>
              </w:tc>
            </w:tr>
            <w:tr w14:paraId="0338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9" w:type="pct"/>
                  <w:vMerge w:val="continue"/>
                  <w:noWrap w:val="0"/>
                  <w:tcMar>
                    <w:top w:w="120" w:type="dxa"/>
                    <w:left w:w="120" w:type="dxa"/>
                    <w:bottom w:w="120" w:type="dxa"/>
                    <w:right w:w="120" w:type="dxa"/>
                  </w:tcMar>
                  <w:vAlign w:val="center"/>
                </w:tcPr>
                <w:p w14:paraId="531F17F3">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803" w:type="pct"/>
                  <w:noWrap w:val="0"/>
                  <w:tcMar>
                    <w:top w:w="120" w:type="dxa"/>
                    <w:left w:w="120" w:type="dxa"/>
                    <w:bottom w:w="120" w:type="dxa"/>
                    <w:right w:w="120" w:type="dxa"/>
                  </w:tcMar>
                  <w:vAlign w:val="center"/>
                </w:tcPr>
                <w:p w14:paraId="400EC87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SS</w:t>
                  </w:r>
                </w:p>
              </w:tc>
              <w:tc>
                <w:tcPr>
                  <w:tcW w:w="827" w:type="pct"/>
                  <w:noWrap w:val="0"/>
                  <w:tcMar>
                    <w:top w:w="120" w:type="dxa"/>
                    <w:left w:w="120" w:type="dxa"/>
                    <w:bottom w:w="120" w:type="dxa"/>
                    <w:right w:w="120" w:type="dxa"/>
                  </w:tcMar>
                  <w:vAlign w:val="center"/>
                </w:tcPr>
                <w:p w14:paraId="67F06A3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150</w:t>
                  </w:r>
                </w:p>
              </w:tc>
              <w:tc>
                <w:tcPr>
                  <w:tcW w:w="710" w:type="pct"/>
                  <w:noWrap w:val="0"/>
                  <w:tcMar>
                    <w:top w:w="120" w:type="dxa"/>
                    <w:left w:w="120" w:type="dxa"/>
                    <w:bottom w:w="120" w:type="dxa"/>
                    <w:right w:w="120" w:type="dxa"/>
                  </w:tcMar>
                  <w:vAlign w:val="center"/>
                </w:tcPr>
                <w:p w14:paraId="677D29DC">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0.0202</w:t>
                  </w:r>
                </w:p>
              </w:tc>
              <w:tc>
                <w:tcPr>
                  <w:tcW w:w="905" w:type="pct"/>
                  <w:noWrap w:val="0"/>
                  <w:tcMar>
                    <w:top w:w="120" w:type="dxa"/>
                    <w:left w:w="120" w:type="dxa"/>
                    <w:bottom w:w="120" w:type="dxa"/>
                    <w:right w:w="120" w:type="dxa"/>
                  </w:tcMar>
                  <w:vAlign w:val="center"/>
                </w:tcPr>
                <w:p w14:paraId="7E113FB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60.00</w:t>
                  </w:r>
                </w:p>
              </w:tc>
              <w:tc>
                <w:tcPr>
                  <w:tcW w:w="744" w:type="pct"/>
                  <w:noWrap w:val="0"/>
                  <w:tcMar>
                    <w:top w:w="120" w:type="dxa"/>
                    <w:left w:w="120" w:type="dxa"/>
                    <w:bottom w:w="120" w:type="dxa"/>
                    <w:right w:w="120" w:type="dxa"/>
                  </w:tcMar>
                  <w:vAlign w:val="center"/>
                </w:tcPr>
                <w:p w14:paraId="7A3C842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0.0081</w:t>
                  </w:r>
                </w:p>
              </w:tc>
            </w:tr>
            <w:tr w14:paraId="25B86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009" w:type="pct"/>
                  <w:vMerge w:val="continue"/>
                  <w:noWrap w:val="0"/>
                  <w:tcMar>
                    <w:top w:w="120" w:type="dxa"/>
                    <w:left w:w="120" w:type="dxa"/>
                    <w:bottom w:w="120" w:type="dxa"/>
                    <w:right w:w="120" w:type="dxa"/>
                  </w:tcMar>
                  <w:vAlign w:val="center"/>
                </w:tcPr>
                <w:p w14:paraId="748BC101">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803" w:type="pct"/>
                  <w:noWrap w:val="0"/>
                  <w:tcMar>
                    <w:top w:w="120" w:type="dxa"/>
                    <w:left w:w="120" w:type="dxa"/>
                    <w:bottom w:w="120" w:type="dxa"/>
                    <w:right w:w="120" w:type="dxa"/>
                  </w:tcMar>
                  <w:vAlign w:val="center"/>
                </w:tcPr>
                <w:p w14:paraId="02D3785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NH₃-N</w:t>
                  </w:r>
                </w:p>
              </w:tc>
              <w:tc>
                <w:tcPr>
                  <w:tcW w:w="827" w:type="pct"/>
                  <w:noWrap w:val="0"/>
                  <w:tcMar>
                    <w:top w:w="120" w:type="dxa"/>
                    <w:left w:w="120" w:type="dxa"/>
                    <w:bottom w:w="120" w:type="dxa"/>
                    <w:right w:w="120" w:type="dxa"/>
                  </w:tcMar>
                  <w:vAlign w:val="center"/>
                </w:tcPr>
                <w:p w14:paraId="3D6F22E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20</w:t>
                  </w:r>
                </w:p>
              </w:tc>
              <w:tc>
                <w:tcPr>
                  <w:tcW w:w="710" w:type="pct"/>
                  <w:noWrap w:val="0"/>
                  <w:tcMar>
                    <w:top w:w="120" w:type="dxa"/>
                    <w:left w:w="120" w:type="dxa"/>
                    <w:bottom w:w="120" w:type="dxa"/>
                    <w:right w:w="120" w:type="dxa"/>
                  </w:tcMar>
                  <w:vAlign w:val="center"/>
                </w:tcPr>
                <w:p w14:paraId="115A07C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0.0027</w:t>
                  </w:r>
                </w:p>
              </w:tc>
              <w:tc>
                <w:tcPr>
                  <w:tcW w:w="905" w:type="pct"/>
                  <w:noWrap w:val="0"/>
                  <w:tcMar>
                    <w:top w:w="120" w:type="dxa"/>
                    <w:left w:w="120" w:type="dxa"/>
                    <w:bottom w:w="120" w:type="dxa"/>
                    <w:right w:w="120" w:type="dxa"/>
                  </w:tcMar>
                  <w:vAlign w:val="center"/>
                </w:tcPr>
                <w:p w14:paraId="3B50A65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19.40</w:t>
                  </w:r>
                </w:p>
              </w:tc>
              <w:tc>
                <w:tcPr>
                  <w:tcW w:w="744" w:type="pct"/>
                  <w:noWrap w:val="0"/>
                  <w:tcMar>
                    <w:top w:w="120" w:type="dxa"/>
                    <w:left w:w="120" w:type="dxa"/>
                    <w:bottom w:w="120" w:type="dxa"/>
                    <w:right w:w="120" w:type="dxa"/>
                  </w:tcMar>
                  <w:vAlign w:val="center"/>
                </w:tcPr>
                <w:p w14:paraId="3463151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0.0026</w:t>
                  </w:r>
                </w:p>
              </w:tc>
            </w:tr>
          </w:tbl>
          <w:p w14:paraId="38AF65C5">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（2）</w:t>
            </w:r>
            <w:r>
              <w:rPr>
                <w:rFonts w:ascii="Times New Roman" w:hAnsi="Times New Roman" w:eastAsia="宋体" w:cs="Times New Roman"/>
                <w:b/>
                <w:color w:val="000000" w:themeColor="text1"/>
                <w:sz w:val="24"/>
                <w14:textFill>
                  <w14:solidFill>
                    <w14:schemeClr w14:val="tx1"/>
                  </w14:solidFill>
                </w14:textFill>
              </w:rPr>
              <w:t>洗</w:t>
            </w:r>
            <w:r>
              <w:rPr>
                <w:rFonts w:hint="eastAsia" w:ascii="Times New Roman" w:hAnsi="Times New Roman" w:eastAsia="宋体" w:cs="Times New Roman"/>
                <w:b/>
                <w:color w:val="000000" w:themeColor="text1"/>
                <w:sz w:val="24"/>
                <w14:textFill>
                  <w14:solidFill>
                    <w14:schemeClr w14:val="tx1"/>
                  </w14:solidFill>
                </w14:textFill>
              </w:rPr>
              <w:t>涤</w:t>
            </w:r>
            <w:r>
              <w:rPr>
                <w:rFonts w:ascii="Times New Roman" w:hAnsi="Times New Roman" w:eastAsia="宋体" w:cs="Times New Roman"/>
                <w:b/>
                <w:color w:val="000000" w:themeColor="text1"/>
                <w:sz w:val="24"/>
                <w14:textFill>
                  <w14:solidFill>
                    <w14:schemeClr w14:val="tx1"/>
                  </w14:solidFill>
                </w14:textFill>
              </w:rPr>
              <w:t>废水</w:t>
            </w:r>
          </w:p>
          <w:p w14:paraId="47B35A2C">
            <w:pPr>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项目建成后预计年清洗62万套被服和26万套台布。</w:t>
            </w:r>
            <w:r>
              <w:rPr>
                <w:rFonts w:hint="eastAsia" w:ascii="Times New Roman" w:hAnsi="Times New Roman" w:eastAsia="宋体" w:cs="Times New Roman"/>
                <w:color w:val="000000" w:themeColor="text1"/>
                <w:sz w:val="24"/>
                <w14:textFill>
                  <w14:solidFill>
                    <w14:schemeClr w14:val="tx1"/>
                  </w14:solidFill>
                </w14:textFill>
              </w:rPr>
              <w:t>根据建设单位提供资料，</w:t>
            </w:r>
            <w:r>
              <w:rPr>
                <w:rFonts w:ascii="Times New Roman" w:hAnsi="Times New Roman" w:eastAsia="宋体" w:cs="Times New Roman"/>
                <w:color w:val="000000" w:themeColor="text1"/>
                <w:sz w:val="24"/>
                <w14:textFill>
                  <w14:solidFill>
                    <w14:schemeClr w14:val="tx1"/>
                  </w14:solidFill>
                </w14:textFill>
              </w:rPr>
              <w:t>被服平均干重2.0kg/套，台布平均干重1.0kg/套，总干织物量1500t/a。根据《环境标志产品技术要求洗衣店和洗衣工厂》（HJ1162-2021），水洗设备单位洗涤容量耗水量取25L/kg干织物，则洗涤用水量为37500m³/a。洗涤废水产生系数取0.85，洗涤废水量31875m³/a。</w:t>
            </w:r>
            <w:r>
              <w:rPr>
                <w:rFonts w:hint="eastAsia" w:ascii="Times New Roman" w:hAnsi="Times New Roman" w:eastAsia="宋体" w:cs="Times New Roman"/>
                <w:color w:val="000000" w:themeColor="text1"/>
                <w:sz w:val="24"/>
                <w14:textFill>
                  <w14:solidFill>
                    <w14:schemeClr w14:val="tx1"/>
                  </w14:solidFill>
                </w14:textFill>
              </w:rPr>
              <w:t>项目所产生的洗涤废水经自建污水处理站处理后排入市政管网至湛江市霞山区水质净化厂。</w:t>
            </w:r>
          </w:p>
          <w:p w14:paraId="0DE3D75D">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洗涤废水主要污染物为CODcr、BOD</w:t>
            </w:r>
            <w:r>
              <w:rPr>
                <w:rFonts w:hint="eastAsia" w:ascii="Times New Roman" w:hAnsi="Times New Roman" w:eastAsia="宋体" w:cs="Times New Roman"/>
                <w:color w:val="000000" w:themeColor="text1"/>
                <w:sz w:val="24"/>
                <w:vertAlign w:val="subscript"/>
                <w:lang w:val="en-US" w:eastAsia="zh-CN"/>
                <w14:textFill>
                  <w14:solidFill>
                    <w14:schemeClr w14:val="tx1"/>
                  </w14:solidFill>
                </w14:textFill>
              </w:rPr>
              <w:t>5</w:t>
            </w:r>
            <w:r>
              <w:rPr>
                <w:rFonts w:ascii="Times New Roman" w:hAnsi="Times New Roman" w:eastAsia="宋体" w:cs="Times New Roman"/>
                <w:color w:val="000000" w:themeColor="text1"/>
                <w:sz w:val="24"/>
                <w14:textFill>
                  <w14:solidFill>
                    <w14:schemeClr w14:val="tx1"/>
                  </w14:solidFill>
                </w14:textFill>
              </w:rPr>
              <w:t>、NH</w:t>
            </w:r>
            <w:r>
              <w:rPr>
                <w:rFonts w:ascii="Times New Roman" w:hAnsi="Times New Roman" w:eastAsia="宋体" w:cs="Times New Roman"/>
                <w:color w:val="000000" w:themeColor="text1"/>
                <w:sz w:val="24"/>
                <w:vertAlign w:val="sub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N、SS、LAS,污染物产生浓度参考《广州山池洗涤有限公司年洗涤20万件布草建设项目验收检测报告》(以下简称“类比项目”)，监测单位为同创伟业(广东)检测技术股份有限公司，检测报告编号为TCWY检字(2020)第0407003号，详见附件</w:t>
            </w:r>
            <w:r>
              <w:rPr>
                <w:rFonts w:hint="eastAsia" w:ascii="Times New Roman" w:hAnsi="Times New Roman" w:eastAsia="宋体" w:cs="Times New Roman"/>
                <w:color w:val="000000" w:themeColor="text1"/>
                <w:sz w:val="24"/>
                <w14:textFill>
                  <w14:solidFill>
                    <w14:schemeClr w14:val="tx1"/>
                  </w14:solidFill>
                </w14:textFill>
              </w:rPr>
              <w:t>8</w:t>
            </w:r>
            <w:r>
              <w:rPr>
                <w:rFonts w:ascii="Times New Roman" w:hAnsi="Times New Roman" w:eastAsia="宋体" w:cs="Times New Roman"/>
                <w:color w:val="000000" w:themeColor="text1"/>
                <w:sz w:val="24"/>
                <w14:textFill>
                  <w14:solidFill>
                    <w14:schemeClr w14:val="tx1"/>
                  </w14:solidFill>
                </w14:textFill>
              </w:rPr>
              <w:t>。本项目与类比项目可类比性分析如下表所示:</w:t>
            </w:r>
          </w:p>
          <w:p w14:paraId="20F11070">
            <w:pPr>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表4-11本项目洗涤废水类比可行性情况一览表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35"/>
              <w:gridCol w:w="2386"/>
              <w:gridCol w:w="2876"/>
              <w:gridCol w:w="1197"/>
            </w:tblGrid>
            <w:tr w14:paraId="6629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960" w:type="pct"/>
                  <w:noWrap w:val="0"/>
                  <w:tcMar>
                    <w:top w:w="120" w:type="dxa"/>
                    <w:left w:w="120" w:type="dxa"/>
                    <w:bottom w:w="120" w:type="dxa"/>
                    <w:right w:w="120" w:type="dxa"/>
                  </w:tcMar>
                  <w:vAlign w:val="center"/>
                </w:tcPr>
                <w:p w14:paraId="26D234BE">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对比情况</w:t>
                  </w:r>
                  <w:r>
                    <w:rPr>
                      <w:rFonts w:hint="eastAsia" w:ascii="Times New Roman" w:hAnsi="Times New Roman" w:eastAsia="宋体" w:cs="Times New Roman"/>
                      <w:b/>
                      <w:bCs/>
                      <w:color w:val="000000" w:themeColor="text1"/>
                      <w:kern w:val="0"/>
                      <w:szCs w:val="21"/>
                      <w:lang w:bidi="ar"/>
                      <w14:textFill>
                        <w14:solidFill>
                          <w14:schemeClr w14:val="tx1"/>
                        </w14:solidFill>
                      </w14:textFill>
                    </w:rPr>
                    <w:t>/</w:t>
                  </w:r>
                  <w:r>
                    <w:rPr>
                      <w:rFonts w:ascii="Times New Roman" w:hAnsi="Times New Roman" w:eastAsia="宋体" w:cs="Times New Roman"/>
                      <w:b/>
                      <w:bCs/>
                      <w:color w:val="000000" w:themeColor="text1"/>
                      <w:kern w:val="0"/>
                      <w:szCs w:val="21"/>
                      <w:lang w:bidi="ar"/>
                      <w14:textFill>
                        <w14:solidFill>
                          <w14:schemeClr w14:val="tx1"/>
                        </w14:solidFill>
                      </w14:textFill>
                    </w:rPr>
                    <w:t>项目</w:t>
                  </w:r>
                </w:p>
              </w:tc>
              <w:tc>
                <w:tcPr>
                  <w:tcW w:w="1492" w:type="pct"/>
                  <w:noWrap w:val="0"/>
                  <w:tcMar>
                    <w:top w:w="120" w:type="dxa"/>
                    <w:left w:w="120" w:type="dxa"/>
                    <w:bottom w:w="120" w:type="dxa"/>
                    <w:right w:w="120" w:type="dxa"/>
                  </w:tcMar>
                  <w:vAlign w:val="center"/>
                </w:tcPr>
                <w:p w14:paraId="05A84DB0">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广州山池洗涤有限公司年洗涤20万件布草建设项目</w:t>
                  </w:r>
                </w:p>
              </w:tc>
              <w:tc>
                <w:tcPr>
                  <w:tcW w:w="1798" w:type="pct"/>
                  <w:noWrap w:val="0"/>
                  <w:tcMar>
                    <w:top w:w="120" w:type="dxa"/>
                    <w:left w:w="120" w:type="dxa"/>
                    <w:bottom w:w="120" w:type="dxa"/>
                    <w:right w:w="120" w:type="dxa"/>
                  </w:tcMar>
                  <w:vAlign w:val="center"/>
                </w:tcPr>
                <w:p w14:paraId="337ADCAB">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本项目</w:t>
                  </w:r>
                </w:p>
              </w:tc>
              <w:tc>
                <w:tcPr>
                  <w:tcW w:w="748" w:type="pct"/>
                  <w:noWrap w:val="0"/>
                  <w:tcMar>
                    <w:top w:w="120" w:type="dxa"/>
                    <w:left w:w="120" w:type="dxa"/>
                    <w:bottom w:w="120" w:type="dxa"/>
                    <w:right w:w="120" w:type="dxa"/>
                  </w:tcMar>
                  <w:vAlign w:val="center"/>
                </w:tcPr>
                <w:p w14:paraId="5551ECB8">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可行性</w:t>
                  </w:r>
                </w:p>
              </w:tc>
            </w:tr>
            <w:tr w14:paraId="20B7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60" w:type="pct"/>
                  <w:noWrap w:val="0"/>
                  <w:tcMar>
                    <w:top w:w="120" w:type="dxa"/>
                    <w:left w:w="120" w:type="dxa"/>
                    <w:bottom w:w="120" w:type="dxa"/>
                    <w:right w:w="120" w:type="dxa"/>
                  </w:tcMar>
                  <w:vAlign w:val="center"/>
                </w:tcPr>
                <w:p w14:paraId="5DEEC14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建设内容</w:t>
                  </w:r>
                </w:p>
              </w:tc>
              <w:tc>
                <w:tcPr>
                  <w:tcW w:w="1492" w:type="pct"/>
                  <w:noWrap w:val="0"/>
                  <w:tcMar>
                    <w:top w:w="120" w:type="dxa"/>
                    <w:left w:w="120" w:type="dxa"/>
                    <w:bottom w:w="120" w:type="dxa"/>
                    <w:right w:w="120" w:type="dxa"/>
                  </w:tcMar>
                  <w:vAlign w:val="center"/>
                </w:tcPr>
                <w:p w14:paraId="5D7B767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布草洗涤20万件</w:t>
                  </w:r>
                </w:p>
              </w:tc>
              <w:tc>
                <w:tcPr>
                  <w:tcW w:w="1798" w:type="pct"/>
                  <w:noWrap w:val="0"/>
                  <w:tcMar>
                    <w:top w:w="120" w:type="dxa"/>
                    <w:left w:w="120" w:type="dxa"/>
                    <w:bottom w:w="120" w:type="dxa"/>
                    <w:right w:w="120" w:type="dxa"/>
                  </w:tcMar>
                  <w:vAlign w:val="center"/>
                </w:tcPr>
                <w:p w14:paraId="624C4EC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年清洗62万套被服和26万套台布</w:t>
                  </w:r>
                </w:p>
              </w:tc>
              <w:tc>
                <w:tcPr>
                  <w:tcW w:w="748" w:type="pct"/>
                  <w:vMerge w:val="restart"/>
                  <w:noWrap w:val="0"/>
                  <w:tcMar>
                    <w:top w:w="120" w:type="dxa"/>
                    <w:left w:w="120" w:type="dxa"/>
                    <w:bottom w:w="120" w:type="dxa"/>
                    <w:right w:w="120" w:type="dxa"/>
                  </w:tcMar>
                  <w:vAlign w:val="center"/>
                </w:tcPr>
                <w:p w14:paraId="6BB1575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建设内容、工艺匹配度高，主要原料相似则纳污种类相近，废水处理工艺相近，故本项目生产废水产排浓度参考类比项目是可行的</w:t>
                  </w:r>
                </w:p>
              </w:tc>
            </w:tr>
            <w:tr w14:paraId="0872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60" w:type="pct"/>
                  <w:noWrap w:val="0"/>
                  <w:tcMar>
                    <w:top w:w="120" w:type="dxa"/>
                    <w:left w:w="120" w:type="dxa"/>
                    <w:bottom w:w="120" w:type="dxa"/>
                    <w:right w:w="120" w:type="dxa"/>
                  </w:tcMar>
                  <w:vAlign w:val="center"/>
                </w:tcPr>
                <w:p w14:paraId="61A290C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主要原料</w:t>
                  </w:r>
                </w:p>
              </w:tc>
              <w:tc>
                <w:tcPr>
                  <w:tcW w:w="1492" w:type="pct"/>
                  <w:noWrap w:val="0"/>
                  <w:tcMar>
                    <w:top w:w="120" w:type="dxa"/>
                    <w:left w:w="120" w:type="dxa"/>
                    <w:bottom w:w="120" w:type="dxa"/>
                    <w:right w:w="120" w:type="dxa"/>
                  </w:tcMar>
                  <w:vAlign w:val="center"/>
                </w:tcPr>
                <w:p w14:paraId="6FD8A0A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洗衣液、助洗剂、活化氧、中和酸、柔顺剂、天然气</w:t>
                  </w:r>
                </w:p>
              </w:tc>
              <w:tc>
                <w:tcPr>
                  <w:tcW w:w="1798" w:type="pct"/>
                  <w:noWrap w:val="0"/>
                  <w:tcMar>
                    <w:top w:w="120" w:type="dxa"/>
                    <w:left w:w="120" w:type="dxa"/>
                    <w:bottom w:w="120" w:type="dxa"/>
                    <w:right w:w="120" w:type="dxa"/>
                  </w:tcMar>
                  <w:vAlign w:val="center"/>
                </w:tcPr>
                <w:p w14:paraId="16F84680">
                  <w:pPr>
                    <w:widowControl/>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无磷洗衣粉（液）</w:t>
                  </w:r>
                  <w:r>
                    <w:rPr>
                      <w:rFonts w:ascii="Times New Roman" w:hAnsi="Times New Roman" w:eastAsia="宋体" w:cs="Times New Roman"/>
                      <w:color w:val="000000" w:themeColor="text1"/>
                      <w:kern w:val="0"/>
                      <w:szCs w:val="21"/>
                      <w:lang w:bidi="ar"/>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漂白剂（双氧水）</w:t>
                  </w:r>
                  <w:r>
                    <w:rPr>
                      <w:rFonts w:ascii="Times New Roman" w:hAnsi="Times New Roman" w:eastAsia="宋体" w:cs="Times New Roman"/>
                      <w:color w:val="000000" w:themeColor="text1"/>
                      <w:kern w:val="0"/>
                      <w:szCs w:val="21"/>
                      <w:lang w:bidi="ar"/>
                      <w14:textFill>
                        <w14:solidFill>
                          <w14:schemeClr w14:val="tx1"/>
                        </w14:solidFill>
                      </w14:textFill>
                    </w:rPr>
                    <w:t>、中和剂、</w:t>
                  </w:r>
                  <w:r>
                    <w:rPr>
                      <w:rFonts w:hint="eastAsia" w:ascii="Times New Roman" w:hAnsi="Times New Roman" w:eastAsia="宋体" w:cs="Times New Roman"/>
                      <w:color w:val="000000" w:themeColor="text1"/>
                      <w:szCs w:val="21"/>
                      <w14:textFill>
                        <w14:solidFill>
                          <w14:schemeClr w14:val="tx1"/>
                        </w14:solidFill>
                      </w14:textFill>
                    </w:rPr>
                    <w:t>消毒剂（氯间二甲基苯酚）</w:t>
                  </w:r>
                  <w:r>
                    <w:rPr>
                      <w:rFonts w:ascii="Times New Roman" w:hAnsi="Times New Roman" w:eastAsia="宋体" w:cs="Times New Roman"/>
                      <w:color w:val="000000" w:themeColor="text1"/>
                      <w:kern w:val="0"/>
                      <w:szCs w:val="21"/>
                      <w:lang w:bidi="ar"/>
                      <w14:textFill>
                        <w14:solidFill>
                          <w14:schemeClr w14:val="tx1"/>
                        </w14:solidFill>
                      </w14:textFill>
                    </w:rPr>
                    <w:t>、</w:t>
                  </w:r>
                  <w:r>
                    <w:rPr>
                      <w:rFonts w:hint="eastAsia" w:ascii="Times New Roman" w:hAnsi="Times New Roman" w:eastAsia="宋体" w:cs="Times New Roman"/>
                      <w:color w:val="000000" w:themeColor="text1"/>
                      <w:kern w:val="0"/>
                      <w:szCs w:val="21"/>
                      <w:lang w:bidi="ar"/>
                      <w14:textFill>
                        <w14:solidFill>
                          <w14:schemeClr w14:val="tx1"/>
                        </w14:solidFill>
                      </w14:textFill>
                    </w:rPr>
                    <w:t>生物质成型燃料颗粒</w:t>
                  </w:r>
                </w:p>
              </w:tc>
              <w:tc>
                <w:tcPr>
                  <w:tcW w:w="748" w:type="pct"/>
                  <w:vMerge w:val="continue"/>
                  <w:noWrap w:val="0"/>
                  <w:tcMar>
                    <w:top w:w="120" w:type="dxa"/>
                    <w:left w:w="120" w:type="dxa"/>
                    <w:bottom w:w="120" w:type="dxa"/>
                    <w:right w:w="120" w:type="dxa"/>
                  </w:tcMar>
                  <w:vAlign w:val="center"/>
                </w:tcPr>
                <w:p w14:paraId="1A64C0AA">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5AF0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60" w:type="pct"/>
                  <w:noWrap w:val="0"/>
                  <w:tcMar>
                    <w:top w:w="120" w:type="dxa"/>
                    <w:left w:w="120" w:type="dxa"/>
                    <w:bottom w:w="120" w:type="dxa"/>
                    <w:right w:w="120" w:type="dxa"/>
                  </w:tcMar>
                  <w:vAlign w:val="center"/>
                </w:tcPr>
                <w:p w14:paraId="417B377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生产工艺</w:t>
                  </w:r>
                </w:p>
              </w:tc>
              <w:tc>
                <w:tcPr>
                  <w:tcW w:w="1492" w:type="pct"/>
                  <w:noWrap w:val="0"/>
                  <w:tcMar>
                    <w:top w:w="120" w:type="dxa"/>
                    <w:left w:w="120" w:type="dxa"/>
                    <w:bottom w:w="120" w:type="dxa"/>
                    <w:right w:w="120" w:type="dxa"/>
                  </w:tcMar>
                  <w:vAlign w:val="center"/>
                </w:tcPr>
                <w:p w14:paraId="2ABD068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洗涤</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烘干</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烫平</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折叠打包</w:t>
                  </w:r>
                </w:p>
              </w:tc>
              <w:tc>
                <w:tcPr>
                  <w:tcW w:w="1798" w:type="pct"/>
                  <w:noWrap w:val="0"/>
                  <w:tcMar>
                    <w:top w:w="120" w:type="dxa"/>
                    <w:left w:w="120" w:type="dxa"/>
                    <w:bottom w:w="120" w:type="dxa"/>
                    <w:right w:w="120" w:type="dxa"/>
                  </w:tcMar>
                  <w:vAlign w:val="center"/>
                </w:tcPr>
                <w:p w14:paraId="22E5376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分拣</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洗涤</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烘干</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烫平折叠</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打包</w:t>
                  </w:r>
                </w:p>
              </w:tc>
              <w:tc>
                <w:tcPr>
                  <w:tcW w:w="748" w:type="pct"/>
                  <w:vMerge w:val="continue"/>
                  <w:noWrap w:val="0"/>
                  <w:tcMar>
                    <w:top w:w="120" w:type="dxa"/>
                    <w:left w:w="120" w:type="dxa"/>
                    <w:bottom w:w="120" w:type="dxa"/>
                    <w:right w:w="120" w:type="dxa"/>
                  </w:tcMar>
                  <w:vAlign w:val="center"/>
                </w:tcPr>
                <w:p w14:paraId="3F2BBFB8">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3E08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60" w:type="pct"/>
                  <w:noWrap w:val="0"/>
                  <w:tcMar>
                    <w:top w:w="120" w:type="dxa"/>
                    <w:left w:w="120" w:type="dxa"/>
                    <w:bottom w:w="120" w:type="dxa"/>
                    <w:right w:w="120" w:type="dxa"/>
                  </w:tcMar>
                  <w:vAlign w:val="center"/>
                </w:tcPr>
                <w:p w14:paraId="0056298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纳污种类</w:t>
                  </w:r>
                </w:p>
              </w:tc>
              <w:tc>
                <w:tcPr>
                  <w:tcW w:w="1492" w:type="pct"/>
                  <w:noWrap w:val="0"/>
                  <w:tcMar>
                    <w:top w:w="120" w:type="dxa"/>
                    <w:left w:w="120" w:type="dxa"/>
                    <w:bottom w:w="120" w:type="dxa"/>
                    <w:right w:w="120" w:type="dxa"/>
                  </w:tcMar>
                  <w:vAlign w:val="center"/>
                </w:tcPr>
                <w:p w14:paraId="75FFA2D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生产废水（洗涤、锅炉）</w:t>
                  </w:r>
                </w:p>
              </w:tc>
              <w:tc>
                <w:tcPr>
                  <w:tcW w:w="1798" w:type="pct"/>
                  <w:noWrap w:val="0"/>
                  <w:tcMar>
                    <w:top w:w="120" w:type="dxa"/>
                    <w:left w:w="120" w:type="dxa"/>
                    <w:bottom w:w="120" w:type="dxa"/>
                    <w:right w:w="120" w:type="dxa"/>
                  </w:tcMar>
                  <w:vAlign w:val="center"/>
                </w:tcPr>
                <w:p w14:paraId="5B9CD85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生产废水（洗涤）</w:t>
                  </w:r>
                </w:p>
              </w:tc>
              <w:tc>
                <w:tcPr>
                  <w:tcW w:w="748" w:type="pct"/>
                  <w:vMerge w:val="continue"/>
                  <w:noWrap w:val="0"/>
                  <w:tcMar>
                    <w:top w:w="120" w:type="dxa"/>
                    <w:left w:w="120" w:type="dxa"/>
                    <w:bottom w:w="120" w:type="dxa"/>
                    <w:right w:w="120" w:type="dxa"/>
                  </w:tcMar>
                  <w:vAlign w:val="center"/>
                </w:tcPr>
                <w:p w14:paraId="0B678176">
                  <w:pPr>
                    <w:widowControl/>
                    <w:jc w:val="center"/>
                    <w:rPr>
                      <w:rFonts w:ascii="Times New Roman" w:hAnsi="Times New Roman" w:eastAsia="宋体" w:cs="Times New Roman"/>
                      <w:color w:val="000000" w:themeColor="text1"/>
                      <w:szCs w:val="21"/>
                      <w14:textFill>
                        <w14:solidFill>
                          <w14:schemeClr w14:val="tx1"/>
                        </w14:solidFill>
                      </w14:textFill>
                    </w:rPr>
                  </w:pPr>
                </w:p>
              </w:tc>
            </w:tr>
            <w:tr w14:paraId="3576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60" w:type="pct"/>
                  <w:noWrap w:val="0"/>
                  <w:tcMar>
                    <w:top w:w="120" w:type="dxa"/>
                    <w:left w:w="120" w:type="dxa"/>
                    <w:bottom w:w="120" w:type="dxa"/>
                    <w:right w:w="120" w:type="dxa"/>
                  </w:tcMar>
                  <w:vAlign w:val="center"/>
                </w:tcPr>
                <w:p w14:paraId="23A5A87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污染控制措施</w:t>
                  </w:r>
                </w:p>
              </w:tc>
              <w:tc>
                <w:tcPr>
                  <w:tcW w:w="1492" w:type="pct"/>
                  <w:noWrap w:val="0"/>
                  <w:tcMar>
                    <w:top w:w="120" w:type="dxa"/>
                    <w:left w:w="120" w:type="dxa"/>
                    <w:bottom w:w="120" w:type="dxa"/>
                    <w:right w:w="120" w:type="dxa"/>
                  </w:tcMar>
                  <w:vAlign w:val="center"/>
                </w:tcPr>
                <w:p w14:paraId="4C1B1B9E">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混凝沉淀</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水解酸化</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接触氧化</w:t>
                  </w:r>
                </w:p>
              </w:tc>
              <w:tc>
                <w:tcPr>
                  <w:tcW w:w="1798" w:type="pct"/>
                  <w:noWrap w:val="0"/>
                  <w:tcMar>
                    <w:top w:w="120" w:type="dxa"/>
                    <w:left w:w="120" w:type="dxa"/>
                    <w:bottom w:w="120" w:type="dxa"/>
                    <w:right w:w="120" w:type="dxa"/>
                  </w:tcMar>
                  <w:vAlign w:val="center"/>
                </w:tcPr>
                <w:p w14:paraId="6A40EE90">
                  <w:pPr>
                    <w:widowControl/>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lang w:eastAsia="zh-CN" w:bidi="ar"/>
                      <w14:textFill>
                        <w14:solidFill>
                          <w14:schemeClr w14:val="tx1"/>
                        </w14:solidFill>
                      </w14:textFill>
                    </w:rPr>
                    <w:t>溶气气浮+A/O一体化</w:t>
                  </w:r>
                </w:p>
              </w:tc>
              <w:tc>
                <w:tcPr>
                  <w:tcW w:w="748" w:type="pct"/>
                  <w:vMerge w:val="continue"/>
                  <w:noWrap w:val="0"/>
                  <w:tcMar>
                    <w:top w:w="120" w:type="dxa"/>
                    <w:left w:w="120" w:type="dxa"/>
                    <w:bottom w:w="120" w:type="dxa"/>
                    <w:right w:w="120" w:type="dxa"/>
                  </w:tcMar>
                  <w:vAlign w:val="center"/>
                </w:tcPr>
                <w:p w14:paraId="327D257A">
                  <w:pPr>
                    <w:widowControl/>
                    <w:jc w:val="center"/>
                    <w:rPr>
                      <w:rFonts w:ascii="Times New Roman" w:hAnsi="Times New Roman" w:eastAsia="宋体" w:cs="Times New Roman"/>
                      <w:color w:val="000000" w:themeColor="text1"/>
                      <w:szCs w:val="21"/>
                      <w14:textFill>
                        <w14:solidFill>
                          <w14:schemeClr w14:val="tx1"/>
                        </w14:solidFill>
                      </w14:textFill>
                    </w:rPr>
                  </w:pPr>
                </w:p>
              </w:tc>
            </w:tr>
          </w:tbl>
          <w:p w14:paraId="7B30D217">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表4</w:t>
            </w:r>
            <w:r>
              <w:rPr>
                <w:rFonts w:ascii="Times New Roman" w:hAnsi="Times New Roman" w:eastAsia="宋体" w:cs="Times New Roman"/>
                <w:color w:val="000000" w:themeColor="text1"/>
                <w:sz w:val="24"/>
                <w14:textFill>
                  <w14:solidFill>
                    <w14:schemeClr w14:val="tx1"/>
                  </w14:solidFill>
                </w14:textFill>
              </w:rPr>
              <w:noBreakHyphen/>
            </w:r>
            <w:r>
              <w:rPr>
                <w:rFonts w:ascii="Times New Roman" w:hAnsi="Times New Roman" w:eastAsia="宋体" w:cs="Times New Roman"/>
                <w:color w:val="000000" w:themeColor="text1"/>
                <w:sz w:val="24"/>
                <w14:textFill>
                  <w14:solidFill>
                    <w14:schemeClr w14:val="tx1"/>
                  </w14:solidFill>
                </w14:textFill>
              </w:rPr>
              <w:t>12本项目生产废水污染物产排情况一览表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31"/>
              <w:gridCol w:w="1332"/>
              <w:gridCol w:w="1332"/>
              <w:gridCol w:w="1332"/>
              <w:gridCol w:w="1332"/>
              <w:gridCol w:w="1335"/>
            </w:tblGrid>
            <w:tr w14:paraId="0C08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666" w:type="pct"/>
                  <w:gridSpan w:val="2"/>
                  <w:noWrap w:val="0"/>
                  <w:tcMar>
                    <w:top w:w="120" w:type="dxa"/>
                    <w:left w:w="120" w:type="dxa"/>
                    <w:bottom w:w="120" w:type="dxa"/>
                    <w:right w:w="120" w:type="dxa"/>
                  </w:tcMar>
                  <w:vAlign w:val="center"/>
                </w:tcPr>
                <w:p w14:paraId="3D74590D">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污染物</w:t>
                  </w:r>
                </w:p>
              </w:tc>
              <w:tc>
                <w:tcPr>
                  <w:tcW w:w="833" w:type="pct"/>
                  <w:noWrap w:val="0"/>
                  <w:tcMar>
                    <w:top w:w="120" w:type="dxa"/>
                    <w:left w:w="120" w:type="dxa"/>
                    <w:bottom w:w="120" w:type="dxa"/>
                    <w:right w:w="120" w:type="dxa"/>
                  </w:tcMar>
                  <w:vAlign w:val="center"/>
                </w:tcPr>
                <w:p w14:paraId="3BE9BE80">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产生浓度mg/L</w:t>
                  </w:r>
                </w:p>
              </w:tc>
              <w:tc>
                <w:tcPr>
                  <w:tcW w:w="833" w:type="pct"/>
                  <w:noWrap w:val="0"/>
                  <w:tcMar>
                    <w:top w:w="120" w:type="dxa"/>
                    <w:left w:w="120" w:type="dxa"/>
                    <w:bottom w:w="120" w:type="dxa"/>
                    <w:right w:w="120" w:type="dxa"/>
                  </w:tcMar>
                  <w:vAlign w:val="center"/>
                </w:tcPr>
                <w:p w14:paraId="7BD3D2BF">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产生量t/a</w:t>
                  </w:r>
                </w:p>
              </w:tc>
              <w:tc>
                <w:tcPr>
                  <w:tcW w:w="833" w:type="pct"/>
                  <w:noWrap w:val="0"/>
                  <w:tcMar>
                    <w:top w:w="120" w:type="dxa"/>
                    <w:left w:w="120" w:type="dxa"/>
                    <w:bottom w:w="120" w:type="dxa"/>
                    <w:right w:w="120" w:type="dxa"/>
                  </w:tcMar>
                  <w:vAlign w:val="center"/>
                </w:tcPr>
                <w:p w14:paraId="7E44568F">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排放浓度mg/L</w:t>
                  </w:r>
                </w:p>
              </w:tc>
              <w:tc>
                <w:tcPr>
                  <w:tcW w:w="833" w:type="pct"/>
                  <w:noWrap w:val="0"/>
                  <w:tcMar>
                    <w:top w:w="120" w:type="dxa"/>
                    <w:left w:w="120" w:type="dxa"/>
                    <w:bottom w:w="120" w:type="dxa"/>
                    <w:right w:w="120" w:type="dxa"/>
                  </w:tcMar>
                  <w:vAlign w:val="center"/>
                </w:tcPr>
                <w:p w14:paraId="71608F2A">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排放量t/a</w:t>
                  </w:r>
                </w:p>
              </w:tc>
            </w:tr>
            <w:tr w14:paraId="0C02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33" w:type="pct"/>
                  <w:vMerge w:val="restart"/>
                  <w:noWrap w:val="0"/>
                  <w:tcMar>
                    <w:top w:w="120" w:type="dxa"/>
                    <w:left w:w="120" w:type="dxa"/>
                    <w:bottom w:w="120" w:type="dxa"/>
                    <w:right w:w="120" w:type="dxa"/>
                  </w:tcMar>
                  <w:vAlign w:val="center"/>
                </w:tcPr>
                <w:p w14:paraId="133E5F4B">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洗涤废水31875m</w:t>
                  </w:r>
                  <w:r>
                    <w:rPr>
                      <w:rFonts w:ascii="Times New Roman" w:hAnsi="Times New Roman" w:eastAsia="宋体" w:cs="Times New Roman"/>
                      <w:color w:val="000000" w:themeColor="text1"/>
                      <w:kern w:val="0"/>
                      <w:szCs w:val="21"/>
                      <w:vertAlign w:val="superscript"/>
                      <w:lang w:bidi="ar"/>
                      <w14:textFill>
                        <w14:solidFill>
                          <w14:schemeClr w14:val="tx1"/>
                        </w14:solidFill>
                      </w14:textFill>
                    </w:rPr>
                    <w:t>3</w:t>
                  </w:r>
                  <w:r>
                    <w:rPr>
                      <w:rFonts w:ascii="Times New Roman" w:hAnsi="Times New Roman" w:eastAsia="宋体" w:cs="Times New Roman"/>
                      <w:color w:val="000000" w:themeColor="text1"/>
                      <w:kern w:val="0"/>
                      <w:szCs w:val="21"/>
                      <w:lang w:bidi="ar"/>
                      <w14:textFill>
                        <w14:solidFill>
                          <w14:schemeClr w14:val="tx1"/>
                        </w14:solidFill>
                      </w14:textFill>
                    </w:rPr>
                    <w:t>/a</w:t>
                  </w:r>
                </w:p>
              </w:tc>
              <w:tc>
                <w:tcPr>
                  <w:tcW w:w="833" w:type="pct"/>
                  <w:noWrap w:val="0"/>
                  <w:tcMar>
                    <w:top w:w="120" w:type="dxa"/>
                    <w:left w:w="120" w:type="dxa"/>
                    <w:bottom w:w="120" w:type="dxa"/>
                    <w:right w:w="120" w:type="dxa"/>
                  </w:tcMar>
                  <w:vAlign w:val="center"/>
                </w:tcPr>
                <w:p w14:paraId="100359D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p>
              </w:tc>
              <w:tc>
                <w:tcPr>
                  <w:tcW w:w="833" w:type="pct"/>
                  <w:noWrap w:val="0"/>
                  <w:tcMar>
                    <w:top w:w="120" w:type="dxa"/>
                    <w:left w:w="120" w:type="dxa"/>
                    <w:bottom w:w="120" w:type="dxa"/>
                    <w:right w:w="120" w:type="dxa"/>
                  </w:tcMar>
                  <w:vAlign w:val="center"/>
                </w:tcPr>
                <w:p w14:paraId="001C4F9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2460</w:t>
                  </w:r>
                </w:p>
              </w:tc>
              <w:tc>
                <w:tcPr>
                  <w:tcW w:w="833" w:type="pct"/>
                  <w:noWrap w:val="0"/>
                  <w:tcMar>
                    <w:top w:w="120" w:type="dxa"/>
                    <w:left w:w="120" w:type="dxa"/>
                    <w:bottom w:w="120" w:type="dxa"/>
                    <w:right w:w="120" w:type="dxa"/>
                  </w:tcMar>
                  <w:vAlign w:val="center"/>
                </w:tcPr>
                <w:p w14:paraId="265D1B3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78.4125</w:t>
                  </w:r>
                </w:p>
              </w:tc>
              <w:tc>
                <w:tcPr>
                  <w:tcW w:w="833" w:type="pct"/>
                  <w:noWrap w:val="0"/>
                  <w:tcMar>
                    <w:top w:w="120" w:type="dxa"/>
                    <w:left w:w="120" w:type="dxa"/>
                    <w:bottom w:w="120" w:type="dxa"/>
                    <w:right w:w="120" w:type="dxa"/>
                  </w:tcMar>
                  <w:vAlign w:val="center"/>
                </w:tcPr>
                <w:p w14:paraId="3ED2CED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346</w:t>
                  </w:r>
                </w:p>
              </w:tc>
              <w:tc>
                <w:tcPr>
                  <w:tcW w:w="833" w:type="pct"/>
                  <w:noWrap w:val="0"/>
                  <w:tcMar>
                    <w:top w:w="120" w:type="dxa"/>
                    <w:left w:w="120" w:type="dxa"/>
                    <w:bottom w:w="120" w:type="dxa"/>
                    <w:right w:w="120" w:type="dxa"/>
                  </w:tcMar>
                  <w:vAlign w:val="center"/>
                </w:tcPr>
                <w:p w14:paraId="41D8D33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11.02875</w:t>
                  </w:r>
                </w:p>
              </w:tc>
            </w:tr>
            <w:tr w14:paraId="3E6B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33" w:type="pct"/>
                  <w:vMerge w:val="continue"/>
                  <w:noWrap w:val="0"/>
                  <w:tcMar>
                    <w:top w:w="120" w:type="dxa"/>
                    <w:left w:w="120" w:type="dxa"/>
                    <w:bottom w:w="120" w:type="dxa"/>
                    <w:right w:w="120" w:type="dxa"/>
                  </w:tcMar>
                  <w:vAlign w:val="center"/>
                </w:tcPr>
                <w:p w14:paraId="24FB6562">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p>
              </w:tc>
              <w:tc>
                <w:tcPr>
                  <w:tcW w:w="833" w:type="pct"/>
                  <w:noWrap w:val="0"/>
                  <w:tcMar>
                    <w:top w:w="120" w:type="dxa"/>
                    <w:left w:w="120" w:type="dxa"/>
                    <w:bottom w:w="120" w:type="dxa"/>
                    <w:right w:w="120" w:type="dxa"/>
                  </w:tcMar>
                  <w:vAlign w:val="center"/>
                </w:tcPr>
                <w:p w14:paraId="04A93A7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BOD₅</w:t>
                  </w:r>
                </w:p>
              </w:tc>
              <w:tc>
                <w:tcPr>
                  <w:tcW w:w="833" w:type="pct"/>
                  <w:noWrap w:val="0"/>
                  <w:tcMar>
                    <w:top w:w="120" w:type="dxa"/>
                    <w:left w:w="120" w:type="dxa"/>
                    <w:bottom w:w="120" w:type="dxa"/>
                    <w:right w:w="120" w:type="dxa"/>
                  </w:tcMar>
                  <w:vAlign w:val="center"/>
                </w:tcPr>
                <w:p w14:paraId="7FB6B85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797</w:t>
                  </w:r>
                </w:p>
              </w:tc>
              <w:tc>
                <w:tcPr>
                  <w:tcW w:w="833" w:type="pct"/>
                  <w:noWrap w:val="0"/>
                  <w:tcMar>
                    <w:top w:w="120" w:type="dxa"/>
                    <w:left w:w="120" w:type="dxa"/>
                    <w:bottom w:w="120" w:type="dxa"/>
                    <w:right w:w="120" w:type="dxa"/>
                  </w:tcMar>
                  <w:vAlign w:val="center"/>
                </w:tcPr>
                <w:p w14:paraId="6CEC73E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25.4044</w:t>
                  </w:r>
                </w:p>
              </w:tc>
              <w:tc>
                <w:tcPr>
                  <w:tcW w:w="833" w:type="pct"/>
                  <w:noWrap w:val="0"/>
                  <w:tcMar>
                    <w:top w:w="120" w:type="dxa"/>
                    <w:left w:w="120" w:type="dxa"/>
                    <w:bottom w:w="120" w:type="dxa"/>
                    <w:right w:w="120" w:type="dxa"/>
                  </w:tcMar>
                  <w:vAlign w:val="center"/>
                </w:tcPr>
                <w:p w14:paraId="16CA70E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144</w:t>
                  </w:r>
                </w:p>
              </w:tc>
              <w:tc>
                <w:tcPr>
                  <w:tcW w:w="833" w:type="pct"/>
                  <w:noWrap w:val="0"/>
                  <w:tcMar>
                    <w:top w:w="120" w:type="dxa"/>
                    <w:left w:w="120" w:type="dxa"/>
                    <w:bottom w:w="120" w:type="dxa"/>
                    <w:right w:w="120" w:type="dxa"/>
                  </w:tcMar>
                  <w:vAlign w:val="center"/>
                </w:tcPr>
                <w:p w14:paraId="3ED0426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4.5900</w:t>
                  </w:r>
                </w:p>
              </w:tc>
            </w:tr>
            <w:tr w14:paraId="0ED8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33" w:type="pct"/>
                  <w:vMerge w:val="continue"/>
                  <w:noWrap w:val="0"/>
                  <w:tcMar>
                    <w:top w:w="120" w:type="dxa"/>
                    <w:left w:w="120" w:type="dxa"/>
                    <w:bottom w:w="120" w:type="dxa"/>
                    <w:right w:w="120" w:type="dxa"/>
                  </w:tcMar>
                  <w:vAlign w:val="center"/>
                </w:tcPr>
                <w:p w14:paraId="79F4BCF6">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p>
              </w:tc>
              <w:tc>
                <w:tcPr>
                  <w:tcW w:w="833" w:type="pct"/>
                  <w:noWrap w:val="0"/>
                  <w:tcMar>
                    <w:top w:w="120" w:type="dxa"/>
                    <w:left w:w="120" w:type="dxa"/>
                    <w:bottom w:w="120" w:type="dxa"/>
                    <w:right w:w="120" w:type="dxa"/>
                  </w:tcMar>
                  <w:vAlign w:val="center"/>
                </w:tcPr>
                <w:p w14:paraId="6896630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SS</w:t>
                  </w:r>
                </w:p>
              </w:tc>
              <w:tc>
                <w:tcPr>
                  <w:tcW w:w="833" w:type="pct"/>
                  <w:noWrap w:val="0"/>
                  <w:tcMar>
                    <w:top w:w="120" w:type="dxa"/>
                    <w:left w:w="120" w:type="dxa"/>
                    <w:bottom w:w="120" w:type="dxa"/>
                    <w:right w:w="120" w:type="dxa"/>
                  </w:tcMar>
                  <w:vAlign w:val="center"/>
                </w:tcPr>
                <w:p w14:paraId="2E6A1F4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870</w:t>
                  </w:r>
                </w:p>
              </w:tc>
              <w:tc>
                <w:tcPr>
                  <w:tcW w:w="833" w:type="pct"/>
                  <w:noWrap w:val="0"/>
                  <w:tcMar>
                    <w:top w:w="120" w:type="dxa"/>
                    <w:left w:w="120" w:type="dxa"/>
                    <w:bottom w:w="120" w:type="dxa"/>
                    <w:right w:w="120" w:type="dxa"/>
                  </w:tcMar>
                  <w:vAlign w:val="center"/>
                </w:tcPr>
                <w:p w14:paraId="42879ED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27.7313</w:t>
                  </w:r>
                </w:p>
              </w:tc>
              <w:tc>
                <w:tcPr>
                  <w:tcW w:w="833" w:type="pct"/>
                  <w:noWrap w:val="0"/>
                  <w:tcMar>
                    <w:top w:w="120" w:type="dxa"/>
                    <w:left w:w="120" w:type="dxa"/>
                    <w:bottom w:w="120" w:type="dxa"/>
                    <w:right w:w="120" w:type="dxa"/>
                  </w:tcMar>
                  <w:vAlign w:val="center"/>
                </w:tcPr>
                <w:p w14:paraId="50B6844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88</w:t>
                  </w:r>
                </w:p>
              </w:tc>
              <w:tc>
                <w:tcPr>
                  <w:tcW w:w="833" w:type="pct"/>
                  <w:noWrap w:val="0"/>
                  <w:tcMar>
                    <w:top w:w="120" w:type="dxa"/>
                    <w:left w:w="120" w:type="dxa"/>
                    <w:bottom w:w="120" w:type="dxa"/>
                    <w:right w:w="120" w:type="dxa"/>
                  </w:tcMar>
                  <w:vAlign w:val="center"/>
                </w:tcPr>
                <w:p w14:paraId="0B2CADFC">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2.8050</w:t>
                  </w:r>
                </w:p>
              </w:tc>
            </w:tr>
            <w:tr w14:paraId="372B8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33" w:type="pct"/>
                  <w:vMerge w:val="continue"/>
                  <w:noWrap w:val="0"/>
                  <w:tcMar>
                    <w:top w:w="120" w:type="dxa"/>
                    <w:left w:w="120" w:type="dxa"/>
                    <w:bottom w:w="120" w:type="dxa"/>
                    <w:right w:w="120" w:type="dxa"/>
                  </w:tcMar>
                  <w:vAlign w:val="center"/>
                </w:tcPr>
                <w:p w14:paraId="1DEAB9F9">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p>
              </w:tc>
              <w:tc>
                <w:tcPr>
                  <w:tcW w:w="833" w:type="pct"/>
                  <w:noWrap w:val="0"/>
                  <w:tcMar>
                    <w:top w:w="120" w:type="dxa"/>
                    <w:left w:w="120" w:type="dxa"/>
                    <w:bottom w:w="120" w:type="dxa"/>
                    <w:right w:w="120" w:type="dxa"/>
                  </w:tcMar>
                  <w:vAlign w:val="center"/>
                </w:tcPr>
                <w:p w14:paraId="6A20E17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NH₃</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N</w:t>
                  </w:r>
                </w:p>
              </w:tc>
              <w:tc>
                <w:tcPr>
                  <w:tcW w:w="833" w:type="pct"/>
                  <w:noWrap w:val="0"/>
                  <w:tcMar>
                    <w:top w:w="120" w:type="dxa"/>
                    <w:left w:w="120" w:type="dxa"/>
                    <w:bottom w:w="120" w:type="dxa"/>
                    <w:right w:w="120" w:type="dxa"/>
                  </w:tcMar>
                  <w:vAlign w:val="center"/>
                </w:tcPr>
                <w:p w14:paraId="5901EEA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21.9</w:t>
                  </w:r>
                </w:p>
              </w:tc>
              <w:tc>
                <w:tcPr>
                  <w:tcW w:w="833" w:type="pct"/>
                  <w:noWrap w:val="0"/>
                  <w:tcMar>
                    <w:top w:w="120" w:type="dxa"/>
                    <w:left w:w="120" w:type="dxa"/>
                    <w:bottom w:w="120" w:type="dxa"/>
                    <w:right w:w="120" w:type="dxa"/>
                  </w:tcMar>
                  <w:vAlign w:val="center"/>
                </w:tcPr>
                <w:p w14:paraId="06162CCC">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0.6981</w:t>
                  </w:r>
                </w:p>
              </w:tc>
              <w:tc>
                <w:tcPr>
                  <w:tcW w:w="833" w:type="pct"/>
                  <w:noWrap w:val="0"/>
                  <w:tcMar>
                    <w:top w:w="120" w:type="dxa"/>
                    <w:left w:w="120" w:type="dxa"/>
                    <w:bottom w:w="120" w:type="dxa"/>
                    <w:right w:w="120" w:type="dxa"/>
                  </w:tcMar>
                  <w:vAlign w:val="center"/>
                </w:tcPr>
                <w:p w14:paraId="7F911FF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10.2</w:t>
                  </w:r>
                </w:p>
              </w:tc>
              <w:tc>
                <w:tcPr>
                  <w:tcW w:w="833" w:type="pct"/>
                  <w:noWrap w:val="0"/>
                  <w:tcMar>
                    <w:top w:w="120" w:type="dxa"/>
                    <w:left w:w="120" w:type="dxa"/>
                    <w:bottom w:w="120" w:type="dxa"/>
                    <w:right w:w="120" w:type="dxa"/>
                  </w:tcMar>
                  <w:vAlign w:val="center"/>
                </w:tcPr>
                <w:p w14:paraId="305BA343">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0.3251</w:t>
                  </w:r>
                </w:p>
              </w:tc>
            </w:tr>
            <w:tr w14:paraId="086E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33" w:type="pct"/>
                  <w:vMerge w:val="continue"/>
                  <w:noWrap w:val="0"/>
                  <w:tcMar>
                    <w:top w:w="120" w:type="dxa"/>
                    <w:left w:w="120" w:type="dxa"/>
                    <w:bottom w:w="120" w:type="dxa"/>
                    <w:right w:w="120" w:type="dxa"/>
                  </w:tcMar>
                  <w:vAlign w:val="center"/>
                </w:tcPr>
                <w:p w14:paraId="4E1158B0">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p>
              </w:tc>
              <w:tc>
                <w:tcPr>
                  <w:tcW w:w="833" w:type="pct"/>
                  <w:noWrap w:val="0"/>
                  <w:tcMar>
                    <w:top w:w="120" w:type="dxa"/>
                    <w:left w:w="120" w:type="dxa"/>
                    <w:bottom w:w="120" w:type="dxa"/>
                    <w:right w:w="120" w:type="dxa"/>
                  </w:tcMar>
                  <w:vAlign w:val="center"/>
                </w:tcPr>
                <w:p w14:paraId="436F3268">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LAS</w:t>
                  </w:r>
                </w:p>
              </w:tc>
              <w:tc>
                <w:tcPr>
                  <w:tcW w:w="833" w:type="pct"/>
                  <w:noWrap w:val="0"/>
                  <w:tcMar>
                    <w:top w:w="120" w:type="dxa"/>
                    <w:left w:w="120" w:type="dxa"/>
                    <w:bottom w:w="120" w:type="dxa"/>
                    <w:right w:w="120" w:type="dxa"/>
                  </w:tcMar>
                  <w:vAlign w:val="center"/>
                </w:tcPr>
                <w:p w14:paraId="0AF8410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99.4</w:t>
                  </w:r>
                </w:p>
              </w:tc>
              <w:tc>
                <w:tcPr>
                  <w:tcW w:w="833" w:type="pct"/>
                  <w:noWrap w:val="0"/>
                  <w:tcMar>
                    <w:top w:w="120" w:type="dxa"/>
                    <w:left w:w="120" w:type="dxa"/>
                    <w:bottom w:w="120" w:type="dxa"/>
                    <w:right w:w="120" w:type="dxa"/>
                  </w:tcMar>
                  <w:vAlign w:val="center"/>
                </w:tcPr>
                <w:p w14:paraId="4E640FC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3.1684</w:t>
                  </w:r>
                </w:p>
              </w:tc>
              <w:tc>
                <w:tcPr>
                  <w:tcW w:w="833" w:type="pct"/>
                  <w:noWrap w:val="0"/>
                  <w:tcMar>
                    <w:top w:w="120" w:type="dxa"/>
                    <w:left w:w="120" w:type="dxa"/>
                    <w:bottom w:w="120" w:type="dxa"/>
                    <w:right w:w="120" w:type="dxa"/>
                  </w:tcMar>
                  <w:vAlign w:val="center"/>
                </w:tcPr>
                <w:p w14:paraId="2AD07A2D">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12.7</w:t>
                  </w:r>
                </w:p>
              </w:tc>
              <w:tc>
                <w:tcPr>
                  <w:tcW w:w="833" w:type="pct"/>
                  <w:noWrap w:val="0"/>
                  <w:tcMar>
                    <w:top w:w="120" w:type="dxa"/>
                    <w:left w:w="120" w:type="dxa"/>
                    <w:bottom w:w="120" w:type="dxa"/>
                    <w:right w:w="120" w:type="dxa"/>
                  </w:tcMar>
                  <w:vAlign w:val="center"/>
                </w:tcPr>
                <w:p w14:paraId="34E9BBB9">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0.4048</w:t>
                  </w:r>
                </w:p>
              </w:tc>
            </w:tr>
            <w:tr w14:paraId="296A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33" w:type="pct"/>
                  <w:vMerge w:val="continue"/>
                  <w:noWrap w:val="0"/>
                  <w:tcMar>
                    <w:top w:w="120" w:type="dxa"/>
                    <w:left w:w="120" w:type="dxa"/>
                    <w:bottom w:w="120" w:type="dxa"/>
                    <w:right w:w="120" w:type="dxa"/>
                  </w:tcMar>
                  <w:vAlign w:val="center"/>
                </w:tcPr>
                <w:p w14:paraId="66CB7479">
                  <w:pPr>
                    <w:widowControl/>
                    <w:jc w:val="center"/>
                    <w:rPr>
                      <w:rFonts w:ascii="Times New Roman" w:hAnsi="Times New Roman" w:eastAsia="宋体" w:cs="Times New Roman"/>
                      <w:color w:val="000000" w:themeColor="text1"/>
                      <w:kern w:val="0"/>
                      <w:szCs w:val="21"/>
                      <w:lang w:bidi="ar"/>
                      <w14:textFill>
                        <w14:solidFill>
                          <w14:schemeClr w14:val="tx1"/>
                        </w14:solidFill>
                      </w14:textFill>
                    </w:rPr>
                  </w:pPr>
                </w:p>
              </w:tc>
              <w:tc>
                <w:tcPr>
                  <w:tcW w:w="833" w:type="pct"/>
                  <w:noWrap w:val="0"/>
                  <w:tcMar>
                    <w:top w:w="120" w:type="dxa"/>
                    <w:left w:w="120" w:type="dxa"/>
                    <w:bottom w:w="120" w:type="dxa"/>
                    <w:right w:w="120" w:type="dxa"/>
                  </w:tcMar>
                  <w:vAlign w:val="center"/>
                </w:tcPr>
                <w:p w14:paraId="1146BB7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TP</w:t>
                  </w:r>
                </w:p>
              </w:tc>
              <w:tc>
                <w:tcPr>
                  <w:tcW w:w="833" w:type="pct"/>
                  <w:noWrap w:val="0"/>
                  <w:tcMar>
                    <w:top w:w="120" w:type="dxa"/>
                    <w:left w:w="120" w:type="dxa"/>
                    <w:bottom w:w="120" w:type="dxa"/>
                    <w:right w:w="120" w:type="dxa"/>
                  </w:tcMar>
                  <w:vAlign w:val="center"/>
                </w:tcPr>
                <w:p w14:paraId="2C0FB02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94.6</w:t>
                  </w:r>
                </w:p>
              </w:tc>
              <w:tc>
                <w:tcPr>
                  <w:tcW w:w="833" w:type="pct"/>
                  <w:noWrap w:val="0"/>
                  <w:tcMar>
                    <w:top w:w="120" w:type="dxa"/>
                    <w:left w:w="120" w:type="dxa"/>
                    <w:bottom w:w="120" w:type="dxa"/>
                    <w:right w:w="120" w:type="dxa"/>
                  </w:tcMar>
                  <w:vAlign w:val="center"/>
                </w:tcPr>
                <w:p w14:paraId="126E216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3.0154</w:t>
                  </w:r>
                </w:p>
              </w:tc>
              <w:tc>
                <w:tcPr>
                  <w:tcW w:w="833" w:type="pct"/>
                  <w:noWrap w:val="0"/>
                  <w:tcMar>
                    <w:top w:w="120" w:type="dxa"/>
                    <w:left w:w="120" w:type="dxa"/>
                    <w:bottom w:w="120" w:type="dxa"/>
                    <w:right w:w="120" w:type="dxa"/>
                  </w:tcMar>
                  <w:vAlign w:val="center"/>
                </w:tcPr>
                <w:p w14:paraId="5596955A">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33.8</w:t>
                  </w:r>
                </w:p>
              </w:tc>
              <w:tc>
                <w:tcPr>
                  <w:tcW w:w="833" w:type="pct"/>
                  <w:noWrap w:val="0"/>
                  <w:tcMar>
                    <w:top w:w="120" w:type="dxa"/>
                    <w:left w:w="120" w:type="dxa"/>
                    <w:bottom w:w="120" w:type="dxa"/>
                    <w:right w:w="120" w:type="dxa"/>
                  </w:tcMar>
                  <w:vAlign w:val="center"/>
                </w:tcPr>
                <w:p w14:paraId="63F34DB1">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1.0774</w:t>
                  </w:r>
                </w:p>
              </w:tc>
            </w:tr>
            <w:tr w14:paraId="03A4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000" w:type="pct"/>
                  <w:gridSpan w:val="6"/>
                  <w:noWrap w:val="0"/>
                  <w:tcMar>
                    <w:top w:w="120" w:type="dxa"/>
                    <w:left w:w="120" w:type="dxa"/>
                    <w:bottom w:w="120" w:type="dxa"/>
                    <w:right w:w="120" w:type="dxa"/>
                  </w:tcMar>
                  <w:vAlign w:val="center"/>
                </w:tcPr>
                <w:p w14:paraId="1ECC3EB7">
                  <w:pPr>
                    <w:widowControl/>
                    <w:jc w:val="left"/>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生产废水产排污浓度参考《广州山池洗涤有限公司年洗涤20万件布草建设项目验收检测报告》两天检测数据中的最大值计算。本项目采用类比法确定洗涤废水污染物产排浓度，类比仅参考污染物产生、排放浓度，污染物产排总量根据本项目实际洗涤废水量(31875m</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/a)进行物料衡算得到。</w:t>
                  </w:r>
                </w:p>
              </w:tc>
            </w:tr>
          </w:tbl>
          <w:p w14:paraId="02C28113">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w:t>
            </w:r>
            <w:r>
              <w:rPr>
                <w:rFonts w:hint="eastAsia" w:ascii="Times New Roman" w:hAnsi="Times New Roman" w:eastAsia="宋体" w:cs="Times New Roman"/>
                <w:b/>
                <w:color w:val="000000" w:themeColor="text1"/>
                <w:sz w:val="24"/>
                <w14:textFill>
                  <w14:solidFill>
                    <w14:schemeClr w14:val="tx1"/>
                  </w14:solidFill>
                </w14:textFill>
              </w:rPr>
              <w:t>3</w:t>
            </w:r>
            <w:r>
              <w:rPr>
                <w:rFonts w:ascii="Times New Roman" w:hAnsi="Times New Roman" w:eastAsia="宋体" w:cs="Times New Roman"/>
                <w:b/>
                <w:color w:val="000000" w:themeColor="text1"/>
                <w:sz w:val="24"/>
                <w14:textFill>
                  <w14:solidFill>
                    <w14:schemeClr w14:val="tx1"/>
                  </w14:solidFill>
                </w14:textFill>
              </w:rPr>
              <w:t>）锅炉排污水和软化处理废水</w:t>
            </w:r>
          </w:p>
          <w:p w14:paraId="63EACF53">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项目用水主要为生物质锅炉用水，来自软水制备系统。建设单位软水制备系统</w:t>
            </w:r>
            <w:r>
              <w:rPr>
                <w:rFonts w:ascii="Times New Roman" w:hAnsi="Times New Roman" w:eastAsia="宋体" w:cs="Times New Roman"/>
                <w:bCs/>
                <w:snapToGrid w:val="0"/>
                <w:color w:val="000000" w:themeColor="text1"/>
                <w:kern w:val="0"/>
                <w:sz w:val="24"/>
                <w14:textFill>
                  <w14:solidFill>
                    <w14:schemeClr w14:val="tx1"/>
                  </w14:solidFill>
                </w14:textFill>
              </w:rPr>
              <w:t>采用离子交换法，利用钠型阳离子交换树脂（NaR）中的钠离子（Na</w:t>
            </w:r>
            <w:r>
              <w:rPr>
                <w:rFonts w:ascii="Times New Roman" w:hAnsi="Times New Roman" w:eastAsia="宋体" w:cs="Times New Roman"/>
                <w:bCs/>
                <w:snapToGrid w:val="0"/>
                <w:color w:val="000000" w:themeColor="text1"/>
                <w:kern w:val="0"/>
                <w:sz w:val="24"/>
                <w:vertAlign w:val="superscript"/>
                <w14:textFill>
                  <w14:solidFill>
                    <w14:schemeClr w14:val="tx1"/>
                  </w14:solidFill>
                </w14:textFill>
              </w:rPr>
              <w:t>+</w:t>
            </w:r>
            <w:r>
              <w:rPr>
                <w:rFonts w:ascii="Times New Roman" w:hAnsi="Times New Roman" w:eastAsia="宋体" w:cs="Times New Roman"/>
                <w:bCs/>
                <w:snapToGrid w:val="0"/>
                <w:color w:val="000000" w:themeColor="text1"/>
                <w:kern w:val="0"/>
                <w:sz w:val="24"/>
                <w14:textFill>
                  <w14:solidFill>
                    <w14:schemeClr w14:val="tx1"/>
                  </w14:solidFill>
                </w14:textFill>
              </w:rPr>
              <w:t>），与水中的钙、镁离子（Ca</w:t>
            </w:r>
            <w:r>
              <w:rPr>
                <w:rFonts w:ascii="Times New Roman" w:hAnsi="Times New Roman" w:eastAsia="宋体" w:cs="Times New Roman"/>
                <w:bCs/>
                <w:snapToGrid w:val="0"/>
                <w:color w:val="000000" w:themeColor="text1"/>
                <w:kern w:val="0"/>
                <w:sz w:val="24"/>
                <w:vertAlign w:val="superscript"/>
                <w14:textFill>
                  <w14:solidFill>
                    <w14:schemeClr w14:val="tx1"/>
                  </w14:solidFill>
                </w14:textFill>
              </w:rPr>
              <w:t>2+</w:t>
            </w:r>
            <w:r>
              <w:rPr>
                <w:rFonts w:ascii="Times New Roman" w:hAnsi="Times New Roman" w:eastAsia="宋体" w:cs="Times New Roman"/>
                <w:bCs/>
                <w:snapToGrid w:val="0"/>
                <w:color w:val="000000" w:themeColor="text1"/>
                <w:kern w:val="0"/>
                <w:sz w:val="24"/>
                <w14:textFill>
                  <w14:solidFill>
                    <w14:schemeClr w14:val="tx1"/>
                  </w14:solidFill>
                </w14:textFill>
              </w:rPr>
              <w:t>，Mg</w:t>
            </w:r>
            <w:r>
              <w:rPr>
                <w:rFonts w:ascii="Times New Roman" w:hAnsi="Times New Roman" w:eastAsia="宋体" w:cs="Times New Roman"/>
                <w:bCs/>
                <w:snapToGrid w:val="0"/>
                <w:color w:val="000000" w:themeColor="text1"/>
                <w:kern w:val="0"/>
                <w:sz w:val="24"/>
                <w:vertAlign w:val="superscript"/>
                <w14:textFill>
                  <w14:solidFill>
                    <w14:schemeClr w14:val="tx1"/>
                  </w14:solidFill>
                </w14:textFill>
              </w:rPr>
              <w:t>2+</w:t>
            </w:r>
            <w:r>
              <w:rPr>
                <w:rFonts w:ascii="Times New Roman" w:hAnsi="Times New Roman" w:eastAsia="宋体" w:cs="Times New Roman"/>
                <w:bCs/>
                <w:snapToGrid w:val="0"/>
                <w:color w:val="000000" w:themeColor="text1"/>
                <w:kern w:val="0"/>
                <w:sz w:val="24"/>
                <w14:textFill>
                  <w14:solidFill>
                    <w14:schemeClr w14:val="tx1"/>
                  </w14:solidFill>
                </w14:textFill>
              </w:rPr>
              <w:t>）进行交换，从而将硬水软化，其设计</w:t>
            </w:r>
            <w:r>
              <w:rPr>
                <w:rFonts w:ascii="Times New Roman" w:hAnsi="Times New Roman" w:eastAsia="宋体" w:cs="Times New Roman"/>
                <w:color w:val="000000" w:themeColor="text1"/>
                <w:sz w:val="24"/>
                <w14:textFill>
                  <w14:solidFill>
                    <w14:schemeClr w14:val="tx1"/>
                  </w14:solidFill>
                </w14:textFill>
              </w:rPr>
              <w:t>最大制备能力为30m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/d。</w:t>
            </w:r>
          </w:p>
          <w:p w14:paraId="725B9ABE">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项目生产配备1台4t/h燃生物质（</w:t>
            </w:r>
            <w:r>
              <w:rPr>
                <w:rFonts w:ascii="Times New Roman" w:hAnsi="Times New Roman" w:eastAsia="宋体" w:cs="Times New Roman"/>
                <w:color w:val="000000" w:themeColor="text1"/>
                <w:spacing w:val="2"/>
                <w:sz w:val="24"/>
                <w14:textFill>
                  <w14:solidFill>
                    <w14:schemeClr w14:val="tx1"/>
                  </w14:solidFill>
                </w14:textFill>
              </w:rPr>
              <w:t>生物质成型燃料</w:t>
            </w:r>
            <w:r>
              <w:rPr>
                <w:rFonts w:ascii="Times New Roman" w:hAnsi="Times New Roman" w:eastAsia="宋体" w:cs="Times New Roman"/>
                <w:color w:val="000000" w:themeColor="text1"/>
                <w:sz w:val="24"/>
                <w14:textFill>
                  <w14:solidFill>
                    <w14:schemeClr w14:val="tx1"/>
                  </w14:solidFill>
                </w14:textFill>
              </w:rPr>
              <w:t>）锅炉</w:t>
            </w:r>
            <w:r>
              <w:rPr>
                <w:rFonts w:ascii="Times New Roman" w:hAnsi="Times New Roman" w:eastAsia="宋体" w:cs="Times New Roman"/>
                <w:bCs/>
                <w:snapToGrid w:val="0"/>
                <w:color w:val="000000" w:themeColor="text1"/>
                <w:kern w:val="0"/>
                <w:sz w:val="24"/>
                <w14:textFill>
                  <w14:solidFill>
                    <w14:schemeClr w14:val="tx1"/>
                  </w14:solidFill>
                </w14:textFill>
              </w:rPr>
              <w:t>为洗涤被服的加温主洗和烫干烫平工序提供蒸汽，锅炉房配套软水制备系统，锅炉用水经软化后进入锅炉产生蒸汽，锅炉的额定负荷为4t/h，</w:t>
            </w:r>
            <w:r>
              <w:rPr>
                <w:rFonts w:ascii="Times New Roman" w:hAnsi="Times New Roman" w:eastAsia="宋体" w:cs="Times New Roman"/>
                <w:color w:val="000000" w:themeColor="text1"/>
                <w:sz w:val="24"/>
                <w14:textFill>
                  <w14:solidFill>
                    <w14:schemeClr w14:val="tx1"/>
                  </w14:solidFill>
                </w14:textFill>
              </w:rPr>
              <w:t>在80%负荷率下可完全满足生产需求，</w:t>
            </w:r>
            <w:r>
              <w:rPr>
                <w:rFonts w:ascii="Times New Roman" w:hAnsi="Times New Roman" w:eastAsia="宋体" w:cs="Times New Roman"/>
                <w:bCs/>
                <w:snapToGrid w:val="0"/>
                <w:color w:val="000000" w:themeColor="text1"/>
                <w:kern w:val="0"/>
                <w:sz w:val="24"/>
                <w14:textFill>
                  <w14:solidFill>
                    <w14:schemeClr w14:val="tx1"/>
                  </w14:solidFill>
                </w14:textFill>
              </w:rPr>
              <w:t>每天运行6h，年运行360天，则锅炉总蒸汽产生量为4</w:t>
            </w:r>
            <w:r>
              <w:rPr>
                <w:rFonts w:ascii="Times New Roman" w:hAnsi="Times New Roman" w:eastAsia="宋体" w:cs="Times New Roman"/>
                <w:color w:val="000000" w:themeColor="text1"/>
                <w:sz w:val="24"/>
                <w14:textFill>
                  <w14:solidFill>
                    <w14:schemeClr w14:val="tx1"/>
                  </w14:solidFill>
                </w14:textFill>
              </w:rPr>
              <w:t>4×80%×2160=6912m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w:t>
            </w:r>
            <w:r>
              <w:rPr>
                <w:rFonts w:ascii="Times New Roman" w:hAnsi="Times New Roman" w:eastAsia="宋体" w:cs="Times New Roman"/>
                <w:bCs/>
                <w:snapToGrid w:val="0"/>
                <w:color w:val="000000" w:themeColor="text1"/>
                <w:kern w:val="0"/>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蒸汽经冷凝后，作为锅炉用水循环利用，定期补充损耗的新鲜水。根据《锅炉蒸汽冷凝水回收利用方法》，工业锅炉冷凝水回收率可达60%以上，按60%计算，则项目冷凝水回收量为4147.2m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/a，未回收的损耗蒸汽量为2764.8m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/a，则需进行补充新鲜用水2764.8m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/a。</w:t>
            </w:r>
          </w:p>
          <w:p w14:paraId="766ECDCA">
            <w:pPr>
              <w:spacing w:line="480" w:lineRule="exact"/>
              <w:ind w:firstLine="480" w:firstLineChars="200"/>
              <w:rPr>
                <w:rFonts w:ascii="Times New Roman" w:hAnsi="Times New Roman" w:eastAsia="宋体" w:cs="Times New Roman"/>
                <w:bCs/>
                <w:snapToGrid w:val="0"/>
                <w:color w:val="000000" w:themeColor="text1"/>
                <w:kern w:val="0"/>
                <w:sz w:val="24"/>
                <w14:textFill>
                  <w14:solidFill>
                    <w14:schemeClr w14:val="tx1"/>
                  </w14:solidFill>
                </w14:textFill>
              </w:rPr>
            </w:pPr>
            <w:r>
              <w:rPr>
                <w:rFonts w:ascii="Times New Roman" w:hAnsi="Times New Roman" w:eastAsia="宋体" w:cs="Times New Roman"/>
                <w:bCs/>
                <w:snapToGrid w:val="0"/>
                <w:color w:val="000000" w:themeColor="text1"/>
                <w:kern w:val="0"/>
                <w:sz w:val="24"/>
                <w14:textFill>
                  <w14:solidFill>
                    <w14:schemeClr w14:val="tx1"/>
                  </w14:solidFill>
                </w14:textFill>
              </w:rPr>
              <w:t>锅炉用水使用过程中会产生锅炉排污水和软化处理废水，</w:t>
            </w:r>
            <w:r>
              <w:rPr>
                <w:rFonts w:ascii="Times New Roman" w:hAnsi="Times New Roman" w:eastAsia="宋体" w:cs="Times New Roman"/>
                <w:color w:val="000000" w:themeColor="text1"/>
                <w:sz w:val="24"/>
                <w14:textFill>
                  <w14:solidFill>
                    <w14:schemeClr w14:val="tx1"/>
                  </w14:solidFill>
                </w14:textFill>
              </w:rPr>
              <w:t>主要污染物为pH值、化学需氧量、SS。</w:t>
            </w:r>
            <w:r>
              <w:rPr>
                <w:rFonts w:ascii="Times New Roman" w:hAnsi="Times New Roman" w:eastAsia="宋体" w:cs="Times New Roman"/>
                <w:bCs/>
                <w:snapToGrid w:val="0"/>
                <w:color w:val="000000" w:themeColor="text1"/>
                <w:kern w:val="0"/>
                <w:sz w:val="24"/>
                <w14:textFill>
                  <w14:solidFill>
                    <w14:schemeClr w14:val="tx1"/>
                  </w14:solidFill>
                </w14:textFill>
              </w:rPr>
              <w:t>根据《排放源统计调查产排污核算方法和系数手册》（生态环境部公告2021年第24号）中“4430工业锅炉（热力生产和供应行业）产排污系数表-工业废水量和化学需氧量”燃生物质锅炉（锅外水处理）工业废水量产污系数为0.356吨/吨-原料（锅炉排污水+软化处理废水），项目生物质成型燃料的年用量为1083.35t，则锅炉排污水和软化处理废水产生量约为385.67t/a，故项目锅炉用水量=2764.8+385.67=3150.47</w:t>
            </w:r>
            <w:r>
              <w:rPr>
                <w:rFonts w:ascii="Times New Roman" w:hAnsi="Times New Roman" w:eastAsia="宋体" w:cs="Times New Roman"/>
                <w:color w:val="000000" w:themeColor="text1"/>
                <w:sz w:val="24"/>
                <w14:textFill>
                  <w14:solidFill>
                    <w14:schemeClr w14:val="tx1"/>
                  </w14:solidFill>
                </w14:textFill>
              </w:rPr>
              <w:t>m</w:t>
            </w:r>
            <w:r>
              <w:rPr>
                <w:rFonts w:ascii="Times New Roman" w:hAnsi="Times New Roman" w:eastAsia="宋体" w:cs="Times New Roman"/>
                <w:color w:val="000000" w:themeColor="text1"/>
                <w:sz w:val="24"/>
                <w:vertAlign w:val="superscript"/>
                <w14:textFill>
                  <w14:solidFill>
                    <w14:schemeClr w14:val="tx1"/>
                  </w14:solidFill>
                </w14:textFill>
              </w:rPr>
              <w:t>3</w:t>
            </w:r>
            <w:r>
              <w:rPr>
                <w:rFonts w:ascii="Times New Roman" w:hAnsi="Times New Roman" w:eastAsia="宋体" w:cs="Times New Roman"/>
                <w:bCs/>
                <w:snapToGrid w:val="0"/>
                <w:color w:val="000000" w:themeColor="text1"/>
                <w:kern w:val="0"/>
                <w:sz w:val="24"/>
                <w14:textFill>
                  <w14:solidFill>
                    <w14:schemeClr w14:val="tx1"/>
                  </w14:solidFill>
                </w14:textFill>
              </w:rPr>
              <w:t>/a。</w:t>
            </w:r>
          </w:p>
          <w:p w14:paraId="33CF36F2">
            <w:pPr>
              <w:adjustRightInd w:val="0"/>
              <w:snapToGrid w:val="0"/>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w:t>
            </w:r>
            <w:r>
              <w:rPr>
                <w:rFonts w:hint="eastAsia" w:ascii="Times New Roman" w:hAnsi="Times New Roman" w:eastAsia="宋体" w:cs="Times New Roman"/>
                <w:color w:val="000000" w:themeColor="text1"/>
                <w:sz w:val="24"/>
                <w:lang w:val="en-US" w:eastAsia="zh-CN"/>
                <w14:textFill>
                  <w14:solidFill>
                    <w14:schemeClr w14:val="tx1"/>
                  </w14:solidFill>
                </w14:textFill>
              </w:rPr>
              <w:t>洗涤废水</w:t>
            </w:r>
            <w:r>
              <w:rPr>
                <w:rFonts w:ascii="Times New Roman" w:hAnsi="Times New Roman" w:eastAsia="宋体" w:cs="Times New Roman"/>
                <w:color w:val="000000" w:themeColor="text1"/>
                <w:sz w:val="24"/>
                <w14:textFill>
                  <w14:solidFill>
                    <w14:schemeClr w14:val="tx1"/>
                  </w14:solidFill>
                </w14:textFill>
              </w:rPr>
              <w:t>、锅炉排污水和</w:t>
            </w:r>
            <w:r>
              <w:rPr>
                <w:rFonts w:ascii="Times New Roman" w:hAnsi="Times New Roman" w:eastAsia="宋体" w:cs="Times New Roman"/>
                <w:bCs/>
                <w:snapToGrid w:val="0"/>
                <w:color w:val="000000" w:themeColor="text1"/>
                <w:kern w:val="0"/>
                <w:sz w:val="24"/>
                <w14:textFill>
                  <w14:solidFill>
                    <w14:schemeClr w14:val="tx1"/>
                  </w14:solidFill>
                </w14:textFill>
              </w:rPr>
              <w:t>软化处理废水</w:t>
            </w:r>
            <w:r>
              <w:rPr>
                <w:rFonts w:ascii="Times New Roman" w:hAnsi="Times New Roman" w:eastAsia="宋体" w:cs="Times New Roman"/>
                <w:color w:val="000000" w:themeColor="text1"/>
                <w:sz w:val="24"/>
                <w14:textFill>
                  <w14:solidFill>
                    <w14:schemeClr w14:val="tx1"/>
                  </w14:solidFill>
                </w14:textFill>
              </w:rPr>
              <w:t>经自建污水站（</w:t>
            </w:r>
            <w:r>
              <w:rPr>
                <w:rFonts w:hint="eastAsia" w:ascii="Times New Roman" w:hAnsi="Times New Roman" w:eastAsia="宋体" w:cs="Times New Roman"/>
                <w:color w:val="000000" w:themeColor="text1"/>
                <w:sz w:val="24"/>
                <w:lang w:eastAsia="zh-CN"/>
                <w14:textFill>
                  <w14:solidFill>
                    <w14:schemeClr w14:val="tx1"/>
                  </w14:solidFill>
                </w14:textFill>
              </w:rPr>
              <w:t>溶气气浮+A/O一体化</w:t>
            </w:r>
            <w:r>
              <w:rPr>
                <w:rFonts w:ascii="Times New Roman" w:hAnsi="Times New Roman" w:eastAsia="宋体" w:cs="Times New Roman"/>
                <w:color w:val="000000" w:themeColor="text1"/>
                <w:sz w:val="24"/>
                <w14:textFill>
                  <w14:solidFill>
                    <w14:schemeClr w14:val="tx1"/>
                  </w14:solidFill>
                </w14:textFill>
              </w:rPr>
              <w:t>）处理后通过市政污水管网排入霞山水质净化厂。参照《排放源统计调查产排污核算方法和系数手册》中“4430工业锅炉（热力生产和供应行业）产污系数表-工业废水量和“化学需氧量”：生物质燃烧-炉外水处理中化学需氧量产污系数为30克/吨-原料。本项目</w:t>
            </w:r>
            <w:r>
              <w:rPr>
                <w:rFonts w:ascii="Times New Roman" w:hAnsi="Times New Roman" w:eastAsia="宋体" w:cs="Times New Roman"/>
                <w:color w:val="000000" w:themeColor="text1"/>
                <w:spacing w:val="2"/>
                <w:sz w:val="24"/>
                <w14:textFill>
                  <w14:solidFill>
                    <w14:schemeClr w14:val="tx1"/>
                  </w14:solidFill>
                </w14:textFill>
              </w:rPr>
              <w:t>生物质成型燃料</w:t>
            </w:r>
            <w:r>
              <w:rPr>
                <w:rFonts w:ascii="Times New Roman" w:hAnsi="Times New Roman" w:eastAsia="宋体" w:cs="Times New Roman"/>
                <w:color w:val="000000" w:themeColor="text1"/>
                <w:sz w:val="24"/>
                <w14:textFill>
                  <w14:solidFill>
                    <w14:schemeClr w14:val="tx1"/>
                  </w14:solidFill>
                </w14:textFill>
              </w:rPr>
              <w:t>年用量为1083.35t/a，则化学需氧量产生量为0.0325t/a。同时根据《锅炉排污水回收利用技术探讨》（白春娥，2012）：锅炉排污水中pH值6-9、悬浮物200mg/L，本评价按pH值6-9，悬浮物200mg/L进行核算。根据《室外排水设计标准》（GB50014-2021）、《水解酸化反应器污水处理工程技术规范》（HJ2047-2015）、《村镇生活污染防治最佳可行技术指南（试行）》（HJ-BAT-9）及同类污水处理工程实测文献，整套工艺对CODcr综合去除效率取90%，对SS综合去除效率取95%，则项目锅炉排污水和</w:t>
            </w:r>
            <w:r>
              <w:rPr>
                <w:rFonts w:ascii="Times New Roman" w:hAnsi="Times New Roman" w:eastAsia="宋体" w:cs="Times New Roman"/>
                <w:bCs/>
                <w:snapToGrid w:val="0"/>
                <w:color w:val="000000" w:themeColor="text1"/>
                <w:kern w:val="0"/>
                <w:sz w:val="24"/>
                <w14:textFill>
                  <w14:solidFill>
                    <w14:schemeClr w14:val="tx1"/>
                  </w14:solidFill>
                </w14:textFill>
              </w:rPr>
              <w:t>软化处理废水</w:t>
            </w:r>
            <w:r>
              <w:rPr>
                <w:rFonts w:ascii="Times New Roman" w:hAnsi="Times New Roman" w:eastAsia="宋体" w:cs="Times New Roman"/>
                <w:color w:val="000000" w:themeColor="text1"/>
                <w:sz w:val="24"/>
                <w14:textFill>
                  <w14:solidFill>
                    <w14:schemeClr w14:val="tx1"/>
                  </w14:solidFill>
                </w14:textFill>
              </w:rPr>
              <w:t>污染物产排情况详见下表。</w:t>
            </w:r>
          </w:p>
          <w:p w14:paraId="2D0207E3">
            <w:pPr>
              <w:spacing w:line="480" w:lineRule="exact"/>
              <w:ind w:firstLine="482" w:firstLineChars="200"/>
              <w:jc w:val="center"/>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表4-9项目</w:t>
            </w:r>
            <w:r>
              <w:rPr>
                <w:rFonts w:hint="eastAsia" w:ascii="Times New Roman" w:hAnsi="Times New Roman" w:eastAsia="宋体" w:cs="宋体"/>
                <w:b/>
                <w:color w:val="000000" w:themeColor="text1"/>
                <w:sz w:val="24"/>
                <w14:textFill>
                  <w14:solidFill>
                    <w14:schemeClr w14:val="tx1"/>
                  </w14:solidFill>
                </w14:textFill>
              </w:rPr>
              <w:t>锅炉排污水和软化处理废水</w:t>
            </w:r>
            <w:r>
              <w:rPr>
                <w:rFonts w:hint="eastAsia" w:ascii="Times New Roman" w:hAnsi="Times New Roman" w:eastAsia="宋体" w:cs="Times New Roman"/>
                <w:b/>
                <w:bCs/>
                <w:color w:val="000000" w:themeColor="text1"/>
                <w:sz w:val="24"/>
                <w14:textFill>
                  <w14:solidFill>
                    <w14:schemeClr w14:val="tx1"/>
                  </w14:solidFill>
                </w14:textFill>
              </w:rPr>
              <w:t>污染物产排情况表</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634"/>
              <w:gridCol w:w="1139"/>
              <w:gridCol w:w="1216"/>
              <w:gridCol w:w="1051"/>
              <w:gridCol w:w="968"/>
              <w:gridCol w:w="1105"/>
              <w:gridCol w:w="884"/>
            </w:tblGrid>
            <w:tr w14:paraId="0D4F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021" w:type="pct"/>
                  <w:noWrap w:val="0"/>
                  <w:tcMar>
                    <w:top w:w="120" w:type="dxa"/>
                    <w:left w:w="120" w:type="dxa"/>
                    <w:bottom w:w="120" w:type="dxa"/>
                    <w:right w:w="120" w:type="dxa"/>
                  </w:tcMar>
                  <w:vAlign w:val="center"/>
                </w:tcPr>
                <w:p w14:paraId="6FB7D38D">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污染源类型</w:t>
                  </w:r>
                </w:p>
              </w:tc>
              <w:tc>
                <w:tcPr>
                  <w:tcW w:w="712" w:type="pct"/>
                  <w:noWrap w:val="0"/>
                  <w:tcMar>
                    <w:top w:w="120" w:type="dxa"/>
                    <w:left w:w="120" w:type="dxa"/>
                    <w:bottom w:w="120" w:type="dxa"/>
                    <w:right w:w="120" w:type="dxa"/>
                  </w:tcMar>
                  <w:vAlign w:val="center"/>
                </w:tcPr>
                <w:p w14:paraId="09C770E9">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污染物名称</w:t>
                  </w:r>
                </w:p>
              </w:tc>
              <w:tc>
                <w:tcPr>
                  <w:tcW w:w="760" w:type="pct"/>
                  <w:noWrap w:val="0"/>
                  <w:tcMar>
                    <w:top w:w="120" w:type="dxa"/>
                    <w:left w:w="120" w:type="dxa"/>
                    <w:bottom w:w="120" w:type="dxa"/>
                    <w:right w:w="120" w:type="dxa"/>
                  </w:tcMar>
                  <w:vAlign w:val="center"/>
                </w:tcPr>
                <w:p w14:paraId="7A547F89">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产生浓度(mg/L)</w:t>
                  </w:r>
                </w:p>
              </w:tc>
              <w:tc>
                <w:tcPr>
                  <w:tcW w:w="657" w:type="pct"/>
                  <w:noWrap w:val="0"/>
                  <w:tcMar>
                    <w:top w:w="120" w:type="dxa"/>
                    <w:left w:w="120" w:type="dxa"/>
                    <w:bottom w:w="120" w:type="dxa"/>
                    <w:right w:w="120" w:type="dxa"/>
                  </w:tcMar>
                  <w:vAlign w:val="center"/>
                </w:tcPr>
                <w:p w14:paraId="11BF0A2C">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产生量(t/a)</w:t>
                  </w:r>
                </w:p>
              </w:tc>
              <w:tc>
                <w:tcPr>
                  <w:tcW w:w="605" w:type="pct"/>
                  <w:noWrap w:val="0"/>
                  <w:tcMar>
                    <w:top w:w="120" w:type="dxa"/>
                    <w:left w:w="120" w:type="dxa"/>
                    <w:bottom w:w="120" w:type="dxa"/>
                    <w:right w:w="120" w:type="dxa"/>
                  </w:tcMar>
                  <w:vAlign w:val="center"/>
                </w:tcPr>
                <w:p w14:paraId="7240E983">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去除效率(%)</w:t>
                  </w:r>
                </w:p>
              </w:tc>
              <w:tc>
                <w:tcPr>
                  <w:tcW w:w="690" w:type="pct"/>
                  <w:noWrap w:val="0"/>
                  <w:tcMar>
                    <w:top w:w="120" w:type="dxa"/>
                    <w:left w:w="120" w:type="dxa"/>
                    <w:bottom w:w="120" w:type="dxa"/>
                    <w:right w:w="120" w:type="dxa"/>
                  </w:tcMar>
                  <w:vAlign w:val="center"/>
                </w:tcPr>
                <w:p w14:paraId="35266695">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排放浓度(mg/L)</w:t>
                  </w:r>
                </w:p>
              </w:tc>
              <w:tc>
                <w:tcPr>
                  <w:tcW w:w="552" w:type="pct"/>
                  <w:noWrap w:val="0"/>
                  <w:tcMar>
                    <w:top w:w="120" w:type="dxa"/>
                    <w:left w:w="120" w:type="dxa"/>
                    <w:bottom w:w="120" w:type="dxa"/>
                    <w:right w:w="120" w:type="dxa"/>
                  </w:tcMar>
                  <w:vAlign w:val="center"/>
                </w:tcPr>
                <w:p w14:paraId="058B439E">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kern w:val="0"/>
                      <w:szCs w:val="21"/>
                      <w:lang w:bidi="ar"/>
                      <w14:textFill>
                        <w14:solidFill>
                          <w14:schemeClr w14:val="tx1"/>
                        </w14:solidFill>
                      </w14:textFill>
                    </w:rPr>
                    <w:t>排放量(t/a)</w:t>
                  </w:r>
                </w:p>
              </w:tc>
            </w:tr>
            <w:tr w14:paraId="3ED3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0" w:hRule="atLeast"/>
              </w:trPr>
              <w:tc>
                <w:tcPr>
                  <w:tcW w:w="1021" w:type="pct"/>
                  <w:vMerge w:val="restart"/>
                  <w:noWrap w:val="0"/>
                  <w:tcMar>
                    <w:top w:w="120" w:type="dxa"/>
                    <w:left w:w="120" w:type="dxa"/>
                    <w:bottom w:w="120" w:type="dxa"/>
                    <w:right w:w="120" w:type="dxa"/>
                  </w:tcMar>
                  <w:vAlign w:val="center"/>
                </w:tcPr>
                <w:p w14:paraId="0021D2E4">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锅炉排污水和软化处理废水（385.67m³/a）</w:t>
                  </w:r>
                </w:p>
              </w:tc>
              <w:tc>
                <w:tcPr>
                  <w:tcW w:w="712" w:type="pct"/>
                  <w:noWrap w:val="0"/>
                  <w:tcMar>
                    <w:top w:w="120" w:type="dxa"/>
                    <w:left w:w="120" w:type="dxa"/>
                    <w:bottom w:w="120" w:type="dxa"/>
                    <w:right w:w="120" w:type="dxa"/>
                  </w:tcMar>
                  <w:vAlign w:val="center"/>
                </w:tcPr>
                <w:p w14:paraId="1A532D1F">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p>
              </w:tc>
              <w:tc>
                <w:tcPr>
                  <w:tcW w:w="760" w:type="pct"/>
                  <w:noWrap w:val="0"/>
                  <w:tcMar>
                    <w:top w:w="120" w:type="dxa"/>
                    <w:left w:w="120" w:type="dxa"/>
                    <w:bottom w:w="120" w:type="dxa"/>
                    <w:right w:w="120" w:type="dxa"/>
                  </w:tcMar>
                  <w:vAlign w:val="center"/>
                </w:tcPr>
                <w:p w14:paraId="66B3236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84.27</w:t>
                  </w:r>
                </w:p>
              </w:tc>
              <w:tc>
                <w:tcPr>
                  <w:tcW w:w="657" w:type="pct"/>
                  <w:noWrap w:val="0"/>
                  <w:tcMar>
                    <w:top w:w="120" w:type="dxa"/>
                    <w:left w:w="120" w:type="dxa"/>
                    <w:bottom w:w="120" w:type="dxa"/>
                    <w:right w:w="120" w:type="dxa"/>
                  </w:tcMar>
                  <w:vAlign w:val="center"/>
                </w:tcPr>
                <w:p w14:paraId="3620AB8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0.0325</w:t>
                  </w:r>
                </w:p>
              </w:tc>
              <w:tc>
                <w:tcPr>
                  <w:tcW w:w="605" w:type="pct"/>
                  <w:noWrap w:val="0"/>
                  <w:tcMar>
                    <w:top w:w="120" w:type="dxa"/>
                    <w:left w:w="120" w:type="dxa"/>
                    <w:bottom w:w="120" w:type="dxa"/>
                    <w:right w:w="120" w:type="dxa"/>
                  </w:tcMar>
                  <w:vAlign w:val="center"/>
                </w:tcPr>
                <w:p w14:paraId="5F1B9855">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90</w:t>
                  </w:r>
                </w:p>
              </w:tc>
              <w:tc>
                <w:tcPr>
                  <w:tcW w:w="690" w:type="pct"/>
                  <w:noWrap w:val="0"/>
                  <w:tcMar>
                    <w:top w:w="120" w:type="dxa"/>
                    <w:left w:w="120" w:type="dxa"/>
                    <w:bottom w:w="120" w:type="dxa"/>
                    <w:right w:w="120" w:type="dxa"/>
                  </w:tcMar>
                  <w:vAlign w:val="center"/>
                </w:tcPr>
                <w:p w14:paraId="73CFC44A">
                  <w:pPr>
                    <w:widowControl/>
                    <w:jc w:val="center"/>
                    <w:rPr>
                      <w:rFonts w:ascii="Times New Roman" w:hAnsi="Times New Roman" w:eastAsia="宋体" w:cs="Times New Roman"/>
                      <w:bCs/>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8.43</w:t>
                  </w:r>
                </w:p>
              </w:tc>
              <w:tc>
                <w:tcPr>
                  <w:tcW w:w="552" w:type="pct"/>
                  <w:noWrap w:val="0"/>
                  <w:tcMar>
                    <w:top w:w="120" w:type="dxa"/>
                    <w:left w:w="120" w:type="dxa"/>
                    <w:bottom w:w="120" w:type="dxa"/>
                    <w:right w:w="120" w:type="dxa"/>
                  </w:tcMar>
                  <w:vAlign w:val="center"/>
                </w:tcPr>
                <w:p w14:paraId="22BDA058">
                  <w:pPr>
                    <w:widowControl/>
                    <w:jc w:val="center"/>
                    <w:rPr>
                      <w:rFonts w:ascii="Times New Roman" w:hAnsi="Times New Roman" w:eastAsia="宋体" w:cs="Times New Roman"/>
                      <w:bCs/>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0.00325</w:t>
                  </w:r>
                </w:p>
              </w:tc>
            </w:tr>
            <w:tr w14:paraId="79AB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6" w:hRule="atLeast"/>
              </w:trPr>
              <w:tc>
                <w:tcPr>
                  <w:tcW w:w="1021" w:type="pct"/>
                  <w:vMerge w:val="continue"/>
                  <w:noWrap w:val="0"/>
                  <w:tcMar>
                    <w:top w:w="120" w:type="dxa"/>
                    <w:left w:w="120" w:type="dxa"/>
                    <w:bottom w:w="120" w:type="dxa"/>
                    <w:right w:w="120" w:type="dxa"/>
                  </w:tcMar>
                  <w:vAlign w:val="center"/>
                </w:tcPr>
                <w:p w14:paraId="53DE780C">
                  <w:pPr>
                    <w:widowControl/>
                    <w:jc w:val="center"/>
                    <w:rPr>
                      <w:rFonts w:ascii="Times New Roman" w:hAnsi="Times New Roman" w:eastAsia="宋体" w:cs="Times New Roman"/>
                      <w:color w:val="000000" w:themeColor="text1"/>
                      <w:szCs w:val="21"/>
                      <w14:textFill>
                        <w14:solidFill>
                          <w14:schemeClr w14:val="tx1"/>
                        </w14:solidFill>
                      </w14:textFill>
                    </w:rPr>
                  </w:pPr>
                </w:p>
              </w:tc>
              <w:tc>
                <w:tcPr>
                  <w:tcW w:w="712" w:type="pct"/>
                  <w:noWrap w:val="0"/>
                  <w:tcMar>
                    <w:top w:w="120" w:type="dxa"/>
                    <w:left w:w="120" w:type="dxa"/>
                    <w:bottom w:w="120" w:type="dxa"/>
                    <w:right w:w="120" w:type="dxa"/>
                  </w:tcMar>
                  <w:vAlign w:val="center"/>
                </w:tcPr>
                <w:p w14:paraId="3DD01C62">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SS</w:t>
                  </w:r>
                </w:p>
              </w:tc>
              <w:tc>
                <w:tcPr>
                  <w:tcW w:w="760" w:type="pct"/>
                  <w:noWrap w:val="0"/>
                  <w:tcMar>
                    <w:top w:w="120" w:type="dxa"/>
                    <w:left w:w="120" w:type="dxa"/>
                    <w:bottom w:w="120" w:type="dxa"/>
                    <w:right w:w="120" w:type="dxa"/>
                  </w:tcMar>
                  <w:vAlign w:val="center"/>
                </w:tcPr>
                <w:p w14:paraId="2763C780">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200</w:t>
                  </w:r>
                </w:p>
              </w:tc>
              <w:tc>
                <w:tcPr>
                  <w:tcW w:w="657" w:type="pct"/>
                  <w:noWrap w:val="0"/>
                  <w:tcMar>
                    <w:top w:w="120" w:type="dxa"/>
                    <w:left w:w="120" w:type="dxa"/>
                    <w:bottom w:w="120" w:type="dxa"/>
                    <w:right w:w="120" w:type="dxa"/>
                  </w:tcMar>
                  <w:vAlign w:val="center"/>
                </w:tcPr>
                <w:p w14:paraId="4EA07AC6">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0.077134</w:t>
                  </w:r>
                </w:p>
              </w:tc>
              <w:tc>
                <w:tcPr>
                  <w:tcW w:w="605" w:type="pct"/>
                  <w:noWrap w:val="0"/>
                  <w:tcMar>
                    <w:top w:w="120" w:type="dxa"/>
                    <w:left w:w="120" w:type="dxa"/>
                    <w:bottom w:w="120" w:type="dxa"/>
                    <w:right w:w="120" w:type="dxa"/>
                  </w:tcMar>
                  <w:vAlign w:val="center"/>
                </w:tcPr>
                <w:p w14:paraId="03E8980B">
                  <w:pPr>
                    <w:widowControl/>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95</w:t>
                  </w:r>
                </w:p>
              </w:tc>
              <w:tc>
                <w:tcPr>
                  <w:tcW w:w="690" w:type="pct"/>
                  <w:noWrap w:val="0"/>
                  <w:tcMar>
                    <w:top w:w="120" w:type="dxa"/>
                    <w:left w:w="120" w:type="dxa"/>
                    <w:bottom w:w="120" w:type="dxa"/>
                    <w:right w:w="120" w:type="dxa"/>
                  </w:tcMar>
                  <w:vAlign w:val="center"/>
                </w:tcPr>
                <w:p w14:paraId="2577EF92">
                  <w:pPr>
                    <w:widowControl/>
                    <w:jc w:val="center"/>
                    <w:rPr>
                      <w:rFonts w:ascii="Times New Roman" w:hAnsi="Times New Roman" w:eastAsia="宋体" w:cs="Times New Roman"/>
                      <w:bCs/>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10</w:t>
                  </w:r>
                </w:p>
              </w:tc>
              <w:tc>
                <w:tcPr>
                  <w:tcW w:w="552" w:type="pct"/>
                  <w:noWrap w:val="0"/>
                  <w:tcMar>
                    <w:top w:w="120" w:type="dxa"/>
                    <w:left w:w="120" w:type="dxa"/>
                    <w:bottom w:w="120" w:type="dxa"/>
                    <w:right w:w="120" w:type="dxa"/>
                  </w:tcMar>
                  <w:vAlign w:val="center"/>
                </w:tcPr>
                <w:p w14:paraId="5B548FCF">
                  <w:pPr>
                    <w:widowControl/>
                    <w:jc w:val="center"/>
                    <w:rPr>
                      <w:rFonts w:ascii="Times New Roman" w:hAnsi="Times New Roman" w:eastAsia="宋体" w:cs="Times New Roman"/>
                      <w:bCs/>
                      <w:color w:val="000000" w:themeColor="text1"/>
                      <w:szCs w:val="21"/>
                      <w14:textFill>
                        <w14:solidFill>
                          <w14:schemeClr w14:val="tx1"/>
                        </w14:solidFill>
                      </w14:textFill>
                    </w:rPr>
                  </w:pPr>
                  <w:r>
                    <w:rPr>
                      <w:rStyle w:val="35"/>
                      <w:rFonts w:ascii="Times New Roman" w:hAnsi="Times New Roman" w:eastAsia="宋体" w:cs="Times New Roman"/>
                      <w:b w:val="0"/>
                      <w:bCs/>
                      <w:color w:val="000000" w:themeColor="text1"/>
                      <w:kern w:val="0"/>
                      <w:szCs w:val="21"/>
                      <w:lang w:bidi="ar"/>
                      <w14:textFill>
                        <w14:solidFill>
                          <w14:schemeClr w14:val="tx1"/>
                        </w14:solidFill>
                      </w14:textFill>
                    </w:rPr>
                    <w:t>0.00386</w:t>
                  </w:r>
                </w:p>
              </w:tc>
            </w:tr>
          </w:tbl>
          <w:p w14:paraId="7E95C176">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2.3废水治理设施可行性分析</w:t>
            </w:r>
          </w:p>
          <w:p w14:paraId="2694CB01">
            <w:pPr>
              <w:spacing w:line="480" w:lineRule="exact"/>
              <w:ind w:firstLine="480" w:firstLineChars="200"/>
              <w:rPr>
                <w:rFonts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①生活污水治理设施可行性分析</w:t>
            </w:r>
          </w:p>
          <w:p w14:paraId="28518000">
            <w:pPr>
              <w:spacing w:line="480" w:lineRule="exact"/>
              <w:ind w:firstLine="482"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ascii="Times New Roman" w:hAnsi="Times New Roman" w:eastAsia="宋体" w:cs="Times New Roman"/>
                <w:b/>
                <w:bCs/>
                <w:color w:val="000000" w:themeColor="text1"/>
                <w:sz w:val="24"/>
                <w:lang w:bidi="ar"/>
                <w14:textFill>
                  <w14:solidFill>
                    <w14:schemeClr w14:val="tx1"/>
                  </w14:solidFill>
                </w14:textFill>
              </w:rPr>
              <w:t>三级化粪池</w:t>
            </w:r>
            <w:r>
              <w:rPr>
                <w:rFonts w:hint="eastAsia" w:ascii="Times New Roman" w:hAnsi="Times New Roman" w:eastAsia="宋体" w:cs="Times New Roman"/>
                <w:b/>
                <w:bCs/>
                <w:color w:val="000000" w:themeColor="text1"/>
                <w:sz w:val="24"/>
                <w:lang w:bidi="ar"/>
                <w14:textFill>
                  <w14:solidFill>
                    <w14:schemeClr w14:val="tx1"/>
                  </w14:solidFill>
                </w14:textFill>
              </w:rPr>
              <w:t>原理：</w:t>
            </w:r>
            <w:r>
              <w:rPr>
                <w:rFonts w:hint="eastAsia" w:ascii="Times New Roman" w:hAnsi="Times New Roman" w:eastAsia="宋体" w:cs="Times New Roman"/>
                <w:color w:val="000000" w:themeColor="text1"/>
                <w:sz w:val="24"/>
                <w:lang w:bidi="ar"/>
                <w14:textFill>
                  <w14:solidFill>
                    <w14:schemeClr w14:val="tx1"/>
                  </w14:solidFill>
                </w14:textFill>
              </w:rPr>
              <w:t>三级化粪池是利用重力沉淀和厌氧发酵原理对生活污水进行处理的构筑物。新鲜粪便由进粪口进入第一池，池内粪便开始发酵分解，粪液因比重不同自然分为三层：上层为糊状粪皮，下层为块状粪渣，中层为澄清粪液。中层粪液经粪管溢流至第二池，进一步发酵分解，虫卵继续下沉，病原体逐渐死亡；流入第三池的粪液基本腐熟，病菌和寄生虫卵已基本杀灭，第三池主要起到储存无害化粪液的作用。污水在化粪池内停留12～24小时，可去除大部分悬浮物；沉淀污泥经3个月以上厌氧发酵，分解为稳定的无机物，降低了污泥的含水率和腐败性。</w:t>
            </w:r>
          </w:p>
          <w:p w14:paraId="5CAE1603">
            <w:pPr>
              <w:spacing w:line="480" w:lineRule="exact"/>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根据前文表4-10核算结果，本项目生活污水经三级化粪池处理后，CODcr、BOD</w:t>
            </w:r>
            <w:r>
              <w:rPr>
                <w:rFonts w:hint="eastAsia" w:ascii="Times New Roman" w:hAnsi="Times New Roman" w:eastAsia="宋体" w:cs="Times New Roman"/>
                <w:color w:val="000000" w:themeColor="text1"/>
                <w:sz w:val="24"/>
                <w:vertAlign w:val="subscript"/>
                <w:lang w:bidi="ar"/>
                <w14:textFill>
                  <w14:solidFill>
                    <w14:schemeClr w14:val="tx1"/>
                  </w14:solidFill>
                </w14:textFill>
              </w:rPr>
              <w:t>5</w:t>
            </w:r>
            <w:r>
              <w:rPr>
                <w:rFonts w:hint="eastAsia" w:ascii="Times New Roman" w:hAnsi="Times New Roman" w:eastAsia="宋体" w:cs="Times New Roman"/>
                <w:color w:val="000000" w:themeColor="text1"/>
                <w:sz w:val="24"/>
                <w:lang w:bidi="ar"/>
                <w14:textFill>
                  <w14:solidFill>
                    <w14:schemeClr w14:val="tx1"/>
                  </w14:solidFill>
                </w14:textFill>
              </w:rPr>
              <w:t>、SS浓度均满足自建污水处理站的要求。</w:t>
            </w:r>
          </w:p>
          <w:p w14:paraId="744E182C">
            <w:pPr>
              <w:spacing w:line="480" w:lineRule="exact"/>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参照《排污许可证申请与核发技术规范磷肥、钾肥、复混肥料、有机肥料及微生物肥料工业》（HJ864.2-2018）中生活污水治理可行技术，本项目采用的三级化粪池（“沉淀+厌氧”工艺）属于可行技术。</w:t>
            </w:r>
          </w:p>
          <w:p w14:paraId="59CA2A58">
            <w:pPr>
              <w:spacing w:line="480" w:lineRule="exact"/>
              <w:ind w:firstLine="480" w:firstLineChars="200"/>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②生产废水治理设施可行性分析</w:t>
            </w:r>
          </w:p>
          <w:p w14:paraId="2F35C108">
            <w:pPr>
              <w:pStyle w:val="28"/>
              <w:widowControl w:val="0"/>
              <w:autoSpaceDE w:val="0"/>
              <w:autoSpaceDN w:val="0"/>
              <w:adjustRightInd w:val="0"/>
              <w:spacing w:before="0" w:beforeAutospacing="0" w:after="0" w:afterAutospacing="0" w:line="480" w:lineRule="exact"/>
              <w:ind w:firstLine="480" w:firstLineChars="200"/>
              <w:jc w:val="both"/>
              <w:rPr>
                <w:rFonts w:hint="eastAsia" w:ascii="Times New Roman" w:hAnsi="Times New Roman"/>
                <w:color w:val="000000" w:themeColor="text1"/>
                <w:kern w:val="2"/>
                <w:szCs w:val="24"/>
                <w:lang w:val="en-GB" w:bidi="ar"/>
                <w14:textFill>
                  <w14:solidFill>
                    <w14:schemeClr w14:val="tx1"/>
                  </w14:solidFill>
                </w14:textFill>
              </w:rPr>
            </w:pPr>
            <w:r>
              <w:rPr>
                <w:rFonts w:ascii="Times New Roman" w:hAnsi="Times New Roman"/>
                <w:color w:val="000000" w:themeColor="text1"/>
                <w:kern w:val="2"/>
                <w:szCs w:val="24"/>
                <w:lang w:bidi="ar"/>
                <w14:textFill>
                  <w14:solidFill>
                    <w14:schemeClr w14:val="tx1"/>
                  </w14:solidFill>
                </w14:textFill>
              </w:rPr>
              <w:t>项目</w:t>
            </w:r>
            <w:r>
              <w:rPr>
                <w:rFonts w:hint="eastAsia" w:ascii="Times New Roman" w:hAnsi="Times New Roman"/>
                <w:color w:val="000000" w:themeColor="text1"/>
                <w:kern w:val="2"/>
                <w:szCs w:val="24"/>
                <w:lang w:bidi="ar"/>
                <w14:textFill>
                  <w14:solidFill>
                    <w14:schemeClr w14:val="tx1"/>
                  </w14:solidFill>
                </w14:textFill>
              </w:rPr>
              <w:t>产生的</w:t>
            </w:r>
            <w:r>
              <w:rPr>
                <w:rFonts w:hint="eastAsia" w:ascii="Times New Roman" w:hAnsi="Times New Roman"/>
                <w:color w:val="000000" w:themeColor="text1"/>
                <w:kern w:val="2"/>
                <w:szCs w:val="24"/>
                <w:lang w:val="en-US" w:eastAsia="zh-CN" w:bidi="ar"/>
                <w14:textFill>
                  <w14:solidFill>
                    <w14:schemeClr w14:val="tx1"/>
                  </w14:solidFill>
                </w14:textFill>
              </w:rPr>
              <w:t>洗涤废水</w:t>
            </w:r>
            <w:r>
              <w:rPr>
                <w:rFonts w:hint="eastAsia" w:ascii="Times New Roman" w:hAnsi="Times New Roman"/>
                <w:color w:val="000000" w:themeColor="text1"/>
                <w:kern w:val="2"/>
                <w:szCs w:val="24"/>
                <w:lang w:bidi="ar"/>
                <w14:textFill>
                  <w14:solidFill>
                    <w14:schemeClr w14:val="tx1"/>
                  </w14:solidFill>
                </w14:textFill>
              </w:rPr>
              <w:t>、</w:t>
            </w:r>
            <w:r>
              <w:rPr>
                <w:rFonts w:hint="eastAsia" w:ascii="Times New Roman" w:hAnsi="Times New Roman"/>
                <w:color w:val="000000" w:themeColor="text1"/>
                <w:szCs w:val="24"/>
                <w14:textFill>
                  <w14:solidFill>
                    <w14:schemeClr w14:val="tx1"/>
                  </w14:solidFill>
                </w14:textFill>
              </w:rPr>
              <w:t>锅炉排污水和软化处理废水</w:t>
            </w:r>
            <w:r>
              <w:rPr>
                <w:rFonts w:hint="eastAsia" w:ascii="Times New Roman" w:hAnsi="Times New Roman"/>
                <w:color w:val="000000" w:themeColor="text1"/>
                <w:kern w:val="2"/>
                <w:szCs w:val="24"/>
                <w:lang w:bidi="ar"/>
                <w14:textFill>
                  <w14:solidFill>
                    <w14:schemeClr w14:val="tx1"/>
                  </w14:solidFill>
                </w14:textFill>
              </w:rPr>
              <w:t>经自建污水站（</w:t>
            </w:r>
            <w:r>
              <w:rPr>
                <w:rFonts w:hint="eastAsia" w:ascii="Times New Roman" w:hAnsi="Times New Roman"/>
                <w:color w:val="000000" w:themeColor="text1"/>
                <w:kern w:val="2"/>
                <w:szCs w:val="24"/>
                <w:lang w:eastAsia="zh-CN" w:bidi="ar"/>
                <w14:textFill>
                  <w14:solidFill>
                    <w14:schemeClr w14:val="tx1"/>
                  </w14:solidFill>
                </w14:textFill>
              </w:rPr>
              <w:t>溶气气浮+A/O一体化</w:t>
            </w:r>
            <w:r>
              <w:rPr>
                <w:rFonts w:hint="eastAsia" w:ascii="Times New Roman" w:hAnsi="Times New Roman"/>
                <w:color w:val="000000" w:themeColor="text1"/>
                <w:kern w:val="2"/>
                <w:szCs w:val="24"/>
                <w:lang w:bidi="ar"/>
                <w14:textFill>
                  <w14:solidFill>
                    <w14:schemeClr w14:val="tx1"/>
                  </w14:solidFill>
                </w14:textFill>
              </w:rPr>
              <w:t>）预处理后通过市政污水管网排入霞山水质净化厂，尾水排入南柳河，最终汇入湛江港</w:t>
            </w:r>
            <w:r>
              <w:rPr>
                <w:rFonts w:ascii="Times New Roman" w:hAnsi="Times New Roman"/>
                <w:color w:val="000000" w:themeColor="text1"/>
                <w:kern w:val="2"/>
                <w:szCs w:val="24"/>
                <w:lang w:bidi="ar"/>
                <w14:textFill>
                  <w14:solidFill>
                    <w14:schemeClr w14:val="tx1"/>
                  </w14:solidFill>
                </w14:textFill>
              </w:rPr>
              <w:t>。</w:t>
            </w:r>
            <w:r>
              <w:rPr>
                <w:rFonts w:hint="eastAsia" w:ascii="Times New Roman" w:hAnsi="Times New Roman"/>
                <w:color w:val="000000" w:themeColor="text1"/>
                <w:kern w:val="2"/>
                <w:szCs w:val="24"/>
                <w:lang w:bidi="ar"/>
                <w14:textFill>
                  <w14:solidFill>
                    <w14:schemeClr w14:val="tx1"/>
                  </w14:solidFill>
                </w14:textFill>
              </w:rPr>
              <w:t>项目自建污水站设计处理能力为</w:t>
            </w:r>
            <w:r>
              <w:rPr>
                <w:rFonts w:hint="eastAsia" w:ascii="Times New Roman" w:hAnsi="Times New Roman"/>
                <w:color w:val="000000" w:themeColor="text1"/>
                <w:kern w:val="2"/>
                <w:szCs w:val="24"/>
                <w:lang w:val="en-US" w:eastAsia="zh-CN" w:bidi="ar"/>
                <w14:textFill>
                  <w14:solidFill>
                    <w14:schemeClr w14:val="tx1"/>
                  </w14:solidFill>
                </w14:textFill>
              </w:rPr>
              <w:t>100</w:t>
            </w:r>
            <w:r>
              <w:rPr>
                <w:rFonts w:hint="eastAsia" w:ascii="Times New Roman" w:hAnsi="Times New Roman"/>
                <w:color w:val="000000" w:themeColor="text1"/>
                <w:kern w:val="2"/>
                <w:szCs w:val="24"/>
                <w:lang w:bidi="ar"/>
                <w14:textFill>
                  <w14:solidFill>
                    <w14:schemeClr w14:val="tx1"/>
                  </w14:solidFill>
                </w14:textFill>
              </w:rPr>
              <w:t>m</w:t>
            </w:r>
            <w:r>
              <w:rPr>
                <w:rFonts w:hint="eastAsia" w:ascii="Times New Roman" w:hAnsi="Times New Roman"/>
                <w:color w:val="000000" w:themeColor="text1"/>
                <w:kern w:val="2"/>
                <w:szCs w:val="24"/>
                <w:vertAlign w:val="superscript"/>
                <w:lang w:bidi="ar"/>
                <w14:textFill>
                  <w14:solidFill>
                    <w14:schemeClr w14:val="tx1"/>
                  </w14:solidFill>
                </w14:textFill>
              </w:rPr>
              <w:t>3</w:t>
            </w:r>
            <w:r>
              <w:rPr>
                <w:rFonts w:hint="eastAsia" w:ascii="Times New Roman" w:hAnsi="Times New Roman"/>
                <w:color w:val="000000" w:themeColor="text1"/>
                <w:kern w:val="2"/>
                <w:szCs w:val="24"/>
                <w:lang w:bidi="ar"/>
                <w14:textFill>
                  <w14:solidFill>
                    <w14:schemeClr w14:val="tx1"/>
                  </w14:solidFill>
                </w14:textFill>
              </w:rPr>
              <w:t>/d（</w:t>
            </w:r>
            <w:r>
              <w:rPr>
                <w:rFonts w:hint="eastAsia" w:ascii="Times New Roman" w:hAnsi="Times New Roman"/>
                <w:color w:val="000000" w:themeColor="text1"/>
                <w:kern w:val="2"/>
                <w:szCs w:val="24"/>
                <w:lang w:val="en-US" w:eastAsia="zh-CN" w:bidi="ar"/>
                <w14:textFill>
                  <w14:solidFill>
                    <w14:schemeClr w14:val="tx1"/>
                  </w14:solidFill>
                </w14:textFill>
              </w:rPr>
              <w:t>36000</w:t>
            </w:r>
            <w:r>
              <w:rPr>
                <w:rFonts w:hint="eastAsia" w:ascii="Times New Roman" w:hAnsi="Times New Roman"/>
                <w:color w:val="000000" w:themeColor="text1"/>
                <w:kern w:val="2"/>
                <w:szCs w:val="24"/>
                <w:lang w:bidi="ar"/>
                <w14:textFill>
                  <w14:solidFill>
                    <w14:schemeClr w14:val="tx1"/>
                  </w14:solidFill>
                </w14:textFill>
              </w:rPr>
              <w:t>m</w:t>
            </w:r>
            <w:r>
              <w:rPr>
                <w:rFonts w:hint="eastAsia" w:ascii="Times New Roman" w:hAnsi="Times New Roman"/>
                <w:color w:val="000000" w:themeColor="text1"/>
                <w:kern w:val="2"/>
                <w:szCs w:val="24"/>
                <w:vertAlign w:val="superscript"/>
                <w:lang w:bidi="ar"/>
                <w14:textFill>
                  <w14:solidFill>
                    <w14:schemeClr w14:val="tx1"/>
                  </w14:solidFill>
                </w14:textFill>
              </w:rPr>
              <w:t>3</w:t>
            </w:r>
            <w:r>
              <w:rPr>
                <w:rFonts w:hint="eastAsia" w:ascii="Times New Roman" w:hAnsi="Times New Roman"/>
                <w:color w:val="000000" w:themeColor="text1"/>
                <w:kern w:val="2"/>
                <w:szCs w:val="24"/>
                <w:lang w:bidi="ar"/>
                <w14:textFill>
                  <w14:solidFill>
                    <w14:schemeClr w14:val="tx1"/>
                  </w14:solidFill>
                </w14:textFill>
              </w:rPr>
              <w:t>/a），项目</w:t>
            </w:r>
            <w:r>
              <w:rPr>
                <w:rFonts w:hint="eastAsia" w:ascii="Times New Roman" w:hAnsi="Times New Roman"/>
                <w:color w:val="000000" w:themeColor="text1"/>
                <w:szCs w:val="24"/>
                <w14:textFill>
                  <w14:solidFill>
                    <w14:schemeClr w14:val="tx1"/>
                  </w14:solidFill>
                </w14:textFill>
              </w:rPr>
              <w:t>锅炉排污水和软化处理</w:t>
            </w:r>
            <w:r>
              <w:rPr>
                <w:rFonts w:hint="eastAsia" w:ascii="Times New Roman" w:hAnsi="Times New Roman"/>
                <w:color w:val="000000" w:themeColor="text1"/>
                <w:kern w:val="2"/>
                <w:szCs w:val="24"/>
                <w:lang w:bidi="ar"/>
                <w14:textFill>
                  <w14:solidFill>
                    <w14:schemeClr w14:val="tx1"/>
                  </w14:solidFill>
                </w14:textFill>
              </w:rPr>
              <w:t>废水量为1.07m</w:t>
            </w:r>
            <w:r>
              <w:rPr>
                <w:rFonts w:hint="eastAsia" w:ascii="Times New Roman" w:hAnsi="Times New Roman"/>
                <w:color w:val="000000" w:themeColor="text1"/>
                <w:kern w:val="2"/>
                <w:szCs w:val="24"/>
                <w:vertAlign w:val="superscript"/>
                <w:lang w:bidi="ar"/>
                <w14:textFill>
                  <w14:solidFill>
                    <w14:schemeClr w14:val="tx1"/>
                  </w14:solidFill>
                </w14:textFill>
              </w:rPr>
              <w:t>3</w:t>
            </w:r>
            <w:r>
              <w:rPr>
                <w:rFonts w:hint="eastAsia" w:ascii="Times New Roman" w:hAnsi="Times New Roman"/>
                <w:color w:val="000000" w:themeColor="text1"/>
                <w:kern w:val="2"/>
                <w:szCs w:val="24"/>
                <w:lang w:bidi="ar"/>
                <w14:textFill>
                  <w14:solidFill>
                    <w14:schemeClr w14:val="tx1"/>
                  </w14:solidFill>
                </w14:textFill>
              </w:rPr>
              <w:t>/d（385.67</w:t>
            </w:r>
            <w:r>
              <w:rPr>
                <w:rFonts w:hint="eastAsia" w:ascii="Times New Roman" w:hAnsi="Times New Roman"/>
                <w:color w:val="000000" w:themeColor="text1"/>
                <w:kern w:val="2"/>
                <w:szCs w:val="24"/>
                <w:lang w:val="en-GB" w:bidi="ar"/>
                <w14:textFill>
                  <w14:solidFill>
                    <w14:schemeClr w14:val="tx1"/>
                  </w14:solidFill>
                </w14:textFill>
              </w:rPr>
              <w:t>m</w:t>
            </w:r>
            <w:r>
              <w:rPr>
                <w:rFonts w:ascii="Times New Roman" w:hAnsi="Times New Roman"/>
                <w:color w:val="000000" w:themeColor="text1"/>
                <w:kern w:val="2"/>
                <w:szCs w:val="24"/>
                <w:vertAlign w:val="superscript"/>
                <w:lang w:val="en-GB" w:bidi="ar"/>
                <w14:textFill>
                  <w14:solidFill>
                    <w14:schemeClr w14:val="tx1"/>
                  </w14:solidFill>
                </w14:textFill>
              </w:rPr>
              <w:t>3</w:t>
            </w:r>
            <w:r>
              <w:rPr>
                <w:rFonts w:ascii="Times New Roman" w:hAnsi="Times New Roman"/>
                <w:color w:val="000000" w:themeColor="text1"/>
                <w:kern w:val="2"/>
                <w:szCs w:val="24"/>
                <w:lang w:val="en-GB" w:bidi="ar"/>
                <w14:textFill>
                  <w14:solidFill>
                    <w14:schemeClr w14:val="tx1"/>
                  </w14:solidFill>
                </w14:textFill>
              </w:rPr>
              <w:t>/</w:t>
            </w:r>
            <w:r>
              <w:rPr>
                <w:rFonts w:hint="eastAsia" w:ascii="Times New Roman" w:hAnsi="Times New Roman"/>
                <w:color w:val="000000" w:themeColor="text1"/>
                <w:kern w:val="2"/>
                <w:szCs w:val="24"/>
                <w:lang w:val="en-GB" w:bidi="ar"/>
                <w14:textFill>
                  <w14:solidFill>
                    <w14:schemeClr w14:val="tx1"/>
                  </w14:solidFill>
                </w14:textFill>
              </w:rPr>
              <w:t>a</w:t>
            </w:r>
            <w:r>
              <w:rPr>
                <w:rFonts w:hint="eastAsia" w:ascii="Times New Roman" w:hAnsi="Times New Roman"/>
                <w:color w:val="000000" w:themeColor="text1"/>
                <w:kern w:val="2"/>
                <w:szCs w:val="24"/>
                <w:lang w:bidi="ar"/>
                <w14:textFill>
                  <w14:solidFill>
                    <w14:schemeClr w14:val="tx1"/>
                  </w14:solidFill>
                </w14:textFill>
              </w:rPr>
              <w:t>）</w:t>
            </w:r>
            <w:r>
              <w:rPr>
                <w:rFonts w:hint="eastAsia" w:ascii="Times New Roman" w:hAnsi="Times New Roman"/>
                <w:color w:val="000000" w:themeColor="text1"/>
                <w:kern w:val="2"/>
                <w:szCs w:val="24"/>
                <w:lang w:val="en-GB" w:bidi="ar"/>
                <w14:textFill>
                  <w14:solidFill>
                    <w14:schemeClr w14:val="tx1"/>
                  </w14:solidFill>
                </w14:textFill>
              </w:rPr>
              <w:t>，</w:t>
            </w:r>
            <w:r>
              <w:rPr>
                <w:rStyle w:val="39"/>
                <w:rFonts w:hint="eastAsia"/>
                <w:color w:val="000000" w:themeColor="text1"/>
                <w:sz w:val="24"/>
                <w:szCs w:val="24"/>
                <w:lang w:val="en-US" w:eastAsia="zh-CN"/>
                <w14:textFill>
                  <w14:solidFill>
                    <w14:schemeClr w14:val="tx1"/>
                  </w14:solidFill>
                </w14:textFill>
              </w:rPr>
              <w:t>洗涤废水量为88.541</w:t>
            </w:r>
            <w:r>
              <w:rPr>
                <w:rFonts w:hint="eastAsia" w:ascii="Times New Roman" w:hAnsi="Times New Roman"/>
                <w:color w:val="000000" w:themeColor="text1"/>
                <w:kern w:val="2"/>
                <w:sz w:val="24"/>
                <w:szCs w:val="24"/>
                <w:lang w:bidi="ar"/>
                <w14:textFill>
                  <w14:solidFill>
                    <w14:schemeClr w14:val="tx1"/>
                  </w14:solidFill>
                </w14:textFill>
              </w:rPr>
              <w:t>m</w:t>
            </w:r>
            <w:r>
              <w:rPr>
                <w:rFonts w:hint="eastAsia" w:ascii="Times New Roman" w:hAnsi="Times New Roman"/>
                <w:color w:val="000000" w:themeColor="text1"/>
                <w:kern w:val="2"/>
                <w:sz w:val="24"/>
                <w:szCs w:val="24"/>
                <w:vertAlign w:val="superscript"/>
                <w:lang w:bidi="ar"/>
                <w14:textFill>
                  <w14:solidFill>
                    <w14:schemeClr w14:val="tx1"/>
                  </w14:solidFill>
                </w14:textFill>
              </w:rPr>
              <w:t>3</w:t>
            </w:r>
            <w:r>
              <w:rPr>
                <w:rFonts w:hint="eastAsia" w:ascii="Times New Roman" w:hAnsi="Times New Roman"/>
                <w:color w:val="000000" w:themeColor="text1"/>
                <w:kern w:val="2"/>
                <w:sz w:val="24"/>
                <w:szCs w:val="24"/>
                <w:lang w:bidi="ar"/>
                <w14:textFill>
                  <w14:solidFill>
                    <w14:schemeClr w14:val="tx1"/>
                  </w14:solidFill>
                </w14:textFill>
              </w:rPr>
              <w:t>/d</w:t>
            </w:r>
            <w:r>
              <w:rPr>
                <w:rStyle w:val="39"/>
                <w:rFonts w:hint="eastAsia"/>
                <w:color w:val="000000" w:themeColor="text1"/>
                <w:sz w:val="24"/>
                <w:szCs w:val="24"/>
                <w:lang w:val="en-US" w:eastAsia="zh-CN"/>
                <w14:textFill>
                  <w14:solidFill>
                    <w14:schemeClr w14:val="tx1"/>
                  </w14:solidFill>
                </w14:textFill>
              </w:rPr>
              <w:t>（31875</w:t>
            </w:r>
            <w:r>
              <w:rPr>
                <w:rFonts w:hint="eastAsia" w:ascii="Times New Roman" w:hAnsi="Times New Roman"/>
                <w:color w:val="000000" w:themeColor="text1"/>
                <w:kern w:val="2"/>
                <w:sz w:val="24"/>
                <w:szCs w:val="24"/>
                <w:lang w:bidi="ar"/>
                <w14:textFill>
                  <w14:solidFill>
                    <w14:schemeClr w14:val="tx1"/>
                  </w14:solidFill>
                </w14:textFill>
              </w:rPr>
              <w:t>m</w:t>
            </w:r>
            <w:r>
              <w:rPr>
                <w:rFonts w:hint="eastAsia" w:ascii="Times New Roman" w:hAnsi="Times New Roman"/>
                <w:color w:val="000000" w:themeColor="text1"/>
                <w:kern w:val="2"/>
                <w:sz w:val="24"/>
                <w:szCs w:val="24"/>
                <w:vertAlign w:val="superscript"/>
                <w:lang w:bidi="ar"/>
                <w14:textFill>
                  <w14:solidFill>
                    <w14:schemeClr w14:val="tx1"/>
                  </w14:solidFill>
                </w14:textFill>
              </w:rPr>
              <w:t>3</w:t>
            </w:r>
            <w:r>
              <w:rPr>
                <w:rFonts w:hint="eastAsia" w:ascii="Times New Roman" w:hAnsi="Times New Roman"/>
                <w:color w:val="000000" w:themeColor="text1"/>
                <w:kern w:val="2"/>
                <w:sz w:val="24"/>
                <w:szCs w:val="24"/>
                <w:lang w:bidi="ar"/>
                <w14:textFill>
                  <w14:solidFill>
                    <w14:schemeClr w14:val="tx1"/>
                  </w14:solidFill>
                </w14:textFill>
              </w:rPr>
              <w:t>/a</w:t>
            </w:r>
            <w:r>
              <w:rPr>
                <w:rStyle w:val="39"/>
                <w:rFonts w:hint="eastAsia"/>
                <w:color w:val="000000" w:themeColor="text1"/>
                <w:sz w:val="24"/>
                <w:szCs w:val="24"/>
                <w:lang w:val="en-US" w:eastAsia="zh-CN"/>
                <w14:textFill>
                  <w14:solidFill>
                    <w14:schemeClr w14:val="tx1"/>
                  </w14:solidFill>
                </w14:textFill>
              </w:rPr>
              <w:t>）</w:t>
            </w:r>
            <w:r>
              <w:rPr>
                <w:rFonts w:hint="eastAsia" w:ascii="Times New Roman" w:hAnsi="Times New Roman"/>
                <w:color w:val="000000" w:themeColor="text1"/>
                <w:kern w:val="2"/>
                <w:szCs w:val="24"/>
                <w:lang w:bidi="ar"/>
                <w14:textFill>
                  <w14:solidFill>
                    <w14:schemeClr w14:val="tx1"/>
                  </w14:solidFill>
                </w14:textFill>
              </w:rPr>
              <w:t>小于项目自建污水站设计处理能力，因此本项目</w:t>
            </w:r>
            <w:r>
              <w:rPr>
                <w:rFonts w:hint="eastAsia" w:ascii="Times New Roman" w:hAnsi="Times New Roman"/>
                <w:color w:val="000000" w:themeColor="text1"/>
                <w:szCs w:val="24"/>
                <w14:textFill>
                  <w14:solidFill>
                    <w14:schemeClr w14:val="tx1"/>
                  </w14:solidFill>
                </w14:textFill>
              </w:rPr>
              <w:t>锅炉排污水和软化处理</w:t>
            </w:r>
            <w:r>
              <w:rPr>
                <w:rFonts w:hint="eastAsia" w:ascii="Times New Roman" w:hAnsi="Times New Roman"/>
                <w:color w:val="000000" w:themeColor="text1"/>
                <w:kern w:val="2"/>
                <w:szCs w:val="24"/>
                <w:lang w:bidi="ar"/>
                <w14:textFill>
                  <w14:solidFill>
                    <w14:schemeClr w14:val="tx1"/>
                  </w14:solidFill>
                </w14:textFill>
              </w:rPr>
              <w:t>废水经自建污水站是可行的</w:t>
            </w:r>
            <w:r>
              <w:rPr>
                <w:rFonts w:hint="eastAsia" w:ascii="Times New Roman" w:hAnsi="Times New Roman"/>
                <w:color w:val="000000" w:themeColor="text1"/>
                <w:kern w:val="2"/>
                <w:szCs w:val="24"/>
                <w:lang w:val="en-GB" w:bidi="ar"/>
                <w14:textFill>
                  <w14:solidFill>
                    <w14:schemeClr w14:val="tx1"/>
                  </w14:solidFill>
                </w14:textFill>
              </w:rPr>
              <w:t>。</w:t>
            </w:r>
          </w:p>
          <w:p w14:paraId="3EFA6B27">
            <w:pPr>
              <w:pStyle w:val="28"/>
              <w:widowControl w:val="0"/>
              <w:autoSpaceDE w:val="0"/>
              <w:autoSpaceDN w:val="0"/>
              <w:adjustRightInd w:val="0"/>
              <w:spacing w:before="0" w:beforeAutospacing="0" w:after="0" w:afterAutospacing="0" w:line="480" w:lineRule="exact"/>
              <w:ind w:firstLine="480" w:firstLineChars="200"/>
              <w:jc w:val="both"/>
              <w:rPr>
                <w:rFonts w:ascii="Times New Roman" w:hAnsi="Times New Roman"/>
                <w:color w:val="000000" w:themeColor="text1"/>
                <w:szCs w:val="24"/>
                <w:lang w:bidi="ar"/>
                <w14:textFill>
                  <w14:solidFill>
                    <w14:schemeClr w14:val="tx1"/>
                  </w14:solidFill>
                </w14:textFill>
              </w:rPr>
            </w:pPr>
            <w:r>
              <w:rPr>
                <w:rFonts w:hint="eastAsia" w:ascii="Times New Roman" w:hAnsi="Times New Roman"/>
                <w:color w:val="000000" w:themeColor="text1"/>
                <w:kern w:val="2"/>
                <w:szCs w:val="24"/>
                <w:lang w:bidi="ar"/>
                <w14:textFill>
                  <w14:solidFill>
                    <w14:schemeClr w14:val="tx1"/>
                  </w14:solidFill>
                </w14:textFill>
              </w:rPr>
              <w:t>处理工艺流程如下所示：</w:t>
            </w:r>
          </w:p>
          <w:p w14:paraId="397F783D">
            <w:pPr>
              <w:jc w:val="center"/>
              <w:rPr>
                <w:rFonts w:hint="eastAsia"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lang w:bidi="ar"/>
                <w14:textFill>
                  <w14:solidFill>
                    <w14:schemeClr w14:val="tx1"/>
                  </w14:solidFill>
                </w14:textFill>
              </w:rPr>
              <w:object>
                <v:shape id="_x0000_i1027" o:spt="75" type="#_x0000_t75" style="height:36.1pt;width:399.95pt;" o:ole="t" filled="f" o:preferrelative="t" stroked="f" coordsize="21600,21600">
                  <v:path/>
                  <v:fill on="f" focussize="0,0"/>
                  <v:stroke on="f"/>
                  <v:imagedata r:id="rId16" o:title=""/>
                  <o:lock v:ext="edit" aspectratio="f"/>
                  <w10:wrap type="none"/>
                  <w10:anchorlock/>
                </v:shape>
                <o:OLEObject Type="Embed" ProgID="Visio.Drawing.11" ShapeID="_x0000_i1027" DrawAspect="Content" ObjectID="_1468075727" r:id="rId15">
                  <o:LockedField>false</o:LockedField>
                </o:OLEObject>
              </w:object>
            </w:r>
          </w:p>
          <w:p w14:paraId="76CE1BE7">
            <w:pPr>
              <w:overflowPunct w:val="0"/>
              <w:jc w:val="center"/>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图4-1项目自建污水站处理</w:t>
            </w:r>
            <w:r>
              <w:rPr>
                <w:rFonts w:ascii="Times New Roman" w:hAnsi="Times New Roman" w:eastAsia="宋体" w:cs="Times New Roman"/>
                <w:b/>
                <w:color w:val="000000" w:themeColor="text1"/>
                <w:sz w:val="24"/>
                <w14:textFill>
                  <w14:solidFill>
                    <w14:schemeClr w14:val="tx1"/>
                  </w14:solidFill>
                </w14:textFill>
              </w:rPr>
              <w:t>工艺流程图</w:t>
            </w:r>
          </w:p>
          <w:p w14:paraId="59F11A82">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3"/>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工艺流程说明：</w:t>
            </w:r>
          </w:p>
          <w:p w14:paraId="6CBBD920">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Style w:val="35"/>
                <w:rFonts w:hint="default" w:ascii="Times New Roman" w:hAnsi="Times New Roman" w:cs="Times New Roman"/>
                <w:color w:val="000000" w:themeColor="text1"/>
                <w:sz w:val="24"/>
                <w:szCs w:val="24"/>
                <w14:textFill>
                  <w14:solidFill>
                    <w14:schemeClr w14:val="tx1"/>
                  </w14:solidFill>
                </w14:textFill>
              </w:rPr>
              <w:t>①格栅、调节池</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污水首先经格栅拦截大块漂浮杂物后进入调节池，均质均量，缓冲水质、水量波动，避免后续处理单元受到冲击。</w:t>
            </w:r>
          </w:p>
          <w:p w14:paraId="24B73D8D">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Style w:val="35"/>
                <w:rFonts w:hint="default" w:ascii="Times New Roman" w:hAnsi="Times New Roman" w:cs="Times New Roman"/>
                <w:color w:val="000000" w:themeColor="text1"/>
                <w:sz w:val="24"/>
                <w:szCs w:val="24"/>
                <w14:textFill>
                  <w14:solidFill>
                    <w14:schemeClr w14:val="tx1"/>
                  </w14:solidFill>
                </w14:textFill>
              </w:rPr>
              <w:t>②溶气气浮（预处理）</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b w:val="0"/>
                <w:bCs w:val="0"/>
                <w:color w:val="000000" w:themeColor="text1"/>
                <w:sz w:val="24"/>
                <w:szCs w:val="24"/>
                <w14:textFill>
                  <w14:solidFill>
                    <w14:schemeClr w14:val="tx1"/>
                  </w14:solidFill>
                </w14:textFill>
              </w:rPr>
              <w:t>调节池出水经泵提升进入溶气气浮单元，投加混凝剂PAC、助凝剂PAM，废水中悬浮物、胶体物质形成絮体；溶气系统将高压溶气水经释放器减压，释放大量微细气泡，气泡粘附絮体上浮形成浮渣层；刮渣机刮除浮渣，实现固</w:t>
            </w:r>
            <w:r>
              <w:rPr>
                <w:rFonts w:hint="default" w:ascii="Times New Roman" w:hAnsi="Times New Roman" w:cs="Times New Roman"/>
                <w:b w:val="0"/>
                <w:bCs w:val="0"/>
                <w:color w:val="000000" w:themeColor="text1"/>
                <w:sz w:val="24"/>
                <w:szCs w:val="24"/>
                <w14:textFill>
                  <w14:solidFill>
                    <w14:schemeClr w14:val="tx1"/>
                  </w14:solidFill>
                </w14:textFill>
              </w:rPr>
              <w:noBreakHyphen/>
            </w:r>
            <w:r>
              <w:rPr>
                <w:rFonts w:hint="default" w:ascii="Times New Roman" w:hAnsi="Times New Roman" w:cs="Times New Roman"/>
                <w:b w:val="0"/>
                <w:bCs w:val="0"/>
                <w:color w:val="000000" w:themeColor="text1"/>
                <w:sz w:val="24"/>
                <w:szCs w:val="24"/>
                <w14:textFill>
                  <w14:solidFill>
                    <w14:schemeClr w14:val="tx1"/>
                  </w14:solidFill>
                </w14:textFill>
              </w:rPr>
              <w:t>液分离。该单元主要去除SS、少量COD以及乳化类污染物，</w:t>
            </w:r>
            <w:r>
              <w:rPr>
                <w:rStyle w:val="35"/>
                <w:rFonts w:hint="default" w:ascii="Times New Roman" w:hAnsi="Times New Roman" w:cs="Times New Roman"/>
                <w:b w:val="0"/>
                <w:bCs w:val="0"/>
                <w:color w:val="000000" w:themeColor="text1"/>
                <w:sz w:val="24"/>
                <w:szCs w:val="24"/>
                <w14:textFill>
                  <w14:solidFill>
                    <w14:schemeClr w14:val="tx1"/>
                  </w14:solidFill>
                </w14:textFill>
              </w:rPr>
              <w:t>降低悬浮物对后续A/O生化系统的不利影响，保护生化污泥，提高污水可生化性</w:t>
            </w:r>
            <w:r>
              <w:rPr>
                <w:rFonts w:hint="default" w:ascii="Times New Roman" w:hAnsi="Times New Roman" w:cs="Times New Roman"/>
                <w:b w:val="0"/>
                <w:bCs w:val="0"/>
                <w:color w:val="000000" w:themeColor="text1"/>
                <w:sz w:val="24"/>
                <w:szCs w:val="24"/>
                <w14:textFill>
                  <w14:solidFill>
                    <w14:schemeClr w14:val="tx1"/>
                  </w14:solidFill>
                </w14:textFill>
              </w:rPr>
              <w:t>；气浮浮渣排入污泥池收集处理。</w:t>
            </w:r>
          </w:p>
          <w:p w14:paraId="444F22DB">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Style w:val="35"/>
                <w:rFonts w:hint="default" w:ascii="Times New Roman" w:hAnsi="Times New Roman" w:cs="Times New Roman"/>
                <w:color w:val="000000" w:themeColor="text1"/>
                <w:sz w:val="24"/>
                <w:szCs w:val="24"/>
                <w14:textFill>
                  <w14:solidFill>
                    <w14:schemeClr w14:val="tx1"/>
                  </w14:solidFill>
                </w14:textFill>
              </w:rPr>
              <w:t>③A/O一体化生化单元（缺氧</w:t>
            </w:r>
            <w:r>
              <w:rPr>
                <w:rStyle w:val="35"/>
                <w:rFonts w:hint="default" w:ascii="Times New Roman" w:hAnsi="Times New Roman" w:cs="Times New Roman"/>
                <w:color w:val="000000" w:themeColor="text1"/>
                <w:sz w:val="24"/>
                <w:szCs w:val="24"/>
                <w14:textFill>
                  <w14:solidFill>
                    <w14:schemeClr w14:val="tx1"/>
                  </w14:solidFill>
                </w14:textFill>
              </w:rPr>
              <w:noBreakHyphen/>
            </w:r>
            <w:r>
              <w:rPr>
                <w:rStyle w:val="35"/>
                <w:rFonts w:hint="default" w:ascii="Times New Roman" w:hAnsi="Times New Roman" w:cs="Times New Roman"/>
                <w:color w:val="000000" w:themeColor="text1"/>
                <w:sz w:val="24"/>
                <w:szCs w:val="24"/>
                <w14:textFill>
                  <w14:solidFill>
                    <w14:schemeClr w14:val="tx1"/>
                  </w14:solidFill>
                </w14:textFill>
              </w:rPr>
              <w:t>好氧）</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b w:val="0"/>
                <w:bCs w:val="0"/>
                <w:color w:val="000000" w:themeColor="text1"/>
                <w:sz w:val="24"/>
                <w:szCs w:val="24"/>
                <w14:textFill>
                  <w14:solidFill>
                    <w14:schemeClr w14:val="tx1"/>
                  </w14:solidFill>
                </w14:textFill>
              </w:rPr>
              <w:t>气浮出水自流进入一体化设备的</w:t>
            </w:r>
            <w:r>
              <w:rPr>
                <w:rStyle w:val="35"/>
                <w:rFonts w:hint="default" w:ascii="Times New Roman" w:hAnsi="Times New Roman" w:cs="Times New Roman"/>
                <w:b w:val="0"/>
                <w:bCs w:val="0"/>
                <w:color w:val="000000" w:themeColor="text1"/>
                <w:sz w:val="24"/>
                <w:szCs w:val="24"/>
                <w14:textFill>
                  <w14:solidFill>
                    <w14:schemeClr w14:val="tx1"/>
                  </w14:solidFill>
                </w14:textFill>
              </w:rPr>
              <w:t>A池（缺氧池）</w:t>
            </w:r>
            <w:r>
              <w:rPr>
                <w:rFonts w:hint="default" w:ascii="Times New Roman" w:hAnsi="Times New Roman" w:cs="Times New Roman"/>
                <w:b w:val="0"/>
                <w:bCs w:val="0"/>
                <w:color w:val="000000" w:themeColor="text1"/>
                <w:sz w:val="24"/>
                <w:szCs w:val="24"/>
                <w14:textFill>
                  <w14:solidFill>
                    <w14:schemeClr w14:val="tx1"/>
                  </w14:solidFill>
                </w14:textFill>
              </w:rPr>
              <w:t>：在缺氧条件下，反硝化菌利用污水中的有机碳源，将好氧段回流液中的硝态氮还原为氮气释放，实现脱氮；同时大分子有机物水解为小分子物质，提高废水可生化性。之后废水进入</w:t>
            </w:r>
            <w:r>
              <w:rPr>
                <w:rStyle w:val="35"/>
                <w:rFonts w:hint="default" w:ascii="Times New Roman" w:hAnsi="Times New Roman" w:cs="Times New Roman"/>
                <w:b w:val="0"/>
                <w:bCs w:val="0"/>
                <w:color w:val="000000" w:themeColor="text1"/>
                <w:sz w:val="24"/>
                <w:szCs w:val="24"/>
                <w14:textFill>
                  <w14:solidFill>
                    <w14:schemeClr w14:val="tx1"/>
                  </w14:solidFill>
                </w14:textFill>
              </w:rPr>
              <w:t>O池（好氧池）</w:t>
            </w:r>
            <w:r>
              <w:rPr>
                <w:rFonts w:hint="default" w:ascii="Times New Roman" w:hAnsi="Times New Roman" w:cs="Times New Roman"/>
                <w:b w:val="0"/>
                <w:bCs w:val="0"/>
                <w:color w:val="000000" w:themeColor="text1"/>
                <w:sz w:val="24"/>
                <w:szCs w:val="24"/>
                <w14:textFill>
                  <w14:solidFill>
                    <w14:schemeClr w14:val="tx1"/>
                  </w14:solidFill>
                </w14:textFill>
              </w:rPr>
              <w:t>，池内布设曝气系统进行充氧，好氧微生物降解BOD₅、COD</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cr</w:t>
            </w:r>
            <w:r>
              <w:rPr>
                <w:rFonts w:hint="default" w:ascii="Times New Roman" w:hAnsi="Times New Roman" w:cs="Times New Roman"/>
                <w:b w:val="0"/>
                <w:bCs w:val="0"/>
                <w:color w:val="000000" w:themeColor="text1"/>
                <w:sz w:val="24"/>
                <w:szCs w:val="24"/>
                <w14:textFill>
                  <w14:solidFill>
                    <w14:schemeClr w14:val="tx1"/>
                  </w14:solidFill>
                </w14:textFill>
              </w:rPr>
              <w:t>；同时发生硝化反应，将污水中的NH₃</w:t>
            </w:r>
            <w:r>
              <w:rPr>
                <w:rFonts w:hint="default" w:ascii="Times New Roman" w:hAnsi="Times New Roman" w:cs="Times New Roman"/>
                <w:b w:val="0"/>
                <w:bCs w:val="0"/>
                <w:color w:val="000000" w:themeColor="text1"/>
                <w:sz w:val="24"/>
                <w:szCs w:val="24"/>
                <w14:textFill>
                  <w14:solidFill>
                    <w14:schemeClr w14:val="tx1"/>
                  </w14:solidFill>
                </w14:textFill>
              </w:rPr>
              <w:noBreakHyphen/>
            </w:r>
            <w:r>
              <w:rPr>
                <w:rFonts w:hint="default" w:ascii="Times New Roman" w:hAnsi="Times New Roman" w:cs="Times New Roman"/>
                <w:b w:val="0"/>
                <w:bCs w:val="0"/>
                <w:color w:val="000000" w:themeColor="text1"/>
                <w:sz w:val="24"/>
                <w:szCs w:val="24"/>
                <w14:textFill>
                  <w14:solidFill>
                    <w14:schemeClr w14:val="tx1"/>
                  </w14:solidFill>
                </w14:textFill>
              </w:rPr>
              <w:t>N转化为硝态氮；设置硝化液回流，将好氧硝化后的混合液回流至前端A缺氧池，持续完成反硝化脱氮。一体化设备后部设置内置沉淀区，完成泥水分离；一部分污泥回流至A池维持系统污泥浓度，剩余污泥排入污泥池。</w:t>
            </w:r>
          </w:p>
          <w:p w14:paraId="13D8819E">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eastAsia" w:ascii="Times New Roman" w:hAnsi="Times New Roman" w:eastAsia="宋体" w:cs="Times New Roman"/>
                <w:color w:val="000000" w:themeColor="text1"/>
                <w:sz w:val="24"/>
                <w:szCs w:val="24"/>
                <w:lang w:eastAsia="zh-CN"/>
                <w14:textFill>
                  <w14:solidFill>
                    <w14:schemeClr w14:val="tx1"/>
                  </w14:solidFill>
                </w14:textFill>
              </w:rPr>
            </w:pPr>
            <w:r>
              <w:rPr>
                <w:rStyle w:val="35"/>
                <w:rFonts w:hint="default" w:ascii="Times New Roman" w:hAnsi="Times New Roman" w:cs="Times New Roman"/>
                <w:color w:val="000000" w:themeColor="text1"/>
                <w:sz w:val="24"/>
                <w:szCs w:val="24"/>
                <w14:textFill>
                  <w14:solidFill>
                    <w14:schemeClr w14:val="tx1"/>
                  </w14:solidFill>
                </w14:textFill>
              </w:rPr>
              <w:t>④消毒</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一体化沉淀出水进入消毒池，经消毒后达标排放</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气浮浮渣、生化剩余污泥收集至污泥池，经板框压滤脱水后，泥饼委托有资质单位处置；压滤产生的滤液回流至调节池重新处理。</w:t>
            </w:r>
          </w:p>
          <w:p w14:paraId="36E78EF2">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default" w:ascii="Times New Roman" w:hAnsi="Times New Roman" w:cs="Times New Roman"/>
                <w:color w:val="000000" w:themeColor="text1"/>
                <w:sz w:val="24"/>
                <w:szCs w:val="24"/>
                <w:lang w:bidi="ar"/>
                <w14:textFill>
                  <w14:solidFill>
                    <w14:schemeClr w14:val="tx1"/>
                  </w14:solidFill>
                </w14:textFill>
              </w:rPr>
            </w:pPr>
            <w:r>
              <w:rPr>
                <w:rFonts w:hint="default" w:ascii="Times New Roman" w:hAnsi="Times New Roman" w:cs="Times New Roman"/>
                <w:color w:val="000000" w:themeColor="text1"/>
                <w:sz w:val="24"/>
                <w:szCs w:val="24"/>
                <w:lang w:bidi="ar"/>
                <w14:textFill>
                  <w14:solidFill>
                    <w14:schemeClr w14:val="tx1"/>
                  </w14:solidFill>
                </w14:textFill>
              </w:rPr>
              <w:t>参考《排污许可证申请与核发技术规范锅炉》（HJ953-2018）表9中进入工业园区集中污水处理厂、市政污水处理厂、其他排污单位污水处理厂等锅炉废水污染防治可行技术，项目</w:t>
            </w:r>
            <w:r>
              <w:rPr>
                <w:rFonts w:hint="default" w:ascii="Times New Roman" w:hAnsi="Times New Roman" w:cs="Times New Roman"/>
                <w:color w:val="000000" w:themeColor="text1"/>
                <w:sz w:val="24"/>
                <w:szCs w:val="24"/>
                <w14:textFill>
                  <w14:solidFill>
                    <w14:schemeClr w14:val="tx1"/>
                  </w14:solidFill>
                </w14:textFill>
              </w:rPr>
              <w:t>锅炉排污水和软化处理</w:t>
            </w:r>
            <w:r>
              <w:rPr>
                <w:rFonts w:hint="default" w:ascii="Times New Roman" w:hAnsi="Times New Roman" w:cs="Times New Roman"/>
                <w:color w:val="000000" w:themeColor="text1"/>
                <w:sz w:val="24"/>
                <w:szCs w:val="24"/>
                <w:lang w:bidi="ar"/>
                <w14:textFill>
                  <w14:solidFill>
                    <w14:schemeClr w14:val="tx1"/>
                  </w14:solidFill>
                </w14:textFill>
              </w:rPr>
              <w:t>废水采用的“</w:t>
            </w:r>
            <w:r>
              <w:rPr>
                <w:rFonts w:hint="default" w:ascii="Times New Roman" w:hAnsi="Times New Roman" w:cs="Times New Roman"/>
                <w:color w:val="000000" w:themeColor="text1"/>
                <w:sz w:val="24"/>
                <w:szCs w:val="24"/>
                <w:lang w:eastAsia="zh-CN" w:bidi="ar"/>
                <w14:textFill>
                  <w14:solidFill>
                    <w14:schemeClr w14:val="tx1"/>
                  </w14:solidFill>
                </w14:textFill>
              </w:rPr>
              <w:t>溶气气浮+A/O一体化</w:t>
            </w:r>
            <w:r>
              <w:rPr>
                <w:rFonts w:hint="default" w:ascii="Times New Roman" w:hAnsi="Times New Roman" w:cs="Times New Roman"/>
                <w:color w:val="000000" w:themeColor="text1"/>
                <w:sz w:val="24"/>
                <w:szCs w:val="24"/>
                <w:lang w:bidi="ar"/>
                <w14:textFill>
                  <w14:solidFill>
                    <w14:schemeClr w14:val="tx1"/>
                  </w14:solidFill>
                </w14:textFill>
              </w:rPr>
              <w:t>”处理工艺属于可行技术。</w:t>
            </w:r>
          </w:p>
          <w:p w14:paraId="768DBD64">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default" w:ascii="Times New Roman" w:hAnsi="Times New Roman" w:cs="Times New Roman"/>
                <w:color w:val="000000" w:themeColor="text1"/>
                <w:sz w:val="24"/>
                <w:szCs w:val="24"/>
                <w:lang w:bidi="ar"/>
                <w14:textFill>
                  <w14:solidFill>
                    <w14:schemeClr w14:val="tx1"/>
                  </w14:solidFill>
                </w14:textFill>
              </w:rPr>
            </w:pPr>
            <w:r>
              <w:rPr>
                <w:rFonts w:hint="default" w:ascii="Times New Roman" w:hAnsi="Times New Roman" w:cs="Times New Roman"/>
                <w:color w:val="000000" w:themeColor="text1"/>
                <w:sz w:val="24"/>
                <w:szCs w:val="24"/>
                <w:shd w:val="clear" w:color="auto" w:fill="FFFFFF"/>
                <w14:textFill>
                  <w14:solidFill>
                    <w14:schemeClr w14:val="tx1"/>
                  </w14:solidFill>
                </w14:textFill>
              </w:rPr>
              <w:t>综上，</w:t>
            </w:r>
            <w:r>
              <w:rPr>
                <w:rFonts w:hint="default" w:ascii="Times New Roman" w:hAnsi="Times New Roman" w:cs="Times New Roman"/>
                <w:color w:val="000000" w:themeColor="text1"/>
                <w:sz w:val="24"/>
                <w:szCs w:val="24"/>
                <w:lang w:bidi="ar"/>
                <w14:textFill>
                  <w14:solidFill>
                    <w14:schemeClr w14:val="tx1"/>
                  </w14:solidFill>
                </w14:textFill>
              </w:rPr>
              <w:t>建设单位</w:t>
            </w:r>
            <w:r>
              <w:rPr>
                <w:rFonts w:hint="default" w:ascii="Times New Roman" w:hAnsi="Times New Roman" w:cs="Times New Roman"/>
                <w:color w:val="000000" w:themeColor="text1"/>
                <w:sz w:val="24"/>
                <w:szCs w:val="24"/>
                <w14:textFill>
                  <w14:solidFill>
                    <w14:schemeClr w14:val="tx1"/>
                  </w14:solidFill>
                </w14:textFill>
              </w:rPr>
              <w:t>锅炉排污水和软化处理</w:t>
            </w:r>
            <w:r>
              <w:rPr>
                <w:rFonts w:hint="default" w:ascii="Times New Roman" w:hAnsi="Times New Roman" w:cs="Times New Roman"/>
                <w:color w:val="000000" w:themeColor="text1"/>
                <w:sz w:val="24"/>
                <w:szCs w:val="24"/>
                <w:lang w:bidi="ar"/>
                <w14:textFill>
                  <w14:solidFill>
                    <w14:schemeClr w14:val="tx1"/>
                  </w14:solidFill>
                </w14:textFill>
              </w:rPr>
              <w:t>废水</w:t>
            </w:r>
            <w:r>
              <w:rPr>
                <w:rFonts w:hint="default" w:ascii="Times New Roman" w:hAnsi="Times New Roman" w:cs="Times New Roman"/>
                <w:color w:val="000000" w:themeColor="text1"/>
                <w:spacing w:val="2"/>
                <w:sz w:val="24"/>
                <w:szCs w:val="24"/>
                <w14:textFill>
                  <w14:solidFill>
                    <w14:schemeClr w14:val="tx1"/>
                  </w14:solidFill>
                </w14:textFill>
              </w:rPr>
              <w:t>污染防治设施的设计及环境污染防治是可行的。</w:t>
            </w:r>
          </w:p>
          <w:p w14:paraId="055D0D92">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2.4</w:t>
            </w:r>
            <w:r>
              <w:rPr>
                <w:rFonts w:hint="default" w:ascii="Times New Roman" w:hAnsi="Times New Roman" w:cs="Times New Roman"/>
                <w:b/>
                <w:color w:val="000000" w:themeColor="text1"/>
                <w:kern w:val="0"/>
                <w:sz w:val="24"/>
                <w:szCs w:val="24"/>
                <w14:textFill>
                  <w14:solidFill>
                    <w14:schemeClr w14:val="tx1"/>
                  </w14:solidFill>
                </w14:textFill>
              </w:rPr>
              <w:t>纳入污水处理厂可行性分析</w:t>
            </w:r>
          </w:p>
          <w:p w14:paraId="6A4B113A">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（1）霞山水质净化厂简介</w:t>
            </w:r>
          </w:p>
          <w:p w14:paraId="3B64347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项目所在区域为霞山污水处理厂集污范围。霞山水质净化厂位于湛江市霞山区海头镇石头村口斜对面，项目占地面积约250亩，原设计规模20万m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/d，主要负责湛江市霞山片区生活污水及少量工业污水的处理。霞山水质净化厂分两期建设。一期规模10万m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/d，于2003年11月获得湛江市环境保护局的审批，2008年7月通过环保竣工验收（环验（2008）075号）；二期规模10万m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/d，于2008年9月获得湛江市环境保护局的审批，2011年5月通过环保竣工验收（环验（2011）017号）。扩容工程于2016年11月获得湛江市生态环境局（原湛江市环境保护局）审批（湛环建[2016]118号）。扩容规模10万m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/d，同时对原先全部工艺进行改造，尾水提质规模为30万m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/d，配套建设中水回用规模为3万m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出水水质由《城镇污水处理厂污染物排放标准》（GB18918-2002）一级B标准及广东省《水污染物排放限值》（DB44/26-2001）第二时段一级标准的较严值提升至《城镇污水处理厂污染物排放标准》（GB18918-2002）一级A标准及《水污染物排放限值》（DB44/26-2001）中第二时段一级标准的较严值。霞山水质净化厂一期、二期工程均采用CAST工艺（循环式活性污泥法），其中二期增加了水解酸化池，出水采用紫外线消毒。提质改造后25万吨/日采用“CAST+MBBR处理系统”，同时增加深度处理系统（反硝化生物滤池+磁混凝沉淀池）；5万吨/日的“AAO+MBR处理系统”。</w:t>
            </w:r>
          </w:p>
          <w:p w14:paraId="563E300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（2）霞山水质净化厂纳污范围</w:t>
            </w:r>
          </w:p>
          <w:p w14:paraId="6F81EC5A">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霞山水质净化厂一期管网起点位于海滨大道与绿塘河交汇处，终点至南柳河一号渠进入霞山水质净化厂，主管网全长约7.8公里。二期新增纳污范围为菉塘路、机场路以南和人民大道以西的南柳河流域，合计纳污面积约2182公顷，服务人口约50万，霞山区城区的市政污水基本得到整治。服务区内的污水通过污水专管以重力自流至厂区，经水泵提升进行生化处理，处理后的出水向西排入南柳河，最后流入湛江港湾。</w:t>
            </w:r>
          </w:p>
          <w:p w14:paraId="68A58AD9">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（3）霞山水质净化厂现状处理信息之处理水量</w:t>
            </w:r>
          </w:p>
          <w:p w14:paraId="3B8B32F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霞山水质净化厂处理水量方面，扩容工程完成后，处理规模已达30万t/d，从湛江市政府信息网和排污许可证公开信息系统均没有实时处理水量的信息，本评价收集了霞山水质净化厂扩容提质（30万m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/d）工程建设项目竣工环境保护验收监测报告（资料来源于湛江市政府信息网公开版块https://www.zhanjiang.gov.cn/attachment/0/40/40362/1351027.pdf），霞山水质净化厂实际扩容提质规模为22.73万m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/d（9471m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/h）达到设计工况75%，从监督性检查提供的尾水水质和污染物排放量反推来看，目前的处理尾水量也不足30万t/d的满负荷规模。</w:t>
            </w:r>
          </w:p>
          <w:p w14:paraId="436633AD">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项目废水日排放量1.07m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/d，项目废水外排量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仅为</w:t>
            </w:r>
            <w:r>
              <w:rPr>
                <w:rFonts w:hint="default" w:ascii="Times New Roman" w:hAnsi="Times New Roman" w:eastAsia="宋体" w:cs="Times New Roman"/>
                <w:bCs/>
                <w:color w:val="000000" w:themeColor="text1"/>
                <w:kern w:val="0"/>
                <w:sz w:val="24"/>
                <w:szCs w:val="24"/>
                <w14:textFill>
                  <w14:solidFill>
                    <w14:schemeClr w14:val="tx1"/>
                  </w14:solidFill>
                </w14:textFill>
              </w:rPr>
              <w:t>霞山水质净化厂处理</w:t>
            </w:r>
            <w:r>
              <w:rPr>
                <w:rFonts w:hint="default" w:ascii="Times New Roman" w:hAnsi="Times New Roman" w:eastAsia="宋体" w:cs="Times New Roman"/>
                <w:bCs/>
                <w:color w:val="000000" w:themeColor="text1"/>
                <w:kern w:val="0"/>
                <w:sz w:val="24"/>
                <w:szCs w:val="24"/>
                <w:lang w:val="en-US" w:eastAsia="zh-CN"/>
                <w14:textFill>
                  <w14:solidFill>
                    <w14:schemeClr w14:val="tx1"/>
                  </w14:solidFill>
                </w14:textFill>
              </w:rPr>
              <w:t>能力</w:t>
            </w:r>
            <w:r>
              <w:rPr>
                <w:rFonts w:hint="default" w:ascii="Times New Roman" w:hAnsi="Times New Roman" w:eastAsia="宋体" w:cs="Times New Roman"/>
                <w:bCs/>
                <w:color w:val="000000" w:themeColor="text1"/>
                <w:kern w:val="0"/>
                <w:sz w:val="24"/>
                <w:szCs w:val="24"/>
                <w14:textFill>
                  <w14:solidFill>
                    <w14:schemeClr w14:val="tx1"/>
                  </w14:solidFill>
                </w14:textFill>
              </w:rPr>
              <w:t>（30万m</w:t>
            </w:r>
            <w:r>
              <w:rPr>
                <w:rFonts w:hint="default" w:ascii="Times New Roman" w:hAnsi="Times New Roman" w:eastAsia="宋体" w:cs="Times New Roman"/>
                <w:bCs/>
                <w:color w:val="000000" w:themeColor="text1"/>
                <w:kern w:val="0"/>
                <w:sz w:val="24"/>
                <w:szCs w:val="24"/>
                <w:vertAlign w:val="superscript"/>
                <w14:textFill>
                  <w14:solidFill>
                    <w14:schemeClr w14:val="tx1"/>
                  </w14:solidFill>
                </w14:textFill>
              </w:rPr>
              <w:t>3</w:t>
            </w:r>
            <w:r>
              <w:rPr>
                <w:rFonts w:hint="default" w:ascii="Times New Roman" w:hAnsi="Times New Roman" w:eastAsia="宋体" w:cs="Times New Roman"/>
                <w:bCs/>
                <w:color w:val="000000" w:themeColor="text1"/>
                <w:kern w:val="0"/>
                <w:sz w:val="24"/>
                <w:szCs w:val="24"/>
                <w14:textFill>
                  <w14:solidFill>
                    <w14:schemeClr w14:val="tx1"/>
                  </w14:solidFill>
                </w14:textFill>
              </w:rPr>
              <w:t>/d）</w:t>
            </w:r>
            <w:r>
              <w:rPr>
                <w:rFonts w:hint="default" w:ascii="Times New Roman" w:hAnsi="Times New Roman" w:eastAsia="宋体" w:cs="Times New Roman"/>
                <w:bCs/>
                <w:color w:val="000000" w:themeColor="text1"/>
                <w:kern w:val="0"/>
                <w:sz w:val="24"/>
                <w:szCs w:val="24"/>
                <w:lang w:val="en-US" w:eastAsia="zh-CN"/>
                <w14:textFill>
                  <w14:solidFill>
                    <w14:schemeClr w14:val="tx1"/>
                  </w14:solidFill>
                </w14:textFill>
              </w:rPr>
              <w:t>的30万分一</w:t>
            </w:r>
            <w:r>
              <w:rPr>
                <w:rFonts w:hint="default" w:ascii="Times New Roman" w:hAnsi="Times New Roman" w:eastAsia="宋体" w:cs="Times New Roman"/>
                <w:bCs/>
                <w:color w:val="000000" w:themeColor="text1"/>
                <w:kern w:val="0"/>
                <w:sz w:val="24"/>
                <w:szCs w:val="24"/>
                <w14:textFill>
                  <w14:solidFill>
                    <w14:schemeClr w14:val="tx1"/>
                  </w14:solidFill>
                </w14:textFill>
              </w:rPr>
              <w:t>，不会超出霞山水质净化厂的剩余处理量，所以项目产生的污水不会对霞山水质净化厂产生水量和水质冲击负荷。</w:t>
            </w:r>
          </w:p>
          <w:p w14:paraId="556B9609">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项目污水主要污染物为pH、COD</w:t>
            </w:r>
            <w:r>
              <w:rPr>
                <w:rFonts w:hint="default" w:ascii="Times New Roman" w:hAnsi="Times New Roman" w:eastAsia="宋体" w:cs="Times New Roman"/>
                <w:bCs/>
                <w:color w:val="000000" w:themeColor="text1"/>
                <w:kern w:val="0"/>
                <w:sz w:val="24"/>
                <w:szCs w:val="24"/>
                <w:vertAlign w:val="subscript"/>
                <w14:textFill>
                  <w14:solidFill>
                    <w14:schemeClr w14:val="tx1"/>
                  </w14:solidFill>
                </w14:textFill>
              </w:rPr>
              <w:t>Cr</w:t>
            </w:r>
            <w:r>
              <w:rPr>
                <w:rFonts w:hint="default" w:ascii="Times New Roman" w:hAnsi="Times New Roman" w:eastAsia="宋体" w:cs="Times New Roman"/>
                <w:bCs/>
                <w:color w:val="000000" w:themeColor="text1"/>
                <w:kern w:val="0"/>
                <w:sz w:val="24"/>
                <w:szCs w:val="24"/>
                <w14:textFill>
                  <w14:solidFill>
                    <w14:schemeClr w14:val="tx1"/>
                  </w14:solidFill>
                </w14:textFill>
              </w:rPr>
              <w:t>、SS等，不含有重金属、第一类污染物等有害因子，经过自建污水站处理后可达到霞山水质净化厂的进水水质要求。</w:t>
            </w:r>
          </w:p>
          <w:p w14:paraId="28643295">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因此，项目废水依托霞山水质净化厂进行处理具备环境可行性。</w:t>
            </w:r>
          </w:p>
          <w:p w14:paraId="0FA7D1B6">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Cs/>
                <w:color w:val="000000" w:themeColor="text1"/>
                <w:kern w:val="0"/>
                <w:sz w:val="24"/>
                <w:szCs w:val="24"/>
                <w:lang w:eastAsia="zh-CN"/>
                <w14:textFill>
                  <w14:solidFill>
                    <w14:schemeClr w14:val="tx1"/>
                  </w14:solidFill>
                </w14:textFill>
              </w:rPr>
            </w:pPr>
            <w:r>
              <w:rPr>
                <w:rFonts w:hint="default" w:ascii="Times New Roman" w:hAnsi="Times New Roman" w:eastAsia="宋体" w:cs="Times New Roman"/>
                <w:bCs/>
                <w:color w:val="000000" w:themeColor="text1"/>
                <w:kern w:val="0"/>
                <w:sz w:val="24"/>
                <w:szCs w:val="24"/>
                <w:lang w:val="en-US" w:eastAsia="zh-CN"/>
                <w14:textFill>
                  <w14:solidFill>
                    <w14:schemeClr w14:val="tx1"/>
                  </w14:solidFill>
                </w14:textFill>
              </w:rPr>
              <w:t>项目排水路径</w:t>
            </w:r>
            <w:r>
              <w:rPr>
                <w:rFonts w:hint="default" w:ascii="Times New Roman" w:hAnsi="Times New Roman" w:eastAsia="宋体" w:cs="Times New Roman"/>
                <w:bCs/>
                <w:color w:val="000000" w:themeColor="text1"/>
                <w:kern w:val="0"/>
                <w:sz w:val="24"/>
                <w:szCs w:val="24"/>
                <w14:textFill>
                  <w14:solidFill>
                    <w14:schemeClr w14:val="tx1"/>
                  </w14:solidFill>
                </w14:textFill>
              </w:rPr>
              <w:t>项目→市政管网→霞山水质净化厂→南柳河→湛江港</w:t>
            </w:r>
          </w:p>
          <w:p w14:paraId="5191BD37">
            <w:pPr>
              <w:spacing w:line="480" w:lineRule="exact"/>
              <w:ind w:firstLine="482" w:firstLineChars="200"/>
              <w:rPr>
                <w:rFonts w:ascii="Times New Roman" w:hAnsi="Times New Roman" w:eastAsia="宋体" w:cs="Times New Roman"/>
                <w:b/>
                <w:color w:val="000000" w:themeColor="text1"/>
                <w:sz w:val="24"/>
                <w:lang w:bidi="ar"/>
                <w14:textFill>
                  <w14:solidFill>
                    <w14:schemeClr w14:val="tx1"/>
                  </w14:solidFill>
                </w14:textFill>
              </w:rPr>
            </w:pPr>
            <w:r>
              <w:rPr>
                <w:rFonts w:hint="eastAsia" w:ascii="Times New Roman" w:hAnsi="Times New Roman" w:eastAsia="宋体" w:cs="Times New Roman"/>
                <w:b/>
                <w:color w:val="000000" w:themeColor="text1"/>
                <w:sz w:val="24"/>
                <w:lang w:bidi="ar"/>
                <w14:textFill>
                  <w14:solidFill>
                    <w14:schemeClr w14:val="tx1"/>
                  </w14:solidFill>
                </w14:textFill>
              </w:rPr>
              <w:t>2.5废水</w:t>
            </w:r>
            <w:r>
              <w:rPr>
                <w:rFonts w:ascii="Times New Roman" w:hAnsi="Times New Roman" w:eastAsia="宋体" w:cs="Times New Roman"/>
                <w:b/>
                <w:color w:val="000000" w:themeColor="text1"/>
                <w:sz w:val="24"/>
                <w:lang w:bidi="ar"/>
                <w14:textFill>
                  <w14:solidFill>
                    <w14:schemeClr w14:val="tx1"/>
                  </w14:solidFill>
                </w14:textFill>
              </w:rPr>
              <w:t>污染物排放信息</w:t>
            </w:r>
          </w:p>
          <w:p w14:paraId="611E8BDF">
            <w:pPr>
              <w:pStyle w:val="28"/>
              <w:widowControl w:val="0"/>
              <w:autoSpaceDE w:val="0"/>
              <w:autoSpaceDN w:val="0"/>
              <w:adjustRightInd w:val="0"/>
              <w:spacing w:before="0" w:beforeAutospacing="0" w:after="0" w:afterAutospacing="0" w:line="480" w:lineRule="exact"/>
              <w:ind w:firstLine="480" w:firstLineChars="200"/>
              <w:jc w:val="both"/>
              <w:rPr>
                <w:rFonts w:ascii="Times New Roman" w:hAnsi="Times New Roman"/>
                <w:color w:val="000000" w:themeColor="text1"/>
                <w:szCs w:val="24"/>
                <w14:textFill>
                  <w14:solidFill>
                    <w14:schemeClr w14:val="tx1"/>
                  </w14:solidFill>
                </w14:textFill>
              </w:rPr>
            </w:pPr>
            <w:r>
              <w:rPr>
                <w:rFonts w:hint="eastAsia" w:ascii="Times New Roman" w:hAnsi="Times New Roman"/>
                <w:color w:val="000000" w:themeColor="text1"/>
                <w:kern w:val="2"/>
                <w:szCs w:val="24"/>
                <w:lang w:bidi="ar"/>
                <w14:textFill>
                  <w14:solidFill>
                    <w14:schemeClr w14:val="tx1"/>
                  </w14:solidFill>
                </w14:textFill>
              </w:rPr>
              <w:t>（1）</w:t>
            </w:r>
            <w:r>
              <w:rPr>
                <w:rFonts w:ascii="Times New Roman" w:hAnsi="Times New Roman"/>
                <w:color w:val="000000" w:themeColor="text1"/>
                <w:kern w:val="2"/>
                <w:szCs w:val="24"/>
                <w:lang w:bidi="ar"/>
                <w14:textFill>
                  <w14:solidFill>
                    <w14:schemeClr w14:val="tx1"/>
                  </w14:solidFill>
                </w14:textFill>
              </w:rPr>
              <w:t>废水类别、污染物及污染治理设施信息</w:t>
            </w:r>
            <w:r>
              <w:rPr>
                <w:rFonts w:hint="eastAsia" w:ascii="Times New Roman" w:hAnsi="Times New Roman"/>
                <w:color w:val="000000" w:themeColor="text1"/>
                <w:kern w:val="2"/>
                <w:szCs w:val="24"/>
                <w:lang w:bidi="ar"/>
                <w14:textFill>
                  <w14:solidFill>
                    <w14:schemeClr w14:val="tx1"/>
                  </w14:solidFill>
                </w14:textFill>
              </w:rPr>
              <w:t>见下表</w:t>
            </w:r>
            <w:r>
              <w:rPr>
                <w:rFonts w:ascii="Times New Roman" w:hAnsi="Times New Roman"/>
                <w:color w:val="000000" w:themeColor="text1"/>
                <w:kern w:val="2"/>
                <w:szCs w:val="24"/>
                <w:lang w:bidi="ar"/>
                <w14:textFill>
                  <w14:solidFill>
                    <w14:schemeClr w14:val="tx1"/>
                  </w14:solidFill>
                </w14:textFill>
              </w:rPr>
              <w:t>。</w:t>
            </w:r>
          </w:p>
          <w:p w14:paraId="4CFB36C3">
            <w:pPr>
              <w:pStyle w:val="28"/>
              <w:widowControl w:val="0"/>
              <w:autoSpaceDE w:val="0"/>
              <w:autoSpaceDN w:val="0"/>
              <w:adjustRightInd w:val="0"/>
              <w:spacing w:before="0" w:beforeAutospacing="0" w:after="0" w:afterAutospacing="0" w:line="480" w:lineRule="exact"/>
              <w:jc w:val="center"/>
              <w:rPr>
                <w:rFonts w:ascii="Times New Roman" w:hAnsi="Times New Roman"/>
                <w:b/>
                <w:color w:val="000000" w:themeColor="text1"/>
                <w:szCs w:val="24"/>
                <w14:textFill>
                  <w14:solidFill>
                    <w14:schemeClr w14:val="tx1"/>
                  </w14:solidFill>
                </w14:textFill>
              </w:rPr>
            </w:pPr>
            <w:r>
              <w:rPr>
                <w:rFonts w:ascii="Times New Roman" w:hAnsi="Times New Roman"/>
                <w:b/>
                <w:color w:val="000000" w:themeColor="text1"/>
                <w:kern w:val="2"/>
                <w:szCs w:val="24"/>
                <w:lang w:bidi="ar"/>
                <w14:textFill>
                  <w14:solidFill>
                    <w14:schemeClr w14:val="tx1"/>
                  </w14:solidFill>
                </w14:textFill>
              </w:rPr>
              <w:t>表4-</w:t>
            </w:r>
            <w:r>
              <w:rPr>
                <w:rFonts w:hint="eastAsia" w:ascii="Times New Roman" w:hAnsi="Times New Roman"/>
                <w:b/>
                <w:color w:val="000000" w:themeColor="text1"/>
                <w:kern w:val="2"/>
                <w:szCs w:val="24"/>
                <w:lang w:bidi="ar"/>
                <w14:textFill>
                  <w14:solidFill>
                    <w14:schemeClr w14:val="tx1"/>
                  </w14:solidFill>
                </w14:textFill>
              </w:rPr>
              <w:t>1</w:t>
            </w:r>
            <w:r>
              <w:rPr>
                <w:rFonts w:hint="eastAsia" w:ascii="Times New Roman" w:hAnsi="Times New Roman"/>
                <w:b/>
                <w:color w:val="000000" w:themeColor="text1"/>
                <w:kern w:val="2"/>
                <w:szCs w:val="24"/>
                <w:lang w:val="en-US" w:eastAsia="zh-CN" w:bidi="ar"/>
                <w14:textFill>
                  <w14:solidFill>
                    <w14:schemeClr w14:val="tx1"/>
                  </w14:solidFill>
                </w14:textFill>
              </w:rPr>
              <w:t>0</w:t>
            </w:r>
            <w:r>
              <w:rPr>
                <w:rFonts w:ascii="Times New Roman" w:hAnsi="Times New Roman"/>
                <w:b/>
                <w:color w:val="000000" w:themeColor="text1"/>
                <w:kern w:val="2"/>
                <w:szCs w:val="24"/>
                <w:lang w:bidi="ar"/>
                <w14:textFill>
                  <w14:solidFill>
                    <w14:schemeClr w14:val="tx1"/>
                  </w14:solidFill>
                </w14:textFill>
              </w:rPr>
              <w:t>废水类别、污染物及污染治理设施信息表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8"/>
              <w:gridCol w:w="528"/>
              <w:gridCol w:w="751"/>
              <w:gridCol w:w="485"/>
              <w:gridCol w:w="794"/>
              <w:gridCol w:w="738"/>
              <w:gridCol w:w="671"/>
              <w:gridCol w:w="759"/>
              <w:gridCol w:w="677"/>
              <w:gridCol w:w="707"/>
              <w:gridCol w:w="1439"/>
            </w:tblGrid>
            <w:tr w14:paraId="6128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0" w:type="pct"/>
                  <w:vMerge w:val="restart"/>
                  <w:tcBorders>
                    <w:top w:val="single" w:color="auto" w:sz="4" w:space="0"/>
                    <w:left w:val="single" w:color="auto" w:sz="4" w:space="0"/>
                    <w:bottom w:val="single" w:color="auto" w:sz="4" w:space="0"/>
                    <w:right w:val="single" w:color="auto" w:sz="4" w:space="0"/>
                  </w:tcBorders>
                  <w:noWrap w:val="0"/>
                  <w:vAlign w:val="center"/>
                </w:tcPr>
                <w:p w14:paraId="1430374A">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序号</w:t>
                  </w:r>
                </w:p>
              </w:tc>
              <w:tc>
                <w:tcPr>
                  <w:tcW w:w="330" w:type="pct"/>
                  <w:vMerge w:val="restart"/>
                  <w:tcBorders>
                    <w:top w:val="single" w:color="auto" w:sz="4" w:space="0"/>
                    <w:left w:val="single" w:color="auto" w:sz="4" w:space="0"/>
                    <w:bottom w:val="single" w:color="auto" w:sz="4" w:space="0"/>
                    <w:right w:val="single" w:color="auto" w:sz="4" w:space="0"/>
                  </w:tcBorders>
                  <w:noWrap w:val="0"/>
                  <w:vAlign w:val="center"/>
                </w:tcPr>
                <w:p w14:paraId="7D487E6E">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废水类别</w:t>
                  </w:r>
                </w:p>
              </w:tc>
              <w:tc>
                <w:tcPr>
                  <w:tcW w:w="469" w:type="pct"/>
                  <w:vMerge w:val="restart"/>
                  <w:tcBorders>
                    <w:top w:val="single" w:color="auto" w:sz="4" w:space="0"/>
                    <w:left w:val="single" w:color="auto" w:sz="4" w:space="0"/>
                    <w:bottom w:val="single" w:color="auto" w:sz="4" w:space="0"/>
                    <w:right w:val="single" w:color="auto" w:sz="4" w:space="0"/>
                  </w:tcBorders>
                  <w:noWrap w:val="0"/>
                  <w:vAlign w:val="center"/>
                </w:tcPr>
                <w:p w14:paraId="6BBB4AD9">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污染物种类</w:t>
                  </w:r>
                </w:p>
              </w:tc>
              <w:tc>
                <w:tcPr>
                  <w:tcW w:w="303" w:type="pct"/>
                  <w:vMerge w:val="restart"/>
                  <w:tcBorders>
                    <w:top w:val="single" w:color="auto" w:sz="4" w:space="0"/>
                    <w:left w:val="single" w:color="auto" w:sz="4" w:space="0"/>
                    <w:bottom w:val="single" w:color="auto" w:sz="4" w:space="0"/>
                    <w:right w:val="single" w:color="auto" w:sz="4" w:space="0"/>
                  </w:tcBorders>
                  <w:noWrap w:val="0"/>
                  <w:vAlign w:val="center"/>
                </w:tcPr>
                <w:p w14:paraId="41075716">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排放去向</w:t>
                  </w:r>
                </w:p>
              </w:tc>
              <w:tc>
                <w:tcPr>
                  <w:tcW w:w="496" w:type="pct"/>
                  <w:vMerge w:val="restart"/>
                  <w:tcBorders>
                    <w:top w:val="single" w:color="auto" w:sz="4" w:space="0"/>
                    <w:left w:val="single" w:color="auto" w:sz="4" w:space="0"/>
                    <w:bottom w:val="single" w:color="auto" w:sz="4" w:space="0"/>
                    <w:right w:val="single" w:color="auto" w:sz="4" w:space="0"/>
                  </w:tcBorders>
                  <w:noWrap w:val="0"/>
                  <w:vAlign w:val="center"/>
                </w:tcPr>
                <w:p w14:paraId="120D3995">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规律排放</w:t>
                  </w:r>
                </w:p>
              </w:tc>
              <w:tc>
                <w:tcPr>
                  <w:tcW w:w="1354" w:type="pct"/>
                  <w:gridSpan w:val="3"/>
                  <w:tcBorders>
                    <w:top w:val="single" w:color="auto" w:sz="4" w:space="0"/>
                    <w:left w:val="single" w:color="auto" w:sz="4" w:space="0"/>
                    <w:bottom w:val="single" w:color="auto" w:sz="4" w:space="0"/>
                    <w:right w:val="single" w:color="auto" w:sz="4" w:space="0"/>
                  </w:tcBorders>
                  <w:noWrap w:val="0"/>
                  <w:vAlign w:val="center"/>
                </w:tcPr>
                <w:p w14:paraId="180B3D2B">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污染治理设施</w:t>
                  </w:r>
                </w:p>
              </w:tc>
              <w:tc>
                <w:tcPr>
                  <w:tcW w:w="423" w:type="pct"/>
                  <w:vMerge w:val="restart"/>
                  <w:tcBorders>
                    <w:top w:val="single" w:color="auto" w:sz="4" w:space="0"/>
                    <w:left w:val="single" w:color="auto" w:sz="4" w:space="0"/>
                    <w:bottom w:val="single" w:color="auto" w:sz="4" w:space="0"/>
                    <w:right w:val="single" w:color="auto" w:sz="4" w:space="0"/>
                  </w:tcBorders>
                  <w:noWrap w:val="0"/>
                  <w:vAlign w:val="center"/>
                </w:tcPr>
                <w:p w14:paraId="01AD442F">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排放口编号</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02D53B04">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排放口设置是否符合要求</w:t>
                  </w:r>
                </w:p>
              </w:tc>
              <w:tc>
                <w:tcPr>
                  <w:tcW w:w="899" w:type="pct"/>
                  <w:vMerge w:val="restart"/>
                  <w:tcBorders>
                    <w:top w:val="single" w:color="auto" w:sz="4" w:space="0"/>
                    <w:left w:val="single" w:color="auto" w:sz="4" w:space="0"/>
                    <w:bottom w:val="single" w:color="auto" w:sz="4" w:space="0"/>
                    <w:right w:val="single" w:color="auto" w:sz="4" w:space="0"/>
                  </w:tcBorders>
                  <w:noWrap w:val="0"/>
                  <w:vAlign w:val="center"/>
                </w:tcPr>
                <w:p w14:paraId="478B53DA">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排放口类型</w:t>
                  </w:r>
                </w:p>
              </w:tc>
            </w:tr>
            <w:tr w14:paraId="5D86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0" w:type="pct"/>
                  <w:vMerge w:val="continue"/>
                  <w:tcBorders>
                    <w:top w:val="single" w:color="auto" w:sz="4" w:space="0"/>
                    <w:left w:val="single" w:color="auto" w:sz="4" w:space="0"/>
                    <w:bottom w:val="single" w:color="auto" w:sz="4" w:space="0"/>
                    <w:right w:val="single" w:color="auto" w:sz="4" w:space="0"/>
                  </w:tcBorders>
                  <w:noWrap w:val="0"/>
                  <w:vAlign w:val="center"/>
                </w:tcPr>
                <w:p w14:paraId="5343031E">
                  <w:pPr>
                    <w:rPr>
                      <w:rFonts w:ascii="Times New Roman" w:hAnsi="Times New Roman" w:eastAsia="宋体" w:cs="Times New Roman"/>
                      <w:color w:val="000000" w:themeColor="text1"/>
                      <w:szCs w:val="21"/>
                      <w14:textFill>
                        <w14:solidFill>
                          <w14:schemeClr w14:val="tx1"/>
                        </w14:solidFill>
                      </w14:textFill>
                    </w:rPr>
                  </w:pPr>
                </w:p>
              </w:tc>
              <w:tc>
                <w:tcPr>
                  <w:tcW w:w="330" w:type="pct"/>
                  <w:vMerge w:val="continue"/>
                  <w:tcBorders>
                    <w:top w:val="single" w:color="auto" w:sz="4" w:space="0"/>
                    <w:left w:val="single" w:color="auto" w:sz="4" w:space="0"/>
                    <w:bottom w:val="single" w:color="auto" w:sz="4" w:space="0"/>
                    <w:right w:val="single" w:color="auto" w:sz="4" w:space="0"/>
                  </w:tcBorders>
                  <w:noWrap w:val="0"/>
                  <w:vAlign w:val="center"/>
                </w:tcPr>
                <w:p w14:paraId="383D105B">
                  <w:pPr>
                    <w:rPr>
                      <w:rFonts w:ascii="Times New Roman" w:hAnsi="Times New Roman" w:eastAsia="宋体" w:cs="Times New Roman"/>
                      <w:color w:val="000000" w:themeColor="text1"/>
                      <w:szCs w:val="21"/>
                      <w14:textFill>
                        <w14:solidFill>
                          <w14:schemeClr w14:val="tx1"/>
                        </w14:solidFill>
                      </w14:textFill>
                    </w:rPr>
                  </w:pPr>
                </w:p>
              </w:tc>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22100FE">
                  <w:pPr>
                    <w:rPr>
                      <w:rFonts w:ascii="Times New Roman" w:hAnsi="Times New Roman" w:eastAsia="宋体" w:cs="Times New Roman"/>
                      <w:color w:val="000000" w:themeColor="text1"/>
                      <w:szCs w:val="21"/>
                      <w14:textFill>
                        <w14:solidFill>
                          <w14:schemeClr w14:val="tx1"/>
                        </w14:solidFill>
                      </w14:textFill>
                    </w:rPr>
                  </w:pPr>
                </w:p>
              </w:tc>
              <w:tc>
                <w:tcPr>
                  <w:tcW w:w="303" w:type="pct"/>
                  <w:vMerge w:val="continue"/>
                  <w:tcBorders>
                    <w:top w:val="single" w:color="auto" w:sz="4" w:space="0"/>
                    <w:left w:val="single" w:color="auto" w:sz="4" w:space="0"/>
                    <w:bottom w:val="single" w:color="auto" w:sz="4" w:space="0"/>
                    <w:right w:val="single" w:color="auto" w:sz="4" w:space="0"/>
                  </w:tcBorders>
                  <w:noWrap w:val="0"/>
                  <w:vAlign w:val="center"/>
                </w:tcPr>
                <w:p w14:paraId="66ABDD99">
                  <w:pPr>
                    <w:rPr>
                      <w:rFonts w:ascii="Times New Roman" w:hAnsi="Times New Roman" w:eastAsia="宋体" w:cs="Times New Roman"/>
                      <w:color w:val="000000" w:themeColor="text1"/>
                      <w:szCs w:val="21"/>
                      <w14:textFill>
                        <w14:solidFill>
                          <w14:schemeClr w14:val="tx1"/>
                        </w14:solidFill>
                      </w14:textFill>
                    </w:rPr>
                  </w:pPr>
                </w:p>
              </w:tc>
              <w:tc>
                <w:tcPr>
                  <w:tcW w:w="496" w:type="pct"/>
                  <w:vMerge w:val="continue"/>
                  <w:tcBorders>
                    <w:top w:val="single" w:color="auto" w:sz="4" w:space="0"/>
                    <w:left w:val="single" w:color="auto" w:sz="4" w:space="0"/>
                    <w:bottom w:val="single" w:color="auto" w:sz="4" w:space="0"/>
                    <w:right w:val="single" w:color="auto" w:sz="4" w:space="0"/>
                  </w:tcBorders>
                  <w:noWrap w:val="0"/>
                  <w:vAlign w:val="center"/>
                </w:tcPr>
                <w:p w14:paraId="08764720">
                  <w:pPr>
                    <w:rPr>
                      <w:rFonts w:ascii="Times New Roman" w:hAnsi="Times New Roman" w:eastAsia="宋体" w:cs="Times New Roman"/>
                      <w:color w:val="000000" w:themeColor="text1"/>
                      <w:szCs w:val="21"/>
                      <w14:textFill>
                        <w14:solidFill>
                          <w14:schemeClr w14:val="tx1"/>
                        </w14:solidFill>
                      </w14:textFill>
                    </w:rPr>
                  </w:pPr>
                </w:p>
              </w:tc>
              <w:tc>
                <w:tcPr>
                  <w:tcW w:w="461" w:type="pct"/>
                  <w:tcBorders>
                    <w:top w:val="single" w:color="auto" w:sz="4" w:space="0"/>
                    <w:left w:val="single" w:color="auto" w:sz="4" w:space="0"/>
                    <w:bottom w:val="single" w:color="auto" w:sz="4" w:space="0"/>
                    <w:right w:val="single" w:color="auto" w:sz="4" w:space="0"/>
                  </w:tcBorders>
                  <w:noWrap w:val="0"/>
                  <w:vAlign w:val="center"/>
                </w:tcPr>
                <w:p w14:paraId="582AD898">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污染治理设施编号</w:t>
                  </w:r>
                </w:p>
              </w:tc>
              <w:tc>
                <w:tcPr>
                  <w:tcW w:w="419" w:type="pct"/>
                  <w:tcBorders>
                    <w:top w:val="single" w:color="auto" w:sz="4" w:space="0"/>
                    <w:left w:val="single" w:color="auto" w:sz="4" w:space="0"/>
                    <w:bottom w:val="single" w:color="auto" w:sz="4" w:space="0"/>
                    <w:right w:val="single" w:color="auto" w:sz="4" w:space="0"/>
                  </w:tcBorders>
                  <w:noWrap w:val="0"/>
                  <w:vAlign w:val="center"/>
                </w:tcPr>
                <w:p w14:paraId="2C30625F">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污染治理设施名称</w:t>
                  </w:r>
                </w:p>
              </w:tc>
              <w:tc>
                <w:tcPr>
                  <w:tcW w:w="473" w:type="pct"/>
                  <w:tcBorders>
                    <w:top w:val="single" w:color="auto" w:sz="4" w:space="0"/>
                    <w:left w:val="single" w:color="auto" w:sz="4" w:space="0"/>
                    <w:bottom w:val="single" w:color="auto" w:sz="4" w:space="0"/>
                    <w:right w:val="single" w:color="auto" w:sz="4" w:space="0"/>
                  </w:tcBorders>
                  <w:noWrap w:val="0"/>
                  <w:vAlign w:val="center"/>
                </w:tcPr>
                <w:p w14:paraId="7D81E9F2">
                  <w:pPr>
                    <w:pStyle w:val="28"/>
                    <w:widowControl w:val="0"/>
                    <w:autoSpaceDE w:val="0"/>
                    <w:autoSpaceDN w:val="0"/>
                    <w:adjustRightInd w:val="0"/>
                    <w:spacing w:before="0" w:beforeAutospacing="0" w:after="0" w:afterAutospacing="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kern w:val="2"/>
                      <w:sz w:val="21"/>
                      <w:szCs w:val="21"/>
                      <w:lang w:bidi="ar"/>
                      <w14:textFill>
                        <w14:solidFill>
                          <w14:schemeClr w14:val="tx1"/>
                        </w14:solidFill>
                      </w14:textFill>
                    </w:rPr>
                    <w:t>污染治理设施工艺</w:t>
                  </w:r>
                </w:p>
              </w:tc>
              <w:tc>
                <w:tcPr>
                  <w:tcW w:w="423" w:type="pct"/>
                  <w:vMerge w:val="continue"/>
                  <w:tcBorders>
                    <w:top w:val="single" w:color="auto" w:sz="4" w:space="0"/>
                    <w:left w:val="single" w:color="auto" w:sz="4" w:space="0"/>
                    <w:bottom w:val="single" w:color="auto" w:sz="4" w:space="0"/>
                    <w:right w:val="single" w:color="auto" w:sz="4" w:space="0"/>
                  </w:tcBorders>
                  <w:noWrap w:val="0"/>
                  <w:vAlign w:val="center"/>
                </w:tcPr>
                <w:p w14:paraId="15B28B82">
                  <w:pPr>
                    <w:rPr>
                      <w:rFonts w:ascii="Times New Roman" w:hAnsi="Times New Roman" w:eastAsia="宋体" w:cs="Times New Roman"/>
                      <w:color w:val="000000" w:themeColor="text1"/>
                      <w:szCs w:val="21"/>
                      <w14:textFill>
                        <w14:solidFill>
                          <w14:schemeClr w14:val="tx1"/>
                        </w14:solidFill>
                      </w14:textFill>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0BCA6DB0">
                  <w:pPr>
                    <w:rPr>
                      <w:rFonts w:ascii="Times New Roman" w:hAnsi="Times New Roman" w:eastAsia="宋体" w:cs="Times New Roman"/>
                      <w:color w:val="000000" w:themeColor="text1"/>
                      <w:szCs w:val="21"/>
                      <w14:textFill>
                        <w14:solidFill>
                          <w14:schemeClr w14:val="tx1"/>
                        </w14:solidFill>
                      </w14:textFill>
                    </w:rPr>
                  </w:pPr>
                </w:p>
              </w:tc>
              <w:tc>
                <w:tcPr>
                  <w:tcW w:w="899" w:type="pct"/>
                  <w:vMerge w:val="continue"/>
                  <w:tcBorders>
                    <w:top w:val="single" w:color="auto" w:sz="4" w:space="0"/>
                    <w:left w:val="single" w:color="auto" w:sz="4" w:space="0"/>
                    <w:bottom w:val="single" w:color="auto" w:sz="4" w:space="0"/>
                    <w:right w:val="single" w:color="auto" w:sz="4" w:space="0"/>
                  </w:tcBorders>
                  <w:noWrap w:val="0"/>
                  <w:vAlign w:val="center"/>
                </w:tcPr>
                <w:p w14:paraId="602BB48C">
                  <w:pPr>
                    <w:rPr>
                      <w:rFonts w:ascii="Times New Roman" w:hAnsi="Times New Roman" w:eastAsia="宋体" w:cs="Times New Roman"/>
                      <w:color w:val="000000" w:themeColor="text1"/>
                      <w:szCs w:val="21"/>
                      <w14:textFill>
                        <w14:solidFill>
                          <w14:schemeClr w14:val="tx1"/>
                        </w14:solidFill>
                      </w14:textFill>
                    </w:rPr>
                  </w:pPr>
                </w:p>
              </w:tc>
            </w:tr>
            <w:tr w14:paraId="24E6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0" w:type="pct"/>
                  <w:tcBorders>
                    <w:top w:val="single" w:color="auto" w:sz="4" w:space="0"/>
                    <w:left w:val="single" w:color="auto" w:sz="4" w:space="0"/>
                    <w:bottom w:val="single" w:color="auto" w:sz="4" w:space="0"/>
                    <w:right w:val="single" w:color="auto" w:sz="4" w:space="0"/>
                  </w:tcBorders>
                  <w:noWrap w:val="0"/>
                  <w:vAlign w:val="center"/>
                </w:tcPr>
                <w:p w14:paraId="3F3AFB33">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t>1</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034D8B10">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生活污水</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30C2F0BC">
                  <w:pPr>
                    <w:pStyle w:val="28"/>
                    <w:widowControl w:val="0"/>
                    <w:autoSpaceDE w:val="0"/>
                    <w:autoSpaceDN w:val="0"/>
                    <w:adjustRightInd w:val="0"/>
                    <w:spacing w:before="0" w:beforeAutospacing="0" w:after="0" w:afterAutospacing="0"/>
                    <w:jc w:val="center"/>
                    <w:rPr>
                      <w:rFonts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pH、</w:t>
                  </w:r>
                  <w:r>
                    <w:rPr>
                      <w:rFonts w:ascii="Times New Roman" w:hAnsi="Times New Roman"/>
                      <w:color w:val="000000" w:themeColor="text1"/>
                      <w:kern w:val="2"/>
                      <w:sz w:val="21"/>
                      <w:szCs w:val="21"/>
                      <w:lang w:bidi="ar"/>
                      <w14:textFill>
                        <w14:solidFill>
                          <w14:schemeClr w14:val="tx1"/>
                        </w14:solidFill>
                      </w14:textFill>
                    </w:rPr>
                    <w:t>COD</w:t>
                  </w:r>
                  <w:r>
                    <w:rPr>
                      <w:rFonts w:ascii="Times New Roman" w:hAnsi="Times New Roman"/>
                      <w:color w:val="000000" w:themeColor="text1"/>
                      <w:kern w:val="2"/>
                      <w:sz w:val="21"/>
                      <w:szCs w:val="21"/>
                      <w:vertAlign w:val="subscript"/>
                      <w:lang w:bidi="ar"/>
                      <w14:textFill>
                        <w14:solidFill>
                          <w14:schemeClr w14:val="tx1"/>
                        </w14:solidFill>
                      </w14:textFill>
                    </w:rPr>
                    <w:t>Cr</w:t>
                  </w:r>
                  <w:r>
                    <w:rPr>
                      <w:rFonts w:ascii="Times New Roman" w:hAnsi="Times New Roman"/>
                      <w:color w:val="000000" w:themeColor="text1"/>
                      <w:kern w:val="2"/>
                      <w:sz w:val="21"/>
                      <w:szCs w:val="21"/>
                      <w:lang w:bidi="ar"/>
                      <w14:textFill>
                        <w14:solidFill>
                          <w14:schemeClr w14:val="tx1"/>
                        </w14:solidFill>
                      </w14:textFill>
                    </w:rPr>
                    <w:t>、BOD₅</w:t>
                  </w:r>
                  <w:r>
                    <w:rPr>
                      <w:rFonts w:hint="eastAsia" w:ascii="Times New Roman" w:hAnsi="Times New Roman"/>
                      <w:color w:val="000000" w:themeColor="text1"/>
                      <w:kern w:val="2"/>
                      <w:sz w:val="21"/>
                      <w:szCs w:val="21"/>
                      <w:lang w:bidi="ar"/>
                      <w14:textFill>
                        <w14:solidFill>
                          <w14:schemeClr w14:val="tx1"/>
                        </w14:solidFill>
                      </w14:textFill>
                    </w:rPr>
                    <w:t>、</w:t>
                  </w:r>
                  <w:r>
                    <w:rPr>
                      <w:rFonts w:ascii="Times New Roman" w:hAnsi="Times New Roman"/>
                      <w:color w:val="000000" w:themeColor="text1"/>
                      <w:kern w:val="2"/>
                      <w:sz w:val="21"/>
                      <w:szCs w:val="21"/>
                      <w:lang w:bidi="ar"/>
                      <w14:textFill>
                        <w14:solidFill>
                          <w14:schemeClr w14:val="tx1"/>
                        </w14:solidFill>
                      </w14:textFill>
                    </w:rPr>
                    <w:t>SS</w:t>
                  </w:r>
                </w:p>
              </w:tc>
              <w:tc>
                <w:tcPr>
                  <w:tcW w:w="303" w:type="pct"/>
                  <w:vMerge w:val="restart"/>
                  <w:tcBorders>
                    <w:top w:val="single" w:color="auto" w:sz="4" w:space="0"/>
                    <w:left w:val="single" w:color="auto" w:sz="4" w:space="0"/>
                    <w:right w:val="single" w:color="auto" w:sz="4" w:space="0"/>
                  </w:tcBorders>
                  <w:noWrap w:val="0"/>
                  <w:vAlign w:val="center"/>
                </w:tcPr>
                <w:p w14:paraId="0F88888C">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t>进入城市污水处理厂</w:t>
                  </w:r>
                </w:p>
              </w:tc>
              <w:tc>
                <w:tcPr>
                  <w:tcW w:w="496" w:type="pct"/>
                  <w:vMerge w:val="restart"/>
                  <w:tcBorders>
                    <w:top w:val="single" w:color="auto" w:sz="4" w:space="0"/>
                    <w:left w:val="single" w:color="auto" w:sz="4" w:space="0"/>
                    <w:right w:val="single" w:color="auto" w:sz="4" w:space="0"/>
                  </w:tcBorders>
                  <w:noWrap w:val="0"/>
                  <w:vAlign w:val="center"/>
                </w:tcPr>
                <w:p w14:paraId="4160BDD9">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shd w:val="clear" w:color="auto" w:fill="FFFFFF"/>
                      <w:lang w:bidi="ar"/>
                      <w14:textFill>
                        <w14:solidFill>
                          <w14:schemeClr w14:val="tx1"/>
                        </w14:solidFill>
                      </w14:textFill>
                    </w:rPr>
                    <w:t>间断排放，排放期间流量不稳定且无规律，但不属于冲击型排放</w:t>
                  </w:r>
                </w:p>
              </w:tc>
              <w:tc>
                <w:tcPr>
                  <w:tcW w:w="461" w:type="pct"/>
                  <w:tcBorders>
                    <w:top w:val="single" w:color="auto" w:sz="4" w:space="0"/>
                    <w:left w:val="single" w:color="auto" w:sz="4" w:space="0"/>
                    <w:right w:val="single" w:color="auto" w:sz="4" w:space="0"/>
                  </w:tcBorders>
                  <w:noWrap w:val="0"/>
                  <w:vAlign w:val="center"/>
                </w:tcPr>
                <w:p w14:paraId="5B6F6179">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TW001</w:t>
                  </w:r>
                </w:p>
              </w:tc>
              <w:tc>
                <w:tcPr>
                  <w:tcW w:w="419" w:type="pct"/>
                  <w:tcBorders>
                    <w:top w:val="single" w:color="auto" w:sz="4" w:space="0"/>
                    <w:left w:val="single" w:color="auto" w:sz="4" w:space="0"/>
                    <w:right w:val="single" w:color="auto" w:sz="4" w:space="0"/>
                  </w:tcBorders>
                  <w:noWrap w:val="0"/>
                  <w:vAlign w:val="center"/>
                </w:tcPr>
                <w:p w14:paraId="2AD964A3">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三级化粪池＋自建污水站</w:t>
                  </w:r>
                </w:p>
              </w:tc>
              <w:tc>
                <w:tcPr>
                  <w:tcW w:w="473" w:type="pct"/>
                  <w:tcBorders>
                    <w:top w:val="single" w:color="auto" w:sz="4" w:space="0"/>
                    <w:left w:val="single" w:color="auto" w:sz="4" w:space="0"/>
                    <w:right w:val="single" w:color="auto" w:sz="4" w:space="0"/>
                  </w:tcBorders>
                  <w:noWrap w:val="0"/>
                  <w:vAlign w:val="center"/>
                </w:tcPr>
                <w:p w14:paraId="360B8428">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物理＋厌氧</w:t>
                  </w:r>
                </w:p>
              </w:tc>
              <w:tc>
                <w:tcPr>
                  <w:tcW w:w="423" w:type="pct"/>
                  <w:vMerge w:val="restart"/>
                  <w:tcBorders>
                    <w:top w:val="single" w:color="auto" w:sz="4" w:space="0"/>
                    <w:left w:val="single" w:color="auto" w:sz="4" w:space="0"/>
                    <w:right w:val="single" w:color="auto" w:sz="4" w:space="0"/>
                  </w:tcBorders>
                  <w:noWrap w:val="0"/>
                  <w:vAlign w:val="center"/>
                </w:tcPr>
                <w:p w14:paraId="321F2859">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DW001</w:t>
                  </w:r>
                </w:p>
              </w:tc>
              <w:tc>
                <w:tcPr>
                  <w:tcW w:w="442" w:type="pct"/>
                  <w:vMerge w:val="restart"/>
                  <w:tcBorders>
                    <w:top w:val="single" w:color="auto" w:sz="4" w:space="0"/>
                    <w:left w:val="single" w:color="auto" w:sz="4" w:space="0"/>
                    <w:right w:val="single" w:color="auto" w:sz="4" w:space="0"/>
                  </w:tcBorders>
                  <w:noWrap w:val="0"/>
                  <w:vAlign w:val="center"/>
                </w:tcPr>
                <w:p w14:paraId="7A3AA11C">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52"/>
                  </w:r>
                  <w:r>
                    <w:rPr>
                      <w:rFonts w:ascii="Times New Roman" w:hAnsi="Times New Roman"/>
                      <w:color w:val="000000" w:themeColor="text1"/>
                      <w:kern w:val="2"/>
                      <w:sz w:val="21"/>
                      <w:szCs w:val="21"/>
                      <w:lang w:bidi="ar"/>
                      <w14:textFill>
                        <w14:solidFill>
                          <w14:schemeClr w14:val="tx1"/>
                        </w14:solidFill>
                      </w14:textFill>
                    </w:rPr>
                    <w:t>是</w:t>
                  </w:r>
                </w:p>
                <w:p w14:paraId="092200AE">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A3"/>
                  </w:r>
                  <w:r>
                    <w:rPr>
                      <w:rFonts w:ascii="Times New Roman" w:hAnsi="Times New Roman"/>
                      <w:color w:val="000000" w:themeColor="text1"/>
                      <w:kern w:val="2"/>
                      <w:sz w:val="21"/>
                      <w:szCs w:val="21"/>
                      <w:lang w:bidi="ar"/>
                      <w14:textFill>
                        <w14:solidFill>
                          <w14:schemeClr w14:val="tx1"/>
                        </w14:solidFill>
                      </w14:textFill>
                    </w:rPr>
                    <w:t>否</w:t>
                  </w:r>
                </w:p>
              </w:tc>
              <w:tc>
                <w:tcPr>
                  <w:tcW w:w="899" w:type="pct"/>
                  <w:vMerge w:val="restart"/>
                  <w:tcBorders>
                    <w:top w:val="single" w:color="auto" w:sz="4" w:space="0"/>
                    <w:left w:val="single" w:color="auto" w:sz="4" w:space="0"/>
                    <w:right w:val="single" w:color="auto" w:sz="4" w:space="0"/>
                  </w:tcBorders>
                  <w:noWrap w:val="0"/>
                  <w:vAlign w:val="center"/>
                </w:tcPr>
                <w:p w14:paraId="0517F8A8">
                  <w:pPr>
                    <w:pStyle w:val="28"/>
                    <w:widowControl w:val="0"/>
                    <w:autoSpaceDE w:val="0"/>
                    <w:autoSpaceDN w:val="0"/>
                    <w:adjustRightIn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52"/>
                  </w:r>
                  <w:r>
                    <w:rPr>
                      <w:rFonts w:ascii="Times New Roman" w:hAnsi="Times New Roman"/>
                      <w:color w:val="000000" w:themeColor="text1"/>
                      <w:kern w:val="2"/>
                      <w:sz w:val="21"/>
                      <w:szCs w:val="21"/>
                      <w:lang w:bidi="ar"/>
                      <w14:textFill>
                        <w14:solidFill>
                          <w14:schemeClr w14:val="tx1"/>
                        </w14:solidFill>
                      </w14:textFill>
                    </w:rPr>
                    <w:t>企业总排</w:t>
                  </w:r>
                </w:p>
                <w:p w14:paraId="66A1F03D">
                  <w:pPr>
                    <w:pStyle w:val="28"/>
                    <w:widowControl w:val="0"/>
                    <w:autoSpaceDE w:val="0"/>
                    <w:autoSpaceDN w:val="0"/>
                    <w:adjustRightIn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A3"/>
                  </w:r>
                  <w:r>
                    <w:rPr>
                      <w:rFonts w:ascii="Times New Roman" w:hAnsi="Times New Roman"/>
                      <w:color w:val="000000" w:themeColor="text1"/>
                      <w:kern w:val="2"/>
                      <w:sz w:val="21"/>
                      <w:szCs w:val="21"/>
                      <w:lang w:bidi="ar"/>
                      <w14:textFill>
                        <w14:solidFill>
                          <w14:schemeClr w14:val="tx1"/>
                        </w14:solidFill>
                      </w14:textFill>
                    </w:rPr>
                    <w:t>雨水排放</w:t>
                  </w:r>
                </w:p>
                <w:p w14:paraId="1E3E4E30">
                  <w:pPr>
                    <w:pStyle w:val="28"/>
                    <w:widowControl w:val="0"/>
                    <w:autoSpaceDE w:val="0"/>
                    <w:autoSpaceDN w:val="0"/>
                    <w:adjustRightIn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A3"/>
                  </w:r>
                  <w:r>
                    <w:rPr>
                      <w:rFonts w:ascii="Times New Roman" w:hAnsi="Times New Roman"/>
                      <w:color w:val="000000" w:themeColor="text1"/>
                      <w:kern w:val="2"/>
                      <w:sz w:val="21"/>
                      <w:szCs w:val="21"/>
                      <w:lang w:bidi="ar"/>
                      <w14:textFill>
                        <w14:solidFill>
                          <w14:schemeClr w14:val="tx1"/>
                        </w14:solidFill>
                      </w14:textFill>
                    </w:rPr>
                    <w:t>清净下水排放</w:t>
                  </w:r>
                </w:p>
                <w:p w14:paraId="0DF8B6D2">
                  <w:pPr>
                    <w:pStyle w:val="28"/>
                    <w:widowControl w:val="0"/>
                    <w:autoSpaceDE w:val="0"/>
                    <w:autoSpaceDN w:val="0"/>
                    <w:adjustRightIn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A3"/>
                  </w:r>
                  <w:r>
                    <w:rPr>
                      <w:rFonts w:ascii="Times New Roman" w:hAnsi="Times New Roman"/>
                      <w:color w:val="000000" w:themeColor="text1"/>
                      <w:kern w:val="2"/>
                      <w:sz w:val="21"/>
                      <w:szCs w:val="21"/>
                      <w:lang w:bidi="ar"/>
                      <w14:textFill>
                        <w14:solidFill>
                          <w14:schemeClr w14:val="tx1"/>
                        </w14:solidFill>
                      </w14:textFill>
                    </w:rPr>
                    <w:t>温排水排放</w:t>
                  </w:r>
                </w:p>
                <w:p w14:paraId="7893908B">
                  <w:pPr>
                    <w:pStyle w:val="28"/>
                    <w:widowControl w:val="0"/>
                    <w:autoSpaceDE w:val="0"/>
                    <w:autoSpaceDN w:val="0"/>
                    <w:adjustRightInd w:val="0"/>
                    <w:spacing w:before="0" w:beforeAutospacing="0" w:after="0" w:afterAutospacing="0"/>
                    <w:jc w:val="both"/>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kern w:val="2"/>
                      <w:sz w:val="21"/>
                      <w:szCs w:val="21"/>
                      <w:lang w:bidi="ar"/>
                      <w14:textFill>
                        <w14:solidFill>
                          <w14:schemeClr w14:val="tx1"/>
                        </w14:solidFill>
                      </w14:textFill>
                    </w:rPr>
                    <w:sym w:font="Wingdings 2" w:char="00A3"/>
                  </w:r>
                  <w:r>
                    <w:rPr>
                      <w:rFonts w:ascii="Times New Roman" w:hAnsi="Times New Roman"/>
                      <w:color w:val="000000" w:themeColor="text1"/>
                      <w:kern w:val="2"/>
                      <w:sz w:val="21"/>
                      <w:szCs w:val="21"/>
                      <w:lang w:bidi="ar"/>
                      <w14:textFill>
                        <w14:solidFill>
                          <w14:schemeClr w14:val="tx1"/>
                        </w14:solidFill>
                      </w14:textFill>
                    </w:rPr>
                    <w:t>车间或车间处理设施排放口</w:t>
                  </w:r>
                </w:p>
              </w:tc>
            </w:tr>
            <w:tr w14:paraId="3136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0" w:type="pct"/>
                  <w:tcBorders>
                    <w:top w:val="single" w:color="auto" w:sz="4" w:space="0"/>
                    <w:left w:val="single" w:color="auto" w:sz="4" w:space="0"/>
                    <w:bottom w:val="single" w:color="auto" w:sz="4" w:space="0"/>
                    <w:right w:val="single" w:color="auto" w:sz="4" w:space="0"/>
                  </w:tcBorders>
                  <w:noWrap w:val="0"/>
                  <w:vAlign w:val="center"/>
                </w:tcPr>
                <w:p w14:paraId="4A89CFC4">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2</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692473CD">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洗涤废水</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ABFD93D">
                  <w:pPr>
                    <w:rPr>
                      <w:rFonts w:hint="eastAsia" w:ascii="Times New Roman" w:hAnsi="Times New Roman" w:eastAsia="宋体" w:cs="Times New Roman"/>
                      <w:color w:val="000000" w:themeColor="text1"/>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BOD₅</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SS</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NH₃</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N</w:t>
                  </w:r>
                  <w:r>
                    <w:rPr>
                      <w:rFonts w:hint="eastAsia" w:ascii="Times New Roman" w:hAnsi="Times New Roman" w:eastAsia="宋体" w:cs="Times New Roman"/>
                      <w:color w:val="000000" w:themeColor="text1"/>
                      <w:kern w:val="0"/>
                      <w:szCs w:val="21"/>
                      <w:lang w:bidi="ar"/>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LAS</w:t>
                  </w:r>
                  <w:r>
                    <w:rPr>
                      <w:rFonts w:hint="eastAsia" w:ascii="Times New Roman" w:hAnsi="Times New Roman" w:eastAsia="宋体" w:cs="Times New Roman"/>
                      <w:color w:val="000000" w:themeColor="text1"/>
                      <w:kern w:val="0"/>
                      <w:szCs w:val="21"/>
                      <w:lang w:bidi="ar"/>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TP</w:t>
                  </w:r>
                </w:p>
              </w:tc>
              <w:tc>
                <w:tcPr>
                  <w:tcW w:w="303" w:type="pct"/>
                  <w:vMerge w:val="continue"/>
                  <w:tcBorders>
                    <w:left w:val="single" w:color="auto" w:sz="4" w:space="0"/>
                    <w:right w:val="single" w:color="auto" w:sz="4" w:space="0"/>
                  </w:tcBorders>
                  <w:noWrap w:val="0"/>
                  <w:vAlign w:val="center"/>
                </w:tcPr>
                <w:p w14:paraId="090FF877">
                  <w:pPr>
                    <w:pStyle w:val="28"/>
                    <w:widowControl w:val="0"/>
                    <w:autoSpaceDE w:val="0"/>
                    <w:autoSpaceDN w:val="0"/>
                    <w:adjustRightInd w:val="0"/>
                    <w:spacing w:before="0" w:beforeAutospacing="0" w:after="0" w:afterAutospacing="0"/>
                    <w:jc w:val="center"/>
                    <w:rPr>
                      <w:rFonts w:ascii="Times New Roman" w:hAnsi="Times New Roman"/>
                      <w:color w:val="000000" w:themeColor="text1"/>
                      <w:kern w:val="2"/>
                      <w:sz w:val="21"/>
                      <w:szCs w:val="21"/>
                      <w:lang w:bidi="ar"/>
                      <w14:textFill>
                        <w14:solidFill>
                          <w14:schemeClr w14:val="tx1"/>
                        </w14:solidFill>
                      </w14:textFill>
                    </w:rPr>
                  </w:pPr>
                </w:p>
              </w:tc>
              <w:tc>
                <w:tcPr>
                  <w:tcW w:w="496" w:type="pct"/>
                  <w:vMerge w:val="continue"/>
                  <w:tcBorders>
                    <w:left w:val="single" w:color="auto" w:sz="4" w:space="0"/>
                    <w:right w:val="single" w:color="auto" w:sz="4" w:space="0"/>
                  </w:tcBorders>
                  <w:noWrap w:val="0"/>
                  <w:vAlign w:val="center"/>
                </w:tcPr>
                <w:p w14:paraId="64049F29">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shd w:val="clear" w:color="auto" w:fill="FFFFFF"/>
                      <w:lang w:bidi="ar"/>
                      <w14:textFill>
                        <w14:solidFill>
                          <w14:schemeClr w14:val="tx1"/>
                        </w14:solidFill>
                      </w14:textFill>
                    </w:rPr>
                  </w:pPr>
                </w:p>
              </w:tc>
              <w:tc>
                <w:tcPr>
                  <w:tcW w:w="461" w:type="pct"/>
                  <w:vMerge w:val="restart"/>
                  <w:tcBorders>
                    <w:left w:val="single" w:color="auto" w:sz="4" w:space="0"/>
                    <w:right w:val="single" w:color="auto" w:sz="4" w:space="0"/>
                  </w:tcBorders>
                  <w:noWrap w:val="0"/>
                  <w:vAlign w:val="center"/>
                </w:tcPr>
                <w:p w14:paraId="66D08CC2">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TW002</w:t>
                  </w:r>
                </w:p>
              </w:tc>
              <w:tc>
                <w:tcPr>
                  <w:tcW w:w="419" w:type="pct"/>
                  <w:vMerge w:val="restart"/>
                  <w:tcBorders>
                    <w:left w:val="single" w:color="auto" w:sz="4" w:space="0"/>
                    <w:right w:val="single" w:color="auto" w:sz="4" w:space="0"/>
                  </w:tcBorders>
                  <w:noWrap w:val="0"/>
                  <w:vAlign w:val="center"/>
                </w:tcPr>
                <w:p w14:paraId="4BA7D84C">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自建污水站</w:t>
                  </w:r>
                </w:p>
              </w:tc>
              <w:tc>
                <w:tcPr>
                  <w:tcW w:w="473" w:type="pct"/>
                  <w:vMerge w:val="restart"/>
                  <w:tcBorders>
                    <w:left w:val="single" w:color="auto" w:sz="4" w:space="0"/>
                    <w:right w:val="single" w:color="auto" w:sz="4" w:space="0"/>
                  </w:tcBorders>
                  <w:noWrap w:val="0"/>
                  <w:vAlign w:val="center"/>
                </w:tcPr>
                <w:p w14:paraId="0D371A86">
                  <w:pPr>
                    <w:pStyle w:val="28"/>
                    <w:widowControl w:val="0"/>
                    <w:autoSpaceDE w:val="0"/>
                    <w:autoSpaceDN w:val="0"/>
                    <w:adjustRightInd w:val="0"/>
                    <w:spacing w:before="0" w:beforeAutospacing="0" w:after="0" w:afterAutospacing="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eastAsia="zh-CN"/>
                      <w14:textFill>
                        <w14:solidFill>
                          <w14:schemeClr w14:val="tx1"/>
                        </w14:solidFill>
                      </w14:textFill>
                    </w:rPr>
                    <w:t>溶气气浮+A/O一体化</w:t>
                  </w:r>
                </w:p>
              </w:tc>
              <w:tc>
                <w:tcPr>
                  <w:tcW w:w="423" w:type="pct"/>
                  <w:vMerge w:val="continue"/>
                  <w:tcBorders>
                    <w:left w:val="single" w:color="auto" w:sz="4" w:space="0"/>
                    <w:right w:val="single" w:color="auto" w:sz="4" w:space="0"/>
                  </w:tcBorders>
                  <w:noWrap w:val="0"/>
                  <w:vAlign w:val="center"/>
                </w:tcPr>
                <w:p w14:paraId="06E775D1">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p>
              </w:tc>
              <w:tc>
                <w:tcPr>
                  <w:tcW w:w="442" w:type="pct"/>
                  <w:vMerge w:val="continue"/>
                  <w:tcBorders>
                    <w:left w:val="single" w:color="auto" w:sz="4" w:space="0"/>
                    <w:right w:val="single" w:color="auto" w:sz="4" w:space="0"/>
                  </w:tcBorders>
                  <w:noWrap w:val="0"/>
                  <w:vAlign w:val="center"/>
                </w:tcPr>
                <w:p w14:paraId="6668C34C">
                  <w:pPr>
                    <w:pStyle w:val="28"/>
                    <w:widowControl w:val="0"/>
                    <w:autoSpaceDE w:val="0"/>
                    <w:autoSpaceDN w:val="0"/>
                    <w:adjustRightInd w:val="0"/>
                    <w:spacing w:before="0" w:beforeAutospacing="0" w:after="0" w:afterAutospacing="0"/>
                    <w:jc w:val="center"/>
                    <w:rPr>
                      <w:rFonts w:ascii="Times New Roman" w:hAnsi="Times New Roman"/>
                      <w:color w:val="000000" w:themeColor="text1"/>
                      <w:kern w:val="2"/>
                      <w:sz w:val="21"/>
                      <w:szCs w:val="21"/>
                      <w:lang w:bidi="ar"/>
                      <w14:textFill>
                        <w14:solidFill>
                          <w14:schemeClr w14:val="tx1"/>
                        </w14:solidFill>
                      </w14:textFill>
                    </w:rPr>
                  </w:pPr>
                </w:p>
              </w:tc>
              <w:tc>
                <w:tcPr>
                  <w:tcW w:w="899" w:type="pct"/>
                  <w:vMerge w:val="continue"/>
                  <w:tcBorders>
                    <w:left w:val="single" w:color="auto" w:sz="4" w:space="0"/>
                    <w:right w:val="single" w:color="auto" w:sz="4" w:space="0"/>
                  </w:tcBorders>
                  <w:noWrap w:val="0"/>
                  <w:vAlign w:val="center"/>
                </w:tcPr>
                <w:p w14:paraId="6C2ABAF3">
                  <w:pPr>
                    <w:pStyle w:val="28"/>
                    <w:widowControl w:val="0"/>
                    <w:autoSpaceDE w:val="0"/>
                    <w:autoSpaceDN w:val="0"/>
                    <w:adjustRightInd w:val="0"/>
                    <w:spacing w:before="0" w:beforeAutospacing="0" w:after="0" w:afterAutospacing="0"/>
                    <w:jc w:val="both"/>
                    <w:rPr>
                      <w:rFonts w:ascii="Times New Roman" w:hAnsi="Times New Roman"/>
                      <w:color w:val="000000" w:themeColor="text1"/>
                      <w:kern w:val="2"/>
                      <w:sz w:val="21"/>
                      <w:szCs w:val="21"/>
                      <w:lang w:bidi="ar"/>
                      <w14:textFill>
                        <w14:solidFill>
                          <w14:schemeClr w14:val="tx1"/>
                        </w14:solidFill>
                      </w14:textFill>
                    </w:rPr>
                  </w:pPr>
                </w:p>
              </w:tc>
            </w:tr>
            <w:tr w14:paraId="4DE8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80" w:type="pct"/>
                  <w:tcBorders>
                    <w:top w:val="single" w:color="auto" w:sz="4" w:space="0"/>
                    <w:left w:val="single" w:color="auto" w:sz="4" w:space="0"/>
                    <w:bottom w:val="single" w:color="auto" w:sz="4" w:space="0"/>
                    <w:right w:val="single" w:color="auto" w:sz="4" w:space="0"/>
                  </w:tcBorders>
                  <w:noWrap w:val="0"/>
                  <w:vAlign w:val="center"/>
                </w:tcPr>
                <w:p w14:paraId="3FF02EEE">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r>
                    <w:rPr>
                      <w:rFonts w:hint="eastAsia" w:ascii="Times New Roman" w:hAnsi="Times New Roman"/>
                      <w:color w:val="000000" w:themeColor="text1"/>
                      <w:kern w:val="2"/>
                      <w:sz w:val="21"/>
                      <w:szCs w:val="21"/>
                      <w:lang w:bidi="ar"/>
                      <w14:textFill>
                        <w14:solidFill>
                          <w14:schemeClr w14:val="tx1"/>
                        </w14:solidFill>
                      </w14:textFill>
                    </w:rPr>
                    <w:t>3</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2FEE5C4A">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锅炉排污水和软化处理废水</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3A8036D2">
                  <w:pP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SS</w:t>
                  </w:r>
                </w:p>
                <w:p w14:paraId="7FD9F011">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p>
              </w:tc>
              <w:tc>
                <w:tcPr>
                  <w:tcW w:w="303" w:type="pct"/>
                  <w:vMerge w:val="continue"/>
                  <w:tcBorders>
                    <w:left w:val="single" w:color="auto" w:sz="4" w:space="0"/>
                    <w:bottom w:val="single" w:color="auto" w:sz="4" w:space="0"/>
                    <w:right w:val="single" w:color="auto" w:sz="4" w:space="0"/>
                  </w:tcBorders>
                  <w:noWrap w:val="0"/>
                  <w:vAlign w:val="center"/>
                </w:tcPr>
                <w:p w14:paraId="69548A6F">
                  <w:pPr>
                    <w:pStyle w:val="28"/>
                    <w:widowControl w:val="0"/>
                    <w:autoSpaceDE w:val="0"/>
                    <w:autoSpaceDN w:val="0"/>
                    <w:adjustRightInd w:val="0"/>
                    <w:spacing w:before="0" w:beforeAutospacing="0" w:after="0" w:afterAutospacing="0"/>
                    <w:jc w:val="center"/>
                    <w:rPr>
                      <w:rFonts w:ascii="Times New Roman" w:hAnsi="Times New Roman"/>
                      <w:color w:val="000000" w:themeColor="text1"/>
                      <w:kern w:val="2"/>
                      <w:sz w:val="21"/>
                      <w:szCs w:val="21"/>
                      <w:lang w:bidi="ar"/>
                      <w14:textFill>
                        <w14:solidFill>
                          <w14:schemeClr w14:val="tx1"/>
                        </w14:solidFill>
                      </w14:textFill>
                    </w:rPr>
                  </w:pPr>
                </w:p>
              </w:tc>
              <w:tc>
                <w:tcPr>
                  <w:tcW w:w="496" w:type="pct"/>
                  <w:vMerge w:val="continue"/>
                  <w:tcBorders>
                    <w:left w:val="single" w:color="auto" w:sz="4" w:space="0"/>
                    <w:bottom w:val="single" w:color="auto" w:sz="4" w:space="0"/>
                    <w:right w:val="single" w:color="auto" w:sz="4" w:space="0"/>
                  </w:tcBorders>
                  <w:noWrap w:val="0"/>
                  <w:vAlign w:val="center"/>
                </w:tcPr>
                <w:p w14:paraId="1F44E040">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shd w:val="clear" w:color="auto" w:fill="FFFFFF"/>
                      <w:lang w:bidi="ar"/>
                      <w14:textFill>
                        <w14:solidFill>
                          <w14:schemeClr w14:val="tx1"/>
                        </w14:solidFill>
                      </w14:textFill>
                    </w:rPr>
                  </w:pPr>
                </w:p>
              </w:tc>
              <w:tc>
                <w:tcPr>
                  <w:tcW w:w="461" w:type="pct"/>
                  <w:vMerge w:val="continue"/>
                  <w:tcBorders>
                    <w:left w:val="single" w:color="auto" w:sz="4" w:space="0"/>
                    <w:bottom w:val="single" w:color="auto" w:sz="4" w:space="0"/>
                    <w:right w:val="single" w:color="auto" w:sz="4" w:space="0"/>
                  </w:tcBorders>
                  <w:noWrap w:val="0"/>
                  <w:vAlign w:val="center"/>
                </w:tcPr>
                <w:p w14:paraId="209979C7">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p>
              </w:tc>
              <w:tc>
                <w:tcPr>
                  <w:tcW w:w="419" w:type="pct"/>
                  <w:vMerge w:val="continue"/>
                  <w:tcBorders>
                    <w:left w:val="single" w:color="auto" w:sz="4" w:space="0"/>
                    <w:bottom w:val="single" w:color="auto" w:sz="4" w:space="0"/>
                    <w:right w:val="single" w:color="auto" w:sz="4" w:space="0"/>
                  </w:tcBorders>
                  <w:noWrap w:val="0"/>
                  <w:vAlign w:val="center"/>
                </w:tcPr>
                <w:p w14:paraId="1E2ABA5D">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p>
              </w:tc>
              <w:tc>
                <w:tcPr>
                  <w:tcW w:w="473" w:type="pct"/>
                  <w:vMerge w:val="continue"/>
                  <w:tcBorders>
                    <w:left w:val="single" w:color="auto" w:sz="4" w:space="0"/>
                    <w:bottom w:val="single" w:color="auto" w:sz="4" w:space="0"/>
                    <w:right w:val="single" w:color="auto" w:sz="4" w:space="0"/>
                  </w:tcBorders>
                  <w:noWrap w:val="0"/>
                  <w:vAlign w:val="center"/>
                </w:tcPr>
                <w:p w14:paraId="2B93C2BD">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sz w:val="21"/>
                      <w:szCs w:val="21"/>
                      <w14:textFill>
                        <w14:solidFill>
                          <w14:schemeClr w14:val="tx1"/>
                        </w14:solidFill>
                      </w14:textFill>
                    </w:rPr>
                  </w:pPr>
                </w:p>
              </w:tc>
              <w:tc>
                <w:tcPr>
                  <w:tcW w:w="423" w:type="pct"/>
                  <w:vMerge w:val="continue"/>
                  <w:tcBorders>
                    <w:left w:val="single" w:color="auto" w:sz="4" w:space="0"/>
                    <w:bottom w:val="single" w:color="auto" w:sz="4" w:space="0"/>
                    <w:right w:val="single" w:color="auto" w:sz="4" w:space="0"/>
                  </w:tcBorders>
                  <w:noWrap w:val="0"/>
                  <w:vAlign w:val="center"/>
                </w:tcPr>
                <w:p w14:paraId="3970E23F">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kern w:val="2"/>
                      <w:sz w:val="21"/>
                      <w:szCs w:val="21"/>
                      <w:lang w:bidi="ar"/>
                      <w14:textFill>
                        <w14:solidFill>
                          <w14:schemeClr w14:val="tx1"/>
                        </w14:solidFill>
                      </w14:textFill>
                    </w:rPr>
                  </w:pPr>
                </w:p>
              </w:tc>
              <w:tc>
                <w:tcPr>
                  <w:tcW w:w="442" w:type="pct"/>
                  <w:vMerge w:val="continue"/>
                  <w:tcBorders>
                    <w:left w:val="single" w:color="auto" w:sz="4" w:space="0"/>
                    <w:bottom w:val="single" w:color="auto" w:sz="4" w:space="0"/>
                    <w:right w:val="single" w:color="auto" w:sz="4" w:space="0"/>
                  </w:tcBorders>
                  <w:noWrap w:val="0"/>
                  <w:vAlign w:val="center"/>
                </w:tcPr>
                <w:p w14:paraId="13F23ECC">
                  <w:pPr>
                    <w:pStyle w:val="28"/>
                    <w:widowControl w:val="0"/>
                    <w:autoSpaceDE w:val="0"/>
                    <w:autoSpaceDN w:val="0"/>
                    <w:adjustRightInd w:val="0"/>
                    <w:spacing w:before="0" w:beforeAutospacing="0" w:after="0" w:afterAutospacing="0"/>
                    <w:jc w:val="center"/>
                    <w:rPr>
                      <w:rFonts w:ascii="Times New Roman" w:hAnsi="Times New Roman"/>
                      <w:color w:val="000000" w:themeColor="text1"/>
                      <w:kern w:val="2"/>
                      <w:sz w:val="21"/>
                      <w:szCs w:val="21"/>
                      <w:lang w:bidi="ar"/>
                      <w14:textFill>
                        <w14:solidFill>
                          <w14:schemeClr w14:val="tx1"/>
                        </w14:solidFill>
                      </w14:textFill>
                    </w:rPr>
                  </w:pPr>
                </w:p>
              </w:tc>
              <w:tc>
                <w:tcPr>
                  <w:tcW w:w="899" w:type="pct"/>
                  <w:vMerge w:val="continue"/>
                  <w:tcBorders>
                    <w:left w:val="single" w:color="auto" w:sz="4" w:space="0"/>
                    <w:bottom w:val="single" w:color="auto" w:sz="4" w:space="0"/>
                    <w:right w:val="single" w:color="auto" w:sz="4" w:space="0"/>
                  </w:tcBorders>
                  <w:noWrap w:val="0"/>
                  <w:vAlign w:val="center"/>
                </w:tcPr>
                <w:p w14:paraId="0E03AE54">
                  <w:pPr>
                    <w:pStyle w:val="28"/>
                    <w:widowControl w:val="0"/>
                    <w:autoSpaceDE w:val="0"/>
                    <w:autoSpaceDN w:val="0"/>
                    <w:adjustRightInd w:val="0"/>
                    <w:spacing w:before="0" w:beforeAutospacing="0" w:after="0" w:afterAutospacing="0"/>
                    <w:jc w:val="both"/>
                    <w:rPr>
                      <w:rFonts w:ascii="Times New Roman" w:hAnsi="Times New Roman"/>
                      <w:color w:val="000000" w:themeColor="text1"/>
                      <w:kern w:val="2"/>
                      <w:sz w:val="21"/>
                      <w:szCs w:val="21"/>
                      <w:lang w:bidi="ar"/>
                      <w14:textFill>
                        <w14:solidFill>
                          <w14:schemeClr w14:val="tx1"/>
                        </w14:solidFill>
                      </w14:textFill>
                    </w:rPr>
                  </w:pPr>
                </w:p>
              </w:tc>
            </w:tr>
          </w:tbl>
          <w:p w14:paraId="09E90C6E">
            <w:pPr>
              <w:spacing w:line="480" w:lineRule="exact"/>
              <w:ind w:firstLine="482" w:firstLineChars="200"/>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2.</w:t>
            </w:r>
            <w:r>
              <w:rPr>
                <w:rFonts w:hint="eastAsia" w:ascii="Times New Roman" w:hAnsi="Times New Roman" w:eastAsia="宋体" w:cs="Times New Roman"/>
                <w:b/>
                <w:color w:val="000000" w:themeColor="text1"/>
                <w:sz w:val="24"/>
                <w14:textFill>
                  <w14:solidFill>
                    <w14:schemeClr w14:val="tx1"/>
                  </w14:solidFill>
                </w14:textFill>
              </w:rPr>
              <w:t>6</w:t>
            </w:r>
            <w:r>
              <w:rPr>
                <w:rFonts w:ascii="Times New Roman" w:hAnsi="Times New Roman" w:eastAsia="宋体" w:cs="Times New Roman"/>
                <w:b/>
                <w:color w:val="000000" w:themeColor="text1"/>
                <w:sz w:val="24"/>
                <w14:textFill>
                  <w14:solidFill>
                    <w14:schemeClr w14:val="tx1"/>
                  </w14:solidFill>
                </w14:textFill>
              </w:rPr>
              <w:t>监测计划</w:t>
            </w:r>
          </w:p>
          <w:p w14:paraId="5E870AC5">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参考</w:t>
            </w:r>
            <w:r>
              <w:rPr>
                <w:rFonts w:ascii="Times New Roman" w:hAnsi="Times New Roman" w:eastAsia="宋体" w:cs="Times New Roman"/>
                <w:color w:val="000000" w:themeColor="text1"/>
                <w:sz w:val="24"/>
                <w14:textFill>
                  <w14:solidFill>
                    <w14:schemeClr w14:val="tx1"/>
                  </w14:solidFill>
                </w14:textFill>
              </w:rPr>
              <w:t>《排污单位自行监测技术指南总则》（HJ819-2017）及</w:t>
            </w:r>
            <w:r>
              <w:rPr>
                <w:rFonts w:hint="eastAsia" w:ascii="Times New Roman" w:hAnsi="Times New Roman" w:eastAsia="宋体" w:cs="Times New Roman"/>
                <w:bCs/>
                <w:color w:val="000000" w:themeColor="text1"/>
                <w:sz w:val="24"/>
                <w14:textFill>
                  <w14:solidFill>
                    <w14:schemeClr w14:val="tx1"/>
                  </w14:solidFill>
                </w14:textFill>
              </w:rPr>
              <w:t>《排污单位自行监测技术指南火力发电及锅炉》（HJ820-2017），并结合现有项目环评文件确定的监测计划</w:t>
            </w:r>
            <w:r>
              <w:rPr>
                <w:rFonts w:ascii="Times New Roman" w:hAnsi="Times New Roman" w:eastAsia="宋体" w:cs="Times New Roman"/>
                <w:b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项目废水</w:t>
            </w:r>
            <w:r>
              <w:rPr>
                <w:rFonts w:hint="eastAsia" w:ascii="Times New Roman" w:hAnsi="Times New Roman" w:eastAsia="宋体" w:cs="Times New Roman"/>
                <w:color w:val="000000" w:themeColor="text1"/>
                <w:sz w:val="24"/>
                <w14:textFill>
                  <w14:solidFill>
                    <w14:schemeClr w14:val="tx1"/>
                  </w14:solidFill>
                </w14:textFill>
              </w:rPr>
              <w:t>自行监测计划如下表</w:t>
            </w:r>
            <w:r>
              <w:rPr>
                <w:rFonts w:ascii="Times New Roman" w:hAnsi="Times New Roman" w:eastAsia="宋体" w:cs="Times New Roman"/>
                <w:color w:val="000000" w:themeColor="text1"/>
                <w:sz w:val="24"/>
                <w14:textFill>
                  <w14:solidFill>
                    <w14:schemeClr w14:val="tx1"/>
                  </w14:solidFill>
                </w14:textFill>
              </w:rPr>
              <w:t>。</w:t>
            </w:r>
          </w:p>
          <w:p w14:paraId="311213FD">
            <w:pPr>
              <w:spacing w:line="480" w:lineRule="exact"/>
              <w:ind w:firstLine="482" w:firstLineChars="200"/>
              <w:jc w:val="center"/>
              <w:rPr>
                <w:rFonts w:hint="eastAsia"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eastAsia="宋体" w:cs="Times New Roman"/>
                <w:b/>
                <w:bCs/>
                <w:color w:val="000000" w:themeColor="text1"/>
                <w:sz w:val="24"/>
                <w14:textFill>
                  <w14:solidFill>
                    <w14:schemeClr w14:val="tx1"/>
                  </w14:solidFill>
                </w14:textFill>
              </w:rPr>
              <w:t>表4-1</w:t>
            </w:r>
            <w:r>
              <w:rPr>
                <w:rFonts w:hint="eastAsia" w:ascii="Times New Roman" w:hAnsi="Times New Roman" w:eastAsia="宋体" w:cs="Times New Roman"/>
                <w:b/>
                <w:bCs/>
                <w:color w:val="000000" w:themeColor="text1"/>
                <w:sz w:val="24"/>
                <w:lang w:val="en-US" w:eastAsia="zh-CN"/>
                <w14:textFill>
                  <w14:solidFill>
                    <w14:schemeClr w14:val="tx1"/>
                  </w14:solidFill>
                </w14:textFill>
              </w:rPr>
              <w:t>1</w:t>
            </w:r>
            <w:r>
              <w:rPr>
                <w:rFonts w:hint="eastAsia" w:ascii="Times New Roman" w:hAnsi="Times New Roman" w:eastAsia="宋体" w:cs="Times New Roman"/>
                <w:b/>
                <w:bCs/>
                <w:color w:val="000000" w:themeColor="text1"/>
                <w:sz w:val="24"/>
                <w14:textFill>
                  <w14:solidFill>
                    <w14:schemeClr w14:val="tx1"/>
                  </w14:solidFill>
                </w14:textFill>
              </w:rPr>
              <w:t>废水自行监测计划一览表</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11"/>
              <w:gridCol w:w="974"/>
              <w:gridCol w:w="1961"/>
              <w:gridCol w:w="580"/>
              <w:gridCol w:w="3368"/>
            </w:tblGrid>
            <w:tr w14:paraId="2B65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211" w:type="dxa"/>
                  <w:gridSpan w:val="2"/>
                  <w:noWrap w:val="0"/>
                  <w:vAlign w:val="center"/>
                </w:tcPr>
                <w:p w14:paraId="23045E68">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r>
                    <w:rPr>
                      <w:rFonts w:ascii="Times New Roman" w:hAnsi="Times New Roman" w:eastAsia="宋体" w:cs="Times New Roman"/>
                      <w:b/>
                      <w:bCs/>
                      <w:color w:val="000000" w:themeColor="text1"/>
                      <w:kern w:val="2"/>
                      <w:szCs w:val="21"/>
                      <w14:textFill>
                        <w14:solidFill>
                          <w14:schemeClr w14:val="tx1"/>
                        </w14:solidFill>
                      </w14:textFill>
                    </w:rPr>
                    <w:t>监测点位</w:t>
                  </w:r>
                </w:p>
              </w:tc>
              <w:tc>
                <w:tcPr>
                  <w:tcW w:w="2083" w:type="dxa"/>
                  <w:vMerge w:val="restart"/>
                  <w:noWrap w:val="0"/>
                  <w:vAlign w:val="center"/>
                </w:tcPr>
                <w:p w14:paraId="4611DDCE">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r>
                    <w:rPr>
                      <w:rFonts w:ascii="Times New Roman" w:hAnsi="Times New Roman" w:eastAsia="宋体" w:cs="Times New Roman"/>
                      <w:b/>
                      <w:bCs/>
                      <w:color w:val="000000" w:themeColor="text1"/>
                      <w:kern w:val="2"/>
                      <w:szCs w:val="21"/>
                      <w14:textFill>
                        <w14:solidFill>
                          <w14:schemeClr w14:val="tx1"/>
                        </w14:solidFill>
                      </w14:textFill>
                    </w:rPr>
                    <w:t>监测因子</w:t>
                  </w:r>
                </w:p>
              </w:tc>
              <w:tc>
                <w:tcPr>
                  <w:tcW w:w="613" w:type="dxa"/>
                  <w:vMerge w:val="restart"/>
                  <w:noWrap w:val="0"/>
                  <w:vAlign w:val="center"/>
                </w:tcPr>
                <w:p w14:paraId="61F261D2">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r>
                    <w:rPr>
                      <w:rFonts w:ascii="Times New Roman" w:hAnsi="Times New Roman" w:eastAsia="宋体" w:cs="Times New Roman"/>
                      <w:b/>
                      <w:bCs/>
                      <w:color w:val="000000" w:themeColor="text1"/>
                      <w:kern w:val="2"/>
                      <w:szCs w:val="21"/>
                      <w14:textFill>
                        <w14:solidFill>
                          <w14:schemeClr w14:val="tx1"/>
                        </w14:solidFill>
                      </w14:textFill>
                    </w:rPr>
                    <w:t>监测频次</w:t>
                  </w:r>
                </w:p>
              </w:tc>
              <w:tc>
                <w:tcPr>
                  <w:tcW w:w="3581" w:type="dxa"/>
                  <w:vMerge w:val="restart"/>
                  <w:noWrap w:val="0"/>
                  <w:vAlign w:val="center"/>
                </w:tcPr>
                <w:p w14:paraId="6632DDA4">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r>
                    <w:rPr>
                      <w:rFonts w:ascii="Times New Roman" w:hAnsi="Times New Roman" w:eastAsia="宋体" w:cs="Times New Roman"/>
                      <w:b/>
                      <w:bCs/>
                      <w:color w:val="000000" w:themeColor="text1"/>
                      <w:kern w:val="2"/>
                      <w:szCs w:val="21"/>
                      <w14:textFill>
                        <w14:solidFill>
                          <w14:schemeClr w14:val="tx1"/>
                        </w14:solidFill>
                      </w14:textFill>
                    </w:rPr>
                    <w:t>执行标准</w:t>
                  </w:r>
                </w:p>
              </w:tc>
            </w:tr>
            <w:tr w14:paraId="1C33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178" w:type="dxa"/>
                  <w:noWrap w:val="0"/>
                  <w:vAlign w:val="center"/>
                </w:tcPr>
                <w:p w14:paraId="6A5B17A9">
                  <w:pPr>
                    <w:pStyle w:val="97"/>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排放口编号</w:t>
                  </w:r>
                </w:p>
              </w:tc>
              <w:tc>
                <w:tcPr>
                  <w:tcW w:w="1033" w:type="dxa"/>
                  <w:noWrap w:val="0"/>
                  <w:vAlign w:val="center"/>
                </w:tcPr>
                <w:p w14:paraId="0ADDB03F">
                  <w:pPr>
                    <w:pStyle w:val="97"/>
                    <w:spacing w:line="240" w:lineRule="auto"/>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名称</w:t>
                  </w:r>
                </w:p>
              </w:tc>
              <w:tc>
                <w:tcPr>
                  <w:tcW w:w="2083" w:type="dxa"/>
                  <w:vMerge w:val="continue"/>
                  <w:noWrap w:val="0"/>
                  <w:vAlign w:val="center"/>
                </w:tcPr>
                <w:p w14:paraId="11DED68B">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p>
              </w:tc>
              <w:tc>
                <w:tcPr>
                  <w:tcW w:w="613" w:type="dxa"/>
                  <w:vMerge w:val="continue"/>
                  <w:tcBorders>
                    <w:bottom w:val="single" w:color="000000" w:sz="4" w:space="0"/>
                  </w:tcBorders>
                  <w:noWrap w:val="0"/>
                  <w:vAlign w:val="center"/>
                </w:tcPr>
                <w:p w14:paraId="3CBA1400">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p>
              </w:tc>
              <w:tc>
                <w:tcPr>
                  <w:tcW w:w="3581" w:type="dxa"/>
                  <w:vMerge w:val="continue"/>
                  <w:tcBorders>
                    <w:bottom w:val="single" w:color="000000" w:sz="4" w:space="0"/>
                  </w:tcBorders>
                  <w:noWrap w:val="0"/>
                  <w:vAlign w:val="center"/>
                </w:tcPr>
                <w:p w14:paraId="0EC37468">
                  <w:pPr>
                    <w:pStyle w:val="86"/>
                    <w:spacing w:line="240" w:lineRule="auto"/>
                    <w:ind w:firstLine="0" w:firstLineChars="0"/>
                    <w:jc w:val="center"/>
                    <w:rPr>
                      <w:rFonts w:ascii="Times New Roman" w:hAnsi="Times New Roman" w:eastAsia="宋体" w:cs="Times New Roman"/>
                      <w:b/>
                      <w:bCs/>
                      <w:color w:val="000000" w:themeColor="text1"/>
                      <w:kern w:val="2"/>
                      <w:szCs w:val="21"/>
                      <w14:textFill>
                        <w14:solidFill>
                          <w14:schemeClr w14:val="tx1"/>
                        </w14:solidFill>
                      </w14:textFill>
                    </w:rPr>
                  </w:pPr>
                </w:p>
              </w:tc>
            </w:tr>
            <w:tr w14:paraId="3D03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76" w:hRule="atLeast"/>
                <w:jc w:val="center"/>
              </w:trPr>
              <w:tc>
                <w:tcPr>
                  <w:tcW w:w="1178" w:type="dxa"/>
                  <w:noWrap w:val="0"/>
                  <w:vAlign w:val="center"/>
                </w:tcPr>
                <w:p w14:paraId="64D069FD">
                  <w:pPr>
                    <w:pStyle w:val="97"/>
                    <w:spacing w:line="240" w:lineRule="auto"/>
                    <w:rPr>
                      <w:rFonts w:hint="eastAsia" w:ascii="Times New Roman" w:hAnsi="Times New Roman" w:eastAsia="宋体" w:cs="Times New Roman"/>
                      <w:b w:val="0"/>
                      <w:color w:val="000000" w:themeColor="text1"/>
                      <w14:textFill>
                        <w14:solidFill>
                          <w14:schemeClr w14:val="tx1"/>
                        </w14:solidFill>
                      </w14:textFill>
                    </w:rPr>
                  </w:pPr>
                  <w:r>
                    <w:rPr>
                      <w:rFonts w:hint="eastAsia" w:ascii="Times New Roman" w:hAnsi="Times New Roman" w:eastAsia="宋体" w:cs="Times New Roman"/>
                      <w:b w:val="0"/>
                      <w:color w:val="000000" w:themeColor="text1"/>
                      <w14:textFill>
                        <w14:solidFill>
                          <w14:schemeClr w14:val="tx1"/>
                        </w14:solidFill>
                      </w14:textFill>
                    </w:rPr>
                    <w:t>DW001</w:t>
                  </w:r>
                </w:p>
              </w:tc>
              <w:tc>
                <w:tcPr>
                  <w:tcW w:w="1033" w:type="dxa"/>
                  <w:noWrap w:val="0"/>
                  <w:vAlign w:val="center"/>
                </w:tcPr>
                <w:p w14:paraId="14EE508C">
                  <w:pPr>
                    <w:pStyle w:val="97"/>
                    <w:spacing w:line="240" w:lineRule="auto"/>
                    <w:rPr>
                      <w:rFonts w:ascii="Times New Roman" w:hAnsi="Times New Roman" w:eastAsia="宋体" w:cs="Times New Roman"/>
                      <w:b w:val="0"/>
                      <w:color w:val="000000" w:themeColor="text1"/>
                      <w14:textFill>
                        <w14:solidFill>
                          <w14:schemeClr w14:val="tx1"/>
                        </w14:solidFill>
                      </w14:textFill>
                    </w:rPr>
                  </w:pPr>
                  <w:r>
                    <w:rPr>
                      <w:rFonts w:hint="eastAsia" w:ascii="Times New Roman" w:hAnsi="Times New Roman" w:eastAsia="宋体" w:cs="Times New Roman"/>
                      <w:b w:val="0"/>
                      <w:color w:val="000000" w:themeColor="text1"/>
                      <w14:textFill>
                        <w14:solidFill>
                          <w14:schemeClr w14:val="tx1"/>
                        </w14:solidFill>
                      </w14:textFill>
                    </w:rPr>
                    <w:t>总排放口</w:t>
                  </w:r>
                </w:p>
              </w:tc>
              <w:tc>
                <w:tcPr>
                  <w:tcW w:w="2083" w:type="dxa"/>
                  <w:noWrap w:val="0"/>
                  <w:vAlign w:val="center"/>
                </w:tcPr>
                <w:p w14:paraId="69E2D782">
                  <w:pPr>
                    <w:pStyle w:val="86"/>
                    <w:spacing w:line="240" w:lineRule="auto"/>
                    <w:ind w:firstLine="0" w:firstLineChars="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pH、</w:t>
                  </w:r>
                  <w:r>
                    <w:rPr>
                      <w:rFonts w:ascii="Times New Roman" w:hAnsi="Times New Roman" w:eastAsia="宋体" w:cs="Times New Roman"/>
                      <w:color w:val="000000" w:themeColor="text1"/>
                      <w:szCs w:val="21"/>
                      <w:lang w:bidi="ar"/>
                      <w14:textFill>
                        <w14:solidFill>
                          <w14:schemeClr w14:val="tx1"/>
                        </w14:solidFill>
                      </w14:textFill>
                    </w:rPr>
                    <w:t>COD</w:t>
                  </w:r>
                  <w:r>
                    <w:rPr>
                      <w:rFonts w:ascii="Times New Roman" w:hAnsi="Times New Roman" w:eastAsia="宋体" w:cs="Times New Roman"/>
                      <w:color w:val="000000" w:themeColor="text1"/>
                      <w:szCs w:val="21"/>
                      <w:vertAlign w:val="subscript"/>
                      <w:lang w:bidi="ar"/>
                      <w14:textFill>
                        <w14:solidFill>
                          <w14:schemeClr w14:val="tx1"/>
                        </w14:solidFill>
                      </w14:textFill>
                    </w:rPr>
                    <w:t>Cr</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szCs w:val="21"/>
                      <w:lang w:bidi="ar"/>
                      <w14:textFill>
                        <w14:solidFill>
                          <w14:schemeClr w14:val="tx1"/>
                        </w14:solidFill>
                      </w14:textFill>
                    </w:rPr>
                    <w:t>BOD₅</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szCs w:val="21"/>
                      <w:lang w:bidi="ar"/>
                      <w14:textFill>
                        <w14:solidFill>
                          <w14:schemeClr w14:val="tx1"/>
                        </w14:solidFill>
                      </w14:textFill>
                    </w:rPr>
                    <w:t>SS</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szCs w:val="21"/>
                      <w:lang w:bidi="ar"/>
                      <w14:textFill>
                        <w14:solidFill>
                          <w14:schemeClr w14:val="tx1"/>
                        </w14:solidFill>
                      </w14:textFill>
                    </w:rPr>
                    <w:t>NH₃</w:t>
                  </w:r>
                  <w:r>
                    <w:rPr>
                      <w:rFonts w:ascii="Times New Roman" w:hAnsi="Times New Roman" w:eastAsia="宋体" w:cs="Times New Roman"/>
                      <w:color w:val="000000" w:themeColor="text1"/>
                      <w:szCs w:val="21"/>
                      <w:lang w:bidi="ar"/>
                      <w14:textFill>
                        <w14:solidFill>
                          <w14:schemeClr w14:val="tx1"/>
                        </w14:solidFill>
                      </w14:textFill>
                    </w:rPr>
                    <w:noBreakHyphen/>
                  </w:r>
                  <w:r>
                    <w:rPr>
                      <w:rFonts w:ascii="Times New Roman" w:hAnsi="Times New Roman" w:eastAsia="宋体" w:cs="Times New Roman"/>
                      <w:color w:val="000000" w:themeColor="text1"/>
                      <w:szCs w:val="21"/>
                      <w:lang w:bidi="ar"/>
                      <w14:textFill>
                        <w14:solidFill>
                          <w14:schemeClr w14:val="tx1"/>
                        </w14:solidFill>
                      </w14:textFill>
                    </w:rPr>
                    <w:t>N</w:t>
                  </w:r>
                  <w:r>
                    <w:rPr>
                      <w:rFonts w:hint="eastAsia" w:ascii="Times New Roman" w:hAnsi="Times New Roman" w:eastAsia="宋体" w:cs="Times New Roman"/>
                      <w:color w:val="000000" w:themeColor="text1"/>
                      <w:szCs w:val="21"/>
                      <w:lang w:bidi="ar"/>
                      <w14:textFill>
                        <w14:solidFill>
                          <w14:schemeClr w14:val="tx1"/>
                        </w14:solidFill>
                      </w14:textFill>
                    </w:rPr>
                    <w:t>、</w:t>
                  </w:r>
                  <w:r>
                    <w:rPr>
                      <w:rFonts w:ascii="Times New Roman" w:hAnsi="Times New Roman" w:eastAsia="宋体" w:cs="Times New Roman"/>
                      <w:color w:val="000000" w:themeColor="text1"/>
                      <w:szCs w:val="21"/>
                      <w:lang w:bidi="ar"/>
                      <w14:textFill>
                        <w14:solidFill>
                          <w14:schemeClr w14:val="tx1"/>
                        </w14:solidFill>
                      </w14:textFill>
                    </w:rPr>
                    <w:t>LAS</w:t>
                  </w:r>
                  <w:r>
                    <w:rPr>
                      <w:rFonts w:hint="eastAsia" w:ascii="Times New Roman" w:hAnsi="Times New Roman" w:eastAsia="宋体" w:cs="Times New Roman"/>
                      <w:color w:val="000000" w:themeColor="text1"/>
                      <w:szCs w:val="21"/>
                      <w:lang w:bidi="ar"/>
                      <w14:textFill>
                        <w14:solidFill>
                          <w14:schemeClr w14:val="tx1"/>
                        </w14:solidFill>
                      </w14:textFill>
                    </w:rPr>
                    <w:t>、</w:t>
                  </w:r>
                  <w:r>
                    <w:rPr>
                      <w:rFonts w:ascii="Times New Roman" w:hAnsi="Times New Roman" w:eastAsia="宋体" w:cs="Times New Roman"/>
                      <w:color w:val="000000" w:themeColor="text1"/>
                      <w:szCs w:val="21"/>
                      <w:lang w:bidi="ar"/>
                      <w14:textFill>
                        <w14:solidFill>
                          <w14:schemeClr w14:val="tx1"/>
                        </w14:solidFill>
                      </w14:textFill>
                    </w:rPr>
                    <w:t>TP</w:t>
                  </w:r>
                </w:p>
              </w:tc>
              <w:tc>
                <w:tcPr>
                  <w:tcW w:w="613" w:type="dxa"/>
                  <w:tcBorders>
                    <w:top w:val="single" w:color="000000" w:sz="4" w:space="0"/>
                  </w:tcBorders>
                  <w:noWrap w:val="0"/>
                  <w:vAlign w:val="center"/>
                </w:tcPr>
                <w:p w14:paraId="3B7C7C35">
                  <w:pPr>
                    <w:pStyle w:val="86"/>
                    <w:spacing w:line="240" w:lineRule="auto"/>
                    <w:ind w:firstLine="0" w:firstLineChars="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c>
                <w:tcPr>
                  <w:tcW w:w="3581" w:type="dxa"/>
                  <w:tcBorders>
                    <w:top w:val="single" w:color="000000" w:sz="4" w:space="0"/>
                  </w:tcBorders>
                  <w:noWrap w:val="0"/>
                  <w:vAlign w:val="center"/>
                </w:tcPr>
                <w:p w14:paraId="4F644E03">
                  <w:pPr>
                    <w:pStyle w:val="86"/>
                    <w:spacing w:line="240" w:lineRule="auto"/>
                    <w:ind w:firstLine="0" w:firstLineChars="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广东省《水污染物排放限值》（DB44/26-2001）第二时段三级标准及霞山水质净化厂进水标准的较严值</w:t>
                  </w:r>
                </w:p>
              </w:tc>
            </w:tr>
          </w:tbl>
          <w:p w14:paraId="793FD276">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3、噪声</w:t>
            </w:r>
          </w:p>
          <w:p w14:paraId="14155C6B">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3.1噪声源强分析</w:t>
            </w:r>
          </w:p>
          <w:p w14:paraId="3E30714A">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项目营运期产生的噪声主要为</w:t>
            </w:r>
            <w:r>
              <w:rPr>
                <w:rFonts w:hint="eastAsia" w:ascii="Times New Roman" w:hAnsi="Times New Roman" w:eastAsia="宋体" w:cs="Times New Roman"/>
                <w:color w:val="000000" w:themeColor="text1"/>
                <w:sz w:val="24"/>
                <w14:textFill>
                  <w14:solidFill>
                    <w14:schemeClr w14:val="tx1"/>
                  </w14:solidFill>
                </w14:textFill>
              </w:rPr>
              <w:t>锅炉</w:t>
            </w:r>
            <w:r>
              <w:rPr>
                <w:rFonts w:ascii="Times New Roman" w:hAnsi="Times New Roman" w:eastAsia="宋体" w:cs="Times New Roman"/>
                <w:color w:val="000000" w:themeColor="text1"/>
                <w:sz w:val="24"/>
                <w14:textFill>
                  <w14:solidFill>
                    <w14:schemeClr w14:val="tx1"/>
                  </w14:solidFill>
                </w14:textFill>
              </w:rPr>
              <w:t>运行噪声，</w:t>
            </w:r>
            <w:r>
              <w:rPr>
                <w:rFonts w:hint="eastAsia" w:ascii="Times New Roman" w:hAnsi="Times New Roman" w:eastAsia="宋体" w:cs="Times New Roman"/>
                <w:color w:val="000000" w:themeColor="text1"/>
                <w:sz w:val="24"/>
                <w:lang w:val="en-US" w:eastAsia="zh-CN"/>
                <w14:textFill>
                  <w14:solidFill>
                    <w14:schemeClr w14:val="tx1"/>
                  </w14:solidFill>
                </w14:textFill>
              </w:rPr>
              <w:t>因备用发电机为</w:t>
            </w:r>
            <w:r>
              <w:rPr>
                <w:rFonts w:ascii="Times New Roman" w:hAnsi="Times New Roman" w:eastAsia="宋体" w:cs="Times New Roman"/>
                <w:color w:val="000000" w:themeColor="text1"/>
                <w:sz w:val="24"/>
                <w14:textFill>
                  <w14:solidFill>
                    <w14:schemeClr w14:val="tx1"/>
                  </w14:solidFill>
                </w14:textFill>
              </w:rPr>
              <w:t>偶发噪声源</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故</w:t>
            </w:r>
            <w:r>
              <w:rPr>
                <w:rFonts w:ascii="Times New Roman" w:hAnsi="Times New Roman" w:eastAsia="宋体" w:cs="Times New Roman"/>
                <w:color w:val="000000" w:themeColor="text1"/>
                <w:sz w:val="24"/>
                <w14:textFill>
                  <w14:solidFill>
                    <w14:schemeClr w14:val="tx1"/>
                  </w14:solidFill>
                </w14:textFill>
              </w:rPr>
              <w:t>备用发电机未纳入噪声源强清单</w:t>
            </w:r>
            <w:r>
              <w:rPr>
                <w:rFonts w:hint="eastAsia" w:ascii="Times New Roman" w:hAnsi="Times New Roman" w:eastAsia="宋体" w:cs="Times New Roman"/>
                <w:color w:val="000000" w:themeColor="text1"/>
                <w:sz w:val="24"/>
                <w:lang w:eastAsia="zh-CN"/>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噪声源强详见下表：</w:t>
            </w:r>
          </w:p>
          <w:p w14:paraId="156386B6">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表4-</w:t>
            </w:r>
            <w:r>
              <w:rPr>
                <w:rFonts w:hint="eastAsia" w:ascii="Times New Roman" w:hAnsi="Times New Roman" w:eastAsia="宋体" w:cs="Times New Roman"/>
                <w:b/>
                <w:color w:val="000000" w:themeColor="text1"/>
                <w:sz w:val="24"/>
                <w14:textFill>
                  <w14:solidFill>
                    <w14:schemeClr w14:val="tx1"/>
                  </w14:solidFill>
                </w14:textFill>
              </w:rPr>
              <w:t>1</w:t>
            </w:r>
            <w:r>
              <w:rPr>
                <w:rFonts w:hint="eastAsia" w:ascii="Times New Roman" w:hAnsi="Times New Roman" w:eastAsia="宋体" w:cs="Times New Roman"/>
                <w:b/>
                <w:color w:val="000000" w:themeColor="text1"/>
                <w:sz w:val="24"/>
                <w:lang w:val="en-US" w:eastAsia="zh-CN"/>
                <w14:textFill>
                  <w14:solidFill>
                    <w14:schemeClr w14:val="tx1"/>
                  </w14:solidFill>
                </w14:textFill>
              </w:rPr>
              <w:t>2</w:t>
            </w:r>
            <w:r>
              <w:rPr>
                <w:rFonts w:hint="eastAsia" w:ascii="Times New Roman" w:hAnsi="Times New Roman" w:eastAsia="宋体" w:cs="Times New Roman"/>
                <w:b/>
                <w:color w:val="000000" w:themeColor="text1"/>
                <w:sz w:val="24"/>
                <w14:textFill>
                  <w14:solidFill>
                    <w14:schemeClr w14:val="tx1"/>
                  </w14:solidFill>
                </w14:textFill>
              </w:rPr>
              <w:t>项目</w:t>
            </w:r>
            <w:r>
              <w:rPr>
                <w:rFonts w:ascii="Times New Roman" w:hAnsi="Times New Roman" w:eastAsia="宋体" w:cs="Times New Roman"/>
                <w:b/>
                <w:color w:val="000000" w:themeColor="text1"/>
                <w:sz w:val="24"/>
                <w14:textFill>
                  <w14:solidFill>
                    <w14:schemeClr w14:val="tx1"/>
                  </w14:solidFill>
                </w14:textFill>
              </w:rPr>
              <w:t>噪声污染源源强核算结果及相关参数一览表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24"/>
              <w:gridCol w:w="424"/>
              <w:gridCol w:w="689"/>
              <w:gridCol w:w="600"/>
              <w:gridCol w:w="560"/>
              <w:gridCol w:w="727"/>
              <w:gridCol w:w="424"/>
              <w:gridCol w:w="838"/>
              <w:gridCol w:w="833"/>
              <w:gridCol w:w="805"/>
              <w:gridCol w:w="354"/>
              <w:gridCol w:w="843"/>
              <w:gridCol w:w="476"/>
            </w:tblGrid>
            <w:tr w14:paraId="79C9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424" w:type="dxa"/>
                  <w:noWrap w:val="0"/>
                  <w:tcMar>
                    <w:top w:w="120" w:type="dxa"/>
                    <w:left w:w="120" w:type="dxa"/>
                    <w:bottom w:w="120" w:type="dxa"/>
                    <w:right w:w="120" w:type="dxa"/>
                  </w:tcMar>
                  <w:vAlign w:val="center"/>
                </w:tcPr>
                <w:p w14:paraId="18CE398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工序/生产线</w:t>
                  </w:r>
                </w:p>
              </w:tc>
              <w:tc>
                <w:tcPr>
                  <w:tcW w:w="424" w:type="dxa"/>
                  <w:noWrap w:val="0"/>
                  <w:tcMar>
                    <w:top w:w="120" w:type="dxa"/>
                    <w:left w:w="120" w:type="dxa"/>
                    <w:bottom w:w="120" w:type="dxa"/>
                    <w:right w:w="120" w:type="dxa"/>
                  </w:tcMar>
                  <w:vAlign w:val="center"/>
                </w:tcPr>
                <w:p w14:paraId="7C782DF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位置</w:t>
                  </w:r>
                </w:p>
              </w:tc>
              <w:tc>
                <w:tcPr>
                  <w:tcW w:w="689" w:type="dxa"/>
                  <w:noWrap w:val="0"/>
                  <w:tcMar>
                    <w:top w:w="120" w:type="dxa"/>
                    <w:left w:w="120" w:type="dxa"/>
                    <w:bottom w:w="120" w:type="dxa"/>
                    <w:right w:w="120" w:type="dxa"/>
                  </w:tcMar>
                  <w:vAlign w:val="center"/>
                </w:tcPr>
                <w:p w14:paraId="0B6B31E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噪声源</w:t>
                  </w:r>
                </w:p>
              </w:tc>
              <w:tc>
                <w:tcPr>
                  <w:tcW w:w="600" w:type="dxa"/>
                  <w:noWrap w:val="0"/>
                  <w:tcMar>
                    <w:top w:w="120" w:type="dxa"/>
                    <w:left w:w="120" w:type="dxa"/>
                    <w:bottom w:w="120" w:type="dxa"/>
                    <w:right w:w="120" w:type="dxa"/>
                  </w:tcMar>
                  <w:vAlign w:val="center"/>
                </w:tcPr>
                <w:p w14:paraId="474945B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数量（台）</w:t>
                  </w:r>
                </w:p>
              </w:tc>
              <w:tc>
                <w:tcPr>
                  <w:tcW w:w="560" w:type="dxa"/>
                  <w:noWrap w:val="0"/>
                  <w:tcMar>
                    <w:top w:w="120" w:type="dxa"/>
                    <w:left w:w="120" w:type="dxa"/>
                    <w:bottom w:w="120" w:type="dxa"/>
                    <w:right w:w="120" w:type="dxa"/>
                  </w:tcMar>
                  <w:vAlign w:val="center"/>
                </w:tcPr>
                <w:p w14:paraId="7AF6B3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声源类型</w:t>
                  </w:r>
                </w:p>
              </w:tc>
              <w:tc>
                <w:tcPr>
                  <w:tcW w:w="727" w:type="dxa"/>
                  <w:noWrap w:val="0"/>
                  <w:tcMar>
                    <w:top w:w="120" w:type="dxa"/>
                    <w:left w:w="120" w:type="dxa"/>
                    <w:bottom w:w="120" w:type="dxa"/>
                    <w:right w:w="120" w:type="dxa"/>
                  </w:tcMar>
                  <w:vAlign w:val="center"/>
                </w:tcPr>
                <w:p w14:paraId="4F2FB42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单台源强[dB(A)]</w:t>
                  </w:r>
                </w:p>
              </w:tc>
              <w:tc>
                <w:tcPr>
                  <w:tcW w:w="424" w:type="dxa"/>
                  <w:noWrap w:val="0"/>
                  <w:tcMar>
                    <w:top w:w="120" w:type="dxa"/>
                    <w:left w:w="120" w:type="dxa"/>
                    <w:bottom w:w="120" w:type="dxa"/>
                    <w:right w:w="120" w:type="dxa"/>
                  </w:tcMar>
                  <w:vAlign w:val="center"/>
                </w:tcPr>
                <w:p w14:paraId="05F40B3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核算方法</w:t>
                  </w:r>
                </w:p>
              </w:tc>
              <w:tc>
                <w:tcPr>
                  <w:tcW w:w="838" w:type="dxa"/>
                  <w:noWrap w:val="0"/>
                  <w:tcMar>
                    <w:top w:w="120" w:type="dxa"/>
                    <w:left w:w="120" w:type="dxa"/>
                    <w:bottom w:w="120" w:type="dxa"/>
                    <w:right w:w="120" w:type="dxa"/>
                  </w:tcMar>
                  <w:vAlign w:val="center"/>
                </w:tcPr>
                <w:p w14:paraId="2773D7B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噪声值[dB(A)]（叠加后）</w:t>
                  </w:r>
                </w:p>
              </w:tc>
              <w:tc>
                <w:tcPr>
                  <w:tcW w:w="833" w:type="dxa"/>
                  <w:noWrap w:val="0"/>
                  <w:tcMar>
                    <w:top w:w="120" w:type="dxa"/>
                    <w:left w:w="120" w:type="dxa"/>
                    <w:bottom w:w="120" w:type="dxa"/>
                    <w:right w:w="120" w:type="dxa"/>
                  </w:tcMar>
                  <w:vAlign w:val="center"/>
                </w:tcPr>
                <w:p w14:paraId="4428D4E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降噪措施</w:t>
                  </w:r>
                </w:p>
              </w:tc>
              <w:tc>
                <w:tcPr>
                  <w:tcW w:w="805" w:type="dxa"/>
                  <w:noWrap w:val="0"/>
                  <w:tcMar>
                    <w:top w:w="120" w:type="dxa"/>
                    <w:left w:w="120" w:type="dxa"/>
                    <w:bottom w:w="120" w:type="dxa"/>
                    <w:right w:w="120" w:type="dxa"/>
                  </w:tcMar>
                  <w:vAlign w:val="center"/>
                </w:tcPr>
                <w:p w14:paraId="3CD7813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降噪效果[dB(A)]</w:t>
                  </w:r>
                </w:p>
              </w:tc>
              <w:tc>
                <w:tcPr>
                  <w:tcW w:w="354" w:type="dxa"/>
                  <w:noWrap w:val="0"/>
                  <w:tcMar>
                    <w:top w:w="120" w:type="dxa"/>
                    <w:left w:w="120" w:type="dxa"/>
                    <w:bottom w:w="120" w:type="dxa"/>
                    <w:right w:w="120" w:type="dxa"/>
                  </w:tcMar>
                  <w:vAlign w:val="center"/>
                </w:tcPr>
                <w:p w14:paraId="1237D98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核算方法</w:t>
                  </w:r>
                </w:p>
              </w:tc>
              <w:tc>
                <w:tcPr>
                  <w:tcW w:w="843" w:type="dxa"/>
                  <w:noWrap w:val="0"/>
                  <w:tcMar>
                    <w:top w:w="120" w:type="dxa"/>
                    <w:left w:w="120" w:type="dxa"/>
                    <w:bottom w:w="120" w:type="dxa"/>
                    <w:right w:w="120" w:type="dxa"/>
                  </w:tcMar>
                  <w:vAlign w:val="center"/>
                </w:tcPr>
                <w:p w14:paraId="7131D33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噪声排放值[dB(A)]</w:t>
                  </w:r>
                </w:p>
              </w:tc>
              <w:tc>
                <w:tcPr>
                  <w:tcW w:w="476" w:type="dxa"/>
                  <w:noWrap w:val="0"/>
                  <w:tcMar>
                    <w:top w:w="120" w:type="dxa"/>
                    <w:left w:w="120" w:type="dxa"/>
                    <w:bottom w:w="120" w:type="dxa"/>
                    <w:right w:w="120" w:type="dxa"/>
                  </w:tcMar>
                  <w:vAlign w:val="center"/>
                </w:tcPr>
                <w:p w14:paraId="163B7D4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持续时间/h</w:t>
                  </w:r>
                </w:p>
              </w:tc>
            </w:tr>
            <w:tr w14:paraId="6854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4" w:type="dxa"/>
                  <w:noWrap w:val="0"/>
                  <w:tcMar>
                    <w:top w:w="120" w:type="dxa"/>
                    <w:left w:w="120" w:type="dxa"/>
                    <w:bottom w:w="120" w:type="dxa"/>
                    <w:right w:w="120" w:type="dxa"/>
                  </w:tcMar>
                  <w:vAlign w:val="center"/>
                </w:tcPr>
                <w:p w14:paraId="0EE804F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锅炉燃烧</w:t>
                  </w:r>
                </w:p>
              </w:tc>
              <w:tc>
                <w:tcPr>
                  <w:tcW w:w="424" w:type="dxa"/>
                  <w:noWrap w:val="0"/>
                  <w:tcMar>
                    <w:top w:w="120" w:type="dxa"/>
                    <w:left w:w="120" w:type="dxa"/>
                    <w:bottom w:w="120" w:type="dxa"/>
                    <w:right w:w="120" w:type="dxa"/>
                  </w:tcMar>
                  <w:vAlign w:val="center"/>
                </w:tcPr>
                <w:p w14:paraId="3C9CE9B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生产车间</w:t>
                  </w:r>
                </w:p>
              </w:tc>
              <w:tc>
                <w:tcPr>
                  <w:tcW w:w="689" w:type="dxa"/>
                  <w:noWrap w:val="0"/>
                  <w:tcMar>
                    <w:top w:w="120" w:type="dxa"/>
                    <w:left w:w="120" w:type="dxa"/>
                    <w:bottom w:w="120" w:type="dxa"/>
                    <w:right w:w="120" w:type="dxa"/>
                  </w:tcMar>
                  <w:vAlign w:val="center"/>
                </w:tcPr>
                <w:p w14:paraId="5D5C1B1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4t/h生物质锅炉</w:t>
                  </w:r>
                </w:p>
              </w:tc>
              <w:tc>
                <w:tcPr>
                  <w:tcW w:w="600" w:type="dxa"/>
                  <w:noWrap w:val="0"/>
                  <w:tcMar>
                    <w:top w:w="120" w:type="dxa"/>
                    <w:left w:w="120" w:type="dxa"/>
                    <w:bottom w:w="120" w:type="dxa"/>
                    <w:right w:w="120" w:type="dxa"/>
                  </w:tcMar>
                  <w:vAlign w:val="center"/>
                </w:tcPr>
                <w:p w14:paraId="4062C80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560" w:type="dxa"/>
                  <w:noWrap w:val="0"/>
                  <w:tcMar>
                    <w:top w:w="120" w:type="dxa"/>
                    <w:left w:w="120" w:type="dxa"/>
                    <w:bottom w:w="120" w:type="dxa"/>
                    <w:right w:w="120" w:type="dxa"/>
                  </w:tcMar>
                  <w:vAlign w:val="center"/>
                </w:tcPr>
                <w:p w14:paraId="142A686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242EF1D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85</w:t>
                  </w:r>
                </w:p>
              </w:tc>
              <w:tc>
                <w:tcPr>
                  <w:tcW w:w="424" w:type="dxa"/>
                  <w:noWrap w:val="0"/>
                  <w:tcMar>
                    <w:top w:w="120" w:type="dxa"/>
                    <w:left w:w="120" w:type="dxa"/>
                    <w:bottom w:w="120" w:type="dxa"/>
                    <w:right w:w="120" w:type="dxa"/>
                  </w:tcMar>
                  <w:vAlign w:val="center"/>
                </w:tcPr>
                <w:p w14:paraId="371D38D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1CA700B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85</w:t>
                  </w:r>
                </w:p>
              </w:tc>
              <w:tc>
                <w:tcPr>
                  <w:tcW w:w="833" w:type="dxa"/>
                  <w:noWrap w:val="0"/>
                  <w:tcMar>
                    <w:top w:w="120" w:type="dxa"/>
                    <w:left w:w="120" w:type="dxa"/>
                    <w:bottom w:w="120" w:type="dxa"/>
                    <w:right w:w="120" w:type="dxa"/>
                  </w:tcMar>
                  <w:vAlign w:val="center"/>
                </w:tcPr>
                <w:p w14:paraId="5F66E58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合理布置、减振、墙体隔声</w:t>
                  </w:r>
                </w:p>
              </w:tc>
              <w:tc>
                <w:tcPr>
                  <w:tcW w:w="805" w:type="dxa"/>
                  <w:noWrap w:val="0"/>
                  <w:tcMar>
                    <w:top w:w="120" w:type="dxa"/>
                    <w:left w:w="120" w:type="dxa"/>
                    <w:bottom w:w="120" w:type="dxa"/>
                    <w:right w:w="120" w:type="dxa"/>
                  </w:tcMar>
                  <w:vAlign w:val="center"/>
                </w:tcPr>
                <w:p w14:paraId="4A8BC5F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1FC3C87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6FB534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55</w:t>
                  </w:r>
                </w:p>
              </w:tc>
              <w:tc>
                <w:tcPr>
                  <w:tcW w:w="476" w:type="dxa"/>
                  <w:noWrap w:val="0"/>
                  <w:tcMar>
                    <w:top w:w="120" w:type="dxa"/>
                    <w:left w:w="120" w:type="dxa"/>
                    <w:bottom w:w="120" w:type="dxa"/>
                    <w:right w:w="120" w:type="dxa"/>
                  </w:tcMar>
                  <w:vAlign w:val="center"/>
                </w:tcPr>
                <w:p w14:paraId="42CAF84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r w14:paraId="4EB34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928" w:hRule="atLeast"/>
                <w:jc w:val="center"/>
              </w:trPr>
              <w:tc>
                <w:tcPr>
                  <w:tcW w:w="424" w:type="dxa"/>
                  <w:noWrap w:val="0"/>
                  <w:tcMar>
                    <w:top w:w="120" w:type="dxa"/>
                    <w:left w:w="120" w:type="dxa"/>
                    <w:bottom w:w="120" w:type="dxa"/>
                    <w:right w:w="120" w:type="dxa"/>
                  </w:tcMar>
                  <w:vAlign w:val="center"/>
                </w:tcPr>
                <w:p w14:paraId="0BFB1D9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软水制备</w:t>
                  </w:r>
                </w:p>
              </w:tc>
              <w:tc>
                <w:tcPr>
                  <w:tcW w:w="424" w:type="dxa"/>
                  <w:noWrap w:val="0"/>
                  <w:tcMar>
                    <w:top w:w="120" w:type="dxa"/>
                    <w:left w:w="120" w:type="dxa"/>
                    <w:bottom w:w="120" w:type="dxa"/>
                    <w:right w:w="120" w:type="dxa"/>
                  </w:tcMar>
                  <w:vAlign w:val="center"/>
                </w:tcPr>
                <w:p w14:paraId="633B2D4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生产车间</w:t>
                  </w:r>
                </w:p>
              </w:tc>
              <w:tc>
                <w:tcPr>
                  <w:tcW w:w="689" w:type="dxa"/>
                  <w:noWrap w:val="0"/>
                  <w:tcMar>
                    <w:top w:w="120" w:type="dxa"/>
                    <w:left w:w="120" w:type="dxa"/>
                    <w:bottom w:w="120" w:type="dxa"/>
                    <w:right w:w="120" w:type="dxa"/>
                  </w:tcMar>
                  <w:vAlign w:val="center"/>
                </w:tcPr>
                <w:p w14:paraId="37C2CF3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软水制备系统</w:t>
                  </w:r>
                </w:p>
              </w:tc>
              <w:tc>
                <w:tcPr>
                  <w:tcW w:w="600" w:type="dxa"/>
                  <w:noWrap w:val="0"/>
                  <w:tcMar>
                    <w:top w:w="120" w:type="dxa"/>
                    <w:left w:w="120" w:type="dxa"/>
                    <w:bottom w:w="120" w:type="dxa"/>
                    <w:right w:w="120" w:type="dxa"/>
                  </w:tcMar>
                  <w:vAlign w:val="center"/>
                </w:tcPr>
                <w:p w14:paraId="6383CBA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560" w:type="dxa"/>
                  <w:noWrap w:val="0"/>
                  <w:tcMar>
                    <w:top w:w="120" w:type="dxa"/>
                    <w:left w:w="120" w:type="dxa"/>
                    <w:bottom w:w="120" w:type="dxa"/>
                    <w:right w:w="120" w:type="dxa"/>
                  </w:tcMar>
                  <w:vAlign w:val="center"/>
                </w:tcPr>
                <w:p w14:paraId="2405EDB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240FBCA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80</w:t>
                  </w:r>
                </w:p>
              </w:tc>
              <w:tc>
                <w:tcPr>
                  <w:tcW w:w="424" w:type="dxa"/>
                  <w:noWrap w:val="0"/>
                  <w:tcMar>
                    <w:top w:w="120" w:type="dxa"/>
                    <w:left w:w="120" w:type="dxa"/>
                    <w:bottom w:w="120" w:type="dxa"/>
                    <w:right w:w="120" w:type="dxa"/>
                  </w:tcMar>
                  <w:vAlign w:val="center"/>
                </w:tcPr>
                <w:p w14:paraId="3A41207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4FD010E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80</w:t>
                  </w:r>
                </w:p>
              </w:tc>
              <w:tc>
                <w:tcPr>
                  <w:tcW w:w="833" w:type="dxa"/>
                  <w:noWrap w:val="0"/>
                  <w:tcMar>
                    <w:top w:w="120" w:type="dxa"/>
                    <w:left w:w="120" w:type="dxa"/>
                    <w:bottom w:w="120" w:type="dxa"/>
                    <w:right w:w="120" w:type="dxa"/>
                  </w:tcMar>
                  <w:vAlign w:val="center"/>
                </w:tcPr>
                <w:p w14:paraId="017AD95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合理布置、减振、墙体隔声</w:t>
                  </w:r>
                </w:p>
              </w:tc>
              <w:tc>
                <w:tcPr>
                  <w:tcW w:w="805" w:type="dxa"/>
                  <w:noWrap w:val="0"/>
                  <w:tcMar>
                    <w:top w:w="120" w:type="dxa"/>
                    <w:left w:w="120" w:type="dxa"/>
                    <w:bottom w:w="120" w:type="dxa"/>
                    <w:right w:w="120" w:type="dxa"/>
                  </w:tcMar>
                  <w:vAlign w:val="center"/>
                </w:tcPr>
                <w:p w14:paraId="74F6BBB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23DE9F9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772E59D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50</w:t>
                  </w:r>
                </w:p>
              </w:tc>
              <w:tc>
                <w:tcPr>
                  <w:tcW w:w="476" w:type="dxa"/>
                  <w:noWrap w:val="0"/>
                  <w:tcMar>
                    <w:top w:w="120" w:type="dxa"/>
                    <w:left w:w="120" w:type="dxa"/>
                    <w:bottom w:w="120" w:type="dxa"/>
                    <w:right w:w="120" w:type="dxa"/>
                  </w:tcMar>
                  <w:vAlign w:val="center"/>
                </w:tcPr>
                <w:p w14:paraId="7098146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r w14:paraId="5956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4" w:type="dxa"/>
                  <w:noWrap w:val="0"/>
                  <w:tcMar>
                    <w:top w:w="120" w:type="dxa"/>
                    <w:left w:w="120" w:type="dxa"/>
                    <w:bottom w:w="120" w:type="dxa"/>
                    <w:right w:w="120" w:type="dxa"/>
                  </w:tcMar>
                  <w:vAlign w:val="center"/>
                </w:tcPr>
                <w:p w14:paraId="449EA00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烫平工序</w:t>
                  </w:r>
                </w:p>
              </w:tc>
              <w:tc>
                <w:tcPr>
                  <w:tcW w:w="424" w:type="dxa"/>
                  <w:noWrap w:val="0"/>
                  <w:tcMar>
                    <w:top w:w="120" w:type="dxa"/>
                    <w:left w:w="120" w:type="dxa"/>
                    <w:bottom w:w="120" w:type="dxa"/>
                    <w:right w:w="120" w:type="dxa"/>
                  </w:tcMar>
                  <w:vAlign w:val="center"/>
                </w:tcPr>
                <w:p w14:paraId="7ABC604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生产车间</w:t>
                  </w:r>
                </w:p>
              </w:tc>
              <w:tc>
                <w:tcPr>
                  <w:tcW w:w="689" w:type="dxa"/>
                  <w:noWrap w:val="0"/>
                  <w:tcMar>
                    <w:top w:w="120" w:type="dxa"/>
                    <w:left w:w="120" w:type="dxa"/>
                    <w:bottom w:w="120" w:type="dxa"/>
                    <w:right w:w="120" w:type="dxa"/>
                  </w:tcMar>
                  <w:vAlign w:val="center"/>
                </w:tcPr>
                <w:p w14:paraId="23B013E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螺杆空压机</w:t>
                  </w:r>
                </w:p>
              </w:tc>
              <w:tc>
                <w:tcPr>
                  <w:tcW w:w="600" w:type="dxa"/>
                  <w:noWrap w:val="0"/>
                  <w:tcMar>
                    <w:top w:w="120" w:type="dxa"/>
                    <w:left w:w="120" w:type="dxa"/>
                    <w:bottom w:w="120" w:type="dxa"/>
                    <w:right w:w="120" w:type="dxa"/>
                  </w:tcMar>
                  <w:vAlign w:val="center"/>
                </w:tcPr>
                <w:p w14:paraId="5938D60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w:t>
                  </w:r>
                </w:p>
              </w:tc>
              <w:tc>
                <w:tcPr>
                  <w:tcW w:w="560" w:type="dxa"/>
                  <w:noWrap w:val="0"/>
                  <w:tcMar>
                    <w:top w:w="120" w:type="dxa"/>
                    <w:left w:w="120" w:type="dxa"/>
                    <w:bottom w:w="120" w:type="dxa"/>
                    <w:right w:w="120" w:type="dxa"/>
                  </w:tcMar>
                  <w:vAlign w:val="center"/>
                </w:tcPr>
                <w:p w14:paraId="2E11266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597F47F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75</w:t>
                  </w:r>
                </w:p>
              </w:tc>
              <w:tc>
                <w:tcPr>
                  <w:tcW w:w="424" w:type="dxa"/>
                  <w:noWrap w:val="0"/>
                  <w:tcMar>
                    <w:top w:w="120" w:type="dxa"/>
                    <w:left w:w="120" w:type="dxa"/>
                    <w:bottom w:w="120" w:type="dxa"/>
                    <w:right w:w="120" w:type="dxa"/>
                  </w:tcMar>
                  <w:vAlign w:val="center"/>
                </w:tcPr>
                <w:p w14:paraId="0EE0D76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2A7D9E7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81</w:t>
                  </w:r>
                </w:p>
              </w:tc>
              <w:tc>
                <w:tcPr>
                  <w:tcW w:w="833" w:type="dxa"/>
                  <w:noWrap w:val="0"/>
                  <w:tcMar>
                    <w:top w:w="120" w:type="dxa"/>
                    <w:left w:w="120" w:type="dxa"/>
                    <w:bottom w:w="120" w:type="dxa"/>
                    <w:right w:w="120" w:type="dxa"/>
                  </w:tcMar>
                  <w:vAlign w:val="center"/>
                </w:tcPr>
                <w:p w14:paraId="5553862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合理布置、减振、墙体隔声</w:t>
                  </w:r>
                </w:p>
              </w:tc>
              <w:tc>
                <w:tcPr>
                  <w:tcW w:w="805" w:type="dxa"/>
                  <w:noWrap w:val="0"/>
                  <w:tcMar>
                    <w:top w:w="120" w:type="dxa"/>
                    <w:left w:w="120" w:type="dxa"/>
                    <w:bottom w:w="120" w:type="dxa"/>
                    <w:right w:w="120" w:type="dxa"/>
                  </w:tcMar>
                  <w:vAlign w:val="center"/>
                </w:tcPr>
                <w:p w14:paraId="00874E3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4843FE4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2E7B837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51</w:t>
                  </w:r>
                </w:p>
              </w:tc>
              <w:tc>
                <w:tcPr>
                  <w:tcW w:w="476" w:type="dxa"/>
                  <w:noWrap w:val="0"/>
                  <w:tcMar>
                    <w:top w:w="120" w:type="dxa"/>
                    <w:left w:w="120" w:type="dxa"/>
                    <w:bottom w:w="120" w:type="dxa"/>
                    <w:right w:w="120" w:type="dxa"/>
                  </w:tcMar>
                  <w:vAlign w:val="center"/>
                </w:tcPr>
                <w:p w14:paraId="46D8A13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r w14:paraId="5D3B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4" w:type="dxa"/>
                  <w:noWrap w:val="0"/>
                  <w:tcMar>
                    <w:top w:w="120" w:type="dxa"/>
                    <w:left w:w="120" w:type="dxa"/>
                    <w:bottom w:w="120" w:type="dxa"/>
                    <w:right w:w="120" w:type="dxa"/>
                  </w:tcMar>
                  <w:vAlign w:val="center"/>
                </w:tcPr>
                <w:p w14:paraId="5B0FA49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烫平工序</w:t>
                  </w:r>
                </w:p>
              </w:tc>
              <w:tc>
                <w:tcPr>
                  <w:tcW w:w="424" w:type="dxa"/>
                  <w:noWrap w:val="0"/>
                  <w:tcMar>
                    <w:top w:w="120" w:type="dxa"/>
                    <w:left w:w="120" w:type="dxa"/>
                    <w:bottom w:w="120" w:type="dxa"/>
                    <w:right w:w="120" w:type="dxa"/>
                  </w:tcMar>
                  <w:vAlign w:val="center"/>
                </w:tcPr>
                <w:p w14:paraId="066915A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生产车间</w:t>
                  </w:r>
                </w:p>
              </w:tc>
              <w:tc>
                <w:tcPr>
                  <w:tcW w:w="689" w:type="dxa"/>
                  <w:noWrap w:val="0"/>
                  <w:tcMar>
                    <w:top w:w="120" w:type="dxa"/>
                    <w:left w:w="120" w:type="dxa"/>
                    <w:bottom w:w="120" w:type="dxa"/>
                    <w:right w:w="120" w:type="dxa"/>
                  </w:tcMar>
                  <w:vAlign w:val="center"/>
                </w:tcPr>
                <w:p w14:paraId="5599040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大型烫机</w:t>
                  </w:r>
                </w:p>
              </w:tc>
              <w:tc>
                <w:tcPr>
                  <w:tcW w:w="600" w:type="dxa"/>
                  <w:noWrap w:val="0"/>
                  <w:tcMar>
                    <w:top w:w="120" w:type="dxa"/>
                    <w:left w:w="120" w:type="dxa"/>
                    <w:bottom w:w="120" w:type="dxa"/>
                    <w:right w:w="120" w:type="dxa"/>
                  </w:tcMar>
                  <w:vAlign w:val="center"/>
                </w:tcPr>
                <w:p w14:paraId="0E52BD9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c>
                <w:tcPr>
                  <w:tcW w:w="560" w:type="dxa"/>
                  <w:noWrap w:val="0"/>
                  <w:tcMar>
                    <w:top w:w="120" w:type="dxa"/>
                    <w:left w:w="120" w:type="dxa"/>
                    <w:bottom w:w="120" w:type="dxa"/>
                    <w:right w:w="120" w:type="dxa"/>
                  </w:tcMar>
                  <w:vAlign w:val="center"/>
                </w:tcPr>
                <w:p w14:paraId="7D07805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42A57DC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75</w:t>
                  </w:r>
                </w:p>
              </w:tc>
              <w:tc>
                <w:tcPr>
                  <w:tcW w:w="424" w:type="dxa"/>
                  <w:noWrap w:val="0"/>
                  <w:tcMar>
                    <w:top w:w="120" w:type="dxa"/>
                    <w:left w:w="120" w:type="dxa"/>
                    <w:bottom w:w="120" w:type="dxa"/>
                    <w:right w:w="120" w:type="dxa"/>
                  </w:tcMar>
                  <w:vAlign w:val="center"/>
                </w:tcPr>
                <w:p w14:paraId="1BAD2F8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0F8FBA8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78</w:t>
                  </w:r>
                </w:p>
              </w:tc>
              <w:tc>
                <w:tcPr>
                  <w:tcW w:w="833" w:type="dxa"/>
                  <w:noWrap w:val="0"/>
                  <w:tcMar>
                    <w:top w:w="120" w:type="dxa"/>
                    <w:left w:w="120" w:type="dxa"/>
                    <w:bottom w:w="120" w:type="dxa"/>
                    <w:right w:w="120" w:type="dxa"/>
                  </w:tcMar>
                  <w:vAlign w:val="center"/>
                </w:tcPr>
                <w:p w14:paraId="60BEB79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合理布置、减振、墙体隔声</w:t>
                  </w:r>
                </w:p>
              </w:tc>
              <w:tc>
                <w:tcPr>
                  <w:tcW w:w="805" w:type="dxa"/>
                  <w:noWrap w:val="0"/>
                  <w:tcMar>
                    <w:top w:w="120" w:type="dxa"/>
                    <w:left w:w="120" w:type="dxa"/>
                    <w:bottom w:w="120" w:type="dxa"/>
                    <w:right w:w="120" w:type="dxa"/>
                  </w:tcMar>
                  <w:vAlign w:val="center"/>
                </w:tcPr>
                <w:p w14:paraId="494319A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1B39232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3FFAA99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48</w:t>
                  </w:r>
                </w:p>
              </w:tc>
              <w:tc>
                <w:tcPr>
                  <w:tcW w:w="476" w:type="dxa"/>
                  <w:noWrap w:val="0"/>
                  <w:tcMar>
                    <w:top w:w="120" w:type="dxa"/>
                    <w:left w:w="120" w:type="dxa"/>
                    <w:bottom w:w="120" w:type="dxa"/>
                    <w:right w:w="120" w:type="dxa"/>
                  </w:tcMar>
                  <w:vAlign w:val="center"/>
                </w:tcPr>
                <w:p w14:paraId="70B197D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r w14:paraId="3EA4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4" w:type="dxa"/>
                  <w:noWrap w:val="0"/>
                  <w:tcMar>
                    <w:top w:w="120" w:type="dxa"/>
                    <w:left w:w="120" w:type="dxa"/>
                    <w:bottom w:w="120" w:type="dxa"/>
                    <w:right w:w="120" w:type="dxa"/>
                  </w:tcMar>
                  <w:vAlign w:val="center"/>
                </w:tcPr>
                <w:p w14:paraId="38F2C3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烘干工序</w:t>
                  </w:r>
                </w:p>
              </w:tc>
              <w:tc>
                <w:tcPr>
                  <w:tcW w:w="424" w:type="dxa"/>
                  <w:noWrap w:val="0"/>
                  <w:tcMar>
                    <w:top w:w="120" w:type="dxa"/>
                    <w:left w:w="120" w:type="dxa"/>
                    <w:bottom w:w="120" w:type="dxa"/>
                    <w:right w:w="120" w:type="dxa"/>
                  </w:tcMar>
                  <w:vAlign w:val="center"/>
                </w:tcPr>
                <w:p w14:paraId="070E213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生产车间</w:t>
                  </w:r>
                </w:p>
              </w:tc>
              <w:tc>
                <w:tcPr>
                  <w:tcW w:w="689" w:type="dxa"/>
                  <w:noWrap w:val="0"/>
                  <w:tcMar>
                    <w:top w:w="120" w:type="dxa"/>
                    <w:left w:w="120" w:type="dxa"/>
                    <w:bottom w:w="120" w:type="dxa"/>
                    <w:right w:w="120" w:type="dxa"/>
                  </w:tcMar>
                  <w:vAlign w:val="center"/>
                </w:tcPr>
                <w:p w14:paraId="10C2666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烘干机</w:t>
                  </w:r>
                </w:p>
              </w:tc>
              <w:tc>
                <w:tcPr>
                  <w:tcW w:w="600" w:type="dxa"/>
                  <w:noWrap w:val="0"/>
                  <w:tcMar>
                    <w:top w:w="120" w:type="dxa"/>
                    <w:left w:w="120" w:type="dxa"/>
                    <w:bottom w:w="120" w:type="dxa"/>
                    <w:right w:w="120" w:type="dxa"/>
                  </w:tcMar>
                  <w:vAlign w:val="center"/>
                </w:tcPr>
                <w:p w14:paraId="345DC2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c>
                <w:tcPr>
                  <w:tcW w:w="560" w:type="dxa"/>
                  <w:noWrap w:val="0"/>
                  <w:tcMar>
                    <w:top w:w="120" w:type="dxa"/>
                    <w:left w:w="120" w:type="dxa"/>
                    <w:bottom w:w="120" w:type="dxa"/>
                    <w:right w:w="120" w:type="dxa"/>
                  </w:tcMar>
                  <w:vAlign w:val="center"/>
                </w:tcPr>
                <w:p w14:paraId="47BE149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5CFAA72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77</w:t>
                  </w:r>
                </w:p>
              </w:tc>
              <w:tc>
                <w:tcPr>
                  <w:tcW w:w="424" w:type="dxa"/>
                  <w:noWrap w:val="0"/>
                  <w:tcMar>
                    <w:top w:w="120" w:type="dxa"/>
                    <w:left w:w="120" w:type="dxa"/>
                    <w:bottom w:w="120" w:type="dxa"/>
                    <w:right w:w="120" w:type="dxa"/>
                  </w:tcMar>
                  <w:vAlign w:val="center"/>
                </w:tcPr>
                <w:p w14:paraId="53D20DF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1F01418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87</w:t>
                  </w:r>
                </w:p>
              </w:tc>
              <w:tc>
                <w:tcPr>
                  <w:tcW w:w="833" w:type="dxa"/>
                  <w:noWrap w:val="0"/>
                  <w:tcMar>
                    <w:top w:w="120" w:type="dxa"/>
                    <w:left w:w="120" w:type="dxa"/>
                    <w:bottom w:w="120" w:type="dxa"/>
                    <w:right w:w="120" w:type="dxa"/>
                  </w:tcMar>
                  <w:vAlign w:val="center"/>
                </w:tcPr>
                <w:p w14:paraId="793C10D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合理布置、减振、墙体隔声</w:t>
                  </w:r>
                </w:p>
              </w:tc>
              <w:tc>
                <w:tcPr>
                  <w:tcW w:w="805" w:type="dxa"/>
                  <w:noWrap w:val="0"/>
                  <w:tcMar>
                    <w:top w:w="120" w:type="dxa"/>
                    <w:left w:w="120" w:type="dxa"/>
                    <w:bottom w:w="120" w:type="dxa"/>
                    <w:right w:w="120" w:type="dxa"/>
                  </w:tcMar>
                  <w:vAlign w:val="center"/>
                </w:tcPr>
                <w:p w14:paraId="1092BE5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44CBB2F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5140A8E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57</w:t>
                  </w:r>
                </w:p>
              </w:tc>
              <w:tc>
                <w:tcPr>
                  <w:tcW w:w="476" w:type="dxa"/>
                  <w:noWrap w:val="0"/>
                  <w:tcMar>
                    <w:top w:w="120" w:type="dxa"/>
                    <w:left w:w="120" w:type="dxa"/>
                    <w:bottom w:w="120" w:type="dxa"/>
                    <w:right w:w="120" w:type="dxa"/>
                  </w:tcMar>
                  <w:vAlign w:val="center"/>
                </w:tcPr>
                <w:p w14:paraId="22360CF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r w14:paraId="2932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4" w:type="dxa"/>
                  <w:noWrap w:val="0"/>
                  <w:tcMar>
                    <w:top w:w="120" w:type="dxa"/>
                    <w:left w:w="120" w:type="dxa"/>
                    <w:bottom w:w="120" w:type="dxa"/>
                    <w:right w:w="120" w:type="dxa"/>
                  </w:tcMar>
                  <w:vAlign w:val="center"/>
                </w:tcPr>
                <w:p w14:paraId="5A4CA5B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洗衣工序</w:t>
                  </w:r>
                </w:p>
              </w:tc>
              <w:tc>
                <w:tcPr>
                  <w:tcW w:w="424" w:type="dxa"/>
                  <w:noWrap w:val="0"/>
                  <w:tcMar>
                    <w:top w:w="120" w:type="dxa"/>
                    <w:left w:w="120" w:type="dxa"/>
                    <w:bottom w:w="120" w:type="dxa"/>
                    <w:right w:w="120" w:type="dxa"/>
                  </w:tcMar>
                  <w:vAlign w:val="center"/>
                </w:tcPr>
                <w:p w14:paraId="0A887D4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生产车间</w:t>
                  </w:r>
                </w:p>
              </w:tc>
              <w:tc>
                <w:tcPr>
                  <w:tcW w:w="689" w:type="dxa"/>
                  <w:noWrap w:val="0"/>
                  <w:tcMar>
                    <w:top w:w="120" w:type="dxa"/>
                    <w:left w:w="120" w:type="dxa"/>
                    <w:bottom w:w="120" w:type="dxa"/>
                    <w:right w:w="120" w:type="dxa"/>
                  </w:tcMar>
                  <w:vAlign w:val="center"/>
                </w:tcPr>
                <w:p w14:paraId="20EB2B5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洗衣机</w:t>
                  </w:r>
                </w:p>
              </w:tc>
              <w:tc>
                <w:tcPr>
                  <w:tcW w:w="600" w:type="dxa"/>
                  <w:noWrap w:val="0"/>
                  <w:tcMar>
                    <w:top w:w="120" w:type="dxa"/>
                    <w:left w:w="120" w:type="dxa"/>
                    <w:bottom w:w="120" w:type="dxa"/>
                    <w:right w:w="120" w:type="dxa"/>
                  </w:tcMar>
                  <w:vAlign w:val="center"/>
                </w:tcPr>
                <w:p w14:paraId="660515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16</w:t>
                  </w:r>
                </w:p>
              </w:tc>
              <w:tc>
                <w:tcPr>
                  <w:tcW w:w="560" w:type="dxa"/>
                  <w:noWrap w:val="0"/>
                  <w:tcMar>
                    <w:top w:w="120" w:type="dxa"/>
                    <w:left w:w="120" w:type="dxa"/>
                    <w:bottom w:w="120" w:type="dxa"/>
                    <w:right w:w="120" w:type="dxa"/>
                  </w:tcMar>
                  <w:vAlign w:val="center"/>
                </w:tcPr>
                <w:p w14:paraId="1C0A0FB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3B891EE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72</w:t>
                  </w:r>
                </w:p>
              </w:tc>
              <w:tc>
                <w:tcPr>
                  <w:tcW w:w="424" w:type="dxa"/>
                  <w:noWrap w:val="0"/>
                  <w:tcMar>
                    <w:top w:w="120" w:type="dxa"/>
                    <w:left w:w="120" w:type="dxa"/>
                    <w:bottom w:w="120" w:type="dxa"/>
                    <w:right w:w="120" w:type="dxa"/>
                  </w:tcMar>
                  <w:vAlign w:val="center"/>
                </w:tcPr>
                <w:p w14:paraId="29C61DC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462D1EF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84</w:t>
                  </w:r>
                </w:p>
              </w:tc>
              <w:tc>
                <w:tcPr>
                  <w:tcW w:w="833" w:type="dxa"/>
                  <w:noWrap w:val="0"/>
                  <w:tcMar>
                    <w:top w:w="120" w:type="dxa"/>
                    <w:left w:w="120" w:type="dxa"/>
                    <w:bottom w:w="120" w:type="dxa"/>
                    <w:right w:w="120" w:type="dxa"/>
                  </w:tcMar>
                  <w:vAlign w:val="center"/>
                </w:tcPr>
                <w:p w14:paraId="06A539A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合理布置、减振、墙体隔声</w:t>
                  </w:r>
                </w:p>
              </w:tc>
              <w:tc>
                <w:tcPr>
                  <w:tcW w:w="805" w:type="dxa"/>
                  <w:noWrap w:val="0"/>
                  <w:tcMar>
                    <w:top w:w="120" w:type="dxa"/>
                    <w:left w:w="120" w:type="dxa"/>
                    <w:bottom w:w="120" w:type="dxa"/>
                    <w:right w:w="120" w:type="dxa"/>
                  </w:tcMar>
                  <w:vAlign w:val="center"/>
                </w:tcPr>
                <w:p w14:paraId="1908430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54CFF5C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3513772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54.</w:t>
                  </w:r>
                </w:p>
              </w:tc>
              <w:tc>
                <w:tcPr>
                  <w:tcW w:w="476" w:type="dxa"/>
                  <w:noWrap w:val="0"/>
                  <w:tcMar>
                    <w:top w:w="120" w:type="dxa"/>
                    <w:left w:w="120" w:type="dxa"/>
                    <w:bottom w:w="120" w:type="dxa"/>
                    <w:right w:w="120" w:type="dxa"/>
                  </w:tcMar>
                  <w:vAlign w:val="center"/>
                </w:tcPr>
                <w:p w14:paraId="524FE96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r w14:paraId="4B03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18" w:hRule="atLeast"/>
                <w:jc w:val="center"/>
              </w:trPr>
              <w:tc>
                <w:tcPr>
                  <w:tcW w:w="424" w:type="dxa"/>
                  <w:noWrap w:val="0"/>
                  <w:tcMar>
                    <w:top w:w="120" w:type="dxa"/>
                    <w:left w:w="120" w:type="dxa"/>
                    <w:bottom w:w="120" w:type="dxa"/>
                    <w:right w:w="120" w:type="dxa"/>
                  </w:tcMar>
                  <w:vAlign w:val="center"/>
                </w:tcPr>
                <w:p w14:paraId="3BC1010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发电机</w:t>
                  </w:r>
                </w:p>
              </w:tc>
              <w:tc>
                <w:tcPr>
                  <w:tcW w:w="424" w:type="dxa"/>
                  <w:noWrap w:val="0"/>
                  <w:tcMar>
                    <w:top w:w="120" w:type="dxa"/>
                    <w:left w:w="120" w:type="dxa"/>
                    <w:bottom w:w="120" w:type="dxa"/>
                    <w:right w:w="120" w:type="dxa"/>
                  </w:tcMar>
                  <w:vAlign w:val="center"/>
                </w:tcPr>
                <w:p w14:paraId="490CD3E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发电机房</w:t>
                  </w:r>
                </w:p>
              </w:tc>
              <w:tc>
                <w:tcPr>
                  <w:tcW w:w="689" w:type="dxa"/>
                  <w:noWrap w:val="0"/>
                  <w:tcMar>
                    <w:top w:w="120" w:type="dxa"/>
                    <w:left w:w="120" w:type="dxa"/>
                    <w:bottom w:w="120" w:type="dxa"/>
                    <w:right w:w="120" w:type="dxa"/>
                  </w:tcMar>
                  <w:vAlign w:val="center"/>
                </w:tcPr>
                <w:p w14:paraId="729FD67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备用柴油发电机</w:t>
                  </w:r>
                </w:p>
              </w:tc>
              <w:tc>
                <w:tcPr>
                  <w:tcW w:w="600" w:type="dxa"/>
                  <w:noWrap w:val="0"/>
                  <w:tcMar>
                    <w:top w:w="120" w:type="dxa"/>
                    <w:left w:w="120" w:type="dxa"/>
                    <w:bottom w:w="120" w:type="dxa"/>
                    <w:right w:w="120" w:type="dxa"/>
                  </w:tcMar>
                  <w:vAlign w:val="center"/>
                </w:tcPr>
                <w:p w14:paraId="533EBC5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560" w:type="dxa"/>
                  <w:noWrap w:val="0"/>
                  <w:tcMar>
                    <w:top w:w="120" w:type="dxa"/>
                    <w:left w:w="120" w:type="dxa"/>
                    <w:bottom w:w="120" w:type="dxa"/>
                    <w:right w:w="120" w:type="dxa"/>
                  </w:tcMar>
                  <w:vAlign w:val="center"/>
                </w:tcPr>
                <w:p w14:paraId="3677E89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偶发</w:t>
                  </w:r>
                </w:p>
              </w:tc>
              <w:tc>
                <w:tcPr>
                  <w:tcW w:w="727" w:type="dxa"/>
                  <w:noWrap w:val="0"/>
                  <w:tcMar>
                    <w:top w:w="120" w:type="dxa"/>
                    <w:left w:w="120" w:type="dxa"/>
                    <w:bottom w:w="120" w:type="dxa"/>
                    <w:right w:w="120" w:type="dxa"/>
                  </w:tcMar>
                  <w:vAlign w:val="center"/>
                </w:tcPr>
                <w:p w14:paraId="29EBCEB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80</w:t>
                  </w:r>
                </w:p>
              </w:tc>
              <w:tc>
                <w:tcPr>
                  <w:tcW w:w="424" w:type="dxa"/>
                  <w:noWrap w:val="0"/>
                  <w:tcMar>
                    <w:top w:w="120" w:type="dxa"/>
                    <w:left w:w="120" w:type="dxa"/>
                    <w:bottom w:w="120" w:type="dxa"/>
                    <w:right w:w="120" w:type="dxa"/>
                  </w:tcMar>
                  <w:vAlign w:val="center"/>
                </w:tcPr>
                <w:p w14:paraId="4FFF13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53FF766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80</w:t>
                  </w:r>
                </w:p>
              </w:tc>
              <w:tc>
                <w:tcPr>
                  <w:tcW w:w="833" w:type="dxa"/>
                  <w:noWrap w:val="0"/>
                  <w:tcMar>
                    <w:top w:w="120" w:type="dxa"/>
                    <w:left w:w="120" w:type="dxa"/>
                    <w:bottom w:w="120" w:type="dxa"/>
                    <w:right w:w="120" w:type="dxa"/>
                  </w:tcMar>
                  <w:vAlign w:val="center"/>
                </w:tcPr>
                <w:p w14:paraId="77ABF7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机房密闭、基础减振、墙体隔声</w:t>
                  </w:r>
                </w:p>
              </w:tc>
              <w:tc>
                <w:tcPr>
                  <w:tcW w:w="805" w:type="dxa"/>
                  <w:noWrap w:val="0"/>
                  <w:tcMar>
                    <w:top w:w="120" w:type="dxa"/>
                    <w:left w:w="120" w:type="dxa"/>
                    <w:bottom w:w="120" w:type="dxa"/>
                    <w:right w:w="120" w:type="dxa"/>
                  </w:tcMar>
                  <w:vAlign w:val="center"/>
                </w:tcPr>
                <w:p w14:paraId="7CEC816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c>
                <w:tcPr>
                  <w:tcW w:w="354" w:type="dxa"/>
                  <w:noWrap w:val="0"/>
                  <w:tcMar>
                    <w:top w:w="120" w:type="dxa"/>
                    <w:left w:w="120" w:type="dxa"/>
                    <w:bottom w:w="120" w:type="dxa"/>
                    <w:right w:w="120" w:type="dxa"/>
                  </w:tcMar>
                  <w:vAlign w:val="center"/>
                </w:tcPr>
                <w:p w14:paraId="0DD3855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6F5220C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50</w:t>
                  </w:r>
                </w:p>
              </w:tc>
              <w:tc>
                <w:tcPr>
                  <w:tcW w:w="476" w:type="dxa"/>
                  <w:noWrap w:val="0"/>
                  <w:tcMar>
                    <w:top w:w="120" w:type="dxa"/>
                    <w:left w:w="120" w:type="dxa"/>
                    <w:bottom w:w="120" w:type="dxa"/>
                    <w:right w:w="120" w:type="dxa"/>
                  </w:tcMar>
                  <w:vAlign w:val="center"/>
                </w:tcPr>
                <w:p w14:paraId="3DE6E54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12</w:t>
                  </w:r>
                </w:p>
              </w:tc>
            </w:tr>
            <w:tr w14:paraId="47CA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424" w:type="dxa"/>
                  <w:noWrap w:val="0"/>
                  <w:tcMar>
                    <w:top w:w="120" w:type="dxa"/>
                    <w:left w:w="120" w:type="dxa"/>
                    <w:bottom w:w="120" w:type="dxa"/>
                    <w:right w:w="120" w:type="dxa"/>
                  </w:tcMar>
                  <w:vAlign w:val="center"/>
                </w:tcPr>
                <w:p w14:paraId="197FACE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污水处理</w:t>
                  </w:r>
                </w:p>
              </w:tc>
              <w:tc>
                <w:tcPr>
                  <w:tcW w:w="424" w:type="dxa"/>
                  <w:noWrap w:val="0"/>
                  <w:tcMar>
                    <w:top w:w="120" w:type="dxa"/>
                    <w:left w:w="120" w:type="dxa"/>
                    <w:bottom w:w="120" w:type="dxa"/>
                    <w:right w:w="120" w:type="dxa"/>
                  </w:tcMar>
                  <w:vAlign w:val="center"/>
                </w:tcPr>
                <w:p w14:paraId="5822980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污水站</w:t>
                  </w:r>
                </w:p>
              </w:tc>
              <w:tc>
                <w:tcPr>
                  <w:tcW w:w="689" w:type="dxa"/>
                  <w:noWrap w:val="0"/>
                  <w:tcMar>
                    <w:top w:w="120" w:type="dxa"/>
                    <w:left w:w="120" w:type="dxa"/>
                    <w:bottom w:w="120" w:type="dxa"/>
                    <w:right w:w="120" w:type="dxa"/>
                  </w:tcMar>
                  <w:vAlign w:val="center"/>
                </w:tcPr>
                <w:p w14:paraId="5ABB61B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水泵</w:t>
                  </w:r>
                </w:p>
              </w:tc>
              <w:tc>
                <w:tcPr>
                  <w:tcW w:w="600" w:type="dxa"/>
                  <w:noWrap w:val="0"/>
                  <w:tcMar>
                    <w:top w:w="120" w:type="dxa"/>
                    <w:left w:w="120" w:type="dxa"/>
                    <w:bottom w:w="120" w:type="dxa"/>
                    <w:right w:w="120" w:type="dxa"/>
                  </w:tcMar>
                  <w:vAlign w:val="center"/>
                </w:tcPr>
                <w:p w14:paraId="710B78A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c>
                <w:tcPr>
                  <w:tcW w:w="560" w:type="dxa"/>
                  <w:noWrap w:val="0"/>
                  <w:tcMar>
                    <w:top w:w="120" w:type="dxa"/>
                    <w:left w:w="120" w:type="dxa"/>
                    <w:bottom w:w="120" w:type="dxa"/>
                    <w:right w:w="120" w:type="dxa"/>
                  </w:tcMar>
                  <w:vAlign w:val="center"/>
                </w:tcPr>
                <w:p w14:paraId="440BE24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频发</w:t>
                  </w:r>
                </w:p>
              </w:tc>
              <w:tc>
                <w:tcPr>
                  <w:tcW w:w="727" w:type="dxa"/>
                  <w:noWrap w:val="0"/>
                  <w:tcMar>
                    <w:top w:w="120" w:type="dxa"/>
                    <w:left w:w="120" w:type="dxa"/>
                    <w:bottom w:w="120" w:type="dxa"/>
                    <w:right w:w="120" w:type="dxa"/>
                  </w:tcMar>
                  <w:vAlign w:val="center"/>
                </w:tcPr>
                <w:p w14:paraId="3DC594B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70</w:t>
                  </w:r>
                </w:p>
              </w:tc>
              <w:tc>
                <w:tcPr>
                  <w:tcW w:w="424" w:type="dxa"/>
                  <w:noWrap w:val="0"/>
                  <w:tcMar>
                    <w:top w:w="120" w:type="dxa"/>
                    <w:left w:w="120" w:type="dxa"/>
                    <w:bottom w:w="120" w:type="dxa"/>
                    <w:right w:w="120" w:type="dxa"/>
                  </w:tcMar>
                  <w:vAlign w:val="center"/>
                </w:tcPr>
                <w:p w14:paraId="09EB107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38" w:type="dxa"/>
                  <w:noWrap w:val="0"/>
                  <w:tcMar>
                    <w:top w:w="120" w:type="dxa"/>
                    <w:left w:w="120" w:type="dxa"/>
                    <w:bottom w:w="120" w:type="dxa"/>
                    <w:right w:w="120" w:type="dxa"/>
                  </w:tcMar>
                  <w:vAlign w:val="center"/>
                </w:tcPr>
                <w:p w14:paraId="0F67F2E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73</w:t>
                  </w:r>
                </w:p>
              </w:tc>
              <w:tc>
                <w:tcPr>
                  <w:tcW w:w="833" w:type="dxa"/>
                  <w:noWrap w:val="0"/>
                  <w:tcMar>
                    <w:top w:w="120" w:type="dxa"/>
                    <w:left w:w="120" w:type="dxa"/>
                    <w:bottom w:w="120" w:type="dxa"/>
                    <w:right w:w="120" w:type="dxa"/>
                  </w:tcMar>
                  <w:vAlign w:val="center"/>
                </w:tcPr>
                <w:p w14:paraId="470FB5F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基础减振</w:t>
                  </w:r>
                </w:p>
              </w:tc>
              <w:tc>
                <w:tcPr>
                  <w:tcW w:w="805" w:type="dxa"/>
                  <w:noWrap w:val="0"/>
                  <w:tcMar>
                    <w:top w:w="120" w:type="dxa"/>
                    <w:left w:w="120" w:type="dxa"/>
                    <w:bottom w:w="120" w:type="dxa"/>
                    <w:right w:w="120" w:type="dxa"/>
                  </w:tcMar>
                  <w:vAlign w:val="center"/>
                </w:tcPr>
                <w:p w14:paraId="7D8E43B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25</w:t>
                  </w:r>
                </w:p>
              </w:tc>
              <w:tc>
                <w:tcPr>
                  <w:tcW w:w="354" w:type="dxa"/>
                  <w:noWrap w:val="0"/>
                  <w:tcMar>
                    <w:top w:w="120" w:type="dxa"/>
                    <w:left w:w="120" w:type="dxa"/>
                    <w:bottom w:w="120" w:type="dxa"/>
                    <w:right w:w="120" w:type="dxa"/>
                  </w:tcMar>
                  <w:vAlign w:val="center"/>
                </w:tcPr>
                <w:p w14:paraId="46FDECC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类比法</w:t>
                  </w:r>
                </w:p>
              </w:tc>
              <w:tc>
                <w:tcPr>
                  <w:tcW w:w="843" w:type="dxa"/>
                  <w:noWrap w:val="0"/>
                  <w:tcMar>
                    <w:top w:w="120" w:type="dxa"/>
                    <w:left w:w="120" w:type="dxa"/>
                    <w:bottom w:w="120" w:type="dxa"/>
                    <w:right w:w="120" w:type="dxa"/>
                  </w:tcMar>
                  <w:vAlign w:val="center"/>
                </w:tcPr>
                <w:p w14:paraId="082E6BB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48</w:t>
                  </w:r>
                </w:p>
              </w:tc>
              <w:tc>
                <w:tcPr>
                  <w:tcW w:w="476" w:type="dxa"/>
                  <w:noWrap w:val="0"/>
                  <w:tcMar>
                    <w:top w:w="120" w:type="dxa"/>
                    <w:left w:w="120" w:type="dxa"/>
                    <w:bottom w:w="120" w:type="dxa"/>
                    <w:right w:w="120" w:type="dxa"/>
                  </w:tcMar>
                  <w:vAlign w:val="center"/>
                </w:tcPr>
                <w:p w14:paraId="5E7D6C8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2160</w:t>
                  </w:r>
                </w:p>
              </w:tc>
            </w:tr>
          </w:tbl>
          <w:p w14:paraId="016FE51A">
            <w:pPr>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3.2噪声预测</w:t>
            </w:r>
          </w:p>
          <w:p w14:paraId="43731BE6">
            <w:pPr>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（1）预测模式</w:t>
            </w:r>
          </w:p>
          <w:p w14:paraId="21B3B766">
            <w:pPr>
              <w:widowControl/>
              <w:wordWrap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项目的主要噪声源来源于设备运行时产生的噪声，噪声源强在55~85dB(A)之间，项目厂界周边50m范围内无敏感目标，声环境影响主要预测项目正常运行工况下对厂界的贡献值。</w:t>
            </w:r>
          </w:p>
          <w:p w14:paraId="60E85969">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项目噪声主要为</w:t>
            </w:r>
            <w:r>
              <w:rPr>
                <w:rFonts w:ascii="Times New Roman" w:hAnsi="Times New Roman" w:eastAsia="宋体" w:cs="Times New Roman"/>
                <w:bCs/>
                <w:color w:val="000000" w:themeColor="text1"/>
                <w:sz w:val="24"/>
                <w14:textFill>
                  <w14:solidFill>
                    <w14:schemeClr w14:val="tx1"/>
                  </w14:solidFill>
                </w14:textFill>
              </w:rPr>
              <w:t>各类生产设备</w:t>
            </w:r>
            <w:r>
              <w:rPr>
                <w:rFonts w:ascii="Times New Roman" w:hAnsi="Times New Roman" w:eastAsia="宋体" w:cs="Times New Roman"/>
                <w:color w:val="000000" w:themeColor="text1"/>
                <w:sz w:val="24"/>
                <w14:textFill>
                  <w14:solidFill>
                    <w14:schemeClr w14:val="tx1"/>
                  </w14:solidFill>
                </w14:textFill>
              </w:rPr>
              <w:t>产生的噪声。按照《环境影响评价技术导则声环境》（HJ2.4-2021）的要求，可选择点声源预测模式，来模拟预测本建设项目主要声源排放噪声随距离的衰减变化规律。</w:t>
            </w:r>
          </w:p>
          <w:p w14:paraId="7014CE72">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fldChar w:fldCharType="begin"/>
            </w:r>
            <w:r>
              <w:rPr>
                <w:rFonts w:ascii="Times New Roman" w:hAnsi="Times New Roman" w:eastAsia="宋体" w:cs="Times New Roman"/>
                <w:color w:val="000000" w:themeColor="text1"/>
                <w:sz w:val="24"/>
                <w14:textFill>
                  <w14:solidFill>
                    <w14:schemeClr w14:val="tx1"/>
                  </w14:solidFill>
                </w14:textFill>
              </w:rPr>
              <w:instrText xml:space="preserve"> = 1 \* GB3 \* MERGEFORMAT </w:instrText>
            </w:r>
            <w:r>
              <w:rPr>
                <w:rFonts w:ascii="Times New Roman" w:hAnsi="Times New Roman" w:eastAsia="宋体" w:cs="Times New Roman"/>
                <w:color w:val="000000" w:themeColor="text1"/>
                <w:sz w:val="24"/>
                <w14:textFill>
                  <w14:solidFill>
                    <w14:schemeClr w14:val="tx1"/>
                  </w14:solidFill>
                </w14:textFill>
              </w:rPr>
              <w:fldChar w:fldCharType="separate"/>
            </w:r>
            <w:r>
              <w:rPr>
                <w:rFonts w:ascii="Times New Roman" w:hAnsi="Times New Roman" w:eastAsia="宋体" w:cs="Times New Roman"/>
                <w:color w:val="000000" w:themeColor="text1"/>
                <w:sz w:val="24"/>
                <w14:textFill>
                  <w14:solidFill>
                    <w14:schemeClr w14:val="tx1"/>
                  </w14:solidFill>
                </w14:textFill>
              </w:rPr>
              <w:t>①</w:t>
            </w:r>
            <w:r>
              <w:rPr>
                <w:rFonts w:ascii="Times New Roman" w:hAnsi="Times New Roman" w:eastAsia="宋体" w:cs="Times New Roman"/>
                <w:color w:val="000000" w:themeColor="text1"/>
                <w:sz w:val="24"/>
                <w14:textFill>
                  <w14:solidFill>
                    <w14:schemeClr w14:val="tx1"/>
                  </w14:solidFill>
                </w14:textFill>
              </w:rPr>
              <w:fldChar w:fldCharType="end"/>
            </w:r>
            <w:r>
              <w:rPr>
                <w:rFonts w:ascii="Times New Roman" w:hAnsi="Times New Roman" w:eastAsia="宋体" w:cs="Times New Roman"/>
                <w:color w:val="000000" w:themeColor="text1"/>
                <w:sz w:val="24"/>
                <w14:textFill>
                  <w14:solidFill>
                    <w14:schemeClr w14:val="tx1"/>
                  </w14:solidFill>
                </w14:textFill>
              </w:rPr>
              <w:t>对室外噪声源主要考虑噪声的几何发散衰减及环境因素衰减：</w:t>
            </w:r>
          </w:p>
          <w:p w14:paraId="7D390663">
            <w:pPr>
              <w:autoSpaceDE w:val="0"/>
              <w:autoSpaceDN w:val="0"/>
              <w:adjustRightInd w:val="0"/>
              <w:spacing w:line="360" w:lineRule="auto"/>
              <w:ind w:firstLine="480" w:firstLineChars="200"/>
              <w:jc w:val="left"/>
              <w:rPr>
                <w:rFonts w:ascii="Times New Roman" w:hAnsi="Times New Roman" w:eastAsia="宋体" w:cs="Times New Roman"/>
                <w:i/>
                <w:iCs/>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A</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A</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vertAlign w:val="subscript"/>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i/>
                <w:iCs/>
                <w:color w:val="000000" w:themeColor="text1"/>
                <w:sz w:val="24"/>
                <w14:textFill>
                  <w14:solidFill>
                    <w14:schemeClr w14:val="tx1"/>
                  </w14:solidFill>
                </w14:textFill>
              </w:rPr>
              <w:t>A</w:t>
            </w:r>
            <w:r>
              <w:rPr>
                <w:rFonts w:ascii="Times New Roman" w:hAnsi="Times New Roman" w:eastAsia="宋体" w:cs="Times New Roman"/>
                <w:color w:val="000000" w:themeColor="text1"/>
                <w:sz w:val="24"/>
                <w:vertAlign w:val="subscript"/>
                <w14:textFill>
                  <w14:solidFill>
                    <w14:schemeClr w14:val="tx1"/>
                  </w14:solidFill>
                </w14:textFill>
              </w:rPr>
              <w:t>div</w:t>
            </w:r>
          </w:p>
          <w:p w14:paraId="24C9739D">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A</w:t>
            </w:r>
            <w:r>
              <w:rPr>
                <w:rFonts w:ascii="Times New Roman" w:hAnsi="Times New Roman" w:eastAsia="宋体" w:cs="Times New Roman"/>
                <w:color w:val="000000" w:themeColor="text1"/>
                <w:sz w:val="24"/>
                <w:vertAlign w:val="subscript"/>
                <w14:textFill>
                  <w14:solidFill>
                    <w14:schemeClr w14:val="tx1"/>
                  </w14:solidFill>
                </w14:textFill>
              </w:rPr>
              <w:t>div</w:t>
            </w:r>
            <w:r>
              <w:rPr>
                <w:rFonts w:ascii="Times New Roman" w:hAnsi="Times New Roman" w:eastAsia="宋体" w:cs="Times New Roman"/>
                <w:color w:val="000000" w:themeColor="text1"/>
                <w:sz w:val="24"/>
                <w14:textFill>
                  <w14:solidFill>
                    <w14:schemeClr w14:val="tx1"/>
                  </w14:solidFill>
                </w14:textFill>
              </w:rPr>
              <w:t>=20lg(</w:t>
            </w:r>
            <w:r>
              <w:rPr>
                <w:rFonts w:ascii="Times New Roman" w:hAnsi="Times New Roman" w:eastAsia="宋体" w:cs="Times New Roman"/>
                <w:i/>
                <w:iCs/>
                <w:color w:val="000000" w:themeColor="text1"/>
                <w:sz w:val="24"/>
                <w14:textFill>
                  <w14:solidFill>
                    <w14:schemeClr w14:val="tx1"/>
                  </w14:solidFill>
                </w14:textFill>
              </w:rPr>
              <w:t>r/r</w:t>
            </w:r>
            <w:r>
              <w:rPr>
                <w:rFonts w:ascii="Times New Roman" w:hAnsi="Times New Roman" w:eastAsia="宋体" w:cs="Times New Roman"/>
                <w:color w:val="000000" w:themeColor="text1"/>
                <w:sz w:val="24"/>
                <w:vertAlign w:val="subscript"/>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w:t>
            </w:r>
          </w:p>
          <w:p w14:paraId="37399064">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w:t>
            </w: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A</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14:textFill>
                  <w14:solidFill>
                    <w14:schemeClr w14:val="tx1"/>
                  </w14:solidFill>
                </w14:textFill>
              </w:rPr>
              <w:t>)—距声源</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14:textFill>
                  <w14:solidFill>
                    <w14:schemeClr w14:val="tx1"/>
                  </w14:solidFill>
                </w14:textFill>
              </w:rPr>
              <w:t>处的A声级，dB(A)；</w:t>
            </w:r>
          </w:p>
          <w:p w14:paraId="767FD140">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A</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vertAlign w:val="subscript"/>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)—参考位置</w:t>
            </w:r>
            <w:r>
              <w:rPr>
                <w:rFonts w:ascii="Times New Roman" w:hAnsi="Times New Roman" w:eastAsia="宋体" w:cs="Times New Roman"/>
                <w:i/>
                <w:iCs/>
                <w:color w:val="000000" w:themeColor="text1"/>
                <w:sz w:val="24"/>
                <w14:textFill>
                  <w14:solidFill>
                    <w14:schemeClr w14:val="tx1"/>
                  </w14:solidFill>
                </w14:textFill>
              </w:rPr>
              <w:t>r</w:t>
            </w:r>
            <w:r>
              <w:rPr>
                <w:rFonts w:ascii="Times New Roman" w:hAnsi="Times New Roman" w:eastAsia="宋体" w:cs="Times New Roman"/>
                <w:color w:val="000000" w:themeColor="text1"/>
                <w:sz w:val="24"/>
                <w:vertAlign w:val="subscript"/>
                <w14:textFill>
                  <w14:solidFill>
                    <w14:schemeClr w14:val="tx1"/>
                  </w14:solidFill>
                </w14:textFill>
              </w:rPr>
              <w:t>0</w:t>
            </w:r>
            <w:r>
              <w:rPr>
                <w:rFonts w:ascii="Times New Roman" w:hAnsi="Times New Roman" w:eastAsia="宋体" w:cs="Times New Roman"/>
                <w:color w:val="000000" w:themeColor="text1"/>
                <w:sz w:val="24"/>
                <w14:textFill>
                  <w14:solidFill>
                    <w14:schemeClr w14:val="tx1"/>
                  </w14:solidFill>
                </w14:textFill>
              </w:rPr>
              <w:t>处的A声级，dB(A)；</w:t>
            </w:r>
          </w:p>
          <w:p w14:paraId="25273DD6">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i/>
                <w:iCs/>
                <w:color w:val="000000" w:themeColor="text1"/>
                <w:sz w:val="24"/>
                <w14:textFill>
                  <w14:solidFill>
                    <w14:schemeClr w14:val="tx1"/>
                  </w14:solidFill>
                </w14:textFill>
              </w:rPr>
              <w:t>A</w:t>
            </w:r>
            <w:r>
              <w:rPr>
                <w:rFonts w:ascii="Times New Roman" w:hAnsi="Times New Roman" w:eastAsia="宋体" w:cs="Times New Roman"/>
                <w:color w:val="000000" w:themeColor="text1"/>
                <w:sz w:val="24"/>
                <w:vertAlign w:val="subscript"/>
                <w14:textFill>
                  <w14:solidFill>
                    <w14:schemeClr w14:val="tx1"/>
                  </w14:solidFill>
                </w14:textFill>
              </w:rPr>
              <w:t>div</w:t>
            </w:r>
            <w:r>
              <w:rPr>
                <w:rFonts w:ascii="Times New Roman" w:hAnsi="Times New Roman" w:eastAsia="宋体" w:cs="Times New Roman"/>
                <w:color w:val="000000" w:themeColor="text1"/>
                <w:sz w:val="24"/>
                <w14:textFill>
                  <w14:solidFill>
                    <w14:schemeClr w14:val="tx1"/>
                  </w14:solidFill>
                </w14:textFill>
              </w:rPr>
              <w:t>—几何发散引起的衰减，dB。</w:t>
            </w:r>
          </w:p>
          <w:p w14:paraId="369A3C07">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fldChar w:fldCharType="begin"/>
            </w:r>
            <w:r>
              <w:rPr>
                <w:rFonts w:ascii="Times New Roman" w:hAnsi="Times New Roman" w:eastAsia="宋体" w:cs="Times New Roman"/>
                <w:color w:val="000000" w:themeColor="text1"/>
                <w:sz w:val="24"/>
                <w14:textFill>
                  <w14:solidFill>
                    <w14:schemeClr w14:val="tx1"/>
                  </w14:solidFill>
                </w14:textFill>
              </w:rPr>
              <w:instrText xml:space="preserve"> = 2 \* GB3 \* MERGEFORMAT </w:instrText>
            </w:r>
            <w:r>
              <w:rPr>
                <w:rFonts w:ascii="Times New Roman" w:hAnsi="Times New Roman" w:eastAsia="宋体" w:cs="Times New Roman"/>
                <w:color w:val="000000" w:themeColor="text1"/>
                <w:sz w:val="24"/>
                <w14:textFill>
                  <w14:solidFill>
                    <w14:schemeClr w14:val="tx1"/>
                  </w14:solidFill>
                </w14:textFill>
              </w:rPr>
              <w:fldChar w:fldCharType="separate"/>
            </w:r>
            <w:r>
              <w:rPr>
                <w:rFonts w:ascii="Times New Roman" w:hAnsi="Times New Roman" w:eastAsia="宋体" w:cs="Times New Roman"/>
                <w:color w:val="000000" w:themeColor="text1"/>
                <w:sz w:val="24"/>
                <w14:textFill>
                  <w14:solidFill>
                    <w14:schemeClr w14:val="tx1"/>
                  </w14:solidFill>
                </w14:textFill>
              </w:rPr>
              <w:t>②</w:t>
            </w:r>
            <w:r>
              <w:rPr>
                <w:rFonts w:ascii="Times New Roman" w:hAnsi="Times New Roman" w:eastAsia="宋体" w:cs="Times New Roman"/>
                <w:color w:val="000000" w:themeColor="text1"/>
                <w:sz w:val="24"/>
                <w14:textFill>
                  <w14:solidFill>
                    <w14:schemeClr w14:val="tx1"/>
                  </w14:solidFill>
                </w14:textFill>
              </w:rPr>
              <w:fldChar w:fldCharType="end"/>
            </w:r>
            <w:r>
              <w:rPr>
                <w:rFonts w:ascii="Times New Roman" w:hAnsi="Times New Roman" w:eastAsia="宋体" w:cs="Times New Roman"/>
                <w:color w:val="000000" w:themeColor="text1"/>
                <w:sz w:val="24"/>
                <w14:textFill>
                  <w14:solidFill>
                    <w14:schemeClr w14:val="tx1"/>
                  </w14:solidFill>
                </w14:textFill>
              </w:rPr>
              <w:t>对室内噪声源采用室内声源噪声模式并换算成等效的室外声源：</w:t>
            </w:r>
          </w:p>
          <w:p w14:paraId="17EE8824">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1370965" cy="222250"/>
                  <wp:effectExtent l="0" t="0" r="635" b="6350"/>
                  <wp:docPr id="5"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82"/>
                          <pic:cNvPicPr>
                            <a:picLocks noChangeAspect="1"/>
                          </pic:cNvPicPr>
                        </pic:nvPicPr>
                        <pic:blipFill>
                          <a:blip r:embed="rId17"/>
                          <a:stretch>
                            <a:fillRect/>
                          </a:stretch>
                        </pic:blipFill>
                        <pic:spPr>
                          <a:xfrm>
                            <a:off x="0" y="0"/>
                            <a:ext cx="1370965" cy="222250"/>
                          </a:xfrm>
                          <a:prstGeom prst="rect">
                            <a:avLst/>
                          </a:prstGeom>
                          <a:noFill/>
                          <a:ln>
                            <a:noFill/>
                          </a:ln>
                        </pic:spPr>
                      </pic:pic>
                    </a:graphicData>
                  </a:graphic>
                </wp:inline>
              </w:drawing>
            </w:r>
          </w:p>
          <w:p w14:paraId="360E1EA0">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1732915" cy="431800"/>
                  <wp:effectExtent l="0" t="0" r="635" b="6350"/>
                  <wp:docPr id="6"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83"/>
                          <pic:cNvPicPr>
                            <a:picLocks noChangeAspect="1"/>
                          </pic:cNvPicPr>
                        </pic:nvPicPr>
                        <pic:blipFill>
                          <a:blip r:embed="rId18"/>
                          <a:stretch>
                            <a:fillRect/>
                          </a:stretch>
                        </pic:blipFill>
                        <pic:spPr>
                          <a:xfrm>
                            <a:off x="0" y="0"/>
                            <a:ext cx="1732915" cy="431800"/>
                          </a:xfrm>
                          <a:prstGeom prst="rect">
                            <a:avLst/>
                          </a:prstGeom>
                          <a:noFill/>
                          <a:ln>
                            <a:noFill/>
                          </a:ln>
                        </pic:spPr>
                      </pic:pic>
                    </a:graphicData>
                  </a:graphic>
                </wp:inline>
              </w:drawing>
            </w:r>
          </w:p>
          <w:p w14:paraId="4E828B80">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式中：L</w:t>
            </w:r>
            <w:r>
              <w:rPr>
                <w:rFonts w:ascii="Times New Roman" w:hAnsi="Times New Roman" w:eastAsia="宋体" w:cs="Times New Roman"/>
                <w:color w:val="000000" w:themeColor="text1"/>
                <w:sz w:val="24"/>
                <w:vertAlign w:val="subscript"/>
                <w14:textFill>
                  <w14:solidFill>
                    <w14:schemeClr w14:val="tx1"/>
                  </w14:solidFill>
                </w14:textFill>
              </w:rPr>
              <w:t>p1</w:t>
            </w:r>
            <w:r>
              <w:rPr>
                <w:rFonts w:ascii="Times New Roman" w:hAnsi="Times New Roman" w:eastAsia="宋体" w:cs="Times New Roman"/>
                <w:color w:val="000000" w:themeColor="text1"/>
                <w:sz w:val="24"/>
                <w14:textFill>
                  <w14:solidFill>
                    <w14:schemeClr w14:val="tx1"/>
                  </w14:solidFill>
                </w14:textFill>
              </w:rPr>
              <w:t>—靠近开口处（或窗户）室内某倍频带的声压级或A声级，dB；</w:t>
            </w:r>
          </w:p>
          <w:p w14:paraId="4465E667">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p2</w:t>
            </w:r>
            <w:r>
              <w:rPr>
                <w:rFonts w:ascii="Times New Roman" w:hAnsi="Times New Roman" w:eastAsia="宋体" w:cs="Times New Roman"/>
                <w:color w:val="000000" w:themeColor="text1"/>
                <w:sz w:val="24"/>
                <w14:textFill>
                  <w14:solidFill>
                    <w14:schemeClr w14:val="tx1"/>
                  </w14:solidFill>
                </w14:textFill>
              </w:rPr>
              <w:t>—靠近开口处（或窗户）室外某倍频带的声压级或A声级，dB；</w:t>
            </w:r>
          </w:p>
          <w:p w14:paraId="526EBD46">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TL—隔墙（或窗户）倍频带或A声级的隔声量，dB。</w:t>
            </w:r>
          </w:p>
          <w:p w14:paraId="13BEBF4D">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Lw—点声源声功率级（A计权或倍频带），dB；</w:t>
            </w:r>
          </w:p>
          <w:p w14:paraId="55FC7C09">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Q—指向性因数；通常对无指向性声源，当声源放在房间中心时，Q=1；当放在一面墙的中心时，Q=2；当放在两面墙夹角处时，Q=4；当放在三面墙夹角处时，Q=8；</w:t>
            </w:r>
          </w:p>
          <w:p w14:paraId="2B48A330">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R—房间常数；R=Sα/(1-α)，S为房间内表面面积，m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；α为平均吸声系数；</w:t>
            </w:r>
          </w:p>
          <w:p w14:paraId="76A7EB78">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r—声源到靠近围护结构某点处的距离，m。</w:t>
            </w:r>
          </w:p>
          <w:p w14:paraId="1C0C3115">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然后按下式计算出所有室内声源在围护结构处产生的i倍频带叠加声压级：</w:t>
            </w:r>
          </w:p>
          <w:p w14:paraId="0888CC05">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1727200" cy="482600"/>
                  <wp:effectExtent l="0" t="0" r="6350" b="12700"/>
                  <wp:docPr id="7"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84"/>
                          <pic:cNvPicPr>
                            <a:picLocks noChangeAspect="1"/>
                          </pic:cNvPicPr>
                        </pic:nvPicPr>
                        <pic:blipFill>
                          <a:blip r:embed="rId19"/>
                          <a:stretch>
                            <a:fillRect/>
                          </a:stretch>
                        </pic:blipFill>
                        <pic:spPr>
                          <a:xfrm>
                            <a:off x="0" y="0"/>
                            <a:ext cx="1727200" cy="482600"/>
                          </a:xfrm>
                          <a:prstGeom prst="rect">
                            <a:avLst/>
                          </a:prstGeom>
                          <a:noFill/>
                          <a:ln>
                            <a:noFill/>
                          </a:ln>
                        </pic:spPr>
                      </pic:pic>
                    </a:graphicData>
                  </a:graphic>
                </wp:inline>
              </w:drawing>
            </w:r>
          </w:p>
          <w:p w14:paraId="12230A78">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式中：L</w:t>
            </w:r>
            <w:r>
              <w:rPr>
                <w:rFonts w:ascii="Times New Roman" w:hAnsi="Times New Roman" w:eastAsia="宋体" w:cs="Times New Roman"/>
                <w:color w:val="000000" w:themeColor="text1"/>
                <w:sz w:val="24"/>
                <w:vertAlign w:val="subscript"/>
                <w14:textFill>
                  <w14:solidFill>
                    <w14:schemeClr w14:val="tx1"/>
                  </w14:solidFill>
                </w14:textFill>
              </w:rPr>
              <w:t>n</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室内靠近围护结构处产生的声压级，dB；</w:t>
            </w:r>
          </w:p>
          <w:p w14:paraId="41E04C8B">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W</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室外靠近围护结构处产生的声压级，dB；</w:t>
            </w:r>
          </w:p>
          <w:p w14:paraId="1F31A327">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L</w:t>
            </w:r>
            <w:r>
              <w:rPr>
                <w:rFonts w:ascii="Times New Roman" w:hAnsi="Times New Roman" w:eastAsia="宋体" w:cs="Times New Roman"/>
                <w:color w:val="000000" w:themeColor="text1"/>
                <w:sz w:val="24"/>
                <w:vertAlign w:val="subscript"/>
                <w14:textFill>
                  <w14:solidFill>
                    <w14:schemeClr w14:val="tx1"/>
                  </w14:solidFill>
                </w14:textFill>
              </w:rPr>
              <w:t>e</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声源的声压级，dB；</w:t>
            </w:r>
          </w:p>
          <w:p w14:paraId="0A2AD4C6">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声源与室内靠近围护结构处的距离，m；</w:t>
            </w:r>
          </w:p>
          <w:p w14:paraId="11678B44">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R</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房间常数，m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w:t>
            </w:r>
          </w:p>
          <w:p w14:paraId="462AC6FE">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Q</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方向性因子；</w:t>
            </w:r>
          </w:p>
          <w:p w14:paraId="72FFAC28">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w:t>
            </w:r>
            <w:r>
              <w:rPr>
                <w:rFonts w:ascii="Times New Roman" w:hAnsi="Times New Roman" w:eastAsia="宋体" w:cs="Times New Roman"/>
                <w:color w:val="000000" w:themeColor="text1"/>
                <w:sz w:val="24"/>
                <w:vertAlign w:val="subscript"/>
                <w14:textFill>
                  <w14:solidFill>
                    <w14:schemeClr w14:val="tx1"/>
                  </w14:solidFill>
                </w14:textFill>
              </w:rPr>
              <w:t>L</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围护结构的传输损失，dB；</w:t>
            </w:r>
          </w:p>
          <w:p w14:paraId="12C205F1">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S</w:t>
            </w:r>
            <w:r>
              <w:rPr>
                <w:rFonts w:ascii="Times New Roman" w:hAnsi="Times New Roman" w:eastAsia="宋体" w:cs="Times New Roman"/>
                <w:i/>
                <w:iCs/>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透声面积，m</w:t>
            </w:r>
            <w:r>
              <w:rPr>
                <w:rFonts w:ascii="Times New Roman" w:hAnsi="Times New Roman" w:eastAsia="宋体" w:cs="Times New Roman"/>
                <w:color w:val="000000" w:themeColor="text1"/>
                <w:sz w:val="24"/>
                <w:vertAlign w:val="super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w:t>
            </w:r>
          </w:p>
          <w:p w14:paraId="401FA4DB">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fldChar w:fldCharType="begin"/>
            </w:r>
            <w:r>
              <w:rPr>
                <w:rFonts w:ascii="Times New Roman" w:hAnsi="Times New Roman" w:eastAsia="宋体" w:cs="Times New Roman"/>
                <w:color w:val="000000" w:themeColor="text1"/>
                <w:sz w:val="24"/>
                <w14:textFill>
                  <w14:solidFill>
                    <w14:schemeClr w14:val="tx1"/>
                  </w14:solidFill>
                </w14:textFill>
              </w:rPr>
              <w:instrText xml:space="preserve"> = 3 \* GB3 \* MERGEFORMAT </w:instrText>
            </w:r>
            <w:r>
              <w:rPr>
                <w:rFonts w:ascii="Times New Roman" w:hAnsi="Times New Roman" w:eastAsia="宋体" w:cs="Times New Roman"/>
                <w:color w:val="000000" w:themeColor="text1"/>
                <w:sz w:val="24"/>
                <w14:textFill>
                  <w14:solidFill>
                    <w14:schemeClr w14:val="tx1"/>
                  </w14:solidFill>
                </w14:textFill>
              </w:rPr>
              <w:fldChar w:fldCharType="separate"/>
            </w:r>
            <w:r>
              <w:rPr>
                <w:rFonts w:ascii="Times New Roman" w:hAnsi="Times New Roman" w:eastAsia="宋体" w:cs="Times New Roman"/>
                <w:color w:val="000000" w:themeColor="text1"/>
                <w:sz w:val="24"/>
                <w14:textFill>
                  <w14:solidFill>
                    <w14:schemeClr w14:val="tx1"/>
                  </w14:solidFill>
                </w14:textFill>
              </w:rPr>
              <w:t>③</w:t>
            </w:r>
            <w:r>
              <w:rPr>
                <w:rFonts w:ascii="Times New Roman" w:hAnsi="Times New Roman" w:eastAsia="宋体" w:cs="Times New Roman"/>
                <w:color w:val="000000" w:themeColor="text1"/>
                <w:sz w:val="24"/>
                <w14:textFill>
                  <w14:solidFill>
                    <w14:schemeClr w14:val="tx1"/>
                  </w14:solidFill>
                </w14:textFill>
              </w:rPr>
              <w:fldChar w:fldCharType="end"/>
            </w:r>
            <w:r>
              <w:rPr>
                <w:rFonts w:ascii="Times New Roman" w:hAnsi="Times New Roman" w:eastAsia="宋体" w:cs="Times New Roman"/>
                <w:color w:val="000000" w:themeColor="text1"/>
                <w:sz w:val="24"/>
                <w14:textFill>
                  <w14:solidFill>
                    <w14:schemeClr w14:val="tx1"/>
                  </w14:solidFill>
                </w14:textFill>
              </w:rPr>
              <w:t>对两个以上多个声源同时存在时，多点源叠加计算总源强，采用如下公式：</w:t>
            </w:r>
          </w:p>
          <w:p w14:paraId="552CA866">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2616200" cy="495300"/>
                  <wp:effectExtent l="0" t="0" r="12700" b="0"/>
                  <wp:docPr id="8"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85"/>
                          <pic:cNvPicPr>
                            <a:picLocks noChangeAspect="1"/>
                          </pic:cNvPicPr>
                        </pic:nvPicPr>
                        <pic:blipFill>
                          <a:blip r:embed="rId20"/>
                          <a:stretch>
                            <a:fillRect/>
                          </a:stretch>
                        </pic:blipFill>
                        <pic:spPr>
                          <a:xfrm>
                            <a:off x="0" y="0"/>
                            <a:ext cx="2616200" cy="495300"/>
                          </a:xfrm>
                          <a:prstGeom prst="rect">
                            <a:avLst/>
                          </a:prstGeom>
                          <a:noFill/>
                          <a:ln>
                            <a:noFill/>
                          </a:ln>
                        </pic:spPr>
                      </pic:pic>
                    </a:graphicData>
                  </a:graphic>
                </wp:inline>
              </w:drawing>
            </w:r>
          </w:p>
          <w:p w14:paraId="43E7B2BD">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式中：L</w:t>
            </w:r>
            <w:r>
              <w:rPr>
                <w:rFonts w:ascii="Times New Roman" w:hAnsi="Times New Roman" w:eastAsia="宋体" w:cs="Times New Roman"/>
                <w:color w:val="000000" w:themeColor="text1"/>
                <w:sz w:val="24"/>
                <w:vertAlign w:val="subscript"/>
                <w14:textFill>
                  <w14:solidFill>
                    <w14:schemeClr w14:val="tx1"/>
                  </w14:solidFill>
                </w14:textFill>
              </w:rPr>
              <w:t>eqg</w:t>
            </w:r>
            <w:r>
              <w:rPr>
                <w:rFonts w:ascii="Times New Roman" w:hAnsi="Times New Roman" w:eastAsia="宋体" w:cs="Times New Roman"/>
                <w:color w:val="000000" w:themeColor="text1"/>
                <w:sz w:val="24"/>
                <w14:textFill>
                  <w14:solidFill>
                    <w14:schemeClr w14:val="tx1"/>
                  </w14:solidFill>
                </w14:textFill>
              </w:rPr>
              <w:t>—建设项目声源在预测点产生的噪声贡献值，dB；</w:t>
            </w:r>
          </w:p>
          <w:p w14:paraId="6C6ECD01">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T—用于计算等效声级的时间，s；</w:t>
            </w:r>
          </w:p>
          <w:p w14:paraId="5456797B">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N—室外声源个数；</w:t>
            </w:r>
          </w:p>
          <w:p w14:paraId="783381B2">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w:t>
            </w:r>
            <w:r>
              <w:rPr>
                <w:rFonts w:ascii="Times New Roman" w:hAnsi="Times New Roman" w:eastAsia="宋体" w:cs="Times New Roman"/>
                <w:color w:val="000000" w:themeColor="text1"/>
                <w:sz w:val="24"/>
                <w:vertAlign w:val="subscript"/>
                <w14:textFill>
                  <w14:solidFill>
                    <w14:schemeClr w14:val="tx1"/>
                  </w14:solidFill>
                </w14:textFill>
              </w:rPr>
              <w:t>i</w:t>
            </w:r>
            <w:r>
              <w:rPr>
                <w:rFonts w:ascii="Times New Roman" w:hAnsi="Times New Roman" w:eastAsia="宋体" w:cs="Times New Roman"/>
                <w:color w:val="000000" w:themeColor="text1"/>
                <w:sz w:val="24"/>
                <w14:textFill>
                  <w14:solidFill>
                    <w14:schemeClr w14:val="tx1"/>
                  </w14:solidFill>
                </w14:textFill>
              </w:rPr>
              <w:t>—在T时间内i声源工作时间，s；</w:t>
            </w:r>
          </w:p>
          <w:p w14:paraId="1E9155E3">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M—等效室外声源个数；</w:t>
            </w:r>
          </w:p>
          <w:p w14:paraId="1884D59D">
            <w:pPr>
              <w:widowControl/>
              <w:wordWrap w:val="0"/>
              <w:snapToGrid w:val="0"/>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t</w:t>
            </w:r>
            <w:r>
              <w:rPr>
                <w:rFonts w:ascii="Times New Roman" w:hAnsi="Times New Roman" w:eastAsia="宋体" w:cs="Times New Roman"/>
                <w:color w:val="000000" w:themeColor="text1"/>
                <w:sz w:val="24"/>
                <w:vertAlign w:val="subscript"/>
                <w14:textFill>
                  <w14:solidFill>
                    <w14:schemeClr w14:val="tx1"/>
                  </w14:solidFill>
                </w14:textFill>
              </w:rPr>
              <w:t>j</w:t>
            </w:r>
            <w:r>
              <w:rPr>
                <w:rFonts w:ascii="Times New Roman" w:hAnsi="Times New Roman" w:eastAsia="宋体" w:cs="Times New Roman"/>
                <w:color w:val="000000" w:themeColor="text1"/>
                <w:sz w:val="24"/>
                <w14:textFill>
                  <w14:solidFill>
                    <w14:schemeClr w14:val="tx1"/>
                  </w14:solidFill>
                </w14:textFill>
              </w:rPr>
              <w:t>—在T时间内j声源工作时间，s。</w:t>
            </w:r>
          </w:p>
          <w:p w14:paraId="73EF79BB">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根据类比调查得到的参考声级，将各厂房设备分别合并为一个噪声源，通过计算得出噪声源在采取噪声防治措施下，对厂界噪声预测值。</w:t>
            </w:r>
          </w:p>
          <w:p w14:paraId="0B0FC148">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为降低项目设备噪声对周围声环境的影响，建设单位应选择噪声低、振动小的设备，在设备基座安装减振垫，以及墙体隔声和距离衰减等降噪、减振措施。建设单位的锅炉房墙体采用红砖建设的，墙体砌筑采用“一顺一丁”法，灰缝饱满，红砖墙体通过自身厚度（240mm）和密实度阻挡空气传声，对中高频噪音有明显削弱作用，在地面/墙体与锅炉基础间设置减振，阻断振动传声路径。根据《环境噪声控制》（作者：刘惠玲主编，2002年第一版），墙体降噪效果在23-30dB(A)之间，基础减振降噪效果在10-25dB(A)之间，本项目措施降噪效果取30dB(A)。</w:t>
            </w:r>
          </w:p>
          <w:p w14:paraId="7395A9C9">
            <w:pPr>
              <w:autoSpaceDE w:val="0"/>
              <w:autoSpaceDN w:val="0"/>
              <w:adjustRightInd w:val="0"/>
              <w:spacing w:line="360" w:lineRule="auto"/>
              <w:ind w:firstLine="482"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（2）预测结果</w:t>
            </w:r>
          </w:p>
          <w:p w14:paraId="721B0D76">
            <w:pPr>
              <w:autoSpaceDE w:val="0"/>
              <w:autoSpaceDN w:val="0"/>
              <w:adjustRightInd w:val="0"/>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根据各噪声设备源强以及布局，预测各厂界噪声值详见下表。</w:t>
            </w:r>
          </w:p>
          <w:p w14:paraId="34541367">
            <w:pPr>
              <w:spacing w:line="480" w:lineRule="exact"/>
              <w:jc w:val="center"/>
              <w:rPr>
                <w:rFonts w:ascii="Times New Roman" w:hAnsi="Times New Roman" w:eastAsia="宋体" w:cs="Times New Roman"/>
                <w:bCs/>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本</w:t>
            </w:r>
            <w:r>
              <w:rPr>
                <w:rFonts w:ascii="Times New Roman" w:hAnsi="Times New Roman" w:eastAsia="宋体" w:cs="Times New Roman"/>
                <w:bCs/>
                <w:color w:val="000000" w:themeColor="text1"/>
                <w:kern w:val="0"/>
                <w:sz w:val="24"/>
                <w14:textFill>
                  <w14:solidFill>
                    <w14:schemeClr w14:val="tx1"/>
                  </w14:solidFill>
                </w14:textFill>
              </w:rPr>
              <w:t>项目在昼间进行生产，故只对昼间的噪声进行预测分析。</w:t>
            </w:r>
            <w:r>
              <w:rPr>
                <w:rFonts w:hint="eastAsia" w:ascii="Times New Roman" w:hAnsi="Times New Roman" w:eastAsia="宋体" w:cs="Times New Roman"/>
                <w:bCs/>
                <w:color w:val="000000" w:themeColor="text1"/>
                <w:kern w:val="0"/>
                <w:sz w:val="24"/>
                <w:lang w:eastAsia="zh-CN"/>
                <w14:textFill>
                  <w14:solidFill>
                    <w14:schemeClr w14:val="tx1"/>
                  </w14:solidFill>
                </w14:textFill>
              </w:rPr>
              <w:t>因本项目与湛江市干洁洗涤有限公司行业类别相同，规模相当，同样位于农垦服装工业区，距离仅约</w:t>
            </w:r>
            <w:r>
              <w:rPr>
                <w:rFonts w:hint="eastAsia" w:ascii="Times New Roman" w:hAnsi="Times New Roman" w:eastAsia="宋体" w:cs="Times New Roman"/>
                <w:bCs/>
                <w:color w:val="000000" w:themeColor="text1"/>
                <w:kern w:val="0"/>
                <w:sz w:val="24"/>
                <w:lang w:val="en-US" w:eastAsia="zh-CN"/>
                <w14:textFill>
                  <w14:solidFill>
                    <w14:schemeClr w14:val="tx1"/>
                  </w14:solidFill>
                </w14:textFill>
              </w:rPr>
              <w:t>500m，故本报告噪声现状值</w:t>
            </w:r>
            <w:r>
              <w:rPr>
                <w:rFonts w:hint="eastAsia" w:ascii="Times New Roman" w:hAnsi="Times New Roman" w:eastAsia="宋体" w:cs="Times New Roman"/>
                <w:bCs/>
                <w:color w:val="000000" w:themeColor="text1"/>
                <w:kern w:val="0"/>
                <w:sz w:val="24"/>
                <w:lang w:eastAsia="zh-CN"/>
                <w14:textFill>
                  <w14:solidFill>
                    <w14:schemeClr w14:val="tx1"/>
                  </w14:solidFill>
                </w14:textFill>
              </w:rPr>
              <w:t>参考已取得生态环境部门批复的《湛江市干洁洗涤有限公司铁路西农垦服装工业区锅炉扩建项目环境影响报告表》中噪声分析中所列的现状值，经计算，</w:t>
            </w:r>
            <w:r>
              <w:rPr>
                <w:rFonts w:ascii="Times New Roman" w:hAnsi="Times New Roman" w:eastAsia="宋体" w:cs="Times New Roman"/>
                <w:bCs/>
                <w:color w:val="000000" w:themeColor="text1"/>
                <w:kern w:val="0"/>
                <w:sz w:val="24"/>
                <w14:textFill>
                  <w14:solidFill>
                    <w14:schemeClr w14:val="tx1"/>
                  </w14:solidFill>
                </w14:textFill>
              </w:rPr>
              <w:t>预测结果见下表。</w:t>
            </w:r>
          </w:p>
          <w:p w14:paraId="62CBA151">
            <w:pPr>
              <w:spacing w:line="480" w:lineRule="exact"/>
              <w:jc w:val="center"/>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表4-</w:t>
            </w:r>
            <w:r>
              <w:rPr>
                <w:rFonts w:hint="eastAsia"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eastAsia="宋体" w:cs="Times New Roman"/>
                <w:b/>
                <w:bCs/>
                <w:color w:val="000000" w:themeColor="text1"/>
                <w:sz w:val="24"/>
                <w:lang w:val="en-US" w:eastAsia="zh-CN"/>
                <w14:textFill>
                  <w14:solidFill>
                    <w14:schemeClr w14:val="tx1"/>
                  </w14:solidFill>
                </w14:textFill>
              </w:rPr>
              <w:t>3</w:t>
            </w:r>
            <w:r>
              <w:rPr>
                <w:rFonts w:hint="eastAsia" w:ascii="Times New Roman" w:hAnsi="Times New Roman" w:eastAsia="宋体" w:cs="Times New Roman"/>
                <w:b/>
                <w:bCs/>
                <w:color w:val="000000" w:themeColor="text1"/>
                <w:sz w:val="24"/>
                <w14:textFill>
                  <w14:solidFill>
                    <w14:schemeClr w14:val="tx1"/>
                  </w14:solidFill>
                </w14:textFill>
              </w:rPr>
              <w:t>项目</w:t>
            </w:r>
            <w:r>
              <w:rPr>
                <w:rFonts w:ascii="Times New Roman" w:hAnsi="Times New Roman" w:eastAsia="宋体" w:cs="Times New Roman"/>
                <w:b/>
                <w:bCs/>
                <w:color w:val="000000" w:themeColor="text1"/>
                <w:sz w:val="24"/>
                <w14:textFill>
                  <w14:solidFill>
                    <w14:schemeClr w14:val="tx1"/>
                  </w14:solidFill>
                </w14:textFill>
              </w:rPr>
              <w:t>车间预测声源源强一览表</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732"/>
              <w:gridCol w:w="1457"/>
              <w:gridCol w:w="832"/>
              <w:gridCol w:w="720"/>
              <w:gridCol w:w="763"/>
              <w:gridCol w:w="979"/>
            </w:tblGrid>
            <w:tr w14:paraId="00CF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 w:type="pct"/>
                  <w:vMerge w:val="restart"/>
                  <w:noWrap w:val="0"/>
                  <w:vAlign w:val="center"/>
                </w:tcPr>
                <w:p w14:paraId="156CC95A">
                  <w:pPr>
                    <w:pStyle w:val="28"/>
                    <w:widowControl w:val="0"/>
                    <w:autoSpaceDE w:val="0"/>
                    <w:autoSpaceDN w:val="0"/>
                    <w:adjustRightInd w:val="0"/>
                    <w:spacing w:before="0" w:beforeAutospacing="0" w:after="0" w:afterAutospacing="0"/>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位置</w:t>
                  </w:r>
                </w:p>
              </w:tc>
              <w:tc>
                <w:tcPr>
                  <w:tcW w:w="1083" w:type="pct"/>
                  <w:vMerge w:val="restart"/>
                  <w:noWrap w:val="0"/>
                  <w:vAlign w:val="center"/>
                </w:tcPr>
                <w:p w14:paraId="7DB2C9BB">
                  <w:pPr>
                    <w:autoSpaceDE w:val="0"/>
                    <w:autoSpaceDN w:val="0"/>
                    <w:adjustRightInd w:val="0"/>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叠加源强</w:t>
                  </w:r>
                  <w:r>
                    <w:rPr>
                      <w:rFonts w:ascii="Times New Roman" w:hAnsi="Times New Roman" w:eastAsia="宋体" w:cs="Times New Roman"/>
                      <w:b/>
                      <w:color w:val="000000" w:themeColor="text1"/>
                      <w14:textFill>
                        <w14:solidFill>
                          <w14:schemeClr w14:val="tx1"/>
                        </w14:solidFill>
                      </w14:textFill>
                    </w:rPr>
                    <w:t>dB(A)</w:t>
                  </w:r>
                </w:p>
              </w:tc>
              <w:tc>
                <w:tcPr>
                  <w:tcW w:w="911" w:type="pct"/>
                  <w:vMerge w:val="restart"/>
                  <w:noWrap w:val="0"/>
                  <w:vAlign w:val="center"/>
                </w:tcPr>
                <w:p w14:paraId="29ECE6F2">
                  <w:pPr>
                    <w:autoSpaceDE w:val="0"/>
                    <w:autoSpaceDN w:val="0"/>
                    <w:adjustRightInd w:val="0"/>
                    <w:jc w:val="center"/>
                    <w:rPr>
                      <w:rFonts w:hint="eastAsia"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降噪后室外源强dB(A)</w:t>
                  </w:r>
                </w:p>
              </w:tc>
              <w:tc>
                <w:tcPr>
                  <w:tcW w:w="2059" w:type="pct"/>
                  <w:gridSpan w:val="4"/>
                  <w:noWrap w:val="0"/>
                  <w:vAlign w:val="center"/>
                </w:tcPr>
                <w:p w14:paraId="448C15F6">
                  <w:pPr>
                    <w:autoSpaceDE w:val="0"/>
                    <w:autoSpaceDN w:val="0"/>
                    <w:adjustRightInd w:val="0"/>
                    <w:jc w:val="center"/>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color w:val="000000" w:themeColor="text1"/>
                      <w:szCs w:val="21"/>
                      <w14:textFill>
                        <w14:solidFill>
                          <w14:schemeClr w14:val="tx1"/>
                        </w14:solidFill>
                      </w14:textFill>
                    </w:rPr>
                    <w:t>离厂界最近距离m</w:t>
                  </w:r>
                </w:p>
              </w:tc>
            </w:tr>
            <w:tr w14:paraId="3157E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 w:type="pct"/>
                  <w:vMerge w:val="continue"/>
                  <w:noWrap w:val="0"/>
                  <w:vAlign w:val="center"/>
                </w:tcPr>
                <w:p w14:paraId="7EA15B2C">
                  <w:pPr>
                    <w:pStyle w:val="28"/>
                    <w:widowControl w:val="0"/>
                    <w:autoSpaceDE w:val="0"/>
                    <w:autoSpaceDN w:val="0"/>
                    <w:adjustRightIn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p>
              </w:tc>
              <w:tc>
                <w:tcPr>
                  <w:tcW w:w="1083" w:type="pct"/>
                  <w:vMerge w:val="continue"/>
                  <w:noWrap w:val="0"/>
                  <w:vAlign w:val="center"/>
                </w:tcPr>
                <w:p w14:paraId="2FC49B5D">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p>
              </w:tc>
              <w:tc>
                <w:tcPr>
                  <w:tcW w:w="911" w:type="pct"/>
                  <w:vMerge w:val="continue"/>
                  <w:noWrap w:val="0"/>
                  <w:vAlign w:val="center"/>
                </w:tcPr>
                <w:p w14:paraId="58DCFEFB">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p>
              </w:tc>
              <w:tc>
                <w:tcPr>
                  <w:tcW w:w="520" w:type="pct"/>
                  <w:noWrap w:val="0"/>
                  <w:vAlign w:val="center"/>
                </w:tcPr>
                <w:p w14:paraId="7B1E574C">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东面</w:t>
                  </w:r>
                </w:p>
              </w:tc>
              <w:tc>
                <w:tcPr>
                  <w:tcW w:w="450" w:type="pct"/>
                  <w:noWrap w:val="0"/>
                  <w:vAlign w:val="center"/>
                </w:tcPr>
                <w:p w14:paraId="3405EE95">
                  <w:pPr>
                    <w:autoSpaceDE w:val="0"/>
                    <w:autoSpaceDN w:val="0"/>
                    <w:adjustRightInd w:val="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南面</w:t>
                  </w:r>
                </w:p>
              </w:tc>
              <w:tc>
                <w:tcPr>
                  <w:tcW w:w="477" w:type="pct"/>
                  <w:noWrap w:val="0"/>
                  <w:vAlign w:val="center"/>
                </w:tcPr>
                <w:p w14:paraId="074A6E8D">
                  <w:pPr>
                    <w:autoSpaceDE w:val="0"/>
                    <w:autoSpaceDN w:val="0"/>
                    <w:adjustRightInd w:val="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西面</w:t>
                  </w:r>
                </w:p>
              </w:tc>
              <w:tc>
                <w:tcPr>
                  <w:tcW w:w="611" w:type="pct"/>
                  <w:noWrap w:val="0"/>
                  <w:vAlign w:val="center"/>
                </w:tcPr>
                <w:p w14:paraId="7A0B0959">
                  <w:pPr>
                    <w:autoSpaceDE w:val="0"/>
                    <w:autoSpaceDN w:val="0"/>
                    <w:adjustRightInd w:val="0"/>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北面</w:t>
                  </w:r>
                </w:p>
              </w:tc>
            </w:tr>
            <w:tr w14:paraId="0D27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 w:type="pct"/>
                  <w:noWrap w:val="0"/>
                  <w:vAlign w:val="center"/>
                </w:tcPr>
                <w:p w14:paraId="3FE69D15">
                  <w:pPr>
                    <w:pStyle w:val="28"/>
                    <w:widowControl w:val="0"/>
                    <w:autoSpaceDE w:val="0"/>
                    <w:autoSpaceDN w:val="0"/>
                    <w:adjustRightInd w:val="0"/>
                    <w:spacing w:before="0" w:beforeAutospacing="0" w:after="0" w:afterAutospacing="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生产车间</w:t>
                  </w:r>
                </w:p>
              </w:tc>
              <w:tc>
                <w:tcPr>
                  <w:tcW w:w="1083" w:type="pct"/>
                  <w:noWrap w:val="0"/>
                  <w:vAlign w:val="center"/>
                </w:tcPr>
                <w:p w14:paraId="0D7C74A4">
                  <w:pPr>
                    <w:autoSpaceDE w:val="0"/>
                    <w:autoSpaceDN w:val="0"/>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90</w:t>
                  </w:r>
                </w:p>
              </w:tc>
              <w:tc>
                <w:tcPr>
                  <w:tcW w:w="911" w:type="pct"/>
                  <w:noWrap w:val="0"/>
                  <w:vAlign w:val="center"/>
                </w:tcPr>
                <w:p w14:paraId="769CB6F5">
                  <w:pPr>
                    <w:autoSpaceDE w:val="0"/>
                    <w:autoSpaceDN w:val="0"/>
                    <w:adjustRightInd w:val="0"/>
                    <w:jc w:val="center"/>
                    <w:rPr>
                      <w:rFonts w:hint="default" w:ascii="Times New Roman" w:hAnsi="Times New Roman" w:eastAsia="宋体" w:cs="Times New Roman"/>
                      <w:color w:val="000000" w:themeColor="text1"/>
                      <w:lang w:val="en-US" w:eastAsia="zh-CN"/>
                      <w14:textFill>
                        <w14:solidFill>
                          <w14:schemeClr w14:val="tx1"/>
                        </w14:solidFill>
                      </w14:textFill>
                    </w:rPr>
                  </w:pPr>
                  <w:r>
                    <w:rPr>
                      <w:rStyle w:val="39"/>
                      <w:rFonts w:hint="eastAsia" w:eastAsia="宋体"/>
                      <w:color w:val="000000" w:themeColor="text1"/>
                      <w:kern w:val="0"/>
                      <w:szCs w:val="20"/>
                      <w:lang w:val="en-US" w:eastAsia="zh-CN"/>
                      <w14:textFill>
                        <w14:solidFill>
                          <w14:schemeClr w14:val="tx1"/>
                        </w14:solidFill>
                      </w14:textFill>
                    </w:rPr>
                    <w:t>60</w:t>
                  </w:r>
                </w:p>
              </w:tc>
              <w:tc>
                <w:tcPr>
                  <w:tcW w:w="520" w:type="pct"/>
                  <w:noWrap w:val="0"/>
                  <w:vAlign w:val="center"/>
                </w:tcPr>
                <w:p w14:paraId="3195A06B">
                  <w:pPr>
                    <w:jc w:val="center"/>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w:t>
                  </w:r>
                </w:p>
              </w:tc>
              <w:tc>
                <w:tcPr>
                  <w:tcW w:w="450" w:type="pct"/>
                  <w:noWrap w:val="0"/>
                  <w:vAlign w:val="center"/>
                </w:tcPr>
                <w:p w14:paraId="4B51AEB6">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5</w:t>
                  </w:r>
                </w:p>
              </w:tc>
              <w:tc>
                <w:tcPr>
                  <w:tcW w:w="477" w:type="pct"/>
                  <w:noWrap w:val="0"/>
                  <w:vAlign w:val="center"/>
                </w:tcPr>
                <w:p w14:paraId="0D07AA92">
                  <w:pPr>
                    <w:jc w:val="center"/>
                    <w:rPr>
                      <w:rFonts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20</w:t>
                  </w:r>
                </w:p>
              </w:tc>
              <w:tc>
                <w:tcPr>
                  <w:tcW w:w="611" w:type="pct"/>
                  <w:noWrap w:val="0"/>
                  <w:vAlign w:val="center"/>
                </w:tcPr>
                <w:p w14:paraId="2278C3F2">
                  <w:pPr>
                    <w:jc w:val="center"/>
                    <w:rPr>
                      <w:rFonts w:hint="eastAsia"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w:t>
                  </w:r>
                </w:p>
              </w:tc>
            </w:tr>
            <w:tr w14:paraId="21E1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 w:type="pct"/>
                  <w:noWrap w:val="0"/>
                  <w:vAlign w:val="center"/>
                </w:tcPr>
                <w:p w14:paraId="441D0378">
                  <w:pPr>
                    <w:pStyle w:val="28"/>
                    <w:widowControl w:val="0"/>
                    <w:autoSpaceDE w:val="0"/>
                    <w:autoSpaceDN w:val="0"/>
                    <w:adjustRightInd w:val="0"/>
                    <w:spacing w:before="0" w:beforeAutospacing="0" w:after="0" w:afterAutospacing="0"/>
                    <w:jc w:val="both"/>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生物质锅炉</w:t>
                  </w:r>
                </w:p>
              </w:tc>
              <w:tc>
                <w:tcPr>
                  <w:tcW w:w="1083" w:type="pct"/>
                  <w:noWrap w:val="0"/>
                  <w:vAlign w:val="center"/>
                </w:tcPr>
                <w:p w14:paraId="12EE8A8E">
                  <w:pPr>
                    <w:autoSpaceDE w:val="0"/>
                    <w:autoSpaceDN w:val="0"/>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85</w:t>
                  </w:r>
                </w:p>
              </w:tc>
              <w:tc>
                <w:tcPr>
                  <w:tcW w:w="911" w:type="pct"/>
                  <w:noWrap w:val="0"/>
                  <w:vAlign w:val="center"/>
                </w:tcPr>
                <w:p w14:paraId="6E0B5647">
                  <w:pPr>
                    <w:autoSpaceDE w:val="0"/>
                    <w:autoSpaceDN w:val="0"/>
                    <w:adjustRightInd w:val="0"/>
                    <w:jc w:val="center"/>
                    <w:rPr>
                      <w:rStyle w:val="39"/>
                      <w:rFonts w:hint="default" w:eastAsia="宋体"/>
                      <w:color w:val="000000" w:themeColor="text1"/>
                      <w:kern w:val="0"/>
                      <w:szCs w:val="20"/>
                      <w:lang w:val="en-US" w:eastAsia="zh-CN"/>
                      <w14:textFill>
                        <w14:solidFill>
                          <w14:schemeClr w14:val="tx1"/>
                        </w14:solidFill>
                      </w14:textFill>
                    </w:rPr>
                  </w:pPr>
                  <w:r>
                    <w:rPr>
                      <w:rStyle w:val="39"/>
                      <w:rFonts w:hint="eastAsia" w:eastAsia="宋体"/>
                      <w:color w:val="000000" w:themeColor="text1"/>
                      <w:kern w:val="0"/>
                      <w:szCs w:val="20"/>
                      <w:lang w:val="en-US" w:eastAsia="zh-CN"/>
                      <w14:textFill>
                        <w14:solidFill>
                          <w14:schemeClr w14:val="tx1"/>
                        </w14:solidFill>
                      </w14:textFill>
                    </w:rPr>
                    <w:t>55</w:t>
                  </w:r>
                </w:p>
              </w:tc>
              <w:tc>
                <w:tcPr>
                  <w:tcW w:w="520" w:type="pct"/>
                  <w:noWrap w:val="0"/>
                  <w:vAlign w:val="center"/>
                </w:tcPr>
                <w:p w14:paraId="190C13D7">
                  <w:pPr>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3</w:t>
                  </w:r>
                </w:p>
              </w:tc>
              <w:tc>
                <w:tcPr>
                  <w:tcW w:w="450" w:type="pct"/>
                  <w:noWrap w:val="0"/>
                  <w:vAlign w:val="center"/>
                </w:tcPr>
                <w:p w14:paraId="612DBB19">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40</w:t>
                  </w:r>
                </w:p>
              </w:tc>
              <w:tc>
                <w:tcPr>
                  <w:tcW w:w="477" w:type="pct"/>
                  <w:noWrap w:val="0"/>
                  <w:vAlign w:val="center"/>
                </w:tcPr>
                <w:p w14:paraId="69AC5128">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20</w:t>
                  </w:r>
                </w:p>
              </w:tc>
              <w:tc>
                <w:tcPr>
                  <w:tcW w:w="611" w:type="pct"/>
                  <w:noWrap w:val="0"/>
                  <w:vAlign w:val="center"/>
                </w:tcPr>
                <w:p w14:paraId="7AB2D5A5">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15</w:t>
                  </w:r>
                </w:p>
              </w:tc>
            </w:tr>
            <w:tr w14:paraId="41D9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 w:type="pct"/>
                  <w:noWrap w:val="0"/>
                  <w:vAlign w:val="center"/>
                </w:tcPr>
                <w:p w14:paraId="6542EA6F">
                  <w:pPr>
                    <w:pStyle w:val="28"/>
                    <w:widowControl w:val="0"/>
                    <w:autoSpaceDE w:val="0"/>
                    <w:autoSpaceDN w:val="0"/>
                    <w:adjustRightInd w:val="0"/>
                    <w:spacing w:before="0" w:beforeAutospacing="0" w:after="0" w:afterAutospacing="0"/>
                    <w:jc w:val="both"/>
                    <w:rPr>
                      <w:rFonts w:hint="eastAsia" w:ascii="Times New Roman" w:hAnsi="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软水制备系统</w:t>
                  </w:r>
                </w:p>
              </w:tc>
              <w:tc>
                <w:tcPr>
                  <w:tcW w:w="1083" w:type="pct"/>
                  <w:noWrap w:val="0"/>
                  <w:vAlign w:val="center"/>
                </w:tcPr>
                <w:p w14:paraId="04B35355">
                  <w:pPr>
                    <w:autoSpaceDE w:val="0"/>
                    <w:autoSpaceDN w:val="0"/>
                    <w:adjustRightInd w:val="0"/>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80</w:t>
                  </w:r>
                </w:p>
              </w:tc>
              <w:tc>
                <w:tcPr>
                  <w:tcW w:w="911" w:type="pct"/>
                  <w:noWrap w:val="0"/>
                  <w:vAlign w:val="center"/>
                </w:tcPr>
                <w:p w14:paraId="362745BE">
                  <w:pPr>
                    <w:autoSpaceDE w:val="0"/>
                    <w:autoSpaceDN w:val="0"/>
                    <w:adjustRightInd w:val="0"/>
                    <w:jc w:val="center"/>
                    <w:rPr>
                      <w:rStyle w:val="39"/>
                      <w:rFonts w:hint="default" w:eastAsia="宋体"/>
                      <w:color w:val="000000" w:themeColor="text1"/>
                      <w:kern w:val="0"/>
                      <w:szCs w:val="20"/>
                      <w:lang w:val="en-US" w:eastAsia="zh-CN"/>
                      <w14:textFill>
                        <w14:solidFill>
                          <w14:schemeClr w14:val="tx1"/>
                        </w14:solidFill>
                      </w14:textFill>
                    </w:rPr>
                  </w:pPr>
                  <w:r>
                    <w:rPr>
                      <w:rStyle w:val="39"/>
                      <w:rFonts w:hint="eastAsia" w:eastAsia="宋体"/>
                      <w:color w:val="000000" w:themeColor="text1"/>
                      <w:kern w:val="0"/>
                      <w:szCs w:val="20"/>
                      <w:lang w:val="en-US" w:eastAsia="zh-CN"/>
                      <w14:textFill>
                        <w14:solidFill>
                          <w14:schemeClr w14:val="tx1"/>
                        </w14:solidFill>
                      </w14:textFill>
                    </w:rPr>
                    <w:t>50</w:t>
                  </w:r>
                </w:p>
              </w:tc>
              <w:tc>
                <w:tcPr>
                  <w:tcW w:w="520" w:type="pct"/>
                  <w:noWrap w:val="0"/>
                  <w:vAlign w:val="center"/>
                </w:tcPr>
                <w:p w14:paraId="1CA2BE6A">
                  <w:pPr>
                    <w:jc w:val="center"/>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5</w:t>
                  </w:r>
                </w:p>
              </w:tc>
              <w:tc>
                <w:tcPr>
                  <w:tcW w:w="450" w:type="pct"/>
                  <w:noWrap w:val="0"/>
                  <w:vAlign w:val="center"/>
                </w:tcPr>
                <w:p w14:paraId="518FB11E">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40</w:t>
                  </w:r>
                </w:p>
              </w:tc>
              <w:tc>
                <w:tcPr>
                  <w:tcW w:w="477" w:type="pct"/>
                  <w:noWrap w:val="0"/>
                  <w:vAlign w:val="center"/>
                </w:tcPr>
                <w:p w14:paraId="158BDD60">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16</w:t>
                  </w:r>
                </w:p>
              </w:tc>
              <w:tc>
                <w:tcPr>
                  <w:tcW w:w="611" w:type="pct"/>
                  <w:noWrap w:val="0"/>
                  <w:vAlign w:val="center"/>
                </w:tcPr>
                <w:p w14:paraId="02DB843C">
                  <w:pPr>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15</w:t>
                  </w:r>
                </w:p>
              </w:tc>
            </w:tr>
            <w:tr w14:paraId="1DAE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5" w:type="pct"/>
                  <w:noWrap w:val="0"/>
                  <w:vAlign w:val="center"/>
                </w:tcPr>
                <w:p w14:paraId="7802181E">
                  <w:pPr>
                    <w:pStyle w:val="28"/>
                    <w:widowControl w:val="0"/>
                    <w:autoSpaceDE w:val="0"/>
                    <w:autoSpaceDN w:val="0"/>
                    <w:adjustRightInd w:val="0"/>
                    <w:spacing w:before="0" w:beforeAutospacing="0" w:after="0" w:afterAutospacing="0"/>
                    <w:jc w:val="center"/>
                    <w:rPr>
                      <w:rFonts w:hint="eastAsia"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污水站</w:t>
                  </w:r>
                </w:p>
              </w:tc>
              <w:tc>
                <w:tcPr>
                  <w:tcW w:w="1083" w:type="pct"/>
                  <w:noWrap w:val="0"/>
                  <w:vAlign w:val="center"/>
                </w:tcPr>
                <w:p w14:paraId="04733319">
                  <w:pPr>
                    <w:autoSpaceDE w:val="0"/>
                    <w:autoSpaceDN w:val="0"/>
                    <w:adjustRightInd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73</w:t>
                  </w:r>
                </w:p>
              </w:tc>
              <w:tc>
                <w:tcPr>
                  <w:tcW w:w="911" w:type="pct"/>
                  <w:noWrap w:val="0"/>
                  <w:vAlign w:val="center"/>
                </w:tcPr>
                <w:p w14:paraId="0AB90B73">
                  <w:pPr>
                    <w:autoSpaceDE w:val="0"/>
                    <w:autoSpaceDN w:val="0"/>
                    <w:adjustRightInd w:val="0"/>
                    <w:jc w:val="center"/>
                    <w:rPr>
                      <w:rStyle w:val="39"/>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48</w:t>
                  </w:r>
                </w:p>
              </w:tc>
              <w:tc>
                <w:tcPr>
                  <w:tcW w:w="520" w:type="pct"/>
                  <w:noWrap w:val="0"/>
                  <w:vAlign w:val="center"/>
                </w:tcPr>
                <w:p w14:paraId="3A54A6D7">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10</w:t>
                  </w:r>
                </w:p>
              </w:tc>
              <w:tc>
                <w:tcPr>
                  <w:tcW w:w="450" w:type="pct"/>
                  <w:noWrap w:val="0"/>
                  <w:vAlign w:val="center"/>
                </w:tcPr>
                <w:p w14:paraId="333484AC">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20</w:t>
                  </w:r>
                </w:p>
              </w:tc>
              <w:tc>
                <w:tcPr>
                  <w:tcW w:w="477" w:type="pct"/>
                  <w:noWrap w:val="0"/>
                  <w:vAlign w:val="center"/>
                </w:tcPr>
                <w:p w14:paraId="0D9E5CC9">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w:t>
                  </w:r>
                </w:p>
              </w:tc>
              <w:tc>
                <w:tcPr>
                  <w:tcW w:w="611" w:type="pct"/>
                  <w:noWrap w:val="0"/>
                  <w:vAlign w:val="center"/>
                </w:tcPr>
                <w:p w14:paraId="51B5E717">
                  <w:pPr>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10</w:t>
                  </w:r>
                </w:p>
              </w:tc>
            </w:tr>
          </w:tbl>
          <w:p w14:paraId="5A1A363C">
            <w:pPr>
              <w:spacing w:line="480" w:lineRule="exact"/>
              <w:jc w:val="center"/>
              <w:rPr>
                <w:rFonts w:ascii="Times New Roman" w:hAnsi="Times New Roman" w:eastAsia="宋体" w:cs="Times New Roman"/>
                <w:b/>
                <w:color w:val="000000" w:themeColor="text1"/>
                <w:szCs w:val="21"/>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表4-</w:t>
            </w:r>
            <w:r>
              <w:rPr>
                <w:rFonts w:hint="eastAsia" w:ascii="Times New Roman" w:hAnsi="Times New Roman" w:eastAsia="宋体" w:cs="Times New Roman"/>
                <w:b/>
                <w:color w:val="000000" w:themeColor="text1"/>
                <w:sz w:val="24"/>
                <w14:textFill>
                  <w14:solidFill>
                    <w14:schemeClr w14:val="tx1"/>
                  </w14:solidFill>
                </w14:textFill>
              </w:rPr>
              <w:t>1</w:t>
            </w:r>
            <w:r>
              <w:rPr>
                <w:rFonts w:hint="eastAsia" w:ascii="Times New Roman" w:hAnsi="Times New Roman" w:eastAsia="宋体" w:cs="Times New Roman"/>
                <w:b/>
                <w:color w:val="000000" w:themeColor="text1"/>
                <w:sz w:val="24"/>
                <w:lang w:val="en-US" w:eastAsia="zh-CN"/>
                <w14:textFill>
                  <w14:solidFill>
                    <w14:schemeClr w14:val="tx1"/>
                  </w14:solidFill>
                </w14:textFill>
              </w:rPr>
              <w:t>4</w:t>
            </w:r>
            <w:r>
              <w:rPr>
                <w:rFonts w:hint="eastAsia" w:ascii="Times New Roman" w:hAnsi="Times New Roman" w:eastAsia="宋体" w:cs="Times New Roman"/>
                <w:b/>
                <w:color w:val="000000" w:themeColor="text1"/>
                <w:sz w:val="24"/>
                <w14:textFill>
                  <w14:solidFill>
                    <w14:schemeClr w14:val="tx1"/>
                  </w14:solidFill>
                </w14:textFill>
              </w:rPr>
              <w:t>项目</w:t>
            </w:r>
            <w:r>
              <w:rPr>
                <w:rFonts w:ascii="Times New Roman" w:hAnsi="Times New Roman" w:eastAsia="宋体" w:cs="Times New Roman"/>
                <w:b/>
                <w:color w:val="000000" w:themeColor="text1"/>
                <w:sz w:val="24"/>
                <w14:textFill>
                  <w14:solidFill>
                    <w14:schemeClr w14:val="tx1"/>
                  </w14:solidFill>
                </w14:textFill>
              </w:rPr>
              <w:t>厂界噪声预测结果</w:t>
            </w:r>
          </w:p>
          <w:p w14:paraId="1040A181">
            <w:pPr>
              <w:spacing w:line="240" w:lineRule="exact"/>
              <w:ind w:firstLine="6535" w:firstLineChars="3100"/>
              <w:jc w:val="both"/>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lang w:eastAsia="zh-CN"/>
                <w14:textFill>
                  <w14:solidFill>
                    <w14:schemeClr w14:val="tx1"/>
                  </w14:solidFill>
                </w14:textFill>
              </w:rPr>
              <w:t>单位：</w:t>
            </w:r>
            <w:r>
              <w:rPr>
                <w:rFonts w:ascii="Times New Roman" w:hAnsi="Times New Roman" w:eastAsia="宋体" w:cs="Times New Roman"/>
                <w:b/>
                <w:color w:val="000000" w:themeColor="text1"/>
                <w14:textFill>
                  <w14:solidFill>
                    <w14:schemeClr w14:val="tx1"/>
                  </w14:solidFill>
                </w14:textFill>
              </w:rPr>
              <w:t>dB(A)</w:t>
            </w:r>
          </w:p>
          <w:tbl>
            <w:tblPr>
              <w:tblStyle w:val="32"/>
              <w:tblW w:w="78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94"/>
              <w:gridCol w:w="1306"/>
              <w:gridCol w:w="1306"/>
              <w:gridCol w:w="1306"/>
              <w:gridCol w:w="1306"/>
            </w:tblGrid>
            <w:tr w14:paraId="3905A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5BDE27C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声源</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FF0B8F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东面</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A2D405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南面</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78944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西面</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68DBCE4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北面</w:t>
                  </w:r>
                </w:p>
              </w:tc>
            </w:tr>
            <w:tr w14:paraId="34E1B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73DD4A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生产车间</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2E70B1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4DA6292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09AB26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26AA27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r>
            <w:tr w14:paraId="4EF60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78E6825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生物质锅炉</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0C558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66811BE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6D29D781">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F11481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r>
            <w:tr w14:paraId="1DD40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4EC5CD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软水制备系统</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3BFE0D3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36.0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0096C5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CA6DE0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25.9</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5C94BB4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r>
            <w:tr w14:paraId="0E954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17540A0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污水站</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3B43C7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577F4E9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299D48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0D9747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p>
              </w:tc>
            </w:tr>
            <w:tr w14:paraId="4AB77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60C0C44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厂界贡献值叠加</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4839EF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52</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503C1D6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46.1</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7B54712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48.4</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3C0AFB7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48.3</w:t>
                  </w:r>
                </w:p>
              </w:tc>
            </w:tr>
            <w:tr w14:paraId="24F42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3587DD1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现状</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值</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BA1502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56.5</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6541B2A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56.8</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63E4CB6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56.8</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66AA39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57.2</w:t>
                  </w:r>
                </w:p>
              </w:tc>
            </w:tr>
            <w:tr w14:paraId="08880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3450691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预测值</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539B1E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57.9</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31078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57.1</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1027CD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57.3</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C25554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57.7</w:t>
                  </w:r>
                </w:p>
              </w:tc>
            </w:tr>
            <w:tr w14:paraId="59B6A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235E11A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标准值</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219E179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1CAF7F7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7A56DD0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B047B1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r>
            <w:tr w14:paraId="3406E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594" w:type="dxa"/>
                  <w:tcBorders>
                    <w:top w:val="single" w:color="000000" w:sz="8" w:space="0"/>
                    <w:left w:val="single" w:color="000000" w:sz="8" w:space="0"/>
                    <w:bottom w:val="single" w:color="000000" w:sz="8" w:space="0"/>
                    <w:right w:val="single" w:color="000000" w:sz="8" w:space="0"/>
                  </w:tcBorders>
                  <w:noWrap w:val="0"/>
                  <w:vAlign w:val="center"/>
                </w:tcPr>
                <w:p w14:paraId="269895B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达标情况</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5CA1A1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达标</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00CFE4C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达标</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60A3161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达标</w:t>
                  </w:r>
                </w:p>
              </w:tc>
              <w:tc>
                <w:tcPr>
                  <w:tcW w:w="1306" w:type="dxa"/>
                  <w:tcBorders>
                    <w:top w:val="single" w:color="000000" w:sz="8" w:space="0"/>
                    <w:left w:val="single" w:color="000000" w:sz="8" w:space="0"/>
                    <w:bottom w:val="single" w:color="000000" w:sz="8" w:space="0"/>
                    <w:right w:val="single" w:color="000000" w:sz="8" w:space="0"/>
                  </w:tcBorders>
                  <w:noWrap w:val="0"/>
                  <w:vAlign w:val="center"/>
                </w:tcPr>
                <w:p w14:paraId="2CE2740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达标</w:t>
                  </w:r>
                </w:p>
              </w:tc>
            </w:tr>
          </w:tbl>
          <w:p w14:paraId="640E5B2F">
            <w:pPr>
              <w:spacing w:line="480" w:lineRule="exact"/>
              <w:ind w:firstLine="480" w:firstLineChars="200"/>
              <w:outlineLvl w:val="2"/>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bCs/>
                <w:color w:val="000000" w:themeColor="text1"/>
                <w:kern w:val="0"/>
                <w:sz w:val="24"/>
                <w14:textFill>
                  <w14:solidFill>
                    <w14:schemeClr w14:val="tx1"/>
                  </w14:solidFill>
                </w14:textFill>
              </w:rPr>
              <w:t>项目在昼间进行生产，故只对昼间的噪声进行预测分析。</w:t>
            </w:r>
            <w:r>
              <w:rPr>
                <w:rFonts w:ascii="Times New Roman" w:hAnsi="Times New Roman" w:eastAsia="宋体" w:cs="Times New Roman"/>
                <w:bCs/>
                <w:color w:val="000000" w:themeColor="text1"/>
                <w:kern w:val="0"/>
                <w:sz w:val="24"/>
                <w14:textFill>
                  <w14:solidFill>
                    <w14:schemeClr w14:val="tx1"/>
                  </w14:solidFill>
                </w14:textFill>
              </w:rPr>
              <w:t>由</w:t>
            </w:r>
            <w:r>
              <w:rPr>
                <w:rFonts w:hint="eastAsia" w:ascii="Times New Roman" w:hAnsi="Times New Roman" w:eastAsia="宋体" w:cs="Times New Roman"/>
                <w:bCs/>
                <w:color w:val="000000" w:themeColor="text1"/>
                <w:kern w:val="0"/>
                <w:sz w:val="24"/>
                <w14:textFill>
                  <w14:solidFill>
                    <w14:schemeClr w14:val="tx1"/>
                  </w14:solidFill>
                </w14:textFill>
              </w:rPr>
              <w:t>上</w:t>
            </w:r>
            <w:r>
              <w:rPr>
                <w:rFonts w:ascii="Times New Roman" w:hAnsi="Times New Roman" w:eastAsia="宋体" w:cs="Times New Roman"/>
                <w:bCs/>
                <w:color w:val="000000" w:themeColor="text1"/>
                <w:kern w:val="0"/>
                <w:sz w:val="24"/>
                <w14:textFill>
                  <w14:solidFill>
                    <w14:schemeClr w14:val="tx1"/>
                  </w14:solidFill>
                </w14:textFill>
              </w:rPr>
              <w:t>表可知，项目设备噪声在经过墙体的阻隔和距离的自然衰减厂界噪声，</w:t>
            </w:r>
            <w:r>
              <w:rPr>
                <w:rFonts w:hint="eastAsia" w:ascii="Times New Roman" w:hAnsi="Times New Roman" w:eastAsia="宋体" w:cs="Times New Roman"/>
                <w:bCs/>
                <w:color w:val="000000" w:themeColor="text1"/>
                <w:kern w:val="0"/>
                <w:sz w:val="24"/>
                <w14:textFill>
                  <w14:solidFill>
                    <w14:schemeClr w14:val="tx1"/>
                  </w14:solidFill>
                </w14:textFill>
              </w:rPr>
              <w:t>项目厂界外1米处噪声贡献值叠加环境背景值可以满足</w:t>
            </w:r>
            <w:r>
              <w:rPr>
                <w:rFonts w:ascii="Times New Roman" w:hAnsi="Times New Roman" w:eastAsia="宋体" w:cs="Times New Roman"/>
                <w:bCs/>
                <w:color w:val="000000" w:themeColor="text1"/>
                <w:kern w:val="0"/>
                <w:sz w:val="24"/>
                <w14:textFill>
                  <w14:solidFill>
                    <w14:schemeClr w14:val="tx1"/>
                  </w14:solidFill>
                </w14:textFill>
              </w:rPr>
              <w:t>《工业企业厂界环境噪声排放标准》(GB12348-2008)中</w:t>
            </w:r>
            <w:r>
              <w:rPr>
                <w:rFonts w:hint="eastAsia" w:ascii="Times New Roman" w:hAnsi="Times New Roman" w:eastAsia="宋体" w:cs="Times New Roman"/>
                <w:bCs/>
                <w:color w:val="000000" w:themeColor="text1"/>
                <w:kern w:val="0"/>
                <w:sz w:val="24"/>
                <w14:textFill>
                  <w14:solidFill>
                    <w14:schemeClr w14:val="tx1"/>
                  </w14:solidFill>
                </w14:textFill>
              </w:rPr>
              <w:t>2</w:t>
            </w:r>
            <w:r>
              <w:rPr>
                <w:rFonts w:ascii="Times New Roman" w:hAnsi="Times New Roman" w:eastAsia="宋体" w:cs="Times New Roman"/>
                <w:bCs/>
                <w:color w:val="000000" w:themeColor="text1"/>
                <w:kern w:val="0"/>
                <w:sz w:val="24"/>
                <w14:textFill>
                  <w14:solidFill>
                    <w14:schemeClr w14:val="tx1"/>
                  </w14:solidFill>
                </w14:textFill>
              </w:rPr>
              <w:t>类标准</w:t>
            </w:r>
            <w:r>
              <w:rPr>
                <w:rFonts w:hint="eastAsia" w:ascii="Times New Roman" w:hAnsi="Times New Roman" w:eastAsia="宋体" w:cs="Times New Roman"/>
                <w:bCs/>
                <w:color w:val="000000" w:themeColor="text1"/>
                <w:kern w:val="0"/>
                <w:sz w:val="24"/>
                <w14:textFill>
                  <w14:solidFill>
                    <w14:schemeClr w14:val="tx1"/>
                  </w14:solidFill>
                </w14:textFill>
              </w:rPr>
              <w:t>：</w:t>
            </w:r>
            <w:r>
              <w:rPr>
                <w:rFonts w:ascii="Times New Roman" w:hAnsi="Times New Roman" w:eastAsia="宋体" w:cs="Times New Roman"/>
                <w:color w:val="000000" w:themeColor="text1"/>
                <w:sz w:val="24"/>
                <w:lang w:bidi="ar"/>
                <w14:textFill>
                  <w14:solidFill>
                    <w14:schemeClr w14:val="tx1"/>
                  </w14:solidFill>
                </w14:textFill>
              </w:rPr>
              <w:t>昼间6</w:t>
            </w:r>
            <w:r>
              <w:rPr>
                <w:rFonts w:hint="eastAsia" w:ascii="Times New Roman" w:hAnsi="Times New Roman" w:eastAsia="宋体" w:cs="Times New Roman"/>
                <w:color w:val="000000" w:themeColor="text1"/>
                <w:sz w:val="24"/>
                <w:lang w:bidi="ar"/>
                <w14:textFill>
                  <w14:solidFill>
                    <w14:schemeClr w14:val="tx1"/>
                  </w14:solidFill>
                </w14:textFill>
              </w:rPr>
              <w:t>0</w:t>
            </w:r>
            <w:r>
              <w:rPr>
                <w:rFonts w:ascii="Times New Roman" w:hAnsi="Times New Roman" w:eastAsia="宋体" w:cs="Times New Roman"/>
                <w:color w:val="000000" w:themeColor="text1"/>
                <w:sz w:val="24"/>
                <w:lang w:bidi="ar"/>
                <w14:textFill>
                  <w14:solidFill>
                    <w14:schemeClr w14:val="tx1"/>
                  </w14:solidFill>
                </w14:textFill>
              </w:rPr>
              <w:t>dB(A)，夜间5</w:t>
            </w:r>
            <w:r>
              <w:rPr>
                <w:rFonts w:hint="eastAsia" w:ascii="Times New Roman" w:hAnsi="Times New Roman" w:eastAsia="宋体" w:cs="Times New Roman"/>
                <w:color w:val="000000" w:themeColor="text1"/>
                <w:sz w:val="24"/>
                <w:lang w:bidi="ar"/>
                <w14:textFill>
                  <w14:solidFill>
                    <w14:schemeClr w14:val="tx1"/>
                  </w14:solidFill>
                </w14:textFill>
              </w:rPr>
              <w:t>0</w:t>
            </w:r>
            <w:r>
              <w:rPr>
                <w:rFonts w:ascii="Times New Roman" w:hAnsi="Times New Roman" w:eastAsia="宋体" w:cs="Times New Roman"/>
                <w:color w:val="000000" w:themeColor="text1"/>
                <w:sz w:val="24"/>
                <w:lang w:bidi="ar"/>
                <w14:textFill>
                  <w14:solidFill>
                    <w14:schemeClr w14:val="tx1"/>
                  </w14:solidFill>
                </w14:textFill>
              </w:rPr>
              <w:t>dB(A)</w:t>
            </w:r>
            <w:r>
              <w:rPr>
                <w:rFonts w:ascii="Times New Roman" w:hAnsi="Times New Roman" w:eastAsia="宋体" w:cs="Times New Roman"/>
                <w:bCs/>
                <w:color w:val="000000" w:themeColor="text1"/>
                <w:kern w:val="0"/>
                <w:sz w:val="24"/>
                <w14:textFill>
                  <w14:solidFill>
                    <w14:schemeClr w14:val="tx1"/>
                  </w14:solidFill>
                </w14:textFill>
              </w:rPr>
              <w:t>。</w:t>
            </w:r>
          </w:p>
          <w:p w14:paraId="62CAF2AE">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3.3噪声影响分析</w:t>
            </w:r>
          </w:p>
          <w:p w14:paraId="719494D0">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lang w:bidi="ar"/>
                <w14:textFill>
                  <w14:solidFill>
                    <w14:schemeClr w14:val="tx1"/>
                  </w14:solidFill>
                </w14:textFill>
              </w:rPr>
              <w:t>为减少噪声对周边环境的影响，建设单位拟采取以下措施：</w:t>
            </w:r>
          </w:p>
          <w:p w14:paraId="13CA952D">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（1）对高噪声设备加装必要的隔声、吸声措施，以尽量减小这些设备的运行噪声对周边环境的影响；生产期间建议车间大门尽量保持关闭的状态，以减弱噪声传播；</w:t>
            </w:r>
          </w:p>
          <w:p w14:paraId="0E859782">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（2）定期对各生产设备进行检修，保证设备正常运转；</w:t>
            </w:r>
          </w:p>
          <w:p w14:paraId="62B33DD3">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（3）加强职工环保意识教育，提倡文明生产；</w:t>
            </w:r>
          </w:p>
          <w:p w14:paraId="11B8E924">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（4）合理安排生产时间，尽量避免午休及夜间时间厂区作业；</w:t>
            </w:r>
          </w:p>
          <w:p w14:paraId="3B49E236">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（5）合理布局车间，将高噪声的机械设备布置在远离敏感区的位置。</w:t>
            </w:r>
          </w:p>
          <w:p w14:paraId="713BB252">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项目厂界外50m范围内无声环境敏感点，且通过以上降噪处理以及经过厂房、围墙的屏蔽、距离和绿化的衰减后，项目厂界各边界可达到《工业企业厂界环境噪声排放标准》（GB12348-2008）</w:t>
            </w:r>
            <w:r>
              <w:rPr>
                <w:rFonts w:hint="eastAsia" w:ascii="Times New Roman" w:hAnsi="Times New Roman" w:eastAsia="宋体" w:cs="Times New Roman"/>
                <w:color w:val="000000" w:themeColor="text1"/>
                <w:sz w:val="24"/>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类标准</w:t>
            </w:r>
            <w:r>
              <w:rPr>
                <w:rFonts w:hint="eastAsia" w:ascii="Times New Roman" w:hAnsi="Times New Roman" w:eastAsia="宋体" w:cs="Times New Roman"/>
                <w:color w:val="000000" w:themeColor="text1"/>
                <w:sz w:val="24"/>
                <w14:textFill>
                  <w14:solidFill>
                    <w14:schemeClr w14:val="tx1"/>
                  </w14:solidFill>
                </w14:textFill>
              </w:rPr>
              <w:t>限值</w:t>
            </w:r>
            <w:r>
              <w:rPr>
                <w:rFonts w:ascii="Times New Roman" w:hAnsi="Times New Roman" w:eastAsia="宋体" w:cs="Times New Roman"/>
                <w:color w:val="000000" w:themeColor="text1"/>
                <w:sz w:val="24"/>
                <w14:textFill>
                  <w14:solidFill>
                    <w14:schemeClr w14:val="tx1"/>
                  </w14:solidFill>
                </w14:textFill>
              </w:rPr>
              <w:t>，且项目周边均为厂房，不会对周围环境产生明显的影响。</w:t>
            </w:r>
          </w:p>
          <w:p w14:paraId="2D783CF9">
            <w:pPr>
              <w:pStyle w:val="28"/>
              <w:widowControl w:val="0"/>
              <w:spacing w:before="0" w:beforeAutospacing="0" w:after="0" w:afterAutospacing="0" w:line="480" w:lineRule="exact"/>
              <w:ind w:firstLine="482" w:firstLineChars="200"/>
              <w:rPr>
                <w:rFonts w:ascii="Times New Roman" w:hAnsi="Times New Roman"/>
                <w:b/>
                <w:bCs/>
                <w:color w:val="000000" w:themeColor="text1"/>
                <w:szCs w:val="24"/>
                <w14:textFill>
                  <w14:solidFill>
                    <w14:schemeClr w14:val="tx1"/>
                  </w14:solidFill>
                </w14:textFill>
              </w:rPr>
            </w:pPr>
            <w:r>
              <w:rPr>
                <w:rFonts w:hint="eastAsia" w:ascii="Times New Roman" w:hAnsi="Times New Roman"/>
                <w:b/>
                <w:bCs/>
                <w:color w:val="000000" w:themeColor="text1"/>
                <w:szCs w:val="24"/>
                <w14:textFill>
                  <w14:solidFill>
                    <w14:schemeClr w14:val="tx1"/>
                  </w14:solidFill>
                </w14:textFill>
              </w:rPr>
              <w:t>3.4</w:t>
            </w:r>
            <w:r>
              <w:rPr>
                <w:rFonts w:ascii="Times New Roman" w:hAnsi="Times New Roman"/>
                <w:b/>
                <w:bCs/>
                <w:color w:val="000000" w:themeColor="text1"/>
                <w:szCs w:val="24"/>
                <w14:textFill>
                  <w14:solidFill>
                    <w14:schemeClr w14:val="tx1"/>
                  </w14:solidFill>
                </w14:textFill>
              </w:rPr>
              <w:t>环境监测</w:t>
            </w:r>
          </w:p>
          <w:p w14:paraId="671CE19A">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根据</w:t>
            </w:r>
            <w:r>
              <w:rPr>
                <w:rFonts w:ascii="Times New Roman" w:hAnsi="Times New Roman" w:eastAsia="宋体" w:cs="Times New Roman"/>
                <w:color w:val="000000" w:themeColor="text1"/>
                <w:sz w:val="24"/>
                <w14:textFill>
                  <w14:solidFill>
                    <w14:schemeClr w14:val="tx1"/>
                  </w14:solidFill>
                </w14:textFill>
              </w:rPr>
              <w:t>《排污许可证申请与核发技术规范工业噪声》（HJ1301-2023），项目在生产运行阶段需对噪声污染源进行管理监测，自行监测计划如下表所示：</w:t>
            </w:r>
          </w:p>
          <w:p w14:paraId="7F5B9881">
            <w:pPr>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表4-</w:t>
            </w:r>
            <w:r>
              <w:rPr>
                <w:rFonts w:hint="eastAsia" w:ascii="Times New Roman" w:hAnsi="Times New Roman" w:eastAsia="宋体" w:cs="Times New Roman"/>
                <w:b/>
                <w:color w:val="000000" w:themeColor="text1"/>
                <w:sz w:val="24"/>
                <w14:textFill>
                  <w14:solidFill>
                    <w14:schemeClr w14:val="tx1"/>
                  </w14:solidFill>
                </w14:textFill>
              </w:rPr>
              <w:t>1</w:t>
            </w:r>
            <w:r>
              <w:rPr>
                <w:rFonts w:hint="eastAsia" w:ascii="Times New Roman" w:hAnsi="Times New Roman" w:eastAsia="宋体" w:cs="Times New Roman"/>
                <w:b/>
                <w:color w:val="000000" w:themeColor="text1"/>
                <w:sz w:val="24"/>
                <w:lang w:val="en-US" w:eastAsia="zh-CN"/>
                <w14:textFill>
                  <w14:solidFill>
                    <w14:schemeClr w14:val="tx1"/>
                  </w14:solidFill>
                </w14:textFill>
              </w:rPr>
              <w:t>5</w:t>
            </w:r>
            <w:r>
              <w:rPr>
                <w:rFonts w:hint="eastAsia" w:ascii="Times New Roman" w:hAnsi="Times New Roman" w:eastAsia="宋体" w:cs="Times New Roman"/>
                <w:b/>
                <w:color w:val="000000" w:themeColor="text1"/>
                <w:sz w:val="24"/>
                <w14:textFill>
                  <w14:solidFill>
                    <w14:schemeClr w14:val="tx1"/>
                  </w14:solidFill>
                </w14:textFill>
              </w:rPr>
              <w:t>项目</w:t>
            </w:r>
            <w:r>
              <w:rPr>
                <w:rFonts w:ascii="Times New Roman" w:hAnsi="Times New Roman" w:eastAsia="宋体" w:cs="Times New Roman"/>
                <w:b/>
                <w:color w:val="000000" w:themeColor="text1"/>
                <w:sz w:val="24"/>
                <w14:textFill>
                  <w14:solidFill>
                    <w14:schemeClr w14:val="tx1"/>
                  </w14:solidFill>
                </w14:textFill>
              </w:rPr>
              <w:t>营运期声环境监测计划一览表</w:t>
            </w:r>
          </w:p>
          <w:tbl>
            <w:tblPr>
              <w:tblStyle w:val="32"/>
              <w:tblW w:w="4902"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6"/>
              <w:gridCol w:w="692"/>
              <w:gridCol w:w="1181"/>
              <w:gridCol w:w="1090"/>
              <w:gridCol w:w="1282"/>
              <w:gridCol w:w="3159"/>
            </w:tblGrid>
            <w:tr w14:paraId="5499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right"/>
              </w:trPr>
              <w:tc>
                <w:tcPr>
                  <w:tcW w:w="278" w:type="pct"/>
                  <w:noWrap w:val="0"/>
                  <w:vAlign w:val="center"/>
                </w:tcPr>
                <w:p w14:paraId="44B06316">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序号</w:t>
                  </w:r>
                </w:p>
              </w:tc>
              <w:tc>
                <w:tcPr>
                  <w:tcW w:w="441" w:type="pct"/>
                  <w:noWrap w:val="0"/>
                  <w:vAlign w:val="center"/>
                </w:tcPr>
                <w:p w14:paraId="0C68C73E">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监测点</w:t>
                  </w:r>
                </w:p>
              </w:tc>
              <w:tc>
                <w:tcPr>
                  <w:tcW w:w="753" w:type="pct"/>
                  <w:noWrap w:val="0"/>
                  <w:vAlign w:val="center"/>
                </w:tcPr>
                <w:p w14:paraId="77F15CAC">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监测位置</w:t>
                  </w:r>
                </w:p>
              </w:tc>
              <w:tc>
                <w:tcPr>
                  <w:tcW w:w="695" w:type="pct"/>
                  <w:noWrap w:val="0"/>
                  <w:vAlign w:val="center"/>
                </w:tcPr>
                <w:p w14:paraId="5C85032F">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监测项目</w:t>
                  </w:r>
                </w:p>
              </w:tc>
              <w:tc>
                <w:tcPr>
                  <w:tcW w:w="817" w:type="pct"/>
                  <w:noWrap w:val="0"/>
                  <w:vAlign w:val="center"/>
                </w:tcPr>
                <w:p w14:paraId="151EFD7B">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监测频次</w:t>
                  </w:r>
                </w:p>
              </w:tc>
              <w:tc>
                <w:tcPr>
                  <w:tcW w:w="2013" w:type="pct"/>
                  <w:noWrap w:val="0"/>
                  <w:vAlign w:val="center"/>
                </w:tcPr>
                <w:p w14:paraId="59750967">
                  <w:pPr>
                    <w:pStyle w:val="61"/>
                    <w:spacing w:line="240" w:lineRule="auto"/>
                    <w:ind w:firstLine="0"/>
                    <w:rPr>
                      <w:bCs/>
                      <w:color w:val="000000" w:themeColor="text1"/>
                      <w14:textFill>
                        <w14:solidFill>
                          <w14:schemeClr w14:val="tx1"/>
                        </w14:solidFill>
                      </w14:textFill>
                    </w:rPr>
                  </w:pPr>
                  <w:r>
                    <w:rPr>
                      <w:bCs/>
                      <w:color w:val="000000" w:themeColor="text1"/>
                      <w14:textFill>
                        <w14:solidFill>
                          <w14:schemeClr w14:val="tx1"/>
                        </w14:solidFill>
                      </w14:textFill>
                    </w:rPr>
                    <w:t>排放标准</w:t>
                  </w:r>
                </w:p>
              </w:tc>
            </w:tr>
            <w:tr w14:paraId="6D37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right"/>
              </w:trPr>
              <w:tc>
                <w:tcPr>
                  <w:tcW w:w="278" w:type="pct"/>
                  <w:noWrap w:val="0"/>
                  <w:vAlign w:val="center"/>
                </w:tcPr>
                <w:p w14:paraId="47AE49E0">
                  <w:pPr>
                    <w:pStyle w:val="61"/>
                    <w:spacing w:line="240" w:lineRule="auto"/>
                    <w:ind w:firstLine="0"/>
                    <w:rPr>
                      <w:b w:val="0"/>
                      <w:color w:val="000000" w:themeColor="text1"/>
                      <w14:textFill>
                        <w14:solidFill>
                          <w14:schemeClr w14:val="tx1"/>
                        </w14:solidFill>
                      </w14:textFill>
                    </w:rPr>
                  </w:pPr>
                  <w:r>
                    <w:rPr>
                      <w:b w:val="0"/>
                      <w:color w:val="000000" w:themeColor="text1"/>
                      <w14:textFill>
                        <w14:solidFill>
                          <w14:schemeClr w14:val="tx1"/>
                        </w14:solidFill>
                      </w14:textFill>
                    </w:rPr>
                    <w:t>1</w:t>
                  </w:r>
                </w:p>
              </w:tc>
              <w:tc>
                <w:tcPr>
                  <w:tcW w:w="441" w:type="pct"/>
                  <w:noWrap w:val="0"/>
                  <w:vAlign w:val="center"/>
                </w:tcPr>
                <w:p w14:paraId="26FC8D46">
                  <w:pPr>
                    <w:pStyle w:val="61"/>
                    <w:spacing w:line="240" w:lineRule="auto"/>
                    <w:ind w:firstLine="0"/>
                    <w:rPr>
                      <w:b w:val="0"/>
                      <w:color w:val="000000" w:themeColor="text1"/>
                      <w14:textFill>
                        <w14:solidFill>
                          <w14:schemeClr w14:val="tx1"/>
                        </w14:solidFill>
                      </w14:textFill>
                    </w:rPr>
                  </w:pPr>
                  <w:r>
                    <w:rPr>
                      <w:b w:val="0"/>
                      <w:color w:val="000000" w:themeColor="text1"/>
                      <w14:textFill>
                        <w14:solidFill>
                          <w14:schemeClr w14:val="tx1"/>
                        </w14:solidFill>
                      </w14:textFill>
                    </w:rPr>
                    <w:t>厂界</w:t>
                  </w:r>
                </w:p>
              </w:tc>
              <w:tc>
                <w:tcPr>
                  <w:tcW w:w="753" w:type="pct"/>
                  <w:noWrap w:val="0"/>
                  <w:vAlign w:val="center"/>
                </w:tcPr>
                <w:p w14:paraId="03F78A50">
                  <w:pPr>
                    <w:pStyle w:val="61"/>
                    <w:spacing w:line="240" w:lineRule="auto"/>
                    <w:ind w:firstLine="0"/>
                    <w:rPr>
                      <w:b w:val="0"/>
                      <w:color w:val="000000" w:themeColor="text1"/>
                      <w14:textFill>
                        <w14:solidFill>
                          <w14:schemeClr w14:val="tx1"/>
                        </w14:solidFill>
                      </w14:textFill>
                    </w:rPr>
                  </w:pPr>
                  <w:r>
                    <w:rPr>
                      <w:b w:val="0"/>
                      <w:color w:val="000000" w:themeColor="text1"/>
                      <w14:textFill>
                        <w14:solidFill>
                          <w14:schemeClr w14:val="tx1"/>
                        </w14:solidFill>
                      </w14:textFill>
                    </w:rPr>
                    <w:t>厂界外1m处</w:t>
                  </w:r>
                </w:p>
              </w:tc>
              <w:tc>
                <w:tcPr>
                  <w:tcW w:w="695" w:type="pct"/>
                  <w:noWrap w:val="0"/>
                  <w:vAlign w:val="center"/>
                </w:tcPr>
                <w:p w14:paraId="7B87BBDB">
                  <w:pPr>
                    <w:pStyle w:val="61"/>
                    <w:spacing w:line="240" w:lineRule="auto"/>
                    <w:ind w:firstLine="0"/>
                    <w:rPr>
                      <w:b w:val="0"/>
                      <w:color w:val="000000" w:themeColor="text1"/>
                      <w14:textFill>
                        <w14:solidFill>
                          <w14:schemeClr w14:val="tx1"/>
                        </w14:solidFill>
                      </w14:textFill>
                    </w:rPr>
                  </w:pPr>
                  <w:r>
                    <w:rPr>
                      <w:b w:val="0"/>
                      <w:color w:val="000000" w:themeColor="text1"/>
                      <w14:textFill>
                        <w14:solidFill>
                          <w14:schemeClr w14:val="tx1"/>
                        </w14:solidFill>
                      </w14:textFill>
                    </w:rPr>
                    <w:t>边界等效声级</w:t>
                  </w:r>
                </w:p>
              </w:tc>
              <w:tc>
                <w:tcPr>
                  <w:tcW w:w="817" w:type="pct"/>
                  <w:noWrap w:val="0"/>
                  <w:vAlign w:val="center"/>
                </w:tcPr>
                <w:p w14:paraId="064A644E">
                  <w:pPr>
                    <w:pStyle w:val="61"/>
                    <w:spacing w:line="240" w:lineRule="auto"/>
                    <w:ind w:firstLine="0"/>
                    <w:rPr>
                      <w:b w:val="0"/>
                      <w:color w:val="000000" w:themeColor="text1"/>
                      <w14:textFill>
                        <w14:solidFill>
                          <w14:schemeClr w14:val="tx1"/>
                        </w14:solidFill>
                      </w14:textFill>
                    </w:rPr>
                  </w:pPr>
                  <w:r>
                    <w:rPr>
                      <w:b w:val="0"/>
                      <w:color w:val="000000" w:themeColor="text1"/>
                      <w14:textFill>
                        <w14:solidFill>
                          <w14:schemeClr w14:val="tx1"/>
                        </w14:solidFill>
                      </w14:textFill>
                    </w:rPr>
                    <w:t>1次/每季度，分昼夜进行</w:t>
                  </w:r>
                </w:p>
              </w:tc>
              <w:tc>
                <w:tcPr>
                  <w:tcW w:w="2013" w:type="pct"/>
                  <w:noWrap w:val="0"/>
                  <w:vAlign w:val="center"/>
                </w:tcPr>
                <w:p w14:paraId="6E25906D">
                  <w:pPr>
                    <w:pStyle w:val="61"/>
                    <w:spacing w:line="240" w:lineRule="auto"/>
                    <w:ind w:firstLine="0"/>
                    <w:rPr>
                      <w:b w:val="0"/>
                      <w:color w:val="000000" w:themeColor="text1"/>
                      <w14:textFill>
                        <w14:solidFill>
                          <w14:schemeClr w14:val="tx1"/>
                        </w14:solidFill>
                      </w14:textFill>
                    </w:rPr>
                  </w:pPr>
                  <w:r>
                    <w:rPr>
                      <w:b w:val="0"/>
                      <w:color w:val="000000" w:themeColor="text1"/>
                      <w:kern w:val="0"/>
                      <w14:textFill>
                        <w14:solidFill>
                          <w14:schemeClr w14:val="tx1"/>
                        </w14:solidFill>
                      </w14:textFill>
                    </w:rPr>
                    <w:t>《工业企业厂界环境噪声排放标准》（GB12348-2008）中的</w:t>
                  </w:r>
                  <w:r>
                    <w:rPr>
                      <w:rFonts w:hint="eastAsia"/>
                      <w:b w:val="0"/>
                      <w:color w:val="000000" w:themeColor="text1"/>
                      <w:kern w:val="0"/>
                      <w14:textFill>
                        <w14:solidFill>
                          <w14:schemeClr w14:val="tx1"/>
                        </w14:solidFill>
                      </w14:textFill>
                    </w:rPr>
                    <w:t>2</w:t>
                  </w:r>
                  <w:r>
                    <w:rPr>
                      <w:b w:val="0"/>
                      <w:color w:val="000000" w:themeColor="text1"/>
                      <w:kern w:val="0"/>
                      <w14:textFill>
                        <w14:solidFill>
                          <w14:schemeClr w14:val="tx1"/>
                        </w14:solidFill>
                      </w14:textFill>
                    </w:rPr>
                    <w:t>类标准</w:t>
                  </w:r>
                </w:p>
              </w:tc>
            </w:tr>
          </w:tbl>
          <w:p w14:paraId="6A29C003">
            <w:pPr>
              <w:spacing w:line="480" w:lineRule="exact"/>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4、</w:t>
            </w:r>
            <w:r>
              <w:rPr>
                <w:rFonts w:ascii="Times New Roman" w:hAnsi="Times New Roman" w:eastAsia="宋体" w:cs="Times New Roman"/>
                <w:b/>
                <w:color w:val="000000" w:themeColor="text1"/>
                <w:sz w:val="24"/>
                <w14:textFill>
                  <w14:solidFill>
                    <w14:schemeClr w14:val="tx1"/>
                  </w14:solidFill>
                </w14:textFill>
              </w:rPr>
              <w:t>固体废物</w:t>
            </w:r>
          </w:p>
          <w:p w14:paraId="43E99116">
            <w:pPr>
              <w:spacing w:line="480" w:lineRule="exact"/>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4.1固体废物污染源情况</w:t>
            </w:r>
          </w:p>
          <w:p w14:paraId="777CB26E">
            <w:pPr>
              <w:tabs>
                <w:tab w:val="left" w:pos="6090"/>
              </w:tabs>
              <w:snapToGrid w:val="0"/>
              <w:spacing w:line="480" w:lineRule="exact"/>
              <w:ind w:firstLine="482" w:firstLineChars="200"/>
              <w:jc w:val="center"/>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表4-</w:t>
            </w:r>
            <w:r>
              <w:rPr>
                <w:rFonts w:hint="eastAsia" w:ascii="Times New Roman" w:hAnsi="Times New Roman" w:eastAsia="宋体" w:cs="Times New Roman"/>
                <w:b/>
                <w:color w:val="000000" w:themeColor="text1"/>
                <w:sz w:val="24"/>
                <w14:textFill>
                  <w14:solidFill>
                    <w14:schemeClr w14:val="tx1"/>
                  </w14:solidFill>
                </w14:textFill>
              </w:rPr>
              <w:t>1</w:t>
            </w:r>
            <w:r>
              <w:rPr>
                <w:rFonts w:hint="eastAsia" w:ascii="Times New Roman" w:hAnsi="Times New Roman" w:eastAsia="宋体" w:cs="Times New Roman"/>
                <w:b/>
                <w:color w:val="000000" w:themeColor="text1"/>
                <w:sz w:val="24"/>
                <w:lang w:val="en-US" w:eastAsia="zh-CN"/>
                <w14:textFill>
                  <w14:solidFill>
                    <w14:schemeClr w14:val="tx1"/>
                  </w14:solidFill>
                </w14:textFill>
              </w:rPr>
              <w:t>6</w:t>
            </w:r>
            <w:r>
              <w:rPr>
                <w:rFonts w:ascii="Times New Roman" w:hAnsi="Times New Roman" w:eastAsia="宋体" w:cs="Times New Roman"/>
                <w:b/>
                <w:color w:val="000000" w:themeColor="text1"/>
                <w:sz w:val="24"/>
                <w14:textFill>
                  <w14:solidFill>
                    <w14:schemeClr w14:val="tx1"/>
                  </w14:solidFill>
                </w14:textFill>
              </w:rPr>
              <w:t>项目固体废物污染源源强核算结果及相关参数一览表</w:t>
            </w:r>
          </w:p>
          <w:tbl>
            <w:tblPr>
              <w:tblStyle w:val="32"/>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4"/>
              <w:gridCol w:w="754"/>
              <w:gridCol w:w="860"/>
              <w:gridCol w:w="874"/>
              <w:gridCol w:w="1205"/>
              <w:gridCol w:w="409"/>
              <w:gridCol w:w="697"/>
              <w:gridCol w:w="733"/>
              <w:gridCol w:w="1141"/>
              <w:gridCol w:w="776"/>
            </w:tblGrid>
            <w:tr w14:paraId="3BFD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trPr>
              <w:tc>
                <w:tcPr>
                  <w:tcW w:w="335" w:type="pct"/>
                  <w:vMerge w:val="restart"/>
                  <w:noWrap w:val="0"/>
                  <w:vAlign w:val="center"/>
                </w:tcPr>
                <w:p w14:paraId="0790FF21">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工序/生产线</w:t>
                  </w:r>
                </w:p>
              </w:tc>
              <w:tc>
                <w:tcPr>
                  <w:tcW w:w="472" w:type="pct"/>
                  <w:vMerge w:val="restart"/>
                  <w:noWrap w:val="0"/>
                  <w:vAlign w:val="center"/>
                </w:tcPr>
                <w:p w14:paraId="5C796F0F">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装置/场所</w:t>
                  </w:r>
                </w:p>
              </w:tc>
              <w:tc>
                <w:tcPr>
                  <w:tcW w:w="538" w:type="pct"/>
                  <w:vMerge w:val="restart"/>
                  <w:noWrap w:val="0"/>
                  <w:vAlign w:val="center"/>
                </w:tcPr>
                <w:p w14:paraId="0A91FF3C">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固体废物名称</w:t>
                  </w:r>
                </w:p>
              </w:tc>
              <w:tc>
                <w:tcPr>
                  <w:tcW w:w="547" w:type="pct"/>
                  <w:vMerge w:val="restart"/>
                  <w:noWrap w:val="0"/>
                  <w:vAlign w:val="center"/>
                </w:tcPr>
                <w:p w14:paraId="55B4B78F">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固废属性</w:t>
                  </w:r>
                </w:p>
              </w:tc>
              <w:tc>
                <w:tcPr>
                  <w:tcW w:w="754" w:type="pct"/>
                  <w:vMerge w:val="restart"/>
                  <w:noWrap w:val="0"/>
                  <w:vAlign w:val="center"/>
                </w:tcPr>
                <w:p w14:paraId="4ED0C2F2">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废物代码</w:t>
                  </w:r>
                </w:p>
              </w:tc>
              <w:tc>
                <w:tcPr>
                  <w:tcW w:w="692" w:type="pct"/>
                  <w:gridSpan w:val="2"/>
                  <w:noWrap w:val="0"/>
                  <w:vAlign w:val="center"/>
                </w:tcPr>
                <w:p w14:paraId="4886B0C6">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产生情况</w:t>
                  </w:r>
                </w:p>
              </w:tc>
              <w:tc>
                <w:tcPr>
                  <w:tcW w:w="1173" w:type="pct"/>
                  <w:gridSpan w:val="2"/>
                  <w:noWrap w:val="0"/>
                  <w:vAlign w:val="center"/>
                </w:tcPr>
                <w:p w14:paraId="776DEE94">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处置措施</w:t>
                  </w:r>
                </w:p>
              </w:tc>
              <w:tc>
                <w:tcPr>
                  <w:tcW w:w="486" w:type="pct"/>
                  <w:vMerge w:val="restart"/>
                  <w:noWrap w:val="0"/>
                  <w:vAlign w:val="center"/>
                </w:tcPr>
                <w:p w14:paraId="4DD690D9">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环境管理要求</w:t>
                  </w:r>
                </w:p>
              </w:tc>
            </w:tr>
            <w:tr w14:paraId="5C04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35" w:type="pct"/>
                  <w:vMerge w:val="continue"/>
                  <w:noWrap w:val="0"/>
                  <w:vAlign w:val="center"/>
                </w:tcPr>
                <w:p w14:paraId="13A6413A">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472" w:type="pct"/>
                  <w:vMerge w:val="continue"/>
                  <w:noWrap w:val="0"/>
                  <w:vAlign w:val="center"/>
                </w:tcPr>
                <w:p w14:paraId="36618281">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538" w:type="pct"/>
                  <w:vMerge w:val="continue"/>
                  <w:noWrap w:val="0"/>
                  <w:vAlign w:val="center"/>
                </w:tcPr>
                <w:p w14:paraId="197D5D41">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547" w:type="pct"/>
                  <w:vMerge w:val="continue"/>
                  <w:noWrap w:val="0"/>
                  <w:vAlign w:val="center"/>
                </w:tcPr>
                <w:p w14:paraId="00ACE530">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754" w:type="pct"/>
                  <w:vMerge w:val="continue"/>
                  <w:noWrap w:val="0"/>
                  <w:vAlign w:val="center"/>
                </w:tcPr>
                <w:p w14:paraId="4C336412">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256" w:type="pct"/>
                  <w:noWrap w:val="0"/>
                  <w:vAlign w:val="center"/>
                </w:tcPr>
                <w:p w14:paraId="33133F79">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核算方法</w:t>
                  </w:r>
                </w:p>
              </w:tc>
              <w:tc>
                <w:tcPr>
                  <w:tcW w:w="436" w:type="pct"/>
                  <w:noWrap w:val="0"/>
                  <w:vAlign w:val="center"/>
                </w:tcPr>
                <w:p w14:paraId="117D9FA9">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产生量/（t/a）</w:t>
                  </w:r>
                </w:p>
              </w:tc>
              <w:tc>
                <w:tcPr>
                  <w:tcW w:w="459" w:type="pct"/>
                  <w:noWrap w:val="0"/>
                  <w:vAlign w:val="center"/>
                </w:tcPr>
                <w:p w14:paraId="5E7369C4">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方式</w:t>
                  </w:r>
                </w:p>
              </w:tc>
              <w:tc>
                <w:tcPr>
                  <w:tcW w:w="714" w:type="pct"/>
                  <w:noWrap w:val="0"/>
                  <w:vAlign w:val="center"/>
                </w:tcPr>
                <w:p w14:paraId="0FA979A2">
                  <w:pPr>
                    <w:tabs>
                      <w:tab w:val="left" w:pos="0"/>
                    </w:tabs>
                    <w:adjustRightInd w:val="0"/>
                    <w:snapToGrid w:val="0"/>
                    <w:jc w:val="center"/>
                    <w:rPr>
                      <w:rFonts w:ascii="Times New Roman" w:hAnsi="Times New Roman" w:eastAsia="宋体" w:cs="Times New Roman"/>
                      <w:b/>
                      <w:color w:val="000000" w:themeColor="text1"/>
                      <w:spacing w:val="-10"/>
                      <w:szCs w:val="21"/>
                      <w14:textFill>
                        <w14:solidFill>
                          <w14:schemeClr w14:val="tx1"/>
                        </w14:solidFill>
                      </w14:textFill>
                    </w:rPr>
                  </w:pPr>
                  <w:r>
                    <w:rPr>
                      <w:rFonts w:ascii="Times New Roman" w:hAnsi="Times New Roman" w:eastAsia="宋体" w:cs="Times New Roman"/>
                      <w:b/>
                      <w:color w:val="000000" w:themeColor="text1"/>
                      <w:spacing w:val="-10"/>
                      <w:szCs w:val="21"/>
                      <w14:textFill>
                        <w14:solidFill>
                          <w14:schemeClr w14:val="tx1"/>
                        </w14:solidFill>
                      </w14:textFill>
                    </w:rPr>
                    <w:t>处置量/（t/a）</w:t>
                  </w:r>
                </w:p>
              </w:tc>
              <w:tc>
                <w:tcPr>
                  <w:tcW w:w="486" w:type="pct"/>
                  <w:vMerge w:val="continue"/>
                  <w:noWrap w:val="0"/>
                  <w:vAlign w:val="center"/>
                </w:tcPr>
                <w:p w14:paraId="6B738AC5">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r>
            <w:tr w14:paraId="06D6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354021EE">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锅炉燃烧</w:t>
                  </w:r>
                </w:p>
              </w:tc>
              <w:tc>
                <w:tcPr>
                  <w:tcW w:w="472" w:type="pct"/>
                  <w:noWrap w:val="0"/>
                  <w:vAlign w:val="center"/>
                </w:tcPr>
                <w:p w14:paraId="45DC3198">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4t/h</w:t>
                  </w:r>
                  <w:r>
                    <w:rPr>
                      <w:rFonts w:hint="eastAsia" w:ascii="Times New Roman" w:hAnsi="Times New Roman" w:eastAsia="宋体" w:cs="Times New Roman"/>
                      <w:color w:val="000000" w:themeColor="text1"/>
                      <w:szCs w:val="21"/>
                      <w14:textFill>
                        <w14:solidFill>
                          <w14:schemeClr w14:val="tx1"/>
                        </w14:solidFill>
                      </w14:textFill>
                    </w:rPr>
                    <w:t>生物质锅炉</w:t>
                  </w:r>
                </w:p>
              </w:tc>
              <w:tc>
                <w:tcPr>
                  <w:tcW w:w="538" w:type="pct"/>
                  <w:noWrap w:val="0"/>
                  <w:vAlign w:val="center"/>
                </w:tcPr>
                <w:p w14:paraId="6786E475">
                  <w:pPr>
                    <w:tabs>
                      <w:tab w:val="left" w:pos="0"/>
                    </w:tabs>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锅炉灰渣</w:t>
                  </w:r>
                </w:p>
              </w:tc>
              <w:tc>
                <w:tcPr>
                  <w:tcW w:w="547" w:type="pct"/>
                  <w:noWrap w:val="0"/>
                  <w:vAlign w:val="center"/>
                </w:tcPr>
                <w:p w14:paraId="626895DC">
                  <w:pPr>
                    <w:tabs>
                      <w:tab w:val="left" w:pos="0"/>
                    </w:tabs>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18BC8625">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900-099-S03</w:t>
                  </w:r>
                </w:p>
              </w:tc>
              <w:tc>
                <w:tcPr>
                  <w:tcW w:w="256" w:type="pct"/>
                  <w:vMerge w:val="restart"/>
                  <w:noWrap w:val="0"/>
                  <w:vAlign w:val="center"/>
                </w:tcPr>
                <w:p w14:paraId="2AAD2DD5">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产污系数法</w:t>
                  </w:r>
                </w:p>
              </w:tc>
              <w:tc>
                <w:tcPr>
                  <w:tcW w:w="436" w:type="pct"/>
                  <w:noWrap w:val="0"/>
                  <w:vAlign w:val="center"/>
                </w:tcPr>
                <w:p w14:paraId="4A225480">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56.45</w:t>
                  </w:r>
                </w:p>
              </w:tc>
              <w:tc>
                <w:tcPr>
                  <w:tcW w:w="459" w:type="pct"/>
                  <w:vMerge w:val="restart"/>
                  <w:noWrap w:val="0"/>
                  <w:vAlign w:val="center"/>
                </w:tcPr>
                <w:p w14:paraId="52BE00D3">
                  <w:pPr>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交由一般固废集中收集转运单位</w:t>
                  </w:r>
                </w:p>
              </w:tc>
              <w:tc>
                <w:tcPr>
                  <w:tcW w:w="714" w:type="pct"/>
                  <w:noWrap w:val="0"/>
                  <w:vAlign w:val="center"/>
                </w:tcPr>
                <w:p w14:paraId="28ECBE9C">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56.45</w:t>
                  </w:r>
                </w:p>
              </w:tc>
              <w:tc>
                <w:tcPr>
                  <w:tcW w:w="486" w:type="pct"/>
                  <w:vMerge w:val="restart"/>
                  <w:noWrap w:val="0"/>
                  <w:vAlign w:val="center"/>
                </w:tcPr>
                <w:p w14:paraId="26265949">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《一般工业固体废物贮存和填埋污染控制标准》（GB18599-2020）</w:t>
                  </w:r>
                </w:p>
              </w:tc>
            </w:tr>
            <w:tr w14:paraId="7F5C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4" w:hRule="atLeast"/>
              </w:trPr>
              <w:tc>
                <w:tcPr>
                  <w:tcW w:w="335" w:type="pct"/>
                  <w:noWrap w:val="0"/>
                  <w:vAlign w:val="center"/>
                </w:tcPr>
                <w:p w14:paraId="27D5FC09">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废气治理</w:t>
                  </w:r>
                </w:p>
              </w:tc>
              <w:tc>
                <w:tcPr>
                  <w:tcW w:w="472" w:type="pct"/>
                  <w:noWrap w:val="0"/>
                  <w:vAlign w:val="center"/>
                </w:tcPr>
                <w:p w14:paraId="4C00F146">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布袋除尘器</w:t>
                  </w:r>
                </w:p>
              </w:tc>
              <w:tc>
                <w:tcPr>
                  <w:tcW w:w="538" w:type="pct"/>
                  <w:noWrap w:val="0"/>
                  <w:vAlign w:val="center"/>
                </w:tcPr>
                <w:p w14:paraId="260A3769">
                  <w:pPr>
                    <w:tabs>
                      <w:tab w:val="left" w:pos="0"/>
                    </w:tabs>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收尘灰</w:t>
                  </w:r>
                </w:p>
              </w:tc>
              <w:tc>
                <w:tcPr>
                  <w:tcW w:w="547" w:type="pct"/>
                  <w:noWrap w:val="0"/>
                  <w:vAlign w:val="center"/>
                </w:tcPr>
                <w:p w14:paraId="56240A18">
                  <w:pPr>
                    <w:tabs>
                      <w:tab w:val="left" w:pos="0"/>
                    </w:tabs>
                    <w:adjustRightInd w:val="0"/>
                    <w:snapToGrid w:val="0"/>
                    <w:jc w:val="center"/>
                    <w:rPr>
                      <w:rFonts w:hint="eastAsia"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0273FF5F">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900-099-S03</w:t>
                  </w:r>
                </w:p>
              </w:tc>
              <w:tc>
                <w:tcPr>
                  <w:tcW w:w="256" w:type="pct"/>
                  <w:vMerge w:val="continue"/>
                  <w:noWrap w:val="0"/>
                  <w:vAlign w:val="center"/>
                </w:tcPr>
                <w:p w14:paraId="70605CE6">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436" w:type="pct"/>
                  <w:noWrap w:val="0"/>
                  <w:vAlign w:val="center"/>
                </w:tcPr>
                <w:p w14:paraId="45BE40C9">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0.4875</w:t>
                  </w:r>
                </w:p>
              </w:tc>
              <w:tc>
                <w:tcPr>
                  <w:tcW w:w="459" w:type="pct"/>
                  <w:vMerge w:val="continue"/>
                  <w:noWrap w:val="0"/>
                  <w:vAlign w:val="center"/>
                </w:tcPr>
                <w:p w14:paraId="4E08F458">
                  <w:pPr>
                    <w:jc w:val="center"/>
                    <w:rPr>
                      <w:rFonts w:hint="eastAsia" w:ascii="Times New Roman" w:hAnsi="Times New Roman" w:eastAsia="宋体" w:cs="Times New Roman"/>
                      <w:color w:val="000000" w:themeColor="text1"/>
                      <w:szCs w:val="21"/>
                      <w:lang w:bidi="ar"/>
                      <w14:textFill>
                        <w14:solidFill>
                          <w14:schemeClr w14:val="tx1"/>
                        </w14:solidFill>
                      </w14:textFill>
                    </w:rPr>
                  </w:pPr>
                </w:p>
              </w:tc>
              <w:tc>
                <w:tcPr>
                  <w:tcW w:w="714" w:type="pct"/>
                  <w:noWrap w:val="0"/>
                  <w:vAlign w:val="center"/>
                </w:tcPr>
                <w:p w14:paraId="2A0788B9">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0.0542</w:t>
                  </w:r>
                </w:p>
              </w:tc>
              <w:tc>
                <w:tcPr>
                  <w:tcW w:w="486" w:type="pct"/>
                  <w:vMerge w:val="continue"/>
                  <w:noWrap w:val="0"/>
                  <w:vAlign w:val="center"/>
                </w:tcPr>
                <w:p w14:paraId="76B6AEC3">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r w14:paraId="4940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3FEAAA4B">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废气治理</w:t>
                  </w:r>
                </w:p>
              </w:tc>
              <w:tc>
                <w:tcPr>
                  <w:tcW w:w="472" w:type="pct"/>
                  <w:noWrap w:val="0"/>
                  <w:vAlign w:val="center"/>
                </w:tcPr>
                <w:p w14:paraId="15550E18">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布袋除尘器</w:t>
                  </w:r>
                </w:p>
              </w:tc>
              <w:tc>
                <w:tcPr>
                  <w:tcW w:w="538" w:type="pct"/>
                  <w:noWrap w:val="0"/>
                  <w:vAlign w:val="center"/>
                </w:tcPr>
                <w:p w14:paraId="36F4ED4B">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废布袋</w:t>
                  </w:r>
                </w:p>
              </w:tc>
              <w:tc>
                <w:tcPr>
                  <w:tcW w:w="547" w:type="pct"/>
                  <w:noWrap w:val="0"/>
                  <w:vAlign w:val="center"/>
                </w:tcPr>
                <w:p w14:paraId="22EC4AB1">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280CC7D5">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900-009-S59</w:t>
                  </w:r>
                </w:p>
              </w:tc>
              <w:tc>
                <w:tcPr>
                  <w:tcW w:w="256" w:type="pct"/>
                  <w:vMerge w:val="continue"/>
                  <w:noWrap w:val="0"/>
                  <w:vAlign w:val="center"/>
                </w:tcPr>
                <w:p w14:paraId="4377FC1A">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436" w:type="pct"/>
                  <w:noWrap w:val="0"/>
                  <w:vAlign w:val="center"/>
                </w:tcPr>
                <w:p w14:paraId="320DC179">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0.2</w:t>
                  </w:r>
                </w:p>
              </w:tc>
              <w:tc>
                <w:tcPr>
                  <w:tcW w:w="459" w:type="pct"/>
                  <w:vMerge w:val="continue"/>
                  <w:noWrap w:val="0"/>
                  <w:vAlign w:val="center"/>
                </w:tcPr>
                <w:p w14:paraId="004CE78B">
                  <w:pPr>
                    <w:jc w:val="center"/>
                    <w:rPr>
                      <w:rFonts w:hint="eastAsia" w:ascii="Times New Roman" w:hAnsi="Times New Roman" w:eastAsia="宋体" w:cs="Times New Roman"/>
                      <w:color w:val="000000" w:themeColor="text1"/>
                      <w:szCs w:val="21"/>
                      <w:lang w:bidi="ar"/>
                      <w14:textFill>
                        <w14:solidFill>
                          <w14:schemeClr w14:val="tx1"/>
                        </w14:solidFill>
                      </w14:textFill>
                    </w:rPr>
                  </w:pPr>
                </w:p>
              </w:tc>
              <w:tc>
                <w:tcPr>
                  <w:tcW w:w="714" w:type="pct"/>
                  <w:noWrap w:val="0"/>
                  <w:vAlign w:val="center"/>
                </w:tcPr>
                <w:p w14:paraId="35701995">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0.2</w:t>
                  </w:r>
                </w:p>
              </w:tc>
              <w:tc>
                <w:tcPr>
                  <w:tcW w:w="486" w:type="pct"/>
                  <w:vMerge w:val="continue"/>
                  <w:noWrap w:val="0"/>
                  <w:vAlign w:val="center"/>
                </w:tcPr>
                <w:p w14:paraId="586D2F65">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r w14:paraId="6261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0E6083D6">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软化水制备</w:t>
                  </w:r>
                </w:p>
              </w:tc>
              <w:tc>
                <w:tcPr>
                  <w:tcW w:w="472" w:type="pct"/>
                  <w:noWrap w:val="0"/>
                  <w:vAlign w:val="center"/>
                </w:tcPr>
                <w:p w14:paraId="321A8566">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软水制备系统</w:t>
                  </w:r>
                </w:p>
              </w:tc>
              <w:tc>
                <w:tcPr>
                  <w:tcW w:w="538" w:type="pct"/>
                  <w:noWrap w:val="0"/>
                  <w:vAlign w:val="center"/>
                </w:tcPr>
                <w:p w14:paraId="4682D0DB">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废离子交换树脂</w:t>
                  </w:r>
                </w:p>
              </w:tc>
              <w:tc>
                <w:tcPr>
                  <w:tcW w:w="547" w:type="pct"/>
                  <w:noWrap w:val="0"/>
                  <w:vAlign w:val="center"/>
                </w:tcPr>
                <w:p w14:paraId="21AB91FB">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6295B105">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900-008-S59</w:t>
                  </w:r>
                </w:p>
              </w:tc>
              <w:tc>
                <w:tcPr>
                  <w:tcW w:w="256" w:type="pct"/>
                  <w:vMerge w:val="continue"/>
                  <w:noWrap w:val="0"/>
                  <w:vAlign w:val="center"/>
                </w:tcPr>
                <w:p w14:paraId="57715A28">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436" w:type="pct"/>
                  <w:noWrap w:val="0"/>
                  <w:vAlign w:val="center"/>
                </w:tcPr>
                <w:p w14:paraId="3F8AF3D7">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0.3</w:t>
                  </w:r>
                </w:p>
              </w:tc>
              <w:tc>
                <w:tcPr>
                  <w:tcW w:w="459" w:type="pct"/>
                  <w:vMerge w:val="continue"/>
                  <w:noWrap w:val="0"/>
                  <w:vAlign w:val="center"/>
                </w:tcPr>
                <w:p w14:paraId="2A60735E">
                  <w:pPr>
                    <w:jc w:val="center"/>
                    <w:rPr>
                      <w:rFonts w:hint="eastAsia" w:ascii="Times New Roman" w:hAnsi="Times New Roman" w:eastAsia="宋体" w:cs="Times New Roman"/>
                      <w:color w:val="000000" w:themeColor="text1"/>
                      <w:szCs w:val="21"/>
                      <w:lang w:bidi="ar"/>
                      <w14:textFill>
                        <w14:solidFill>
                          <w14:schemeClr w14:val="tx1"/>
                        </w14:solidFill>
                      </w14:textFill>
                    </w:rPr>
                  </w:pPr>
                </w:p>
              </w:tc>
              <w:tc>
                <w:tcPr>
                  <w:tcW w:w="714" w:type="pct"/>
                  <w:noWrap w:val="0"/>
                  <w:vAlign w:val="center"/>
                </w:tcPr>
                <w:p w14:paraId="300C01EA">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0.3</w:t>
                  </w:r>
                </w:p>
              </w:tc>
              <w:tc>
                <w:tcPr>
                  <w:tcW w:w="486" w:type="pct"/>
                  <w:vMerge w:val="continue"/>
                  <w:noWrap w:val="0"/>
                  <w:vAlign w:val="center"/>
                </w:tcPr>
                <w:p w14:paraId="6018DC82">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r w14:paraId="7D07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26ECD953">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废水处理</w:t>
                  </w:r>
                </w:p>
              </w:tc>
              <w:tc>
                <w:tcPr>
                  <w:tcW w:w="472" w:type="pct"/>
                  <w:noWrap w:val="0"/>
                  <w:vAlign w:val="center"/>
                </w:tcPr>
                <w:p w14:paraId="73C0B945">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自建污水站</w:t>
                  </w:r>
                </w:p>
              </w:tc>
              <w:tc>
                <w:tcPr>
                  <w:tcW w:w="538" w:type="pct"/>
                  <w:noWrap w:val="0"/>
                  <w:vAlign w:val="center"/>
                </w:tcPr>
                <w:p w14:paraId="379BB198">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废水处理污泥</w:t>
                  </w:r>
                </w:p>
              </w:tc>
              <w:tc>
                <w:tcPr>
                  <w:tcW w:w="547" w:type="pct"/>
                  <w:noWrap w:val="0"/>
                  <w:vAlign w:val="center"/>
                </w:tcPr>
                <w:p w14:paraId="1D0892FD">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4734CA13">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900-099-S07</w:t>
                  </w:r>
                </w:p>
              </w:tc>
              <w:tc>
                <w:tcPr>
                  <w:tcW w:w="256" w:type="pct"/>
                  <w:vMerge w:val="continue"/>
                  <w:noWrap w:val="0"/>
                  <w:vAlign w:val="center"/>
                </w:tcPr>
                <w:p w14:paraId="3D1DF595">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p>
              </w:tc>
              <w:tc>
                <w:tcPr>
                  <w:tcW w:w="436" w:type="pct"/>
                  <w:noWrap w:val="0"/>
                  <w:vAlign w:val="center"/>
                </w:tcPr>
                <w:p w14:paraId="53A828C7">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24.39</w:t>
                  </w:r>
                </w:p>
              </w:tc>
              <w:tc>
                <w:tcPr>
                  <w:tcW w:w="459" w:type="pct"/>
                  <w:vMerge w:val="continue"/>
                  <w:noWrap w:val="0"/>
                  <w:vAlign w:val="center"/>
                </w:tcPr>
                <w:p w14:paraId="7CDAEDB3">
                  <w:pPr>
                    <w:jc w:val="center"/>
                    <w:rPr>
                      <w:rFonts w:hint="eastAsia" w:ascii="Times New Roman" w:hAnsi="Times New Roman" w:eastAsia="宋体" w:cs="Times New Roman"/>
                      <w:color w:val="000000" w:themeColor="text1"/>
                      <w:szCs w:val="21"/>
                      <w:lang w:bidi="ar"/>
                      <w14:textFill>
                        <w14:solidFill>
                          <w14:schemeClr w14:val="tx1"/>
                        </w14:solidFill>
                      </w14:textFill>
                    </w:rPr>
                  </w:pPr>
                </w:p>
              </w:tc>
              <w:tc>
                <w:tcPr>
                  <w:tcW w:w="714" w:type="pct"/>
                  <w:noWrap w:val="0"/>
                  <w:vAlign w:val="center"/>
                </w:tcPr>
                <w:p w14:paraId="1F529C4D">
                  <w:pPr>
                    <w:tabs>
                      <w:tab w:val="left" w:pos="0"/>
                    </w:tabs>
                    <w:adjustRightInd w:val="0"/>
                    <w:snapToGrid w:val="0"/>
                    <w:jc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24.39</w:t>
                  </w:r>
                </w:p>
              </w:tc>
              <w:tc>
                <w:tcPr>
                  <w:tcW w:w="486" w:type="pct"/>
                  <w:vMerge w:val="continue"/>
                  <w:noWrap w:val="0"/>
                  <w:vAlign w:val="center"/>
                </w:tcPr>
                <w:p w14:paraId="276D77EC">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r w14:paraId="0FEB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3A32F290">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职工生活垃圾</w:t>
                  </w:r>
                </w:p>
              </w:tc>
              <w:tc>
                <w:tcPr>
                  <w:tcW w:w="472" w:type="pct"/>
                  <w:noWrap w:val="0"/>
                  <w:vAlign w:val="center"/>
                </w:tcPr>
                <w:p w14:paraId="1688261C">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垃圾桶</w:t>
                  </w:r>
                </w:p>
              </w:tc>
              <w:tc>
                <w:tcPr>
                  <w:tcW w:w="538" w:type="pct"/>
                  <w:noWrap w:val="0"/>
                  <w:vAlign w:val="center"/>
                </w:tcPr>
                <w:p w14:paraId="0A73E491">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生活垃圾</w:t>
                  </w:r>
                </w:p>
              </w:tc>
              <w:tc>
                <w:tcPr>
                  <w:tcW w:w="547" w:type="pct"/>
                  <w:noWrap w:val="0"/>
                  <w:vAlign w:val="center"/>
                </w:tcPr>
                <w:p w14:paraId="6FC62FA9">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生活垃圾</w:t>
                  </w:r>
                </w:p>
              </w:tc>
              <w:tc>
                <w:tcPr>
                  <w:tcW w:w="754" w:type="pct"/>
                  <w:noWrap w:val="0"/>
                  <w:vAlign w:val="center"/>
                </w:tcPr>
                <w:p w14:paraId="0AF5DE10">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900-099-S64</w:t>
                  </w:r>
                </w:p>
              </w:tc>
              <w:tc>
                <w:tcPr>
                  <w:tcW w:w="256" w:type="pct"/>
                  <w:vMerge w:val="continue"/>
                  <w:noWrap w:val="0"/>
                  <w:vAlign w:val="center"/>
                </w:tcPr>
                <w:p w14:paraId="5A216B77">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436" w:type="pct"/>
                  <w:noWrap w:val="0"/>
                  <w:vAlign w:val="center"/>
                </w:tcPr>
                <w:p w14:paraId="4BE25A5B">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4.32</w:t>
                  </w:r>
                </w:p>
              </w:tc>
              <w:tc>
                <w:tcPr>
                  <w:tcW w:w="459" w:type="pct"/>
                  <w:noWrap w:val="0"/>
                  <w:vAlign w:val="center"/>
                </w:tcPr>
                <w:p w14:paraId="30CC9B6D">
                  <w:pPr>
                    <w:jc w:val="center"/>
                    <w:rPr>
                      <w:rFonts w:hint="default" w:ascii="Times New Roman" w:hAnsi="Times New Roman" w:eastAsia="宋体" w:cs="Times New Roman"/>
                      <w:color w:val="000000" w:themeColor="text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Cs w:val="21"/>
                      <w:lang w:val="en-US" w:eastAsia="zh-CN" w:bidi="ar"/>
                      <w14:textFill>
                        <w14:solidFill>
                          <w14:schemeClr w14:val="tx1"/>
                        </w14:solidFill>
                      </w14:textFill>
                    </w:rPr>
                    <w:t>交由环卫部门清运</w:t>
                  </w:r>
                </w:p>
              </w:tc>
              <w:tc>
                <w:tcPr>
                  <w:tcW w:w="714" w:type="pct"/>
                  <w:noWrap w:val="0"/>
                  <w:vAlign w:val="center"/>
                </w:tcPr>
                <w:p w14:paraId="7DED33EE">
                  <w:pPr>
                    <w:tabs>
                      <w:tab w:val="left" w:pos="0"/>
                    </w:tabs>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4.32</w:t>
                  </w:r>
                </w:p>
              </w:tc>
              <w:tc>
                <w:tcPr>
                  <w:tcW w:w="486" w:type="pct"/>
                  <w:vMerge w:val="continue"/>
                  <w:noWrap w:val="0"/>
                  <w:vAlign w:val="center"/>
                </w:tcPr>
                <w:p w14:paraId="29325CD2">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r w14:paraId="4906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50D1233A">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漂白剂</w:t>
                  </w:r>
                </w:p>
              </w:tc>
              <w:tc>
                <w:tcPr>
                  <w:tcW w:w="472" w:type="pct"/>
                  <w:vMerge w:val="restart"/>
                  <w:noWrap w:val="0"/>
                  <w:vAlign w:val="center"/>
                </w:tcPr>
                <w:p w14:paraId="6D423E12">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生产区</w:t>
                  </w:r>
                </w:p>
              </w:tc>
              <w:tc>
                <w:tcPr>
                  <w:tcW w:w="538" w:type="pct"/>
                  <w:noWrap w:val="0"/>
                  <w:vAlign w:val="center"/>
                </w:tcPr>
                <w:p w14:paraId="683BEFDD">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废包装桶</w:t>
                  </w:r>
                </w:p>
              </w:tc>
              <w:tc>
                <w:tcPr>
                  <w:tcW w:w="547" w:type="pct"/>
                  <w:noWrap w:val="0"/>
                  <w:vAlign w:val="center"/>
                </w:tcPr>
                <w:p w14:paraId="4E594D32">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7E85F021">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900-003-S17</w:t>
                  </w:r>
                </w:p>
              </w:tc>
              <w:tc>
                <w:tcPr>
                  <w:tcW w:w="256" w:type="pct"/>
                  <w:vMerge w:val="continue"/>
                  <w:noWrap w:val="0"/>
                  <w:vAlign w:val="center"/>
                </w:tcPr>
                <w:p w14:paraId="0879E072">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436" w:type="pct"/>
                  <w:noWrap w:val="0"/>
                  <w:vAlign w:val="center"/>
                </w:tcPr>
                <w:p w14:paraId="18498CDF">
                  <w:pPr>
                    <w:tabs>
                      <w:tab w:val="left" w:pos="0"/>
                    </w:tabs>
                    <w:adjustRightInd w:val="0"/>
                    <w:snapToGrid w:val="0"/>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eastAsia="zh-CN"/>
                      <w14:textFill>
                        <w14:solidFill>
                          <w14:schemeClr w14:val="tx1"/>
                        </w14:solidFill>
                      </w14:textFill>
                    </w:rPr>
                    <w:t>0.48</w:t>
                  </w:r>
                </w:p>
              </w:tc>
              <w:tc>
                <w:tcPr>
                  <w:tcW w:w="459" w:type="pct"/>
                  <w:vMerge w:val="restart"/>
                  <w:noWrap w:val="0"/>
                  <w:vAlign w:val="center"/>
                </w:tcPr>
                <w:p w14:paraId="0EF77BE9">
                  <w:pPr>
                    <w:jc w:val="center"/>
                    <w:rPr>
                      <w:rFonts w:hint="eastAsia" w:ascii="Times New Roman" w:hAnsi="Times New Roman" w:eastAsia="宋体" w:cs="Times New Roman"/>
                      <w:color w:val="000000" w:themeColor="text1"/>
                      <w:szCs w:val="21"/>
                      <w:lang w:bidi="ar"/>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交由废品回收单位处理</w:t>
                  </w:r>
                </w:p>
              </w:tc>
              <w:tc>
                <w:tcPr>
                  <w:tcW w:w="714" w:type="pct"/>
                  <w:noWrap w:val="0"/>
                  <w:vAlign w:val="center"/>
                </w:tcPr>
                <w:p w14:paraId="33908A21">
                  <w:pPr>
                    <w:tabs>
                      <w:tab w:val="left" w:pos="0"/>
                    </w:tabs>
                    <w:adjustRightInd w:val="0"/>
                    <w:snapToGrid w:val="0"/>
                    <w:jc w:val="center"/>
                    <w:rPr>
                      <w:rFonts w:hint="eastAsia" w:ascii="Times New Roman" w:hAnsi="Times New Roman" w:eastAsia="宋体" w:cs="Times New Roman"/>
                      <w:bCs/>
                      <w:color w:val="000000" w:themeColor="text1"/>
                      <w:szCs w:val="21"/>
                      <w:lang w:eastAsia="zh-CN"/>
                      <w14:textFill>
                        <w14:solidFill>
                          <w14:schemeClr w14:val="tx1"/>
                        </w14:solidFill>
                      </w14:textFill>
                    </w:rPr>
                  </w:pPr>
                  <w:r>
                    <w:rPr>
                      <w:rFonts w:hint="eastAsia" w:ascii="Times New Roman" w:hAnsi="Times New Roman" w:eastAsia="宋体" w:cs="Times New Roman"/>
                      <w:bCs/>
                      <w:color w:val="000000" w:themeColor="text1"/>
                      <w:szCs w:val="21"/>
                      <w:lang w:eastAsia="zh-CN"/>
                      <w14:textFill>
                        <w14:solidFill>
                          <w14:schemeClr w14:val="tx1"/>
                        </w14:solidFill>
                      </w14:textFill>
                    </w:rPr>
                    <w:t>0.48</w:t>
                  </w:r>
                </w:p>
              </w:tc>
              <w:tc>
                <w:tcPr>
                  <w:tcW w:w="486" w:type="pct"/>
                  <w:vMerge w:val="continue"/>
                  <w:noWrap w:val="0"/>
                  <w:vAlign w:val="center"/>
                </w:tcPr>
                <w:p w14:paraId="0294B735">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r w14:paraId="03EB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35" w:type="pct"/>
                  <w:noWrap w:val="0"/>
                  <w:vAlign w:val="center"/>
                </w:tcPr>
                <w:p w14:paraId="4C15A05E">
                  <w:pPr>
                    <w:tabs>
                      <w:tab w:val="left" w:pos="0"/>
                    </w:tabs>
                    <w:adjustRightInd w:val="0"/>
                    <w:snapToGrid w:val="0"/>
                    <w:jc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bCs/>
                      <w:color w:val="000000" w:themeColor="text1"/>
                      <w:spacing w:val="-10"/>
                      <w:szCs w:val="21"/>
                      <w14:textFill>
                        <w14:solidFill>
                          <w14:schemeClr w14:val="tx1"/>
                        </w14:solidFill>
                      </w14:textFill>
                    </w:rPr>
                    <w:t>包装</w:t>
                  </w:r>
                </w:p>
              </w:tc>
              <w:tc>
                <w:tcPr>
                  <w:tcW w:w="472" w:type="pct"/>
                  <w:vMerge w:val="continue"/>
                  <w:noWrap w:val="0"/>
                  <w:vAlign w:val="center"/>
                </w:tcPr>
                <w:p w14:paraId="5E9A39DA">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538" w:type="pct"/>
                  <w:noWrap w:val="0"/>
                  <w:vAlign w:val="center"/>
                </w:tcPr>
                <w:p w14:paraId="47DB21D8">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废包装材料</w:t>
                  </w:r>
                </w:p>
              </w:tc>
              <w:tc>
                <w:tcPr>
                  <w:tcW w:w="547" w:type="pct"/>
                  <w:noWrap w:val="0"/>
                  <w:vAlign w:val="center"/>
                </w:tcPr>
                <w:p w14:paraId="3A61B6A6">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一般固体废物</w:t>
                  </w:r>
                </w:p>
              </w:tc>
              <w:tc>
                <w:tcPr>
                  <w:tcW w:w="754" w:type="pct"/>
                  <w:noWrap w:val="0"/>
                  <w:vAlign w:val="center"/>
                </w:tcPr>
                <w:p w14:paraId="29A7A7E1">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900-003-S17</w:t>
                  </w:r>
                </w:p>
              </w:tc>
              <w:tc>
                <w:tcPr>
                  <w:tcW w:w="256" w:type="pct"/>
                  <w:vMerge w:val="continue"/>
                  <w:noWrap w:val="0"/>
                  <w:vAlign w:val="center"/>
                </w:tcPr>
                <w:p w14:paraId="761186AE">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436" w:type="pct"/>
                  <w:noWrap w:val="0"/>
                  <w:vAlign w:val="center"/>
                </w:tcPr>
                <w:p w14:paraId="7C4A1631">
                  <w:pPr>
                    <w:tabs>
                      <w:tab w:val="left" w:pos="0"/>
                    </w:tabs>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1.5</w:t>
                  </w:r>
                </w:p>
              </w:tc>
              <w:tc>
                <w:tcPr>
                  <w:tcW w:w="459" w:type="pct"/>
                  <w:vMerge w:val="continue"/>
                  <w:noWrap w:val="0"/>
                  <w:vAlign w:val="center"/>
                </w:tcPr>
                <w:p w14:paraId="33841E00">
                  <w:pPr>
                    <w:jc w:val="center"/>
                    <w:rPr>
                      <w:rFonts w:hint="eastAsia" w:ascii="Times New Roman" w:hAnsi="Times New Roman" w:eastAsia="宋体" w:cs="Times New Roman"/>
                      <w:color w:val="000000" w:themeColor="text1"/>
                      <w:szCs w:val="21"/>
                      <w:lang w:bidi="ar"/>
                      <w14:textFill>
                        <w14:solidFill>
                          <w14:schemeClr w14:val="tx1"/>
                        </w14:solidFill>
                      </w14:textFill>
                    </w:rPr>
                  </w:pPr>
                </w:p>
              </w:tc>
              <w:tc>
                <w:tcPr>
                  <w:tcW w:w="714" w:type="pct"/>
                  <w:noWrap w:val="0"/>
                  <w:vAlign w:val="center"/>
                </w:tcPr>
                <w:p w14:paraId="5418FF03">
                  <w:pPr>
                    <w:tabs>
                      <w:tab w:val="left" w:pos="0"/>
                    </w:tabs>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bCs/>
                      <w:color w:val="000000" w:themeColor="text1"/>
                      <w:szCs w:val="21"/>
                      <w14:textFill>
                        <w14:solidFill>
                          <w14:schemeClr w14:val="tx1"/>
                        </w14:solidFill>
                      </w14:textFill>
                    </w:rPr>
                    <w:t>1.5</w:t>
                  </w:r>
                </w:p>
              </w:tc>
              <w:tc>
                <w:tcPr>
                  <w:tcW w:w="486" w:type="pct"/>
                  <w:vMerge w:val="continue"/>
                  <w:noWrap w:val="0"/>
                  <w:vAlign w:val="center"/>
                </w:tcPr>
                <w:p w14:paraId="5B963875">
                  <w:pPr>
                    <w:tabs>
                      <w:tab w:val="left" w:pos="0"/>
                    </w:tabs>
                    <w:adjustRightInd w:val="0"/>
                    <w:snapToGrid w:val="0"/>
                    <w:jc w:val="center"/>
                    <w:rPr>
                      <w:rFonts w:hint="eastAsia" w:ascii="Times New Roman" w:hAnsi="Times New Roman" w:eastAsia="宋体" w:cs="Times New Roman"/>
                      <w:bCs/>
                      <w:color w:val="000000" w:themeColor="text1"/>
                      <w:spacing w:val="-10"/>
                      <w:szCs w:val="21"/>
                      <w14:textFill>
                        <w14:solidFill>
                          <w14:schemeClr w14:val="tx1"/>
                        </w14:solidFill>
                      </w14:textFill>
                    </w:rPr>
                  </w:pPr>
                </w:p>
              </w:tc>
            </w:tr>
          </w:tbl>
          <w:p w14:paraId="28CD9AC0">
            <w:pPr>
              <w:widowControl/>
              <w:spacing w:line="360" w:lineRule="auto"/>
              <w:ind w:firstLine="482" w:firstLineChars="200"/>
              <w:jc w:val="left"/>
              <w:rPr>
                <w:rFonts w:ascii="Times New Roman" w:hAnsi="Times New Roman" w:eastAsia="宋体" w:cs="Times New Roman"/>
                <w:b/>
                <w:bCs/>
                <w:color w:val="000000" w:themeColor="text1"/>
                <w:kern w:val="0"/>
                <w:sz w:val="24"/>
                <w:lang w:bidi="ar"/>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4.2、固体废物污染源分析</w:t>
            </w:r>
          </w:p>
          <w:p w14:paraId="2A5B29DA">
            <w:pPr>
              <w:widowControl/>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本项目运营期产生的固体废物主要为职工生活垃圾、一般固体废物</w:t>
            </w:r>
            <w:r>
              <w:rPr>
                <w:rFonts w:hint="eastAsia" w:ascii="Times New Roman" w:hAnsi="Times New Roman" w:eastAsia="宋体" w:cs="Times New Roman"/>
                <w:color w:val="000000" w:themeColor="text1"/>
                <w:kern w:val="0"/>
                <w:sz w:val="24"/>
                <w:lang w:bidi="ar"/>
                <w14:textFill>
                  <w14:solidFill>
                    <w14:schemeClr w14:val="tx1"/>
                  </w14:solidFill>
                </w14:textFill>
              </w:rPr>
              <w:t>和危险废物</w:t>
            </w:r>
            <w:r>
              <w:rPr>
                <w:rFonts w:ascii="Times New Roman" w:hAnsi="Times New Roman" w:eastAsia="宋体" w:cs="Times New Roman"/>
                <w:color w:val="000000" w:themeColor="text1"/>
                <w:kern w:val="0"/>
                <w:sz w:val="24"/>
                <w:lang w:bidi="ar"/>
                <w14:textFill>
                  <w14:solidFill>
                    <w14:schemeClr w14:val="tx1"/>
                  </w14:solidFill>
                </w14:textFill>
              </w:rPr>
              <w:t>。</w:t>
            </w:r>
          </w:p>
          <w:p w14:paraId="1882E922">
            <w:pPr>
              <w:widowControl/>
              <w:spacing w:line="360" w:lineRule="auto"/>
              <w:ind w:firstLine="482"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（1）员工办公生活垃圾</w:t>
            </w:r>
          </w:p>
          <w:p w14:paraId="1C6CB401">
            <w:pPr>
              <w:widowControl/>
              <w:spacing w:line="360" w:lineRule="auto"/>
              <w:ind w:firstLine="480" w:firstLineChars="200"/>
              <w:jc w:val="left"/>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本项</w:t>
            </w:r>
            <w:r>
              <w:rPr>
                <w:rFonts w:hint="eastAsia" w:ascii="Times New Roman" w:hAnsi="Times New Roman" w:eastAsia="宋体" w:cs="Times New Roman"/>
                <w:color w:val="000000" w:themeColor="text1"/>
                <w:kern w:val="0"/>
                <w:sz w:val="24"/>
                <w:lang w:bidi="ar"/>
                <w14:textFill>
                  <w14:solidFill>
                    <w14:schemeClr w14:val="tx1"/>
                  </w14:solidFill>
                </w14:textFill>
              </w:rPr>
              <w:t>目拟</w:t>
            </w:r>
            <w:r>
              <w:rPr>
                <w:rFonts w:ascii="Times New Roman" w:hAnsi="Times New Roman" w:eastAsia="宋体" w:cs="Times New Roman"/>
                <w:color w:val="000000" w:themeColor="text1"/>
                <w:kern w:val="0"/>
                <w:sz w:val="24"/>
                <w:lang w:bidi="ar"/>
                <w14:textFill>
                  <w14:solidFill>
                    <w14:schemeClr w14:val="tx1"/>
                  </w14:solidFill>
                </w14:textFill>
              </w:rPr>
              <w:t>员工15人，厂区内</w:t>
            </w:r>
            <w:r>
              <w:rPr>
                <w:rFonts w:hint="eastAsia" w:ascii="Times New Roman" w:hAnsi="Times New Roman" w:eastAsia="宋体" w:cs="Times New Roman"/>
                <w:color w:val="000000" w:themeColor="text1"/>
                <w:kern w:val="0"/>
                <w:sz w:val="24"/>
                <w:lang w:bidi="ar"/>
                <w14:textFill>
                  <w14:solidFill>
                    <w14:schemeClr w14:val="tx1"/>
                  </w14:solidFill>
                </w14:textFill>
              </w:rPr>
              <w:t>均不设食</w:t>
            </w:r>
            <w:r>
              <w:rPr>
                <w:rFonts w:ascii="Times New Roman" w:hAnsi="Times New Roman" w:eastAsia="宋体" w:cs="Times New Roman"/>
                <w:color w:val="000000" w:themeColor="text1"/>
                <w:kern w:val="0"/>
                <w:sz w:val="24"/>
                <w:lang w:bidi="ar"/>
                <w14:textFill>
                  <w14:solidFill>
                    <w14:schemeClr w14:val="tx1"/>
                  </w14:solidFill>
                </w14:textFill>
              </w:rPr>
              <w:t>宿，年工作360天，每天实行1班制生产，每班工作8小时，项目生活垃圾主要来自员工办公过程，主要有办公生活垃圾，员工生活垃圾产生量平均按0.8kg/人·日计，则生活垃圾产生量约为4.32t/a，经收集后由环卫部门定期清运，根据《固体废物分类与代码目录》（公告2024年第4号）行业来源为非特定行业，固体废物代码为900-099-S64。</w:t>
            </w:r>
          </w:p>
          <w:p w14:paraId="4FD04781">
            <w:pPr>
              <w:widowControl/>
              <w:spacing w:line="360" w:lineRule="auto"/>
              <w:ind w:firstLine="482" w:firstLineChars="200"/>
              <w:jc w:val="left"/>
              <w:rPr>
                <w:rFonts w:ascii="Times New Roman" w:hAnsi="Times New Roman" w:eastAsia="宋体" w:cs="Times New Roman"/>
                <w:b/>
                <w:bCs/>
                <w:color w:val="000000" w:themeColor="text1"/>
                <w:kern w:val="0"/>
                <w:sz w:val="24"/>
                <w:lang w:bidi="ar"/>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（2）一般固体废物</w:t>
            </w:r>
          </w:p>
          <w:p w14:paraId="035BD532">
            <w:pPr>
              <w:widowControl/>
              <w:spacing w:line="360" w:lineRule="auto"/>
              <w:ind w:firstLine="482"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①废包装桶</w:t>
            </w:r>
          </w:p>
          <w:p w14:paraId="718F592E">
            <w:pPr>
              <w:widowControl/>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消毒剂（氯间二甲基苯酚）</w:t>
            </w:r>
            <w:r>
              <w:rPr>
                <w:rFonts w:hint="eastAsia" w:ascii="Times New Roman" w:hAnsi="Times New Roman" w:eastAsia="宋体" w:cs="Times New Roman"/>
                <w:color w:val="000000" w:themeColor="text1"/>
                <w:sz w:val="24"/>
                <w14:textFill>
                  <w14:solidFill>
                    <w14:schemeClr w14:val="tx1"/>
                  </w14:solidFill>
                </w14:textFill>
              </w:rPr>
              <w:t>、助洗剂</w:t>
            </w:r>
            <w:r>
              <w:rPr>
                <w:rFonts w:ascii="Times New Roman" w:hAnsi="Times New Roman" w:eastAsia="宋体" w:cs="Times New Roman"/>
                <w:color w:val="000000" w:themeColor="text1"/>
                <w:sz w:val="24"/>
                <w14:textFill>
                  <w14:solidFill>
                    <w14:schemeClr w14:val="tx1"/>
                  </w14:solidFill>
                </w14:textFill>
              </w:rPr>
              <w:t>原辅材料使用过程中会产生一定量的包装桶。原辅材料投料完毕后对包装桶进行水洗，桶内冲洗废液全部回用于生产洗涤工序；经充分水洗后废桶内壁无危险化学品残留，废包装桶按一般工业固体废物管理。消毒剂</w:t>
            </w:r>
            <w:r>
              <w:rPr>
                <w:rFonts w:hint="eastAsia" w:ascii="Times New Roman" w:hAnsi="Times New Roman" w:eastAsia="宋体" w:cs="Times New Roman"/>
                <w:color w:val="000000" w:themeColor="text1"/>
                <w:sz w:val="24"/>
                <w14:textFill>
                  <w14:solidFill>
                    <w14:schemeClr w14:val="tx1"/>
                  </w14:solidFill>
                </w14:textFill>
              </w:rPr>
              <w:t>和助洗剂</w:t>
            </w:r>
            <w:r>
              <w:rPr>
                <w:rFonts w:ascii="Times New Roman" w:hAnsi="Times New Roman" w:eastAsia="宋体" w:cs="Times New Roman"/>
                <w:color w:val="000000" w:themeColor="text1"/>
                <w:sz w:val="24"/>
                <w14:textFill>
                  <w14:solidFill>
                    <w14:schemeClr w14:val="tx1"/>
                  </w14:solidFill>
                </w14:textFill>
              </w:rPr>
              <w:t>年使用量为</w:t>
            </w:r>
            <w:r>
              <w:rPr>
                <w:rFonts w:hint="eastAsia" w:ascii="Times New Roman" w:hAnsi="Times New Roman" w:eastAsia="宋体" w:cs="Times New Roman"/>
                <w:color w:val="000000" w:themeColor="text1"/>
                <w:sz w:val="24"/>
                <w14:textFill>
                  <w14:solidFill>
                    <w14:schemeClr w14:val="tx1"/>
                  </w14:solidFill>
                </w14:textFill>
              </w:rPr>
              <w:t>10</w:t>
            </w:r>
            <w:r>
              <w:rPr>
                <w:rFonts w:ascii="Times New Roman" w:hAnsi="Times New Roman" w:eastAsia="宋体" w:cs="Times New Roman"/>
                <w:color w:val="000000" w:themeColor="text1"/>
                <w:sz w:val="24"/>
                <w14:textFill>
                  <w14:solidFill>
                    <w14:schemeClr w14:val="tx1"/>
                  </w14:solidFill>
                </w14:textFill>
              </w:rPr>
              <w:t>t，单桶盛装量25kg，共计产生废原料桶</w:t>
            </w:r>
            <w:r>
              <w:rPr>
                <w:rStyle w:val="35"/>
                <w:rFonts w:hint="eastAsia" w:ascii="Times New Roman" w:hAnsi="Times New Roman" w:eastAsia="宋体" w:cs="Times New Roman"/>
                <w:b w:val="0"/>
                <w:color w:val="000000" w:themeColor="text1"/>
                <w:sz w:val="24"/>
                <w14:textFill>
                  <w14:solidFill>
                    <w14:schemeClr w14:val="tx1"/>
                  </w14:solidFill>
                </w14:textFill>
              </w:rPr>
              <w:t>4</w:t>
            </w:r>
            <w:r>
              <w:rPr>
                <w:rStyle w:val="35"/>
                <w:rFonts w:ascii="Times New Roman" w:hAnsi="Times New Roman" w:eastAsia="宋体" w:cs="Times New Roman"/>
                <w:b w:val="0"/>
                <w:color w:val="000000" w:themeColor="text1"/>
                <w:sz w:val="24"/>
                <w14:textFill>
                  <w14:solidFill>
                    <w14:schemeClr w14:val="tx1"/>
                  </w14:solidFill>
                </w14:textFill>
              </w:rPr>
              <w:t>00个</w:t>
            </w:r>
            <w:r>
              <w:rPr>
                <w:rFonts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按照每个包装桶自重1</w:t>
            </w:r>
            <w:r>
              <w:rPr>
                <w:rFonts w:hint="eastAsia" w:ascii="Times New Roman" w:hAnsi="Times New Roman" w:eastAsia="宋体" w:cs="Times New Roman"/>
                <w:color w:val="000000" w:themeColor="text1"/>
                <w:kern w:val="0"/>
                <w:sz w:val="24"/>
                <w:lang w:val="en-US" w:eastAsia="zh-CN" w:bidi="ar"/>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2kg计算</w:t>
            </w:r>
            <w:r>
              <w:rPr>
                <w:rFonts w:ascii="Times New Roman" w:hAnsi="Times New Roman" w:eastAsia="宋体" w:cs="Times New Roman"/>
                <w:color w:val="000000" w:themeColor="text1"/>
                <w:sz w:val="24"/>
                <w14:textFill>
                  <w14:solidFill>
                    <w14:schemeClr w14:val="tx1"/>
                  </w14:solidFill>
                </w14:textFill>
              </w:rPr>
              <w:t>，消毒剂废包装桶产生量为</w:t>
            </w:r>
            <w:r>
              <w:rPr>
                <w:rStyle w:val="35"/>
                <w:rFonts w:ascii="Times New Roman" w:hAnsi="Times New Roman" w:eastAsia="宋体" w:cs="Times New Roman"/>
                <w:b w:val="0"/>
                <w:color w:val="000000" w:themeColor="text1"/>
                <w:sz w:val="24"/>
                <w14:textFill>
                  <w14:solidFill>
                    <w14:schemeClr w14:val="tx1"/>
                  </w14:solidFill>
                </w14:textFill>
              </w:rPr>
              <w:t>0</w:t>
            </w:r>
            <w:r>
              <w:rPr>
                <w:rStyle w:val="35"/>
                <w:rFonts w:hint="eastAsia" w:ascii="Times New Roman" w:hAnsi="Times New Roman" w:eastAsia="宋体" w:cs="Times New Roman"/>
                <w:b w:val="0"/>
                <w:color w:val="000000" w:themeColor="text1"/>
                <w:sz w:val="24"/>
                <w:lang w:val="en-US" w:eastAsia="zh-CN"/>
                <w14:textFill>
                  <w14:solidFill>
                    <w14:schemeClr w14:val="tx1"/>
                  </w14:solidFill>
                </w14:textFill>
              </w:rPr>
              <w:t>.</w:t>
            </w:r>
            <w:r>
              <w:rPr>
                <w:rStyle w:val="35"/>
                <w:rFonts w:hint="eastAsia" w:ascii="Times New Roman" w:hAnsi="Times New Roman" w:eastAsia="宋体" w:cs="Times New Roman"/>
                <w:b w:val="0"/>
                <w:color w:val="000000" w:themeColor="text1"/>
                <w:sz w:val="24"/>
                <w14:textFill>
                  <w14:solidFill>
                    <w14:schemeClr w14:val="tx1"/>
                  </w14:solidFill>
                </w14:textFill>
              </w:rPr>
              <w:t>48</w:t>
            </w:r>
            <w:r>
              <w:rPr>
                <w:rStyle w:val="35"/>
                <w:rFonts w:ascii="Times New Roman" w:hAnsi="Times New Roman" w:eastAsia="宋体" w:cs="Times New Roman"/>
                <w:b w:val="0"/>
                <w:color w:val="000000" w:themeColor="text1"/>
                <w:sz w:val="24"/>
                <w14:textFill>
                  <w14:solidFill>
                    <w14:schemeClr w14:val="tx1"/>
                  </w14:solidFill>
                </w14:textFill>
              </w:rPr>
              <w:t>t/a</w:t>
            </w:r>
            <w:r>
              <w:rPr>
                <w:rFonts w:ascii="Times New Roman" w:hAnsi="Times New Roman" w:eastAsia="宋体" w:cs="Times New Roman"/>
                <w:color w:val="000000" w:themeColor="text1"/>
                <w:sz w:val="24"/>
                <w14:textFill>
                  <w14:solidFill>
                    <w14:schemeClr w14:val="tx1"/>
                  </w14:solidFill>
                </w14:textFill>
              </w:rPr>
              <w:t>。</w:t>
            </w:r>
          </w:p>
          <w:p w14:paraId="6278CCC9">
            <w:pPr>
              <w:widowControl/>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lang w:bidi="ar"/>
                <w14:textFill>
                  <w14:solidFill>
                    <w14:schemeClr w14:val="tx1"/>
                  </w14:solidFill>
                </w14:textFill>
              </w:rPr>
              <w:t>根据《固体废物分类与代码目录》（公告2024年第4号），该废物属于SW17可再生类废物--非特定行业，代码为900-003-S17，废原料包装桶按一般固废收集后分类暂存，收集定期交由废品回收单位处理。</w:t>
            </w:r>
          </w:p>
          <w:p w14:paraId="361184FB">
            <w:pPr>
              <w:widowControl/>
              <w:spacing w:line="360" w:lineRule="auto"/>
              <w:ind w:firstLine="482" w:firstLineChars="200"/>
              <w:jc w:val="left"/>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b/>
                <w:bCs/>
                <w:color w:val="000000" w:themeColor="text1"/>
                <w:kern w:val="0"/>
                <w:sz w:val="24"/>
                <w:lang w:bidi="ar"/>
                <w14:textFill>
                  <w14:solidFill>
                    <w14:schemeClr w14:val="tx1"/>
                  </w14:solidFill>
                </w14:textFill>
              </w:rPr>
              <w:t>②废包装材料</w:t>
            </w:r>
          </w:p>
          <w:p w14:paraId="654859A2">
            <w:pPr>
              <w:widowControl/>
              <w:spacing w:line="360" w:lineRule="auto"/>
              <w:ind w:firstLine="480" w:firstLineChars="200"/>
              <w:jc w:val="left"/>
              <w:rPr>
                <w:rFonts w:ascii="Times New Roman" w:hAnsi="Times New Roman" w:eastAsia="宋体" w:cs="Times New Roman"/>
                <w:color w:val="000000" w:themeColor="text1"/>
                <w:kern w:val="0"/>
                <w:sz w:val="24"/>
                <w:lang w:bidi="ar"/>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成品被服、台布清洗完成后需套塑料包装袋进行包装，包装过程会产生破损塑料袋、裁切边角料、废弃塑料薄膜等废包装材料。本项目总包装物件数量=62万套被服+26万套台布=88万套/年；类比同类型洗涤企业包装工序产废经验系数，每套被服/台布包装环节废包装材料产生系数取</w:t>
            </w:r>
            <w:r>
              <w:rPr>
                <w:rStyle w:val="35"/>
                <w:rFonts w:ascii="Times New Roman" w:hAnsi="Times New Roman" w:eastAsia="宋体" w:cs="Times New Roman"/>
                <w:b w:val="0"/>
                <w:color w:val="000000" w:themeColor="text1"/>
                <w:sz w:val="24"/>
                <w14:textFill>
                  <w14:solidFill>
                    <w14:schemeClr w14:val="tx1"/>
                  </w14:solidFill>
                </w14:textFill>
              </w:rPr>
              <w:t>1.70g/套</w:t>
            </w:r>
            <w:r>
              <w:rPr>
                <w:rFonts w:ascii="Times New Roman" w:hAnsi="Times New Roman" w:eastAsia="宋体" w:cs="Times New Roman"/>
                <w:color w:val="000000" w:themeColor="text1"/>
                <w:sz w:val="24"/>
                <w14:textFill>
                  <w14:solidFill>
                    <w14:schemeClr w14:val="tx1"/>
                  </w14:solidFill>
                </w14:textFill>
              </w:rPr>
              <w:t>。则8800</w:t>
            </w:r>
            <w:r>
              <w:rPr>
                <w:rFonts w:hint="eastAsia" w:ascii="Times New Roman" w:hAnsi="Times New Roman" w:eastAsia="宋体" w:cs="Times New Roman"/>
                <w:color w:val="000000" w:themeColor="text1"/>
                <w:sz w:val="24"/>
                <w:lang w:val="en-US" w:eastAsia="zh-CN"/>
                <w14:textFill>
                  <w14:solidFill>
                    <w14:schemeClr w14:val="tx1"/>
                  </w14:solidFill>
                </w14:textFill>
              </w:rPr>
              <w:t>00</w:t>
            </w:r>
            <w:r>
              <w:rPr>
                <w:rFonts w:ascii="Times New Roman" w:hAnsi="Times New Roman" w:eastAsia="宋体" w:cs="Times New Roman"/>
                <w:color w:val="000000" w:themeColor="text1"/>
                <w:sz w:val="24"/>
                <w14:textFill>
                  <w14:solidFill>
                    <w14:schemeClr w14:val="tx1"/>
                  </w14:solidFill>
                </w14:textFill>
              </w:rPr>
              <w:t>套×</w:t>
            </w:r>
            <w:r>
              <w:rPr>
                <w:rStyle w:val="35"/>
                <w:rFonts w:ascii="Times New Roman" w:hAnsi="Times New Roman" w:eastAsia="宋体" w:cs="Times New Roman"/>
                <w:b w:val="0"/>
                <w:color w:val="000000" w:themeColor="text1"/>
                <w:sz w:val="24"/>
                <w14:textFill>
                  <w14:solidFill>
                    <w14:schemeClr w14:val="tx1"/>
                  </w14:solidFill>
                </w14:textFill>
              </w:rPr>
              <w:t>1.70g/套=149600g≈1.5t/a</w:t>
            </w:r>
            <w:r>
              <w:rPr>
                <w:rStyle w:val="35"/>
                <w:rFonts w:hint="eastAsia" w:ascii="宋体" w:hAnsi="宋体" w:eastAsia="宋体" w:cs="宋体"/>
                <w:b w:val="0"/>
                <w:color w:val="000000" w:themeColor="text1"/>
                <w:sz w:val="24"/>
                <w14:textFill>
                  <w14:solidFill>
                    <w14:schemeClr w14:val="tx1"/>
                  </w14:solidFill>
                </w14:textFill>
              </w:rPr>
              <w:t>。</w:t>
            </w:r>
            <w:r>
              <w:rPr>
                <w:rFonts w:ascii="Times New Roman" w:hAnsi="Times New Roman" w:eastAsia="宋体" w:cs="Times New Roman"/>
                <w:color w:val="000000" w:themeColor="text1"/>
                <w:kern w:val="0"/>
                <w:sz w:val="24"/>
                <w:lang w:bidi="ar"/>
                <w14:textFill>
                  <w14:solidFill>
                    <w14:schemeClr w14:val="tx1"/>
                  </w14:solidFill>
                </w14:textFill>
              </w:rPr>
              <w:t>收集后交由废品回收站回收，项目包装工序中产生的废弃包装材料属于《固体废物分类与代码目录》（公告2024年第4号），该废物属于SW17可再生类废物--非特定行业，代码为900-099-S17，收集定期交由废品回收单位处理</w:t>
            </w:r>
            <w:r>
              <w:rPr>
                <w:rFonts w:hint="eastAsia" w:ascii="Times New Roman" w:hAnsi="Times New Roman" w:eastAsia="宋体" w:cs="Times New Roman"/>
                <w:color w:val="000000" w:themeColor="text1"/>
                <w:kern w:val="0"/>
                <w:sz w:val="24"/>
                <w:lang w:bidi="ar"/>
                <w14:textFill>
                  <w14:solidFill>
                    <w14:schemeClr w14:val="tx1"/>
                  </w14:solidFill>
                </w14:textFill>
              </w:rPr>
              <w:t>。</w:t>
            </w:r>
          </w:p>
          <w:p w14:paraId="02305B23">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③锅炉灰渣</w:t>
            </w:r>
          </w:p>
          <w:p w14:paraId="782962DC">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项目锅炉为4t/h生物质锅炉，燃料为生物质成型燃料，锅炉运行过程中会产生一定量的锅炉灰渣，根据《污染源源强核算技术指南锅炉》（HJ991-2018），灰渣产生量按下式计算：</w:t>
            </w:r>
          </w:p>
          <w:p w14:paraId="6AD42693">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drawing>
                <wp:inline distT="0" distB="0" distL="114300" distR="114300">
                  <wp:extent cx="3245485" cy="718185"/>
                  <wp:effectExtent l="0" t="0" r="12065" b="5715"/>
                  <wp:docPr id="9"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0"/>
                          <pic:cNvPicPr>
                            <a:picLocks noChangeAspect="1"/>
                          </pic:cNvPicPr>
                        </pic:nvPicPr>
                        <pic:blipFill>
                          <a:blip r:embed="rId21"/>
                          <a:stretch>
                            <a:fillRect/>
                          </a:stretch>
                        </pic:blipFill>
                        <pic:spPr>
                          <a:xfrm>
                            <a:off x="0" y="0"/>
                            <a:ext cx="3245485" cy="718185"/>
                          </a:xfrm>
                          <a:prstGeom prst="rect">
                            <a:avLst/>
                          </a:prstGeom>
                          <a:noFill/>
                          <a:ln>
                            <a:noFill/>
                          </a:ln>
                        </pic:spPr>
                      </pic:pic>
                    </a:graphicData>
                  </a:graphic>
                </wp:inline>
              </w:drawing>
            </w:r>
          </w:p>
          <w:p w14:paraId="67248F5B">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式中：Ehz——核算时段内灰渣产生量，t；</w:t>
            </w:r>
          </w:p>
          <w:p w14:paraId="3BBD00AA">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R——核算时段内锅炉燃料耗量，t；本项目为1083.35t/a。</w:t>
            </w:r>
          </w:p>
          <w:p w14:paraId="44E23564">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Aar——收到基灰分的质量分数，%；本项目为1.10%。</w:t>
            </w:r>
          </w:p>
          <w:p w14:paraId="1A496066">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q4——锅炉机械不完全燃烧热损失，%；本项目取8%。</w:t>
            </w:r>
          </w:p>
          <w:p w14:paraId="5D8454BD">
            <w:pPr>
              <w:spacing w:line="360" w:lineRule="auto"/>
              <w:ind w:firstLine="480" w:firstLineChars="200"/>
              <w:jc w:val="left"/>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bCs/>
                <w:color w:val="000000" w:themeColor="text1"/>
                <w:sz w:val="24"/>
                <w14:textFill>
                  <w14:solidFill>
                    <w14:schemeClr w14:val="tx1"/>
                  </w14:solidFill>
                </w14:textFill>
              </w:rPr>
              <w:t>Qnet,ar—收到基低位发热量，kJ/kg，本项目为17421.27kJ/kg。</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生物质成型燃料低位热值为4161大卡/kg，按照热功换算关系1kcal=4.1868kJ换算为收到基低位发热量：Q</w:t>
            </w:r>
            <w:r>
              <w:rPr>
                <w:rFonts w:ascii="Times New Roman" w:hAnsi="Times New Roman" w:eastAsia="宋体" w:cs="Times New Roman"/>
                <w:color w:val="000000" w:themeColor="text1"/>
                <w:szCs w:val="21"/>
                <w:vertAlign w:val="subscript"/>
                <w14:textFill>
                  <w14:solidFill>
                    <w14:schemeClr w14:val="tx1"/>
                  </w14:solidFill>
                </w14:textFill>
              </w:rPr>
              <w:t>net,ar</w:t>
            </w:r>
            <w:r>
              <w:rPr>
                <w:rFonts w:ascii="Times New Roman" w:hAnsi="Times New Roman" w:eastAsia="宋体" w:cs="Times New Roman"/>
                <w:color w:val="000000" w:themeColor="text1"/>
                <w:szCs w:val="21"/>
                <w14:textFill>
                  <w14:solidFill>
                    <w14:schemeClr w14:val="tx1"/>
                  </w14:solidFill>
                </w14:textFill>
              </w:rPr>
              <w:t>=416</w:t>
            </w:r>
            <w:r>
              <w:rPr>
                <w:rFonts w:hint="eastAsia" w:ascii="Times New Roman" w:hAnsi="Times New Roman" w:eastAsia="宋体" w:cs="Times New Roman"/>
                <w:color w:val="000000" w:themeColor="text1"/>
                <w:szCs w:val="21"/>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kcal/kg×4.1868kJ/kcal=17421.27</w:t>
            </w:r>
            <w:r>
              <w:rPr>
                <w:rFonts w:hint="eastAsia" w:ascii="Times New Roman" w:hAnsi="Times New Roman" w:eastAsia="宋体" w:cs="Times New Roman"/>
                <w:color w:val="000000" w:themeColor="text1"/>
                <w:szCs w:val="21"/>
                <w14:textFill>
                  <w14:solidFill>
                    <w14:schemeClr w14:val="tx1"/>
                  </w14:solidFill>
                </w14:textFill>
              </w:rPr>
              <w:t>）</w:t>
            </w:r>
          </w:p>
          <w:p w14:paraId="245E7CA1">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经计算项目所产生的锅炉灰渣量为56.45t/a，属于《固体废物分类与代码目录》（公告2024年第4号）中SW03炉渣（废物代码：900-099-S03，固体废物名称：其他炉渣，工业生产过程中产生的其他炉渣，包括农林生物质燃烧产生的炉渣等），交由一般固废集中收集转运单位</w:t>
            </w:r>
            <w:r>
              <w:rPr>
                <w:rFonts w:ascii="Times New Roman" w:hAnsi="Times New Roman" w:eastAsia="宋体" w:cs="Times New Roman"/>
                <w:bCs/>
                <w:color w:val="000000" w:themeColor="text1"/>
                <w:sz w:val="24"/>
                <w14:textFill>
                  <w14:solidFill>
                    <w14:schemeClr w14:val="tx1"/>
                  </w14:solidFill>
                </w14:textFill>
              </w:rPr>
              <w:t>。</w:t>
            </w:r>
          </w:p>
          <w:p w14:paraId="3FE86F1B">
            <w:pPr>
              <w:spacing w:line="360" w:lineRule="auto"/>
              <w:ind w:firstLine="482" w:firstLineChars="200"/>
              <w:jc w:val="left"/>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④收尘灰</w:t>
            </w:r>
          </w:p>
          <w:p w14:paraId="38A0BE2C">
            <w:pPr>
              <w:spacing w:line="360" w:lineRule="auto"/>
              <w:ind w:firstLine="480" w:firstLineChars="200"/>
              <w:jc w:val="left"/>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项目根据前述章节分析，废气颗粒物产生量为0.</w:t>
            </w:r>
            <w:r>
              <w:rPr>
                <w:rFonts w:hint="eastAsia" w:ascii="Times New Roman" w:hAnsi="Times New Roman" w:eastAsia="宋体" w:cs="Times New Roman"/>
                <w:color w:val="000000" w:themeColor="text1"/>
                <w:sz w:val="24"/>
                <w14:textFill>
                  <w14:solidFill>
                    <w14:schemeClr w14:val="tx1"/>
                  </w14:solidFill>
                </w14:textFill>
              </w:rPr>
              <w:t>542</w:t>
            </w:r>
            <w:r>
              <w:rPr>
                <w:rFonts w:ascii="Times New Roman" w:hAnsi="Times New Roman" w:eastAsia="宋体" w:cs="Times New Roman"/>
                <w:color w:val="000000" w:themeColor="text1"/>
                <w:sz w:val="24"/>
                <w14:textFill>
                  <w14:solidFill>
                    <w14:schemeClr w14:val="tx1"/>
                  </w14:solidFill>
                </w14:textFill>
              </w:rPr>
              <w:t>t/a，排放量为0.</w:t>
            </w:r>
            <w:r>
              <w:rPr>
                <w:rFonts w:hint="eastAsia" w:ascii="Times New Roman" w:hAnsi="Times New Roman" w:eastAsia="宋体" w:cs="Times New Roman"/>
                <w:color w:val="000000" w:themeColor="text1"/>
                <w:sz w:val="24"/>
                <w14:textFill>
                  <w14:solidFill>
                    <w14:schemeClr w14:val="tx1"/>
                  </w14:solidFill>
                </w14:textFill>
              </w:rPr>
              <w:t>0542</w:t>
            </w:r>
            <w:r>
              <w:rPr>
                <w:rFonts w:ascii="Times New Roman" w:hAnsi="Times New Roman" w:eastAsia="宋体" w:cs="Times New Roman"/>
                <w:color w:val="000000" w:themeColor="text1"/>
                <w:sz w:val="24"/>
                <w14:textFill>
                  <w14:solidFill>
                    <w14:schemeClr w14:val="tx1"/>
                  </w14:solidFill>
                </w14:textFill>
              </w:rPr>
              <w:t>t/a，因此布袋除尘截留的灰尘约为0.</w:t>
            </w:r>
            <w:r>
              <w:rPr>
                <w:rFonts w:hint="eastAsia" w:ascii="Times New Roman" w:hAnsi="Times New Roman" w:eastAsia="宋体" w:cs="Times New Roman"/>
                <w:color w:val="000000" w:themeColor="text1"/>
                <w:sz w:val="24"/>
                <w14:textFill>
                  <w14:solidFill>
                    <w14:schemeClr w14:val="tx1"/>
                  </w14:solidFill>
                </w14:textFill>
              </w:rPr>
              <w:t>4878</w:t>
            </w:r>
            <w:r>
              <w:rPr>
                <w:rFonts w:ascii="Times New Roman" w:hAnsi="Times New Roman" w:eastAsia="宋体" w:cs="Times New Roman"/>
                <w:color w:val="000000" w:themeColor="text1"/>
                <w:sz w:val="24"/>
                <w14:textFill>
                  <w14:solidFill>
                    <w14:schemeClr w14:val="tx1"/>
                  </w14:solidFill>
                </w14:textFill>
              </w:rPr>
              <w:t>t/a，属于《固体废物分类与代码目录》（公告2024年第4号）中SW03炉渣（废物代码：900-099-S03，固体废物名称：其他炉渣，工业生产过程中产生的其他炉渣，包括农林生物质燃烧产生的炉渣等），交由一般固废集中收集转运单位</w:t>
            </w:r>
            <w:r>
              <w:rPr>
                <w:rFonts w:ascii="Times New Roman" w:hAnsi="Times New Roman" w:eastAsia="宋体" w:cs="Times New Roman"/>
                <w:bCs/>
                <w:color w:val="000000" w:themeColor="text1"/>
                <w:sz w:val="24"/>
                <w14:textFill>
                  <w14:solidFill>
                    <w14:schemeClr w14:val="tx1"/>
                  </w14:solidFill>
                </w14:textFill>
              </w:rPr>
              <w:t>。</w:t>
            </w:r>
          </w:p>
          <w:p w14:paraId="43D3E2EF">
            <w:pPr>
              <w:spacing w:line="360" w:lineRule="auto"/>
              <w:ind w:firstLine="482"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⑤</w:t>
            </w:r>
            <w:r>
              <w:rPr>
                <w:rFonts w:ascii="Times New Roman" w:hAnsi="Times New Roman" w:eastAsia="宋体" w:cs="Times New Roman"/>
                <w:b/>
                <w:bCs/>
                <w:color w:val="000000" w:themeColor="text1"/>
                <w:spacing w:val="-10"/>
                <w:sz w:val="24"/>
                <w14:textFill>
                  <w14:solidFill>
                    <w14:schemeClr w14:val="tx1"/>
                  </w14:solidFill>
                </w14:textFill>
              </w:rPr>
              <w:t>废布袋</w:t>
            </w:r>
          </w:p>
          <w:p w14:paraId="76CFA797">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废布袋主要来源于布袋除尘器废气处理措施定期更换的废旧布袋，布袋使用寿命一般为1~2年，项目拟每年定期更换一次，根据建设单位提供的资料，每年废布袋产生量为0.2t，属于《固体废物分类与代码目录》（公告2024年第4号）中SW59其他工业固体废物（废物代码：900-009-S59，固体废物名称：废过滤材料，工业生产活动中产生的废过滤袋、过滤器等过滤材料），交由一般固废集中收集转运单位。</w:t>
            </w:r>
          </w:p>
          <w:p w14:paraId="255AF529">
            <w:pPr>
              <w:spacing w:line="360" w:lineRule="auto"/>
              <w:ind w:firstLine="482"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⑥废离子交换树脂</w:t>
            </w:r>
          </w:p>
          <w:p w14:paraId="39B352CE">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项目生物质锅炉软水制备系统采用离子交换树脂把自来水制备成软化水，根据建设单位提供的资料，离子交换树脂更换周期为</w:t>
            </w:r>
            <w:r>
              <w:rPr>
                <w:rFonts w:hint="eastAsia" w:ascii="Times New Roman" w:hAnsi="Times New Roman" w:eastAsia="宋体" w:cs="Times New Roman"/>
                <w:color w:val="000000" w:themeColor="text1"/>
                <w:sz w:val="24"/>
                <w:lang w:val="en-US" w:eastAsia="zh-CN"/>
                <w14:textFill>
                  <w14:solidFill>
                    <w14:schemeClr w14:val="tx1"/>
                  </w14:solidFill>
                </w14:textFill>
              </w:rPr>
              <w:t>年均0.15</w:t>
            </w:r>
            <w:r>
              <w:rPr>
                <w:rFonts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eastAsia="宋体" w:cs="Times New Roman"/>
                <w:color w:val="000000" w:themeColor="text1"/>
                <w:sz w:val="24"/>
                <w:lang w:val="en-US" w:eastAsia="zh-CN"/>
                <w14:textFill>
                  <w14:solidFill>
                    <w14:schemeClr w14:val="tx1"/>
                  </w14:solidFill>
                </w14:textFill>
              </w:rPr>
              <w:t>0.25</w:t>
            </w:r>
            <w:r>
              <w:rPr>
                <w:rFonts w:ascii="Times New Roman" w:hAnsi="Times New Roman" w:eastAsia="宋体" w:cs="Times New Roman"/>
                <w:color w:val="000000" w:themeColor="text1"/>
                <w:sz w:val="24"/>
                <w14:textFill>
                  <w14:solidFill>
                    <w14:schemeClr w14:val="tx1"/>
                  </w14:solidFill>
                </w14:textFill>
              </w:rPr>
              <w:t>t/a，废离子交换树脂产生量为0.</w:t>
            </w:r>
            <w:r>
              <w:rPr>
                <w:rFonts w:hint="eastAsia" w:ascii="Times New Roman" w:hAnsi="Times New Roman" w:eastAsia="宋体" w:cs="Times New Roman"/>
                <w:color w:val="000000" w:themeColor="text1"/>
                <w:sz w:val="24"/>
                <w:lang w:val="en-US" w:eastAsia="zh-CN"/>
                <w14:textFill>
                  <w14:solidFill>
                    <w14:schemeClr w14:val="tx1"/>
                  </w14:solidFill>
                </w14:textFill>
              </w:rPr>
              <w:t>3</w:t>
            </w:r>
            <w:r>
              <w:rPr>
                <w:rFonts w:ascii="Times New Roman" w:hAnsi="Times New Roman" w:eastAsia="宋体" w:cs="Times New Roman"/>
                <w:color w:val="000000" w:themeColor="text1"/>
                <w:sz w:val="24"/>
                <w14:textFill>
                  <w14:solidFill>
                    <w14:schemeClr w14:val="tx1"/>
                  </w14:solidFill>
                </w14:textFill>
              </w:rPr>
              <w:t>t/a，属于《固体废物分类与代码目录》（公告2024年第4号）中SW59其他工业固体废物（废物代码：900-008-S59，固体废物名称：</w:t>
            </w:r>
            <w:r>
              <w:rPr>
                <w:rStyle w:val="35"/>
                <w:rFonts w:ascii="Times New Roman" w:hAnsi="Times New Roman" w:eastAsia="宋体" w:cs="Times New Roman"/>
                <w:b w:val="0"/>
                <w:bCs/>
                <w:color w:val="000000" w:themeColor="text1"/>
                <w:sz w:val="24"/>
                <w14:textFill>
                  <w14:solidFill>
                    <w14:schemeClr w14:val="tx1"/>
                  </w14:solidFill>
                </w14:textFill>
              </w:rPr>
              <w:t>废吸附剂（工业生产产生的活性炭、硅胶、离子交换树脂等废吸附剂）</w:t>
            </w:r>
            <w:r>
              <w:rPr>
                <w:rFonts w:ascii="Times New Roman" w:hAnsi="Times New Roman" w:eastAsia="宋体" w:cs="Times New Roman"/>
                <w:color w:val="000000" w:themeColor="text1"/>
                <w:sz w:val="24"/>
                <w14:textFill>
                  <w14:solidFill>
                    <w14:schemeClr w14:val="tx1"/>
                  </w14:solidFill>
                </w14:textFill>
              </w:rPr>
              <w:t>，交由一般固废集中收集转运单位。</w:t>
            </w:r>
          </w:p>
          <w:p w14:paraId="399B9D35">
            <w:pPr>
              <w:spacing w:line="360" w:lineRule="auto"/>
              <w:ind w:firstLine="482" w:firstLineChars="200"/>
              <w:jc w:val="left"/>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⑦废水处理污泥</w:t>
            </w:r>
          </w:p>
          <w:p w14:paraId="275C13A7">
            <w:pPr>
              <w:spacing w:line="360" w:lineRule="auto"/>
              <w:ind w:firstLine="480" w:firstLineChars="200"/>
              <w:jc w:val="left"/>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锅炉排污水和软化处理废水的pH值为6-9，自建污水站运营过程中无需使用酸碱调节pH值，不会产生废酸、废碱、废包装袋等废物，主要产生废水处理污泥（包括筛余物、污泥和剩余污泥等），参考《集中式污染治理设施产排污系数手册》（生态环境部华南环境科学研究所，2010年修订）表4工业废水集中处理设施的物化与生化污泥综合产生系数中“其他工业”，含水率80%的污泥产生系数为6.0吨/万吨-废水处理量，洗涤废水31875m³/a+锅炉排污水385.67m³/a+化粪池预处理后生活污水135m³/a=32395.67m³/a</w:t>
            </w:r>
            <w:r>
              <w:rPr>
                <w:rFonts w:hint="eastAsia" w:ascii="Times New Roman" w:hAnsi="Times New Roman" w:eastAsia="宋体" w:cs="Times New Roman"/>
                <w:color w:val="000000" w:themeColor="text1"/>
                <w:sz w:val="24"/>
                <w:lang w:val="en-US" w:eastAsia="zh-CN"/>
                <w14:textFill>
                  <w14:solidFill>
                    <w14:schemeClr w14:val="tx1"/>
                  </w14:solidFill>
                </w14:textFill>
              </w:rPr>
              <w:t>；按污水含水量约（80%）计，则废水处理污泥量应为19.44</w:t>
            </w:r>
            <w:r>
              <w:rPr>
                <w:rFonts w:ascii="Times New Roman" w:hAnsi="Times New Roman" w:eastAsia="宋体" w:cs="Times New Roman"/>
                <w:color w:val="000000" w:themeColor="text1"/>
                <w:sz w:val="24"/>
                <w14:textFill>
                  <w14:solidFill>
                    <w14:schemeClr w14:val="tx1"/>
                  </w14:solidFill>
                </w14:textFill>
              </w:rPr>
              <w:t>t/a，属于《固体废物分类与代码目录》（公告2024年第4号）中SW07污泥（废物代码：900-099-S07，固体废物名称：其他污泥；其他行业产生的废水处理污泥），交由一般固废处置单位处理。</w:t>
            </w:r>
          </w:p>
          <w:p w14:paraId="1AEE7780">
            <w:pPr>
              <w:spacing w:line="360" w:lineRule="auto"/>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4.3环境管理要求</w:t>
            </w:r>
          </w:p>
          <w:p w14:paraId="0805E4AF">
            <w:pPr>
              <w:spacing w:line="360" w:lineRule="auto"/>
              <w:ind w:firstLine="482" w:firstLineChars="200"/>
              <w:rPr>
                <w:rFonts w:ascii="Times New Roman" w:hAnsi="Times New Roman" w:eastAsia="宋体" w:cs="Times New Roman"/>
                <w:b/>
                <w:color w:val="000000" w:themeColor="text1"/>
                <w:sz w:val="24"/>
                <w14:textFill>
                  <w14:solidFill>
                    <w14:schemeClr w14:val="tx1"/>
                  </w14:solidFill>
                </w14:textFill>
              </w:rPr>
            </w:pPr>
            <w:r>
              <w:rPr>
                <w:rFonts w:ascii="Times New Roman" w:hAnsi="Times New Roman" w:eastAsia="宋体" w:cs="Times New Roman"/>
                <w:b/>
                <w:color w:val="000000" w:themeColor="text1"/>
                <w:sz w:val="24"/>
                <w14:textFill>
                  <w14:solidFill>
                    <w14:schemeClr w14:val="tx1"/>
                  </w14:solidFill>
                </w14:textFill>
              </w:rPr>
              <w:t>（</w:t>
            </w:r>
            <w:r>
              <w:rPr>
                <w:rFonts w:hint="eastAsia" w:ascii="Times New Roman" w:hAnsi="Times New Roman" w:eastAsia="宋体" w:cs="Times New Roman"/>
                <w:b/>
                <w:color w:val="000000" w:themeColor="text1"/>
                <w:sz w:val="24"/>
                <w14:textFill>
                  <w14:solidFill>
                    <w14:schemeClr w14:val="tx1"/>
                  </w14:solidFill>
                </w14:textFill>
              </w:rPr>
              <w:t>1</w:t>
            </w:r>
            <w:r>
              <w:rPr>
                <w:rFonts w:ascii="Times New Roman" w:hAnsi="Times New Roman" w:eastAsia="宋体" w:cs="Times New Roman"/>
                <w:b/>
                <w:color w:val="000000" w:themeColor="text1"/>
                <w:sz w:val="24"/>
                <w14:textFill>
                  <w14:solidFill>
                    <w14:schemeClr w14:val="tx1"/>
                  </w14:solidFill>
                </w14:textFill>
              </w:rPr>
              <w:t>）一般工业固体废物</w:t>
            </w:r>
          </w:p>
          <w:p w14:paraId="2CAADBBB">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kern w:val="0"/>
                <w:sz w:val="24"/>
                <w14:textFill>
                  <w14:solidFill>
                    <w14:schemeClr w14:val="tx1"/>
                  </w14:solidFill>
                </w14:textFill>
              </w:rPr>
              <w:t>营运期产生的一般工业固体废物主要为</w:t>
            </w:r>
            <w:r>
              <w:rPr>
                <w:rFonts w:hint="eastAsia" w:ascii="Times New Roman" w:hAnsi="Times New Roman" w:eastAsia="宋体" w:cs="Times New Roman"/>
                <w:color w:val="000000" w:themeColor="text1"/>
                <w:kern w:val="0"/>
                <w:sz w:val="24"/>
                <w14:textFill>
                  <w14:solidFill>
                    <w14:schemeClr w14:val="tx1"/>
                  </w14:solidFill>
                </w14:textFill>
              </w:rPr>
              <w:t>废包装桶、废包装材料集中收集后暂存于一般固废间，定期交由废品回收单位处理；</w:t>
            </w:r>
            <w:r>
              <w:rPr>
                <w:rFonts w:hint="eastAsia" w:ascii="Times New Roman" w:hAnsi="Times New Roman" w:eastAsia="宋体" w:cs="Times New Roman"/>
                <w:color w:val="000000" w:themeColor="text1"/>
                <w:sz w:val="24"/>
                <w:lang w:bidi="ar"/>
                <w14:textFill>
                  <w14:solidFill>
                    <w14:schemeClr w14:val="tx1"/>
                  </w14:solidFill>
                </w14:textFill>
              </w:rPr>
              <w:t>锅炉灰渣、</w:t>
            </w:r>
            <w:r>
              <w:rPr>
                <w:rFonts w:hint="eastAsia" w:ascii="Times New Roman" w:hAnsi="Times New Roman" w:eastAsia="宋体" w:cs="Times New Roman"/>
                <w:color w:val="000000" w:themeColor="text1"/>
                <w:sz w:val="24"/>
                <w14:textFill>
                  <w14:solidFill>
                    <w14:schemeClr w14:val="tx1"/>
                  </w14:solidFill>
                </w14:textFill>
              </w:rPr>
              <w:t>收尘灰、</w:t>
            </w:r>
            <w:r>
              <w:rPr>
                <w:rFonts w:hint="eastAsia" w:ascii="Times New Roman" w:hAnsi="Times New Roman" w:eastAsia="宋体" w:cs="Times New Roman"/>
                <w:color w:val="000000" w:themeColor="text1"/>
                <w:spacing w:val="-10"/>
                <w:sz w:val="24"/>
                <w14:textFill>
                  <w14:solidFill>
                    <w14:schemeClr w14:val="tx1"/>
                  </w14:solidFill>
                </w14:textFill>
              </w:rPr>
              <w:t>废布袋、</w:t>
            </w:r>
            <w:r>
              <w:rPr>
                <w:rFonts w:hint="eastAsia" w:ascii="Times New Roman" w:hAnsi="Times New Roman" w:eastAsia="宋体" w:cs="Times New Roman"/>
                <w:color w:val="000000" w:themeColor="text1"/>
                <w:sz w:val="24"/>
                <w14:textFill>
                  <w14:solidFill>
                    <w14:schemeClr w14:val="tx1"/>
                  </w14:solidFill>
                </w14:textFill>
              </w:rPr>
              <w:t>废离子交换树脂</w:t>
            </w:r>
            <w:r>
              <w:rPr>
                <w:rFonts w:hint="eastAsia" w:ascii="Times New Roman" w:hAnsi="Times New Roman" w:eastAsia="宋体" w:cs="Times New Roman"/>
                <w:color w:val="000000" w:themeColor="text1"/>
                <w:kern w:val="0"/>
                <w:sz w:val="24"/>
                <w14:textFill>
                  <w14:solidFill>
                    <w14:schemeClr w14:val="tx1"/>
                  </w14:solidFill>
                </w14:textFill>
              </w:rPr>
              <w:t>和废水处理污泥</w:t>
            </w:r>
            <w:r>
              <w:rPr>
                <w:rFonts w:ascii="Times New Roman" w:hAnsi="Times New Roman" w:eastAsia="宋体" w:cs="Times New Roman"/>
                <w:color w:val="000000" w:themeColor="text1"/>
                <w:kern w:val="0"/>
                <w:sz w:val="24"/>
                <w14:textFill>
                  <w14:solidFill>
                    <w14:schemeClr w14:val="tx1"/>
                  </w14:solidFill>
                </w14:textFill>
              </w:rPr>
              <w:t>，集中分类收集后</w:t>
            </w:r>
            <w:r>
              <w:rPr>
                <w:rFonts w:hint="eastAsia" w:ascii="Times New Roman" w:hAnsi="Times New Roman" w:eastAsia="宋体" w:cs="Times New Roman"/>
                <w:color w:val="000000" w:themeColor="text1"/>
                <w:kern w:val="0"/>
                <w:sz w:val="24"/>
                <w14:textFill>
                  <w14:solidFill>
                    <w14:schemeClr w14:val="tx1"/>
                  </w14:solidFill>
                </w14:textFill>
              </w:rPr>
              <w:t>暂存于</w:t>
            </w:r>
            <w:r>
              <w:rPr>
                <w:rFonts w:ascii="Times New Roman" w:hAnsi="Times New Roman" w:eastAsia="宋体" w:cs="Times New Roman"/>
                <w:color w:val="000000" w:themeColor="text1"/>
                <w:kern w:val="0"/>
                <w:sz w:val="24"/>
                <w14:textFill>
                  <w14:solidFill>
                    <w14:schemeClr w14:val="tx1"/>
                  </w14:solidFill>
                </w14:textFill>
              </w:rPr>
              <w:t>一般固体废物暂存区，</w:t>
            </w:r>
            <w:r>
              <w:rPr>
                <w:rFonts w:hint="eastAsia" w:ascii="Times New Roman" w:hAnsi="Times New Roman" w:eastAsia="宋体" w:cs="Times New Roman"/>
                <w:color w:val="000000" w:themeColor="text1"/>
                <w:kern w:val="0"/>
                <w:sz w:val="24"/>
                <w14:textFill>
                  <w14:solidFill>
                    <w14:schemeClr w14:val="tx1"/>
                  </w14:solidFill>
                </w14:textFill>
              </w:rPr>
              <w:t>最后交由</w:t>
            </w:r>
            <w:r>
              <w:rPr>
                <w:rFonts w:hint="eastAsia" w:ascii="Times New Roman" w:hAnsi="Times New Roman" w:eastAsia="宋体" w:cs="Times New Roman"/>
                <w:color w:val="000000" w:themeColor="text1"/>
                <w:sz w:val="24"/>
                <w14:textFill>
                  <w14:solidFill>
                    <w14:schemeClr w14:val="tx1"/>
                  </w14:solidFill>
                </w14:textFill>
              </w:rPr>
              <w:t>一般固废处置单位处置</w:t>
            </w:r>
            <w:r>
              <w:rPr>
                <w:rFonts w:ascii="Times New Roman" w:hAnsi="Times New Roman" w:eastAsia="宋体" w:cs="Times New Roman"/>
                <w:color w:val="000000" w:themeColor="text1"/>
                <w:kern w:val="0"/>
                <w:sz w:val="24"/>
                <w14:textFill>
                  <w14:solidFill>
                    <w14:schemeClr w14:val="tx1"/>
                  </w14:solidFill>
                </w14:textFill>
              </w:rPr>
              <w:t>。</w:t>
            </w:r>
            <w:r>
              <w:rPr>
                <w:rFonts w:hint="eastAsia" w:ascii="Times New Roman" w:hAnsi="Times New Roman" w:eastAsia="宋体" w:cs="Times New Roman"/>
                <w:bCs/>
                <w:color w:val="000000" w:themeColor="text1"/>
                <w:sz w:val="24"/>
                <w14:textFill>
                  <w14:solidFill>
                    <w14:schemeClr w14:val="tx1"/>
                  </w14:solidFill>
                </w14:textFill>
              </w:rPr>
              <w:t>项目</w:t>
            </w:r>
            <w:r>
              <w:rPr>
                <w:rFonts w:ascii="Times New Roman" w:hAnsi="Times New Roman" w:eastAsia="宋体" w:cs="Times New Roman"/>
                <w:bCs/>
                <w:color w:val="000000" w:themeColor="text1"/>
                <w:sz w:val="24"/>
                <w14:textFill>
                  <w14:solidFill>
                    <w14:schemeClr w14:val="tx1"/>
                  </w14:solidFill>
                </w14:textFill>
              </w:rPr>
              <w:t>一般固体废物暂存区设置</w:t>
            </w:r>
            <w:r>
              <w:rPr>
                <w:rFonts w:hint="eastAsia" w:ascii="Times New Roman" w:hAnsi="Times New Roman" w:eastAsia="宋体" w:cs="Times New Roman"/>
                <w:bCs/>
                <w:color w:val="000000" w:themeColor="text1"/>
                <w:sz w:val="24"/>
                <w14:textFill>
                  <w14:solidFill>
                    <w14:schemeClr w14:val="tx1"/>
                  </w14:solidFill>
                </w14:textFill>
              </w:rPr>
              <w:t>在厂房东北角，锅炉房西侧，占地面积</w:t>
            </w:r>
            <w:r>
              <w:rPr>
                <w:rFonts w:hint="eastAsia" w:ascii="Times New Roman" w:hAnsi="Times New Roman" w:eastAsia="宋体" w:cs="Times New Roman"/>
                <w:bCs/>
                <w:color w:val="000000" w:themeColor="text1"/>
                <w:sz w:val="24"/>
                <w:lang w:val="en-US" w:eastAsia="zh-CN"/>
                <w14:textFill>
                  <w14:solidFill>
                    <w14:schemeClr w14:val="tx1"/>
                  </w14:solidFill>
                </w14:textFill>
              </w:rPr>
              <w:t>2</w:t>
            </w:r>
            <w:r>
              <w:rPr>
                <w:rFonts w:hint="eastAsia" w:ascii="Times New Roman" w:hAnsi="Times New Roman" w:eastAsia="宋体" w:cs="Times New Roman"/>
                <w:bCs/>
                <w:color w:val="000000" w:themeColor="text1"/>
                <w:sz w:val="24"/>
                <w14:textFill>
                  <w14:solidFill>
                    <w14:schemeClr w14:val="tx1"/>
                  </w14:solidFill>
                </w14:textFill>
              </w:rPr>
              <w:t>0m</w:t>
            </w:r>
            <w:r>
              <w:rPr>
                <w:rFonts w:hint="eastAsia" w:ascii="Times New Roman" w:hAnsi="Times New Roman" w:eastAsia="宋体" w:cs="Times New Roman"/>
                <w:bCs/>
                <w:color w:val="000000" w:themeColor="text1"/>
                <w:sz w:val="24"/>
                <w:vertAlign w:val="superscript"/>
                <w14:textFill>
                  <w14:solidFill>
                    <w14:schemeClr w14:val="tx1"/>
                  </w14:solidFill>
                </w14:textFill>
              </w:rPr>
              <w:t>2</w:t>
            </w:r>
            <w:r>
              <w:rPr>
                <w:rFonts w:ascii="Times New Roman" w:hAnsi="Times New Roman" w:eastAsia="宋体" w:cs="Times New Roman"/>
                <w:bCs/>
                <w:color w:val="000000" w:themeColor="text1"/>
                <w:sz w:val="24"/>
                <w14:textFill>
                  <w14:solidFill>
                    <w14:schemeClr w14:val="tx1"/>
                  </w14:solidFill>
                </w14:textFill>
              </w:rPr>
              <w:t>，顶部防雨淋、底部水泥硬化</w:t>
            </w:r>
            <w:r>
              <w:rPr>
                <w:rFonts w:hint="eastAsia" w:ascii="Times New Roman" w:hAnsi="Times New Roman" w:eastAsia="宋体" w:cs="Times New Roman"/>
                <w:bCs/>
                <w:color w:val="000000" w:themeColor="text1"/>
                <w:sz w:val="24"/>
                <w14:textFill>
                  <w14:solidFill>
                    <w14:schemeClr w14:val="tx1"/>
                  </w14:solidFill>
                </w14:textFill>
              </w:rPr>
              <w:t>、防渗</w:t>
            </w:r>
            <w:r>
              <w:rPr>
                <w:rFonts w:ascii="Times New Roman" w:hAnsi="Times New Roman" w:eastAsia="宋体" w:cs="Times New Roman"/>
                <w:bCs/>
                <w:color w:val="000000" w:themeColor="text1"/>
                <w:sz w:val="24"/>
                <w14:textFill>
                  <w14:solidFill>
                    <w14:schemeClr w14:val="tx1"/>
                  </w14:solidFill>
                </w14:textFill>
              </w:rPr>
              <w:t>等措施，避免固体废物流失污染周边环境。</w:t>
            </w:r>
          </w:p>
          <w:p w14:paraId="72647CEF">
            <w:pPr>
              <w:spacing w:line="360" w:lineRule="auto"/>
              <w:ind w:firstLine="480" w:firstLineChars="200"/>
              <w:rPr>
                <w:rFonts w:ascii="Times New Roman" w:hAnsi="Times New Roman" w:eastAsia="宋体" w:cs="Times New Roman"/>
                <w:bCs/>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一般工业固体废物产生单位必须如实申报正常作业条件下工业固体废物的种类、产生量、流向、贮存、利用、处置状况等有关资料，以及执行有关</w:t>
            </w:r>
            <w:r>
              <w:rPr>
                <w:rFonts w:hint="eastAsia" w:ascii="Times New Roman" w:hAnsi="Times New Roman" w:eastAsia="宋体" w:cs="Times New Roman"/>
                <w:color w:val="000000" w:themeColor="text1"/>
                <w:sz w:val="24"/>
                <w14:textFill>
                  <w14:solidFill>
                    <w14:schemeClr w14:val="tx1"/>
                  </w14:solidFill>
                </w14:textFill>
              </w:rPr>
              <w:t>法律法规</w:t>
            </w:r>
            <w:r>
              <w:rPr>
                <w:rFonts w:ascii="Times New Roman" w:hAnsi="Times New Roman" w:eastAsia="宋体" w:cs="Times New Roman"/>
                <w:color w:val="000000" w:themeColor="text1"/>
                <w:sz w:val="24"/>
                <w14:textFill>
                  <w14:solidFill>
                    <w14:schemeClr w14:val="tx1"/>
                  </w14:solidFill>
                </w14:textFill>
              </w:rPr>
              <w:t>的真实情况，不得隐瞒不报或者虚报、谎报。一般工业固体废物产生单位应于网上申报登记上一年度的信息，通过省固体废物管理信息平台依法申报固体废物的种类、产生量、流向、交接、贮存、利用、处置情况；申报企业要签署承诺书，依法向县级</w:t>
            </w:r>
            <w:r>
              <w:rPr>
                <w:rFonts w:hint="eastAsia"/>
                <w:color w:val="000000" w:themeColor="text1"/>
                <w:sz w:val="24"/>
                <w:lang w:eastAsia="zh-CN"/>
                <w14:textFill>
                  <w14:solidFill>
                    <w14:schemeClr w14:val="tx1"/>
                  </w14:solidFill>
                </w14:textFill>
              </w:rPr>
              <w:t>生态环境主管部门</w:t>
            </w:r>
            <w:r>
              <w:rPr>
                <w:rFonts w:ascii="Times New Roman" w:hAnsi="Times New Roman" w:eastAsia="宋体" w:cs="Times New Roman"/>
                <w:color w:val="000000" w:themeColor="text1"/>
                <w:sz w:val="24"/>
                <w14:textFill>
                  <w14:solidFill>
                    <w14:schemeClr w14:val="tx1"/>
                  </w14:solidFill>
                </w14:textFill>
              </w:rPr>
              <w:t>申报登记信息，确保申报数据的真实性、准确性和完整性。</w:t>
            </w:r>
          </w:p>
          <w:p w14:paraId="7DC55AE0">
            <w:pPr>
              <w:spacing w:line="360" w:lineRule="auto"/>
              <w:ind w:firstLine="480" w:firstLineChars="200"/>
              <w:rPr>
                <w:rFonts w:hint="eastAsia" w:ascii="Times New Roman" w:hAnsi="Times New Roman" w:eastAsia="宋体" w:cs="Times New Roman"/>
                <w:color w:val="000000" w:themeColor="text1"/>
                <w:sz w:val="24"/>
                <w:lang w:bidi="ar"/>
                <w14:textFill>
                  <w14:solidFill>
                    <w14:schemeClr w14:val="tx1"/>
                  </w14:solidFill>
                </w14:textFill>
              </w:rPr>
            </w:pPr>
            <w:r>
              <w:rPr>
                <w:rFonts w:hint="eastAsia" w:ascii="Times New Roman" w:hAnsi="Times New Roman" w:eastAsia="宋体" w:cs="Times New Roman"/>
                <w:color w:val="000000" w:themeColor="text1"/>
                <w:sz w:val="24"/>
                <w:lang w:bidi="ar"/>
                <w14:textFill>
                  <w14:solidFill>
                    <w14:schemeClr w14:val="tx1"/>
                  </w14:solidFill>
                </w14:textFill>
              </w:rPr>
              <w:t>经采用上述措施后，建设项目产生的固体废物对周围环境基本无影响。</w:t>
            </w:r>
          </w:p>
          <w:p w14:paraId="1276750A">
            <w:pPr>
              <w:spacing w:line="480" w:lineRule="exact"/>
              <w:ind w:firstLine="482" w:firstLineChars="200"/>
              <w:rPr>
                <w:rFonts w:hint="eastAsia"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14:textFill>
                  <w14:solidFill>
                    <w14:schemeClr w14:val="tx1"/>
                  </w14:solidFill>
                </w14:textFill>
              </w:rPr>
              <w:t>5、环境风险影响分析</w:t>
            </w:r>
          </w:p>
          <w:p w14:paraId="3DB519E1">
            <w:pPr>
              <w:pStyle w:val="64"/>
              <w:spacing w:line="480" w:lineRule="exact"/>
              <w:ind w:firstLine="480" w:firstLineChars="200"/>
              <w:rPr>
                <w:rFonts w:ascii="Times New Roman" w:hAnsi="Times New Roman" w:eastAsia="宋体"/>
                <w:color w:val="000000" w:themeColor="text1"/>
                <w:sz w:val="24"/>
                <w14:textFill>
                  <w14:solidFill>
                    <w14:schemeClr w14:val="tx1"/>
                  </w14:solidFill>
                </w14:textFill>
              </w:rPr>
            </w:pPr>
            <w:r>
              <w:rPr>
                <w:rFonts w:ascii="Times New Roman" w:hAnsi="Times New Roman" w:eastAsia="宋体"/>
                <w:color w:val="000000" w:themeColor="text1"/>
                <w:sz w:val="24"/>
                <w14:textFill>
                  <w14:solidFill>
                    <w14:schemeClr w14:val="tx1"/>
                  </w14:solidFill>
                </w14:textFill>
              </w:rPr>
              <w:t>环境风险评价的目的是分析和预测建设项目存在的潜在危险、有害因素，项目建设和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w:t>
            </w:r>
          </w:p>
          <w:p w14:paraId="09A940C2">
            <w:pPr>
              <w:pStyle w:val="64"/>
              <w:spacing w:line="480" w:lineRule="exact"/>
              <w:ind w:firstLine="482" w:firstLineChars="200"/>
              <w:rPr>
                <w:rFonts w:ascii="Times New Roman" w:hAnsi="Times New Roman" w:eastAsia="宋体"/>
                <w:b/>
                <w:bCs/>
                <w:color w:val="000000" w:themeColor="text1"/>
                <w:sz w:val="24"/>
                <w14:textFill>
                  <w14:solidFill>
                    <w14:schemeClr w14:val="tx1"/>
                  </w14:solidFill>
                </w14:textFill>
              </w:rPr>
            </w:pPr>
            <w:r>
              <w:rPr>
                <w:rFonts w:ascii="Times New Roman" w:hAnsi="Times New Roman" w:eastAsia="宋体"/>
                <w:b/>
                <w:bCs/>
                <w:color w:val="000000" w:themeColor="text1"/>
                <w:sz w:val="24"/>
                <w14:textFill>
                  <w14:solidFill>
                    <w14:schemeClr w14:val="tx1"/>
                  </w14:solidFill>
                </w14:textFill>
              </w:rPr>
              <w:t>（1）风险潜势初判</w:t>
            </w:r>
          </w:p>
          <w:p w14:paraId="5F4B76C7">
            <w:pPr>
              <w:pStyle w:val="64"/>
              <w:spacing w:line="480" w:lineRule="exact"/>
              <w:ind w:firstLine="480" w:firstLineChars="200"/>
              <w:rPr>
                <w:rFonts w:ascii="Times New Roman" w:hAnsi="Times New Roman" w:eastAsia="宋体"/>
                <w:color w:val="000000" w:themeColor="text1"/>
                <w:sz w:val="24"/>
                <w14:textFill>
                  <w14:solidFill>
                    <w14:schemeClr w14:val="tx1"/>
                  </w14:solidFill>
                </w14:textFill>
              </w:rPr>
            </w:pPr>
            <w:r>
              <w:rPr>
                <w:rFonts w:ascii="Times New Roman" w:hAnsi="Times New Roman" w:eastAsia="宋体"/>
                <w:color w:val="000000" w:themeColor="text1"/>
                <w:sz w:val="24"/>
                <w14:textFill>
                  <w14:solidFill>
                    <w14:schemeClr w14:val="tx1"/>
                  </w14:solidFill>
                </w14:textFill>
              </w:rPr>
              <w:t>根据《建设项目环境风险评价技术导则》（HJ169-2018），建设项目环境风险潜势划分为Ⅰ、Ⅱ、Ⅲ、Ⅳ/Ⅳ</w:t>
            </w:r>
            <w:r>
              <w:rPr>
                <w:rFonts w:ascii="Times New Roman" w:hAnsi="Times New Roman" w:eastAsia="宋体"/>
                <w:color w:val="000000" w:themeColor="text1"/>
                <w:sz w:val="24"/>
                <w:vertAlign w:val="superscript"/>
                <w14:textFill>
                  <w14:solidFill>
                    <w14:schemeClr w14:val="tx1"/>
                  </w14:solidFill>
                </w14:textFill>
              </w:rPr>
              <w:t>+</w:t>
            </w:r>
            <w:r>
              <w:rPr>
                <w:rFonts w:ascii="Times New Roman" w:hAnsi="Times New Roman" w:eastAsia="宋体"/>
                <w:color w:val="000000" w:themeColor="text1"/>
                <w:sz w:val="24"/>
                <w14:textFill>
                  <w14:solidFill>
                    <w14:schemeClr w14:val="tx1"/>
                  </w14:solidFill>
                </w14:textFill>
              </w:rPr>
              <w:t>级。根据建设项目涉及的物质和工艺系统的危险性（P）及其所在地的环境敏感程度（E），结合事故情形下环境影响途径，对建设项目潜在环境危害程度进行概化分析，并确定环境风险潜势。其中危险物质及工艺系统危险性（P）等级由危险物质数量与临界量的比值（Q）和所属行业及生产工艺特点（M）。计算所涉及的每种危险物质在厂界内的最大存在总量与其在附录B中对应临界量的比值Q。在不同厂区的同一种物质，按其在厂界内的最大存在总量计算。当只涉及一种危险物质时，计算该物质的总量与其临界量比值，即为Q；当存在多种危险物质时，则按下式计算物质总量与其临界量比值（Q）：</w:t>
            </w:r>
          </w:p>
          <w:p w14:paraId="2246267A">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Q=q1/Q1+q2/Q2……＋qn/Qn</w:t>
            </w:r>
          </w:p>
          <w:p w14:paraId="5601FF88">
            <w:pPr>
              <w:spacing w:line="480" w:lineRule="exact"/>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式中：q1，q2…qn——每种危险物质的最大存在总量，t。</w:t>
            </w:r>
          </w:p>
          <w:p w14:paraId="26D02DD2">
            <w:pPr>
              <w:spacing w:line="480" w:lineRule="exact"/>
              <w:ind w:firstLine="1200" w:firstLineChars="5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Q1</w:t>
            </w:r>
            <w:r>
              <w:rPr>
                <w:rFonts w:hint="eastAsia" w:ascii="Times New Roman" w:hAnsi="Times New Roman" w:eastAsia="宋体" w:cs="Times New Roman"/>
                <w:color w:val="000000" w:themeColor="text1"/>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Q2…Qn——每种危险物质的临界量，t。</w:t>
            </w:r>
          </w:p>
          <w:p w14:paraId="7ECA5AA8">
            <w:pPr>
              <w:pStyle w:val="64"/>
              <w:spacing w:line="480" w:lineRule="exact"/>
              <w:ind w:firstLine="480" w:firstLineChars="200"/>
              <w:rPr>
                <w:rFonts w:ascii="Times New Roman" w:hAnsi="Times New Roman" w:eastAsia="宋体"/>
                <w:color w:val="000000" w:themeColor="text1"/>
                <w:sz w:val="24"/>
                <w14:textFill>
                  <w14:solidFill>
                    <w14:schemeClr w14:val="tx1"/>
                  </w14:solidFill>
                </w14:textFill>
              </w:rPr>
            </w:pPr>
            <w:r>
              <w:rPr>
                <w:rFonts w:hint="eastAsia" w:ascii="Times New Roman" w:hAnsi="Times New Roman" w:eastAsia="宋体"/>
                <w:color w:val="000000" w:themeColor="text1"/>
                <w:sz w:val="24"/>
                <w14:textFill>
                  <w14:solidFill>
                    <w14:schemeClr w14:val="tx1"/>
                  </w14:solidFill>
                </w14:textFill>
              </w:rPr>
              <w:t>根据项目原辅材料的理化性质，经查，本项目不涉及《建设项目环境风险评价技术导则》（HJ169-2018）附录B的监控目录中的有毒有害和易燃易爆物质。</w:t>
            </w:r>
            <w:r>
              <w:rPr>
                <w:rFonts w:ascii="Times New Roman" w:hAnsi="Times New Roman" w:eastAsia="宋体"/>
                <w:color w:val="000000" w:themeColor="text1"/>
                <w:sz w:val="24"/>
                <w14:textFill>
                  <w14:solidFill>
                    <w14:schemeClr w14:val="tx1"/>
                  </w14:solidFill>
                </w14:textFill>
              </w:rPr>
              <w:t>因此</w:t>
            </w:r>
            <w:r>
              <w:rPr>
                <w:rFonts w:hint="eastAsia" w:ascii="Times New Roman" w:hAnsi="Times New Roman" w:eastAsia="宋体"/>
                <w:color w:val="000000" w:themeColor="text1"/>
                <w:sz w:val="24"/>
                <w14:textFill>
                  <w14:solidFill>
                    <w14:schemeClr w14:val="tx1"/>
                  </w14:solidFill>
                </w14:textFill>
              </w:rPr>
              <w:t>，</w:t>
            </w:r>
            <w:r>
              <w:rPr>
                <w:rFonts w:ascii="Times New Roman" w:hAnsi="Times New Roman" w:eastAsia="宋体"/>
                <w:color w:val="000000" w:themeColor="text1"/>
                <w:sz w:val="24"/>
                <w14:textFill>
                  <w14:solidFill>
                    <w14:schemeClr w14:val="tx1"/>
                  </w14:solidFill>
                </w14:textFill>
              </w:rPr>
              <w:t>对项目开展环境风险简单分析。</w:t>
            </w:r>
          </w:p>
          <w:p w14:paraId="548430F4">
            <w:pPr>
              <w:pStyle w:val="64"/>
              <w:spacing w:line="480" w:lineRule="exact"/>
              <w:ind w:firstLine="482" w:firstLineChars="200"/>
              <w:rPr>
                <w:rFonts w:hint="eastAsia" w:ascii="Times New Roman" w:hAnsi="Times New Roman" w:eastAsia="宋体"/>
                <w:b/>
                <w:bCs/>
                <w:color w:val="000000" w:themeColor="text1"/>
                <w:sz w:val="24"/>
                <w14:textFill>
                  <w14:solidFill>
                    <w14:schemeClr w14:val="tx1"/>
                  </w14:solidFill>
                </w14:textFill>
              </w:rPr>
            </w:pPr>
            <w:r>
              <w:rPr>
                <w:rFonts w:hint="eastAsia" w:ascii="Times New Roman" w:hAnsi="Times New Roman" w:eastAsia="宋体"/>
                <w:b/>
                <w:bCs/>
                <w:color w:val="000000" w:themeColor="text1"/>
                <w:sz w:val="24"/>
                <w14:textFill>
                  <w14:solidFill>
                    <w14:schemeClr w14:val="tx1"/>
                  </w14:solidFill>
                </w14:textFill>
              </w:rPr>
              <w:t>（2）风险识别</w:t>
            </w:r>
          </w:p>
          <w:p w14:paraId="24AB3F39">
            <w:pPr>
              <w:pStyle w:val="64"/>
              <w:spacing w:line="480" w:lineRule="exact"/>
              <w:ind w:firstLine="480" w:firstLineChars="200"/>
              <w:rPr>
                <w:rFonts w:hint="eastAsia" w:ascii="Times New Roman" w:hAnsi="Times New Roman" w:eastAsia="宋体"/>
                <w:color w:val="000000" w:themeColor="text1"/>
                <w:sz w:val="24"/>
                <w14:textFill>
                  <w14:solidFill>
                    <w14:schemeClr w14:val="tx1"/>
                  </w14:solidFill>
                </w14:textFill>
              </w:rPr>
            </w:pPr>
            <w:r>
              <w:rPr>
                <w:rFonts w:ascii="Times New Roman" w:hAnsi="Times New Roman" w:eastAsia="宋体"/>
                <w:color w:val="000000" w:themeColor="text1"/>
                <w:sz w:val="24"/>
                <w14:textFill>
                  <w14:solidFill>
                    <w14:schemeClr w14:val="tx1"/>
                  </w14:solidFill>
                </w14:textFill>
              </w:rPr>
              <w:t>项目主要为</w:t>
            </w:r>
            <w:r>
              <w:rPr>
                <w:rFonts w:hint="eastAsia" w:ascii="Times New Roman" w:hAnsi="Times New Roman" w:eastAsia="宋体"/>
                <w:color w:val="000000" w:themeColor="text1"/>
                <w:sz w:val="24"/>
                <w14:textFill>
                  <w14:solidFill>
                    <w14:schemeClr w14:val="tx1"/>
                  </w14:solidFill>
                </w14:textFill>
              </w:rPr>
              <w:t>燃料仓、污水站和废气处理设施存在环境风险，识别如下表所示：</w:t>
            </w:r>
          </w:p>
          <w:p w14:paraId="45D747F8">
            <w:pPr>
              <w:pStyle w:val="66"/>
              <w:spacing w:line="480" w:lineRule="exact"/>
              <w:rPr>
                <w:rStyle w:val="39"/>
                <w:rFonts w:hint="default"/>
                <w:b/>
                <w:bCs/>
                <w:color w:val="000000" w:themeColor="text1"/>
                <w:sz w:val="24"/>
                <w14:textFill>
                  <w14:solidFill>
                    <w14:schemeClr w14:val="tx1"/>
                  </w14:solidFill>
                </w14:textFill>
              </w:rPr>
            </w:pPr>
            <w:r>
              <w:rPr>
                <w:rStyle w:val="39"/>
                <w:rFonts w:hint="default"/>
                <w:b/>
                <w:bCs/>
                <w:color w:val="000000" w:themeColor="text1"/>
                <w:sz w:val="24"/>
                <w14:textFill>
                  <w14:solidFill>
                    <w14:schemeClr w14:val="tx1"/>
                  </w14:solidFill>
                </w14:textFill>
              </w:rPr>
              <w:t>表4-</w:t>
            </w:r>
            <w:r>
              <w:rPr>
                <w:rStyle w:val="39"/>
                <w:b/>
                <w:bCs/>
                <w:color w:val="000000" w:themeColor="text1"/>
                <w:sz w:val="24"/>
                <w14:textFill>
                  <w14:solidFill>
                    <w14:schemeClr w14:val="tx1"/>
                  </w14:solidFill>
                </w14:textFill>
              </w:rPr>
              <w:t>18</w:t>
            </w:r>
            <w:r>
              <w:rPr>
                <w:rStyle w:val="39"/>
                <w:rFonts w:hint="default"/>
                <w:b/>
                <w:bCs/>
                <w:color w:val="000000" w:themeColor="text1"/>
                <w:sz w:val="24"/>
                <w14:textFill>
                  <w14:solidFill>
                    <w14:schemeClr w14:val="tx1"/>
                  </w14:solidFill>
                </w14:textFill>
              </w:rPr>
              <w:t>生产过程风险源识别</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71"/>
              <w:gridCol w:w="940"/>
              <w:gridCol w:w="940"/>
              <w:gridCol w:w="3835"/>
              <w:gridCol w:w="1508"/>
            </w:tblGrid>
            <w:tr w14:paraId="17C7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2" w:hRule="atLeast"/>
                <w:jc w:val="center"/>
              </w:trPr>
              <w:tc>
                <w:tcPr>
                  <w:tcW w:w="772" w:type="dxa"/>
                  <w:noWrap w:val="0"/>
                  <w:vAlign w:val="center"/>
                </w:tcPr>
                <w:p w14:paraId="384CB17D">
                  <w:pPr>
                    <w:autoSpaceDE w:val="0"/>
                    <w:autoSpaceDN w:val="0"/>
                    <w:adjustRightInd w:val="0"/>
                    <w:jc w:val="center"/>
                    <w:rPr>
                      <w:rFonts w:hint="eastAsia" w:ascii="Times New Roman" w:hAnsi="Times New Roman" w:eastAsia="宋体" w:cs="Times New Roman"/>
                      <w:b/>
                      <w:color w:val="000000" w:themeColor="text1"/>
                      <w:kern w:val="0"/>
                      <w:szCs w:val="21"/>
                      <w14:textFill>
                        <w14:solidFill>
                          <w14:schemeClr w14:val="tx1"/>
                        </w14:solidFill>
                      </w14:textFill>
                    </w:rPr>
                  </w:pPr>
                  <w:r>
                    <w:rPr>
                      <w:rFonts w:hint="eastAsia" w:ascii="Times New Roman" w:hAnsi="Times New Roman" w:eastAsia="宋体" w:cs="Times New Roman"/>
                      <w:b/>
                      <w:color w:val="000000" w:themeColor="text1"/>
                      <w:kern w:val="0"/>
                      <w:szCs w:val="21"/>
                      <w14:textFill>
                        <w14:solidFill>
                          <w14:schemeClr w14:val="tx1"/>
                        </w14:solidFill>
                      </w14:textFill>
                    </w:rPr>
                    <w:t>风险源</w:t>
                  </w:r>
                </w:p>
              </w:tc>
              <w:tc>
                <w:tcPr>
                  <w:tcW w:w="940" w:type="dxa"/>
                  <w:noWrap w:val="0"/>
                  <w:vAlign w:val="center"/>
                </w:tcPr>
                <w:p w14:paraId="502443E7">
                  <w:pPr>
                    <w:autoSpaceDE w:val="0"/>
                    <w:autoSpaceDN w:val="0"/>
                    <w:adjustRightInd w:val="0"/>
                    <w:jc w:val="center"/>
                    <w:rPr>
                      <w:rFonts w:ascii="Times New Roman" w:hAnsi="Times New Roman" w:eastAsia="宋体" w:cs="Times New Roman"/>
                      <w:b/>
                      <w:color w:val="000000" w:themeColor="text1"/>
                      <w:kern w:val="0"/>
                      <w:szCs w:val="21"/>
                      <w14:textFill>
                        <w14:solidFill>
                          <w14:schemeClr w14:val="tx1"/>
                        </w14:solidFill>
                      </w14:textFill>
                    </w:rPr>
                  </w:pPr>
                  <w:r>
                    <w:rPr>
                      <w:rFonts w:hint="eastAsia" w:ascii="Times New Roman" w:hAnsi="Times New Roman" w:eastAsia="宋体" w:cs="Times New Roman"/>
                      <w:b/>
                      <w:color w:val="000000" w:themeColor="text1"/>
                      <w:kern w:val="0"/>
                      <w:szCs w:val="21"/>
                      <w14:textFill>
                        <w14:solidFill>
                          <w14:schemeClr w14:val="tx1"/>
                        </w14:solidFill>
                      </w14:textFill>
                    </w:rPr>
                    <w:t>危险物质</w:t>
                  </w:r>
                </w:p>
              </w:tc>
              <w:tc>
                <w:tcPr>
                  <w:tcW w:w="940" w:type="dxa"/>
                  <w:noWrap w:val="0"/>
                  <w:vAlign w:val="center"/>
                </w:tcPr>
                <w:p w14:paraId="0C4748C9">
                  <w:pPr>
                    <w:autoSpaceDE w:val="0"/>
                    <w:autoSpaceDN w:val="0"/>
                    <w:adjustRightIn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事故类型</w:t>
                  </w:r>
                </w:p>
              </w:tc>
              <w:tc>
                <w:tcPr>
                  <w:tcW w:w="3835" w:type="dxa"/>
                  <w:noWrap w:val="0"/>
                  <w:vAlign w:val="center"/>
                </w:tcPr>
                <w:p w14:paraId="12D2FCA6">
                  <w:pPr>
                    <w:autoSpaceDE w:val="0"/>
                    <w:autoSpaceDN w:val="0"/>
                    <w:adjustRightIn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事故引发可能原因</w:t>
                  </w:r>
                </w:p>
              </w:tc>
              <w:tc>
                <w:tcPr>
                  <w:tcW w:w="1508" w:type="dxa"/>
                  <w:noWrap w:val="0"/>
                  <w:vAlign w:val="center"/>
                </w:tcPr>
                <w:p w14:paraId="289CEAAC">
                  <w:pPr>
                    <w:autoSpaceDE w:val="0"/>
                    <w:autoSpaceDN w:val="0"/>
                    <w:adjustRightInd w:val="0"/>
                    <w:jc w:val="center"/>
                    <w:rPr>
                      <w:rFonts w:ascii="Times New Roman" w:hAnsi="Times New Roman" w:eastAsia="宋体" w:cs="Times New Roman"/>
                      <w:b/>
                      <w:color w:val="000000" w:themeColor="text1"/>
                      <w:kern w:val="0"/>
                      <w:szCs w:val="21"/>
                      <w14:textFill>
                        <w14:solidFill>
                          <w14:schemeClr w14:val="tx1"/>
                        </w14:solidFill>
                      </w14:textFill>
                    </w:rPr>
                  </w:pPr>
                  <w:r>
                    <w:rPr>
                      <w:rFonts w:ascii="Times New Roman" w:hAnsi="Times New Roman" w:eastAsia="宋体" w:cs="Times New Roman"/>
                      <w:b/>
                      <w:color w:val="000000" w:themeColor="text1"/>
                      <w:kern w:val="0"/>
                      <w:szCs w:val="21"/>
                      <w14:textFill>
                        <w14:solidFill>
                          <w14:schemeClr w14:val="tx1"/>
                        </w14:solidFill>
                      </w14:textFill>
                    </w:rPr>
                    <w:t>环境事故后果</w:t>
                  </w:r>
                </w:p>
              </w:tc>
            </w:tr>
            <w:tr w14:paraId="5154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8" w:hRule="atLeast"/>
                <w:jc w:val="center"/>
              </w:trPr>
              <w:tc>
                <w:tcPr>
                  <w:tcW w:w="772" w:type="dxa"/>
                  <w:noWrap w:val="0"/>
                  <w:vAlign w:val="center"/>
                </w:tcPr>
                <w:p w14:paraId="7BD425A9">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燃料仓</w:t>
                  </w:r>
                </w:p>
                <w:p w14:paraId="10D897B3">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p>
                <w:p w14:paraId="1FAF6CAC">
                  <w:pPr>
                    <w:autoSpaceDE w:val="0"/>
                    <w:autoSpaceDN w:val="0"/>
                    <w:adjustRightIn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940" w:type="dxa"/>
                  <w:noWrap w:val="0"/>
                  <w:vAlign w:val="center"/>
                </w:tcPr>
                <w:p w14:paraId="27514965">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生物质成型燃料</w:t>
                  </w:r>
                </w:p>
              </w:tc>
              <w:tc>
                <w:tcPr>
                  <w:tcW w:w="940" w:type="dxa"/>
                  <w:noWrap w:val="0"/>
                  <w:vAlign w:val="center"/>
                </w:tcPr>
                <w:p w14:paraId="0DB241BF">
                  <w:pPr>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火灾</w:t>
                  </w:r>
                </w:p>
              </w:tc>
              <w:tc>
                <w:tcPr>
                  <w:tcW w:w="3835" w:type="dxa"/>
                  <w:noWrap w:val="0"/>
                  <w:vAlign w:val="center"/>
                </w:tcPr>
                <w:p w14:paraId="3AB7DA97">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生物质成型燃料放于仓库，材料属于易燃品，可能会因为人员使用原不谨慎，使其被点燃，产生火灾。</w:t>
                  </w:r>
                  <w:r>
                    <w:rPr>
                      <w:rFonts w:ascii="Times New Roman" w:hAnsi="Times New Roman" w:eastAsia="宋体" w:cs="Times New Roman"/>
                      <w:color w:val="000000" w:themeColor="text1"/>
                      <w:kern w:val="0"/>
                      <w:szCs w:val="21"/>
                      <w14:textFill>
                        <w14:solidFill>
                          <w14:schemeClr w14:val="tx1"/>
                        </w14:solidFill>
                      </w14:textFill>
                    </w:rPr>
                    <w:t>火灾次生/伴生污染物将对大气造成污染；产生的消防废水可能对水环境造成污染</w:t>
                  </w:r>
                </w:p>
              </w:tc>
              <w:tc>
                <w:tcPr>
                  <w:tcW w:w="1508" w:type="dxa"/>
                  <w:noWrap w:val="0"/>
                  <w:vAlign w:val="center"/>
                </w:tcPr>
                <w:p w14:paraId="645E5C4E">
                  <w:pPr>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污染周围大气、地表水、地下水环境</w:t>
                  </w:r>
                </w:p>
              </w:tc>
            </w:tr>
            <w:tr w14:paraId="642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8" w:hRule="atLeast"/>
                <w:jc w:val="center"/>
              </w:trPr>
              <w:tc>
                <w:tcPr>
                  <w:tcW w:w="772" w:type="dxa"/>
                  <w:noWrap w:val="0"/>
                  <w:vAlign w:val="center"/>
                </w:tcPr>
                <w:p w14:paraId="3869805D">
                  <w:pPr>
                    <w:autoSpaceDE w:val="0"/>
                    <w:autoSpaceDN w:val="0"/>
                    <w:adjustRightIn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污水站</w:t>
                  </w:r>
                </w:p>
              </w:tc>
              <w:tc>
                <w:tcPr>
                  <w:tcW w:w="940" w:type="dxa"/>
                  <w:noWrap w:val="0"/>
                  <w:vAlign w:val="center"/>
                </w:tcPr>
                <w:p w14:paraId="1CB1116C">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锅炉排污水和</w:t>
                  </w:r>
                  <w:r>
                    <w:rPr>
                      <w:rFonts w:hint="eastAsia" w:ascii="Times New Roman" w:hAnsi="Times New Roman" w:eastAsia="宋体" w:cs="Times New Roman"/>
                      <w:bCs/>
                      <w:snapToGrid w:val="0"/>
                      <w:color w:val="000000" w:themeColor="text1"/>
                      <w:kern w:val="0"/>
                      <w:szCs w:val="21"/>
                      <w14:textFill>
                        <w14:solidFill>
                          <w14:schemeClr w14:val="tx1"/>
                        </w14:solidFill>
                      </w14:textFill>
                    </w:rPr>
                    <w:t>软化处理废水</w:t>
                  </w:r>
                </w:p>
              </w:tc>
              <w:tc>
                <w:tcPr>
                  <w:tcW w:w="940" w:type="dxa"/>
                  <w:noWrap w:val="0"/>
                  <w:vAlign w:val="center"/>
                </w:tcPr>
                <w:p w14:paraId="622D837D">
                  <w:pPr>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w:t>
                  </w:r>
                  <w:r>
                    <w:rPr>
                      <w:rFonts w:hint="eastAsia" w:ascii="Times New Roman" w:hAnsi="Times New Roman" w:eastAsia="宋体" w:cs="Times New Roman"/>
                      <w:color w:val="000000" w:themeColor="text1"/>
                      <w:szCs w:val="21"/>
                      <w14:textFill>
                        <w14:solidFill>
                          <w14:schemeClr w14:val="tx1"/>
                        </w14:solidFill>
                      </w14:textFill>
                    </w:rPr>
                    <w:t>水</w:t>
                  </w:r>
                  <w:r>
                    <w:rPr>
                      <w:rFonts w:ascii="Times New Roman" w:hAnsi="Times New Roman" w:eastAsia="宋体" w:cs="Times New Roman"/>
                      <w:color w:val="000000" w:themeColor="text1"/>
                      <w:szCs w:val="21"/>
                      <w14:textFill>
                        <w14:solidFill>
                          <w14:schemeClr w14:val="tx1"/>
                        </w14:solidFill>
                      </w14:textFill>
                    </w:rPr>
                    <w:t>事故排放</w:t>
                  </w:r>
                </w:p>
              </w:tc>
              <w:tc>
                <w:tcPr>
                  <w:tcW w:w="3835" w:type="dxa"/>
                  <w:noWrap w:val="0"/>
                  <w:vAlign w:val="center"/>
                </w:tcPr>
                <w:p w14:paraId="173A0BFB">
                  <w:pPr>
                    <w:jc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污水站发生故障，或管道损坏，会导致废水未经处理直接排入污水管网，加重霞山区水质净化厂废水处理负担。</w:t>
                  </w:r>
                </w:p>
              </w:tc>
              <w:tc>
                <w:tcPr>
                  <w:tcW w:w="1508" w:type="dxa"/>
                  <w:noWrap w:val="0"/>
                  <w:vAlign w:val="center"/>
                </w:tcPr>
                <w:p w14:paraId="0F37D48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污染周围地表水、地下水环境</w:t>
                  </w:r>
                </w:p>
              </w:tc>
            </w:tr>
            <w:tr w14:paraId="7BDD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jc w:val="center"/>
              </w:trPr>
              <w:tc>
                <w:tcPr>
                  <w:tcW w:w="772" w:type="dxa"/>
                  <w:noWrap w:val="0"/>
                  <w:vAlign w:val="center"/>
                </w:tcPr>
                <w:p w14:paraId="4F81871E">
                  <w:pPr>
                    <w:autoSpaceDE w:val="0"/>
                    <w:autoSpaceDN w:val="0"/>
                    <w:adjustRightInd w:val="0"/>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kern w:val="0"/>
                      <w:szCs w:val="21"/>
                      <w14:textFill>
                        <w14:solidFill>
                          <w14:schemeClr w14:val="tx1"/>
                        </w14:solidFill>
                      </w14:textFill>
                    </w:rPr>
                    <w:t>废气事故排放</w:t>
                  </w:r>
                </w:p>
              </w:tc>
              <w:tc>
                <w:tcPr>
                  <w:tcW w:w="940" w:type="dxa"/>
                  <w:noWrap w:val="0"/>
                  <w:vAlign w:val="center"/>
                </w:tcPr>
                <w:p w14:paraId="5C1AA854">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锅炉废气</w:t>
                  </w:r>
                </w:p>
              </w:tc>
              <w:tc>
                <w:tcPr>
                  <w:tcW w:w="940" w:type="dxa"/>
                  <w:noWrap w:val="0"/>
                  <w:vAlign w:val="center"/>
                </w:tcPr>
                <w:p w14:paraId="01FD5DB3">
                  <w:pPr>
                    <w:jc w:val="center"/>
                    <w:rPr>
                      <w:rFonts w:ascii="Times New Roman" w:hAnsi="Times New Roman" w:eastAsia="宋体" w:cs="Times New Roman"/>
                      <w:color w:val="000000" w:themeColor="text1"/>
                      <w:kern w:val="0"/>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废气事故排放</w:t>
                  </w:r>
                </w:p>
              </w:tc>
              <w:tc>
                <w:tcPr>
                  <w:tcW w:w="3835" w:type="dxa"/>
                  <w:noWrap w:val="0"/>
                  <w:vAlign w:val="center"/>
                </w:tcPr>
                <w:p w14:paraId="11828B76">
                  <w:pPr>
                    <w:jc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废气治理设备</w:t>
                  </w:r>
                  <w:r>
                    <w:rPr>
                      <w:rFonts w:ascii="Times New Roman" w:hAnsi="Times New Roman" w:eastAsia="宋体" w:cs="Times New Roman"/>
                      <w:color w:val="000000" w:themeColor="text1"/>
                      <w:kern w:val="0"/>
                      <w:szCs w:val="21"/>
                      <w14:textFill>
                        <w14:solidFill>
                          <w14:schemeClr w14:val="tx1"/>
                        </w14:solidFill>
                      </w14:textFill>
                    </w:rPr>
                    <w:t>出现故障，不能正</w:t>
                  </w:r>
                  <w:r>
                    <w:rPr>
                      <w:rFonts w:hint="eastAsia" w:ascii="Times New Roman" w:hAnsi="Times New Roman" w:eastAsia="宋体" w:cs="Times New Roman"/>
                      <w:color w:val="000000" w:themeColor="text1"/>
                      <w:kern w:val="0"/>
                      <w:szCs w:val="21"/>
                      <w14:textFill>
                        <w14:solidFill>
                          <w14:schemeClr w14:val="tx1"/>
                        </w14:solidFill>
                      </w14:textFill>
                    </w:rPr>
                    <w:t>常</w:t>
                  </w:r>
                  <w:r>
                    <w:rPr>
                      <w:rFonts w:ascii="Times New Roman" w:hAnsi="Times New Roman" w:eastAsia="宋体" w:cs="Times New Roman"/>
                      <w:color w:val="000000" w:themeColor="text1"/>
                      <w:kern w:val="0"/>
                      <w:szCs w:val="21"/>
                      <w14:textFill>
                        <w14:solidFill>
                          <w14:schemeClr w14:val="tx1"/>
                        </w14:solidFill>
                      </w14:textFill>
                    </w:rPr>
                    <w:t>运行，导致</w:t>
                  </w:r>
                  <w:r>
                    <w:rPr>
                      <w:rFonts w:hint="eastAsia" w:ascii="Times New Roman" w:hAnsi="Times New Roman" w:eastAsia="宋体" w:cs="Times New Roman"/>
                      <w:color w:val="000000" w:themeColor="text1"/>
                      <w:kern w:val="0"/>
                      <w:szCs w:val="21"/>
                      <w14:textFill>
                        <w14:solidFill>
                          <w14:schemeClr w14:val="tx1"/>
                        </w14:solidFill>
                      </w14:textFill>
                    </w:rPr>
                    <w:t>废气污染物</w:t>
                  </w:r>
                  <w:r>
                    <w:rPr>
                      <w:rFonts w:ascii="Times New Roman" w:hAnsi="Times New Roman" w:eastAsia="宋体" w:cs="Times New Roman"/>
                      <w:color w:val="000000" w:themeColor="text1"/>
                      <w:kern w:val="0"/>
                      <w:szCs w:val="21"/>
                      <w14:textFill>
                        <w14:solidFill>
                          <w14:schemeClr w14:val="tx1"/>
                        </w14:solidFill>
                      </w14:textFill>
                    </w:rPr>
                    <w:t>超标排放到大气环境</w:t>
                  </w:r>
                </w:p>
              </w:tc>
              <w:tc>
                <w:tcPr>
                  <w:tcW w:w="1508" w:type="dxa"/>
                  <w:noWrap w:val="0"/>
                  <w:vAlign w:val="center"/>
                </w:tcPr>
                <w:p w14:paraId="0158DF78">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污染周围大气环境</w:t>
                  </w:r>
                </w:p>
              </w:tc>
            </w:tr>
            <w:tr w14:paraId="156C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3" w:hRule="atLeast"/>
                <w:jc w:val="center"/>
              </w:trPr>
              <w:tc>
                <w:tcPr>
                  <w:tcW w:w="772" w:type="dxa"/>
                  <w:noWrap w:val="0"/>
                  <w:vAlign w:val="center"/>
                </w:tcPr>
                <w:p w14:paraId="58C2E1AF">
                  <w:pPr>
                    <w:autoSpaceDE w:val="0"/>
                    <w:autoSpaceDN w:val="0"/>
                    <w:adjustRightInd w:val="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泄漏</w:t>
                  </w:r>
                </w:p>
              </w:tc>
              <w:tc>
                <w:tcPr>
                  <w:tcW w:w="940" w:type="dxa"/>
                  <w:noWrap w:val="0"/>
                  <w:vAlign w:val="center"/>
                </w:tcPr>
                <w:p w14:paraId="0E681FE6">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漂白剂、洗涤剂</w:t>
                  </w:r>
                </w:p>
              </w:tc>
              <w:tc>
                <w:tcPr>
                  <w:tcW w:w="940" w:type="dxa"/>
                  <w:noWrap w:val="0"/>
                  <w:vAlign w:val="center"/>
                </w:tcPr>
                <w:p w14:paraId="2F265DA7">
                  <w:pPr>
                    <w:jc w:val="center"/>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泄漏</w:t>
                  </w:r>
                </w:p>
              </w:tc>
              <w:tc>
                <w:tcPr>
                  <w:tcW w:w="3835" w:type="dxa"/>
                  <w:noWrap w:val="0"/>
                  <w:vAlign w:val="center"/>
                </w:tcPr>
                <w:p w14:paraId="371E3A69">
                  <w:pPr>
                    <w:jc w:val="center"/>
                    <w:rPr>
                      <w:rFonts w:hint="default" w:ascii="Times New Roman" w:hAnsi="Times New Roman" w:eastAsia="宋体" w:cs="Times New Roman"/>
                      <w:color w:val="000000" w:themeColor="text1"/>
                      <w:kern w:val="0"/>
                      <w:szCs w:val="21"/>
                      <w:lang w:val="en-US"/>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漂白剂、洗涤剂存放于洗涤区，如意外发生泄漏，</w:t>
                  </w:r>
                  <w:r>
                    <w:rPr>
                      <w:rFonts w:hint="eastAsia" w:ascii="Times New Roman" w:hAnsi="Times New Roman" w:eastAsia="宋体" w:cs="Times New Roman"/>
                      <w:color w:val="000000" w:themeColor="text1"/>
                      <w:kern w:val="0"/>
                      <w:szCs w:val="21"/>
                      <w14:textFill>
                        <w14:solidFill>
                          <w14:schemeClr w14:val="tx1"/>
                        </w14:solidFill>
                      </w14:textFill>
                    </w:rPr>
                    <w:t>未经处理直接排入污水管网，加重霞山区水质净化厂废水处理负担</w:t>
                  </w:r>
                </w:p>
              </w:tc>
              <w:tc>
                <w:tcPr>
                  <w:tcW w:w="1508" w:type="dxa"/>
                  <w:noWrap w:val="0"/>
                  <w:vAlign w:val="center"/>
                </w:tcPr>
                <w:p w14:paraId="105D3260">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污染周围地表水、地下水环境</w:t>
                  </w:r>
                </w:p>
              </w:tc>
            </w:tr>
            <w:tr w14:paraId="72F3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09" w:hRule="atLeast"/>
                <w:jc w:val="center"/>
              </w:trPr>
              <w:tc>
                <w:tcPr>
                  <w:tcW w:w="772" w:type="dxa"/>
                  <w:noWrap w:val="0"/>
                  <w:vAlign w:val="center"/>
                </w:tcPr>
                <w:p w14:paraId="38EC3C3D">
                  <w:pPr>
                    <w:autoSpaceDE w:val="0"/>
                    <w:autoSpaceDN w:val="0"/>
                    <w:adjustRightInd w:val="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备用发电机</w:t>
                  </w:r>
                </w:p>
              </w:tc>
              <w:tc>
                <w:tcPr>
                  <w:tcW w:w="940" w:type="dxa"/>
                  <w:noWrap w:val="0"/>
                  <w:vAlign w:val="center"/>
                </w:tcPr>
                <w:p w14:paraId="152E6FBA">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柴油</w:t>
                  </w:r>
                </w:p>
              </w:tc>
              <w:tc>
                <w:tcPr>
                  <w:tcW w:w="940" w:type="dxa"/>
                  <w:noWrap w:val="0"/>
                  <w:vAlign w:val="center"/>
                </w:tcPr>
                <w:p w14:paraId="2992BBBD">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起火、泄漏</w:t>
                  </w:r>
                </w:p>
              </w:tc>
              <w:tc>
                <w:tcPr>
                  <w:tcW w:w="3835" w:type="dxa"/>
                  <w:noWrap w:val="0"/>
                  <w:vAlign w:val="center"/>
                </w:tcPr>
                <w:p w14:paraId="1FE6F92A">
                  <w:pPr>
                    <w:jc w:val="center"/>
                    <w:rPr>
                      <w:rFonts w:hint="eastAsia" w:ascii="Times New Roman" w:hAnsi="Times New Roman" w:eastAsia="宋体" w:cs="Times New Roman"/>
                      <w:color w:val="000000" w:themeColor="text1"/>
                      <w:kern w:val="0"/>
                      <w:szCs w:val="21"/>
                      <w:lang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柴油仅储存于备用发电机内，可能</w:t>
                  </w:r>
                  <w:r>
                    <w:rPr>
                      <w:rFonts w:hint="eastAsia" w:ascii="Times New Roman" w:hAnsi="Times New Roman" w:eastAsia="宋体" w:cs="Times New Roman"/>
                      <w:color w:val="000000" w:themeColor="text1"/>
                      <w:kern w:val="0"/>
                      <w:szCs w:val="21"/>
                      <w14:textFill>
                        <w14:solidFill>
                          <w14:schemeClr w14:val="tx1"/>
                        </w14:solidFill>
                      </w14:textFill>
                    </w:rPr>
                    <w:t>可能会因为人员使用原不谨慎，使其被点燃，产生火灾。</w:t>
                  </w:r>
                  <w:r>
                    <w:rPr>
                      <w:rFonts w:ascii="Times New Roman" w:hAnsi="Times New Roman" w:eastAsia="宋体" w:cs="Times New Roman"/>
                      <w:color w:val="000000" w:themeColor="text1"/>
                      <w:kern w:val="0"/>
                      <w:szCs w:val="21"/>
                      <w14:textFill>
                        <w14:solidFill>
                          <w14:schemeClr w14:val="tx1"/>
                        </w14:solidFill>
                      </w14:textFill>
                    </w:rPr>
                    <w:t>火灾次生/伴生污染物将对大气造成污染；产生的消防废水可能对水环境造成污染</w:t>
                  </w:r>
                  <w:r>
                    <w:rPr>
                      <w:rFonts w:hint="eastAsia" w:ascii="Times New Roman" w:hAnsi="Times New Roman" w:eastAsia="宋体" w:cs="Times New Roman"/>
                      <w:color w:val="000000" w:themeColor="text1"/>
                      <w:kern w:val="0"/>
                      <w:szCs w:val="21"/>
                      <w:lang w:eastAsia="zh-CN"/>
                      <w14:textFill>
                        <w14:solidFill>
                          <w14:schemeClr w14:val="tx1"/>
                        </w14:solidFill>
                      </w14:textFill>
                    </w:rPr>
                    <w:t>。</w:t>
                  </w:r>
                </w:p>
                <w:p w14:paraId="3F2E955E">
                  <w:pPr>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泄漏可能污染土壤</w:t>
                  </w:r>
                </w:p>
              </w:tc>
              <w:tc>
                <w:tcPr>
                  <w:tcW w:w="1508" w:type="dxa"/>
                  <w:noWrap w:val="0"/>
                  <w:vAlign w:val="center"/>
                </w:tcPr>
                <w:p w14:paraId="1ACE5967">
                  <w:pPr>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污染周围大气、</w:t>
                  </w:r>
                  <w:r>
                    <w:rPr>
                      <w:rFonts w:hint="eastAsia" w:ascii="Times New Roman" w:hAnsi="Times New Roman" w:eastAsia="宋体" w:cs="Times New Roman"/>
                      <w:color w:val="000000" w:themeColor="text1"/>
                      <w:szCs w:val="21"/>
                      <w:lang w:val="en-US" w:eastAsia="zh-CN"/>
                      <w14:textFill>
                        <w14:solidFill>
                          <w14:schemeClr w14:val="tx1"/>
                        </w14:solidFill>
                      </w14:textFill>
                    </w:rPr>
                    <w:t>土壤</w:t>
                  </w:r>
                  <w:r>
                    <w:rPr>
                      <w:rFonts w:ascii="Times New Roman" w:hAnsi="Times New Roman" w:eastAsia="宋体" w:cs="Times New Roman"/>
                      <w:color w:val="000000" w:themeColor="text1"/>
                      <w:szCs w:val="21"/>
                      <w14:textFill>
                        <w14:solidFill>
                          <w14:schemeClr w14:val="tx1"/>
                        </w14:solidFill>
                      </w14:textFill>
                    </w:rPr>
                    <w:t>环境</w:t>
                  </w:r>
                </w:p>
              </w:tc>
            </w:tr>
          </w:tbl>
          <w:p w14:paraId="4E9E3E14">
            <w:pPr>
              <w:pStyle w:val="64"/>
              <w:spacing w:line="360" w:lineRule="auto"/>
              <w:ind w:firstLine="482" w:firstLineChars="200"/>
              <w:rPr>
                <w:rFonts w:ascii="Times New Roman" w:hAnsi="Times New Roman" w:eastAsia="宋体"/>
                <w:b/>
                <w:bCs/>
                <w:color w:val="000000" w:themeColor="text1"/>
                <w:kern w:val="0"/>
                <w:sz w:val="24"/>
                <w14:textFill>
                  <w14:solidFill>
                    <w14:schemeClr w14:val="tx1"/>
                  </w14:solidFill>
                </w14:textFill>
              </w:rPr>
            </w:pPr>
            <w:r>
              <w:rPr>
                <w:rFonts w:ascii="Times New Roman" w:hAnsi="Times New Roman" w:eastAsia="宋体"/>
                <w:b/>
                <w:bCs/>
                <w:color w:val="000000" w:themeColor="text1"/>
                <w:kern w:val="0"/>
                <w:sz w:val="24"/>
                <w14:textFill>
                  <w14:solidFill>
                    <w14:schemeClr w14:val="tx1"/>
                  </w14:solidFill>
                </w14:textFill>
              </w:rPr>
              <w:t>（3）风险防范措施</w:t>
            </w:r>
          </w:p>
          <w:p w14:paraId="1AE9D63E">
            <w:pPr>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①突发火灾事故防范措施：在车间内设置“严禁烟火”的警示牌，尤其是在生物质成型燃料堆放的位置</w:t>
            </w:r>
            <w:r>
              <w:rPr>
                <w:rFonts w:hint="eastAsia" w:ascii="Times New Roman" w:hAnsi="Times New Roman" w:eastAsia="宋体" w:cs="Times New Roman"/>
                <w:color w:val="000000" w:themeColor="text1"/>
                <w:kern w:val="0"/>
                <w:sz w:val="24"/>
                <w14:textFill>
                  <w14:solidFill>
                    <w14:schemeClr w14:val="tx1"/>
                  </w14:solidFill>
                </w14:textFill>
              </w:rPr>
              <w:t>，在</w:t>
            </w:r>
            <w:r>
              <w:rPr>
                <w:rFonts w:ascii="Times New Roman" w:hAnsi="Times New Roman" w:eastAsia="宋体" w:cs="Times New Roman"/>
                <w:color w:val="000000" w:themeColor="text1"/>
                <w:kern w:val="0"/>
                <w:sz w:val="24"/>
                <w14:textFill>
                  <w14:solidFill>
                    <w14:schemeClr w14:val="tx1"/>
                  </w14:solidFill>
                </w14:textFill>
              </w:rPr>
              <w:t>锅炉运行过程中做好火灾防护工作，禁止在工作区吸烟、使用明火；灭火器应布置在明显便于取用的地方，并定期维护检查，确保能正常使用；</w:t>
            </w:r>
            <w:r>
              <w:rPr>
                <w:rFonts w:ascii="Times New Roman" w:hAnsi="Times New Roman" w:eastAsia="宋体" w:cs="Times New Roman"/>
                <w:color w:val="000000" w:themeColor="text1"/>
                <w:sz w:val="24"/>
                <w14:textFill>
                  <w14:solidFill>
                    <w14:schemeClr w14:val="tx1"/>
                  </w14:solidFill>
                </w14:textFill>
              </w:rPr>
              <w:t>电气设备和线路必须符合防火防爆要求，规范生产操作过程，避免产生撞击火花；一旦发生火灾爆炸，尽快使用消防设施扑救，疏散周围非急救人员，远离事故区。</w:t>
            </w:r>
          </w:p>
          <w:p w14:paraId="4A2DEF12">
            <w:pPr>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②废气、废水处理设施事故防范措施：定期对废气、废水处理设施进行巡检、调节、保养和维修，及时更换易坏或破损零部件，避免发生因设备损耗而出现的风险事故。对于废气、废水处理设施的非正常运行，应及时停止生产，并采取风险防范措施以控制和减少非正常工况下污染物进入环境。</w:t>
            </w:r>
          </w:p>
          <w:p w14:paraId="75EDB6E4">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③</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消防废水外泄的防范措施：火灾发生时，在灭火的同时，用沙袋构筑围堤将消防废水截堵在厂区内，并逐步引至污水排放口排入市政污水管，防止消防废水无序泄漏影响到厂区外部环境。本企业的消防废水污染物种类简单、总量有限，不存在难降解、强毒性成分，通过市政污水管网排入城市污水污水处理既不会对周边地表水体造成影响，也不会对受纳的城市污水处理厂造成冲击。</w:t>
            </w:r>
          </w:p>
          <w:p w14:paraId="6190F18F">
            <w:pPr>
              <w:spacing w:line="360" w:lineRule="auto"/>
              <w:ind w:firstLine="480" w:firstLineChars="200"/>
              <w:rPr>
                <w:rFonts w:hint="eastAsia" w:ascii="Times New Roman" w:hAnsi="Times New Roman" w:eastAsia="宋体" w:cs="Times New Roman"/>
                <w:color w:val="000000" w:themeColor="text1"/>
                <w:kern w:val="0"/>
                <w:sz w:val="24"/>
                <w:lang w:val="en-US" w:eastAsia="zh-CN"/>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fldChar w:fldCharType="begin"/>
            </w:r>
            <w:r>
              <w:rPr>
                <w:rFonts w:ascii="Times New Roman" w:hAnsi="Times New Roman" w:eastAsia="宋体" w:cs="Times New Roman"/>
                <w:color w:val="000000" w:themeColor="text1"/>
                <w:kern w:val="0"/>
                <w:sz w:val="24"/>
                <w14:textFill>
                  <w14:solidFill>
                    <w14:schemeClr w14:val="tx1"/>
                  </w14:solidFill>
                </w14:textFill>
              </w:rPr>
              <w:instrText xml:space="preserve"> = 4 \* GB3 \* MERGEFORMAT </w:instrText>
            </w:r>
            <w:r>
              <w:rPr>
                <w:rFonts w:ascii="Times New Roman" w:hAnsi="Times New Roman" w:eastAsia="宋体" w:cs="Times New Roman"/>
                <w:color w:val="000000" w:themeColor="text1"/>
                <w:kern w:val="0"/>
                <w:sz w:val="24"/>
                <w14:textFill>
                  <w14:solidFill>
                    <w14:schemeClr w14:val="tx1"/>
                  </w14:solidFill>
                </w14:textFill>
              </w:rPr>
              <w:fldChar w:fldCharType="separate"/>
            </w:r>
            <w:r>
              <w:rPr>
                <w:rFonts w:ascii="Times New Roman" w:hAnsi="Times New Roman" w:eastAsia="宋体" w:cs="Times New Roman"/>
                <w:color w:val="000000" w:themeColor="text1"/>
                <w:kern w:val="0"/>
                <w:sz w:val="24"/>
                <w14:textFill>
                  <w14:solidFill>
                    <w14:schemeClr w14:val="tx1"/>
                  </w14:solidFill>
                </w14:textFill>
              </w:rPr>
              <w:t>④</w:t>
            </w:r>
            <w:r>
              <w:rPr>
                <w:rFonts w:ascii="Times New Roman" w:hAnsi="Times New Roman" w:eastAsia="宋体" w:cs="Times New Roman"/>
                <w:color w:val="000000" w:themeColor="text1"/>
                <w:kern w:val="0"/>
                <w:sz w:val="24"/>
                <w14:textFill>
                  <w14:solidFill>
                    <w14:schemeClr w14:val="tx1"/>
                  </w14:solidFill>
                </w14:textFill>
              </w:rPr>
              <w:fldChar w:fldCharType="end"/>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厂区雨水</w:t>
            </w:r>
            <w:r>
              <w:rPr>
                <w:rFonts w:hint="eastAsia" w:ascii="Times New Roman" w:hAnsi="Times New Roman" w:eastAsia="宋体" w:cs="Times New Roman"/>
                <w:color w:val="000000" w:themeColor="text1"/>
                <w:kern w:val="2"/>
                <w:sz w:val="24"/>
                <w:lang w:val="en-US" w:eastAsia="zh-CN"/>
                <w14:textFill>
                  <w14:solidFill>
                    <w14:schemeClr w14:val="tx1"/>
                  </w14:solidFill>
                </w14:textFill>
              </w:rPr>
              <w:t>排放口设置拦</w:t>
            </w:r>
            <w:r>
              <w:rPr>
                <w:rFonts w:hint="eastAsia" w:ascii="Times New Roman" w:hAnsi="Times New Roman" w:eastAsia="宋体" w:cs="Times New Roman"/>
                <w:color w:val="000000" w:themeColor="text1"/>
                <w:sz w:val="24"/>
                <w14:textFill>
                  <w14:solidFill>
                    <w14:schemeClr w14:val="tx1"/>
                  </w14:solidFill>
                </w14:textFill>
              </w:rPr>
              <w:t>雨水排放口设截断阀</w:t>
            </w:r>
            <w:r>
              <w:rPr>
                <w:rFonts w:hint="eastAsia" w:ascii="Times New Roman" w:hAnsi="Times New Roman" w:eastAsia="宋体" w:cs="Times New Roman"/>
                <w:color w:val="000000" w:themeColor="text1"/>
                <w:sz w:val="24"/>
                <w:lang w:eastAsia="zh-CN"/>
                <w14:textFill>
                  <w14:solidFill>
                    <w14:schemeClr w14:val="tx1"/>
                  </w14:solidFill>
                </w14:textFill>
              </w:rPr>
              <w:t>。</w:t>
            </w:r>
          </w:p>
          <w:p w14:paraId="7DE32AA8">
            <w:pPr>
              <w:pStyle w:val="64"/>
              <w:spacing w:line="360" w:lineRule="auto"/>
              <w:ind w:firstLine="482" w:firstLineChars="200"/>
              <w:rPr>
                <w:rFonts w:ascii="Times New Roman" w:hAnsi="Times New Roman" w:eastAsia="宋体"/>
                <w:b/>
                <w:bCs/>
                <w:color w:val="000000" w:themeColor="text1"/>
                <w:sz w:val="24"/>
                <w14:textFill>
                  <w14:solidFill>
                    <w14:schemeClr w14:val="tx1"/>
                  </w14:solidFill>
                </w14:textFill>
              </w:rPr>
            </w:pPr>
            <w:r>
              <w:rPr>
                <w:rFonts w:ascii="Times New Roman" w:hAnsi="Times New Roman" w:eastAsia="宋体"/>
                <w:b/>
                <w:bCs/>
                <w:color w:val="000000" w:themeColor="text1"/>
                <w:sz w:val="24"/>
                <w14:textFill>
                  <w14:solidFill>
                    <w14:schemeClr w14:val="tx1"/>
                  </w14:solidFill>
                </w14:textFill>
              </w:rPr>
              <w:t>（4）评价小结</w:t>
            </w:r>
          </w:p>
          <w:p w14:paraId="2562ADDF">
            <w:pPr>
              <w:pStyle w:val="14"/>
              <w:spacing w:line="360" w:lineRule="auto"/>
              <w:ind w:firstLine="480" w:firstLineChars="200"/>
              <w:rPr>
                <w:b/>
                <w:color w:val="000000" w:themeColor="text1"/>
                <w:spacing w:val="-10"/>
                <w:szCs w:val="24"/>
                <w14:textFill>
                  <w14:solidFill>
                    <w14:schemeClr w14:val="tx1"/>
                  </w14:solidFill>
                </w14:textFill>
              </w:rPr>
            </w:pPr>
            <w:r>
              <w:rPr>
                <w:color w:val="000000" w:themeColor="text1"/>
                <w:szCs w:val="24"/>
                <w14:textFill>
                  <w14:solidFill>
                    <w14:schemeClr w14:val="tx1"/>
                  </w14:solidFill>
                </w14:textFill>
              </w:rPr>
              <w:t>项目在落实相应风险防范和控制措施的情况下，总体环境风险可控，对周围环境影响较小。通过对项目环境风险识别，项目发生的事故风险均属常见的风险类型，目前对这些风险事故均有比较成熟可靠的防范、处理和应急措施，可保证事故得到有效防范、控制和处置。</w:t>
            </w:r>
          </w:p>
          <w:p w14:paraId="69835A3D">
            <w:pPr>
              <w:tabs>
                <w:tab w:val="left" w:pos="0"/>
              </w:tabs>
              <w:adjustRightInd w:val="0"/>
              <w:snapToGrid w:val="0"/>
              <w:spacing w:line="360" w:lineRule="auto"/>
              <w:ind w:firstLine="442" w:firstLineChars="200"/>
              <w:rPr>
                <w:rFonts w:ascii="Times New Roman" w:hAnsi="Times New Roman" w:eastAsia="宋体" w:cs="Times New Roman"/>
                <w:b/>
                <w:color w:val="000000" w:themeColor="text1"/>
                <w:spacing w:val="-10"/>
                <w:sz w:val="24"/>
                <w14:textFill>
                  <w14:solidFill>
                    <w14:schemeClr w14:val="tx1"/>
                  </w14:solidFill>
                </w14:textFill>
              </w:rPr>
            </w:pPr>
            <w:r>
              <w:rPr>
                <w:rFonts w:ascii="Times New Roman" w:hAnsi="Times New Roman" w:eastAsia="宋体" w:cs="Times New Roman"/>
                <w:b/>
                <w:color w:val="000000" w:themeColor="text1"/>
                <w:spacing w:val="-10"/>
                <w:sz w:val="24"/>
                <w14:textFill>
                  <w14:solidFill>
                    <w14:schemeClr w14:val="tx1"/>
                  </w14:solidFill>
                </w14:textFill>
              </w:rPr>
              <w:t>6、</w:t>
            </w:r>
            <w:r>
              <w:rPr>
                <w:rFonts w:ascii="Times New Roman" w:hAnsi="Times New Roman" w:eastAsia="宋体" w:cs="Times New Roman"/>
                <w:b/>
                <w:color w:val="000000" w:themeColor="text1"/>
                <w:kern w:val="0"/>
                <w:sz w:val="24"/>
                <w14:textFill>
                  <w14:solidFill>
                    <w14:schemeClr w14:val="tx1"/>
                  </w14:solidFill>
                </w14:textFill>
              </w:rPr>
              <w:t>地下水和土壤环境影响和保护措施</w:t>
            </w:r>
          </w:p>
          <w:p w14:paraId="2900EA1C">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（1）污染源、污染物类型以及污染途径</w:t>
            </w:r>
          </w:p>
          <w:p w14:paraId="7D740504">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结合项目生产及产排污特点分析，项目可能造成地下水、土壤污染的情形如下：</w:t>
            </w:r>
          </w:p>
          <w:p w14:paraId="3B42F82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①项目废水处理池破损可能导致生产废水流出厂界，进入未硬化防渗处理的地面，通过下渗污染该区域的土壤及地下水。</w:t>
            </w:r>
          </w:p>
          <w:p w14:paraId="45557460">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②项目一般工业固体废物贮存过程产生的渗滤液，可能通过下渗进入土壤及地下水，造成土壤及地下水污染。</w:t>
            </w:r>
          </w:p>
          <w:p w14:paraId="0D394177">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（2）地下水污染防控措施</w:t>
            </w:r>
          </w:p>
          <w:p w14:paraId="5B58C57F">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根据《环境影响评价技术导则地下水环境》（HJ610-2016）表7地下水污染防渗分区参照表，结合项目所在区的天然包气带防污性能、各功能单元可能泄漏至地面区域的污染物性质和生产单元的构筑方式将场址区划分为一般防渗区和简单防渗区。拟建项目各区域具体防渗分区布置：</w:t>
            </w:r>
          </w:p>
          <w:p w14:paraId="407516CB">
            <w:pPr>
              <w:autoSpaceDE w:val="0"/>
              <w:autoSpaceDN w:val="0"/>
              <w:adjustRightIn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fldChar w:fldCharType="begin"/>
            </w:r>
            <w:r>
              <w:rPr>
                <w:rFonts w:ascii="Times New Roman" w:hAnsi="Times New Roman" w:eastAsia="宋体" w:cs="Times New Roman"/>
                <w:color w:val="000000" w:themeColor="text1"/>
                <w:sz w:val="24"/>
                <w14:textFill>
                  <w14:solidFill>
                    <w14:schemeClr w14:val="tx1"/>
                  </w14:solidFill>
                </w14:textFill>
              </w:rPr>
              <w:instrText xml:space="preserve"> = 1 \* GB3 \* MERGEFORMAT </w:instrText>
            </w:r>
            <w:r>
              <w:rPr>
                <w:rFonts w:ascii="Times New Roman" w:hAnsi="Times New Roman" w:eastAsia="宋体" w:cs="Times New Roman"/>
                <w:color w:val="000000" w:themeColor="text1"/>
                <w:sz w:val="24"/>
                <w14:textFill>
                  <w14:solidFill>
                    <w14:schemeClr w14:val="tx1"/>
                  </w14:solidFill>
                </w14:textFill>
              </w:rPr>
              <w:fldChar w:fldCharType="separate"/>
            </w:r>
            <w:r>
              <w:rPr>
                <w:rFonts w:ascii="Times New Roman" w:hAnsi="Times New Roman" w:eastAsia="宋体" w:cs="Times New Roman"/>
                <w:color w:val="000000" w:themeColor="text1"/>
                <w:sz w:val="24"/>
                <w14:textFill>
                  <w14:solidFill>
                    <w14:schemeClr w14:val="tx1"/>
                  </w14:solidFill>
                </w14:textFill>
              </w:rPr>
              <w:t>①</w:t>
            </w:r>
            <w:r>
              <w:rPr>
                <w:rFonts w:ascii="Times New Roman" w:hAnsi="Times New Roman" w:eastAsia="宋体" w:cs="Times New Roman"/>
                <w:color w:val="000000" w:themeColor="text1"/>
                <w:sz w:val="24"/>
                <w14:textFill>
                  <w14:solidFill>
                    <w14:schemeClr w14:val="tx1"/>
                  </w14:solidFill>
                </w14:textFill>
              </w:rPr>
              <w:fldChar w:fldCharType="end"/>
            </w:r>
            <w:r>
              <w:rPr>
                <w:rFonts w:ascii="Times New Roman" w:hAnsi="Times New Roman" w:eastAsia="宋体" w:cs="Times New Roman"/>
                <w:color w:val="000000" w:themeColor="text1"/>
                <w:sz w:val="24"/>
                <w14:textFill>
                  <w14:solidFill>
                    <w14:schemeClr w14:val="tx1"/>
                  </w14:solidFill>
                </w14:textFill>
              </w:rPr>
              <w:t>一般防渗区</w:t>
            </w:r>
          </w:p>
          <w:p w14:paraId="584C9D87">
            <w:pPr>
              <w:autoSpaceDE w:val="0"/>
              <w:autoSpaceDN w:val="0"/>
              <w:adjustRightIn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一般防渗区主要为一般固体废物暂存区</w:t>
            </w:r>
            <w:r>
              <w:rPr>
                <w:rFonts w:ascii="Times New Roman" w:hAnsi="Times New Roman" w:eastAsia="宋体" w:cs="Times New Roman"/>
                <w:color w:val="000000" w:themeColor="text1"/>
                <w:sz w:val="24"/>
                <w14:textFill>
                  <w14:solidFill>
                    <w14:schemeClr w14:val="tx1"/>
                  </w14:solidFill>
                </w14:textFill>
              </w:rPr>
              <w:t>和自建污水站</w:t>
            </w:r>
            <w:r>
              <w:rPr>
                <w:rFonts w:ascii="Times New Roman" w:hAnsi="Times New Roman" w:eastAsia="宋体" w:cs="Times New Roman"/>
                <w:color w:val="000000" w:themeColor="text1"/>
                <w:kern w:val="0"/>
                <w:sz w:val="24"/>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建设单位应对一般固体废物暂存区和自建污水站采取防腐、防渗措施，使地面硬化和耐腐蚀，且表面无裂隙。</w:t>
            </w:r>
            <w:r>
              <w:rPr>
                <w:rFonts w:ascii="Times New Roman" w:hAnsi="Times New Roman" w:eastAsia="宋体" w:cs="Times New Roman"/>
                <w:color w:val="000000" w:themeColor="text1"/>
                <w:kern w:val="0"/>
                <w:sz w:val="24"/>
                <w14:textFill>
                  <w14:solidFill>
                    <w14:schemeClr w14:val="tx1"/>
                  </w14:solidFill>
                </w14:textFill>
              </w:rPr>
              <w:t>上述区域对地下水污染的可能性较小，地面防渗要求达到等效黏土防渗层M</w:t>
            </w:r>
            <w:r>
              <w:rPr>
                <w:rFonts w:ascii="Times New Roman" w:hAnsi="Times New Roman" w:eastAsia="宋体" w:cs="Times New Roman"/>
                <w:color w:val="000000" w:themeColor="text1"/>
                <w:kern w:val="0"/>
                <w:sz w:val="24"/>
                <w:vertAlign w:val="subscript"/>
                <w14:textFill>
                  <w14:solidFill>
                    <w14:schemeClr w14:val="tx1"/>
                  </w14:solidFill>
                </w14:textFill>
              </w:rPr>
              <w:t>b</w:t>
            </w:r>
            <w:r>
              <w:rPr>
                <w:rFonts w:ascii="Times New Roman" w:hAnsi="Times New Roman" w:eastAsia="宋体" w:cs="Times New Roman"/>
                <w:color w:val="000000" w:themeColor="text1"/>
                <w:kern w:val="0"/>
                <w:sz w:val="24"/>
                <w14:textFill>
                  <w14:solidFill>
                    <w14:schemeClr w14:val="tx1"/>
                  </w14:solidFill>
                </w14:textFill>
              </w:rPr>
              <w:t>≥1.5m，K≤1×10</w:t>
            </w:r>
            <w:r>
              <w:rPr>
                <w:rFonts w:ascii="Times New Roman" w:hAnsi="Times New Roman" w:eastAsia="宋体" w:cs="Times New Roman"/>
                <w:color w:val="000000" w:themeColor="text1"/>
                <w:kern w:val="0"/>
                <w:sz w:val="24"/>
                <w:vertAlign w:val="superscript"/>
                <w14:textFill>
                  <w14:solidFill>
                    <w14:schemeClr w14:val="tx1"/>
                  </w14:solidFill>
                </w14:textFill>
              </w:rPr>
              <w:t>-7</w:t>
            </w:r>
            <w:r>
              <w:rPr>
                <w:rFonts w:ascii="Times New Roman" w:hAnsi="Times New Roman" w:eastAsia="宋体" w:cs="Times New Roman"/>
                <w:color w:val="000000" w:themeColor="text1"/>
                <w:kern w:val="0"/>
                <w:sz w:val="24"/>
                <w14:textFill>
                  <w14:solidFill>
                    <w14:schemeClr w14:val="tx1"/>
                  </w14:solidFill>
                </w14:textFill>
              </w:rPr>
              <w:t>cm/s。</w:t>
            </w:r>
          </w:p>
          <w:p w14:paraId="12C08CE2">
            <w:pPr>
              <w:autoSpaceDE w:val="0"/>
              <w:autoSpaceDN w:val="0"/>
              <w:adjustRightInd w:val="0"/>
              <w:spacing w:line="360" w:lineRule="auto"/>
              <w:ind w:firstLine="480" w:firstLine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fldChar w:fldCharType="begin"/>
            </w:r>
            <w:r>
              <w:rPr>
                <w:rFonts w:ascii="Times New Roman" w:hAnsi="Times New Roman" w:eastAsia="宋体" w:cs="Times New Roman"/>
                <w:color w:val="000000" w:themeColor="text1"/>
                <w:kern w:val="0"/>
                <w:sz w:val="24"/>
                <w14:textFill>
                  <w14:solidFill>
                    <w14:schemeClr w14:val="tx1"/>
                  </w14:solidFill>
                </w14:textFill>
              </w:rPr>
              <w:instrText xml:space="preserve"> = 2 \* GB3 \* MERGEFORMAT </w:instrText>
            </w:r>
            <w:r>
              <w:rPr>
                <w:rFonts w:ascii="Times New Roman" w:hAnsi="Times New Roman" w:eastAsia="宋体" w:cs="Times New Roman"/>
                <w:color w:val="000000" w:themeColor="text1"/>
                <w:kern w:val="0"/>
                <w:sz w:val="24"/>
                <w14:textFill>
                  <w14:solidFill>
                    <w14:schemeClr w14:val="tx1"/>
                  </w14:solidFill>
                </w14:textFill>
              </w:rPr>
              <w:fldChar w:fldCharType="separate"/>
            </w:r>
            <w:r>
              <w:rPr>
                <w:rFonts w:ascii="Times New Roman" w:hAnsi="Times New Roman" w:eastAsia="宋体" w:cs="Times New Roman"/>
                <w:color w:val="000000" w:themeColor="text1"/>
                <w:sz w:val="24"/>
                <w14:textFill>
                  <w14:solidFill>
                    <w14:schemeClr w14:val="tx1"/>
                  </w14:solidFill>
                </w14:textFill>
              </w:rPr>
              <w:t>②</w:t>
            </w:r>
            <w:r>
              <w:rPr>
                <w:rFonts w:ascii="Times New Roman" w:hAnsi="Times New Roman" w:eastAsia="宋体" w:cs="Times New Roman"/>
                <w:color w:val="000000" w:themeColor="text1"/>
                <w:kern w:val="0"/>
                <w:sz w:val="24"/>
                <w14:textFill>
                  <w14:solidFill>
                    <w14:schemeClr w14:val="tx1"/>
                  </w14:solidFill>
                </w14:textFill>
              </w:rPr>
              <w:fldChar w:fldCharType="end"/>
            </w:r>
            <w:r>
              <w:rPr>
                <w:rFonts w:ascii="Times New Roman" w:hAnsi="Times New Roman" w:eastAsia="宋体" w:cs="Times New Roman"/>
                <w:color w:val="000000" w:themeColor="text1"/>
                <w:kern w:val="0"/>
                <w:sz w:val="24"/>
                <w14:textFill>
                  <w14:solidFill>
                    <w14:schemeClr w14:val="tx1"/>
                  </w14:solidFill>
                </w14:textFill>
              </w:rPr>
              <w:t>简单防渗区</w:t>
            </w:r>
          </w:p>
          <w:p w14:paraId="3E975277">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简单防渗区是指不会对地下水环境造成污染或者可能会产生轻微污染的其它建筑区。</w:t>
            </w:r>
            <w:r>
              <w:rPr>
                <w:rFonts w:ascii="Times New Roman" w:hAnsi="Times New Roman" w:eastAsia="宋体" w:cs="Times New Roman"/>
                <w:color w:val="000000" w:themeColor="text1"/>
                <w:sz w:val="24"/>
                <w14:textFill>
                  <w14:solidFill>
                    <w14:schemeClr w14:val="tx1"/>
                  </w14:solidFill>
                </w14:textFill>
              </w:rPr>
              <w:t>根据项目厂内设备的布置情况，简单污染防治区为厂房的其他区域，对该区域进行水泥硬底化即可达到防腐防渗的效果。</w:t>
            </w:r>
          </w:p>
          <w:p w14:paraId="7260C7BA">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由污染途径及对应措施分析可知，项目对可能产生地下水影响的各项途径均进行了有效预防，在确保各项防渗措施得以落实，并加强维护和厂区环境管理的前提下，可有效控制厂区内的污染物下渗现象，避免污染地下水。</w:t>
            </w:r>
          </w:p>
          <w:p w14:paraId="77F2EB94">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（3）土壤污染防控措施</w:t>
            </w:r>
          </w:p>
          <w:p w14:paraId="118D212D">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不属于《农用地土壤污染状况详查点位布设技术规定》（环办土壤函[2017]1021号）中所列的需要考虑大气沉降影响的行业（包括08黑色金属矿采选业、09有色金属矿采选业、25石油、煤炭和核燃料加工业、26化学原料和化学制品制造业、27医药制药业、31黑色金属冶炼和压延加工业、32有色金属冶炼和压延加工业、38电气机械和器材制造业（电池制造）、77生态保护和环境治理业（危废、医废处置）、78公共设施管理业（生活垃圾处置）），同时本项目的废气主要的污染因子是颗粒物、SO</w:t>
            </w:r>
            <w:r>
              <w:rPr>
                <w:rFonts w:ascii="Times New Roman" w:hAnsi="Times New Roman" w:eastAsia="宋体" w:cs="Times New Roman"/>
                <w:color w:val="000000" w:themeColor="text1"/>
                <w:sz w:val="24"/>
                <w:vertAlign w:val="subscript"/>
                <w14:textFill>
                  <w14:solidFill>
                    <w14:schemeClr w14:val="tx1"/>
                  </w14:solidFill>
                </w14:textFill>
              </w:rPr>
              <w:t>2</w:t>
            </w:r>
            <w:r>
              <w:rPr>
                <w:rFonts w:ascii="Times New Roman" w:hAnsi="Times New Roman" w:eastAsia="宋体" w:cs="Times New Roman"/>
                <w:color w:val="000000" w:themeColor="text1"/>
                <w:sz w:val="24"/>
                <w14:textFill>
                  <w14:solidFill>
                    <w14:schemeClr w14:val="tx1"/>
                  </w14:solidFill>
                </w14:textFill>
              </w:rPr>
              <w:t>、NOx、CO和烟气黑度，不涉及土壤污染重点污染物（镉、汞、六价铬、镍、砷、石油烃、二噁英、苯系物等），也不涉及建设用地土壤污染风险筛选值的其他污染物，不存在《土壤环境质量农用地污染风险管控标准（试行）》和《土壤环境质量建设用地土壤污染风险管控标准（试行）》中的管控因子，对周边环境影响较小。</w:t>
            </w:r>
          </w:p>
          <w:p w14:paraId="5F035152">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7、生态</w:t>
            </w:r>
          </w:p>
          <w:p w14:paraId="2E242321">
            <w:pPr>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项目位于广东省湛江市霞山区铁路粤西农垦供销总公司南山库区8381-1仓，厂区周边主要为工厂及道路，用地范围内无生态环境保护目标，因此项目不评价生态影响及生态环保措施。</w:t>
            </w:r>
          </w:p>
          <w:p w14:paraId="62528FFA">
            <w:pPr>
              <w:spacing w:line="360" w:lineRule="auto"/>
              <w:ind w:firstLine="482" w:firstLineChars="200"/>
              <w:rPr>
                <w:rFonts w:ascii="Times New Roman" w:hAnsi="Times New Roman" w:eastAsia="宋体" w:cs="Times New Roman"/>
                <w:b/>
                <w:bCs/>
                <w:color w:val="000000" w:themeColor="text1"/>
                <w:sz w:val="24"/>
                <w14:textFill>
                  <w14:solidFill>
                    <w14:schemeClr w14:val="tx1"/>
                  </w14:solidFill>
                </w14:textFill>
              </w:rPr>
            </w:pPr>
            <w:r>
              <w:rPr>
                <w:rFonts w:ascii="Times New Roman" w:hAnsi="Times New Roman" w:eastAsia="宋体" w:cs="Times New Roman"/>
                <w:b/>
                <w:bCs/>
                <w:color w:val="000000" w:themeColor="text1"/>
                <w:sz w:val="24"/>
                <w14:textFill>
                  <w14:solidFill>
                    <w14:schemeClr w14:val="tx1"/>
                  </w14:solidFill>
                </w14:textFill>
              </w:rPr>
              <w:t>8、电磁辐射</w:t>
            </w:r>
          </w:p>
          <w:p w14:paraId="4EBF9DB4">
            <w:pPr>
              <w:autoSpaceDE w:val="0"/>
              <w:autoSpaceDN w:val="0"/>
              <w:adjustRightInd w:val="0"/>
              <w:spacing w:line="360" w:lineRule="auto"/>
              <w:ind w:firstLine="480" w:firstLineChars="200"/>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项目不属于电磁辐射类项目，无需开展电磁辐射现状监测与评价。</w:t>
            </w:r>
          </w:p>
          <w:p w14:paraId="54EBCCB3">
            <w:pPr>
              <w:autoSpaceDE w:val="0"/>
              <w:autoSpaceDN w:val="0"/>
              <w:adjustRightInd w:val="0"/>
              <w:spacing w:line="480" w:lineRule="exact"/>
              <w:ind w:firstLine="420" w:firstLineChars="200"/>
              <w:rPr>
                <w:rFonts w:hint="eastAsia" w:ascii="Times New Roman" w:hAnsi="Times New Roman" w:eastAsia="宋体" w:cs="Times New Roman"/>
                <w:color w:val="000000" w:themeColor="text1"/>
                <w:szCs w:val="21"/>
                <w14:textFill>
                  <w14:solidFill>
                    <w14:schemeClr w14:val="tx1"/>
                  </w14:solidFill>
                </w14:textFill>
              </w:rPr>
            </w:pPr>
          </w:p>
          <w:p w14:paraId="0535091F">
            <w:pPr>
              <w:autoSpaceDE w:val="0"/>
              <w:autoSpaceDN w:val="0"/>
              <w:adjustRightInd w:val="0"/>
              <w:spacing w:line="480" w:lineRule="exact"/>
              <w:rPr>
                <w:rFonts w:hint="eastAsia" w:ascii="Times New Roman" w:hAnsi="Times New Roman" w:eastAsia="宋体" w:cs="Times New Roman"/>
                <w:color w:val="000000" w:themeColor="text1"/>
                <w:szCs w:val="21"/>
                <w14:textFill>
                  <w14:solidFill>
                    <w14:schemeClr w14:val="tx1"/>
                  </w14:solidFill>
                </w14:textFill>
              </w:rPr>
            </w:pPr>
          </w:p>
        </w:tc>
      </w:tr>
    </w:tbl>
    <w:p w14:paraId="526715BE">
      <w:pPr>
        <w:adjustRightInd w:val="0"/>
        <w:snapToGrid w:val="0"/>
        <w:spacing w:line="360" w:lineRule="auto"/>
        <w:rPr>
          <w:b/>
          <w:color w:val="000000" w:themeColor="text1"/>
          <w:kern w:val="0"/>
          <w:sz w:val="28"/>
          <w:szCs w:val="28"/>
          <w14:textFill>
            <w14:solidFill>
              <w14:schemeClr w14:val="tx1"/>
            </w14:solidFill>
          </w14:textFill>
        </w:rPr>
        <w:sectPr>
          <w:pgSz w:w="11907" w:h="16840"/>
          <w:pgMar w:top="1701" w:right="1531" w:bottom="2127" w:left="1531" w:header="851" w:footer="851" w:gutter="0"/>
          <w:cols w:space="720" w:num="1"/>
          <w:docGrid w:linePitch="312" w:charSpace="0"/>
        </w:sectPr>
      </w:pPr>
    </w:p>
    <w:p w14:paraId="7E6CD0A2">
      <w:pPr>
        <w:pStyle w:val="28"/>
        <w:jc w:val="center"/>
        <w:outlineLvl w:val="0"/>
        <w:rPr>
          <w:rFonts w:ascii="Times New Roman" w:hAnsi="Times New Roman"/>
          <w:b/>
          <w:bCs/>
          <w:snapToGrid w:val="0"/>
          <w:color w:val="000000" w:themeColor="text1"/>
          <w:sz w:val="30"/>
          <w:szCs w:val="30"/>
          <w14:textFill>
            <w14:solidFill>
              <w14:schemeClr w14:val="tx1"/>
            </w14:solidFill>
          </w14:textFill>
        </w:rPr>
      </w:pPr>
      <w:bookmarkStart w:id="18" w:name="_Toc15994"/>
      <w:r>
        <w:rPr>
          <w:rFonts w:ascii="Times New Roman" w:hAnsi="Times New Roman"/>
          <w:b/>
          <w:bCs/>
          <w:snapToGrid w:val="0"/>
          <w:color w:val="000000" w:themeColor="text1"/>
          <w:sz w:val="30"/>
          <w:szCs w:val="30"/>
          <w14:textFill>
            <w14:solidFill>
              <w14:schemeClr w14:val="tx1"/>
            </w14:solidFill>
          </w14:textFill>
        </w:rPr>
        <w:t>五、</w:t>
      </w:r>
      <w:bookmarkStart w:id="19" w:name="_Hlk54167917"/>
      <w:r>
        <w:rPr>
          <w:rFonts w:ascii="Times New Roman" w:hAnsi="Times New Roman"/>
          <w:b/>
          <w:bCs/>
          <w:snapToGrid w:val="0"/>
          <w:color w:val="000000" w:themeColor="text1"/>
          <w:sz w:val="30"/>
          <w:szCs w:val="30"/>
          <w14:textFill>
            <w14:solidFill>
              <w14:schemeClr w14:val="tx1"/>
            </w14:solidFill>
          </w14:textFill>
        </w:rPr>
        <w:t>环境保护措施监督检查清单</w:t>
      </w:r>
      <w:bookmarkEnd w:id="18"/>
      <w:bookmarkEnd w:id="19"/>
    </w:p>
    <w:tbl>
      <w:tblPr>
        <w:tblStyle w:val="32"/>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4"/>
        <w:gridCol w:w="368"/>
        <w:gridCol w:w="1172"/>
        <w:gridCol w:w="1212"/>
        <w:gridCol w:w="2262"/>
        <w:gridCol w:w="3187"/>
      </w:tblGrid>
      <w:tr w14:paraId="44135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71" w:type="pct"/>
            <w:tcBorders>
              <w:tl2br w:val="single" w:color="auto" w:sz="4" w:space="0"/>
            </w:tcBorders>
            <w:noWrap w:val="0"/>
            <w:vAlign w:val="top"/>
          </w:tcPr>
          <w:p w14:paraId="4452B8AE">
            <w:pPr>
              <w:adjustRightInd w:val="0"/>
              <w:snapToGrid w:val="0"/>
              <w:ind w:firstLine="211" w:firstLineChars="100"/>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内容</w:t>
            </w:r>
          </w:p>
          <w:p w14:paraId="56B31F80">
            <w:pPr>
              <w:adjustRightInd w:val="0"/>
              <w:snapToGrid w:val="0"/>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要素</w:t>
            </w:r>
          </w:p>
        </w:tc>
        <w:tc>
          <w:tcPr>
            <w:tcW w:w="850" w:type="pct"/>
            <w:gridSpan w:val="2"/>
            <w:noWrap w:val="0"/>
            <w:vAlign w:val="center"/>
          </w:tcPr>
          <w:p w14:paraId="289D9062">
            <w:pPr>
              <w:adjustRightInd w:val="0"/>
              <w:snapToGrid w:val="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排放口(编号、名称)/污染源</w:t>
            </w:r>
          </w:p>
        </w:tc>
        <w:tc>
          <w:tcPr>
            <w:tcW w:w="669" w:type="pct"/>
            <w:noWrap w:val="0"/>
            <w:vAlign w:val="center"/>
          </w:tcPr>
          <w:p w14:paraId="01FF2E05">
            <w:pPr>
              <w:adjustRightInd w:val="0"/>
              <w:snapToGrid w:val="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污染物项目</w:t>
            </w:r>
          </w:p>
        </w:tc>
        <w:tc>
          <w:tcPr>
            <w:tcW w:w="1249" w:type="pct"/>
            <w:noWrap w:val="0"/>
            <w:vAlign w:val="center"/>
          </w:tcPr>
          <w:p w14:paraId="476A3392">
            <w:pPr>
              <w:adjustRightInd w:val="0"/>
              <w:snapToGrid w:val="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环境保护措施</w:t>
            </w:r>
          </w:p>
        </w:tc>
        <w:tc>
          <w:tcPr>
            <w:tcW w:w="1759" w:type="pct"/>
            <w:noWrap w:val="0"/>
            <w:vAlign w:val="center"/>
          </w:tcPr>
          <w:p w14:paraId="534C30BB">
            <w:pPr>
              <w:adjustRightInd w:val="0"/>
              <w:snapToGrid w:val="0"/>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执行标准</w:t>
            </w:r>
          </w:p>
        </w:tc>
      </w:tr>
      <w:tr w14:paraId="468726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restart"/>
            <w:noWrap w:val="0"/>
            <w:vAlign w:val="center"/>
          </w:tcPr>
          <w:p w14:paraId="53ACAD7A">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大气环境</w:t>
            </w:r>
          </w:p>
        </w:tc>
        <w:tc>
          <w:tcPr>
            <w:tcW w:w="203" w:type="pct"/>
            <w:vMerge w:val="restart"/>
            <w:noWrap w:val="0"/>
            <w:vAlign w:val="center"/>
          </w:tcPr>
          <w:p w14:paraId="545FF79D">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营运期</w:t>
            </w:r>
          </w:p>
        </w:tc>
        <w:tc>
          <w:tcPr>
            <w:tcW w:w="647" w:type="pct"/>
            <w:vMerge w:val="restart"/>
            <w:noWrap w:val="0"/>
            <w:vAlign w:val="center"/>
          </w:tcPr>
          <w:p w14:paraId="2E024B2D">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DA001</w:t>
            </w:r>
            <w:r>
              <w:rPr>
                <w:rFonts w:ascii="Times New Roman" w:hAnsi="Times New Roman" w:eastAsia="宋体" w:cs="Times New Roman"/>
                <w:color w:val="000000" w:themeColor="text1"/>
                <w:szCs w:val="21"/>
                <w14:textFill>
                  <w14:solidFill>
                    <w14:schemeClr w14:val="tx1"/>
                  </w14:solidFill>
                </w14:textFill>
              </w:rPr>
              <w:t>排气筒</w:t>
            </w:r>
            <w:r>
              <w:rPr>
                <w:rFonts w:hint="eastAsia" w:ascii="Times New Roman" w:hAnsi="Times New Roman" w:eastAsia="宋体" w:cs="Times New Roman"/>
                <w:color w:val="000000" w:themeColor="text1"/>
                <w:szCs w:val="21"/>
                <w14:textFill>
                  <w14:solidFill>
                    <w14:schemeClr w14:val="tx1"/>
                  </w14:solidFill>
                </w14:textFill>
              </w:rPr>
              <w:t>（锅炉废气）</w:t>
            </w:r>
          </w:p>
        </w:tc>
        <w:tc>
          <w:tcPr>
            <w:tcW w:w="669" w:type="pct"/>
            <w:noWrap w:val="0"/>
            <w:vAlign w:val="center"/>
          </w:tcPr>
          <w:p w14:paraId="73414A42">
            <w:pPr>
              <w:pStyle w:val="58"/>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颗粒物</w:t>
            </w:r>
          </w:p>
        </w:tc>
        <w:tc>
          <w:tcPr>
            <w:tcW w:w="1249" w:type="pct"/>
            <w:vMerge w:val="restart"/>
            <w:noWrap w:val="0"/>
            <w:vAlign w:val="center"/>
          </w:tcPr>
          <w:p w14:paraId="0CEFE280">
            <w:pPr>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经“低氮燃烧+锅炉节能器+布袋除尘器”处理后</w:t>
            </w:r>
            <w:r>
              <w:rPr>
                <w:rFonts w:hint="eastAsia" w:ascii="Times New Roman" w:hAnsi="Times New Roman" w:eastAsia="宋体" w:cs="Times New Roman"/>
                <w:color w:val="000000" w:themeColor="text1"/>
                <w:kern w:val="0"/>
                <w:szCs w:val="21"/>
                <w14:textFill>
                  <w14:solidFill>
                    <w14:schemeClr w14:val="tx1"/>
                  </w14:solidFill>
                </w14:textFill>
              </w:rPr>
              <w:t>35m高排气筒</w:t>
            </w:r>
            <w:r>
              <w:rPr>
                <w:rFonts w:hint="eastAsia" w:ascii="Times New Roman" w:hAnsi="Times New Roman" w:eastAsia="宋体" w:cs="Times New Roman"/>
                <w:color w:val="000000" w:themeColor="text1"/>
                <w14:textFill>
                  <w14:solidFill>
                    <w14:schemeClr w14:val="tx1"/>
                  </w14:solidFill>
                </w14:textFill>
              </w:rPr>
              <w:t>排放</w:t>
            </w:r>
          </w:p>
        </w:tc>
        <w:tc>
          <w:tcPr>
            <w:tcW w:w="1759" w:type="pct"/>
            <w:vMerge w:val="restart"/>
            <w:noWrap w:val="0"/>
            <w:vAlign w:val="center"/>
          </w:tcPr>
          <w:p w14:paraId="22643E85">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执行</w:t>
            </w:r>
            <w:r>
              <w:rPr>
                <w:rFonts w:hint="eastAsia" w:ascii="Times New Roman" w:hAnsi="Times New Roman" w:eastAsia="宋体" w:cs="Times New Roman"/>
                <w:color w:val="000000" w:themeColor="text1"/>
                <w14:textFill>
                  <w14:solidFill>
                    <w14:schemeClr w14:val="tx1"/>
                  </w14:solidFill>
                </w14:textFill>
              </w:rPr>
              <w:t>《锅炉大气污染物排放标准》（DB44/765-2019）表2中燃生物质成型燃料锅炉的排放限值</w:t>
            </w:r>
          </w:p>
        </w:tc>
      </w:tr>
      <w:tr w14:paraId="4691C8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0ACDECDD">
            <w:pPr>
              <w:widowControl/>
              <w:jc w:val="center"/>
              <w:textAlignment w:val="center"/>
              <w:rPr>
                <w:rFonts w:ascii="Times New Roman" w:hAnsi="Times New Roman" w:eastAsia="宋体" w:cs="Times New Roman"/>
                <w:color w:val="000000" w:themeColor="text1"/>
                <w14:textFill>
                  <w14:solidFill>
                    <w14:schemeClr w14:val="tx1"/>
                  </w14:solidFill>
                </w14:textFill>
              </w:rPr>
            </w:pPr>
          </w:p>
        </w:tc>
        <w:tc>
          <w:tcPr>
            <w:tcW w:w="203" w:type="pct"/>
            <w:vMerge w:val="continue"/>
            <w:noWrap w:val="0"/>
            <w:vAlign w:val="center"/>
          </w:tcPr>
          <w:p w14:paraId="11F41F00">
            <w:pPr>
              <w:widowControl/>
              <w:jc w:val="center"/>
              <w:textAlignment w:val="center"/>
              <w:rPr>
                <w:rFonts w:ascii="Times New Roman" w:hAnsi="Times New Roman" w:eastAsia="宋体" w:cs="Times New Roman"/>
                <w:color w:val="000000" w:themeColor="text1"/>
                <w14:textFill>
                  <w14:solidFill>
                    <w14:schemeClr w14:val="tx1"/>
                  </w14:solidFill>
                </w14:textFill>
              </w:rPr>
            </w:pPr>
          </w:p>
        </w:tc>
        <w:tc>
          <w:tcPr>
            <w:tcW w:w="647" w:type="pct"/>
            <w:vMerge w:val="continue"/>
            <w:noWrap w:val="0"/>
            <w:vAlign w:val="center"/>
          </w:tcPr>
          <w:p w14:paraId="2A17F8D7">
            <w:pPr>
              <w:widowControl/>
              <w:jc w:val="center"/>
              <w:textAlignment w:val="center"/>
              <w:rPr>
                <w:rFonts w:ascii="Times New Roman" w:hAnsi="Times New Roman" w:eastAsia="宋体" w:cs="Times New Roman"/>
                <w:color w:val="000000" w:themeColor="text1"/>
                <w14:textFill>
                  <w14:solidFill>
                    <w14:schemeClr w14:val="tx1"/>
                  </w14:solidFill>
                </w14:textFill>
              </w:rPr>
            </w:pPr>
          </w:p>
        </w:tc>
        <w:tc>
          <w:tcPr>
            <w:tcW w:w="669" w:type="pct"/>
            <w:noWrap w:val="0"/>
            <w:vAlign w:val="center"/>
          </w:tcPr>
          <w:p w14:paraId="03568A6C">
            <w:pPr>
              <w:pStyle w:val="58"/>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SO</w:t>
            </w:r>
            <w:r>
              <w:rPr>
                <w:rFonts w:hint="eastAsia" w:ascii="Times New Roman" w:hAnsi="Times New Roman" w:eastAsia="宋体" w:cs="Times New Roman"/>
                <w:color w:val="000000" w:themeColor="text1"/>
                <w:kern w:val="0"/>
                <w:vertAlign w:val="subscript"/>
                <w14:textFill>
                  <w14:solidFill>
                    <w14:schemeClr w14:val="tx1"/>
                  </w14:solidFill>
                </w14:textFill>
              </w:rPr>
              <w:t>2</w:t>
            </w:r>
          </w:p>
        </w:tc>
        <w:tc>
          <w:tcPr>
            <w:tcW w:w="1249" w:type="pct"/>
            <w:vMerge w:val="continue"/>
            <w:noWrap w:val="0"/>
            <w:vAlign w:val="center"/>
          </w:tcPr>
          <w:p w14:paraId="73DB7CD3">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1759" w:type="pct"/>
            <w:vMerge w:val="continue"/>
            <w:noWrap w:val="0"/>
            <w:vAlign w:val="center"/>
          </w:tcPr>
          <w:p w14:paraId="40785D3F">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r>
      <w:tr w14:paraId="60DE12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0629C3FB">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203" w:type="pct"/>
            <w:vMerge w:val="continue"/>
            <w:noWrap w:val="0"/>
            <w:vAlign w:val="center"/>
          </w:tcPr>
          <w:p w14:paraId="383E4F88">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647" w:type="pct"/>
            <w:vMerge w:val="continue"/>
            <w:noWrap w:val="0"/>
            <w:vAlign w:val="center"/>
          </w:tcPr>
          <w:p w14:paraId="09A7A39D">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669" w:type="pct"/>
            <w:noWrap w:val="0"/>
            <w:vAlign w:val="center"/>
          </w:tcPr>
          <w:p w14:paraId="27DB4E70">
            <w:pPr>
              <w:pStyle w:val="58"/>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NO</w:t>
            </w:r>
            <w:r>
              <w:rPr>
                <w:rFonts w:hint="eastAsia" w:ascii="Times New Roman" w:hAnsi="Times New Roman" w:eastAsia="宋体" w:cs="Times New Roman"/>
                <w:color w:val="000000" w:themeColor="text1"/>
                <w:kern w:val="0"/>
                <w:vertAlign w:val="subscript"/>
                <w14:textFill>
                  <w14:solidFill>
                    <w14:schemeClr w14:val="tx1"/>
                  </w14:solidFill>
                </w14:textFill>
              </w:rPr>
              <w:t>X</w:t>
            </w:r>
          </w:p>
        </w:tc>
        <w:tc>
          <w:tcPr>
            <w:tcW w:w="1249" w:type="pct"/>
            <w:vMerge w:val="continue"/>
            <w:noWrap w:val="0"/>
            <w:vAlign w:val="center"/>
          </w:tcPr>
          <w:p w14:paraId="0F8D281E">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1759" w:type="pct"/>
            <w:vMerge w:val="continue"/>
            <w:noWrap w:val="0"/>
            <w:vAlign w:val="center"/>
          </w:tcPr>
          <w:p w14:paraId="712BAABA">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r>
      <w:tr w14:paraId="6FF5AD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643D2283">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203" w:type="pct"/>
            <w:vMerge w:val="continue"/>
            <w:noWrap w:val="0"/>
            <w:vAlign w:val="center"/>
          </w:tcPr>
          <w:p w14:paraId="77301029">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647" w:type="pct"/>
            <w:vMerge w:val="continue"/>
            <w:noWrap w:val="0"/>
            <w:vAlign w:val="center"/>
          </w:tcPr>
          <w:p w14:paraId="2CD88360">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669" w:type="pct"/>
            <w:noWrap w:val="0"/>
            <w:vAlign w:val="center"/>
          </w:tcPr>
          <w:p w14:paraId="51A9038E">
            <w:pPr>
              <w:pStyle w:val="58"/>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CO</w:t>
            </w:r>
          </w:p>
        </w:tc>
        <w:tc>
          <w:tcPr>
            <w:tcW w:w="1249" w:type="pct"/>
            <w:vMerge w:val="continue"/>
            <w:noWrap w:val="0"/>
            <w:vAlign w:val="center"/>
          </w:tcPr>
          <w:p w14:paraId="32CCC324">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c>
          <w:tcPr>
            <w:tcW w:w="1759" w:type="pct"/>
            <w:vMerge w:val="continue"/>
            <w:noWrap w:val="0"/>
            <w:vAlign w:val="center"/>
          </w:tcPr>
          <w:p w14:paraId="73B84F71">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p>
        </w:tc>
      </w:tr>
      <w:tr w14:paraId="67E2FB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04501FE6">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24FBCCBA">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vMerge w:val="continue"/>
            <w:noWrap w:val="0"/>
            <w:vAlign w:val="center"/>
          </w:tcPr>
          <w:p w14:paraId="625F294B">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69" w:type="pct"/>
            <w:noWrap w:val="0"/>
            <w:vAlign w:val="center"/>
          </w:tcPr>
          <w:p w14:paraId="606D0195">
            <w:pPr>
              <w:pStyle w:val="58"/>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烟气黑度（林格曼黑度）</w:t>
            </w:r>
          </w:p>
        </w:tc>
        <w:tc>
          <w:tcPr>
            <w:tcW w:w="1249" w:type="pct"/>
            <w:vMerge w:val="continue"/>
            <w:noWrap w:val="0"/>
            <w:vAlign w:val="center"/>
          </w:tcPr>
          <w:p w14:paraId="0B9DD91B">
            <w:pPr>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p>
        </w:tc>
        <w:tc>
          <w:tcPr>
            <w:tcW w:w="1759" w:type="pct"/>
            <w:vMerge w:val="continue"/>
            <w:noWrap w:val="0"/>
            <w:vAlign w:val="center"/>
          </w:tcPr>
          <w:p w14:paraId="3058C544">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r>
      <w:tr w14:paraId="0C1B60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71BE85C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22212361">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noWrap w:val="0"/>
            <w:vAlign w:val="center"/>
          </w:tcPr>
          <w:p w14:paraId="537A1A49">
            <w:pPr>
              <w:adjustRightInd w:val="0"/>
              <w:snapToGrid w:val="0"/>
              <w:jc w:val="center"/>
              <w:rPr>
                <w:rFonts w:hint="eastAsia"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用发电机（</w:t>
            </w:r>
            <w:r>
              <w:rPr>
                <w:rFonts w:hint="default"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DA002</w:t>
            </w: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w:t>
            </w:r>
          </w:p>
        </w:tc>
        <w:tc>
          <w:tcPr>
            <w:tcW w:w="669" w:type="pct"/>
            <w:noWrap w:val="0"/>
            <w:vAlign w:val="center"/>
          </w:tcPr>
          <w:p w14:paraId="4F4D477E">
            <w:pPr>
              <w:pStyle w:val="58"/>
              <w:rPr>
                <w:rFonts w:hint="eastAsia" w:ascii="Times New Roman" w:hAnsi="Times New Roman" w:eastAsia="宋体" w:cs="Times New Roman"/>
                <w:b w:val="0"/>
                <w:bCs w:val="0"/>
                <w:color w:val="000000" w:themeColor="text1"/>
                <w:kern w:val="0"/>
                <w:sz w:val="21"/>
                <w:szCs w:val="21"/>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lang w:val="en-US" w:eastAsia="zh-CN" w:bidi="ar"/>
                <w14:textFill>
                  <w14:solidFill>
                    <w14:schemeClr w14:val="tx1"/>
                  </w14:solidFill>
                </w14:textFill>
              </w:rPr>
              <w:t>尾</w:t>
            </w:r>
            <w:r>
              <w:rPr>
                <w:rFonts w:hint="eastAsia" w:ascii="Times New Roman" w:hAnsi="Times New Roman" w:eastAsia="宋体" w:cs="Times New Roman"/>
                <w:b w:val="0"/>
                <w:bCs w:val="0"/>
                <w:color w:val="000000" w:themeColor="text1"/>
                <w:kern w:val="0"/>
                <w:sz w:val="21"/>
                <w:szCs w:val="21"/>
                <w14:textFill>
                  <w14:solidFill>
                    <w14:schemeClr w14:val="tx1"/>
                  </w14:solidFill>
                </w14:textFill>
              </w:rPr>
              <w:t>气黑度（林格曼黑度）</w:t>
            </w:r>
          </w:p>
        </w:tc>
        <w:tc>
          <w:tcPr>
            <w:tcW w:w="1249" w:type="pct"/>
            <w:noWrap w:val="0"/>
            <w:vAlign w:val="center"/>
          </w:tcPr>
          <w:p w14:paraId="01A7269F">
            <w:pP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bCs w:val="0"/>
                <w:iCs/>
                <w:color w:val="000000" w:themeColor="text1"/>
                <w:sz w:val="21"/>
                <w:szCs w:val="21"/>
                <w14:textFill>
                  <w14:solidFill>
                    <w14:schemeClr w14:val="tx1"/>
                  </w14:solidFill>
                </w14:textFill>
              </w:rPr>
              <w:t>采用</w:t>
            </w:r>
            <w:r>
              <w:rPr>
                <w:rFonts w:hint="eastAsia" w:ascii="Times New Roman" w:hAnsi="Times New Roman" w:eastAsia="宋体" w:cs="Times New Roman"/>
                <w:b w:val="0"/>
                <w:bCs w:val="0"/>
                <w:iCs/>
                <w:color w:val="000000" w:themeColor="text1"/>
                <w:sz w:val="21"/>
                <w:szCs w:val="21"/>
                <w:lang w:val="en-US" w:eastAsia="zh-CN"/>
                <w14:textFill>
                  <w14:solidFill>
                    <w14:schemeClr w14:val="tx1"/>
                  </w14:solidFill>
                </w14:textFill>
              </w:rPr>
              <w:t>低硫份的</w:t>
            </w:r>
            <w:r>
              <w:rPr>
                <w:rFonts w:hint="default" w:ascii="Times New Roman" w:hAnsi="Times New Roman" w:eastAsia="宋体" w:cs="Times New Roman"/>
                <w:b w:val="0"/>
                <w:bCs w:val="0"/>
                <w:iCs/>
                <w:color w:val="000000" w:themeColor="text1"/>
                <w:sz w:val="21"/>
                <w:szCs w:val="21"/>
                <w14:textFill>
                  <w14:solidFill>
                    <w14:schemeClr w14:val="tx1"/>
                  </w14:solidFill>
                </w14:textFill>
              </w:rPr>
              <w:t>0号柴油</w:t>
            </w:r>
            <w:r>
              <w:rPr>
                <w:rFonts w:hint="eastAsia" w:ascii="Times New Roman" w:hAnsi="Times New Roman" w:eastAsia="宋体" w:cs="Times New Roman"/>
                <w:b w:val="0"/>
                <w:bCs w:val="0"/>
                <w:color w:val="000000" w:themeColor="text1"/>
                <w:kern w:val="0"/>
                <w:sz w:val="21"/>
                <w:szCs w:val="21"/>
                <w:lang w:val="en-US" w:eastAsia="zh-CN"/>
                <w14:textFill>
                  <w14:solidFill>
                    <w14:schemeClr w14:val="tx1"/>
                  </w14:solidFill>
                </w14:textFill>
              </w:rPr>
              <w:t>作为燃料</w:t>
            </w:r>
          </w:p>
          <w:p w14:paraId="6634DA16">
            <w:pPr>
              <w:adjustRightInd w:val="0"/>
              <w:snapToGrid w:val="0"/>
              <w:jc w:val="center"/>
              <w:rPr>
                <w:rFonts w:hint="eastAsia" w:ascii="Times New Roman" w:hAnsi="Times New Roman" w:eastAsia="宋体" w:cs="Times New Roman"/>
                <w:b w:val="0"/>
                <w:bCs w:val="0"/>
                <w:color w:val="000000" w:themeColor="text1"/>
                <w:sz w:val="21"/>
                <w:szCs w:val="21"/>
                <w14:textFill>
                  <w14:solidFill>
                    <w14:schemeClr w14:val="tx1"/>
                  </w14:solidFill>
                </w14:textFill>
              </w:rPr>
            </w:pPr>
          </w:p>
        </w:tc>
        <w:tc>
          <w:tcPr>
            <w:tcW w:w="1759" w:type="pct"/>
            <w:noWrap w:val="0"/>
            <w:vAlign w:val="center"/>
          </w:tcPr>
          <w:p w14:paraId="11A02A84">
            <w:pPr>
              <w:adjustRightInd w:val="0"/>
              <w:snapToGrid w:val="0"/>
              <w:jc w:val="center"/>
              <w:rPr>
                <w:rFonts w:hint="eastAsia" w:ascii="Times New Roman" w:hAnsi="Times New Roman" w:eastAsia="宋体" w:cs="Times New Roman"/>
                <w:b w:val="0"/>
                <w:bCs w:val="0"/>
                <w:color w:val="000000" w:themeColor="text1"/>
                <w:sz w:val="21"/>
                <w:szCs w:val="21"/>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参照执行</w:t>
            </w:r>
            <w:r>
              <w:rPr>
                <w:rFonts w:hint="eastAsia" w:ascii="Times New Roman" w:hAnsi="Times New Roman" w:eastAsia="宋体" w:cs="Times New Roman"/>
                <w:b w:val="0"/>
                <w:bCs w:val="0"/>
                <w:color w:val="000000" w:themeColor="text1"/>
                <w:sz w:val="21"/>
                <w:szCs w:val="21"/>
                <w:lang w:bidi="ar"/>
                <w14:textFill>
                  <w14:solidFill>
                    <w14:schemeClr w14:val="tx1"/>
                  </w14:solidFill>
                </w14:textFill>
              </w:rPr>
              <w:t>广东省《大气污染</w:t>
            </w:r>
            <w:r>
              <w:rPr>
                <w:rFonts w:hint="eastAsia" w:ascii="Times New Roman" w:hAnsi="Times New Roman" w:eastAsia="宋体" w:cs="Times New Roman"/>
                <w:b w:val="0"/>
                <w:bCs w:val="0"/>
                <w:color w:val="000000" w:themeColor="text1"/>
                <w:sz w:val="21"/>
                <w:szCs w:val="21"/>
                <w:lang w:val="en-US" w:eastAsia="zh-CN" w:bidi="ar"/>
                <w14:textFill>
                  <w14:solidFill>
                    <w14:schemeClr w14:val="tx1"/>
                  </w14:solidFill>
                </w14:textFill>
              </w:rPr>
              <w:t xml:space="preserve">                  </w:t>
            </w:r>
            <w:r>
              <w:rPr>
                <w:rFonts w:hint="eastAsia" w:ascii="Times New Roman" w:hAnsi="Times New Roman" w:eastAsia="宋体" w:cs="Times New Roman"/>
                <w:b w:val="0"/>
                <w:bCs w:val="0"/>
                <w:color w:val="000000" w:themeColor="text1"/>
                <w:sz w:val="21"/>
                <w:szCs w:val="21"/>
                <w:lang w:bidi="ar"/>
                <w14:textFill>
                  <w14:solidFill>
                    <w14:schemeClr w14:val="tx1"/>
                  </w14:solidFill>
                </w14:textFill>
              </w:rPr>
              <w:t>物排放限值》（DB44/27-2001）</w:t>
            </w:r>
            <w:r>
              <w:rPr>
                <w:rFonts w:hint="eastAsia" w:ascii="Times New Roman" w:hAnsi="Times New Roman" w:eastAsia="宋体" w:cs="Times New Roman"/>
                <w:b w:val="0"/>
                <w:bCs w:val="0"/>
                <w:color w:val="000000" w:themeColor="text1"/>
                <w:sz w:val="21"/>
                <w:szCs w:val="21"/>
                <w:lang w:val="en-US" w:eastAsia="zh-CN" w:bidi="ar"/>
                <w14:textFill>
                  <w14:solidFill>
                    <w14:schemeClr w14:val="tx1"/>
                  </w14:solidFill>
                </w14:textFill>
              </w:rPr>
              <w:t>表3</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烟气黑度 （林格曼黑度）限值</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 xml:space="preserve"> </w:t>
            </w:r>
          </w:p>
        </w:tc>
      </w:tr>
      <w:tr w14:paraId="45171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03721430">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30298422">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vMerge w:val="restart"/>
            <w:noWrap w:val="0"/>
            <w:vAlign w:val="center"/>
          </w:tcPr>
          <w:p w14:paraId="2893B9FC">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污水处理站</w:t>
            </w:r>
          </w:p>
        </w:tc>
        <w:tc>
          <w:tcPr>
            <w:tcW w:w="669" w:type="pct"/>
            <w:noWrap w:val="0"/>
            <w:vAlign w:val="center"/>
          </w:tcPr>
          <w:p w14:paraId="67FFDB7F">
            <w:pPr>
              <w:adjustRightInd w:val="0"/>
              <w:snapToGrid w:val="0"/>
              <w:jc w:val="center"/>
              <w:rPr>
                <w:rFonts w:hint="eastAsia" w:ascii="Times New Roman" w:hAnsi="Times New Roman" w:eastAsia="宋体" w:cs="Times New Roman"/>
                <w:color w:val="000000" w:themeColor="text1"/>
                <w:kern w:val="0"/>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氨</w:t>
            </w:r>
          </w:p>
        </w:tc>
        <w:tc>
          <w:tcPr>
            <w:tcW w:w="1249" w:type="pct"/>
            <w:vMerge w:val="restart"/>
            <w:noWrap w:val="0"/>
            <w:vAlign w:val="center"/>
          </w:tcPr>
          <w:p w14:paraId="13FD65A9">
            <w:pPr>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污水处理站设密封盖板，定期喷洒生物除臭剂。</w:t>
            </w:r>
          </w:p>
        </w:tc>
        <w:tc>
          <w:tcPr>
            <w:tcW w:w="1759" w:type="pct"/>
            <w:vMerge w:val="restart"/>
            <w:noWrap w:val="0"/>
            <w:vAlign w:val="center"/>
          </w:tcPr>
          <w:p w14:paraId="7AAB45C0">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执行《恶臭污染物排放标准》（</w:t>
            </w:r>
            <w:r>
              <w:rPr>
                <w:rFonts w:ascii="Times New Roman" w:hAnsi="Times New Roman" w:eastAsia="宋体" w:cs="Times New Roman"/>
                <w:color w:val="000000" w:themeColor="text1"/>
                <w:sz w:val="21"/>
                <w:szCs w:val="21"/>
                <w14:textFill>
                  <w14:solidFill>
                    <w14:schemeClr w14:val="tx1"/>
                  </w14:solidFill>
                </w14:textFill>
              </w:rPr>
              <w:t>GB14554-93</w:t>
            </w:r>
            <w:r>
              <w:rPr>
                <w:rFonts w:hint="eastAsia" w:ascii="Times New Roman" w:hAnsi="Times New Roman" w:eastAsia="宋体" w:cs="Times New Roman"/>
                <w:color w:val="000000" w:themeColor="text1"/>
                <w:sz w:val="21"/>
                <w:szCs w:val="21"/>
                <w14:textFill>
                  <w14:solidFill>
                    <w14:schemeClr w14:val="tx1"/>
                  </w14:solidFill>
                </w14:textFill>
              </w:rPr>
              <w:t>）表</w:t>
            </w:r>
            <w:r>
              <w:rPr>
                <w:rFonts w:ascii="Times New Roman" w:hAnsi="Times New Roman" w:eastAsia="宋体" w:cs="Times New Roman"/>
                <w:color w:val="000000" w:themeColor="text1"/>
                <w:sz w:val="21"/>
                <w:szCs w:val="21"/>
                <w14:textFill>
                  <w14:solidFill>
                    <w14:schemeClr w14:val="tx1"/>
                  </w14:solidFill>
                </w14:textFill>
              </w:rPr>
              <w:t>1</w:t>
            </w:r>
            <w:r>
              <w:rPr>
                <w:rFonts w:hint="eastAsia" w:ascii="Times New Roman" w:hAnsi="Times New Roman" w:eastAsia="宋体" w:cs="Times New Roman"/>
                <w:color w:val="000000" w:themeColor="text1"/>
                <w:sz w:val="21"/>
                <w:szCs w:val="21"/>
                <w14:textFill>
                  <w14:solidFill>
                    <w14:schemeClr w14:val="tx1"/>
                  </w14:solidFill>
                </w14:textFill>
              </w:rPr>
              <w:t>恶臭污染物厂界标准值新改扩建二级标准</w:t>
            </w:r>
          </w:p>
        </w:tc>
      </w:tr>
      <w:tr w14:paraId="497271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4E40871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3DEE5B96">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vMerge w:val="continue"/>
            <w:noWrap w:val="0"/>
            <w:vAlign w:val="center"/>
          </w:tcPr>
          <w:p w14:paraId="6CFC0458">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69" w:type="pct"/>
            <w:noWrap w:val="0"/>
            <w:vAlign w:val="center"/>
          </w:tcPr>
          <w:p w14:paraId="0A63A760">
            <w:pPr>
              <w:adjustRightInd w:val="0"/>
              <w:snapToGrid w:val="0"/>
              <w:jc w:val="center"/>
              <w:rPr>
                <w:rFonts w:hint="eastAsia"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硫化氢</w:t>
            </w:r>
          </w:p>
        </w:tc>
        <w:tc>
          <w:tcPr>
            <w:tcW w:w="1249" w:type="pct"/>
            <w:vMerge w:val="continue"/>
            <w:noWrap w:val="0"/>
            <w:vAlign w:val="center"/>
          </w:tcPr>
          <w:p w14:paraId="543D5DAD">
            <w:pPr>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p>
        </w:tc>
        <w:tc>
          <w:tcPr>
            <w:tcW w:w="1759" w:type="pct"/>
            <w:vMerge w:val="continue"/>
            <w:noWrap w:val="0"/>
            <w:vAlign w:val="center"/>
          </w:tcPr>
          <w:p w14:paraId="02F72417">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r>
      <w:tr w14:paraId="60C393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005B8A5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5601DE26">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vMerge w:val="continue"/>
            <w:noWrap w:val="0"/>
            <w:vAlign w:val="center"/>
          </w:tcPr>
          <w:p w14:paraId="1A92B6E2">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69" w:type="pct"/>
            <w:noWrap w:val="0"/>
            <w:vAlign w:val="center"/>
          </w:tcPr>
          <w:p w14:paraId="6BA7CAAB">
            <w:pPr>
              <w:adjustRightInd w:val="0"/>
              <w:snapToGrid w:val="0"/>
              <w:jc w:val="center"/>
              <w:rPr>
                <w:rFonts w:hint="eastAsia"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臭气浓度</w:t>
            </w:r>
          </w:p>
        </w:tc>
        <w:tc>
          <w:tcPr>
            <w:tcW w:w="1249" w:type="pct"/>
            <w:vMerge w:val="continue"/>
            <w:noWrap w:val="0"/>
            <w:vAlign w:val="center"/>
          </w:tcPr>
          <w:p w14:paraId="2528CE30">
            <w:pPr>
              <w:adjustRightInd w:val="0"/>
              <w:snapToGrid w:val="0"/>
              <w:jc w:val="center"/>
              <w:rPr>
                <w:rFonts w:hint="eastAsia" w:ascii="Times New Roman" w:hAnsi="Times New Roman" w:eastAsia="宋体" w:cs="Times New Roman"/>
                <w:bCs/>
                <w:color w:val="000000" w:themeColor="text1"/>
                <w:szCs w:val="21"/>
                <w14:textFill>
                  <w14:solidFill>
                    <w14:schemeClr w14:val="tx1"/>
                  </w14:solidFill>
                </w14:textFill>
              </w:rPr>
            </w:pPr>
          </w:p>
        </w:tc>
        <w:tc>
          <w:tcPr>
            <w:tcW w:w="1759" w:type="pct"/>
            <w:vMerge w:val="continue"/>
            <w:noWrap w:val="0"/>
            <w:vAlign w:val="center"/>
          </w:tcPr>
          <w:p w14:paraId="2C2A9BA7">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r>
      <w:tr w14:paraId="1B08E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7AFC55BF">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7C2F7BD2">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vMerge w:val="restart"/>
            <w:noWrap w:val="0"/>
            <w:vAlign w:val="center"/>
          </w:tcPr>
          <w:p w14:paraId="2AB97125">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厂界</w:t>
            </w:r>
          </w:p>
        </w:tc>
        <w:tc>
          <w:tcPr>
            <w:tcW w:w="669" w:type="pct"/>
            <w:noWrap w:val="0"/>
            <w:vAlign w:val="center"/>
          </w:tcPr>
          <w:p w14:paraId="0705159B">
            <w:pPr>
              <w:pStyle w:val="58"/>
              <w:rPr>
                <w:rFonts w:ascii="Times New Roman" w:hAnsi="Times New Roman" w:eastAsia="宋体" w:cs="Times New Roman"/>
                <w:color w:val="000000" w:themeColor="text1"/>
                <w:kern w:val="0"/>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臭气浓度</w:t>
            </w:r>
          </w:p>
        </w:tc>
        <w:tc>
          <w:tcPr>
            <w:tcW w:w="1249" w:type="pct"/>
            <w:noWrap w:val="0"/>
            <w:vAlign w:val="center"/>
          </w:tcPr>
          <w:p w14:paraId="61CA23BC">
            <w:pPr>
              <w:jc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加强车间通排风</w:t>
            </w:r>
          </w:p>
        </w:tc>
        <w:tc>
          <w:tcPr>
            <w:tcW w:w="1759" w:type="pct"/>
            <w:noWrap w:val="0"/>
            <w:vAlign w:val="center"/>
          </w:tcPr>
          <w:p w14:paraId="3FE6D1C1">
            <w:pPr>
              <w:adjustRightInd w:val="0"/>
              <w:snapToGrid w:val="0"/>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臭气浓度达到《恶</w:t>
            </w:r>
          </w:p>
          <w:p w14:paraId="2D0BDFF3">
            <w:pPr>
              <w:adjustRightInd w:val="0"/>
              <w:snapToGrid w:val="0"/>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臭污染物排放标准》（</w:t>
            </w:r>
            <w:r>
              <w:rPr>
                <w:rFonts w:ascii="Times New Roman" w:hAnsi="Times New Roman" w:eastAsia="宋体" w:cs="Times New Roman"/>
                <w:color w:val="000000" w:themeColor="text1"/>
                <w14:textFill>
                  <w14:solidFill>
                    <w14:schemeClr w14:val="tx1"/>
                  </w14:solidFill>
                </w14:textFill>
              </w:rPr>
              <w:t>GB14554-93</w:t>
            </w:r>
            <w:r>
              <w:rPr>
                <w:rFonts w:hint="eastAsia" w:ascii="Times New Roman" w:hAnsi="Times New Roman" w:eastAsia="宋体" w:cs="Times New Roman"/>
                <w:color w:val="000000" w:themeColor="text1"/>
                <w14:textFill>
                  <w14:solidFill>
                    <w14:schemeClr w14:val="tx1"/>
                  </w14:solidFill>
                </w14:textFill>
              </w:rPr>
              <w:t>）二级标准新改</w:t>
            </w:r>
          </w:p>
          <w:p w14:paraId="1DDE5293">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扩建标准限值</w:t>
            </w:r>
          </w:p>
        </w:tc>
      </w:tr>
      <w:tr w14:paraId="1AA20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1" w:type="pct"/>
            <w:vMerge w:val="continue"/>
            <w:noWrap w:val="0"/>
            <w:vAlign w:val="center"/>
          </w:tcPr>
          <w:p w14:paraId="1A9A1208">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p>
        </w:tc>
        <w:tc>
          <w:tcPr>
            <w:tcW w:w="203" w:type="pct"/>
            <w:vMerge w:val="continue"/>
            <w:noWrap w:val="0"/>
            <w:vAlign w:val="center"/>
          </w:tcPr>
          <w:p w14:paraId="3386F3ED">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47" w:type="pct"/>
            <w:vMerge w:val="continue"/>
            <w:noWrap w:val="0"/>
            <w:vAlign w:val="center"/>
          </w:tcPr>
          <w:p w14:paraId="71DA36BE">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p>
        </w:tc>
        <w:tc>
          <w:tcPr>
            <w:tcW w:w="669" w:type="pct"/>
            <w:noWrap w:val="0"/>
            <w:vAlign w:val="center"/>
          </w:tcPr>
          <w:p w14:paraId="20E49FE8">
            <w:pPr>
              <w:pStyle w:val="58"/>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颗粒物</w:t>
            </w:r>
          </w:p>
        </w:tc>
        <w:tc>
          <w:tcPr>
            <w:tcW w:w="1249" w:type="pct"/>
            <w:noWrap w:val="0"/>
            <w:vAlign w:val="center"/>
          </w:tcPr>
          <w:p w14:paraId="6930C777">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加强车间通排风</w:t>
            </w:r>
          </w:p>
        </w:tc>
        <w:tc>
          <w:tcPr>
            <w:tcW w:w="1759" w:type="pct"/>
            <w:noWrap w:val="0"/>
            <w:vAlign w:val="center"/>
          </w:tcPr>
          <w:p w14:paraId="5857E114">
            <w:pPr>
              <w:adjustRightInd w:val="0"/>
              <w:snapToGrid w:val="0"/>
              <w:jc w:val="center"/>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执行广东省《大气污染物排放限值》（DB44/27</w:t>
            </w:r>
            <w:r>
              <w:rPr>
                <w:rFonts w:hint="eastAsia" w:ascii="Times New Roman" w:hAnsi="Times New Roman" w:eastAsia="宋体" w:cs="Times New Roman"/>
                <w:color w:val="000000" w:themeColor="text1"/>
                <w:sz w:val="21"/>
                <w:szCs w:val="21"/>
                <w14:textFill>
                  <w14:solidFill>
                    <w14:schemeClr w14:val="tx1"/>
                  </w14:solidFill>
                </w14:textFill>
              </w:rPr>
              <w:noBreakHyphen/>
            </w:r>
            <w:r>
              <w:rPr>
                <w:rFonts w:hint="eastAsia" w:ascii="Times New Roman" w:hAnsi="Times New Roman" w:eastAsia="宋体" w:cs="Times New Roman"/>
                <w:color w:val="000000" w:themeColor="text1"/>
                <w:sz w:val="21"/>
                <w:szCs w:val="21"/>
                <w14:textFill>
                  <w14:solidFill>
                    <w14:schemeClr w14:val="tx1"/>
                  </w14:solidFill>
                </w14:textFill>
              </w:rPr>
              <w:t>2001）第二时段无组织排放监控浓度限值（周界外浓度最高点≤1.0mg/m³）</w:t>
            </w:r>
          </w:p>
        </w:tc>
      </w:tr>
      <w:tr w14:paraId="7664DA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8" w:hRule="atLeast"/>
          <w:jc w:val="center"/>
        </w:trPr>
        <w:tc>
          <w:tcPr>
            <w:tcW w:w="471" w:type="pct"/>
            <w:noWrap w:val="0"/>
            <w:vAlign w:val="center"/>
          </w:tcPr>
          <w:p w14:paraId="1E9CDED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地表水环境</w:t>
            </w:r>
          </w:p>
        </w:tc>
        <w:tc>
          <w:tcPr>
            <w:tcW w:w="203" w:type="pct"/>
            <w:noWrap w:val="0"/>
            <w:vAlign w:val="center"/>
          </w:tcPr>
          <w:p w14:paraId="79B4CEBB">
            <w:pPr>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营运期</w:t>
            </w:r>
          </w:p>
        </w:tc>
        <w:tc>
          <w:tcPr>
            <w:tcW w:w="647" w:type="pct"/>
            <w:noWrap w:val="0"/>
            <w:vAlign w:val="center"/>
          </w:tcPr>
          <w:p w14:paraId="441ABD8E">
            <w:pPr>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生产废水</w:t>
            </w:r>
            <w:r>
              <w:rPr>
                <w:rFonts w:hint="eastAsia" w:ascii="Times New Roman" w:hAnsi="Times New Roman" w:eastAsia="宋体" w:cs="Times New Roman"/>
                <w:color w:val="000000" w:themeColor="text1"/>
                <w:lang w:val="en-US" w:eastAsia="zh-CN"/>
                <w14:textFill>
                  <w14:solidFill>
                    <w14:schemeClr w14:val="tx1"/>
                  </w14:solidFill>
                </w14:textFill>
              </w:rPr>
              <w:t>+生活污水</w:t>
            </w:r>
          </w:p>
        </w:tc>
        <w:tc>
          <w:tcPr>
            <w:tcW w:w="669" w:type="pct"/>
            <w:noWrap w:val="0"/>
            <w:vAlign w:val="center"/>
          </w:tcPr>
          <w:p w14:paraId="0E18410D">
            <w:pPr>
              <w:widowControl/>
              <w:jc w:val="left"/>
              <w:rPr>
                <w:rFonts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b w:val="0"/>
                <w:bCs w:val="0"/>
                <w:color w:val="000000" w:themeColor="text1"/>
                <w:szCs w:val="21"/>
                <w:lang w:bidi="ar"/>
                <w14:textFill>
                  <w14:solidFill>
                    <w14:schemeClr w14:val="tx1"/>
                  </w14:solidFill>
                </w14:textFill>
              </w:rPr>
              <w:t>pH</w:t>
            </w:r>
            <w:r>
              <w:rPr>
                <w:rFonts w:hint="eastAsia" w:ascii="Times New Roman" w:hAnsi="Times New Roman" w:eastAsia="宋体" w:cs="Times New Roman"/>
                <w:b/>
                <w:bCs/>
                <w:color w:val="000000" w:themeColor="text1"/>
                <w:szCs w:val="21"/>
                <w:lang w:eastAsia="zh-CN" w:bidi="ar"/>
                <w14:textFill>
                  <w14:solidFill>
                    <w14:schemeClr w14:val="tx1"/>
                  </w14:solidFill>
                </w14:textFill>
              </w:rPr>
              <w:t>、</w:t>
            </w:r>
            <w:r>
              <w:rPr>
                <w:rFonts w:ascii="Times New Roman" w:hAnsi="Times New Roman" w:eastAsia="宋体" w:cs="Times New Roman"/>
                <w:b w:val="0"/>
                <w:bCs w:val="0"/>
                <w:color w:val="000000" w:themeColor="text1"/>
                <w:kern w:val="0"/>
                <w:szCs w:val="21"/>
                <w:lang w:bidi="ar"/>
                <w14:textFill>
                  <w14:solidFill>
                    <w14:schemeClr w14:val="tx1"/>
                  </w14:solidFill>
                </w14:textFill>
              </w:rPr>
              <w:t>COD</w:t>
            </w:r>
            <w:r>
              <w:rPr>
                <w:rFonts w:ascii="Times New Roman" w:hAnsi="Times New Roman" w:eastAsia="宋体" w:cs="Times New Roman"/>
                <w:b w:val="0"/>
                <w:bCs w:val="0"/>
                <w:color w:val="000000" w:themeColor="text1"/>
                <w:kern w:val="0"/>
                <w:szCs w:val="21"/>
                <w:vertAlign w:val="subscript"/>
                <w:lang w:bidi="ar"/>
                <w14:textFill>
                  <w14:solidFill>
                    <w14:schemeClr w14:val="tx1"/>
                  </w14:solidFill>
                </w14:textFill>
              </w:rPr>
              <w:t>Cr</w:t>
            </w:r>
            <w:r>
              <w:rPr>
                <w:rFonts w:hint="eastAsia" w:ascii="Times New Roman" w:hAnsi="Times New Roman" w:eastAsia="宋体" w:cs="Times New Roman"/>
                <w:b w:val="0"/>
                <w:bCs w:val="0"/>
                <w:color w:val="000000" w:themeColor="text1"/>
                <w14:textFill>
                  <w14:solidFill>
                    <w14:schemeClr w14:val="tx1"/>
                  </w14:solidFill>
                </w14:textFill>
              </w:rPr>
              <w:t>、</w:t>
            </w:r>
            <w:r>
              <w:rPr>
                <w:rFonts w:ascii="Times New Roman" w:hAnsi="Times New Roman" w:eastAsia="宋体" w:cs="Times New Roman"/>
                <w:b w:val="0"/>
                <w:bCs w:val="0"/>
                <w:color w:val="000000" w:themeColor="text1"/>
                <w:kern w:val="0"/>
                <w:szCs w:val="21"/>
                <w:lang w:bidi="ar"/>
                <w14:textFill>
                  <w14:solidFill>
                    <w14:schemeClr w14:val="tx1"/>
                  </w14:solidFill>
                </w14:textFill>
              </w:rPr>
              <w:t>BOD₅</w:t>
            </w:r>
            <w:r>
              <w:rPr>
                <w:rFonts w:hint="eastAsia" w:ascii="Times New Roman" w:hAnsi="Times New Roman" w:eastAsia="宋体" w:cs="Times New Roman"/>
                <w:b w:val="0"/>
                <w:bCs w:val="0"/>
                <w:color w:val="000000" w:themeColor="text1"/>
                <w14:textFill>
                  <w14:solidFill>
                    <w14:schemeClr w14:val="tx1"/>
                  </w14:solidFill>
                </w14:textFill>
              </w:rPr>
              <w:t>、</w:t>
            </w:r>
            <w:r>
              <w:rPr>
                <w:rFonts w:ascii="Times New Roman" w:hAnsi="Times New Roman" w:eastAsia="宋体" w:cs="Times New Roman"/>
                <w:b w:val="0"/>
                <w:bCs w:val="0"/>
                <w:color w:val="000000" w:themeColor="text1"/>
                <w:kern w:val="0"/>
                <w:szCs w:val="21"/>
                <w:lang w:bidi="ar"/>
                <w14:textFill>
                  <w14:solidFill>
                    <w14:schemeClr w14:val="tx1"/>
                  </w14:solidFill>
                </w14:textFill>
              </w:rPr>
              <w:t>SS</w:t>
            </w:r>
            <w:r>
              <w:rPr>
                <w:rFonts w:hint="eastAsia" w:ascii="Times New Roman" w:hAnsi="Times New Roman" w:eastAsia="宋体" w:cs="Times New Roman"/>
                <w:b w:val="0"/>
                <w:bCs w:val="0"/>
                <w:color w:val="000000" w:themeColor="text1"/>
                <w14:textFill>
                  <w14:solidFill>
                    <w14:schemeClr w14:val="tx1"/>
                  </w14:solidFill>
                </w14:textFill>
              </w:rPr>
              <w:t>、</w:t>
            </w:r>
            <w:r>
              <w:rPr>
                <w:rFonts w:ascii="Times New Roman" w:hAnsi="Times New Roman" w:eastAsia="宋体" w:cs="Times New Roman"/>
                <w:b w:val="0"/>
                <w:bCs w:val="0"/>
                <w:color w:val="000000" w:themeColor="text1"/>
                <w:kern w:val="0"/>
                <w:szCs w:val="21"/>
                <w:lang w:bidi="ar"/>
                <w14:textFill>
                  <w14:solidFill>
                    <w14:schemeClr w14:val="tx1"/>
                  </w14:solidFill>
                </w14:textFill>
              </w:rPr>
              <w:t>NH₃</w:t>
            </w:r>
            <w:r>
              <w:rPr>
                <w:rFonts w:ascii="Times New Roman" w:hAnsi="Times New Roman" w:eastAsia="宋体" w:cs="Times New Roman"/>
                <w:b w:val="0"/>
                <w:bCs w:val="0"/>
                <w:color w:val="000000" w:themeColor="text1"/>
                <w:kern w:val="0"/>
                <w:szCs w:val="21"/>
                <w:lang w:bidi="ar"/>
                <w14:textFill>
                  <w14:solidFill>
                    <w14:schemeClr w14:val="tx1"/>
                  </w14:solidFill>
                </w14:textFill>
              </w:rPr>
              <w:noBreakHyphen/>
            </w:r>
            <w:r>
              <w:rPr>
                <w:rFonts w:ascii="Times New Roman" w:hAnsi="Times New Roman" w:eastAsia="宋体" w:cs="Times New Roman"/>
                <w:b w:val="0"/>
                <w:bCs w:val="0"/>
                <w:color w:val="000000" w:themeColor="text1"/>
                <w:kern w:val="0"/>
                <w:szCs w:val="21"/>
                <w:lang w:bidi="ar"/>
                <w14:textFill>
                  <w14:solidFill>
                    <w14:schemeClr w14:val="tx1"/>
                  </w14:solidFill>
                </w14:textFill>
              </w:rPr>
              <w:t>N</w:t>
            </w:r>
            <w:r>
              <w:rPr>
                <w:rFonts w:hint="eastAsia" w:ascii="Times New Roman" w:hAnsi="Times New Roman" w:eastAsia="宋体" w:cs="Times New Roman"/>
                <w:b w:val="0"/>
                <w:bCs w:val="0"/>
                <w:color w:val="000000" w:themeColor="text1"/>
                <w:kern w:val="0"/>
                <w:szCs w:val="21"/>
                <w:lang w:bidi="ar"/>
                <w14:textFill>
                  <w14:solidFill>
                    <w14:schemeClr w14:val="tx1"/>
                  </w14:solidFill>
                </w14:textFill>
              </w:rPr>
              <w:t>、</w:t>
            </w:r>
            <w:r>
              <w:rPr>
                <w:rFonts w:ascii="Times New Roman" w:hAnsi="Times New Roman" w:eastAsia="宋体" w:cs="Times New Roman"/>
                <w:b w:val="0"/>
                <w:bCs w:val="0"/>
                <w:color w:val="000000" w:themeColor="text1"/>
                <w:kern w:val="0"/>
                <w:szCs w:val="21"/>
                <w:lang w:bidi="ar"/>
                <w14:textFill>
                  <w14:solidFill>
                    <w14:schemeClr w14:val="tx1"/>
                  </w14:solidFill>
                </w14:textFill>
              </w:rPr>
              <w:t>LAS</w:t>
            </w:r>
            <w:r>
              <w:rPr>
                <w:rFonts w:hint="eastAsia" w:ascii="Times New Roman" w:hAnsi="Times New Roman" w:eastAsia="宋体" w:cs="Times New Roman"/>
                <w:b w:val="0"/>
                <w:bCs w:val="0"/>
                <w:color w:val="000000" w:themeColor="text1"/>
                <w:kern w:val="0"/>
                <w:szCs w:val="21"/>
                <w:lang w:bidi="ar"/>
                <w14:textFill>
                  <w14:solidFill>
                    <w14:schemeClr w14:val="tx1"/>
                  </w14:solidFill>
                </w14:textFill>
              </w:rPr>
              <w:t>、</w:t>
            </w:r>
            <w:r>
              <w:rPr>
                <w:rFonts w:hint="eastAsia" w:ascii="Times New Roman" w:hAnsi="Times New Roman" w:eastAsia="宋体" w:cs="Times New Roman"/>
                <w:b w:val="0"/>
                <w:bCs w:val="0"/>
                <w:color w:val="000000" w:themeColor="text1"/>
                <w:kern w:val="0"/>
                <w:szCs w:val="21"/>
                <w:lang w:val="en-US" w:eastAsia="zh-CN" w:bidi="ar"/>
                <w14:textFill>
                  <w14:solidFill>
                    <w14:schemeClr w14:val="tx1"/>
                  </w14:solidFill>
                </w14:textFill>
              </w:rPr>
              <w:t>元素磷</w:t>
            </w:r>
          </w:p>
        </w:tc>
        <w:tc>
          <w:tcPr>
            <w:tcW w:w="1249" w:type="pct"/>
            <w:noWrap w:val="0"/>
            <w:vAlign w:val="center"/>
          </w:tcPr>
          <w:p w14:paraId="147DB7D5">
            <w:pPr>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经自建污水站（</w:t>
            </w:r>
            <w:r>
              <w:rPr>
                <w:rFonts w:hint="eastAsia" w:ascii="Times New Roman" w:hAnsi="Times New Roman" w:eastAsia="宋体" w:cs="Times New Roman"/>
                <w:color w:val="000000" w:themeColor="text1"/>
                <w:szCs w:val="21"/>
                <w:lang w:eastAsia="zh-CN"/>
                <w14:textFill>
                  <w14:solidFill>
                    <w14:schemeClr w14:val="tx1"/>
                  </w14:solidFill>
                </w14:textFill>
              </w:rPr>
              <w:t>溶气气浮+A/O一体化</w:t>
            </w:r>
            <w:r>
              <w:rPr>
                <w:rFonts w:hint="eastAsia" w:ascii="Times New Roman" w:hAnsi="Times New Roman" w:eastAsia="宋体" w:cs="Times New Roman"/>
                <w:color w:val="000000" w:themeColor="text1"/>
                <w:szCs w:val="21"/>
                <w14:textFill>
                  <w14:solidFill>
                    <w14:schemeClr w14:val="tx1"/>
                  </w14:solidFill>
                </w14:textFill>
              </w:rPr>
              <w:t>）预处理后通过市政污水管网排入霞山水质净化厂</w:t>
            </w:r>
          </w:p>
        </w:tc>
        <w:tc>
          <w:tcPr>
            <w:tcW w:w="1759" w:type="pct"/>
            <w:noWrap w:val="0"/>
            <w:vAlign w:val="center"/>
          </w:tcPr>
          <w:p w14:paraId="1736482E">
            <w:pPr>
              <w:jc w:val="center"/>
              <w:rPr>
                <w:rFonts w:ascii="Times New Roman" w:hAnsi="Times New Roman" w:eastAsia="宋体" w:cs="Times New Roman"/>
                <w:color w:val="000000" w:themeColor="text1"/>
                <w14:textFill>
                  <w14:solidFill>
                    <w14:schemeClr w14:val="tx1"/>
                  </w14:solidFill>
                </w14:textFill>
              </w:rPr>
            </w:pPr>
          </w:p>
          <w:p w14:paraId="1A20D034">
            <w:pPr>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执行</w:t>
            </w:r>
            <w:r>
              <w:rPr>
                <w:rFonts w:ascii="Times New Roman" w:hAnsi="Times New Roman" w:eastAsia="宋体" w:cs="Times New Roman"/>
                <w:color w:val="000000" w:themeColor="text1"/>
                <w:szCs w:val="21"/>
                <w:lang w:bidi="ar"/>
                <w14:textFill>
                  <w14:solidFill>
                    <w14:schemeClr w14:val="tx1"/>
                  </w14:solidFill>
                </w14:textFill>
              </w:rPr>
              <w:t>广东省《水污染物排放限值》(DB44/26-2001)中第二时段三级标准</w:t>
            </w:r>
            <w:r>
              <w:rPr>
                <w:rFonts w:hint="eastAsia" w:ascii="Times New Roman" w:hAnsi="Times New Roman" w:eastAsia="宋体" w:cs="Times New Roman"/>
                <w:color w:val="000000" w:themeColor="text1"/>
                <w:szCs w:val="21"/>
                <w:lang w:bidi="ar"/>
                <w14:textFill>
                  <w14:solidFill>
                    <w14:schemeClr w14:val="tx1"/>
                  </w14:solidFill>
                </w14:textFill>
              </w:rPr>
              <w:t>及霞山水质净化厂进水标准较严值</w:t>
            </w:r>
          </w:p>
        </w:tc>
      </w:tr>
      <w:tr w14:paraId="56B405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471" w:type="pct"/>
            <w:noWrap w:val="0"/>
            <w:vAlign w:val="center"/>
          </w:tcPr>
          <w:p w14:paraId="26C31A83">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声环境</w:t>
            </w:r>
          </w:p>
        </w:tc>
        <w:tc>
          <w:tcPr>
            <w:tcW w:w="203" w:type="pct"/>
            <w:noWrap w:val="0"/>
            <w:vAlign w:val="center"/>
          </w:tcPr>
          <w:p w14:paraId="471AA505">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营运期</w:t>
            </w:r>
          </w:p>
        </w:tc>
        <w:tc>
          <w:tcPr>
            <w:tcW w:w="647" w:type="pct"/>
            <w:noWrap w:val="0"/>
            <w:vAlign w:val="center"/>
          </w:tcPr>
          <w:p w14:paraId="74818DF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设备噪声</w:t>
            </w:r>
          </w:p>
        </w:tc>
        <w:tc>
          <w:tcPr>
            <w:tcW w:w="669" w:type="pct"/>
            <w:noWrap w:val="0"/>
            <w:vAlign w:val="center"/>
          </w:tcPr>
          <w:p w14:paraId="5D89181B">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等效A声级</w:t>
            </w:r>
          </w:p>
        </w:tc>
        <w:tc>
          <w:tcPr>
            <w:tcW w:w="1249" w:type="pct"/>
            <w:noWrap w:val="0"/>
            <w:vAlign w:val="center"/>
          </w:tcPr>
          <w:p w14:paraId="6201E9D2">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选</w:t>
            </w:r>
            <w:r>
              <w:rPr>
                <w:rFonts w:hint="eastAsia" w:ascii="Times New Roman" w:hAnsi="Times New Roman" w:eastAsia="宋体" w:cs="Times New Roman"/>
                <w:color w:val="000000" w:themeColor="text1"/>
                <w14:textFill>
                  <w14:solidFill>
                    <w14:schemeClr w14:val="tx1"/>
                  </w14:solidFill>
                </w14:textFill>
              </w:rPr>
              <w:t>取</w:t>
            </w:r>
            <w:r>
              <w:rPr>
                <w:rFonts w:ascii="Times New Roman" w:hAnsi="Times New Roman" w:eastAsia="宋体" w:cs="Times New Roman"/>
                <w:color w:val="000000" w:themeColor="text1"/>
                <w14:textFill>
                  <w14:solidFill>
                    <w14:schemeClr w14:val="tx1"/>
                  </w14:solidFill>
                </w14:textFill>
              </w:rPr>
              <w:t>采用低噪声设备、并进行隔声、减振处理、车间墙体隔声</w:t>
            </w:r>
          </w:p>
        </w:tc>
        <w:tc>
          <w:tcPr>
            <w:tcW w:w="1759" w:type="pct"/>
            <w:noWrap w:val="0"/>
            <w:vAlign w:val="center"/>
          </w:tcPr>
          <w:p w14:paraId="096EBA10">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厂界噪声</w:t>
            </w:r>
            <w:r>
              <w:rPr>
                <w:rFonts w:hint="eastAsia" w:ascii="Times New Roman" w:hAnsi="Times New Roman" w:eastAsia="宋体" w:cs="Times New Roman"/>
                <w:color w:val="000000" w:themeColor="text1"/>
                <w:lang w:val="en-US" w:eastAsia="zh-CN"/>
                <w14:textFill>
                  <w14:solidFill>
                    <w14:schemeClr w14:val="tx1"/>
                  </w14:solidFill>
                </w14:textFill>
              </w:rPr>
              <w:t>执行</w:t>
            </w:r>
            <w:r>
              <w:rPr>
                <w:rFonts w:ascii="Times New Roman" w:hAnsi="Times New Roman" w:eastAsia="宋体" w:cs="Times New Roman"/>
                <w:color w:val="000000" w:themeColor="text1"/>
                <w14:textFill>
                  <w14:solidFill>
                    <w14:schemeClr w14:val="tx1"/>
                  </w14:solidFill>
                </w14:textFill>
              </w:rPr>
              <w:t>《工业企业厂界环境噪声排放标准》（GB12348-2008）</w:t>
            </w:r>
            <w:r>
              <w:rPr>
                <w:rFonts w:hint="eastAsia" w:ascii="Times New Roman" w:hAnsi="Times New Roman" w:eastAsia="宋体" w:cs="Times New Roman"/>
                <w:color w:val="000000" w:themeColor="text1"/>
                <w14:textFill>
                  <w14:solidFill>
                    <w14:schemeClr w14:val="tx1"/>
                  </w14:solidFill>
                </w14:textFill>
              </w:rPr>
              <w:t>2</w:t>
            </w:r>
            <w:r>
              <w:rPr>
                <w:rFonts w:ascii="Times New Roman" w:hAnsi="Times New Roman" w:eastAsia="宋体" w:cs="Times New Roman"/>
                <w:color w:val="000000" w:themeColor="text1"/>
                <w14:textFill>
                  <w14:solidFill>
                    <w14:schemeClr w14:val="tx1"/>
                  </w14:solidFill>
                </w14:textFill>
              </w:rPr>
              <w:t>类标准</w:t>
            </w:r>
          </w:p>
        </w:tc>
      </w:tr>
      <w:tr w14:paraId="337532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471" w:type="pct"/>
            <w:noWrap w:val="0"/>
            <w:vAlign w:val="center"/>
          </w:tcPr>
          <w:p w14:paraId="2F68E8AF">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电磁辐射</w:t>
            </w:r>
          </w:p>
        </w:tc>
        <w:tc>
          <w:tcPr>
            <w:tcW w:w="203" w:type="pct"/>
            <w:noWrap w:val="0"/>
            <w:vAlign w:val="center"/>
          </w:tcPr>
          <w:p w14:paraId="6EB5994A">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w:t>
            </w:r>
          </w:p>
        </w:tc>
        <w:tc>
          <w:tcPr>
            <w:tcW w:w="647" w:type="pct"/>
            <w:noWrap w:val="0"/>
            <w:vAlign w:val="center"/>
          </w:tcPr>
          <w:p w14:paraId="3887243C">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669" w:type="pct"/>
            <w:noWrap w:val="0"/>
            <w:vAlign w:val="center"/>
          </w:tcPr>
          <w:p w14:paraId="3BE0761E">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1249" w:type="pct"/>
            <w:noWrap w:val="0"/>
            <w:vAlign w:val="center"/>
          </w:tcPr>
          <w:p w14:paraId="21A18ED5">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c>
          <w:tcPr>
            <w:tcW w:w="1759" w:type="pct"/>
            <w:noWrap w:val="0"/>
            <w:vAlign w:val="center"/>
          </w:tcPr>
          <w:p w14:paraId="65C74277">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w:t>
            </w:r>
          </w:p>
        </w:tc>
      </w:tr>
      <w:tr w14:paraId="764B0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471" w:type="pct"/>
            <w:noWrap w:val="0"/>
            <w:vAlign w:val="center"/>
          </w:tcPr>
          <w:p w14:paraId="38B34C14">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固体废物</w:t>
            </w:r>
          </w:p>
        </w:tc>
        <w:tc>
          <w:tcPr>
            <w:tcW w:w="203" w:type="pct"/>
            <w:noWrap w:val="0"/>
            <w:vAlign w:val="center"/>
          </w:tcPr>
          <w:p w14:paraId="03BE53B9">
            <w:pPr>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营运期</w:t>
            </w:r>
          </w:p>
        </w:tc>
        <w:tc>
          <w:tcPr>
            <w:tcW w:w="4325" w:type="pct"/>
            <w:gridSpan w:val="4"/>
            <w:noWrap w:val="0"/>
            <w:vAlign w:val="center"/>
          </w:tcPr>
          <w:p w14:paraId="7829B120">
            <w:pPr>
              <w:ind w:firstLine="420" w:firstLineChars="200"/>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szCs w:val="21"/>
                <w:lang w:bidi="ar"/>
                <w14:textFill>
                  <w14:solidFill>
                    <w14:schemeClr w14:val="tx1"/>
                  </w14:solidFill>
                </w14:textFill>
              </w:rPr>
              <w:t>废包装桶、废包装材料、锅炉灰渣、</w:t>
            </w:r>
            <w:r>
              <w:rPr>
                <w:rFonts w:hint="eastAsia" w:ascii="Times New Roman" w:hAnsi="Times New Roman" w:eastAsia="宋体" w:cs="Times New Roman"/>
                <w:color w:val="000000" w:themeColor="text1"/>
                <w:szCs w:val="21"/>
                <w14:textFill>
                  <w14:solidFill>
                    <w14:schemeClr w14:val="tx1"/>
                  </w14:solidFill>
                </w14:textFill>
              </w:rPr>
              <w:t>收尘灰、</w:t>
            </w:r>
            <w:r>
              <w:rPr>
                <w:rFonts w:hint="eastAsia" w:ascii="Times New Roman" w:hAnsi="Times New Roman" w:eastAsia="宋体" w:cs="Times New Roman"/>
                <w:color w:val="000000" w:themeColor="text1"/>
                <w:spacing w:val="-10"/>
                <w:szCs w:val="21"/>
                <w14:textFill>
                  <w14:solidFill>
                    <w14:schemeClr w14:val="tx1"/>
                  </w14:solidFill>
                </w14:textFill>
              </w:rPr>
              <w:t>废布袋、</w:t>
            </w:r>
            <w:r>
              <w:rPr>
                <w:rFonts w:hint="eastAsia" w:ascii="Times New Roman" w:hAnsi="Times New Roman" w:eastAsia="宋体" w:cs="Times New Roman"/>
                <w:color w:val="000000" w:themeColor="text1"/>
                <w:szCs w:val="21"/>
                <w14:textFill>
                  <w14:solidFill>
                    <w14:schemeClr w14:val="tx1"/>
                  </w14:solidFill>
                </w14:textFill>
              </w:rPr>
              <w:t>废离子交换树脂</w:t>
            </w:r>
            <w:r>
              <w:rPr>
                <w:rFonts w:hint="eastAsia" w:ascii="Times New Roman" w:hAnsi="Times New Roman" w:eastAsia="宋体" w:cs="Times New Roman"/>
                <w:color w:val="000000" w:themeColor="text1"/>
                <w:kern w:val="0"/>
                <w14:textFill>
                  <w14:solidFill>
                    <w14:schemeClr w14:val="tx1"/>
                  </w14:solidFill>
                </w14:textFill>
              </w:rPr>
              <w:t>和废水处理污泥</w:t>
            </w:r>
            <w:r>
              <w:rPr>
                <w:rFonts w:ascii="Times New Roman" w:hAnsi="Times New Roman" w:eastAsia="宋体" w:cs="Times New Roman"/>
                <w:color w:val="000000" w:themeColor="text1"/>
                <w:kern w:val="0"/>
                <w14:textFill>
                  <w14:solidFill>
                    <w14:schemeClr w14:val="tx1"/>
                  </w14:solidFill>
                </w14:textFill>
              </w:rPr>
              <w:t>集中分类收集后储存</w:t>
            </w:r>
            <w:r>
              <w:rPr>
                <w:rFonts w:hint="eastAsia" w:ascii="Times New Roman" w:hAnsi="Times New Roman" w:eastAsia="宋体" w:cs="Times New Roman"/>
                <w:color w:val="000000" w:themeColor="text1"/>
                <w:kern w:val="0"/>
                <w14:textFill>
                  <w14:solidFill>
                    <w14:schemeClr w14:val="tx1"/>
                  </w14:solidFill>
                </w14:textFill>
              </w:rPr>
              <w:t>于</w:t>
            </w:r>
            <w:r>
              <w:rPr>
                <w:rFonts w:ascii="Times New Roman" w:hAnsi="Times New Roman" w:eastAsia="宋体" w:cs="Times New Roman"/>
                <w:color w:val="000000" w:themeColor="text1"/>
                <w:kern w:val="0"/>
                <w14:textFill>
                  <w14:solidFill>
                    <w14:schemeClr w14:val="tx1"/>
                  </w14:solidFill>
                </w14:textFill>
              </w:rPr>
              <w:t>一般固体废物暂存区，</w:t>
            </w:r>
            <w:r>
              <w:rPr>
                <w:rFonts w:hint="eastAsia" w:ascii="Times New Roman" w:hAnsi="Times New Roman" w:eastAsia="宋体" w:cs="Times New Roman"/>
                <w:color w:val="000000" w:themeColor="text1"/>
                <w:kern w:val="0"/>
                <w14:textFill>
                  <w14:solidFill>
                    <w14:schemeClr w14:val="tx1"/>
                  </w14:solidFill>
                </w14:textFill>
              </w:rPr>
              <w:t>最后交由</w:t>
            </w:r>
            <w:r>
              <w:rPr>
                <w:rFonts w:hint="eastAsia" w:ascii="Times New Roman" w:hAnsi="Times New Roman" w:eastAsia="宋体" w:cs="Times New Roman"/>
                <w:color w:val="000000" w:themeColor="text1"/>
                <w14:textFill>
                  <w14:solidFill>
                    <w14:schemeClr w14:val="tx1"/>
                  </w14:solidFill>
                </w14:textFill>
              </w:rPr>
              <w:t>一般固废处置单位处置</w:t>
            </w:r>
            <w:r>
              <w:rPr>
                <w:rFonts w:ascii="Times New Roman" w:hAnsi="Times New Roman" w:eastAsia="宋体" w:cs="Times New Roman"/>
                <w:color w:val="000000" w:themeColor="text1"/>
                <w:kern w:val="0"/>
                <w14:textFill>
                  <w14:solidFill>
                    <w14:schemeClr w14:val="tx1"/>
                  </w14:solidFill>
                </w14:textFill>
              </w:rPr>
              <w:t>。</w:t>
            </w:r>
          </w:p>
        </w:tc>
      </w:tr>
      <w:tr w14:paraId="58917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471" w:type="pct"/>
            <w:noWrap w:val="0"/>
            <w:vAlign w:val="center"/>
          </w:tcPr>
          <w:p w14:paraId="7BC00631">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土壤及地下水污染防治措施</w:t>
            </w:r>
          </w:p>
        </w:tc>
        <w:tc>
          <w:tcPr>
            <w:tcW w:w="4528" w:type="pct"/>
            <w:gridSpan w:val="5"/>
            <w:noWrap w:val="0"/>
            <w:vAlign w:val="center"/>
          </w:tcPr>
          <w:p w14:paraId="6D4FBAA1">
            <w:pPr>
              <w:spacing w:line="276" w:lineRule="auto"/>
              <w:ind w:firstLine="420" w:firstLine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项目一般固体废物暂存区和自建</w:t>
            </w:r>
            <w:r>
              <w:rPr>
                <w:rFonts w:hint="eastAsia" w:ascii="Times New Roman" w:hAnsi="Times New Roman" w:eastAsia="宋体" w:cs="Times New Roman"/>
                <w:color w:val="000000" w:themeColor="text1"/>
                <w:szCs w:val="21"/>
                <w14:textFill>
                  <w14:solidFill>
                    <w14:schemeClr w14:val="tx1"/>
                  </w14:solidFill>
                </w14:textFill>
              </w:rPr>
              <w:t>污水站</w:t>
            </w:r>
            <w:r>
              <w:rPr>
                <w:rFonts w:hint="eastAsia" w:ascii="Times New Roman" w:hAnsi="Times New Roman" w:eastAsia="宋体" w:cs="Times New Roman"/>
                <w:color w:val="000000" w:themeColor="text1"/>
                <w14:textFill>
                  <w14:solidFill>
                    <w14:schemeClr w14:val="tx1"/>
                  </w14:solidFill>
                </w14:textFill>
              </w:rPr>
              <w:t>在地面</w:t>
            </w:r>
            <w:r>
              <w:rPr>
                <w:rStyle w:val="39"/>
                <w:color w:val="000000" w:themeColor="text1"/>
                <w:kern w:val="0"/>
                <w:szCs w:val="20"/>
                <w14:textFill>
                  <w14:solidFill>
                    <w14:schemeClr w14:val="tx1"/>
                  </w14:solidFill>
                </w14:textFill>
              </w:rPr>
              <w:t>硬底化</w:t>
            </w:r>
            <w:r>
              <w:rPr>
                <w:rStyle w:val="39"/>
                <w:rFonts w:hint="eastAsia"/>
                <w:color w:val="000000" w:themeColor="text1"/>
                <w:kern w:val="0"/>
                <w:szCs w:val="20"/>
                <w14:textFill>
                  <w14:solidFill>
                    <w14:schemeClr w14:val="tx1"/>
                  </w14:solidFill>
                </w14:textFill>
              </w:rPr>
              <w:t>并做好</w:t>
            </w:r>
            <w:r>
              <w:rPr>
                <w:rFonts w:ascii="Times New Roman" w:hAnsi="Times New Roman" w:eastAsia="宋体" w:cs="Times New Roman"/>
                <w:color w:val="000000" w:themeColor="text1"/>
                <w:szCs w:val="21"/>
                <w14:textFill>
                  <w14:solidFill>
                    <w14:schemeClr w14:val="tx1"/>
                  </w14:solidFill>
                </w14:textFill>
              </w:rPr>
              <w:t>防渗处理</w:t>
            </w:r>
            <w:r>
              <w:rPr>
                <w:rStyle w:val="39"/>
                <w:color w:val="000000" w:themeColor="text1"/>
                <w:kern w:val="0"/>
                <w:szCs w:val="20"/>
                <w14:textFill>
                  <w14:solidFill>
                    <w14:schemeClr w14:val="tx1"/>
                  </w14:solidFill>
                </w14:textFill>
              </w:rPr>
              <w:t>，</w:t>
            </w:r>
            <w:r>
              <w:rPr>
                <w:rStyle w:val="39"/>
                <w:rFonts w:hint="eastAsia"/>
                <w:color w:val="000000" w:themeColor="text1"/>
                <w:kern w:val="0"/>
                <w:szCs w:val="20"/>
                <w14:textFill>
                  <w14:solidFill>
                    <w14:schemeClr w14:val="tx1"/>
                  </w14:solidFill>
                </w14:textFill>
              </w:rPr>
              <w:t>其它</w:t>
            </w:r>
            <w:r>
              <w:rPr>
                <w:rStyle w:val="39"/>
                <w:color w:val="000000" w:themeColor="text1"/>
                <w:kern w:val="0"/>
                <w:szCs w:val="20"/>
                <w14:textFill>
                  <w14:solidFill>
                    <w14:schemeClr w14:val="tx1"/>
                  </w14:solidFill>
                </w14:textFill>
              </w:rPr>
              <w:t>厂房地面</w:t>
            </w:r>
            <w:r>
              <w:rPr>
                <w:rStyle w:val="39"/>
                <w:rFonts w:hint="eastAsia"/>
                <w:color w:val="000000" w:themeColor="text1"/>
                <w:kern w:val="0"/>
                <w:szCs w:val="20"/>
                <w14:textFill>
                  <w14:solidFill>
                    <w14:schemeClr w14:val="tx1"/>
                  </w14:solidFill>
                </w14:textFill>
              </w:rPr>
              <w:t>做</w:t>
            </w:r>
            <w:r>
              <w:rPr>
                <w:rStyle w:val="39"/>
                <w:color w:val="000000" w:themeColor="text1"/>
                <w:kern w:val="0"/>
                <w:szCs w:val="20"/>
                <w14:textFill>
                  <w14:solidFill>
                    <w14:schemeClr w14:val="tx1"/>
                  </w14:solidFill>
                </w14:textFill>
              </w:rPr>
              <w:t>硬底化，确保各风险物质得到妥善</w:t>
            </w:r>
            <w:r>
              <w:rPr>
                <w:rStyle w:val="39"/>
                <w:rFonts w:hint="eastAsia"/>
                <w:color w:val="000000" w:themeColor="text1"/>
                <w:kern w:val="0"/>
                <w:szCs w:val="20"/>
                <w14:textFill>
                  <w14:solidFill>
                    <w14:schemeClr w14:val="tx1"/>
                  </w14:solidFill>
                </w14:textFill>
              </w:rPr>
              <w:t>地</w:t>
            </w:r>
            <w:r>
              <w:rPr>
                <w:rStyle w:val="39"/>
                <w:color w:val="000000" w:themeColor="text1"/>
                <w:kern w:val="0"/>
                <w:szCs w:val="20"/>
                <w14:textFill>
                  <w14:solidFill>
                    <w14:schemeClr w14:val="tx1"/>
                  </w14:solidFill>
                </w14:textFill>
              </w:rPr>
              <w:t>贮存和管理，不会对土壤及地下水环境造成不良影响。</w:t>
            </w:r>
          </w:p>
        </w:tc>
      </w:tr>
      <w:tr w14:paraId="64F8E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471" w:type="pct"/>
            <w:noWrap w:val="0"/>
            <w:vAlign w:val="center"/>
          </w:tcPr>
          <w:p w14:paraId="6BB35DC9">
            <w:pPr>
              <w:adjustRightInd w:val="0"/>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生态保护措施</w:t>
            </w:r>
          </w:p>
        </w:tc>
        <w:tc>
          <w:tcPr>
            <w:tcW w:w="4528" w:type="pct"/>
            <w:gridSpan w:val="5"/>
            <w:noWrap w:val="0"/>
            <w:vAlign w:val="center"/>
          </w:tcPr>
          <w:p w14:paraId="4CE9E94B">
            <w:pPr>
              <w:spacing w:line="276" w:lineRule="auto"/>
              <w:ind w:firstLine="420" w:firstLine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项目周边主要为工厂及道路，用地范围内无生态环境保护目标，因此项目不评价生态影响及生态环保措施。</w:t>
            </w:r>
          </w:p>
        </w:tc>
      </w:tr>
      <w:tr w14:paraId="7C3410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33" w:hRule="atLeast"/>
          <w:jc w:val="center"/>
        </w:trPr>
        <w:tc>
          <w:tcPr>
            <w:tcW w:w="471" w:type="pct"/>
            <w:noWrap w:val="0"/>
            <w:vAlign w:val="center"/>
          </w:tcPr>
          <w:p w14:paraId="58F66100">
            <w:pPr>
              <w:adjustRightInd w:val="0"/>
              <w:snapToGrid w:val="0"/>
              <w:jc w:val="center"/>
              <w:rPr>
                <w:rFonts w:ascii="Times New Roman" w:hAnsi="Times New Roman" w:eastAsia="宋体" w:cs="Times New Roman"/>
                <w:color w:val="000000" w:themeColor="text1"/>
                <w:spacing w:val="-8"/>
                <w:szCs w:val="21"/>
                <w14:textFill>
                  <w14:solidFill>
                    <w14:schemeClr w14:val="tx1"/>
                  </w14:solidFill>
                </w14:textFill>
              </w:rPr>
            </w:pPr>
            <w:r>
              <w:rPr>
                <w:rFonts w:ascii="Times New Roman" w:hAnsi="Times New Roman" w:eastAsia="宋体" w:cs="Times New Roman"/>
                <w:color w:val="000000" w:themeColor="text1"/>
                <w:spacing w:val="-8"/>
                <w:szCs w:val="21"/>
                <w14:textFill>
                  <w14:solidFill>
                    <w14:schemeClr w14:val="tx1"/>
                  </w14:solidFill>
                </w14:textFill>
              </w:rPr>
              <w:t>环境风险防范措施</w:t>
            </w:r>
          </w:p>
        </w:tc>
        <w:tc>
          <w:tcPr>
            <w:tcW w:w="4528" w:type="pct"/>
            <w:gridSpan w:val="5"/>
            <w:noWrap w:val="0"/>
            <w:vAlign w:val="center"/>
          </w:tcPr>
          <w:p w14:paraId="5F499502">
            <w:pPr>
              <w:spacing w:line="276" w:lineRule="auto"/>
              <w:ind w:firstLine="420" w:firstLineChars="200"/>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①</w:t>
            </w:r>
            <w:r>
              <w:rPr>
                <w:rFonts w:hint="eastAsia" w:ascii="Times New Roman" w:hAnsi="Times New Roman" w:eastAsia="宋体" w:cs="Times New Roman"/>
                <w:color w:val="000000" w:themeColor="text1"/>
                <w:szCs w:val="21"/>
                <w14:textFill>
                  <w14:solidFill>
                    <w14:schemeClr w14:val="tx1"/>
                  </w14:solidFill>
                </w14:textFill>
              </w:rPr>
              <w:t>突发火灾事故防范措施：在车间内设置“严禁烟火”的警示牌，尤其是在生物质成型燃料堆放的位置，在锅炉运行过程中做好火灾防护工作，禁止在工作区吸烟、使用明火；灭火器应布置在明显便于取用的地方，并定期维护检查，确保能正常使用；</w:t>
            </w:r>
            <w:r>
              <w:rPr>
                <w:rFonts w:ascii="Times New Roman" w:hAnsi="Times New Roman" w:eastAsia="宋体" w:cs="Times New Roman"/>
                <w:color w:val="000000" w:themeColor="text1"/>
                <w:szCs w:val="21"/>
                <w14:textFill>
                  <w14:solidFill>
                    <w14:schemeClr w14:val="tx1"/>
                  </w14:solidFill>
                </w14:textFill>
              </w:rPr>
              <w:t>电气设备和线路必须符合防火防爆要求，规范生产操作过程，避免产生撞击火花</w:t>
            </w:r>
            <w:r>
              <w:rPr>
                <w:rFonts w:hint="eastAsia" w:ascii="Times New Roman" w:hAnsi="Times New Roman" w:eastAsia="宋体" w:cs="Times New Roman"/>
                <w:color w:val="000000" w:themeColor="text1"/>
                <w:szCs w:val="21"/>
                <w14:textFill>
                  <w14:solidFill>
                    <w14:schemeClr w14:val="tx1"/>
                  </w14:solidFill>
                </w14:textFill>
              </w:rPr>
              <w:t>；一旦发生火灾爆炸，尽快使用消防设施扑救，疏散周围非急救人员，远离事故区。</w:t>
            </w:r>
          </w:p>
          <w:p w14:paraId="5FCC299E">
            <w:pPr>
              <w:spacing w:line="276" w:lineRule="auto"/>
              <w:ind w:firstLine="420" w:firstLineChars="200"/>
              <w:rPr>
                <w:rFonts w:hint="eastAsia"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②</w:t>
            </w:r>
            <w:r>
              <w:rPr>
                <w:rFonts w:hint="eastAsia" w:ascii="Times New Roman" w:hAnsi="Times New Roman" w:eastAsia="宋体" w:cs="Times New Roman"/>
                <w:color w:val="000000" w:themeColor="text1"/>
                <w:szCs w:val="21"/>
                <w14:textFill>
                  <w14:solidFill>
                    <w14:schemeClr w14:val="tx1"/>
                  </w14:solidFill>
                </w14:textFill>
              </w:rPr>
              <w:t>废气、废水处理设施事故防范措施：</w:t>
            </w:r>
            <w:r>
              <w:rPr>
                <w:rFonts w:ascii="Times New Roman" w:hAnsi="Times New Roman" w:eastAsia="宋体" w:cs="Times New Roman"/>
                <w:color w:val="000000" w:themeColor="text1"/>
                <w:szCs w:val="21"/>
                <w14:textFill>
                  <w14:solidFill>
                    <w14:schemeClr w14:val="tx1"/>
                  </w14:solidFill>
                </w14:textFill>
              </w:rPr>
              <w:t>定期对废气</w:t>
            </w:r>
            <w:r>
              <w:rPr>
                <w:rFonts w:hint="eastAsia" w:ascii="Times New Roman" w:hAnsi="Times New Roman" w:eastAsia="宋体" w:cs="Times New Roman"/>
                <w:color w:val="000000" w:themeColor="text1"/>
                <w:szCs w:val="21"/>
                <w14:textFill>
                  <w14:solidFill>
                    <w14:schemeClr w14:val="tx1"/>
                  </w14:solidFill>
                </w14:textFill>
              </w:rPr>
              <w:t>、废水</w:t>
            </w:r>
            <w:r>
              <w:rPr>
                <w:rFonts w:ascii="Times New Roman" w:hAnsi="Times New Roman" w:eastAsia="宋体" w:cs="Times New Roman"/>
                <w:color w:val="000000" w:themeColor="text1"/>
                <w:szCs w:val="21"/>
                <w14:textFill>
                  <w14:solidFill>
                    <w14:schemeClr w14:val="tx1"/>
                  </w14:solidFill>
                </w14:textFill>
              </w:rPr>
              <w:t>处理</w:t>
            </w:r>
            <w:r>
              <w:rPr>
                <w:rFonts w:hint="eastAsia" w:ascii="Times New Roman" w:hAnsi="Times New Roman" w:eastAsia="宋体" w:cs="Times New Roman"/>
                <w:color w:val="000000" w:themeColor="text1"/>
                <w:szCs w:val="21"/>
                <w14:textFill>
                  <w14:solidFill>
                    <w14:schemeClr w14:val="tx1"/>
                  </w14:solidFill>
                </w14:textFill>
              </w:rPr>
              <w:t>设施</w:t>
            </w:r>
            <w:r>
              <w:rPr>
                <w:rFonts w:ascii="Times New Roman" w:hAnsi="Times New Roman" w:eastAsia="宋体" w:cs="Times New Roman"/>
                <w:color w:val="000000" w:themeColor="text1"/>
                <w:szCs w:val="21"/>
                <w14:textFill>
                  <w14:solidFill>
                    <w14:schemeClr w14:val="tx1"/>
                  </w14:solidFill>
                </w14:textFill>
              </w:rPr>
              <w:t>进行巡检、调节、保养和维修，及时更换易坏或破损零部件，避免发生因设备损耗而出现的风险事故。</w:t>
            </w:r>
            <w:r>
              <w:rPr>
                <w:rFonts w:hint="eastAsia" w:ascii="Times New Roman" w:hAnsi="Times New Roman" w:eastAsia="宋体" w:cs="Times New Roman"/>
                <w:color w:val="000000" w:themeColor="text1"/>
                <w:szCs w:val="21"/>
                <w14:textFill>
                  <w14:solidFill>
                    <w14:schemeClr w14:val="tx1"/>
                  </w14:solidFill>
                </w14:textFill>
              </w:rPr>
              <w:t>对于废气、废水处理设施的非正常运行，应及时停止生产，并采取风险防范措施以控制和减少非正常工况下污染物进入环境。</w:t>
            </w:r>
          </w:p>
          <w:p w14:paraId="0B64724B">
            <w:pPr>
              <w:spacing w:line="276" w:lineRule="auto"/>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③</w:t>
            </w:r>
            <w:r>
              <w:rPr>
                <w:rFonts w:hint="eastAsia" w:ascii="Times New Roman" w:hAnsi="Times New Roman" w:eastAsia="宋体" w:cs="Times New Roman"/>
                <w:b w:val="0"/>
                <w:bCs w:val="0"/>
                <w:color w:val="000000" w:themeColor="text1"/>
                <w:lang w:val="en-US" w:eastAsia="zh-CN"/>
                <w14:textFill>
                  <w14:solidFill>
                    <w14:schemeClr w14:val="tx1"/>
                  </w14:solidFill>
                </w14:textFill>
              </w:rPr>
              <w:t>消防废水外泄的防范措施：火灾发生时，在灭火的同时，用沙袋构筑围堤将消防废水截堵在厂区内，并逐步引至污水排放口排入市政污水管，防止消防废水无序泄漏影响到厂区外部环境。本企业的消防废水污染物种类简单、总量有限，不存在难降解、强毒性成分，通过市政污水管网排入城市污水污水处理既不会对周边地表水体造成影响，也不会对受纳的城市污水处理厂造成冲击。</w:t>
            </w:r>
          </w:p>
          <w:p w14:paraId="11BDDFC7">
            <w:pPr>
              <w:spacing w:line="276" w:lineRule="auto"/>
              <w:ind w:firstLine="420" w:firstLineChars="200"/>
              <w:rPr>
                <w:rFonts w:hint="eastAsia"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④编制环境突发事件应急预案，并定期组织应急演练。</w:t>
            </w:r>
          </w:p>
        </w:tc>
      </w:tr>
      <w:tr w14:paraId="20B701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60" w:hRule="atLeast"/>
          <w:jc w:val="center"/>
        </w:trPr>
        <w:tc>
          <w:tcPr>
            <w:tcW w:w="471" w:type="pct"/>
            <w:noWrap w:val="0"/>
            <w:vAlign w:val="center"/>
          </w:tcPr>
          <w:p w14:paraId="49E8D90F">
            <w:pPr>
              <w:adjustRightInd w:val="0"/>
              <w:snapToGrid w:val="0"/>
              <w:jc w:val="center"/>
              <w:rPr>
                <w:rFonts w:ascii="Times New Roman" w:hAnsi="Times New Roman" w:eastAsia="宋体" w:cs="Times New Roman"/>
                <w:color w:val="000000" w:themeColor="text1"/>
                <w:spacing w:val="-8"/>
                <w:szCs w:val="21"/>
                <w14:textFill>
                  <w14:solidFill>
                    <w14:schemeClr w14:val="tx1"/>
                  </w14:solidFill>
                </w14:textFill>
              </w:rPr>
            </w:pPr>
            <w:r>
              <w:rPr>
                <w:rFonts w:ascii="Times New Roman" w:hAnsi="Times New Roman" w:eastAsia="宋体" w:cs="Times New Roman"/>
                <w:color w:val="000000" w:themeColor="text1"/>
                <w:spacing w:val="-8"/>
                <w:szCs w:val="21"/>
                <w14:textFill>
                  <w14:solidFill>
                    <w14:schemeClr w14:val="tx1"/>
                  </w14:solidFill>
                </w14:textFill>
              </w:rPr>
              <w:t>其他环境管理要求</w:t>
            </w:r>
          </w:p>
        </w:tc>
        <w:tc>
          <w:tcPr>
            <w:tcW w:w="4528" w:type="pct"/>
            <w:gridSpan w:val="5"/>
            <w:noWrap w:val="0"/>
            <w:vAlign w:val="center"/>
          </w:tcPr>
          <w:p w14:paraId="038432DC">
            <w:pPr>
              <w:ind w:firstLine="420" w:firstLineChars="20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项目建成后，应严格执行配套建设的环境保护设施与主体工程同时设计、同时施工、同时投入使用的环境保护“三同时”制度，应根据《关于规范建设单位自主开展建设项目竣工环境保护验收的通知》（环办环评函〔2017〕1235号）自主组织开展竣工环保验收，验收合格后方可投入正式生产。</w:t>
            </w:r>
          </w:p>
          <w:p w14:paraId="04AF843B">
            <w:pPr>
              <w:ind w:firstLine="420" w:firstLineChars="20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建设项目制定严格的规章制度，加强污染防治设施的管理和维护，减少污染物排放。完善厂内的环境风险应急措施，保证各类事故性排水得到收集和妥善处理，不排入外环境。应加强事故应急演练，防止环境污染事故，确保环境安全。</w:t>
            </w:r>
          </w:p>
          <w:p w14:paraId="57A4B7BC">
            <w:pPr>
              <w:ind w:firstLine="420" w:firstLineChars="20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建设项目发生实际排污行为之前，排污单位应当按《固定污染源排污许可分类管理名录》（2019年版）要求进行申请排污许可证，不得无证排污或不按证排污。排污许可证执行报告、台账记录以及自行监测执行情况等应作为开展建设项目环境影响后评价的重要依据。</w:t>
            </w:r>
          </w:p>
        </w:tc>
      </w:tr>
    </w:tbl>
    <w:p w14:paraId="51B684E3">
      <w:pPr>
        <w:pStyle w:val="28"/>
        <w:jc w:val="center"/>
        <w:outlineLvl w:val="0"/>
        <w:rPr>
          <w:rFonts w:hint="eastAsia" w:ascii="Times New Roman" w:hAnsi="Times New Roman" w:eastAsia="宋体"/>
          <w:b/>
          <w:bCs/>
          <w:snapToGrid w:val="0"/>
          <w:color w:val="000000" w:themeColor="text1"/>
          <w:sz w:val="30"/>
          <w:szCs w:val="30"/>
          <w:lang w:eastAsia="zh-CN"/>
          <w14:textFill>
            <w14:solidFill>
              <w14:schemeClr w14:val="tx1"/>
            </w14:solidFill>
          </w14:textFill>
        </w:rPr>
      </w:pPr>
      <w:r>
        <w:rPr>
          <w:rFonts w:ascii="Times New Roman" w:hAnsi="Times New Roman"/>
          <w:snapToGrid w:val="0"/>
          <w:color w:val="000000" w:themeColor="text1"/>
          <w14:textFill>
            <w14:solidFill>
              <w14:schemeClr w14:val="tx1"/>
            </w14:solidFill>
          </w14:textFill>
        </w:rPr>
        <w:br w:type="page"/>
      </w:r>
      <w:bookmarkStart w:id="20" w:name="_Hlk66729697"/>
      <w:bookmarkStart w:id="21" w:name="_Toc21676"/>
      <w:r>
        <w:rPr>
          <w:rFonts w:ascii="Times New Roman" w:hAnsi="Times New Roman"/>
          <w:b/>
          <w:bCs/>
          <w:snapToGrid w:val="0"/>
          <w:color w:val="000000" w:themeColor="text1"/>
          <w:sz w:val="30"/>
          <w:szCs w:val="30"/>
          <w14:textFill>
            <w14:solidFill>
              <w14:schemeClr w14:val="tx1"/>
            </w14:solidFill>
          </w14:textFill>
        </w:rPr>
        <w:t>六、结论</w:t>
      </w:r>
      <w:bookmarkEnd w:id="20"/>
      <w:bookmarkEnd w:id="21"/>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ABE00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58FF6A71">
            <w:pPr>
              <w:adjustRightInd w:val="0"/>
              <w:snapToGrid w:val="0"/>
              <w:spacing w:line="480" w:lineRule="exact"/>
              <w:ind w:firstLine="480" w:firstLineChars="200"/>
              <w:rPr>
                <w:rFonts w:hint="eastAsia"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综上所述，</w:t>
            </w:r>
            <w:r>
              <w:rPr>
                <w:rFonts w:hint="eastAsia" w:ascii="Times New Roman" w:hAnsi="Times New Roman" w:eastAsia="宋体" w:cs="Times New Roman"/>
                <w:color w:val="000000" w:themeColor="text1"/>
                <w:sz w:val="24"/>
                <w14:textFill>
                  <w14:solidFill>
                    <w14:schemeClr w14:val="tx1"/>
                  </w14:solidFill>
                </w14:textFill>
              </w:rPr>
              <w:t>湛江市品涤洗衣服务有限公司年清洗62万套被服和26万套台布建设项目</w:t>
            </w:r>
            <w:r>
              <w:rPr>
                <w:rFonts w:ascii="Times New Roman" w:hAnsi="Times New Roman" w:eastAsia="宋体" w:cs="Times New Roman"/>
                <w:color w:val="000000" w:themeColor="text1"/>
                <w:sz w:val="24"/>
                <w14:textFill>
                  <w14:solidFill>
                    <w14:schemeClr w14:val="tx1"/>
                  </w14:solidFill>
                </w14:textFill>
              </w:rPr>
              <w:t>符合国家和地方的产业政策，用地合法，选址合理。</w:t>
            </w: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运营产生的各种污染因素经过</w:t>
            </w:r>
            <w:r>
              <w:rPr>
                <w:rFonts w:hint="eastAsia" w:ascii="Times New Roman" w:hAnsi="Times New Roman" w:eastAsia="宋体" w:cs="Times New Roman"/>
                <w:color w:val="000000" w:themeColor="text1"/>
                <w:sz w:val="24"/>
                <w:lang w:val="en-US" w:eastAsia="zh-CN"/>
                <w14:textFill>
                  <w14:solidFill>
                    <w14:schemeClr w14:val="tx1"/>
                  </w14:solidFill>
                </w14:textFill>
              </w:rPr>
              <w:t>治理</w:t>
            </w:r>
            <w:r>
              <w:rPr>
                <w:rFonts w:ascii="Times New Roman" w:hAnsi="Times New Roman" w:eastAsia="宋体" w:cs="Times New Roman"/>
                <w:color w:val="000000" w:themeColor="text1"/>
                <w:sz w:val="24"/>
                <w14:textFill>
                  <w14:solidFill>
                    <w14:schemeClr w14:val="tx1"/>
                  </w14:solidFill>
                </w14:textFill>
              </w:rPr>
              <w:t>后可达到相关环境标准和环保法规的要求，对周围水环境、大气环境、声环境的影响较小。</w:t>
            </w: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在实施过程中，必须严格落实本评价提出的各项污染防治措施和相关管理规定，确保环保设施正常运转，确保污染物稳定达标排放，则</w:t>
            </w: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对环境的影响是可以控制的，在此前提条件下，从环境保护角度分析，</w:t>
            </w:r>
            <w:r>
              <w:rPr>
                <w:rFonts w:hint="eastAsia" w:ascii="Times New Roman" w:hAnsi="Times New Roman" w:eastAsia="宋体" w:cs="Times New Roman"/>
                <w:color w:val="000000" w:themeColor="text1"/>
                <w:sz w:val="24"/>
                <w14:textFill>
                  <w14:solidFill>
                    <w14:schemeClr w14:val="tx1"/>
                  </w14:solidFill>
                </w14:textFill>
              </w:rPr>
              <w:t>项目</w:t>
            </w:r>
            <w:r>
              <w:rPr>
                <w:rFonts w:ascii="Times New Roman" w:hAnsi="Times New Roman" w:eastAsia="宋体" w:cs="Times New Roman"/>
                <w:color w:val="000000" w:themeColor="text1"/>
                <w:sz w:val="24"/>
                <w14:textFill>
                  <w14:solidFill>
                    <w14:schemeClr w14:val="tx1"/>
                  </w14:solidFill>
                </w14:textFill>
              </w:rPr>
              <w:t>建设是可行的。</w:t>
            </w:r>
          </w:p>
          <w:p w14:paraId="15F20D4B">
            <w:pPr>
              <w:spacing w:line="480" w:lineRule="exact"/>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p>
          <w:p w14:paraId="4D0206DE">
            <w:pPr>
              <w:adjustRightInd w:val="0"/>
              <w:snapToGrid w:val="0"/>
              <w:spacing w:line="360" w:lineRule="auto"/>
              <w:ind w:firstLine="420" w:firstLineChars="200"/>
              <w:rPr>
                <w:rFonts w:ascii="Times New Roman" w:hAnsi="Times New Roman" w:eastAsia="宋体" w:cs="Times New Roman"/>
                <w:color w:val="000000" w:themeColor="text1"/>
                <w:szCs w:val="22"/>
                <w14:textFill>
                  <w14:solidFill>
                    <w14:schemeClr w14:val="tx1"/>
                  </w14:solidFill>
                </w14:textFill>
              </w:rPr>
            </w:pPr>
          </w:p>
          <w:p w14:paraId="115DF3C1">
            <w:pPr>
              <w:spacing w:line="360" w:lineRule="auto"/>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p>
          <w:p w14:paraId="7509ECCA">
            <w:pPr>
              <w:adjustRightInd w:val="0"/>
              <w:snapToGrid w:val="0"/>
              <w:spacing w:line="360" w:lineRule="auto"/>
              <w:ind w:firstLine="420" w:firstLineChars="200"/>
              <w:rPr>
                <w:rFonts w:ascii="Times New Roman" w:hAnsi="Times New Roman" w:eastAsia="宋体" w:cs="Times New Roman"/>
                <w:color w:val="000000" w:themeColor="text1"/>
                <w:szCs w:val="22"/>
                <w14:textFill>
                  <w14:solidFill>
                    <w14:schemeClr w14:val="tx1"/>
                  </w14:solidFill>
                </w14:textFill>
              </w:rPr>
            </w:pPr>
          </w:p>
          <w:p w14:paraId="48F9B3F2">
            <w:pPr>
              <w:spacing w:line="360" w:lineRule="auto"/>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p>
          <w:p w14:paraId="32F50013">
            <w:pPr>
              <w:adjustRightInd w:val="0"/>
              <w:snapToGrid w:val="0"/>
              <w:spacing w:line="360" w:lineRule="auto"/>
              <w:ind w:firstLine="420" w:firstLineChars="200"/>
              <w:rPr>
                <w:rFonts w:ascii="Times New Roman" w:hAnsi="Times New Roman" w:eastAsia="宋体" w:cs="Times New Roman"/>
                <w:color w:val="000000" w:themeColor="text1"/>
                <w:szCs w:val="22"/>
                <w14:textFill>
                  <w14:solidFill>
                    <w14:schemeClr w14:val="tx1"/>
                  </w14:solidFill>
                </w14:textFill>
              </w:rPr>
            </w:pPr>
          </w:p>
          <w:p w14:paraId="38237C71">
            <w:pPr>
              <w:spacing w:line="360" w:lineRule="auto"/>
              <w:ind w:firstLine="480" w:firstLineChars="200"/>
              <w:textAlignment w:val="baseline"/>
              <w:rPr>
                <w:rFonts w:ascii="Times New Roman" w:hAnsi="Times New Roman" w:eastAsia="宋体" w:cs="Times New Roman"/>
                <w:color w:val="000000" w:themeColor="text1"/>
                <w:sz w:val="24"/>
                <w14:textFill>
                  <w14:solidFill>
                    <w14:schemeClr w14:val="tx1"/>
                  </w14:solidFill>
                </w14:textFill>
              </w:rPr>
            </w:pPr>
          </w:p>
          <w:p w14:paraId="6BAE7C8D">
            <w:pPr>
              <w:adjustRightInd w:val="0"/>
              <w:snapToGrid w:val="0"/>
              <w:spacing w:line="360" w:lineRule="auto"/>
              <w:ind w:firstLine="420" w:firstLineChars="200"/>
              <w:rPr>
                <w:rFonts w:hint="eastAsia" w:ascii="Times New Roman" w:hAnsi="Times New Roman" w:eastAsia="宋体" w:cs="Times New Roman"/>
                <w:color w:val="000000" w:themeColor="text1"/>
                <w:szCs w:val="22"/>
                <w14:textFill>
                  <w14:solidFill>
                    <w14:schemeClr w14:val="tx1"/>
                  </w14:solidFill>
                </w14:textFill>
              </w:rPr>
            </w:pPr>
          </w:p>
          <w:p w14:paraId="5329D61D">
            <w:pPr>
              <w:adjustRightInd w:val="0"/>
              <w:snapToGrid w:val="0"/>
              <w:spacing w:line="360" w:lineRule="auto"/>
              <w:ind w:firstLine="5760" w:firstLineChars="2400"/>
              <w:rPr>
                <w:rFonts w:ascii="Times New Roman" w:hAnsi="Times New Roman" w:eastAsia="宋体" w:cs="Times New Roman"/>
                <w:color w:val="000000" w:themeColor="text1"/>
                <w:sz w:val="24"/>
                <w14:textFill>
                  <w14:solidFill>
                    <w14:schemeClr w14:val="tx1"/>
                  </w14:solidFill>
                </w14:textFill>
              </w:rPr>
            </w:pPr>
          </w:p>
        </w:tc>
      </w:tr>
    </w:tbl>
    <w:p w14:paraId="0AB82CC5">
      <w:pPr>
        <w:ind w:firstLine="366" w:firstLineChars="0"/>
        <w:rPr>
          <w:color w:val="000000" w:themeColor="text1"/>
          <w14:textFill>
            <w14:solidFill>
              <w14:schemeClr w14:val="tx1"/>
            </w14:solidFill>
          </w14:textFill>
        </w:rPr>
        <w:sectPr>
          <w:footerReference r:id="rId6" w:type="default"/>
          <w:pgSz w:w="11906" w:h="16838"/>
          <w:pgMar w:top="1701" w:right="1531" w:bottom="1701" w:left="1531" w:header="851" w:footer="851" w:gutter="0"/>
          <w:cols w:space="720" w:num="1"/>
          <w:docGrid w:linePitch="312" w:charSpace="0"/>
        </w:sectPr>
      </w:pPr>
    </w:p>
    <w:p w14:paraId="0A89E670">
      <w:pPr>
        <w:jc w:val="both"/>
        <w:rPr>
          <w:rFonts w:hint="eastAsia" w:ascii="Times New Roman" w:hAnsi="Times New Roman"/>
          <w:b/>
          <w:bCs/>
          <w:snapToGrid w:val="0"/>
          <w:color w:val="000000" w:themeColor="text1"/>
          <w:sz w:val="24"/>
          <w:szCs w:val="24"/>
          <w14:textFill>
            <w14:solidFill>
              <w14:schemeClr w14:val="tx1"/>
            </w14:solidFill>
          </w14:textFill>
        </w:rPr>
      </w:pPr>
      <w:bookmarkStart w:id="22" w:name="_Toc31711"/>
      <w:r>
        <w:rPr>
          <w:rFonts w:hint="eastAsia" w:ascii="Times New Roman" w:hAnsi="Times New Roman"/>
          <w:b/>
          <w:bCs/>
          <w:snapToGrid w:val="0"/>
          <w:color w:val="000000" w:themeColor="text1"/>
          <w:sz w:val="24"/>
          <w:szCs w:val="24"/>
          <w14:textFill>
            <w14:solidFill>
              <w14:schemeClr w14:val="tx1"/>
            </w14:solidFill>
          </w14:textFill>
        </w:rPr>
        <w:t>附表1排污信息清单</w:t>
      </w:r>
      <w:bookmarkEnd w:id="22"/>
    </w:p>
    <w:p w14:paraId="0D349AD7">
      <w:pPr>
        <w:snapToGrid w:val="0"/>
        <w:jc w:val="center"/>
        <w:rPr>
          <w:b/>
          <w:bCs/>
          <w:color w:val="000000" w:themeColor="text1"/>
          <w:kern w:val="0"/>
          <w:sz w:val="32"/>
          <w:szCs w:val="32"/>
          <w:lang w:bidi="ar"/>
          <w14:textFill>
            <w14:solidFill>
              <w14:schemeClr w14:val="tx1"/>
            </w14:solidFill>
          </w14:textFill>
        </w:rPr>
      </w:pPr>
      <w:r>
        <w:rPr>
          <w:b/>
          <w:bCs/>
          <w:color w:val="000000" w:themeColor="text1"/>
          <w:sz w:val="44"/>
          <w:szCs w:val="44"/>
          <w14:textFill>
            <w14:solidFill>
              <w14:schemeClr w14:val="tx1"/>
            </w14:solidFill>
          </w14:textFill>
        </w:rPr>
        <w:t>排污信息清单</w:t>
      </w:r>
    </w:p>
    <w:p w14:paraId="7BA0A929">
      <w:pPr>
        <w:jc w:val="center"/>
        <w:rPr>
          <w:b/>
          <w:bCs/>
          <w:color w:val="000000" w:themeColor="text1"/>
          <w:kern w:val="0"/>
          <w:sz w:val="32"/>
          <w:szCs w:val="32"/>
          <w:lang w:bidi="ar"/>
          <w14:textFill>
            <w14:solidFill>
              <w14:schemeClr w14:val="tx1"/>
            </w14:solidFill>
          </w14:textFill>
        </w:rPr>
      </w:pPr>
      <w:r>
        <w:rPr>
          <w:b/>
          <w:bCs/>
          <w:color w:val="000000" w:themeColor="text1"/>
          <w:kern w:val="0"/>
          <w:sz w:val="32"/>
          <w:szCs w:val="32"/>
          <w:lang w:bidi="ar"/>
          <w14:textFill>
            <w14:solidFill>
              <w14:schemeClr w14:val="tx1"/>
            </w14:solidFill>
          </w14:textFill>
        </w:rPr>
        <w:t>表1基本信息表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208"/>
        <w:gridCol w:w="1627"/>
        <w:gridCol w:w="718"/>
        <w:gridCol w:w="1267"/>
        <w:gridCol w:w="588"/>
        <w:gridCol w:w="854"/>
        <w:gridCol w:w="1443"/>
      </w:tblGrid>
      <w:tr w14:paraId="4DF1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522" w:type="dxa"/>
            <w:gridSpan w:val="8"/>
            <w:noWrap w:val="0"/>
            <w:vAlign w:val="center"/>
          </w:tcPr>
          <w:p w14:paraId="44837B8D">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基本信息</w:t>
            </w:r>
          </w:p>
        </w:tc>
      </w:tr>
      <w:tr w14:paraId="11E7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2"/>
            <w:noWrap w:val="0"/>
            <w:vAlign w:val="center"/>
          </w:tcPr>
          <w:p w14:paraId="6C88C5D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排污单位名称</w:t>
            </w:r>
          </w:p>
        </w:tc>
        <w:tc>
          <w:tcPr>
            <w:tcW w:w="2345" w:type="dxa"/>
            <w:gridSpan w:val="2"/>
            <w:noWrap w:val="0"/>
            <w:vAlign w:val="center"/>
          </w:tcPr>
          <w:p w14:paraId="421CA2F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湛江市品涤洗衣服务有限公司</w:t>
            </w:r>
          </w:p>
        </w:tc>
        <w:tc>
          <w:tcPr>
            <w:tcW w:w="1855" w:type="dxa"/>
            <w:gridSpan w:val="2"/>
            <w:noWrap w:val="0"/>
            <w:vAlign w:val="center"/>
          </w:tcPr>
          <w:p w14:paraId="5297A09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行业类别</w:t>
            </w:r>
          </w:p>
        </w:tc>
        <w:tc>
          <w:tcPr>
            <w:tcW w:w="2297" w:type="dxa"/>
            <w:gridSpan w:val="2"/>
            <w:noWrap w:val="0"/>
            <w:vAlign w:val="center"/>
          </w:tcPr>
          <w:p w14:paraId="2A6291E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D4430热力生产和供应</w:t>
            </w:r>
          </w:p>
        </w:tc>
      </w:tr>
      <w:tr w14:paraId="1897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2"/>
            <w:noWrap w:val="0"/>
            <w:vAlign w:val="center"/>
          </w:tcPr>
          <w:p w14:paraId="0BDBFAC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建设项目名称</w:t>
            </w:r>
          </w:p>
        </w:tc>
        <w:tc>
          <w:tcPr>
            <w:tcW w:w="2345" w:type="dxa"/>
            <w:gridSpan w:val="2"/>
            <w:noWrap w:val="0"/>
            <w:vAlign w:val="center"/>
          </w:tcPr>
          <w:p w14:paraId="7A65A61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湛江市品涤洗衣服务有限公司年清洗62万套被服和26万套台布建设项目</w:t>
            </w:r>
          </w:p>
        </w:tc>
        <w:tc>
          <w:tcPr>
            <w:tcW w:w="1855" w:type="dxa"/>
            <w:gridSpan w:val="2"/>
            <w:noWrap w:val="0"/>
            <w:vAlign w:val="center"/>
          </w:tcPr>
          <w:p w14:paraId="3EC713B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建设地点</w:t>
            </w:r>
          </w:p>
        </w:tc>
        <w:tc>
          <w:tcPr>
            <w:tcW w:w="2297" w:type="dxa"/>
            <w:gridSpan w:val="2"/>
            <w:noWrap w:val="0"/>
            <w:vAlign w:val="center"/>
          </w:tcPr>
          <w:p w14:paraId="75CF5C6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湛江市霞山区铁路粤西农垦供销总公司南山库区8381-1仓</w:t>
            </w:r>
          </w:p>
        </w:tc>
      </w:tr>
      <w:tr w14:paraId="47CA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gridSpan w:val="2"/>
            <w:noWrap w:val="0"/>
            <w:vAlign w:val="center"/>
          </w:tcPr>
          <w:p w14:paraId="1578927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排污许可证管理类别</w:t>
            </w:r>
          </w:p>
        </w:tc>
        <w:tc>
          <w:tcPr>
            <w:tcW w:w="2345" w:type="dxa"/>
            <w:gridSpan w:val="2"/>
            <w:noWrap w:val="0"/>
            <w:vAlign w:val="center"/>
          </w:tcPr>
          <w:p w14:paraId="38B04F5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登记管理</w:t>
            </w:r>
          </w:p>
        </w:tc>
        <w:tc>
          <w:tcPr>
            <w:tcW w:w="1855" w:type="dxa"/>
            <w:gridSpan w:val="2"/>
            <w:noWrap w:val="0"/>
            <w:vAlign w:val="center"/>
          </w:tcPr>
          <w:p w14:paraId="5C258F6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预计投产时间</w:t>
            </w:r>
          </w:p>
          <w:p w14:paraId="26940B9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（含试运行阶段）</w:t>
            </w:r>
          </w:p>
        </w:tc>
        <w:tc>
          <w:tcPr>
            <w:tcW w:w="2297" w:type="dxa"/>
            <w:gridSpan w:val="2"/>
            <w:noWrap w:val="0"/>
            <w:vAlign w:val="center"/>
          </w:tcPr>
          <w:p w14:paraId="26C3C7D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2026年10月</w:t>
            </w:r>
          </w:p>
        </w:tc>
      </w:tr>
      <w:tr w14:paraId="5398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noWrap w:val="0"/>
            <w:vAlign w:val="center"/>
          </w:tcPr>
          <w:p w14:paraId="6F523039">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主要产品及产能</w:t>
            </w:r>
          </w:p>
        </w:tc>
      </w:tr>
      <w:tr w14:paraId="0B81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930F70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序号</w:t>
            </w:r>
          </w:p>
        </w:tc>
        <w:tc>
          <w:tcPr>
            <w:tcW w:w="2835" w:type="dxa"/>
            <w:gridSpan w:val="2"/>
            <w:noWrap w:val="0"/>
            <w:vAlign w:val="center"/>
          </w:tcPr>
          <w:p w14:paraId="63EE1B9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主要产品名称</w:t>
            </w:r>
          </w:p>
        </w:tc>
        <w:tc>
          <w:tcPr>
            <w:tcW w:w="1985" w:type="dxa"/>
            <w:gridSpan w:val="2"/>
            <w:noWrap w:val="0"/>
            <w:vAlign w:val="center"/>
          </w:tcPr>
          <w:p w14:paraId="64C055D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设计生产能力</w:t>
            </w:r>
          </w:p>
        </w:tc>
        <w:tc>
          <w:tcPr>
            <w:tcW w:w="1442" w:type="dxa"/>
            <w:gridSpan w:val="2"/>
            <w:noWrap w:val="0"/>
            <w:vAlign w:val="center"/>
          </w:tcPr>
          <w:p w14:paraId="0A3EE70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计量单位</w:t>
            </w:r>
          </w:p>
        </w:tc>
        <w:tc>
          <w:tcPr>
            <w:tcW w:w="1443" w:type="dxa"/>
            <w:noWrap w:val="0"/>
            <w:vAlign w:val="center"/>
          </w:tcPr>
          <w:p w14:paraId="77DA02A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备注</w:t>
            </w:r>
          </w:p>
        </w:tc>
      </w:tr>
      <w:tr w14:paraId="55B6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5B7BA4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1</w:t>
            </w:r>
          </w:p>
        </w:tc>
        <w:tc>
          <w:tcPr>
            <w:tcW w:w="2835" w:type="dxa"/>
            <w:gridSpan w:val="2"/>
            <w:noWrap w:val="0"/>
            <w:vAlign w:val="center"/>
          </w:tcPr>
          <w:p w14:paraId="6276F7A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洗涤被服</w:t>
            </w:r>
          </w:p>
        </w:tc>
        <w:tc>
          <w:tcPr>
            <w:tcW w:w="1985" w:type="dxa"/>
            <w:gridSpan w:val="2"/>
            <w:noWrap w:val="0"/>
            <w:vAlign w:val="center"/>
          </w:tcPr>
          <w:p w14:paraId="72CEC3E5">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62</w:t>
            </w:r>
          </w:p>
        </w:tc>
        <w:tc>
          <w:tcPr>
            <w:tcW w:w="1442" w:type="dxa"/>
            <w:gridSpan w:val="2"/>
            <w:noWrap w:val="0"/>
            <w:vAlign w:val="center"/>
          </w:tcPr>
          <w:p w14:paraId="0764A77D">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万套/a</w:t>
            </w:r>
          </w:p>
        </w:tc>
        <w:tc>
          <w:tcPr>
            <w:tcW w:w="1443" w:type="dxa"/>
            <w:noWrap w:val="0"/>
            <w:vAlign w:val="center"/>
          </w:tcPr>
          <w:p w14:paraId="121A277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1514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CD82531">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w:t>
            </w:r>
          </w:p>
        </w:tc>
        <w:tc>
          <w:tcPr>
            <w:tcW w:w="2835" w:type="dxa"/>
            <w:gridSpan w:val="2"/>
            <w:noWrap w:val="0"/>
            <w:vAlign w:val="center"/>
          </w:tcPr>
          <w:p w14:paraId="51D0AF3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洗涤台布</w:t>
            </w:r>
          </w:p>
        </w:tc>
        <w:tc>
          <w:tcPr>
            <w:tcW w:w="1985" w:type="dxa"/>
            <w:gridSpan w:val="2"/>
            <w:noWrap w:val="0"/>
            <w:vAlign w:val="center"/>
          </w:tcPr>
          <w:p w14:paraId="1D55AFFB">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26</w:t>
            </w:r>
          </w:p>
        </w:tc>
        <w:tc>
          <w:tcPr>
            <w:tcW w:w="1442" w:type="dxa"/>
            <w:gridSpan w:val="2"/>
            <w:noWrap w:val="0"/>
            <w:vAlign w:val="center"/>
          </w:tcPr>
          <w:p w14:paraId="31F8081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万套/a</w:t>
            </w:r>
          </w:p>
        </w:tc>
        <w:tc>
          <w:tcPr>
            <w:tcW w:w="1443" w:type="dxa"/>
            <w:noWrap w:val="0"/>
            <w:vAlign w:val="center"/>
          </w:tcPr>
          <w:p w14:paraId="48BA56B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146D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9E46CDD">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3</w:t>
            </w:r>
          </w:p>
        </w:tc>
        <w:tc>
          <w:tcPr>
            <w:tcW w:w="2835" w:type="dxa"/>
            <w:gridSpan w:val="2"/>
            <w:noWrap w:val="0"/>
            <w:vAlign w:val="center"/>
          </w:tcPr>
          <w:p w14:paraId="2E81D76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985" w:type="dxa"/>
            <w:gridSpan w:val="2"/>
            <w:noWrap w:val="0"/>
            <w:vAlign w:val="center"/>
          </w:tcPr>
          <w:p w14:paraId="58B8452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442" w:type="dxa"/>
            <w:gridSpan w:val="2"/>
            <w:noWrap w:val="0"/>
            <w:vAlign w:val="center"/>
          </w:tcPr>
          <w:p w14:paraId="2B58378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443" w:type="dxa"/>
            <w:noWrap w:val="0"/>
            <w:vAlign w:val="center"/>
          </w:tcPr>
          <w:p w14:paraId="6DC1B8E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60D0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noWrap w:val="0"/>
            <w:vAlign w:val="center"/>
          </w:tcPr>
          <w:p w14:paraId="3E9ED655">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主要原辅材料及燃料</w:t>
            </w:r>
          </w:p>
        </w:tc>
      </w:tr>
      <w:tr w14:paraId="462E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6374BE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序号</w:t>
            </w:r>
          </w:p>
        </w:tc>
        <w:tc>
          <w:tcPr>
            <w:tcW w:w="2835" w:type="dxa"/>
            <w:gridSpan w:val="2"/>
            <w:noWrap w:val="0"/>
            <w:vAlign w:val="center"/>
          </w:tcPr>
          <w:p w14:paraId="0DD68A3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主要原料/辅料/</w:t>
            </w:r>
          </w:p>
          <w:p w14:paraId="69D5E72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燃料名称</w:t>
            </w:r>
          </w:p>
        </w:tc>
        <w:tc>
          <w:tcPr>
            <w:tcW w:w="1985" w:type="dxa"/>
            <w:gridSpan w:val="2"/>
            <w:noWrap w:val="0"/>
            <w:vAlign w:val="center"/>
          </w:tcPr>
          <w:p w14:paraId="1D75C5C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设计年使用量</w:t>
            </w:r>
          </w:p>
        </w:tc>
        <w:tc>
          <w:tcPr>
            <w:tcW w:w="1442" w:type="dxa"/>
            <w:gridSpan w:val="2"/>
            <w:noWrap w:val="0"/>
            <w:vAlign w:val="center"/>
          </w:tcPr>
          <w:p w14:paraId="6CF43E8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计量单位</w:t>
            </w:r>
          </w:p>
        </w:tc>
        <w:tc>
          <w:tcPr>
            <w:tcW w:w="1443" w:type="dxa"/>
            <w:noWrap w:val="0"/>
            <w:vAlign w:val="center"/>
          </w:tcPr>
          <w:p w14:paraId="6A2870D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备注</w:t>
            </w:r>
          </w:p>
        </w:tc>
      </w:tr>
      <w:tr w14:paraId="4FCD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22C1584D">
            <w:pPr>
              <w:widowControl/>
              <w:snapToGrid w:val="0"/>
              <w:jc w:val="center"/>
              <w:textAlignment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1</w:t>
            </w:r>
          </w:p>
        </w:tc>
        <w:tc>
          <w:tcPr>
            <w:tcW w:w="2835" w:type="dxa"/>
            <w:gridSpan w:val="2"/>
            <w:noWrap w:val="0"/>
            <w:vAlign w:val="center"/>
          </w:tcPr>
          <w:p w14:paraId="3FF3DBC6">
            <w:pPr>
              <w:snapToGrid w:val="0"/>
              <w:jc w:val="center"/>
              <w:rPr>
                <w:rFonts w:ascii="Times New Roman" w:hAnsi="Times New Roman" w:eastAsia="宋体" w:cs="宋体"/>
                <w:color w:val="000000" w:themeColor="text1"/>
                <w:szCs w:val="21"/>
                <w14:textFill>
                  <w14:solidFill>
                    <w14:schemeClr w14:val="tx1"/>
                  </w14:solidFill>
                </w14:textFill>
              </w:rPr>
            </w:pPr>
            <w:r>
              <w:rPr>
                <w:rFonts w:ascii="Times New Roman" w:hAnsi="Times New Roman" w:eastAsia="宋体" w:cs="宋体"/>
                <w:color w:val="000000" w:themeColor="text1"/>
                <w:szCs w:val="21"/>
                <w14:textFill>
                  <w14:solidFill>
                    <w14:schemeClr w14:val="tx1"/>
                  </w14:solidFill>
                </w14:textFill>
              </w:rPr>
              <w:t>生物质成型燃料</w:t>
            </w:r>
          </w:p>
        </w:tc>
        <w:tc>
          <w:tcPr>
            <w:tcW w:w="1985" w:type="dxa"/>
            <w:gridSpan w:val="2"/>
            <w:noWrap w:val="0"/>
            <w:vAlign w:val="center"/>
          </w:tcPr>
          <w:p w14:paraId="46A25B97">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1083.35</w:t>
            </w:r>
          </w:p>
        </w:tc>
        <w:tc>
          <w:tcPr>
            <w:tcW w:w="1442" w:type="dxa"/>
            <w:gridSpan w:val="2"/>
            <w:noWrap w:val="0"/>
            <w:vAlign w:val="center"/>
          </w:tcPr>
          <w:p w14:paraId="0B286D1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t/a</w:t>
            </w:r>
          </w:p>
        </w:tc>
        <w:tc>
          <w:tcPr>
            <w:tcW w:w="1443" w:type="dxa"/>
            <w:noWrap w:val="0"/>
            <w:vAlign w:val="center"/>
          </w:tcPr>
          <w:p w14:paraId="7CA11CD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4D73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35CBE089">
            <w:pPr>
              <w:widowControl/>
              <w:snapToGrid w:val="0"/>
              <w:jc w:val="center"/>
              <w:textAlignment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w:t>
            </w:r>
          </w:p>
        </w:tc>
        <w:tc>
          <w:tcPr>
            <w:tcW w:w="2835" w:type="dxa"/>
            <w:gridSpan w:val="2"/>
            <w:noWrap w:val="0"/>
            <w:vAlign w:val="center"/>
          </w:tcPr>
          <w:p w14:paraId="46A90A13">
            <w:pPr>
              <w:adjustRightInd w:val="0"/>
              <w:snapToGrid w:val="0"/>
              <w:jc w:val="center"/>
              <w:rPr>
                <w:rFonts w:hint="eastAsia"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无磷洗衣粉（液）</w:t>
            </w:r>
          </w:p>
        </w:tc>
        <w:tc>
          <w:tcPr>
            <w:tcW w:w="1985" w:type="dxa"/>
            <w:gridSpan w:val="2"/>
            <w:noWrap w:val="0"/>
            <w:vAlign w:val="center"/>
          </w:tcPr>
          <w:p w14:paraId="1F4F3FA5">
            <w:pPr>
              <w:adjustRightInd w:val="0"/>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6</w:t>
            </w:r>
          </w:p>
        </w:tc>
        <w:tc>
          <w:tcPr>
            <w:tcW w:w="1442" w:type="dxa"/>
            <w:gridSpan w:val="2"/>
            <w:noWrap w:val="0"/>
            <w:vAlign w:val="center"/>
          </w:tcPr>
          <w:p w14:paraId="533CC08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t/a</w:t>
            </w:r>
          </w:p>
        </w:tc>
        <w:tc>
          <w:tcPr>
            <w:tcW w:w="1443" w:type="dxa"/>
            <w:noWrap w:val="0"/>
            <w:vAlign w:val="center"/>
          </w:tcPr>
          <w:p w14:paraId="29818E3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1C44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3A41B689">
            <w:pPr>
              <w:widowControl/>
              <w:snapToGrid w:val="0"/>
              <w:jc w:val="center"/>
              <w:textAlignment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3</w:t>
            </w:r>
          </w:p>
        </w:tc>
        <w:tc>
          <w:tcPr>
            <w:tcW w:w="2835" w:type="dxa"/>
            <w:gridSpan w:val="2"/>
            <w:noWrap w:val="0"/>
            <w:vAlign w:val="center"/>
          </w:tcPr>
          <w:p w14:paraId="0CD313F6">
            <w:pPr>
              <w:adjustRightInd w:val="0"/>
              <w:snapToGrid w:val="0"/>
              <w:jc w:val="center"/>
              <w:rPr>
                <w:rFonts w:hint="eastAsia"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助洗剂</w:t>
            </w:r>
          </w:p>
        </w:tc>
        <w:tc>
          <w:tcPr>
            <w:tcW w:w="1985" w:type="dxa"/>
            <w:gridSpan w:val="2"/>
            <w:noWrap w:val="0"/>
            <w:vAlign w:val="center"/>
          </w:tcPr>
          <w:p w14:paraId="70707E56">
            <w:pPr>
              <w:adjustRightInd w:val="0"/>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2.5</w:t>
            </w:r>
          </w:p>
        </w:tc>
        <w:tc>
          <w:tcPr>
            <w:tcW w:w="1442" w:type="dxa"/>
            <w:gridSpan w:val="2"/>
            <w:noWrap w:val="0"/>
            <w:vAlign w:val="center"/>
          </w:tcPr>
          <w:p w14:paraId="51AA5AF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t/a</w:t>
            </w:r>
          </w:p>
        </w:tc>
        <w:tc>
          <w:tcPr>
            <w:tcW w:w="1443" w:type="dxa"/>
            <w:noWrap w:val="0"/>
            <w:vAlign w:val="center"/>
          </w:tcPr>
          <w:p w14:paraId="21CAD08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2CC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A451EFD">
            <w:pPr>
              <w:widowControl/>
              <w:snapToGrid w:val="0"/>
              <w:jc w:val="center"/>
              <w:textAlignment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4</w:t>
            </w:r>
          </w:p>
        </w:tc>
        <w:tc>
          <w:tcPr>
            <w:tcW w:w="2835" w:type="dxa"/>
            <w:gridSpan w:val="2"/>
            <w:noWrap w:val="0"/>
            <w:vAlign w:val="center"/>
          </w:tcPr>
          <w:p w14:paraId="0FB69D89">
            <w:pPr>
              <w:jc w:val="center"/>
              <w:rPr>
                <w:rFonts w:hint="eastAsia"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消毒剂（氯间二甲基苯酚）</w:t>
            </w:r>
          </w:p>
        </w:tc>
        <w:tc>
          <w:tcPr>
            <w:tcW w:w="1985" w:type="dxa"/>
            <w:gridSpan w:val="2"/>
            <w:noWrap w:val="0"/>
            <w:vAlign w:val="center"/>
          </w:tcPr>
          <w:p w14:paraId="4D754D27">
            <w:pPr>
              <w:adjustRightInd w:val="0"/>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7.5</w:t>
            </w:r>
          </w:p>
        </w:tc>
        <w:tc>
          <w:tcPr>
            <w:tcW w:w="1442" w:type="dxa"/>
            <w:gridSpan w:val="2"/>
            <w:noWrap w:val="0"/>
            <w:vAlign w:val="center"/>
          </w:tcPr>
          <w:p w14:paraId="5C154FE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t/a</w:t>
            </w:r>
          </w:p>
        </w:tc>
        <w:tc>
          <w:tcPr>
            <w:tcW w:w="1443" w:type="dxa"/>
            <w:noWrap w:val="0"/>
            <w:vAlign w:val="center"/>
          </w:tcPr>
          <w:p w14:paraId="3758C47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1572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E173E92">
            <w:pPr>
              <w:widowControl/>
              <w:snapToGrid w:val="0"/>
              <w:jc w:val="center"/>
              <w:textAlignment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5</w:t>
            </w:r>
          </w:p>
        </w:tc>
        <w:tc>
          <w:tcPr>
            <w:tcW w:w="2835" w:type="dxa"/>
            <w:gridSpan w:val="2"/>
            <w:noWrap w:val="0"/>
            <w:vAlign w:val="center"/>
          </w:tcPr>
          <w:p w14:paraId="199ECA47">
            <w:pPr>
              <w:jc w:val="center"/>
              <w:rPr>
                <w:rFonts w:hint="eastAsia" w:ascii="Times New Roman" w:hAnsi="Times New Roman" w:eastAsia="宋体" w:cs="宋体"/>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柴油</w:t>
            </w:r>
          </w:p>
        </w:tc>
        <w:tc>
          <w:tcPr>
            <w:tcW w:w="1985" w:type="dxa"/>
            <w:gridSpan w:val="2"/>
            <w:noWrap w:val="0"/>
            <w:vAlign w:val="center"/>
          </w:tcPr>
          <w:p w14:paraId="041C08C7">
            <w:pPr>
              <w:adjustRightInd w:val="0"/>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0.1</w:t>
            </w:r>
          </w:p>
        </w:tc>
        <w:tc>
          <w:tcPr>
            <w:tcW w:w="1442" w:type="dxa"/>
            <w:gridSpan w:val="2"/>
            <w:noWrap w:val="0"/>
            <w:vAlign w:val="center"/>
          </w:tcPr>
          <w:p w14:paraId="41E25DE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t/a</w:t>
            </w:r>
          </w:p>
        </w:tc>
        <w:tc>
          <w:tcPr>
            <w:tcW w:w="1443" w:type="dxa"/>
            <w:noWrap w:val="0"/>
            <w:vAlign w:val="center"/>
          </w:tcPr>
          <w:p w14:paraId="6A05ED9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bl>
    <w:p w14:paraId="7508513D">
      <w:pPr>
        <w:widowControl/>
        <w:jc w:val="left"/>
        <w:rPr>
          <w:color w:val="000000" w:themeColor="text1"/>
          <w:kern w:val="0"/>
          <w:sz w:val="32"/>
          <w:szCs w:val="32"/>
          <w:lang w:bidi="ar"/>
          <w14:textFill>
            <w14:solidFill>
              <w14:schemeClr w14:val="tx1"/>
            </w14:solidFill>
          </w14:textFill>
        </w:rPr>
      </w:pPr>
    </w:p>
    <w:p w14:paraId="2CB97FF5">
      <w:pPr>
        <w:jc w:val="center"/>
        <w:rPr>
          <w:b/>
          <w:bCs/>
          <w:color w:val="000000" w:themeColor="text1"/>
          <w:kern w:val="0"/>
          <w:sz w:val="32"/>
          <w:szCs w:val="32"/>
          <w:lang w:bidi="ar"/>
          <w14:textFill>
            <w14:solidFill>
              <w14:schemeClr w14:val="tx1"/>
            </w14:solidFill>
          </w14:textFill>
        </w:rPr>
      </w:pPr>
      <w:r>
        <w:rPr>
          <w:b/>
          <w:bCs/>
          <w:color w:val="000000" w:themeColor="text1"/>
          <w:kern w:val="0"/>
          <w:sz w:val="32"/>
          <w:szCs w:val="32"/>
          <w:lang w:bidi="ar"/>
          <w14:textFill>
            <w14:solidFill>
              <w14:schemeClr w14:val="tx1"/>
            </w14:solidFill>
          </w14:textFill>
        </w:rPr>
        <w:t>表2大气污染物有组织排放信息表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1106"/>
        <w:gridCol w:w="544"/>
        <w:gridCol w:w="417"/>
        <w:gridCol w:w="943"/>
        <w:gridCol w:w="320"/>
        <w:gridCol w:w="937"/>
        <w:gridCol w:w="986"/>
        <w:gridCol w:w="185"/>
        <w:gridCol w:w="420"/>
        <w:gridCol w:w="794"/>
        <w:gridCol w:w="895"/>
      </w:tblGrid>
      <w:tr w14:paraId="7526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gridSpan w:val="2"/>
            <w:noWrap w:val="0"/>
            <w:vAlign w:val="center"/>
          </w:tcPr>
          <w:p w14:paraId="2B24708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排放口名称</w:t>
            </w:r>
          </w:p>
        </w:tc>
        <w:tc>
          <w:tcPr>
            <w:tcW w:w="6441" w:type="dxa"/>
            <w:gridSpan w:val="10"/>
            <w:noWrap w:val="0"/>
            <w:vAlign w:val="center"/>
          </w:tcPr>
          <w:p w14:paraId="7BA4B51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锅炉废气排放口</w:t>
            </w:r>
          </w:p>
        </w:tc>
      </w:tr>
      <w:tr w14:paraId="08DD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gridSpan w:val="2"/>
            <w:noWrap w:val="0"/>
            <w:vAlign w:val="center"/>
          </w:tcPr>
          <w:p w14:paraId="170F2D3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排放口类型</w:t>
            </w:r>
          </w:p>
        </w:tc>
        <w:tc>
          <w:tcPr>
            <w:tcW w:w="2224" w:type="dxa"/>
            <w:gridSpan w:val="4"/>
            <w:noWrap w:val="0"/>
            <w:vAlign w:val="center"/>
          </w:tcPr>
          <w:p w14:paraId="3201393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主要排放口</w:t>
            </w:r>
          </w:p>
        </w:tc>
        <w:tc>
          <w:tcPr>
            <w:tcW w:w="2108" w:type="dxa"/>
            <w:gridSpan w:val="3"/>
            <w:noWrap w:val="0"/>
            <w:vAlign w:val="center"/>
          </w:tcPr>
          <w:p w14:paraId="5248304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排放口编号</w:t>
            </w:r>
          </w:p>
        </w:tc>
        <w:tc>
          <w:tcPr>
            <w:tcW w:w="2109" w:type="dxa"/>
            <w:gridSpan w:val="3"/>
            <w:noWrap w:val="0"/>
            <w:vAlign w:val="center"/>
          </w:tcPr>
          <w:p w14:paraId="6ECD77B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DA001</w:t>
            </w:r>
          </w:p>
        </w:tc>
      </w:tr>
      <w:tr w14:paraId="6A62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gridSpan w:val="2"/>
            <w:noWrap w:val="0"/>
            <w:vAlign w:val="center"/>
          </w:tcPr>
          <w:p w14:paraId="318B845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排气筒高度（m）</w:t>
            </w:r>
          </w:p>
        </w:tc>
        <w:tc>
          <w:tcPr>
            <w:tcW w:w="2224" w:type="dxa"/>
            <w:gridSpan w:val="4"/>
            <w:noWrap w:val="0"/>
            <w:vAlign w:val="center"/>
          </w:tcPr>
          <w:p w14:paraId="6C29AF53">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35</w:t>
            </w:r>
          </w:p>
        </w:tc>
        <w:tc>
          <w:tcPr>
            <w:tcW w:w="2108" w:type="dxa"/>
            <w:gridSpan w:val="3"/>
            <w:noWrap w:val="0"/>
            <w:vAlign w:val="center"/>
          </w:tcPr>
          <w:p w14:paraId="74AA1DD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排气筒内径（m）</w:t>
            </w:r>
          </w:p>
        </w:tc>
        <w:tc>
          <w:tcPr>
            <w:tcW w:w="2109" w:type="dxa"/>
            <w:gridSpan w:val="3"/>
            <w:noWrap w:val="0"/>
            <w:vAlign w:val="center"/>
          </w:tcPr>
          <w:p w14:paraId="4F970DE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0.3</w:t>
            </w:r>
          </w:p>
        </w:tc>
      </w:tr>
      <w:tr w14:paraId="4AFC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gridSpan w:val="2"/>
            <w:noWrap w:val="0"/>
            <w:vAlign w:val="center"/>
          </w:tcPr>
          <w:p w14:paraId="1A8CD30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烟气温度（℃）</w:t>
            </w:r>
          </w:p>
        </w:tc>
        <w:tc>
          <w:tcPr>
            <w:tcW w:w="2224" w:type="dxa"/>
            <w:gridSpan w:val="4"/>
            <w:noWrap w:val="0"/>
            <w:vAlign w:val="center"/>
          </w:tcPr>
          <w:p w14:paraId="5EBBE04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80</w:t>
            </w:r>
          </w:p>
        </w:tc>
        <w:tc>
          <w:tcPr>
            <w:tcW w:w="2108" w:type="dxa"/>
            <w:gridSpan w:val="3"/>
            <w:noWrap w:val="0"/>
            <w:vAlign w:val="center"/>
          </w:tcPr>
          <w:p w14:paraId="52DE425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其他信息</w:t>
            </w:r>
          </w:p>
        </w:tc>
        <w:tc>
          <w:tcPr>
            <w:tcW w:w="2109" w:type="dxa"/>
            <w:gridSpan w:val="3"/>
            <w:noWrap w:val="0"/>
            <w:vAlign w:val="center"/>
          </w:tcPr>
          <w:p w14:paraId="78C3AAF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设计风量3129.68m</w:t>
            </w:r>
            <w:r>
              <w:rPr>
                <w:rFonts w:hint="eastAsia" w:ascii="Times New Roman" w:hAnsi="Times New Roman" w:eastAsia="宋体" w:cs="宋体"/>
                <w:color w:val="000000" w:themeColor="text1"/>
                <w:kern w:val="0"/>
                <w:szCs w:val="21"/>
                <w:vertAlign w:val="superscript"/>
                <w:lang w:bidi="ar"/>
                <w14:textFill>
                  <w14:solidFill>
                    <w14:schemeClr w14:val="tx1"/>
                  </w14:solidFill>
                </w14:textFill>
              </w:rPr>
              <w:t>3</w:t>
            </w:r>
          </w:p>
        </w:tc>
      </w:tr>
      <w:tr w14:paraId="16BC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noWrap w:val="0"/>
            <w:vAlign w:val="center"/>
          </w:tcPr>
          <w:p w14:paraId="0779E846">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产污情况</w:t>
            </w:r>
          </w:p>
        </w:tc>
      </w:tr>
      <w:tr w14:paraId="6F6A4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4BEAAC3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生产线名称</w:t>
            </w:r>
          </w:p>
        </w:tc>
        <w:tc>
          <w:tcPr>
            <w:tcW w:w="1106" w:type="dxa"/>
            <w:noWrap w:val="0"/>
            <w:vAlign w:val="center"/>
          </w:tcPr>
          <w:p w14:paraId="3A3A42B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产污环节</w:t>
            </w:r>
          </w:p>
        </w:tc>
        <w:tc>
          <w:tcPr>
            <w:tcW w:w="961" w:type="dxa"/>
            <w:gridSpan w:val="2"/>
            <w:noWrap w:val="0"/>
            <w:vAlign w:val="center"/>
          </w:tcPr>
          <w:p w14:paraId="1CBDBDF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生产设施名称</w:t>
            </w:r>
          </w:p>
        </w:tc>
        <w:tc>
          <w:tcPr>
            <w:tcW w:w="943" w:type="dxa"/>
            <w:noWrap w:val="0"/>
            <w:vAlign w:val="center"/>
          </w:tcPr>
          <w:p w14:paraId="28B5C1FC">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生产设施数量</w:t>
            </w:r>
          </w:p>
        </w:tc>
        <w:tc>
          <w:tcPr>
            <w:tcW w:w="1257" w:type="dxa"/>
            <w:gridSpan w:val="2"/>
            <w:noWrap w:val="0"/>
            <w:vAlign w:val="center"/>
          </w:tcPr>
          <w:p w14:paraId="4FD7B27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污染物名称</w:t>
            </w:r>
          </w:p>
        </w:tc>
        <w:tc>
          <w:tcPr>
            <w:tcW w:w="1591" w:type="dxa"/>
            <w:gridSpan w:val="3"/>
            <w:noWrap w:val="0"/>
            <w:vAlign w:val="center"/>
          </w:tcPr>
          <w:p w14:paraId="49133D5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污染防治设施名称</w:t>
            </w:r>
          </w:p>
        </w:tc>
        <w:tc>
          <w:tcPr>
            <w:tcW w:w="1689" w:type="dxa"/>
            <w:gridSpan w:val="2"/>
            <w:noWrap w:val="0"/>
            <w:vAlign w:val="center"/>
          </w:tcPr>
          <w:p w14:paraId="4D17FC0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污染防治设施工艺</w:t>
            </w:r>
          </w:p>
        </w:tc>
      </w:tr>
      <w:tr w14:paraId="0218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2A938F0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公用工程</w:t>
            </w:r>
          </w:p>
        </w:tc>
        <w:tc>
          <w:tcPr>
            <w:tcW w:w="1106" w:type="dxa"/>
            <w:noWrap w:val="0"/>
            <w:vAlign w:val="center"/>
          </w:tcPr>
          <w:p w14:paraId="254801C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锅炉废气</w:t>
            </w:r>
          </w:p>
        </w:tc>
        <w:tc>
          <w:tcPr>
            <w:tcW w:w="961" w:type="dxa"/>
            <w:gridSpan w:val="2"/>
            <w:noWrap w:val="0"/>
            <w:vAlign w:val="center"/>
          </w:tcPr>
          <w:p w14:paraId="27BA6CE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锅炉系统</w:t>
            </w:r>
          </w:p>
        </w:tc>
        <w:tc>
          <w:tcPr>
            <w:tcW w:w="943" w:type="dxa"/>
            <w:noWrap w:val="0"/>
            <w:vAlign w:val="center"/>
          </w:tcPr>
          <w:p w14:paraId="5BF33B42">
            <w:pPr>
              <w:snapToGrid w:val="0"/>
              <w:jc w:val="center"/>
              <w:rPr>
                <w:rFonts w:hint="eastAsia" w:ascii="Times New Roman" w:hAnsi="Times New Roman" w:eastAsia="宋体" w:cs="宋体"/>
                <w:color w:val="000000" w:themeColor="text1"/>
                <w:szCs w:val="21"/>
                <w:shd w:val="clear" w:color="auto" w:fill="FFFFFF"/>
                <w:lang w:eastAsia="zh-Hans"/>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w:t>
            </w:r>
            <w:r>
              <w:rPr>
                <w:rFonts w:hint="eastAsia" w:ascii="Times New Roman" w:hAnsi="Times New Roman" w:eastAsia="宋体" w:cs="宋体"/>
                <w:color w:val="000000" w:themeColor="text1"/>
                <w:szCs w:val="21"/>
                <w:shd w:val="clear" w:color="auto" w:fill="FFFFFF"/>
                <w:lang w:eastAsia="zh-Hans"/>
                <w14:textFill>
                  <w14:solidFill>
                    <w14:schemeClr w14:val="tx1"/>
                  </w14:solidFill>
                </w14:textFill>
              </w:rPr>
              <w:t>台</w:t>
            </w:r>
          </w:p>
        </w:tc>
        <w:tc>
          <w:tcPr>
            <w:tcW w:w="1257" w:type="dxa"/>
            <w:gridSpan w:val="2"/>
            <w:noWrap w:val="0"/>
            <w:vAlign w:val="center"/>
          </w:tcPr>
          <w:p w14:paraId="4E8F2F1D">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氮氧化物、颗粒物、林格曼黑度、二氧化硫、一氧化碳</w:t>
            </w:r>
          </w:p>
        </w:tc>
        <w:tc>
          <w:tcPr>
            <w:tcW w:w="1591" w:type="dxa"/>
            <w:gridSpan w:val="3"/>
            <w:noWrap w:val="0"/>
            <w:vAlign w:val="center"/>
          </w:tcPr>
          <w:p w14:paraId="588A630E">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低氮燃烧器+锅炉节能器+布袋除尘器</w:t>
            </w:r>
          </w:p>
        </w:tc>
        <w:tc>
          <w:tcPr>
            <w:tcW w:w="1689" w:type="dxa"/>
            <w:gridSpan w:val="2"/>
            <w:noWrap w:val="0"/>
            <w:vAlign w:val="center"/>
          </w:tcPr>
          <w:p w14:paraId="1B9DE9BB">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低氮燃烧+锅炉节能器+布袋除尘</w:t>
            </w:r>
          </w:p>
        </w:tc>
      </w:tr>
      <w:tr w14:paraId="2613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noWrap w:val="0"/>
            <w:vAlign w:val="center"/>
          </w:tcPr>
          <w:p w14:paraId="0D8F4BDF">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排放情况</w:t>
            </w:r>
          </w:p>
        </w:tc>
      </w:tr>
      <w:tr w14:paraId="3EDA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7BE76B1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污染物种类</w:t>
            </w:r>
          </w:p>
        </w:tc>
        <w:tc>
          <w:tcPr>
            <w:tcW w:w="1650" w:type="dxa"/>
            <w:gridSpan w:val="2"/>
            <w:noWrap w:val="0"/>
            <w:vAlign w:val="center"/>
          </w:tcPr>
          <w:p w14:paraId="55B72E4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排放标准</w:t>
            </w:r>
          </w:p>
        </w:tc>
        <w:tc>
          <w:tcPr>
            <w:tcW w:w="1360" w:type="dxa"/>
            <w:gridSpan w:val="2"/>
            <w:noWrap w:val="0"/>
            <w:vAlign w:val="center"/>
          </w:tcPr>
          <w:p w14:paraId="5B6A416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浓度限值</w:t>
            </w:r>
          </w:p>
        </w:tc>
        <w:tc>
          <w:tcPr>
            <w:tcW w:w="1257" w:type="dxa"/>
            <w:gridSpan w:val="2"/>
            <w:noWrap w:val="0"/>
            <w:vAlign w:val="center"/>
          </w:tcPr>
          <w:p w14:paraId="5313903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速率限值</w:t>
            </w:r>
          </w:p>
        </w:tc>
        <w:tc>
          <w:tcPr>
            <w:tcW w:w="986" w:type="dxa"/>
            <w:noWrap w:val="0"/>
            <w:vAlign w:val="center"/>
          </w:tcPr>
          <w:p w14:paraId="6658AE6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许可</w:t>
            </w:r>
            <w:r>
              <w:rPr>
                <w:rFonts w:hint="eastAsia" w:ascii="Times New Roman" w:hAnsi="Times New Roman" w:eastAsia="宋体" w:cs="宋体"/>
                <w:color w:val="000000" w:themeColor="text1"/>
                <w:kern w:val="0"/>
                <w:szCs w:val="21"/>
                <w:lang w:bidi="ar"/>
                <w14:textFill>
                  <w14:solidFill>
                    <w14:schemeClr w14:val="tx1"/>
                  </w14:solidFill>
                </w14:textFill>
              </w:rPr>
              <w:t>排放量</w:t>
            </w:r>
          </w:p>
        </w:tc>
        <w:tc>
          <w:tcPr>
            <w:tcW w:w="1399" w:type="dxa"/>
            <w:gridSpan w:val="3"/>
            <w:noWrap w:val="0"/>
            <w:vAlign w:val="center"/>
          </w:tcPr>
          <w:p w14:paraId="66B113CB">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宋体"/>
                <w:color w:val="000000" w:themeColor="text1"/>
                <w:kern w:val="0"/>
                <w:szCs w:val="21"/>
                <w:lang w:bidi="ar"/>
                <w14:textFill>
                  <w14:solidFill>
                    <w14:schemeClr w14:val="tx1"/>
                  </w14:solidFill>
                </w14:textFill>
              </w:rPr>
              <w:t>监测设施</w:t>
            </w:r>
          </w:p>
        </w:tc>
        <w:tc>
          <w:tcPr>
            <w:tcW w:w="895" w:type="dxa"/>
            <w:noWrap w:val="0"/>
            <w:vAlign w:val="center"/>
          </w:tcPr>
          <w:p w14:paraId="5AAD8F0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监测频次</w:t>
            </w:r>
          </w:p>
        </w:tc>
      </w:tr>
      <w:tr w14:paraId="08D1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2AB66C59">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氮氧化物</w:t>
            </w:r>
          </w:p>
        </w:tc>
        <w:tc>
          <w:tcPr>
            <w:tcW w:w="1650" w:type="dxa"/>
            <w:gridSpan w:val="2"/>
            <w:noWrap w:val="0"/>
            <w:vAlign w:val="center"/>
          </w:tcPr>
          <w:p w14:paraId="1362A800">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锅炉大气污染物排放标准DB44/765-2019</w:t>
            </w:r>
          </w:p>
        </w:tc>
        <w:tc>
          <w:tcPr>
            <w:tcW w:w="1360" w:type="dxa"/>
            <w:gridSpan w:val="2"/>
            <w:noWrap w:val="0"/>
            <w:vAlign w:val="center"/>
          </w:tcPr>
          <w:p w14:paraId="3791A56D">
            <w:pPr>
              <w:widowControl/>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150</w:t>
            </w:r>
          </w:p>
        </w:tc>
        <w:tc>
          <w:tcPr>
            <w:tcW w:w="1257" w:type="dxa"/>
            <w:gridSpan w:val="2"/>
            <w:noWrap w:val="0"/>
            <w:vAlign w:val="center"/>
          </w:tcPr>
          <w:p w14:paraId="7225CC9C">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986" w:type="dxa"/>
            <w:noWrap w:val="0"/>
            <w:vAlign w:val="center"/>
          </w:tcPr>
          <w:p w14:paraId="49C7EF7F">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9" w:type="dxa"/>
            <w:gridSpan w:val="3"/>
            <w:noWrap w:val="0"/>
            <w:vAlign w:val="center"/>
          </w:tcPr>
          <w:p w14:paraId="66C9B09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eastAsia="zh-C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5705A60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eastAsia="zh-C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26D92B4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1次/月</w:t>
            </w:r>
          </w:p>
        </w:tc>
      </w:tr>
      <w:tr w14:paraId="381D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776EC682">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二氧化硫</w:t>
            </w:r>
          </w:p>
        </w:tc>
        <w:tc>
          <w:tcPr>
            <w:tcW w:w="1650" w:type="dxa"/>
            <w:gridSpan w:val="2"/>
            <w:noWrap w:val="0"/>
            <w:vAlign w:val="center"/>
          </w:tcPr>
          <w:p w14:paraId="3E07E8A9">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锅炉大气污染物排放标准DB44/765-2019</w:t>
            </w:r>
          </w:p>
        </w:tc>
        <w:tc>
          <w:tcPr>
            <w:tcW w:w="1360" w:type="dxa"/>
            <w:gridSpan w:val="2"/>
            <w:noWrap w:val="0"/>
            <w:vAlign w:val="center"/>
          </w:tcPr>
          <w:p w14:paraId="6698E449">
            <w:pPr>
              <w:widowControl/>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35</w:t>
            </w:r>
          </w:p>
        </w:tc>
        <w:tc>
          <w:tcPr>
            <w:tcW w:w="1257" w:type="dxa"/>
            <w:gridSpan w:val="2"/>
            <w:noWrap w:val="0"/>
            <w:vAlign w:val="center"/>
          </w:tcPr>
          <w:p w14:paraId="23ABFACF">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986" w:type="dxa"/>
            <w:noWrap w:val="0"/>
            <w:vAlign w:val="center"/>
          </w:tcPr>
          <w:p w14:paraId="080BEC61">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9" w:type="dxa"/>
            <w:gridSpan w:val="3"/>
            <w:noWrap w:val="0"/>
            <w:vAlign w:val="center"/>
          </w:tcPr>
          <w:p w14:paraId="79E0708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12A3F9D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7CB51ED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1次/月</w:t>
            </w:r>
          </w:p>
        </w:tc>
      </w:tr>
      <w:tr w14:paraId="37B8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6D76BAAF">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林格曼黑度</w:t>
            </w:r>
          </w:p>
        </w:tc>
        <w:tc>
          <w:tcPr>
            <w:tcW w:w="1650" w:type="dxa"/>
            <w:gridSpan w:val="2"/>
            <w:noWrap w:val="0"/>
            <w:vAlign w:val="center"/>
          </w:tcPr>
          <w:p w14:paraId="112C0CFA">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锅炉大气污染物排放标准DB44/765-2019</w:t>
            </w:r>
          </w:p>
        </w:tc>
        <w:tc>
          <w:tcPr>
            <w:tcW w:w="1360" w:type="dxa"/>
            <w:gridSpan w:val="2"/>
            <w:noWrap w:val="0"/>
            <w:vAlign w:val="center"/>
          </w:tcPr>
          <w:p w14:paraId="4DCEE0E6">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≤1级</w:t>
            </w:r>
          </w:p>
        </w:tc>
        <w:tc>
          <w:tcPr>
            <w:tcW w:w="1257" w:type="dxa"/>
            <w:gridSpan w:val="2"/>
            <w:noWrap w:val="0"/>
            <w:vAlign w:val="center"/>
          </w:tcPr>
          <w:p w14:paraId="6D34A548">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986" w:type="dxa"/>
            <w:noWrap w:val="0"/>
            <w:vAlign w:val="center"/>
          </w:tcPr>
          <w:p w14:paraId="7EEB837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9" w:type="dxa"/>
            <w:gridSpan w:val="3"/>
            <w:noWrap w:val="0"/>
            <w:vAlign w:val="center"/>
          </w:tcPr>
          <w:p w14:paraId="6849D68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1A4B119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750A842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1次/月</w:t>
            </w:r>
          </w:p>
        </w:tc>
      </w:tr>
      <w:tr w14:paraId="773B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0278CE93">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颗粒物</w:t>
            </w:r>
          </w:p>
        </w:tc>
        <w:tc>
          <w:tcPr>
            <w:tcW w:w="1650" w:type="dxa"/>
            <w:gridSpan w:val="2"/>
            <w:noWrap w:val="0"/>
            <w:vAlign w:val="center"/>
          </w:tcPr>
          <w:p w14:paraId="40FED8E3">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锅炉大气污染物排放标准DB44/765-2019</w:t>
            </w:r>
          </w:p>
        </w:tc>
        <w:tc>
          <w:tcPr>
            <w:tcW w:w="1360" w:type="dxa"/>
            <w:gridSpan w:val="2"/>
            <w:noWrap w:val="0"/>
            <w:vAlign w:val="center"/>
          </w:tcPr>
          <w:p w14:paraId="1B4E10FC">
            <w:pPr>
              <w:widowControl/>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20</w:t>
            </w:r>
          </w:p>
        </w:tc>
        <w:tc>
          <w:tcPr>
            <w:tcW w:w="1257" w:type="dxa"/>
            <w:gridSpan w:val="2"/>
            <w:noWrap w:val="0"/>
            <w:vAlign w:val="center"/>
          </w:tcPr>
          <w:p w14:paraId="51712B52">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986" w:type="dxa"/>
            <w:noWrap w:val="0"/>
            <w:vAlign w:val="center"/>
          </w:tcPr>
          <w:p w14:paraId="2754B0D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9" w:type="dxa"/>
            <w:gridSpan w:val="3"/>
            <w:noWrap w:val="0"/>
            <w:vAlign w:val="center"/>
          </w:tcPr>
          <w:p w14:paraId="13DE2D5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5BC6E93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5F15193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1次/月</w:t>
            </w:r>
          </w:p>
        </w:tc>
      </w:tr>
      <w:tr w14:paraId="7C79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 w:type="dxa"/>
            <w:noWrap w:val="0"/>
            <w:vAlign w:val="center"/>
          </w:tcPr>
          <w:p w14:paraId="5BA358E9">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一氧化碳</w:t>
            </w:r>
          </w:p>
        </w:tc>
        <w:tc>
          <w:tcPr>
            <w:tcW w:w="1650" w:type="dxa"/>
            <w:gridSpan w:val="2"/>
            <w:noWrap w:val="0"/>
            <w:vAlign w:val="center"/>
          </w:tcPr>
          <w:p w14:paraId="38EEF8A7">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锅炉大气污染物排放标准DB44/765-2019</w:t>
            </w:r>
          </w:p>
        </w:tc>
        <w:tc>
          <w:tcPr>
            <w:tcW w:w="1360" w:type="dxa"/>
            <w:gridSpan w:val="2"/>
            <w:noWrap w:val="0"/>
            <w:vAlign w:val="center"/>
          </w:tcPr>
          <w:p w14:paraId="1B3F9EEA">
            <w:pPr>
              <w:widowControl/>
              <w:snapToGrid w:val="0"/>
              <w:jc w:val="center"/>
              <w:rPr>
                <w:rFonts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200</w:t>
            </w:r>
          </w:p>
        </w:tc>
        <w:tc>
          <w:tcPr>
            <w:tcW w:w="1257" w:type="dxa"/>
            <w:gridSpan w:val="2"/>
            <w:noWrap w:val="0"/>
            <w:vAlign w:val="center"/>
          </w:tcPr>
          <w:p w14:paraId="128392B5">
            <w:pPr>
              <w:widowControl/>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986" w:type="dxa"/>
            <w:noWrap w:val="0"/>
            <w:vAlign w:val="center"/>
          </w:tcPr>
          <w:p w14:paraId="0C33B14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9" w:type="dxa"/>
            <w:gridSpan w:val="3"/>
            <w:noWrap w:val="0"/>
            <w:vAlign w:val="center"/>
          </w:tcPr>
          <w:p w14:paraId="163FE0B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62F67C2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7F586B67">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1次/年</w:t>
            </w:r>
          </w:p>
        </w:tc>
      </w:tr>
      <w:tr w14:paraId="7F09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noWrap w:val="0"/>
            <w:vAlign w:val="center"/>
          </w:tcPr>
          <w:p w14:paraId="359F396F">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其他信息</w:t>
            </w:r>
          </w:p>
        </w:tc>
      </w:tr>
      <w:tr w14:paraId="64BC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8522" w:type="dxa"/>
            <w:gridSpan w:val="12"/>
            <w:noWrap w:val="0"/>
            <w:vAlign w:val="center"/>
          </w:tcPr>
          <w:p w14:paraId="336542F0">
            <w:pPr>
              <w:snapToGrid w:val="0"/>
              <w:jc w:val="left"/>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其他需要补充说明的内容：</w:t>
            </w:r>
          </w:p>
          <w:p w14:paraId="6B348AE4">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p>
        </w:tc>
      </w:tr>
    </w:tbl>
    <w:p w14:paraId="10BA5721">
      <w:pPr>
        <w:widowControl/>
        <w:snapToGrid w:val="0"/>
        <w:jc w:val="left"/>
        <w:rPr>
          <w:color w:val="000000" w:themeColor="text1"/>
          <w:kern w:val="0"/>
          <w:sz w:val="32"/>
          <w:szCs w:val="32"/>
          <w:lang w:bidi="ar"/>
          <w14:textFill>
            <w14:solidFill>
              <w14:schemeClr w14:val="tx1"/>
            </w14:solidFill>
          </w14:textFill>
        </w:rPr>
      </w:pPr>
      <w:r>
        <w:rPr>
          <w:color w:val="000000" w:themeColor="text1"/>
          <w:kern w:val="0"/>
          <w:szCs w:val="32"/>
          <w:lang w:bidi="ar"/>
          <w14:textFill>
            <w14:solidFill>
              <w14:schemeClr w14:val="tx1"/>
            </w14:solidFill>
          </w14:textFill>
        </w:rPr>
        <w:t>备注：有组织废气排放口均需单独填报《大气污染物有组织排放信息表》，表格序号按表2-1、表2-2…的规则编号。</w:t>
      </w:r>
    </w:p>
    <w:p w14:paraId="7C8580A2">
      <w:pPr>
        <w:jc w:val="center"/>
        <w:rPr>
          <w:color w:val="000000" w:themeColor="text1"/>
          <w:kern w:val="0"/>
          <w:sz w:val="32"/>
          <w:szCs w:val="32"/>
          <w:lang w:bidi="ar"/>
          <w14:textFill>
            <w14:solidFill>
              <w14:schemeClr w14:val="tx1"/>
            </w14:solidFill>
          </w14:textFill>
        </w:rPr>
      </w:pPr>
    </w:p>
    <w:p w14:paraId="479A2392">
      <w:pPr>
        <w:jc w:val="center"/>
        <w:rPr>
          <w:b/>
          <w:bCs/>
          <w:color w:val="000000" w:themeColor="text1"/>
          <w:kern w:val="0"/>
          <w:sz w:val="32"/>
          <w:szCs w:val="32"/>
          <w:lang w:bidi="ar"/>
          <w14:textFill>
            <w14:solidFill>
              <w14:schemeClr w14:val="tx1"/>
            </w14:solidFill>
          </w14:textFill>
        </w:rPr>
      </w:pPr>
      <w:r>
        <w:rPr>
          <w:b/>
          <w:bCs/>
          <w:color w:val="000000" w:themeColor="text1"/>
          <w:kern w:val="0"/>
          <w:sz w:val="32"/>
          <w:szCs w:val="32"/>
          <w:lang w:bidi="ar"/>
          <w14:textFill>
            <w14:solidFill>
              <w14:schemeClr w14:val="tx1"/>
            </w14:solidFill>
          </w14:textFill>
        </w:rPr>
        <w:t>表</w:t>
      </w:r>
      <w:r>
        <w:rPr>
          <w:rFonts w:hint="eastAsia"/>
          <w:b/>
          <w:bCs/>
          <w:color w:val="000000" w:themeColor="text1"/>
          <w:kern w:val="0"/>
          <w:sz w:val="32"/>
          <w:szCs w:val="32"/>
          <w:lang w:bidi="ar"/>
          <w14:textFill>
            <w14:solidFill>
              <w14:schemeClr w14:val="tx1"/>
            </w14:solidFill>
          </w14:textFill>
        </w:rPr>
        <w:t>3</w:t>
      </w:r>
      <w:r>
        <w:rPr>
          <w:b/>
          <w:bCs/>
          <w:color w:val="000000" w:themeColor="text1"/>
          <w:kern w:val="0"/>
          <w:sz w:val="32"/>
          <w:szCs w:val="32"/>
          <w:lang w:bidi="ar"/>
          <w14:textFill>
            <w14:solidFill>
              <w14:schemeClr w14:val="tx1"/>
            </w14:solidFill>
          </w14:textFill>
        </w:rPr>
        <w:t>水污染物排放信息表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1064"/>
        <w:gridCol w:w="2086"/>
        <w:gridCol w:w="35"/>
        <w:gridCol w:w="1124"/>
        <w:gridCol w:w="877"/>
        <w:gridCol w:w="185"/>
        <w:gridCol w:w="1213"/>
        <w:gridCol w:w="895"/>
      </w:tblGrid>
      <w:tr w14:paraId="70B8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gridSpan w:val="2"/>
            <w:noWrap w:val="0"/>
            <w:vAlign w:val="center"/>
          </w:tcPr>
          <w:p w14:paraId="52C00CB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排放口名称</w:t>
            </w:r>
          </w:p>
        </w:tc>
        <w:tc>
          <w:tcPr>
            <w:tcW w:w="6415" w:type="dxa"/>
            <w:gridSpan w:val="7"/>
            <w:noWrap w:val="0"/>
            <w:vAlign w:val="center"/>
          </w:tcPr>
          <w:p w14:paraId="12C0738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工业废水总排口</w:t>
            </w:r>
          </w:p>
        </w:tc>
      </w:tr>
      <w:tr w14:paraId="24F2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gridSpan w:val="2"/>
            <w:noWrap w:val="0"/>
            <w:vAlign w:val="center"/>
          </w:tcPr>
          <w:p w14:paraId="4322ADA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排放口类型</w:t>
            </w:r>
          </w:p>
        </w:tc>
        <w:tc>
          <w:tcPr>
            <w:tcW w:w="2121" w:type="dxa"/>
            <w:gridSpan w:val="2"/>
            <w:noWrap w:val="0"/>
            <w:vAlign w:val="center"/>
          </w:tcPr>
          <w:p w14:paraId="76CD5A7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主要排放口-总排口</w:t>
            </w:r>
          </w:p>
        </w:tc>
        <w:tc>
          <w:tcPr>
            <w:tcW w:w="2186" w:type="dxa"/>
            <w:gridSpan w:val="3"/>
            <w:noWrap w:val="0"/>
            <w:vAlign w:val="center"/>
          </w:tcPr>
          <w:p w14:paraId="5E08AF5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排放口编号</w:t>
            </w:r>
          </w:p>
        </w:tc>
        <w:tc>
          <w:tcPr>
            <w:tcW w:w="2108" w:type="dxa"/>
            <w:gridSpan w:val="2"/>
            <w:noWrap w:val="0"/>
            <w:vAlign w:val="center"/>
          </w:tcPr>
          <w:p w14:paraId="7187FCB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DW001</w:t>
            </w:r>
          </w:p>
        </w:tc>
      </w:tr>
      <w:tr w14:paraId="4C33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gridSpan w:val="2"/>
            <w:noWrap w:val="0"/>
            <w:vAlign w:val="center"/>
          </w:tcPr>
          <w:p w14:paraId="5DF8FC8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排放去向</w:t>
            </w:r>
          </w:p>
        </w:tc>
        <w:tc>
          <w:tcPr>
            <w:tcW w:w="2121" w:type="dxa"/>
            <w:gridSpan w:val="2"/>
            <w:noWrap w:val="0"/>
            <w:vAlign w:val="center"/>
          </w:tcPr>
          <w:p w14:paraId="056C7A7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进入城市污水处理厂</w:t>
            </w:r>
          </w:p>
        </w:tc>
        <w:tc>
          <w:tcPr>
            <w:tcW w:w="2186" w:type="dxa"/>
            <w:gridSpan w:val="3"/>
            <w:noWrap w:val="0"/>
            <w:vAlign w:val="center"/>
          </w:tcPr>
          <w:p w14:paraId="050F063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受纳水体或污水厂名称</w:t>
            </w:r>
          </w:p>
        </w:tc>
        <w:tc>
          <w:tcPr>
            <w:tcW w:w="2108" w:type="dxa"/>
            <w:gridSpan w:val="2"/>
            <w:noWrap w:val="0"/>
            <w:vAlign w:val="center"/>
          </w:tcPr>
          <w:p w14:paraId="685060C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霞山水质净化厂</w:t>
            </w:r>
          </w:p>
        </w:tc>
      </w:tr>
      <w:tr w14:paraId="427B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noWrap w:val="0"/>
            <w:vAlign w:val="center"/>
          </w:tcPr>
          <w:p w14:paraId="1E216A2C">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产污情况</w:t>
            </w:r>
          </w:p>
        </w:tc>
      </w:tr>
      <w:tr w14:paraId="5EFB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gridSpan w:val="2"/>
            <w:noWrap w:val="0"/>
            <w:vAlign w:val="center"/>
          </w:tcPr>
          <w:p w14:paraId="6C1B904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废水来源</w:t>
            </w:r>
          </w:p>
        </w:tc>
        <w:tc>
          <w:tcPr>
            <w:tcW w:w="2086" w:type="dxa"/>
            <w:noWrap w:val="0"/>
            <w:vAlign w:val="center"/>
          </w:tcPr>
          <w:p w14:paraId="7FF23A9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污染物名称</w:t>
            </w:r>
          </w:p>
        </w:tc>
        <w:tc>
          <w:tcPr>
            <w:tcW w:w="2036" w:type="dxa"/>
            <w:gridSpan w:val="3"/>
            <w:noWrap w:val="0"/>
            <w:vAlign w:val="center"/>
          </w:tcPr>
          <w:p w14:paraId="1304B9C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污染防治设施名称</w:t>
            </w:r>
          </w:p>
        </w:tc>
        <w:tc>
          <w:tcPr>
            <w:tcW w:w="2293" w:type="dxa"/>
            <w:gridSpan w:val="3"/>
            <w:noWrap w:val="0"/>
            <w:vAlign w:val="center"/>
          </w:tcPr>
          <w:p w14:paraId="56155EF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污染防治设施工艺</w:t>
            </w:r>
          </w:p>
        </w:tc>
      </w:tr>
      <w:tr w14:paraId="7D67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gridSpan w:val="2"/>
            <w:noWrap w:val="0"/>
            <w:vAlign w:val="center"/>
          </w:tcPr>
          <w:p w14:paraId="4DB81FE3">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生产废水</w:t>
            </w:r>
          </w:p>
        </w:tc>
        <w:tc>
          <w:tcPr>
            <w:tcW w:w="2086" w:type="dxa"/>
            <w:noWrap w:val="0"/>
            <w:vAlign w:val="center"/>
          </w:tcPr>
          <w:p w14:paraId="3A7DF4B6">
            <w:pPr>
              <w:widowControl/>
              <w:jc w:val="left"/>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COD</w:t>
            </w:r>
            <w:r>
              <w:rPr>
                <w:rFonts w:ascii="Times New Roman" w:hAnsi="Times New Roman" w:eastAsia="宋体" w:cs="Times New Roman"/>
                <w:color w:val="000000" w:themeColor="text1"/>
                <w:kern w:val="0"/>
                <w:szCs w:val="21"/>
                <w:vertAlign w:val="subscript"/>
                <w:lang w:bidi="ar"/>
                <w14:textFill>
                  <w14:solidFill>
                    <w14:schemeClr w14:val="tx1"/>
                  </w14:solidFill>
                </w14:textFill>
              </w:rPr>
              <w:t>Cr</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BOD₅</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SS</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NH₃</w:t>
            </w:r>
            <w:r>
              <w:rPr>
                <w:rFonts w:ascii="Times New Roman" w:hAnsi="Times New Roman" w:eastAsia="宋体" w:cs="Times New Roman"/>
                <w:color w:val="000000" w:themeColor="text1"/>
                <w:kern w:val="0"/>
                <w:szCs w:val="21"/>
                <w:lang w:bidi="ar"/>
                <w14:textFill>
                  <w14:solidFill>
                    <w14:schemeClr w14:val="tx1"/>
                  </w14:solidFill>
                </w14:textFill>
              </w:rPr>
              <w:noBreakHyphen/>
            </w:r>
            <w:r>
              <w:rPr>
                <w:rFonts w:ascii="Times New Roman" w:hAnsi="Times New Roman" w:eastAsia="宋体" w:cs="Times New Roman"/>
                <w:color w:val="000000" w:themeColor="text1"/>
                <w:kern w:val="0"/>
                <w:szCs w:val="21"/>
                <w:lang w:bidi="ar"/>
                <w14:textFill>
                  <w14:solidFill>
                    <w14:schemeClr w14:val="tx1"/>
                  </w14:solidFill>
                </w14:textFill>
              </w:rPr>
              <w:t>N</w:t>
            </w:r>
            <w:r>
              <w:rPr>
                <w:rFonts w:hint="eastAsia" w:ascii="Times New Roman" w:hAnsi="Times New Roman" w:eastAsia="宋体" w:cs="Times New Roman"/>
                <w:color w:val="000000" w:themeColor="text1"/>
                <w:kern w:val="0"/>
                <w:szCs w:val="21"/>
                <w:lang w:bidi="ar"/>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LAS</w:t>
            </w:r>
            <w:r>
              <w:rPr>
                <w:rFonts w:hint="eastAsia" w:ascii="Times New Roman" w:hAnsi="Times New Roman" w:eastAsia="宋体" w:cs="Times New Roman"/>
                <w:color w:val="000000" w:themeColor="text1"/>
                <w:kern w:val="0"/>
                <w:szCs w:val="21"/>
                <w:lang w:bidi="ar"/>
                <w14:textFill>
                  <w14:solidFill>
                    <w14:schemeClr w14:val="tx1"/>
                  </w14:solidFill>
                </w14:textFill>
              </w:rPr>
              <w:t>、</w:t>
            </w:r>
            <w:r>
              <w:rPr>
                <w:rFonts w:ascii="Times New Roman" w:hAnsi="Times New Roman" w:eastAsia="宋体" w:cs="Times New Roman"/>
                <w:color w:val="000000" w:themeColor="text1"/>
                <w:kern w:val="0"/>
                <w:szCs w:val="21"/>
                <w:lang w:bidi="ar"/>
                <w14:textFill>
                  <w14:solidFill>
                    <w14:schemeClr w14:val="tx1"/>
                  </w14:solidFill>
                </w14:textFill>
              </w:rPr>
              <w:t>TP</w:t>
            </w:r>
          </w:p>
        </w:tc>
        <w:tc>
          <w:tcPr>
            <w:tcW w:w="2036" w:type="dxa"/>
            <w:gridSpan w:val="3"/>
            <w:noWrap w:val="0"/>
            <w:vAlign w:val="center"/>
          </w:tcPr>
          <w:p w14:paraId="6B29D6A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自建污水站</w:t>
            </w:r>
          </w:p>
        </w:tc>
        <w:tc>
          <w:tcPr>
            <w:tcW w:w="2293" w:type="dxa"/>
            <w:gridSpan w:val="3"/>
            <w:noWrap w:val="0"/>
            <w:vAlign w:val="center"/>
          </w:tcPr>
          <w:p w14:paraId="17493D08">
            <w:pPr>
              <w:snapToGrid w:val="0"/>
              <w:jc w:val="center"/>
              <w:rPr>
                <w:rFonts w:hint="eastAsia" w:ascii="Times New Roman" w:hAnsi="Times New Roman" w:eastAsia="宋体" w:cs="宋体"/>
                <w:color w:val="000000" w:themeColor="text1"/>
                <w:kern w:val="0"/>
                <w:szCs w:val="21"/>
                <w:lang w:eastAsia="zh-CN" w:bidi="ar"/>
                <w14:textFill>
                  <w14:solidFill>
                    <w14:schemeClr w14:val="tx1"/>
                  </w14:solidFill>
                </w14:textFill>
              </w:rPr>
            </w:pPr>
            <w:r>
              <w:rPr>
                <w:rFonts w:hint="eastAsia" w:ascii="Times New Roman" w:hAnsi="Times New Roman" w:eastAsia="宋体" w:cs="宋体"/>
                <w:color w:val="000000" w:themeColor="text1"/>
                <w:kern w:val="0"/>
                <w:szCs w:val="21"/>
                <w:lang w:eastAsia="zh-CN" w:bidi="ar"/>
                <w14:textFill>
                  <w14:solidFill>
                    <w14:schemeClr w14:val="tx1"/>
                  </w14:solidFill>
                </w14:textFill>
              </w:rPr>
              <w:t>溶气气浮+A/O一体化</w:t>
            </w:r>
          </w:p>
        </w:tc>
      </w:tr>
      <w:tr w14:paraId="074B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gridSpan w:val="2"/>
            <w:noWrap w:val="0"/>
            <w:vAlign w:val="center"/>
          </w:tcPr>
          <w:p w14:paraId="1B274B3D">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生活污水</w:t>
            </w:r>
          </w:p>
        </w:tc>
        <w:tc>
          <w:tcPr>
            <w:tcW w:w="2086" w:type="dxa"/>
            <w:noWrap w:val="0"/>
            <w:vAlign w:val="center"/>
          </w:tcPr>
          <w:p w14:paraId="72EC258C">
            <w:pPr>
              <w:widowControl/>
              <w:jc w:val="left"/>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szCs w:val="21"/>
                <w:lang w:bidi="ar"/>
                <w14:textFill>
                  <w14:solidFill>
                    <w14:schemeClr w14:val="tx1"/>
                  </w14:solidFill>
                </w14:textFill>
              </w:rPr>
              <w:t>pH、</w:t>
            </w:r>
            <w:r>
              <w:rPr>
                <w:rFonts w:ascii="Times New Roman" w:hAnsi="Times New Roman" w:eastAsia="宋体" w:cs="Times New Roman"/>
                <w:color w:val="000000" w:themeColor="text1"/>
                <w:szCs w:val="21"/>
                <w:lang w:bidi="ar"/>
                <w14:textFill>
                  <w14:solidFill>
                    <w14:schemeClr w14:val="tx1"/>
                  </w14:solidFill>
                </w14:textFill>
              </w:rPr>
              <w:t>COD</w:t>
            </w:r>
            <w:r>
              <w:rPr>
                <w:rFonts w:ascii="Times New Roman" w:hAnsi="Times New Roman" w:eastAsia="宋体" w:cs="Times New Roman"/>
                <w:color w:val="000000" w:themeColor="text1"/>
                <w:szCs w:val="21"/>
                <w:vertAlign w:val="subscript"/>
                <w:lang w:bidi="ar"/>
                <w14:textFill>
                  <w14:solidFill>
                    <w14:schemeClr w14:val="tx1"/>
                  </w14:solidFill>
                </w14:textFill>
              </w:rPr>
              <w:t>Cr</w:t>
            </w:r>
            <w:r>
              <w:rPr>
                <w:rFonts w:ascii="Times New Roman" w:hAnsi="Times New Roman" w:eastAsia="宋体" w:cs="Times New Roman"/>
                <w:color w:val="000000" w:themeColor="text1"/>
                <w:szCs w:val="21"/>
                <w:lang w:bidi="ar"/>
                <w14:textFill>
                  <w14:solidFill>
                    <w14:schemeClr w14:val="tx1"/>
                  </w14:solidFill>
                </w14:textFill>
              </w:rPr>
              <w:t>、BOD₅</w:t>
            </w:r>
            <w:r>
              <w:rPr>
                <w:rFonts w:hint="eastAsia" w:ascii="Times New Roman" w:hAnsi="Times New Roman" w:eastAsia="宋体" w:cs="Times New Roman"/>
                <w:color w:val="000000" w:themeColor="text1"/>
                <w:szCs w:val="21"/>
                <w:lang w:bidi="ar"/>
                <w14:textFill>
                  <w14:solidFill>
                    <w14:schemeClr w14:val="tx1"/>
                  </w14:solidFill>
                </w14:textFill>
              </w:rPr>
              <w:t>、</w:t>
            </w:r>
            <w:r>
              <w:rPr>
                <w:rFonts w:ascii="Times New Roman" w:hAnsi="Times New Roman" w:eastAsia="宋体" w:cs="Times New Roman"/>
                <w:color w:val="000000" w:themeColor="text1"/>
                <w:szCs w:val="21"/>
                <w:lang w:bidi="ar"/>
                <w14:textFill>
                  <w14:solidFill>
                    <w14:schemeClr w14:val="tx1"/>
                  </w14:solidFill>
                </w14:textFill>
              </w:rPr>
              <w:t>SS</w:t>
            </w:r>
          </w:p>
        </w:tc>
        <w:tc>
          <w:tcPr>
            <w:tcW w:w="2036" w:type="dxa"/>
            <w:gridSpan w:val="3"/>
            <w:noWrap w:val="0"/>
            <w:vAlign w:val="center"/>
          </w:tcPr>
          <w:p w14:paraId="3E12C22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三级化粪池</w:t>
            </w:r>
          </w:p>
        </w:tc>
        <w:tc>
          <w:tcPr>
            <w:tcW w:w="2293" w:type="dxa"/>
            <w:gridSpan w:val="3"/>
            <w:noWrap w:val="0"/>
            <w:vAlign w:val="center"/>
          </w:tcPr>
          <w:p w14:paraId="66AF6906">
            <w:pPr>
              <w:snapToGrid w:val="0"/>
              <w:jc w:val="center"/>
              <w:rPr>
                <w:rFonts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物理＋厌氧</w:t>
            </w:r>
          </w:p>
        </w:tc>
      </w:tr>
      <w:tr w14:paraId="40C3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noWrap w:val="0"/>
            <w:vAlign w:val="center"/>
          </w:tcPr>
          <w:p w14:paraId="4CD1B593">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排放情况</w:t>
            </w:r>
          </w:p>
        </w:tc>
      </w:tr>
      <w:tr w14:paraId="33B2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6E3F852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污染物种类</w:t>
            </w:r>
          </w:p>
        </w:tc>
        <w:tc>
          <w:tcPr>
            <w:tcW w:w="3150" w:type="dxa"/>
            <w:gridSpan w:val="2"/>
            <w:noWrap w:val="0"/>
            <w:vAlign w:val="center"/>
          </w:tcPr>
          <w:p w14:paraId="1D7FB4B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排放标准</w:t>
            </w:r>
          </w:p>
        </w:tc>
        <w:tc>
          <w:tcPr>
            <w:tcW w:w="1159" w:type="dxa"/>
            <w:gridSpan w:val="2"/>
            <w:noWrap w:val="0"/>
            <w:vAlign w:val="center"/>
          </w:tcPr>
          <w:p w14:paraId="0DE1A3A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浓度限值</w:t>
            </w:r>
          </w:p>
        </w:tc>
        <w:tc>
          <w:tcPr>
            <w:tcW w:w="877" w:type="dxa"/>
            <w:noWrap w:val="0"/>
            <w:vAlign w:val="center"/>
          </w:tcPr>
          <w:p w14:paraId="7A116AC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许可</w:t>
            </w:r>
            <w:r>
              <w:rPr>
                <w:rFonts w:hint="eastAsia" w:ascii="Times New Roman" w:hAnsi="Times New Roman" w:eastAsia="宋体" w:cs="宋体"/>
                <w:color w:val="000000" w:themeColor="text1"/>
                <w:kern w:val="0"/>
                <w:szCs w:val="21"/>
                <w:lang w:bidi="ar"/>
                <w14:textFill>
                  <w14:solidFill>
                    <w14:schemeClr w14:val="tx1"/>
                  </w14:solidFill>
                </w14:textFill>
              </w:rPr>
              <w:t>排放量</w:t>
            </w:r>
          </w:p>
        </w:tc>
        <w:tc>
          <w:tcPr>
            <w:tcW w:w="1398" w:type="dxa"/>
            <w:gridSpan w:val="2"/>
            <w:noWrap w:val="0"/>
            <w:vAlign w:val="center"/>
          </w:tcPr>
          <w:p w14:paraId="3186EF3C">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宋体"/>
                <w:color w:val="000000" w:themeColor="text1"/>
                <w:kern w:val="0"/>
                <w:szCs w:val="21"/>
                <w:lang w:bidi="ar"/>
                <w14:textFill>
                  <w14:solidFill>
                    <w14:schemeClr w14:val="tx1"/>
                  </w14:solidFill>
                </w14:textFill>
              </w:rPr>
              <w:t>监测设施</w:t>
            </w:r>
          </w:p>
        </w:tc>
        <w:tc>
          <w:tcPr>
            <w:tcW w:w="895" w:type="dxa"/>
            <w:noWrap w:val="0"/>
            <w:vAlign w:val="center"/>
          </w:tcPr>
          <w:p w14:paraId="0871CE0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监测频次</w:t>
            </w:r>
          </w:p>
        </w:tc>
      </w:tr>
      <w:tr w14:paraId="07AE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279E9B3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pH值</w:t>
            </w:r>
          </w:p>
        </w:tc>
        <w:tc>
          <w:tcPr>
            <w:tcW w:w="3150" w:type="dxa"/>
            <w:gridSpan w:val="2"/>
            <w:noWrap w:val="0"/>
            <w:vAlign w:val="center"/>
          </w:tcPr>
          <w:p w14:paraId="5DA1227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0D7A833C">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ascii="Times New Roman" w:hAnsi="Times New Roman" w:eastAsia="宋体" w:cs="宋体"/>
                <w:color w:val="000000" w:themeColor="text1"/>
                <w:szCs w:val="21"/>
                <w:shd w:val="clear" w:color="auto" w:fill="FFFFFF"/>
                <w:lang w:bidi="ar"/>
                <w14:textFill>
                  <w14:solidFill>
                    <w14:schemeClr w14:val="tx1"/>
                  </w14:solidFill>
                </w14:textFill>
              </w:rPr>
              <w:t>6-9</w:t>
            </w:r>
          </w:p>
        </w:tc>
        <w:tc>
          <w:tcPr>
            <w:tcW w:w="877" w:type="dxa"/>
            <w:noWrap w:val="0"/>
            <w:vAlign w:val="center"/>
          </w:tcPr>
          <w:p w14:paraId="2949A40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8" w:type="dxa"/>
            <w:gridSpan w:val="2"/>
            <w:noWrap w:val="0"/>
            <w:vAlign w:val="center"/>
          </w:tcPr>
          <w:p w14:paraId="420C972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3B00984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val="e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583193B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r>
      <w:tr w14:paraId="0A99B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7518BA60">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化学需氧量</w:t>
            </w:r>
          </w:p>
        </w:tc>
        <w:tc>
          <w:tcPr>
            <w:tcW w:w="3150" w:type="dxa"/>
            <w:gridSpan w:val="2"/>
            <w:noWrap w:val="0"/>
            <w:vAlign w:val="center"/>
          </w:tcPr>
          <w:p w14:paraId="4033A40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33FB40CC">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bidi="ar"/>
                <w14:textFill>
                  <w14:solidFill>
                    <w14:schemeClr w14:val="tx1"/>
                  </w14:solidFill>
                </w14:textFill>
              </w:rPr>
              <w:t>500</w:t>
            </w:r>
          </w:p>
        </w:tc>
        <w:tc>
          <w:tcPr>
            <w:tcW w:w="877" w:type="dxa"/>
            <w:noWrap w:val="0"/>
            <w:vAlign w:val="center"/>
          </w:tcPr>
          <w:p w14:paraId="29A3E7D8">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8" w:type="dxa"/>
            <w:gridSpan w:val="2"/>
            <w:noWrap w:val="0"/>
            <w:vAlign w:val="center"/>
          </w:tcPr>
          <w:p w14:paraId="0F63B8F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3A3DDD1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val="e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6A9F7ED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r>
      <w:tr w14:paraId="3A73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251BB7A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eastAsia="zh-Hans"/>
                <w14:textFill>
                  <w14:solidFill>
                    <w14:schemeClr w14:val="tx1"/>
                  </w14:solidFill>
                </w14:textFill>
              </w:rPr>
              <w:t>悬浮物</w:t>
            </w:r>
          </w:p>
        </w:tc>
        <w:tc>
          <w:tcPr>
            <w:tcW w:w="3150" w:type="dxa"/>
            <w:gridSpan w:val="2"/>
            <w:noWrap w:val="0"/>
            <w:vAlign w:val="center"/>
          </w:tcPr>
          <w:p w14:paraId="0F194BB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28039F45">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bidi="ar"/>
                <w14:textFill>
                  <w14:solidFill>
                    <w14:schemeClr w14:val="tx1"/>
                  </w14:solidFill>
                </w14:textFill>
              </w:rPr>
              <w:t>400</w:t>
            </w:r>
          </w:p>
        </w:tc>
        <w:tc>
          <w:tcPr>
            <w:tcW w:w="877" w:type="dxa"/>
            <w:noWrap w:val="0"/>
            <w:vAlign w:val="center"/>
          </w:tcPr>
          <w:p w14:paraId="77A0044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8" w:type="dxa"/>
            <w:gridSpan w:val="2"/>
            <w:noWrap w:val="0"/>
            <w:vAlign w:val="center"/>
          </w:tcPr>
          <w:p w14:paraId="1FB2908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宋体"/>
                <w:color w:val="000000" w:themeColor="text1"/>
                <w:kern w:val="0"/>
                <w:szCs w:val="21"/>
                <w:lang w:val="e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072644D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6579705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r>
      <w:tr w14:paraId="1BDE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79D74593">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生化需氧量</w:t>
            </w:r>
          </w:p>
        </w:tc>
        <w:tc>
          <w:tcPr>
            <w:tcW w:w="3150" w:type="dxa"/>
            <w:gridSpan w:val="2"/>
            <w:noWrap w:val="0"/>
            <w:vAlign w:val="center"/>
          </w:tcPr>
          <w:p w14:paraId="46877AD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7C66B81E">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bidi="ar"/>
                <w14:textFill>
                  <w14:solidFill>
                    <w14:schemeClr w14:val="tx1"/>
                  </w14:solidFill>
                </w14:textFill>
              </w:rPr>
              <w:t>200</w:t>
            </w:r>
          </w:p>
        </w:tc>
        <w:tc>
          <w:tcPr>
            <w:tcW w:w="877" w:type="dxa"/>
            <w:noWrap w:val="0"/>
            <w:vAlign w:val="center"/>
          </w:tcPr>
          <w:p w14:paraId="0659279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398" w:type="dxa"/>
            <w:gridSpan w:val="2"/>
            <w:noWrap w:val="0"/>
            <w:vAlign w:val="center"/>
          </w:tcPr>
          <w:p w14:paraId="689FF7C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895" w:type="dxa"/>
            <w:noWrap w:val="0"/>
            <w:vAlign w:val="center"/>
          </w:tcPr>
          <w:p w14:paraId="13A8AA7A">
            <w:pPr>
              <w:snapToGrid w:val="0"/>
              <w:jc w:val="center"/>
              <w:rPr>
                <w:rFonts w:ascii="Times New Roman" w:hAnsi="Times New Roman" w:eastAsia="宋体" w:cs="Times New Roman"/>
                <w:color w:val="000000" w:themeColor="text1"/>
                <w:szCs w:val="21"/>
                <w14:textFill>
                  <w14:solidFill>
                    <w14:schemeClr w14:val="tx1"/>
                  </w14:solidFill>
                </w14:textFill>
              </w:rPr>
            </w:pPr>
          </w:p>
        </w:tc>
      </w:tr>
      <w:tr w14:paraId="0DCC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4DA08A41">
            <w:pPr>
              <w:snapToGrid w:val="0"/>
              <w:jc w:val="center"/>
              <w:rPr>
                <w:rFonts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氨氮</w:t>
            </w:r>
          </w:p>
        </w:tc>
        <w:tc>
          <w:tcPr>
            <w:tcW w:w="3150" w:type="dxa"/>
            <w:gridSpan w:val="2"/>
            <w:noWrap w:val="0"/>
            <w:vAlign w:val="center"/>
          </w:tcPr>
          <w:p w14:paraId="5D0A787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6ABBB19B">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bidi="ar"/>
                <w14:textFill>
                  <w14:solidFill>
                    <w14:schemeClr w14:val="tx1"/>
                  </w14:solidFill>
                </w14:textFill>
              </w:rPr>
              <w:t>35</w:t>
            </w:r>
          </w:p>
        </w:tc>
        <w:tc>
          <w:tcPr>
            <w:tcW w:w="877" w:type="dxa"/>
            <w:noWrap w:val="0"/>
            <w:vAlign w:val="center"/>
          </w:tcPr>
          <w:p w14:paraId="525F87F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8" w:type="dxa"/>
            <w:gridSpan w:val="2"/>
            <w:noWrap w:val="0"/>
            <w:vAlign w:val="center"/>
          </w:tcPr>
          <w:p w14:paraId="78CB2E9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22AE8F3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val="e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08012853">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r>
      <w:tr w14:paraId="5FE6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67C931C5">
            <w:pPr>
              <w:snapToGrid w:val="0"/>
              <w:jc w:val="center"/>
              <w:rPr>
                <w:rFonts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动植物油</w:t>
            </w:r>
          </w:p>
        </w:tc>
        <w:tc>
          <w:tcPr>
            <w:tcW w:w="3150" w:type="dxa"/>
            <w:gridSpan w:val="2"/>
            <w:noWrap w:val="0"/>
            <w:vAlign w:val="center"/>
          </w:tcPr>
          <w:p w14:paraId="5A76480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04815031">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bidi="ar"/>
                <w14:textFill>
                  <w14:solidFill>
                    <w14:schemeClr w14:val="tx1"/>
                  </w14:solidFill>
                </w14:textFill>
              </w:rPr>
              <w:t>100</w:t>
            </w:r>
          </w:p>
        </w:tc>
        <w:tc>
          <w:tcPr>
            <w:tcW w:w="877" w:type="dxa"/>
            <w:noWrap w:val="0"/>
            <w:vAlign w:val="center"/>
          </w:tcPr>
          <w:p w14:paraId="2B1CE7F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8" w:type="dxa"/>
            <w:gridSpan w:val="2"/>
            <w:noWrap w:val="0"/>
            <w:vAlign w:val="center"/>
          </w:tcPr>
          <w:p w14:paraId="46380E5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4822B0EC">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val="e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4355AFC1">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r>
      <w:tr w14:paraId="64EB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noWrap w:val="0"/>
            <w:vAlign w:val="center"/>
          </w:tcPr>
          <w:p w14:paraId="3B30BA7B">
            <w:pPr>
              <w:snapToGrid w:val="0"/>
              <w:jc w:val="center"/>
              <w:rPr>
                <w:rFonts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阴离子表面活性剂</w:t>
            </w:r>
          </w:p>
        </w:tc>
        <w:tc>
          <w:tcPr>
            <w:tcW w:w="3150" w:type="dxa"/>
            <w:gridSpan w:val="2"/>
            <w:noWrap w:val="0"/>
            <w:vAlign w:val="center"/>
          </w:tcPr>
          <w:p w14:paraId="1F978B1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广东省《水污染物排放限值》（DB44/26-2001）第二时段三级标准及霞山水质净化厂进水标准的较严值</w:t>
            </w:r>
          </w:p>
        </w:tc>
        <w:tc>
          <w:tcPr>
            <w:tcW w:w="1159" w:type="dxa"/>
            <w:gridSpan w:val="2"/>
            <w:noWrap w:val="0"/>
            <w:vAlign w:val="center"/>
          </w:tcPr>
          <w:p w14:paraId="1531840E">
            <w:pPr>
              <w:snapToGrid w:val="0"/>
              <w:jc w:val="center"/>
              <w:rPr>
                <w:rFonts w:ascii="Times New Roman" w:hAnsi="Times New Roman" w:eastAsia="宋体" w:cs="宋体"/>
                <w:color w:val="000000" w:themeColor="text1"/>
                <w:szCs w:val="21"/>
                <w:shd w:val="clear" w:color="auto" w:fill="FFFFFF"/>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lang w:bidi="ar"/>
                <w14:textFill>
                  <w14:solidFill>
                    <w14:schemeClr w14:val="tx1"/>
                  </w14:solidFill>
                </w14:textFill>
              </w:rPr>
              <w:t>20</w:t>
            </w:r>
          </w:p>
        </w:tc>
        <w:tc>
          <w:tcPr>
            <w:tcW w:w="877" w:type="dxa"/>
            <w:noWrap w:val="0"/>
            <w:vAlign w:val="center"/>
          </w:tcPr>
          <w:p w14:paraId="55F304F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398" w:type="dxa"/>
            <w:gridSpan w:val="2"/>
            <w:noWrap w:val="0"/>
            <w:vAlign w:val="center"/>
          </w:tcPr>
          <w:p w14:paraId="3960CE8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☑手工监测</w:t>
            </w:r>
          </w:p>
          <w:p w14:paraId="4F1A361E">
            <w:pPr>
              <w:snapToGrid w:val="0"/>
              <w:jc w:val="center"/>
              <w:rPr>
                <w:rFonts w:hint="eastAsia" w:ascii="Times New Roman" w:hAnsi="Times New Roman" w:eastAsia="宋体" w:cs="宋体"/>
                <w:color w:val="000000" w:themeColor="text1"/>
                <w:kern w:val="0"/>
                <w:szCs w:val="21"/>
                <w:lang w:val="en" w:bidi="ar"/>
                <w14:textFill>
                  <w14:solidFill>
                    <w14:schemeClr w14:val="tx1"/>
                  </w14:solidFill>
                </w14:textFill>
              </w:rPr>
            </w:pPr>
            <w:r>
              <w:rPr>
                <w:rFonts w:hint="eastAsia" w:ascii="Times New Roman" w:hAnsi="Times New Roman" w:eastAsia="宋体" w:cs="宋体"/>
                <w:color w:val="000000" w:themeColor="text1"/>
                <w:kern w:val="0"/>
                <w:szCs w:val="21"/>
                <w:lang w:val="en" w:bidi="ar"/>
                <w14:textFill>
                  <w14:solidFill>
                    <w14:schemeClr w14:val="tx1"/>
                  </w14:solidFill>
                </w14:textFill>
              </w:rPr>
              <w:t>□</w:t>
            </w:r>
            <w:r>
              <w:rPr>
                <w:rFonts w:hint="eastAsia" w:ascii="Times New Roman" w:hAnsi="Times New Roman" w:eastAsia="宋体" w:cs="宋体"/>
                <w:color w:val="000000" w:themeColor="text1"/>
                <w:kern w:val="0"/>
                <w:szCs w:val="21"/>
                <w:lang w:bidi="ar"/>
                <w14:textFill>
                  <w14:solidFill>
                    <w14:schemeClr w14:val="tx1"/>
                  </w14:solidFill>
                </w14:textFill>
              </w:rPr>
              <w:t>自动监测</w:t>
            </w:r>
          </w:p>
        </w:tc>
        <w:tc>
          <w:tcPr>
            <w:tcW w:w="895" w:type="dxa"/>
            <w:noWrap w:val="0"/>
            <w:vAlign w:val="center"/>
          </w:tcPr>
          <w:p w14:paraId="2719B948">
            <w:pPr>
              <w:snapToGrid w:val="0"/>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1次/</w:t>
            </w:r>
            <w:r>
              <w:rPr>
                <w:rFonts w:hint="eastAsia" w:ascii="Times New Roman" w:hAnsi="Times New Roman" w:eastAsia="宋体" w:cs="Times New Roman"/>
                <w:color w:val="000000" w:themeColor="text1"/>
                <w:szCs w:val="21"/>
                <w14:textFill>
                  <w14:solidFill>
                    <w14:schemeClr w14:val="tx1"/>
                  </w14:solidFill>
                </w14:textFill>
              </w:rPr>
              <w:t>半年</w:t>
            </w:r>
          </w:p>
        </w:tc>
      </w:tr>
      <w:tr w14:paraId="2EF8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noWrap w:val="0"/>
            <w:vAlign w:val="center"/>
          </w:tcPr>
          <w:p w14:paraId="2179AAE8">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其他信息</w:t>
            </w:r>
          </w:p>
        </w:tc>
      </w:tr>
      <w:tr w14:paraId="457E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8522" w:type="dxa"/>
            <w:gridSpan w:val="9"/>
            <w:noWrap w:val="0"/>
            <w:vAlign w:val="center"/>
          </w:tcPr>
          <w:p w14:paraId="0B6C8F40">
            <w:pPr>
              <w:snapToGrid w:val="0"/>
              <w:jc w:val="left"/>
              <w:rPr>
                <w:rFonts w:ascii="Times New Roman" w:hAnsi="Times New Roman" w:eastAsia="宋体" w:cs="Times New Roman"/>
                <w:color w:val="000000" w:themeColor="text1"/>
                <w:kern w:val="0"/>
                <w:szCs w:val="21"/>
                <w:lang w:bidi="ar"/>
                <w14:textFill>
                  <w14:solidFill>
                    <w14:schemeClr w14:val="tx1"/>
                  </w14:solidFill>
                </w14:textFill>
              </w:rPr>
            </w:pPr>
          </w:p>
          <w:p w14:paraId="73CFE716">
            <w:pPr>
              <w:snapToGrid w:val="0"/>
              <w:jc w:val="left"/>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其他需要补充说明的内容</w:t>
            </w:r>
          </w:p>
          <w:p w14:paraId="1B8DF67C">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p>
          <w:p w14:paraId="271F1E37">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p>
        </w:tc>
      </w:tr>
    </w:tbl>
    <w:p w14:paraId="1A4AEC61">
      <w:pPr>
        <w:widowControl/>
        <w:snapToGrid w:val="0"/>
        <w:jc w:val="left"/>
        <w:rPr>
          <w:color w:val="000000" w:themeColor="text1"/>
          <w:kern w:val="0"/>
          <w:szCs w:val="32"/>
          <w:lang w:bidi="ar"/>
          <w14:textFill>
            <w14:solidFill>
              <w14:schemeClr w14:val="tx1"/>
            </w14:solidFill>
          </w14:textFill>
        </w:rPr>
      </w:pPr>
      <w:r>
        <w:rPr>
          <w:color w:val="000000" w:themeColor="text1"/>
          <w:kern w:val="0"/>
          <w:szCs w:val="32"/>
          <w:lang w:bidi="ar"/>
          <w14:textFill>
            <w14:solidFill>
              <w14:schemeClr w14:val="tx1"/>
            </w14:solidFill>
          </w14:textFill>
        </w:rPr>
        <w:t>备注：生产废水排放口、车间废水排放口均需单独填报《水污染物排放信息表》，表格序号按表4-1、表4-2…的规则编号。</w:t>
      </w:r>
    </w:p>
    <w:p w14:paraId="00D8C2B2">
      <w:pPr>
        <w:widowControl/>
        <w:jc w:val="left"/>
        <w:rPr>
          <w:color w:val="000000" w:themeColor="text1"/>
          <w:kern w:val="0"/>
          <w:sz w:val="32"/>
          <w:szCs w:val="32"/>
          <w:lang w:bidi="ar"/>
          <w14:textFill>
            <w14:solidFill>
              <w14:schemeClr w14:val="tx1"/>
            </w14:solidFill>
          </w14:textFill>
        </w:rPr>
      </w:pPr>
    </w:p>
    <w:p w14:paraId="1A72A70B">
      <w:pPr>
        <w:widowControl/>
        <w:jc w:val="center"/>
        <w:rPr>
          <w:b/>
          <w:bCs/>
          <w:color w:val="000000" w:themeColor="text1"/>
          <w:kern w:val="0"/>
          <w:sz w:val="32"/>
          <w:szCs w:val="32"/>
          <w:lang w:bidi="ar"/>
          <w14:textFill>
            <w14:solidFill>
              <w14:schemeClr w14:val="tx1"/>
            </w14:solidFill>
          </w14:textFill>
        </w:rPr>
      </w:pPr>
      <w:r>
        <w:rPr>
          <w:b/>
          <w:bCs/>
          <w:color w:val="000000" w:themeColor="text1"/>
          <w:kern w:val="0"/>
          <w:sz w:val="32"/>
          <w:szCs w:val="32"/>
          <w:lang w:bidi="ar"/>
          <w14:textFill>
            <w14:solidFill>
              <w14:schemeClr w14:val="tx1"/>
            </w14:solidFill>
          </w14:textFill>
        </w:rPr>
        <w:t>表</w:t>
      </w:r>
      <w:r>
        <w:rPr>
          <w:rFonts w:hint="eastAsia"/>
          <w:b/>
          <w:bCs/>
          <w:color w:val="000000" w:themeColor="text1"/>
          <w:kern w:val="0"/>
          <w:sz w:val="32"/>
          <w:szCs w:val="32"/>
          <w:lang w:bidi="ar"/>
          <w14:textFill>
            <w14:solidFill>
              <w14:schemeClr w14:val="tx1"/>
            </w14:solidFill>
          </w14:textFill>
        </w:rPr>
        <w:t>4</w:t>
      </w:r>
      <w:r>
        <w:rPr>
          <w:b/>
          <w:bCs/>
          <w:color w:val="000000" w:themeColor="text1"/>
          <w:kern w:val="0"/>
          <w:sz w:val="32"/>
          <w:szCs w:val="32"/>
          <w:lang w:bidi="ar"/>
          <w14:textFill>
            <w14:solidFill>
              <w14:schemeClr w14:val="tx1"/>
            </w14:solidFill>
          </w14:textFill>
        </w:rPr>
        <w:t>排放总量汇总</w:t>
      </w:r>
    </w:p>
    <w:tbl>
      <w:tblPr>
        <w:tblStyle w:val="32"/>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3818"/>
        <w:gridCol w:w="1113"/>
        <w:gridCol w:w="1113"/>
        <w:gridCol w:w="1116"/>
      </w:tblGrid>
      <w:tr w14:paraId="7D75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40" w:type="dxa"/>
            <w:gridSpan w:val="5"/>
            <w:noWrap w:val="0"/>
            <w:vAlign w:val="center"/>
          </w:tcPr>
          <w:p w14:paraId="2058299C">
            <w:pPr>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大气污染物</w:t>
            </w:r>
          </w:p>
        </w:tc>
      </w:tr>
      <w:tr w14:paraId="6508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380" w:type="dxa"/>
            <w:noWrap w:val="0"/>
            <w:vAlign w:val="center"/>
          </w:tcPr>
          <w:p w14:paraId="458A168D">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序号</w:t>
            </w:r>
          </w:p>
        </w:tc>
        <w:tc>
          <w:tcPr>
            <w:tcW w:w="3818" w:type="dxa"/>
            <w:noWrap w:val="0"/>
            <w:vAlign w:val="center"/>
          </w:tcPr>
          <w:p w14:paraId="13FFB07D">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污染物种类</w:t>
            </w:r>
          </w:p>
        </w:tc>
        <w:tc>
          <w:tcPr>
            <w:tcW w:w="1113" w:type="dxa"/>
            <w:noWrap w:val="0"/>
            <w:vAlign w:val="center"/>
          </w:tcPr>
          <w:p w14:paraId="6E798530">
            <w:pPr>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有组织许可排放量</w:t>
            </w:r>
          </w:p>
        </w:tc>
        <w:tc>
          <w:tcPr>
            <w:tcW w:w="1113" w:type="dxa"/>
            <w:noWrap w:val="0"/>
            <w:vAlign w:val="center"/>
          </w:tcPr>
          <w:p w14:paraId="42D13483">
            <w:pPr>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无组织许可排放量</w:t>
            </w:r>
          </w:p>
        </w:tc>
        <w:tc>
          <w:tcPr>
            <w:tcW w:w="1116" w:type="dxa"/>
            <w:noWrap w:val="0"/>
            <w:vAlign w:val="center"/>
          </w:tcPr>
          <w:p w14:paraId="7EBA6F8C">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总许可</w:t>
            </w:r>
            <w:r>
              <w:rPr>
                <w:rFonts w:hint="eastAsia" w:ascii="Times New Roman" w:hAnsi="Times New Roman" w:eastAsia="宋体" w:cs="宋体"/>
                <w:color w:val="000000" w:themeColor="text1"/>
                <w:kern w:val="0"/>
                <w:szCs w:val="21"/>
                <w:lang w:bidi="ar"/>
                <w14:textFill>
                  <w14:solidFill>
                    <w14:schemeClr w14:val="tx1"/>
                  </w14:solidFill>
                </w14:textFill>
              </w:rPr>
              <w:t>排放量</w:t>
            </w:r>
          </w:p>
        </w:tc>
      </w:tr>
      <w:tr w14:paraId="54EF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380" w:type="dxa"/>
            <w:noWrap w:val="0"/>
            <w:vAlign w:val="center"/>
          </w:tcPr>
          <w:p w14:paraId="213A1792">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1</w:t>
            </w:r>
          </w:p>
        </w:tc>
        <w:tc>
          <w:tcPr>
            <w:tcW w:w="3818" w:type="dxa"/>
            <w:noWrap w:val="0"/>
            <w:vAlign w:val="center"/>
          </w:tcPr>
          <w:p w14:paraId="7C928378">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SO</w:t>
            </w:r>
            <w:r>
              <w:rPr>
                <w:rFonts w:hint="eastAsia" w:ascii="Times New Roman" w:hAnsi="Times New Roman" w:eastAsia="宋体" w:cs="宋体"/>
                <w:color w:val="000000" w:themeColor="text1"/>
                <w:kern w:val="0"/>
                <w:szCs w:val="21"/>
                <w:vertAlign w:val="subscript"/>
                <w:lang w:bidi="ar"/>
                <w14:textFill>
                  <w14:solidFill>
                    <w14:schemeClr w14:val="tx1"/>
                  </w14:solidFill>
                </w14:textFill>
              </w:rPr>
              <w:t>2</w:t>
            </w:r>
          </w:p>
        </w:tc>
        <w:tc>
          <w:tcPr>
            <w:tcW w:w="1113" w:type="dxa"/>
            <w:noWrap w:val="0"/>
            <w:vAlign w:val="center"/>
          </w:tcPr>
          <w:p w14:paraId="0351FD52">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3" w:type="dxa"/>
            <w:noWrap w:val="0"/>
            <w:vAlign w:val="center"/>
          </w:tcPr>
          <w:p w14:paraId="1127AAC4">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6" w:type="dxa"/>
            <w:noWrap w:val="0"/>
            <w:vAlign w:val="center"/>
          </w:tcPr>
          <w:p w14:paraId="15CE9A00">
            <w:pPr>
              <w:widowControl/>
              <w:jc w:val="center"/>
              <w:textAlignment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0.1842</w:t>
            </w:r>
          </w:p>
        </w:tc>
      </w:tr>
      <w:tr w14:paraId="6CF9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380" w:type="dxa"/>
            <w:noWrap w:val="0"/>
            <w:vAlign w:val="center"/>
          </w:tcPr>
          <w:p w14:paraId="13CCB1EF">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w:t>
            </w:r>
          </w:p>
        </w:tc>
        <w:tc>
          <w:tcPr>
            <w:tcW w:w="3818" w:type="dxa"/>
            <w:noWrap w:val="0"/>
            <w:vAlign w:val="center"/>
          </w:tcPr>
          <w:p w14:paraId="3716DEDD">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NOx</w:t>
            </w:r>
          </w:p>
        </w:tc>
        <w:tc>
          <w:tcPr>
            <w:tcW w:w="1113" w:type="dxa"/>
            <w:noWrap w:val="0"/>
            <w:vAlign w:val="center"/>
          </w:tcPr>
          <w:p w14:paraId="7F2DC5A3">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3" w:type="dxa"/>
            <w:noWrap w:val="0"/>
            <w:vAlign w:val="center"/>
          </w:tcPr>
          <w:p w14:paraId="67B05643">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6" w:type="dxa"/>
            <w:noWrap w:val="0"/>
            <w:vAlign w:val="center"/>
          </w:tcPr>
          <w:p w14:paraId="41F8DCE6">
            <w:pPr>
              <w:widowControl/>
              <w:jc w:val="center"/>
              <w:textAlignment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0.7735</w:t>
            </w:r>
          </w:p>
        </w:tc>
      </w:tr>
      <w:tr w14:paraId="3369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380" w:type="dxa"/>
            <w:noWrap w:val="0"/>
            <w:vAlign w:val="center"/>
          </w:tcPr>
          <w:p w14:paraId="530EDFA9">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3</w:t>
            </w:r>
          </w:p>
        </w:tc>
        <w:tc>
          <w:tcPr>
            <w:tcW w:w="3818" w:type="dxa"/>
            <w:noWrap w:val="0"/>
            <w:vAlign w:val="center"/>
          </w:tcPr>
          <w:p w14:paraId="32F74C93">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颗粒物</w:t>
            </w:r>
          </w:p>
        </w:tc>
        <w:tc>
          <w:tcPr>
            <w:tcW w:w="1113" w:type="dxa"/>
            <w:noWrap w:val="0"/>
            <w:vAlign w:val="center"/>
          </w:tcPr>
          <w:p w14:paraId="177CC31C">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3" w:type="dxa"/>
            <w:noWrap w:val="0"/>
            <w:vAlign w:val="center"/>
          </w:tcPr>
          <w:p w14:paraId="465F580F">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6" w:type="dxa"/>
            <w:noWrap w:val="0"/>
            <w:vAlign w:val="center"/>
          </w:tcPr>
          <w:p w14:paraId="3D6A06BF">
            <w:pPr>
              <w:widowControl/>
              <w:jc w:val="center"/>
              <w:textAlignment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0.0542</w:t>
            </w:r>
          </w:p>
        </w:tc>
      </w:tr>
      <w:tr w14:paraId="6EDB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380" w:type="dxa"/>
            <w:noWrap w:val="0"/>
            <w:vAlign w:val="center"/>
          </w:tcPr>
          <w:p w14:paraId="5499F14F">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4</w:t>
            </w:r>
          </w:p>
        </w:tc>
        <w:tc>
          <w:tcPr>
            <w:tcW w:w="3818" w:type="dxa"/>
            <w:noWrap w:val="0"/>
            <w:vAlign w:val="center"/>
          </w:tcPr>
          <w:p w14:paraId="38C9F686">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CO</w:t>
            </w:r>
          </w:p>
        </w:tc>
        <w:tc>
          <w:tcPr>
            <w:tcW w:w="1113" w:type="dxa"/>
            <w:noWrap w:val="0"/>
            <w:vAlign w:val="center"/>
          </w:tcPr>
          <w:p w14:paraId="79229F6D">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3" w:type="dxa"/>
            <w:noWrap w:val="0"/>
            <w:vAlign w:val="center"/>
          </w:tcPr>
          <w:p w14:paraId="7FD7FEE9">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w:t>
            </w:r>
          </w:p>
        </w:tc>
        <w:tc>
          <w:tcPr>
            <w:tcW w:w="1116" w:type="dxa"/>
            <w:noWrap w:val="0"/>
            <w:vAlign w:val="center"/>
          </w:tcPr>
          <w:p w14:paraId="6B7CFAA7">
            <w:pPr>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1.21</w:t>
            </w:r>
          </w:p>
        </w:tc>
      </w:tr>
      <w:tr w14:paraId="009F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540" w:type="dxa"/>
            <w:gridSpan w:val="5"/>
            <w:noWrap w:val="0"/>
            <w:vAlign w:val="center"/>
          </w:tcPr>
          <w:p w14:paraId="77E321A9">
            <w:pPr>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水污染物</w:t>
            </w:r>
          </w:p>
        </w:tc>
      </w:tr>
      <w:tr w14:paraId="0291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380" w:type="dxa"/>
            <w:noWrap w:val="0"/>
            <w:vAlign w:val="center"/>
          </w:tcPr>
          <w:p w14:paraId="340584A3">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序号</w:t>
            </w:r>
          </w:p>
        </w:tc>
        <w:tc>
          <w:tcPr>
            <w:tcW w:w="3818" w:type="dxa"/>
            <w:noWrap w:val="0"/>
            <w:vAlign w:val="center"/>
          </w:tcPr>
          <w:p w14:paraId="4C4B11BA">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污染物种类</w:t>
            </w:r>
          </w:p>
        </w:tc>
        <w:tc>
          <w:tcPr>
            <w:tcW w:w="3342" w:type="dxa"/>
            <w:gridSpan w:val="3"/>
            <w:noWrap w:val="0"/>
            <w:vAlign w:val="center"/>
          </w:tcPr>
          <w:p w14:paraId="37F6B1E1">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年</w:t>
            </w:r>
            <w:r>
              <w:rPr>
                <w:rFonts w:hint="eastAsia" w:ascii="Times New Roman" w:hAnsi="Times New Roman" w:eastAsia="宋体" w:cs="宋体"/>
                <w:color w:val="000000" w:themeColor="text1"/>
                <w:kern w:val="0"/>
                <w:szCs w:val="21"/>
                <w:lang w:eastAsia="zh-Hans" w:bidi="ar"/>
                <w14:textFill>
                  <w14:solidFill>
                    <w14:schemeClr w14:val="tx1"/>
                  </w14:solidFill>
                </w14:textFill>
              </w:rPr>
              <w:t>许可</w:t>
            </w:r>
            <w:r>
              <w:rPr>
                <w:rFonts w:hint="eastAsia" w:ascii="Times New Roman" w:hAnsi="Times New Roman" w:eastAsia="宋体" w:cs="宋体"/>
                <w:color w:val="000000" w:themeColor="text1"/>
                <w:kern w:val="0"/>
                <w:szCs w:val="21"/>
                <w:lang w:bidi="ar"/>
                <w14:textFill>
                  <w14:solidFill>
                    <w14:schemeClr w14:val="tx1"/>
                  </w14:solidFill>
                </w14:textFill>
              </w:rPr>
              <w:t>排放量</w:t>
            </w:r>
          </w:p>
        </w:tc>
      </w:tr>
      <w:tr w14:paraId="18CD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80" w:type="dxa"/>
            <w:noWrap w:val="0"/>
            <w:vAlign w:val="center"/>
          </w:tcPr>
          <w:p w14:paraId="768E3DFA">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1</w:t>
            </w:r>
          </w:p>
        </w:tc>
        <w:tc>
          <w:tcPr>
            <w:tcW w:w="3818" w:type="dxa"/>
            <w:noWrap w:val="0"/>
            <w:vAlign w:val="center"/>
          </w:tcPr>
          <w:p w14:paraId="5A1974E8">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化学需氧量</w:t>
            </w:r>
          </w:p>
        </w:tc>
        <w:tc>
          <w:tcPr>
            <w:tcW w:w="3342" w:type="dxa"/>
            <w:gridSpan w:val="3"/>
            <w:noWrap w:val="0"/>
            <w:vAlign w:val="center"/>
          </w:tcPr>
          <w:p w14:paraId="4B74C5D3">
            <w:pPr>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11.049</w:t>
            </w:r>
          </w:p>
        </w:tc>
      </w:tr>
      <w:tr w14:paraId="798F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1380" w:type="dxa"/>
            <w:noWrap w:val="0"/>
            <w:vAlign w:val="center"/>
          </w:tcPr>
          <w:p w14:paraId="28992891">
            <w:pPr>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w:t>
            </w:r>
          </w:p>
        </w:tc>
        <w:tc>
          <w:tcPr>
            <w:tcW w:w="3818" w:type="dxa"/>
            <w:noWrap w:val="0"/>
            <w:vAlign w:val="center"/>
          </w:tcPr>
          <w:p w14:paraId="52FEAA82">
            <w:pPr>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氨氮</w:t>
            </w:r>
          </w:p>
        </w:tc>
        <w:tc>
          <w:tcPr>
            <w:tcW w:w="3342" w:type="dxa"/>
            <w:gridSpan w:val="3"/>
            <w:noWrap w:val="0"/>
            <w:vAlign w:val="center"/>
          </w:tcPr>
          <w:p w14:paraId="65994CCA">
            <w:pPr>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2.808</w:t>
            </w:r>
          </w:p>
        </w:tc>
      </w:tr>
    </w:tbl>
    <w:p w14:paraId="5F848370">
      <w:pPr>
        <w:widowControl/>
        <w:jc w:val="left"/>
        <w:rPr>
          <w:b/>
          <w:bCs/>
          <w:color w:val="000000" w:themeColor="text1"/>
          <w:kern w:val="0"/>
          <w:sz w:val="32"/>
          <w:szCs w:val="32"/>
          <w:lang w:bidi="ar"/>
          <w14:textFill>
            <w14:solidFill>
              <w14:schemeClr w14:val="tx1"/>
            </w14:solidFill>
          </w14:textFill>
        </w:rPr>
      </w:pPr>
    </w:p>
    <w:p w14:paraId="7C689EDB">
      <w:pPr>
        <w:jc w:val="center"/>
        <w:rPr>
          <w:b/>
          <w:bCs/>
          <w:color w:val="000000" w:themeColor="text1"/>
          <w:kern w:val="0"/>
          <w:sz w:val="32"/>
          <w:szCs w:val="32"/>
          <w:lang w:bidi="ar"/>
          <w14:textFill>
            <w14:solidFill>
              <w14:schemeClr w14:val="tx1"/>
            </w14:solidFill>
          </w14:textFill>
        </w:rPr>
      </w:pPr>
      <w:r>
        <w:rPr>
          <w:b/>
          <w:bCs/>
          <w:color w:val="000000" w:themeColor="text1"/>
          <w:kern w:val="0"/>
          <w:sz w:val="32"/>
          <w:szCs w:val="32"/>
          <w:lang w:bidi="ar"/>
          <w14:textFill>
            <w14:solidFill>
              <w14:schemeClr w14:val="tx1"/>
            </w14:solidFill>
          </w14:textFill>
        </w:rPr>
        <w:t>表</w:t>
      </w:r>
      <w:r>
        <w:rPr>
          <w:rFonts w:hint="eastAsia"/>
          <w:b/>
          <w:bCs/>
          <w:color w:val="000000" w:themeColor="text1"/>
          <w:kern w:val="0"/>
          <w:sz w:val="32"/>
          <w:szCs w:val="32"/>
          <w:lang w:bidi="ar"/>
          <w14:textFill>
            <w14:solidFill>
              <w14:schemeClr w14:val="tx1"/>
            </w14:solidFill>
          </w14:textFill>
        </w:rPr>
        <w:t>5</w:t>
      </w:r>
      <w:r>
        <w:rPr>
          <w:b/>
          <w:bCs/>
          <w:color w:val="000000" w:themeColor="text1"/>
          <w:kern w:val="0"/>
          <w:sz w:val="32"/>
          <w:szCs w:val="32"/>
          <w:lang w:bidi="ar"/>
          <w14:textFill>
            <w14:solidFill>
              <w14:schemeClr w14:val="tx1"/>
            </w14:solidFill>
          </w14:textFill>
        </w:rPr>
        <w:t>噪声及工业固体废物</w:t>
      </w:r>
      <w:r>
        <w:rPr>
          <w:rFonts w:hint="eastAsia"/>
          <w:b/>
          <w:bCs/>
          <w:color w:val="000000" w:themeColor="text1"/>
          <w:kern w:val="0"/>
          <w:sz w:val="32"/>
          <w:szCs w:val="32"/>
          <w:lang w:bidi="ar"/>
          <w14:textFill>
            <w14:solidFill>
              <w14:schemeClr w14:val="tx1"/>
            </w14:solidFill>
          </w14:textFill>
        </w:rPr>
        <w:t>管理</w:t>
      </w:r>
      <w:r>
        <w:rPr>
          <w:b/>
          <w:bCs/>
          <w:color w:val="000000" w:themeColor="text1"/>
          <w:kern w:val="0"/>
          <w:sz w:val="32"/>
          <w:szCs w:val="32"/>
          <w:lang w:bidi="ar"/>
          <w14:textFill>
            <w14:solidFill>
              <w14:schemeClr w14:val="tx1"/>
            </w14:solidFill>
          </w14:textFill>
        </w:rPr>
        <w:t>信息表</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703"/>
        <w:gridCol w:w="1503"/>
        <w:gridCol w:w="346"/>
        <w:gridCol w:w="553"/>
        <w:gridCol w:w="1205"/>
        <w:gridCol w:w="15"/>
        <w:gridCol w:w="211"/>
        <w:gridCol w:w="980"/>
        <w:gridCol w:w="264"/>
        <w:gridCol w:w="1500"/>
      </w:tblGrid>
      <w:tr w14:paraId="2F63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1"/>
            <w:noWrap w:val="0"/>
            <w:vAlign w:val="center"/>
          </w:tcPr>
          <w:p w14:paraId="3E74F889">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噪声排放信息</w:t>
            </w:r>
          </w:p>
        </w:tc>
      </w:tr>
      <w:tr w14:paraId="2C4E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dxa"/>
            <w:gridSpan w:val="2"/>
            <w:vMerge w:val="restart"/>
            <w:noWrap w:val="0"/>
            <w:vAlign w:val="center"/>
          </w:tcPr>
          <w:p w14:paraId="29D32143">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生产时段</w:t>
            </w:r>
          </w:p>
        </w:tc>
        <w:tc>
          <w:tcPr>
            <w:tcW w:w="1503" w:type="dxa"/>
            <w:vMerge w:val="restart"/>
            <w:noWrap w:val="0"/>
            <w:vAlign w:val="center"/>
          </w:tcPr>
          <w:p w14:paraId="3D5BF6F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厂界位置</w:t>
            </w:r>
          </w:p>
        </w:tc>
        <w:tc>
          <w:tcPr>
            <w:tcW w:w="2119" w:type="dxa"/>
            <w:gridSpan w:val="4"/>
            <w:vMerge w:val="restart"/>
            <w:noWrap w:val="0"/>
            <w:vAlign w:val="center"/>
          </w:tcPr>
          <w:p w14:paraId="085F1C87">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排放标准名称</w:t>
            </w:r>
          </w:p>
        </w:tc>
        <w:tc>
          <w:tcPr>
            <w:tcW w:w="2955" w:type="dxa"/>
            <w:gridSpan w:val="4"/>
            <w:noWrap w:val="0"/>
            <w:vAlign w:val="center"/>
          </w:tcPr>
          <w:p w14:paraId="1F87C34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排放限值</w:t>
            </w:r>
          </w:p>
        </w:tc>
      </w:tr>
      <w:tr w14:paraId="6B2B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dxa"/>
            <w:gridSpan w:val="2"/>
            <w:vMerge w:val="continue"/>
            <w:noWrap w:val="0"/>
            <w:vAlign w:val="center"/>
          </w:tcPr>
          <w:p w14:paraId="16BE8C7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503" w:type="dxa"/>
            <w:vMerge w:val="continue"/>
            <w:noWrap w:val="0"/>
            <w:vAlign w:val="center"/>
          </w:tcPr>
          <w:p w14:paraId="616BADB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2119" w:type="dxa"/>
            <w:gridSpan w:val="4"/>
            <w:vMerge w:val="continue"/>
            <w:noWrap w:val="0"/>
            <w:vAlign w:val="center"/>
          </w:tcPr>
          <w:p w14:paraId="5A77B340">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455" w:type="dxa"/>
            <w:gridSpan w:val="3"/>
            <w:noWrap w:val="0"/>
            <w:vAlign w:val="center"/>
          </w:tcPr>
          <w:p w14:paraId="584609B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昼间</w:t>
            </w:r>
          </w:p>
        </w:tc>
        <w:tc>
          <w:tcPr>
            <w:tcW w:w="1500" w:type="dxa"/>
            <w:noWrap w:val="0"/>
            <w:vAlign w:val="center"/>
          </w:tcPr>
          <w:p w14:paraId="01268174">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夜间</w:t>
            </w:r>
          </w:p>
        </w:tc>
      </w:tr>
      <w:tr w14:paraId="0B38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dxa"/>
            <w:gridSpan w:val="2"/>
            <w:noWrap w:val="0"/>
            <w:vAlign w:val="center"/>
          </w:tcPr>
          <w:p w14:paraId="5F23A369">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昼间6:00-22:00</w:t>
            </w:r>
          </w:p>
          <w:p w14:paraId="77D0E29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夜间22:00-6:00</w:t>
            </w:r>
          </w:p>
        </w:tc>
        <w:tc>
          <w:tcPr>
            <w:tcW w:w="1503" w:type="dxa"/>
            <w:noWrap w:val="0"/>
            <w:vAlign w:val="center"/>
          </w:tcPr>
          <w:p w14:paraId="629F710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四周</w:t>
            </w:r>
          </w:p>
        </w:tc>
        <w:tc>
          <w:tcPr>
            <w:tcW w:w="2119" w:type="dxa"/>
            <w:gridSpan w:val="4"/>
            <w:noWrap w:val="0"/>
            <w:vAlign w:val="center"/>
          </w:tcPr>
          <w:p w14:paraId="3FFAC51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《工业企业厂界环境噪声排放标准》（GB12348-2008）</w:t>
            </w:r>
          </w:p>
        </w:tc>
        <w:tc>
          <w:tcPr>
            <w:tcW w:w="1455" w:type="dxa"/>
            <w:gridSpan w:val="3"/>
            <w:noWrap w:val="0"/>
            <w:vAlign w:val="center"/>
          </w:tcPr>
          <w:p w14:paraId="00A207A9">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60</w:t>
            </w:r>
          </w:p>
        </w:tc>
        <w:tc>
          <w:tcPr>
            <w:tcW w:w="1500" w:type="dxa"/>
            <w:noWrap w:val="0"/>
            <w:vAlign w:val="center"/>
          </w:tcPr>
          <w:p w14:paraId="54B7ED2E">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50</w:t>
            </w:r>
          </w:p>
        </w:tc>
      </w:tr>
      <w:tr w14:paraId="08900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1"/>
            <w:noWrap w:val="0"/>
            <w:vAlign w:val="center"/>
          </w:tcPr>
          <w:p w14:paraId="0869D461">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工业固体废物</w:t>
            </w:r>
            <w:r>
              <w:rPr>
                <w:rFonts w:hint="eastAsia" w:ascii="Times New Roman" w:hAnsi="Times New Roman" w:eastAsia="宋体" w:cs="Times New Roman"/>
                <w:b/>
                <w:color w:val="000000" w:themeColor="text1"/>
                <w:kern w:val="0"/>
                <w:szCs w:val="21"/>
                <w:lang w:bidi="ar"/>
                <w14:textFill>
                  <w14:solidFill>
                    <w14:schemeClr w14:val="tx1"/>
                  </w14:solidFill>
                </w14:textFill>
              </w:rPr>
              <w:t>管理</w:t>
            </w:r>
            <w:r>
              <w:rPr>
                <w:rFonts w:ascii="Times New Roman" w:hAnsi="Times New Roman" w:eastAsia="宋体" w:cs="Times New Roman"/>
                <w:b/>
                <w:color w:val="000000" w:themeColor="text1"/>
                <w:kern w:val="0"/>
                <w:szCs w:val="21"/>
                <w:lang w:bidi="ar"/>
                <w14:textFill>
                  <w14:solidFill>
                    <w14:schemeClr w14:val="tx1"/>
                  </w14:solidFill>
                </w14:textFill>
              </w:rPr>
              <w:t>信息</w:t>
            </w:r>
          </w:p>
        </w:tc>
      </w:tr>
      <w:tr w14:paraId="440B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018CCD58">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类别</w:t>
            </w:r>
          </w:p>
        </w:tc>
        <w:tc>
          <w:tcPr>
            <w:tcW w:w="2552" w:type="dxa"/>
            <w:gridSpan w:val="3"/>
            <w:noWrap w:val="0"/>
            <w:vAlign w:val="center"/>
          </w:tcPr>
          <w:p w14:paraId="78CF55A6">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名称</w:t>
            </w:r>
          </w:p>
        </w:tc>
        <w:tc>
          <w:tcPr>
            <w:tcW w:w="1984" w:type="dxa"/>
            <w:gridSpan w:val="4"/>
            <w:noWrap w:val="0"/>
            <w:vAlign w:val="center"/>
          </w:tcPr>
          <w:p w14:paraId="6A2035B8">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危废代码/一般工业固体废物种类</w:t>
            </w:r>
          </w:p>
        </w:tc>
        <w:tc>
          <w:tcPr>
            <w:tcW w:w="1244" w:type="dxa"/>
            <w:gridSpan w:val="2"/>
            <w:noWrap w:val="0"/>
            <w:vAlign w:val="center"/>
          </w:tcPr>
          <w:p w14:paraId="631A4AB4">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去向</w:t>
            </w:r>
          </w:p>
        </w:tc>
        <w:tc>
          <w:tcPr>
            <w:tcW w:w="1500" w:type="dxa"/>
            <w:noWrap w:val="0"/>
            <w:vAlign w:val="center"/>
          </w:tcPr>
          <w:p w14:paraId="024969BC">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备注</w:t>
            </w:r>
          </w:p>
        </w:tc>
      </w:tr>
      <w:tr w14:paraId="0E78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6A3D1FB5">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6678EE54">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锅炉灰渣</w:t>
            </w:r>
          </w:p>
        </w:tc>
        <w:tc>
          <w:tcPr>
            <w:tcW w:w="1984" w:type="dxa"/>
            <w:gridSpan w:val="4"/>
            <w:noWrap w:val="0"/>
            <w:vAlign w:val="center"/>
          </w:tcPr>
          <w:p w14:paraId="1C61CCA3">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900-099-S03</w:t>
            </w:r>
          </w:p>
        </w:tc>
        <w:tc>
          <w:tcPr>
            <w:tcW w:w="1244" w:type="dxa"/>
            <w:gridSpan w:val="2"/>
            <w:noWrap w:val="0"/>
            <w:vAlign w:val="center"/>
          </w:tcPr>
          <w:p w14:paraId="258FCEB7">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5A648C21">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其他炉渣</w:t>
            </w:r>
          </w:p>
        </w:tc>
      </w:tr>
      <w:tr w14:paraId="4042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4F4B6270">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5E9FF381">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收尘灰</w:t>
            </w:r>
          </w:p>
        </w:tc>
        <w:tc>
          <w:tcPr>
            <w:tcW w:w="1984" w:type="dxa"/>
            <w:gridSpan w:val="4"/>
            <w:noWrap w:val="0"/>
            <w:vAlign w:val="center"/>
          </w:tcPr>
          <w:p w14:paraId="5485F5A2">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900-099-S03</w:t>
            </w:r>
          </w:p>
        </w:tc>
        <w:tc>
          <w:tcPr>
            <w:tcW w:w="1244" w:type="dxa"/>
            <w:gridSpan w:val="2"/>
            <w:noWrap w:val="0"/>
            <w:vAlign w:val="center"/>
          </w:tcPr>
          <w:p w14:paraId="156F4E04">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710FC9B9">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其他炉渣</w:t>
            </w:r>
          </w:p>
        </w:tc>
      </w:tr>
      <w:tr w14:paraId="1F1B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3C945EA1">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5754E84B">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废布袋</w:t>
            </w:r>
          </w:p>
        </w:tc>
        <w:tc>
          <w:tcPr>
            <w:tcW w:w="1984" w:type="dxa"/>
            <w:gridSpan w:val="4"/>
            <w:noWrap w:val="0"/>
            <w:vAlign w:val="center"/>
          </w:tcPr>
          <w:p w14:paraId="3C4B2A8E">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900-009-S59</w:t>
            </w:r>
          </w:p>
        </w:tc>
        <w:tc>
          <w:tcPr>
            <w:tcW w:w="1244" w:type="dxa"/>
            <w:gridSpan w:val="2"/>
            <w:noWrap w:val="0"/>
            <w:vAlign w:val="center"/>
          </w:tcPr>
          <w:p w14:paraId="4D972572">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7C44ACB0">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废过滤材料</w:t>
            </w:r>
          </w:p>
        </w:tc>
      </w:tr>
      <w:tr w14:paraId="5CE0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615BD4C7">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123C76DE">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废离子交换树脂</w:t>
            </w:r>
          </w:p>
        </w:tc>
        <w:tc>
          <w:tcPr>
            <w:tcW w:w="1984" w:type="dxa"/>
            <w:gridSpan w:val="4"/>
            <w:noWrap w:val="0"/>
            <w:vAlign w:val="center"/>
          </w:tcPr>
          <w:p w14:paraId="1DC39959">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900-008-S59</w:t>
            </w:r>
          </w:p>
        </w:tc>
        <w:tc>
          <w:tcPr>
            <w:tcW w:w="1244" w:type="dxa"/>
            <w:gridSpan w:val="2"/>
            <w:noWrap w:val="0"/>
            <w:vAlign w:val="center"/>
          </w:tcPr>
          <w:p w14:paraId="609C3170">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7C10D690">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废过滤材料</w:t>
            </w:r>
          </w:p>
        </w:tc>
      </w:tr>
      <w:tr w14:paraId="12F7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7A99FE07">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7DEF3B11">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废水处理污泥</w:t>
            </w:r>
          </w:p>
        </w:tc>
        <w:tc>
          <w:tcPr>
            <w:tcW w:w="1984" w:type="dxa"/>
            <w:gridSpan w:val="4"/>
            <w:noWrap w:val="0"/>
            <w:vAlign w:val="center"/>
          </w:tcPr>
          <w:p w14:paraId="22410C5B">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900-099-S07</w:t>
            </w:r>
          </w:p>
        </w:tc>
        <w:tc>
          <w:tcPr>
            <w:tcW w:w="1244" w:type="dxa"/>
            <w:gridSpan w:val="2"/>
            <w:noWrap w:val="0"/>
            <w:vAlign w:val="center"/>
          </w:tcPr>
          <w:p w14:paraId="4A47E47B">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16B49CC9">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其他污泥</w:t>
            </w:r>
          </w:p>
        </w:tc>
      </w:tr>
      <w:tr w14:paraId="0D25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4E5686E2">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1B571D0F">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废包装桶</w:t>
            </w:r>
          </w:p>
        </w:tc>
        <w:tc>
          <w:tcPr>
            <w:tcW w:w="1984" w:type="dxa"/>
            <w:gridSpan w:val="4"/>
            <w:noWrap w:val="0"/>
            <w:vAlign w:val="center"/>
          </w:tcPr>
          <w:p w14:paraId="62F67FD5">
            <w:pPr>
              <w:tabs>
                <w:tab w:val="left" w:pos="0"/>
              </w:tabs>
              <w:adjustRightInd w:val="0"/>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900-003-S17</w:t>
            </w:r>
          </w:p>
        </w:tc>
        <w:tc>
          <w:tcPr>
            <w:tcW w:w="1244" w:type="dxa"/>
            <w:gridSpan w:val="2"/>
            <w:noWrap w:val="0"/>
            <w:vAlign w:val="center"/>
          </w:tcPr>
          <w:p w14:paraId="4C07906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7D9E9052">
            <w:pPr>
              <w:snapToGrid w:val="0"/>
              <w:jc w:val="center"/>
              <w:rPr>
                <w:rFonts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包装材料</w:t>
            </w:r>
          </w:p>
        </w:tc>
      </w:tr>
      <w:tr w14:paraId="4F72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785A0A3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一般工业固体废物</w:t>
            </w:r>
          </w:p>
        </w:tc>
        <w:tc>
          <w:tcPr>
            <w:tcW w:w="2552" w:type="dxa"/>
            <w:gridSpan w:val="3"/>
            <w:noWrap w:val="0"/>
            <w:vAlign w:val="center"/>
          </w:tcPr>
          <w:p w14:paraId="2E09B5DC">
            <w:pPr>
              <w:snapToGrid w:val="0"/>
              <w:jc w:val="center"/>
              <w:rPr>
                <w:rFonts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废包装材料</w:t>
            </w:r>
          </w:p>
        </w:tc>
        <w:tc>
          <w:tcPr>
            <w:tcW w:w="1984" w:type="dxa"/>
            <w:gridSpan w:val="4"/>
            <w:noWrap w:val="0"/>
            <w:vAlign w:val="center"/>
          </w:tcPr>
          <w:p w14:paraId="675B58E8">
            <w:pPr>
              <w:tabs>
                <w:tab w:val="left" w:pos="0"/>
              </w:tabs>
              <w:adjustRightInd w:val="0"/>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900-003-S17</w:t>
            </w:r>
          </w:p>
        </w:tc>
        <w:tc>
          <w:tcPr>
            <w:tcW w:w="1244" w:type="dxa"/>
            <w:gridSpan w:val="2"/>
            <w:noWrap w:val="0"/>
            <w:vAlign w:val="center"/>
          </w:tcPr>
          <w:p w14:paraId="170B7F4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自行贮存,委托处置</w:t>
            </w:r>
          </w:p>
        </w:tc>
        <w:tc>
          <w:tcPr>
            <w:tcW w:w="1500" w:type="dxa"/>
            <w:noWrap w:val="0"/>
            <w:vAlign w:val="center"/>
          </w:tcPr>
          <w:p w14:paraId="19C3AC0E">
            <w:pPr>
              <w:snapToGrid w:val="0"/>
              <w:jc w:val="center"/>
              <w:rPr>
                <w:rFonts w:hint="eastAsia" w:ascii="Times New Roman" w:hAnsi="Times New Roman" w:eastAsia="宋体" w:cs="宋体"/>
                <w:color w:val="000000" w:themeColor="text1"/>
                <w:szCs w:val="21"/>
                <w:shd w:val="clear" w:color="auto" w:fill="FFFFFF"/>
                <w14:textFill>
                  <w14:solidFill>
                    <w14:schemeClr w14:val="tx1"/>
                  </w14:solidFill>
                </w14:textFill>
              </w:rPr>
            </w:pPr>
            <w:r>
              <w:rPr>
                <w:rFonts w:hint="eastAsia" w:ascii="Times New Roman" w:hAnsi="Times New Roman" w:eastAsia="宋体" w:cs="宋体"/>
                <w:color w:val="000000" w:themeColor="text1"/>
                <w:szCs w:val="21"/>
                <w:shd w:val="clear" w:color="auto" w:fill="FFFFFF"/>
                <w14:textFill>
                  <w14:solidFill>
                    <w14:schemeClr w14:val="tx1"/>
                  </w14:solidFill>
                </w14:textFill>
              </w:rPr>
              <w:t>包装材料</w:t>
            </w:r>
          </w:p>
        </w:tc>
      </w:tr>
      <w:tr w14:paraId="3919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1"/>
            <w:noWrap w:val="0"/>
            <w:vAlign w:val="center"/>
          </w:tcPr>
          <w:p w14:paraId="3AE8DE93">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工业固体废物自行贮存/利用/处置设施信息</w:t>
            </w:r>
          </w:p>
        </w:tc>
      </w:tr>
      <w:tr w14:paraId="7F9C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dxa"/>
            <w:gridSpan w:val="2"/>
            <w:noWrap w:val="0"/>
            <w:vAlign w:val="center"/>
          </w:tcPr>
          <w:p w14:paraId="2E686F6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名称</w:t>
            </w:r>
          </w:p>
        </w:tc>
        <w:tc>
          <w:tcPr>
            <w:tcW w:w="2402" w:type="dxa"/>
            <w:gridSpan w:val="3"/>
            <w:noWrap w:val="0"/>
            <w:vAlign w:val="center"/>
          </w:tcPr>
          <w:p w14:paraId="2409409D">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设施类型</w:t>
            </w:r>
          </w:p>
        </w:tc>
        <w:tc>
          <w:tcPr>
            <w:tcW w:w="1205" w:type="dxa"/>
            <w:noWrap w:val="0"/>
            <w:vAlign w:val="center"/>
          </w:tcPr>
          <w:p w14:paraId="4CFD7090">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能力</w:t>
            </w:r>
          </w:p>
        </w:tc>
        <w:tc>
          <w:tcPr>
            <w:tcW w:w="1206" w:type="dxa"/>
            <w:gridSpan w:val="3"/>
            <w:noWrap w:val="0"/>
            <w:vAlign w:val="center"/>
          </w:tcPr>
          <w:p w14:paraId="076CBF42">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ascii="Times New Roman" w:hAnsi="Times New Roman" w:eastAsia="宋体" w:cs="宋体"/>
                <w:color w:val="000000" w:themeColor="text1"/>
                <w:kern w:val="0"/>
                <w:szCs w:val="21"/>
                <w:lang w:eastAsia="zh-Hans" w:bidi="ar"/>
                <w14:textFill>
                  <w14:solidFill>
                    <w14:schemeClr w14:val="tx1"/>
                  </w14:solidFill>
                </w14:textFill>
              </w:rPr>
              <w:t>面积</w:t>
            </w:r>
          </w:p>
        </w:tc>
        <w:tc>
          <w:tcPr>
            <w:tcW w:w="1764" w:type="dxa"/>
            <w:gridSpan w:val="2"/>
            <w:noWrap w:val="0"/>
            <w:vAlign w:val="center"/>
          </w:tcPr>
          <w:p w14:paraId="647DB44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备注</w:t>
            </w:r>
          </w:p>
        </w:tc>
      </w:tr>
      <w:tr w14:paraId="5AF9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dxa"/>
            <w:gridSpan w:val="2"/>
            <w:noWrap w:val="0"/>
            <w:vAlign w:val="center"/>
          </w:tcPr>
          <w:p w14:paraId="5D76EE96">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14:textFill>
                  <w14:solidFill>
                    <w14:schemeClr w14:val="tx1"/>
                  </w14:solidFill>
                </w14:textFill>
              </w:rPr>
              <w:fldChar w:fldCharType="begin"/>
            </w:r>
            <w:r>
              <w:rPr>
                <w:rFonts w:hint="eastAsia" w:ascii="Times New Roman" w:hAnsi="Times New Roman" w:eastAsia="宋体" w:cs="宋体"/>
                <w:color w:val="000000" w:themeColor="text1"/>
                <w14:textFill>
                  <w14:solidFill>
                    <w14:schemeClr w14:val="tx1"/>
                  </w14:solidFill>
                </w14:textFill>
              </w:rPr>
              <w:instrText xml:space="preserve"> HYPERLINK "http://permit.mee.gov.cn/permitExt/syssb/wysb/hpsp/gtfw/gtfw!gtfqwpfInfo.action?iscols=false&amp;xkzbbid=&amp;dataid=ae6d5b2cc1cc47719a9aab04df5e19c4&amp;operate=readonly&amp;cardid=card102&amp;instanceid=&amp;itemid=&amp;isVersion=&amp;itemtype=TYPEA&amp;itemtypeid=XZXKTYPE_A" </w:instrText>
            </w:r>
            <w:r>
              <w:rPr>
                <w:rFonts w:hint="eastAsia" w:ascii="Times New Roman" w:hAnsi="Times New Roman" w:eastAsia="宋体" w:cs="宋体"/>
                <w:color w:val="000000" w:themeColor="text1"/>
                <w14:textFill>
                  <w14:solidFill>
                    <w14:schemeClr w14:val="tx1"/>
                  </w14:solidFill>
                </w14:textFill>
              </w:rPr>
              <w:fldChar w:fldCharType="separate"/>
            </w:r>
            <w:r>
              <w:rPr>
                <w:rStyle w:val="38"/>
                <w:rFonts w:hint="eastAsia" w:cs="宋体"/>
                <w:color w:val="000000" w:themeColor="text1"/>
                <w:szCs w:val="21"/>
                <w:u w:val="none"/>
                <w14:textFill>
                  <w14:solidFill>
                    <w14:schemeClr w14:val="tx1"/>
                  </w14:solidFill>
                </w14:textFill>
              </w:rPr>
              <w:t>一般固废贮存间</w:t>
            </w:r>
            <w:r>
              <w:rPr>
                <w:rStyle w:val="38"/>
                <w:rFonts w:hint="eastAsia" w:cs="宋体"/>
                <w:color w:val="000000" w:themeColor="text1"/>
                <w:szCs w:val="21"/>
                <w:u w:val="none"/>
                <w14:textFill>
                  <w14:solidFill>
                    <w14:schemeClr w14:val="tx1"/>
                  </w14:solidFill>
                </w14:textFill>
              </w:rPr>
              <w:fldChar w:fldCharType="end"/>
            </w:r>
          </w:p>
        </w:tc>
        <w:tc>
          <w:tcPr>
            <w:tcW w:w="2402" w:type="dxa"/>
            <w:gridSpan w:val="3"/>
            <w:noWrap w:val="0"/>
            <w:vAlign w:val="center"/>
          </w:tcPr>
          <w:p w14:paraId="30F5B89A">
            <w:pPr>
              <w:snapToGrid w:val="0"/>
              <w:jc w:val="center"/>
              <w:rPr>
                <w:rFonts w:hint="eastAsia" w:ascii="Times New Roman" w:hAnsi="Times New Roman" w:eastAsia="宋体" w:cs="宋体"/>
                <w:bCs/>
                <w:color w:val="000000" w:themeColor="text1"/>
                <w:kern w:val="0"/>
                <w:szCs w:val="21"/>
                <w:lang w:eastAsia="zh-Hans" w:bidi="ar"/>
                <w14:textFill>
                  <w14:solidFill>
                    <w14:schemeClr w14:val="tx1"/>
                  </w14:solidFill>
                </w14:textFill>
              </w:rPr>
            </w:pPr>
            <w:r>
              <w:rPr>
                <w:rFonts w:hint="eastAsia" w:ascii="Times New Roman" w:hAnsi="Times New Roman" w:eastAsia="宋体" w:cs="宋体"/>
                <w:bCs/>
                <w:color w:val="000000" w:themeColor="text1"/>
                <w:kern w:val="0"/>
                <w:szCs w:val="21"/>
                <w:lang w:bidi="ar"/>
                <w14:textFill>
                  <w14:solidFill>
                    <w14:schemeClr w14:val="tx1"/>
                  </w14:solidFill>
                </w14:textFill>
              </w:rPr>
              <w:t>自行贮存</w:t>
            </w:r>
            <w:r>
              <w:rPr>
                <w:rFonts w:hint="eastAsia" w:ascii="Times New Roman" w:hAnsi="Times New Roman" w:eastAsia="宋体" w:cs="宋体"/>
                <w:bCs/>
                <w:color w:val="000000" w:themeColor="text1"/>
                <w:kern w:val="0"/>
                <w:szCs w:val="21"/>
                <w:lang w:eastAsia="zh-Hans" w:bidi="ar"/>
                <w14:textFill>
                  <w14:solidFill>
                    <w14:schemeClr w14:val="tx1"/>
                  </w14:solidFill>
                </w14:textFill>
              </w:rPr>
              <w:t>设施</w:t>
            </w:r>
          </w:p>
        </w:tc>
        <w:tc>
          <w:tcPr>
            <w:tcW w:w="1205" w:type="dxa"/>
            <w:noWrap w:val="0"/>
            <w:vAlign w:val="center"/>
          </w:tcPr>
          <w:p w14:paraId="057C1AB5">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8t/a</w:t>
            </w:r>
          </w:p>
        </w:tc>
        <w:tc>
          <w:tcPr>
            <w:tcW w:w="1206" w:type="dxa"/>
            <w:gridSpan w:val="3"/>
            <w:noWrap w:val="0"/>
            <w:vAlign w:val="center"/>
          </w:tcPr>
          <w:p w14:paraId="07064F61">
            <w:pPr>
              <w:snapToGrid w:val="0"/>
              <w:jc w:val="center"/>
              <w:rPr>
                <w:rFonts w:hint="eastAsia" w:ascii="Times New Roman" w:hAnsi="Times New Roman" w:eastAsia="宋体" w:cs="宋体"/>
                <w:color w:val="000000" w:themeColor="text1"/>
                <w:kern w:val="0"/>
                <w:szCs w:val="21"/>
                <w:lang w:eastAsia="zh-Hans" w:bidi="ar"/>
                <w14:textFill>
                  <w14:solidFill>
                    <w14:schemeClr w14:val="tx1"/>
                  </w14:solidFill>
                </w14:textFill>
              </w:rPr>
            </w:pPr>
            <w:r>
              <w:rPr>
                <w:rFonts w:hint="eastAsia" w:cs="宋体"/>
                <w:color w:val="000000" w:themeColor="text1"/>
                <w:kern w:val="0"/>
                <w:szCs w:val="21"/>
                <w:lang w:val="en-US" w:eastAsia="zh-CN" w:bidi="ar"/>
                <w14:textFill>
                  <w14:solidFill>
                    <w14:schemeClr w14:val="tx1"/>
                  </w14:solidFill>
                </w14:textFill>
              </w:rPr>
              <w:t>2</w:t>
            </w:r>
            <w:r>
              <w:rPr>
                <w:rFonts w:hint="eastAsia" w:ascii="Times New Roman" w:hAnsi="Times New Roman" w:eastAsia="宋体" w:cs="宋体"/>
                <w:color w:val="000000" w:themeColor="text1"/>
                <w:kern w:val="0"/>
                <w:szCs w:val="21"/>
                <w:lang w:bidi="ar"/>
                <w14:textFill>
                  <w14:solidFill>
                    <w14:schemeClr w14:val="tx1"/>
                  </w14:solidFill>
                </w14:textFill>
              </w:rPr>
              <w:t>0</w:t>
            </w:r>
            <w:r>
              <w:rPr>
                <w:rFonts w:hint="eastAsia" w:ascii="Times New Roman" w:hAnsi="Times New Roman" w:eastAsia="宋体" w:cs="宋体"/>
                <w:color w:val="000000" w:themeColor="text1"/>
                <w:kern w:val="0"/>
                <w:szCs w:val="21"/>
                <w:lang w:eastAsia="zh-Hans" w:bidi="ar"/>
                <w14:textFill>
                  <w14:solidFill>
                    <w14:schemeClr w14:val="tx1"/>
                  </w14:solidFill>
                </w14:textFill>
              </w:rPr>
              <w:t>m</w:t>
            </w:r>
            <w:r>
              <w:rPr>
                <w:rFonts w:hint="eastAsia" w:ascii="Times New Roman" w:hAnsi="Times New Roman" w:eastAsia="宋体" w:cs="宋体"/>
                <w:color w:val="000000" w:themeColor="text1"/>
                <w:kern w:val="0"/>
                <w:szCs w:val="21"/>
                <w:vertAlign w:val="superscript"/>
                <w:lang w:eastAsia="zh-Hans" w:bidi="ar"/>
                <w14:textFill>
                  <w14:solidFill>
                    <w14:schemeClr w14:val="tx1"/>
                  </w14:solidFill>
                </w14:textFill>
              </w:rPr>
              <w:t>2</w:t>
            </w:r>
          </w:p>
        </w:tc>
        <w:tc>
          <w:tcPr>
            <w:tcW w:w="1764" w:type="dxa"/>
            <w:gridSpan w:val="2"/>
            <w:noWrap w:val="0"/>
            <w:vAlign w:val="center"/>
          </w:tcPr>
          <w:p w14:paraId="7CA9591B">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27F4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dxa"/>
            <w:gridSpan w:val="2"/>
            <w:noWrap w:val="0"/>
            <w:vAlign w:val="center"/>
          </w:tcPr>
          <w:p w14:paraId="0648F95A">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2402" w:type="dxa"/>
            <w:gridSpan w:val="3"/>
            <w:noWrap w:val="0"/>
            <w:vAlign w:val="center"/>
          </w:tcPr>
          <w:p w14:paraId="7A6B828A">
            <w:pPr>
              <w:snapToGrid w:val="0"/>
              <w:jc w:val="center"/>
              <w:rPr>
                <w:rFonts w:hint="eastAsia" w:ascii="Times New Roman" w:hAnsi="Times New Roman" w:eastAsia="宋体" w:cs="宋体"/>
                <w:bCs/>
                <w:color w:val="000000" w:themeColor="text1"/>
                <w:kern w:val="0"/>
                <w:szCs w:val="21"/>
                <w:lang w:eastAsia="zh-Hans" w:bidi="ar"/>
                <w14:textFill>
                  <w14:solidFill>
                    <w14:schemeClr w14:val="tx1"/>
                  </w14:solidFill>
                </w14:textFill>
              </w:rPr>
            </w:pPr>
          </w:p>
        </w:tc>
        <w:tc>
          <w:tcPr>
            <w:tcW w:w="1205" w:type="dxa"/>
            <w:noWrap w:val="0"/>
            <w:vAlign w:val="center"/>
          </w:tcPr>
          <w:p w14:paraId="3977CB21">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206" w:type="dxa"/>
            <w:gridSpan w:val="3"/>
            <w:noWrap w:val="0"/>
            <w:vAlign w:val="center"/>
          </w:tcPr>
          <w:p w14:paraId="2154BCED">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c>
          <w:tcPr>
            <w:tcW w:w="1764" w:type="dxa"/>
            <w:gridSpan w:val="2"/>
            <w:noWrap w:val="0"/>
            <w:vAlign w:val="center"/>
          </w:tcPr>
          <w:p w14:paraId="47AFA37E">
            <w:pPr>
              <w:snapToGrid w:val="0"/>
              <w:jc w:val="center"/>
              <w:rPr>
                <w:rFonts w:hint="eastAsia" w:ascii="Times New Roman" w:hAnsi="Times New Roman" w:eastAsia="宋体" w:cs="宋体"/>
                <w:color w:val="000000" w:themeColor="text1"/>
                <w:kern w:val="0"/>
                <w:szCs w:val="21"/>
                <w:lang w:bidi="ar"/>
                <w14:textFill>
                  <w14:solidFill>
                    <w14:schemeClr w14:val="tx1"/>
                  </w14:solidFill>
                </w14:textFill>
              </w:rPr>
            </w:pPr>
          </w:p>
        </w:tc>
      </w:tr>
      <w:tr w14:paraId="1A46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1"/>
            <w:noWrap w:val="0"/>
            <w:vAlign w:val="center"/>
          </w:tcPr>
          <w:p w14:paraId="59678165">
            <w:pPr>
              <w:snapToGrid w:val="0"/>
              <w:jc w:val="center"/>
              <w:rPr>
                <w:rFonts w:ascii="Times New Roman" w:hAnsi="Times New Roman" w:eastAsia="宋体" w:cs="Times New Roman"/>
                <w:b/>
                <w:color w:val="000000" w:themeColor="text1"/>
                <w:kern w:val="0"/>
                <w:szCs w:val="21"/>
                <w:lang w:bidi="ar"/>
                <w14:textFill>
                  <w14:solidFill>
                    <w14:schemeClr w14:val="tx1"/>
                  </w14:solidFill>
                </w14:textFill>
              </w:rPr>
            </w:pPr>
            <w:r>
              <w:rPr>
                <w:rFonts w:ascii="Times New Roman" w:hAnsi="Times New Roman" w:eastAsia="宋体" w:cs="Times New Roman"/>
                <w:b/>
                <w:color w:val="000000" w:themeColor="text1"/>
                <w:kern w:val="0"/>
                <w:szCs w:val="21"/>
                <w:lang w:bidi="ar"/>
                <w14:textFill>
                  <w14:solidFill>
                    <w14:schemeClr w14:val="tx1"/>
                  </w14:solidFill>
                </w14:textFill>
              </w:rPr>
              <w:t>其他信息</w:t>
            </w:r>
          </w:p>
        </w:tc>
      </w:tr>
      <w:tr w14:paraId="678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522" w:type="dxa"/>
            <w:gridSpan w:val="11"/>
            <w:noWrap w:val="0"/>
            <w:vAlign w:val="center"/>
          </w:tcPr>
          <w:p w14:paraId="747E772A">
            <w:pPr>
              <w:snapToGrid w:val="0"/>
              <w:jc w:val="left"/>
              <w:rPr>
                <w:rFonts w:ascii="Times New Roman" w:hAnsi="Times New Roman" w:eastAsia="宋体" w:cs="Times New Roman"/>
                <w:color w:val="000000" w:themeColor="text1"/>
                <w:kern w:val="0"/>
                <w:szCs w:val="21"/>
                <w:lang w:bidi="ar"/>
                <w14:textFill>
                  <w14:solidFill>
                    <w14:schemeClr w14:val="tx1"/>
                  </w14:solidFill>
                </w14:textFill>
              </w:rPr>
            </w:pPr>
          </w:p>
          <w:p w14:paraId="4BBC1872">
            <w:pPr>
              <w:snapToGrid w:val="0"/>
              <w:jc w:val="left"/>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其他需要补充说明的内容</w:t>
            </w:r>
          </w:p>
          <w:p w14:paraId="5F24BB00">
            <w:pPr>
              <w:snapToGrid w:val="0"/>
              <w:jc w:val="center"/>
              <w:rPr>
                <w:rFonts w:ascii="Times New Roman" w:hAnsi="Times New Roman" w:eastAsia="宋体" w:cs="Times New Roman"/>
                <w:color w:val="000000" w:themeColor="text1"/>
                <w:kern w:val="0"/>
                <w:szCs w:val="21"/>
                <w:lang w:bidi="ar"/>
                <w14:textFill>
                  <w14:solidFill>
                    <w14:schemeClr w14:val="tx1"/>
                  </w14:solidFill>
                </w14:textFill>
              </w:rPr>
            </w:pPr>
          </w:p>
        </w:tc>
      </w:tr>
    </w:tbl>
    <w:p w14:paraId="35E22408">
      <w:pPr>
        <w:rPr>
          <w:color w:val="000000" w:themeColor="text1"/>
          <w14:textFill>
            <w14:solidFill>
              <w14:schemeClr w14:val="tx1"/>
            </w14:solidFill>
          </w14:textFill>
        </w:rPr>
      </w:pPr>
    </w:p>
    <w:p w14:paraId="5835D097">
      <w:pPr>
        <w:pStyle w:val="28"/>
        <w:adjustRightInd w:val="0"/>
        <w:snapToGrid w:val="0"/>
        <w:spacing w:before="0" w:beforeAutospacing="0" w:after="0" w:afterAutospacing="0" w:line="480" w:lineRule="exact"/>
        <w:outlineLvl w:val="0"/>
        <w:rPr>
          <w:rFonts w:ascii="Times New Roman" w:hAnsi="Times New Roman"/>
          <w:b/>
          <w:bCs/>
          <w:snapToGrid w:val="0"/>
          <w:color w:val="000000" w:themeColor="text1"/>
          <w:szCs w:val="24"/>
          <w14:textFill>
            <w14:solidFill>
              <w14:schemeClr w14:val="tx1"/>
            </w14:solidFill>
          </w14:textFill>
        </w:rPr>
        <w:sectPr>
          <w:footerReference r:id="rId7" w:type="default"/>
          <w:pgSz w:w="11906" w:h="16838"/>
          <w:pgMar w:top="1531" w:right="1701" w:bottom="1531" w:left="1701" w:header="851" w:footer="851" w:gutter="0"/>
          <w:cols w:space="720" w:num="1"/>
          <w:docGrid w:linePitch="312" w:charSpace="0"/>
        </w:sectPr>
      </w:pPr>
    </w:p>
    <w:p w14:paraId="2C57E304">
      <w:pPr>
        <w:jc w:val="both"/>
        <w:rPr>
          <w:rFonts w:hint="eastAsia" w:ascii="Times New Roman" w:hAnsi="Times New Roman"/>
          <w:b/>
          <w:bCs/>
          <w:snapToGrid w:val="0"/>
          <w:color w:val="000000" w:themeColor="text1"/>
          <w:sz w:val="24"/>
          <w:szCs w:val="24"/>
          <w14:textFill>
            <w14:solidFill>
              <w14:schemeClr w14:val="tx1"/>
            </w14:solidFill>
          </w14:textFill>
        </w:rPr>
      </w:pPr>
      <w:bookmarkStart w:id="23" w:name="_Toc21894"/>
      <w:r>
        <w:rPr>
          <w:rFonts w:ascii="Times New Roman" w:hAnsi="Times New Roman"/>
          <w:b/>
          <w:bCs/>
          <w:snapToGrid w:val="0"/>
          <w:color w:val="000000" w:themeColor="text1"/>
          <w:sz w:val="24"/>
          <w:szCs w:val="24"/>
          <w14:textFill>
            <w14:solidFill>
              <w14:schemeClr w14:val="tx1"/>
            </w14:solidFill>
          </w14:textFill>
        </w:rPr>
        <w:t>附表</w:t>
      </w:r>
      <w:r>
        <w:rPr>
          <w:rFonts w:hint="eastAsia" w:ascii="Times New Roman" w:hAnsi="Times New Roman"/>
          <w:b/>
          <w:bCs/>
          <w:snapToGrid w:val="0"/>
          <w:color w:val="000000" w:themeColor="text1"/>
          <w:sz w:val="24"/>
          <w:szCs w:val="24"/>
          <w14:textFill>
            <w14:solidFill>
              <w14:schemeClr w14:val="tx1"/>
            </w14:solidFill>
          </w14:textFill>
        </w:rPr>
        <w:t>2</w:t>
      </w:r>
      <w:r>
        <w:rPr>
          <w:rFonts w:ascii="Times New Roman" w:hAnsi="Times New Roman"/>
          <w:b/>
          <w:bCs/>
          <w:snapToGrid w:val="0"/>
          <w:color w:val="000000" w:themeColor="text1"/>
          <w:sz w:val="24"/>
          <w:szCs w:val="24"/>
          <w14:textFill>
            <w14:solidFill>
              <w14:schemeClr w14:val="tx1"/>
            </w14:solidFill>
          </w14:textFill>
        </w:rPr>
        <w:t>建设项目污染物排放量汇总表</w:t>
      </w:r>
      <w:bookmarkEnd w:id="23"/>
    </w:p>
    <w:p w14:paraId="5867A2A2">
      <w:pPr>
        <w:spacing w:line="480" w:lineRule="exact"/>
        <w:jc w:val="center"/>
        <w:rPr>
          <w:rFonts w:hint="eastAsia"/>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建设项目污染物排放量汇总表</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2248"/>
        <w:gridCol w:w="1483"/>
        <w:gridCol w:w="1484"/>
        <w:gridCol w:w="1505"/>
        <w:gridCol w:w="1560"/>
        <w:gridCol w:w="1561"/>
        <w:gridCol w:w="1499"/>
        <w:gridCol w:w="1286"/>
      </w:tblGrid>
      <w:tr w14:paraId="03ED8C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62" w:type="dxa"/>
            <w:tcBorders>
              <w:bottom w:val="single" w:color="auto" w:sz="4" w:space="0"/>
              <w:tl2br w:val="single" w:color="auto" w:sz="4" w:space="0"/>
            </w:tcBorders>
            <w:noWrap w:val="0"/>
            <w:tcMar>
              <w:left w:w="28" w:type="dxa"/>
              <w:right w:w="28" w:type="dxa"/>
            </w:tcMar>
            <w:vAlign w:val="center"/>
          </w:tcPr>
          <w:p w14:paraId="061BF431">
            <w:pPr>
              <w:pStyle w:val="71"/>
              <w:spacing w:beforeLines="0" w:afterLines="0" w:line="240" w:lineRule="auto"/>
              <w:jc w:val="right"/>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项目</w:t>
            </w:r>
          </w:p>
          <w:p w14:paraId="26F895A4">
            <w:pPr>
              <w:pStyle w:val="71"/>
              <w:spacing w:beforeLines="0" w:afterLines="0" w:line="240" w:lineRule="auto"/>
              <w:jc w:val="left"/>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分类</w:t>
            </w:r>
          </w:p>
        </w:tc>
        <w:tc>
          <w:tcPr>
            <w:tcW w:w="2248" w:type="dxa"/>
            <w:noWrap w:val="0"/>
            <w:tcMar>
              <w:left w:w="28" w:type="dxa"/>
              <w:right w:w="28" w:type="dxa"/>
            </w:tcMar>
            <w:vAlign w:val="center"/>
          </w:tcPr>
          <w:p w14:paraId="0F9C89B0">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污染物名称</w:t>
            </w:r>
          </w:p>
        </w:tc>
        <w:tc>
          <w:tcPr>
            <w:tcW w:w="1483" w:type="dxa"/>
            <w:noWrap w:val="0"/>
            <w:tcMar>
              <w:left w:w="28" w:type="dxa"/>
              <w:right w:w="28" w:type="dxa"/>
            </w:tcMar>
            <w:vAlign w:val="center"/>
          </w:tcPr>
          <w:p w14:paraId="407595AC">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现有工程</w:t>
            </w:r>
          </w:p>
          <w:p w14:paraId="315B252A">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排放量（固体废物产生量）</w:t>
            </w:r>
            <w:r>
              <w:rPr>
                <w:rFonts w:ascii="Times New Roman"/>
                <w:b/>
                <w:bCs/>
                <w:snapToGrid w:val="0"/>
                <w:color w:val="000000" w:themeColor="text1"/>
                <w:spacing w:val="-6"/>
                <w:kern w:val="21"/>
                <w:szCs w:val="21"/>
                <w14:textFill>
                  <w14:solidFill>
                    <w14:schemeClr w14:val="tx1"/>
                  </w14:solidFill>
                </w14:textFill>
              </w:rPr>
              <w:fldChar w:fldCharType="begin"/>
            </w:r>
            <w:r>
              <w:rPr>
                <w:rFonts w:ascii="Times New Roman"/>
                <w:b/>
                <w:bCs/>
                <w:snapToGrid w:val="0"/>
                <w:color w:val="000000" w:themeColor="text1"/>
                <w:spacing w:val="-6"/>
                <w:kern w:val="21"/>
                <w:szCs w:val="21"/>
                <w14:textFill>
                  <w14:solidFill>
                    <w14:schemeClr w14:val="tx1"/>
                  </w14:solidFill>
                </w14:textFill>
              </w:rPr>
              <w:instrText xml:space="preserve"> = 1 \* GB3 \* MERGEFORMAT </w:instrText>
            </w:r>
            <w:r>
              <w:rPr>
                <w:rFonts w:ascii="Times New Roman"/>
                <w:b/>
                <w:bCs/>
                <w:snapToGrid w:val="0"/>
                <w:color w:val="000000" w:themeColor="text1"/>
                <w:spacing w:val="-6"/>
                <w:kern w:val="21"/>
                <w:szCs w:val="21"/>
                <w14:textFill>
                  <w14:solidFill>
                    <w14:schemeClr w14:val="tx1"/>
                  </w14:solidFill>
                </w14:textFill>
              </w:rPr>
              <w:fldChar w:fldCharType="separate"/>
            </w:r>
            <w:r>
              <w:rPr>
                <w:rFonts w:hint="eastAsia" w:ascii="Times New Roman" w:cs="宋体"/>
                <w:b/>
                <w:bCs/>
                <w:color w:val="000000" w:themeColor="text1"/>
                <w:kern w:val="2"/>
                <w:szCs w:val="21"/>
                <w14:textFill>
                  <w14:solidFill>
                    <w14:schemeClr w14:val="tx1"/>
                  </w14:solidFill>
                </w14:textFill>
              </w:rPr>
              <w:t>①</w:t>
            </w:r>
            <w:r>
              <w:rPr>
                <w:rFonts w:ascii="Times New Roman"/>
                <w:b/>
                <w:bCs/>
                <w:snapToGrid w:val="0"/>
                <w:color w:val="000000" w:themeColor="text1"/>
                <w:spacing w:val="-6"/>
                <w:kern w:val="21"/>
                <w:szCs w:val="21"/>
                <w14:textFill>
                  <w14:solidFill>
                    <w14:schemeClr w14:val="tx1"/>
                  </w14:solidFill>
                </w14:textFill>
              </w:rPr>
              <w:fldChar w:fldCharType="end"/>
            </w:r>
          </w:p>
        </w:tc>
        <w:tc>
          <w:tcPr>
            <w:tcW w:w="1484" w:type="dxa"/>
            <w:noWrap w:val="0"/>
            <w:tcMar>
              <w:left w:w="28" w:type="dxa"/>
              <w:right w:w="28" w:type="dxa"/>
            </w:tcMar>
            <w:vAlign w:val="center"/>
          </w:tcPr>
          <w:p w14:paraId="12A611A1">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现有工程</w:t>
            </w:r>
          </w:p>
          <w:p w14:paraId="7F2F6192">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许可排放量</w:t>
            </w:r>
          </w:p>
          <w:p w14:paraId="6783B6E1">
            <w:pPr>
              <w:pStyle w:val="71"/>
              <w:spacing w:beforeLines="0" w:afterLines="0"/>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fldChar w:fldCharType="begin"/>
            </w:r>
            <w:r>
              <w:rPr>
                <w:rFonts w:ascii="Times New Roman"/>
                <w:b/>
                <w:bCs/>
                <w:snapToGrid w:val="0"/>
                <w:color w:val="000000" w:themeColor="text1"/>
                <w:spacing w:val="-6"/>
                <w:kern w:val="21"/>
                <w:szCs w:val="21"/>
                <w14:textFill>
                  <w14:solidFill>
                    <w14:schemeClr w14:val="tx1"/>
                  </w14:solidFill>
                </w14:textFill>
              </w:rPr>
              <w:instrText xml:space="preserve"> = 2 \* GB3 \* MERGEFORMAT </w:instrText>
            </w:r>
            <w:r>
              <w:rPr>
                <w:rFonts w:ascii="Times New Roman"/>
                <w:b/>
                <w:bCs/>
                <w:snapToGrid w:val="0"/>
                <w:color w:val="000000" w:themeColor="text1"/>
                <w:spacing w:val="-6"/>
                <w:kern w:val="21"/>
                <w:szCs w:val="21"/>
                <w14:textFill>
                  <w14:solidFill>
                    <w14:schemeClr w14:val="tx1"/>
                  </w14:solidFill>
                </w14:textFill>
              </w:rPr>
              <w:fldChar w:fldCharType="separate"/>
            </w:r>
            <w:r>
              <w:rPr>
                <w:rFonts w:hint="eastAsia" w:ascii="Times New Roman" w:cs="宋体"/>
                <w:b/>
                <w:bCs/>
                <w:snapToGrid w:val="0"/>
                <w:color w:val="000000" w:themeColor="text1"/>
                <w:spacing w:val="-6"/>
                <w:kern w:val="21"/>
                <w:szCs w:val="21"/>
                <w14:textFill>
                  <w14:solidFill>
                    <w14:schemeClr w14:val="tx1"/>
                  </w14:solidFill>
                </w14:textFill>
              </w:rPr>
              <w:t>②</w:t>
            </w:r>
            <w:r>
              <w:rPr>
                <w:rFonts w:ascii="Times New Roman"/>
                <w:b/>
                <w:bCs/>
                <w:snapToGrid w:val="0"/>
                <w:color w:val="000000" w:themeColor="text1"/>
                <w:spacing w:val="-6"/>
                <w:kern w:val="21"/>
                <w:szCs w:val="21"/>
                <w14:textFill>
                  <w14:solidFill>
                    <w14:schemeClr w14:val="tx1"/>
                  </w14:solidFill>
                </w14:textFill>
              </w:rPr>
              <w:fldChar w:fldCharType="end"/>
            </w:r>
          </w:p>
        </w:tc>
        <w:tc>
          <w:tcPr>
            <w:tcW w:w="1505" w:type="dxa"/>
            <w:noWrap w:val="0"/>
            <w:tcMar>
              <w:left w:w="28" w:type="dxa"/>
              <w:right w:w="28" w:type="dxa"/>
            </w:tcMar>
            <w:vAlign w:val="center"/>
          </w:tcPr>
          <w:p w14:paraId="70D6B780">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在建工程</w:t>
            </w:r>
          </w:p>
          <w:p w14:paraId="249C0676">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排放量（固体废物产生量）</w:t>
            </w:r>
            <w:r>
              <w:rPr>
                <w:rFonts w:ascii="Times New Roman"/>
                <w:b/>
                <w:bCs/>
                <w:snapToGrid w:val="0"/>
                <w:color w:val="000000" w:themeColor="text1"/>
                <w:spacing w:val="-6"/>
                <w:kern w:val="21"/>
                <w:szCs w:val="21"/>
                <w14:textFill>
                  <w14:solidFill>
                    <w14:schemeClr w14:val="tx1"/>
                  </w14:solidFill>
                </w14:textFill>
              </w:rPr>
              <w:fldChar w:fldCharType="begin"/>
            </w:r>
            <w:r>
              <w:rPr>
                <w:rFonts w:ascii="Times New Roman"/>
                <w:b/>
                <w:bCs/>
                <w:snapToGrid w:val="0"/>
                <w:color w:val="000000" w:themeColor="text1"/>
                <w:spacing w:val="-6"/>
                <w:kern w:val="21"/>
                <w:szCs w:val="21"/>
                <w14:textFill>
                  <w14:solidFill>
                    <w14:schemeClr w14:val="tx1"/>
                  </w14:solidFill>
                </w14:textFill>
              </w:rPr>
              <w:instrText xml:space="preserve"> = 3 \* GB3 \* MERGEFORMAT </w:instrText>
            </w:r>
            <w:r>
              <w:rPr>
                <w:rFonts w:ascii="Times New Roman"/>
                <w:b/>
                <w:bCs/>
                <w:snapToGrid w:val="0"/>
                <w:color w:val="000000" w:themeColor="text1"/>
                <w:spacing w:val="-6"/>
                <w:kern w:val="21"/>
                <w:szCs w:val="21"/>
                <w14:textFill>
                  <w14:solidFill>
                    <w14:schemeClr w14:val="tx1"/>
                  </w14:solidFill>
                </w14:textFill>
              </w:rPr>
              <w:fldChar w:fldCharType="separate"/>
            </w:r>
            <w:r>
              <w:rPr>
                <w:rFonts w:hint="eastAsia" w:ascii="Times New Roman" w:cs="宋体"/>
                <w:b/>
                <w:bCs/>
                <w:color w:val="000000" w:themeColor="text1"/>
                <w:kern w:val="2"/>
                <w:szCs w:val="21"/>
                <w14:textFill>
                  <w14:solidFill>
                    <w14:schemeClr w14:val="tx1"/>
                  </w14:solidFill>
                </w14:textFill>
              </w:rPr>
              <w:t>③</w:t>
            </w:r>
            <w:r>
              <w:rPr>
                <w:rFonts w:ascii="Times New Roman"/>
                <w:b/>
                <w:bCs/>
                <w:snapToGrid w:val="0"/>
                <w:color w:val="000000" w:themeColor="text1"/>
                <w:spacing w:val="-6"/>
                <w:kern w:val="21"/>
                <w:szCs w:val="21"/>
                <w14:textFill>
                  <w14:solidFill>
                    <w14:schemeClr w14:val="tx1"/>
                  </w14:solidFill>
                </w14:textFill>
              </w:rPr>
              <w:fldChar w:fldCharType="end"/>
            </w:r>
          </w:p>
        </w:tc>
        <w:tc>
          <w:tcPr>
            <w:tcW w:w="1560" w:type="dxa"/>
            <w:noWrap w:val="0"/>
            <w:tcMar>
              <w:left w:w="28" w:type="dxa"/>
              <w:right w:w="28" w:type="dxa"/>
            </w:tcMar>
            <w:vAlign w:val="center"/>
          </w:tcPr>
          <w:p w14:paraId="3A2219A3">
            <w:pPr>
              <w:pStyle w:val="71"/>
              <w:spacing w:beforeLines="0" w:afterLines="0" w:line="240" w:lineRule="auto"/>
              <w:rPr>
                <w:rFonts w:hint="eastAsia" w:ascii="Times New Roman"/>
                <w:b/>
                <w:bCs/>
                <w:snapToGrid w:val="0"/>
                <w:color w:val="000000" w:themeColor="text1"/>
                <w:spacing w:val="-6"/>
                <w:kern w:val="21"/>
                <w:szCs w:val="21"/>
                <w14:textFill>
                  <w14:solidFill>
                    <w14:schemeClr w14:val="tx1"/>
                  </w14:solidFill>
                </w14:textFill>
              </w:rPr>
            </w:pPr>
            <w:r>
              <w:rPr>
                <w:rFonts w:hint="eastAsia" w:ascii="Times New Roman"/>
                <w:b/>
                <w:bCs/>
                <w:snapToGrid w:val="0"/>
                <w:color w:val="000000" w:themeColor="text1"/>
                <w:spacing w:val="-6"/>
                <w:kern w:val="21"/>
                <w:szCs w:val="21"/>
                <w14:textFill>
                  <w14:solidFill>
                    <w14:schemeClr w14:val="tx1"/>
                  </w14:solidFill>
                </w14:textFill>
              </w:rPr>
              <w:t>本项目</w:t>
            </w:r>
          </w:p>
          <w:p w14:paraId="3F1E4836">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排放量（固体废物产生量）</w:t>
            </w:r>
            <w:r>
              <w:rPr>
                <w:rFonts w:ascii="Times New Roman"/>
                <w:b/>
                <w:bCs/>
                <w:snapToGrid w:val="0"/>
                <w:color w:val="000000" w:themeColor="text1"/>
                <w:spacing w:val="-6"/>
                <w:kern w:val="21"/>
                <w:szCs w:val="21"/>
                <w14:textFill>
                  <w14:solidFill>
                    <w14:schemeClr w14:val="tx1"/>
                  </w14:solidFill>
                </w14:textFill>
              </w:rPr>
              <w:fldChar w:fldCharType="begin"/>
            </w:r>
            <w:r>
              <w:rPr>
                <w:rFonts w:ascii="Times New Roman"/>
                <w:b/>
                <w:bCs/>
                <w:snapToGrid w:val="0"/>
                <w:color w:val="000000" w:themeColor="text1"/>
                <w:spacing w:val="-6"/>
                <w:kern w:val="21"/>
                <w:szCs w:val="21"/>
                <w14:textFill>
                  <w14:solidFill>
                    <w14:schemeClr w14:val="tx1"/>
                  </w14:solidFill>
                </w14:textFill>
              </w:rPr>
              <w:instrText xml:space="preserve"> = 4 \* GB3 \* MERGEFORMAT </w:instrText>
            </w:r>
            <w:r>
              <w:rPr>
                <w:rFonts w:ascii="Times New Roman"/>
                <w:b/>
                <w:bCs/>
                <w:snapToGrid w:val="0"/>
                <w:color w:val="000000" w:themeColor="text1"/>
                <w:spacing w:val="-6"/>
                <w:kern w:val="21"/>
                <w:szCs w:val="21"/>
                <w14:textFill>
                  <w14:solidFill>
                    <w14:schemeClr w14:val="tx1"/>
                  </w14:solidFill>
                </w14:textFill>
              </w:rPr>
              <w:fldChar w:fldCharType="separate"/>
            </w:r>
            <w:r>
              <w:rPr>
                <w:rFonts w:hint="eastAsia" w:ascii="Times New Roman" w:cs="宋体"/>
                <w:b/>
                <w:bCs/>
                <w:color w:val="000000" w:themeColor="text1"/>
                <w:kern w:val="2"/>
                <w:szCs w:val="21"/>
                <w14:textFill>
                  <w14:solidFill>
                    <w14:schemeClr w14:val="tx1"/>
                  </w14:solidFill>
                </w14:textFill>
              </w:rPr>
              <w:t>④</w:t>
            </w:r>
            <w:r>
              <w:rPr>
                <w:rFonts w:ascii="Times New Roman"/>
                <w:b/>
                <w:bCs/>
                <w:snapToGrid w:val="0"/>
                <w:color w:val="000000" w:themeColor="text1"/>
                <w:spacing w:val="-6"/>
                <w:kern w:val="21"/>
                <w:szCs w:val="21"/>
                <w14:textFill>
                  <w14:solidFill>
                    <w14:schemeClr w14:val="tx1"/>
                  </w14:solidFill>
                </w14:textFill>
              </w:rPr>
              <w:fldChar w:fldCharType="end"/>
            </w:r>
          </w:p>
        </w:tc>
        <w:tc>
          <w:tcPr>
            <w:tcW w:w="1561" w:type="dxa"/>
            <w:noWrap w:val="0"/>
            <w:tcMar>
              <w:left w:w="28" w:type="dxa"/>
              <w:right w:w="28" w:type="dxa"/>
            </w:tcMar>
            <w:vAlign w:val="center"/>
          </w:tcPr>
          <w:p w14:paraId="003FE3D3">
            <w:pPr>
              <w:pStyle w:val="71"/>
              <w:spacing w:beforeLines="0" w:afterLines="0" w:line="240" w:lineRule="auto"/>
              <w:rPr>
                <w:rFonts w:ascii="Times New Roman"/>
                <w:b/>
                <w:bCs/>
                <w:snapToGrid w:val="0"/>
                <w:color w:val="000000" w:themeColor="text1"/>
                <w:spacing w:val="-16"/>
                <w:kern w:val="21"/>
                <w:szCs w:val="21"/>
                <w14:textFill>
                  <w14:solidFill>
                    <w14:schemeClr w14:val="tx1"/>
                  </w14:solidFill>
                </w14:textFill>
              </w:rPr>
            </w:pPr>
            <w:r>
              <w:rPr>
                <w:rFonts w:ascii="Times New Roman"/>
                <w:b/>
                <w:bCs/>
                <w:snapToGrid w:val="0"/>
                <w:color w:val="000000" w:themeColor="text1"/>
                <w:spacing w:val="-16"/>
                <w:kern w:val="21"/>
                <w:szCs w:val="21"/>
                <w14:textFill>
                  <w14:solidFill>
                    <w14:schemeClr w14:val="tx1"/>
                  </w14:solidFill>
                </w14:textFill>
              </w:rPr>
              <w:t>以新带老削减量</w:t>
            </w:r>
          </w:p>
          <w:p w14:paraId="4FD2904C">
            <w:pPr>
              <w:pStyle w:val="71"/>
              <w:spacing w:beforeLines="0" w:afterLines="0" w:line="240" w:lineRule="auto"/>
              <w:rPr>
                <w:rFonts w:ascii="Times New Roman"/>
                <w:b/>
                <w:bCs/>
                <w:snapToGrid w:val="0"/>
                <w:color w:val="000000" w:themeColor="text1"/>
                <w:spacing w:val="-16"/>
                <w:kern w:val="21"/>
                <w:szCs w:val="21"/>
                <w14:textFill>
                  <w14:solidFill>
                    <w14:schemeClr w14:val="tx1"/>
                  </w14:solidFill>
                </w14:textFill>
              </w:rPr>
            </w:pPr>
            <w:r>
              <w:rPr>
                <w:rFonts w:ascii="Times New Roman"/>
                <w:b/>
                <w:bCs/>
                <w:snapToGrid w:val="0"/>
                <w:color w:val="000000" w:themeColor="text1"/>
                <w:spacing w:val="-16"/>
                <w:kern w:val="21"/>
                <w:szCs w:val="21"/>
                <w14:textFill>
                  <w14:solidFill>
                    <w14:schemeClr w14:val="tx1"/>
                  </w14:solidFill>
                </w14:textFill>
              </w:rPr>
              <w:t>（新建项目不填）</w:t>
            </w:r>
            <w:r>
              <w:rPr>
                <w:rFonts w:ascii="Times New Roman"/>
                <w:b/>
                <w:bCs/>
                <w:snapToGrid w:val="0"/>
                <w:color w:val="000000" w:themeColor="text1"/>
                <w:spacing w:val="-16"/>
                <w:kern w:val="21"/>
                <w:szCs w:val="21"/>
                <w14:textFill>
                  <w14:solidFill>
                    <w14:schemeClr w14:val="tx1"/>
                  </w14:solidFill>
                </w14:textFill>
              </w:rPr>
              <w:fldChar w:fldCharType="begin"/>
            </w:r>
            <w:r>
              <w:rPr>
                <w:rFonts w:ascii="Times New Roman"/>
                <w:b/>
                <w:bCs/>
                <w:snapToGrid w:val="0"/>
                <w:color w:val="000000" w:themeColor="text1"/>
                <w:spacing w:val="-16"/>
                <w:kern w:val="21"/>
                <w:szCs w:val="21"/>
                <w14:textFill>
                  <w14:solidFill>
                    <w14:schemeClr w14:val="tx1"/>
                  </w14:solidFill>
                </w14:textFill>
              </w:rPr>
              <w:instrText xml:space="preserve"> = 5 \* GB3 \* MERGEFORMAT </w:instrText>
            </w:r>
            <w:r>
              <w:rPr>
                <w:rFonts w:ascii="Times New Roman"/>
                <w:b/>
                <w:bCs/>
                <w:snapToGrid w:val="0"/>
                <w:color w:val="000000" w:themeColor="text1"/>
                <w:spacing w:val="-16"/>
                <w:kern w:val="21"/>
                <w:szCs w:val="21"/>
                <w14:textFill>
                  <w14:solidFill>
                    <w14:schemeClr w14:val="tx1"/>
                  </w14:solidFill>
                </w14:textFill>
              </w:rPr>
              <w:fldChar w:fldCharType="separate"/>
            </w:r>
            <w:r>
              <w:rPr>
                <w:rFonts w:hint="eastAsia" w:ascii="Times New Roman" w:cs="宋体"/>
                <w:b/>
                <w:bCs/>
                <w:color w:val="000000" w:themeColor="text1"/>
                <w:kern w:val="2"/>
                <w:szCs w:val="21"/>
                <w14:textFill>
                  <w14:solidFill>
                    <w14:schemeClr w14:val="tx1"/>
                  </w14:solidFill>
                </w14:textFill>
              </w:rPr>
              <w:t>⑤</w:t>
            </w:r>
            <w:r>
              <w:rPr>
                <w:rFonts w:ascii="Times New Roman"/>
                <w:b/>
                <w:bCs/>
                <w:snapToGrid w:val="0"/>
                <w:color w:val="000000" w:themeColor="text1"/>
                <w:spacing w:val="-16"/>
                <w:kern w:val="21"/>
                <w:szCs w:val="21"/>
                <w14:textFill>
                  <w14:solidFill>
                    <w14:schemeClr w14:val="tx1"/>
                  </w14:solidFill>
                </w14:textFill>
              </w:rPr>
              <w:fldChar w:fldCharType="end"/>
            </w:r>
          </w:p>
        </w:tc>
        <w:tc>
          <w:tcPr>
            <w:tcW w:w="1499" w:type="dxa"/>
            <w:noWrap w:val="0"/>
            <w:tcMar>
              <w:left w:w="28" w:type="dxa"/>
              <w:right w:w="28" w:type="dxa"/>
            </w:tcMar>
            <w:vAlign w:val="center"/>
          </w:tcPr>
          <w:p w14:paraId="5D5392F3">
            <w:pPr>
              <w:pStyle w:val="71"/>
              <w:spacing w:beforeLines="0" w:afterLines="0" w:line="240" w:lineRule="auto"/>
              <w:rPr>
                <w:rFonts w:ascii="Times New Roman"/>
                <w:b/>
                <w:bCs/>
                <w:snapToGrid w:val="0"/>
                <w:color w:val="000000" w:themeColor="text1"/>
                <w:spacing w:val="-16"/>
                <w:kern w:val="21"/>
                <w:szCs w:val="21"/>
                <w14:textFill>
                  <w14:solidFill>
                    <w14:schemeClr w14:val="tx1"/>
                  </w14:solidFill>
                </w14:textFill>
              </w:rPr>
            </w:pPr>
            <w:r>
              <w:rPr>
                <w:rFonts w:hint="eastAsia" w:ascii="Times New Roman"/>
                <w:b/>
                <w:bCs/>
                <w:snapToGrid w:val="0"/>
                <w:color w:val="000000" w:themeColor="text1"/>
                <w:spacing w:val="-16"/>
                <w:kern w:val="21"/>
                <w:szCs w:val="21"/>
                <w14:textFill>
                  <w14:solidFill>
                    <w14:schemeClr w14:val="tx1"/>
                  </w14:solidFill>
                </w14:textFill>
              </w:rPr>
              <w:t>项目</w:t>
            </w:r>
            <w:r>
              <w:rPr>
                <w:rFonts w:ascii="Times New Roman"/>
                <w:b/>
                <w:bCs/>
                <w:snapToGrid w:val="0"/>
                <w:color w:val="000000" w:themeColor="text1"/>
                <w:spacing w:val="-16"/>
                <w:kern w:val="21"/>
                <w:szCs w:val="21"/>
                <w14:textFill>
                  <w14:solidFill>
                    <w14:schemeClr w14:val="tx1"/>
                  </w14:solidFill>
                </w14:textFill>
              </w:rPr>
              <w:t>建成后</w:t>
            </w:r>
          </w:p>
          <w:p w14:paraId="381CF0B3">
            <w:pPr>
              <w:pStyle w:val="71"/>
              <w:spacing w:beforeLines="0" w:afterLines="0" w:line="240" w:lineRule="auto"/>
              <w:rPr>
                <w:rFonts w:ascii="Times New Roman"/>
                <w:b/>
                <w:bCs/>
                <w:snapToGrid w:val="0"/>
                <w:color w:val="000000" w:themeColor="text1"/>
                <w:spacing w:val="-16"/>
                <w:kern w:val="21"/>
                <w:szCs w:val="21"/>
                <w14:textFill>
                  <w14:solidFill>
                    <w14:schemeClr w14:val="tx1"/>
                  </w14:solidFill>
                </w14:textFill>
              </w:rPr>
            </w:pPr>
            <w:r>
              <w:rPr>
                <w:rFonts w:ascii="Times New Roman"/>
                <w:b/>
                <w:bCs/>
                <w:snapToGrid w:val="0"/>
                <w:color w:val="000000" w:themeColor="text1"/>
                <w:spacing w:val="-16"/>
                <w:kern w:val="21"/>
                <w:szCs w:val="21"/>
                <w14:textFill>
                  <w14:solidFill>
                    <w14:schemeClr w14:val="tx1"/>
                  </w14:solidFill>
                </w14:textFill>
              </w:rPr>
              <w:t>全厂排放量（固体废物产生量）</w:t>
            </w:r>
            <w:r>
              <w:rPr>
                <w:rFonts w:ascii="Times New Roman"/>
                <w:b/>
                <w:bCs/>
                <w:snapToGrid w:val="0"/>
                <w:color w:val="000000" w:themeColor="text1"/>
                <w:spacing w:val="-16"/>
                <w:kern w:val="21"/>
                <w:szCs w:val="21"/>
                <w14:textFill>
                  <w14:solidFill>
                    <w14:schemeClr w14:val="tx1"/>
                  </w14:solidFill>
                </w14:textFill>
              </w:rPr>
              <w:fldChar w:fldCharType="begin"/>
            </w:r>
            <w:r>
              <w:rPr>
                <w:rFonts w:ascii="Times New Roman"/>
                <w:b/>
                <w:bCs/>
                <w:snapToGrid w:val="0"/>
                <w:color w:val="000000" w:themeColor="text1"/>
                <w:spacing w:val="-16"/>
                <w:kern w:val="21"/>
                <w:szCs w:val="21"/>
                <w14:textFill>
                  <w14:solidFill>
                    <w14:schemeClr w14:val="tx1"/>
                  </w14:solidFill>
                </w14:textFill>
              </w:rPr>
              <w:instrText xml:space="preserve"> = 6 \* GB3 \* MERGEFORMAT </w:instrText>
            </w:r>
            <w:r>
              <w:rPr>
                <w:rFonts w:ascii="Times New Roman"/>
                <w:b/>
                <w:bCs/>
                <w:snapToGrid w:val="0"/>
                <w:color w:val="000000" w:themeColor="text1"/>
                <w:spacing w:val="-16"/>
                <w:kern w:val="21"/>
                <w:szCs w:val="21"/>
                <w14:textFill>
                  <w14:solidFill>
                    <w14:schemeClr w14:val="tx1"/>
                  </w14:solidFill>
                </w14:textFill>
              </w:rPr>
              <w:fldChar w:fldCharType="separate"/>
            </w:r>
            <w:r>
              <w:rPr>
                <w:rFonts w:hint="eastAsia" w:ascii="Times New Roman" w:cs="宋体"/>
                <w:b/>
                <w:bCs/>
                <w:color w:val="000000" w:themeColor="text1"/>
                <w:kern w:val="2"/>
                <w:szCs w:val="21"/>
                <w14:textFill>
                  <w14:solidFill>
                    <w14:schemeClr w14:val="tx1"/>
                  </w14:solidFill>
                </w14:textFill>
              </w:rPr>
              <w:t>⑥</w:t>
            </w:r>
            <w:r>
              <w:rPr>
                <w:rFonts w:ascii="Times New Roman"/>
                <w:b/>
                <w:bCs/>
                <w:snapToGrid w:val="0"/>
                <w:color w:val="000000" w:themeColor="text1"/>
                <w:spacing w:val="-16"/>
                <w:kern w:val="21"/>
                <w:szCs w:val="21"/>
                <w14:textFill>
                  <w14:solidFill>
                    <w14:schemeClr w14:val="tx1"/>
                  </w14:solidFill>
                </w14:textFill>
              </w:rPr>
              <w:fldChar w:fldCharType="end"/>
            </w:r>
          </w:p>
        </w:tc>
        <w:tc>
          <w:tcPr>
            <w:tcW w:w="1286" w:type="dxa"/>
            <w:noWrap w:val="0"/>
            <w:tcMar>
              <w:left w:w="28" w:type="dxa"/>
              <w:right w:w="28" w:type="dxa"/>
            </w:tcMar>
            <w:vAlign w:val="center"/>
          </w:tcPr>
          <w:p w14:paraId="559DEBC2">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t>变化量</w:t>
            </w:r>
          </w:p>
          <w:p w14:paraId="1D39566D">
            <w:pPr>
              <w:pStyle w:val="71"/>
              <w:spacing w:beforeLines="0" w:afterLines="0" w:line="240" w:lineRule="auto"/>
              <w:rPr>
                <w:rFonts w:ascii="Times New Roman"/>
                <w:b/>
                <w:bCs/>
                <w:snapToGrid w:val="0"/>
                <w:color w:val="000000" w:themeColor="text1"/>
                <w:spacing w:val="-6"/>
                <w:kern w:val="21"/>
                <w:szCs w:val="21"/>
                <w14:textFill>
                  <w14:solidFill>
                    <w14:schemeClr w14:val="tx1"/>
                  </w14:solidFill>
                </w14:textFill>
              </w:rPr>
            </w:pPr>
            <w:r>
              <w:rPr>
                <w:rFonts w:ascii="Times New Roman"/>
                <w:b/>
                <w:bCs/>
                <w:snapToGrid w:val="0"/>
                <w:color w:val="000000" w:themeColor="text1"/>
                <w:spacing w:val="-6"/>
                <w:kern w:val="21"/>
                <w:szCs w:val="21"/>
                <w14:textFill>
                  <w14:solidFill>
                    <w14:schemeClr w14:val="tx1"/>
                  </w14:solidFill>
                </w14:textFill>
              </w:rPr>
              <w:fldChar w:fldCharType="begin"/>
            </w:r>
            <w:r>
              <w:rPr>
                <w:rFonts w:ascii="Times New Roman"/>
                <w:b/>
                <w:bCs/>
                <w:snapToGrid w:val="0"/>
                <w:color w:val="000000" w:themeColor="text1"/>
                <w:spacing w:val="-6"/>
                <w:kern w:val="21"/>
                <w:szCs w:val="21"/>
                <w14:textFill>
                  <w14:solidFill>
                    <w14:schemeClr w14:val="tx1"/>
                  </w14:solidFill>
                </w14:textFill>
              </w:rPr>
              <w:instrText xml:space="preserve"> = 7 \* GB3 \* MERGEFORMAT </w:instrText>
            </w:r>
            <w:r>
              <w:rPr>
                <w:rFonts w:ascii="Times New Roman"/>
                <w:b/>
                <w:bCs/>
                <w:snapToGrid w:val="0"/>
                <w:color w:val="000000" w:themeColor="text1"/>
                <w:spacing w:val="-6"/>
                <w:kern w:val="21"/>
                <w:szCs w:val="21"/>
                <w14:textFill>
                  <w14:solidFill>
                    <w14:schemeClr w14:val="tx1"/>
                  </w14:solidFill>
                </w14:textFill>
              </w:rPr>
              <w:fldChar w:fldCharType="separate"/>
            </w:r>
            <w:r>
              <w:rPr>
                <w:rFonts w:hint="eastAsia" w:ascii="Times New Roman" w:cs="宋体"/>
                <w:b/>
                <w:bCs/>
                <w:color w:val="000000" w:themeColor="text1"/>
                <w:kern w:val="2"/>
                <w:szCs w:val="21"/>
                <w14:textFill>
                  <w14:solidFill>
                    <w14:schemeClr w14:val="tx1"/>
                  </w14:solidFill>
                </w14:textFill>
              </w:rPr>
              <w:t>⑦</w:t>
            </w:r>
            <w:r>
              <w:rPr>
                <w:rFonts w:ascii="Times New Roman"/>
                <w:b/>
                <w:bCs/>
                <w:snapToGrid w:val="0"/>
                <w:color w:val="000000" w:themeColor="text1"/>
                <w:spacing w:val="-6"/>
                <w:kern w:val="21"/>
                <w:szCs w:val="21"/>
                <w14:textFill>
                  <w14:solidFill>
                    <w14:schemeClr w14:val="tx1"/>
                  </w14:solidFill>
                </w14:textFill>
              </w:rPr>
              <w:fldChar w:fldCharType="end"/>
            </w:r>
          </w:p>
        </w:tc>
      </w:tr>
      <w:tr w14:paraId="0D83C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restart"/>
            <w:tcBorders>
              <w:top w:val="single" w:color="auto" w:sz="4" w:space="0"/>
            </w:tcBorders>
            <w:noWrap w:val="0"/>
            <w:tcMar>
              <w:left w:w="28" w:type="dxa"/>
              <w:right w:w="28" w:type="dxa"/>
            </w:tcMar>
            <w:vAlign w:val="center"/>
          </w:tcPr>
          <w:p w14:paraId="7BFDDE66">
            <w:pPr>
              <w:pStyle w:val="71"/>
              <w:spacing w:before="24" w:after="24" w:line="240" w:lineRule="auto"/>
              <w:rPr>
                <w:rFonts w:ascii="Times New Roman"/>
                <w:snapToGrid w:val="0"/>
                <w:color w:val="000000" w:themeColor="text1"/>
                <w:spacing w:val="-6"/>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废气</w:t>
            </w:r>
          </w:p>
        </w:tc>
        <w:tc>
          <w:tcPr>
            <w:tcW w:w="2248" w:type="dxa"/>
            <w:noWrap w:val="0"/>
            <w:tcMar>
              <w:left w:w="28" w:type="dxa"/>
              <w:right w:w="28" w:type="dxa"/>
            </w:tcMar>
            <w:vAlign w:val="center"/>
          </w:tcPr>
          <w:p w14:paraId="3D0A68A3">
            <w:pPr>
              <w:pStyle w:val="58"/>
              <w:rPr>
                <w:rFonts w:ascii="Times New Roman" w:hAnsi="Times New Roman" w:eastAsia="宋体" w:cs="Times New Roman"/>
                <w:snapToGrid w:val="0"/>
                <w:color w:val="000000" w:themeColor="text1"/>
                <w:spacing w:val="-6"/>
                <w:kern w:val="2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颗粒物</w:t>
            </w:r>
          </w:p>
        </w:tc>
        <w:tc>
          <w:tcPr>
            <w:tcW w:w="1483" w:type="dxa"/>
            <w:noWrap w:val="0"/>
            <w:tcMar>
              <w:left w:w="28" w:type="dxa"/>
              <w:right w:w="28" w:type="dxa"/>
            </w:tcMar>
            <w:vAlign w:val="center"/>
          </w:tcPr>
          <w:p w14:paraId="4A185CC8">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tcMar>
              <w:left w:w="28" w:type="dxa"/>
              <w:right w:w="28" w:type="dxa"/>
            </w:tcMar>
            <w:vAlign w:val="center"/>
          </w:tcPr>
          <w:p w14:paraId="41218DA2">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tcMar>
              <w:left w:w="28" w:type="dxa"/>
              <w:right w:w="28" w:type="dxa"/>
            </w:tcMar>
            <w:vAlign w:val="center"/>
          </w:tcPr>
          <w:p w14:paraId="5343E6DA">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tcMar>
              <w:left w:w="28" w:type="dxa"/>
              <w:right w:w="28" w:type="dxa"/>
            </w:tcMar>
            <w:vAlign w:val="center"/>
          </w:tcPr>
          <w:p w14:paraId="56FAA1A4">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0.0542</w:t>
            </w:r>
          </w:p>
        </w:tc>
        <w:tc>
          <w:tcPr>
            <w:tcW w:w="1561" w:type="dxa"/>
            <w:noWrap w:val="0"/>
            <w:tcMar>
              <w:left w:w="28" w:type="dxa"/>
              <w:right w:w="28" w:type="dxa"/>
            </w:tcMar>
            <w:vAlign w:val="center"/>
          </w:tcPr>
          <w:p w14:paraId="4B12E713">
            <w:pPr>
              <w:widowControl/>
              <w:jc w:val="center"/>
              <w:textAlignment w:val="center"/>
              <w:rPr>
                <w:rFonts w:hint="eastAsia" w:ascii="Times New Roman" w:hAnsi="Times New Roman" w:eastAsia="宋体" w:cs="Times New Roman"/>
                <w:snapToGrid w:val="0"/>
                <w:color w:val="000000" w:themeColor="text1"/>
                <w:spacing w:val="-1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tcMar>
              <w:left w:w="28" w:type="dxa"/>
              <w:right w:w="28" w:type="dxa"/>
            </w:tcMar>
            <w:vAlign w:val="center"/>
          </w:tcPr>
          <w:p w14:paraId="6429AB1E">
            <w:pPr>
              <w:widowControl/>
              <w:jc w:val="center"/>
              <w:textAlignment w:val="center"/>
              <w:rPr>
                <w:rFonts w:ascii="Times New Roman" w:hAnsi="Times New Roman" w:eastAsia="宋体" w:cs="宋体"/>
                <w:color w:val="000000" w:themeColor="text1"/>
                <w:sz w:val="22"/>
                <w:szCs w:val="22"/>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0.0542</w:t>
            </w:r>
          </w:p>
        </w:tc>
        <w:tc>
          <w:tcPr>
            <w:tcW w:w="1286" w:type="dxa"/>
            <w:noWrap w:val="0"/>
            <w:tcMar>
              <w:left w:w="28" w:type="dxa"/>
              <w:right w:w="28" w:type="dxa"/>
            </w:tcMar>
            <w:vAlign w:val="center"/>
          </w:tcPr>
          <w:p w14:paraId="248B3EA1">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1C94AD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tcBorders>
              <w:bottom w:val="single" w:color="auto" w:sz="4" w:space="0"/>
            </w:tcBorders>
            <w:noWrap w:val="0"/>
            <w:tcMar>
              <w:left w:w="28" w:type="dxa"/>
              <w:right w:w="28" w:type="dxa"/>
            </w:tcMar>
            <w:vAlign w:val="center"/>
          </w:tcPr>
          <w:p w14:paraId="7368788A">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tcMar>
              <w:left w:w="28" w:type="dxa"/>
              <w:right w:w="28" w:type="dxa"/>
            </w:tcMar>
            <w:vAlign w:val="center"/>
          </w:tcPr>
          <w:p w14:paraId="3C55005F">
            <w:pPr>
              <w:pStyle w:val="58"/>
              <w:rPr>
                <w:rFonts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SO</w:t>
            </w:r>
            <w:r>
              <w:rPr>
                <w:rFonts w:hint="eastAsia" w:ascii="Times New Roman" w:hAnsi="Times New Roman" w:eastAsia="宋体" w:cs="Times New Roman"/>
                <w:color w:val="000000" w:themeColor="text1"/>
                <w:kern w:val="0"/>
                <w:vertAlign w:val="subscript"/>
                <w14:textFill>
                  <w14:solidFill>
                    <w14:schemeClr w14:val="tx1"/>
                  </w14:solidFill>
                </w14:textFill>
              </w:rPr>
              <w:t>2</w:t>
            </w:r>
          </w:p>
        </w:tc>
        <w:tc>
          <w:tcPr>
            <w:tcW w:w="1483" w:type="dxa"/>
            <w:noWrap w:val="0"/>
            <w:tcMar>
              <w:left w:w="28" w:type="dxa"/>
              <w:right w:w="28" w:type="dxa"/>
            </w:tcMar>
            <w:vAlign w:val="center"/>
          </w:tcPr>
          <w:p w14:paraId="498BF669">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tcMar>
              <w:left w:w="28" w:type="dxa"/>
              <w:right w:w="28" w:type="dxa"/>
            </w:tcMar>
            <w:vAlign w:val="center"/>
          </w:tcPr>
          <w:p w14:paraId="57D1494F">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tcMar>
              <w:left w:w="28" w:type="dxa"/>
              <w:right w:w="28" w:type="dxa"/>
            </w:tcMar>
            <w:vAlign w:val="center"/>
          </w:tcPr>
          <w:p w14:paraId="5E67E1AB">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tcMar>
              <w:left w:w="28" w:type="dxa"/>
              <w:right w:w="28" w:type="dxa"/>
            </w:tcMar>
            <w:vAlign w:val="center"/>
          </w:tcPr>
          <w:p w14:paraId="57E06D8D">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0.1842</w:t>
            </w:r>
          </w:p>
        </w:tc>
        <w:tc>
          <w:tcPr>
            <w:tcW w:w="1561" w:type="dxa"/>
            <w:noWrap w:val="0"/>
            <w:tcMar>
              <w:left w:w="28" w:type="dxa"/>
              <w:right w:w="28" w:type="dxa"/>
            </w:tcMar>
            <w:vAlign w:val="center"/>
          </w:tcPr>
          <w:p w14:paraId="7C2903BA">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tcMar>
              <w:left w:w="28" w:type="dxa"/>
              <w:right w:w="28" w:type="dxa"/>
            </w:tcMar>
            <w:vAlign w:val="center"/>
          </w:tcPr>
          <w:p w14:paraId="51226585">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0.1842</w:t>
            </w:r>
          </w:p>
        </w:tc>
        <w:tc>
          <w:tcPr>
            <w:tcW w:w="1286" w:type="dxa"/>
            <w:noWrap w:val="0"/>
            <w:tcMar>
              <w:left w:w="28" w:type="dxa"/>
              <w:right w:w="28" w:type="dxa"/>
            </w:tcMar>
            <w:vAlign w:val="center"/>
          </w:tcPr>
          <w:p w14:paraId="154C297D">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403F67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tcBorders>
              <w:bottom w:val="single" w:color="auto" w:sz="4" w:space="0"/>
            </w:tcBorders>
            <w:noWrap w:val="0"/>
            <w:tcMar>
              <w:left w:w="28" w:type="dxa"/>
              <w:right w:w="28" w:type="dxa"/>
            </w:tcMar>
            <w:vAlign w:val="center"/>
          </w:tcPr>
          <w:p w14:paraId="5A7FA791">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tcMar>
              <w:left w:w="28" w:type="dxa"/>
              <w:right w:w="28" w:type="dxa"/>
            </w:tcMar>
            <w:vAlign w:val="center"/>
          </w:tcPr>
          <w:p w14:paraId="08C4E63C">
            <w:pPr>
              <w:pStyle w:val="58"/>
              <w:rPr>
                <w:rFonts w:ascii="Times New Roman" w:hAnsi="Times New Roman" w:eastAsia="宋体" w:cs="Times New Roman"/>
                <w:color w:val="000000" w:themeColor="text1"/>
                <w:kern w:val="0"/>
                <w:lang w:bidi="ar"/>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NO</w:t>
            </w:r>
            <w:r>
              <w:rPr>
                <w:rFonts w:hint="eastAsia" w:ascii="Times New Roman" w:hAnsi="Times New Roman" w:eastAsia="宋体" w:cs="Times New Roman"/>
                <w:color w:val="000000" w:themeColor="text1"/>
                <w:kern w:val="0"/>
                <w:vertAlign w:val="subscript"/>
                <w14:textFill>
                  <w14:solidFill>
                    <w14:schemeClr w14:val="tx1"/>
                  </w14:solidFill>
                </w14:textFill>
              </w:rPr>
              <w:t>X</w:t>
            </w:r>
          </w:p>
        </w:tc>
        <w:tc>
          <w:tcPr>
            <w:tcW w:w="1483" w:type="dxa"/>
            <w:noWrap w:val="0"/>
            <w:tcMar>
              <w:left w:w="28" w:type="dxa"/>
              <w:right w:w="28" w:type="dxa"/>
            </w:tcMar>
            <w:vAlign w:val="center"/>
          </w:tcPr>
          <w:p w14:paraId="4884CAAF">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tcMar>
              <w:left w:w="28" w:type="dxa"/>
              <w:right w:w="28" w:type="dxa"/>
            </w:tcMar>
            <w:vAlign w:val="center"/>
          </w:tcPr>
          <w:p w14:paraId="0D8BA1E5">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tcMar>
              <w:left w:w="28" w:type="dxa"/>
              <w:right w:w="28" w:type="dxa"/>
            </w:tcMar>
            <w:vAlign w:val="center"/>
          </w:tcPr>
          <w:p w14:paraId="00398D8E">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tcMar>
              <w:left w:w="28" w:type="dxa"/>
              <w:right w:w="28" w:type="dxa"/>
            </w:tcMar>
            <w:vAlign w:val="center"/>
          </w:tcPr>
          <w:p w14:paraId="10591B1B">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0.7735</w:t>
            </w:r>
          </w:p>
        </w:tc>
        <w:tc>
          <w:tcPr>
            <w:tcW w:w="1561" w:type="dxa"/>
            <w:noWrap w:val="0"/>
            <w:tcMar>
              <w:left w:w="28" w:type="dxa"/>
              <w:right w:w="28" w:type="dxa"/>
            </w:tcMar>
            <w:vAlign w:val="center"/>
          </w:tcPr>
          <w:p w14:paraId="25094403">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tcMar>
              <w:left w:w="28" w:type="dxa"/>
              <w:right w:w="28" w:type="dxa"/>
            </w:tcMar>
            <w:vAlign w:val="center"/>
          </w:tcPr>
          <w:p w14:paraId="723E9805">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0.7735</w:t>
            </w:r>
          </w:p>
        </w:tc>
        <w:tc>
          <w:tcPr>
            <w:tcW w:w="1286" w:type="dxa"/>
            <w:noWrap w:val="0"/>
            <w:tcMar>
              <w:left w:w="28" w:type="dxa"/>
              <w:right w:w="28" w:type="dxa"/>
            </w:tcMar>
            <w:vAlign w:val="center"/>
          </w:tcPr>
          <w:p w14:paraId="61CDB396">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594819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tcBorders>
              <w:bottom w:val="single" w:color="auto" w:sz="4" w:space="0"/>
            </w:tcBorders>
            <w:noWrap w:val="0"/>
            <w:tcMar>
              <w:left w:w="28" w:type="dxa"/>
              <w:right w:w="28" w:type="dxa"/>
            </w:tcMar>
            <w:vAlign w:val="center"/>
          </w:tcPr>
          <w:p w14:paraId="53DDE5AD">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tcMar>
              <w:left w:w="28" w:type="dxa"/>
              <w:right w:w="28" w:type="dxa"/>
            </w:tcMar>
            <w:vAlign w:val="center"/>
          </w:tcPr>
          <w:p w14:paraId="787A90CA">
            <w:pPr>
              <w:pStyle w:val="58"/>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kern w:val="0"/>
                <w14:textFill>
                  <w14:solidFill>
                    <w14:schemeClr w14:val="tx1"/>
                  </w14:solidFill>
                </w14:textFill>
              </w:rPr>
              <w:t>CO</w:t>
            </w:r>
          </w:p>
        </w:tc>
        <w:tc>
          <w:tcPr>
            <w:tcW w:w="1483" w:type="dxa"/>
            <w:noWrap w:val="0"/>
            <w:tcMar>
              <w:left w:w="28" w:type="dxa"/>
              <w:right w:w="28" w:type="dxa"/>
            </w:tcMar>
            <w:vAlign w:val="center"/>
          </w:tcPr>
          <w:p w14:paraId="351D4579">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tcMar>
              <w:left w:w="28" w:type="dxa"/>
              <w:right w:w="28" w:type="dxa"/>
            </w:tcMar>
            <w:vAlign w:val="center"/>
          </w:tcPr>
          <w:p w14:paraId="2FAE61A0">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tcMar>
              <w:left w:w="28" w:type="dxa"/>
              <w:right w:w="28" w:type="dxa"/>
            </w:tcMar>
            <w:vAlign w:val="center"/>
          </w:tcPr>
          <w:p w14:paraId="74042426">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tcMar>
              <w:left w:w="28" w:type="dxa"/>
              <w:right w:w="28" w:type="dxa"/>
            </w:tcMar>
            <w:vAlign w:val="center"/>
          </w:tcPr>
          <w:p w14:paraId="037A69B9">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1.21</w:t>
            </w:r>
          </w:p>
        </w:tc>
        <w:tc>
          <w:tcPr>
            <w:tcW w:w="1561" w:type="dxa"/>
            <w:noWrap w:val="0"/>
            <w:tcMar>
              <w:left w:w="28" w:type="dxa"/>
              <w:right w:w="28" w:type="dxa"/>
            </w:tcMar>
            <w:vAlign w:val="center"/>
          </w:tcPr>
          <w:p w14:paraId="14273944">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tcMar>
              <w:left w:w="28" w:type="dxa"/>
              <w:right w:w="28" w:type="dxa"/>
            </w:tcMar>
            <w:vAlign w:val="center"/>
          </w:tcPr>
          <w:p w14:paraId="068D66A4">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1.21</w:t>
            </w:r>
          </w:p>
        </w:tc>
        <w:tc>
          <w:tcPr>
            <w:tcW w:w="1286" w:type="dxa"/>
            <w:noWrap w:val="0"/>
            <w:tcMar>
              <w:left w:w="28" w:type="dxa"/>
              <w:right w:w="28" w:type="dxa"/>
            </w:tcMar>
            <w:vAlign w:val="center"/>
          </w:tcPr>
          <w:p w14:paraId="3523E5EB">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70E215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restart"/>
            <w:noWrap w:val="0"/>
            <w:vAlign w:val="center"/>
          </w:tcPr>
          <w:p w14:paraId="4D5C2B39">
            <w:pPr>
              <w:pStyle w:val="71"/>
              <w:spacing w:before="24" w:after="24" w:line="240" w:lineRule="auto"/>
              <w:rPr>
                <w:rFonts w:hint="eastAsia"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废水</w:t>
            </w:r>
          </w:p>
        </w:tc>
        <w:tc>
          <w:tcPr>
            <w:tcW w:w="2248" w:type="dxa"/>
            <w:noWrap w:val="0"/>
            <w:vAlign w:val="center"/>
          </w:tcPr>
          <w:p w14:paraId="6787A72F">
            <w:pPr>
              <w:pStyle w:val="43"/>
              <w:jc w:val="center"/>
              <w:rPr>
                <w:rFonts w:ascii="Times New Roman"/>
                <w:snapToGrid w:val="0"/>
                <w:color w:val="000000" w:themeColor="text1"/>
                <w:kern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COD</w:t>
            </w:r>
            <w:r>
              <w:rPr>
                <w:rFonts w:ascii="Times New Roman"/>
                <w:color w:val="000000" w:themeColor="text1"/>
                <w:sz w:val="21"/>
                <w:szCs w:val="21"/>
                <w:vertAlign w:val="subscript"/>
                <w14:textFill>
                  <w14:solidFill>
                    <w14:schemeClr w14:val="tx1"/>
                  </w14:solidFill>
                </w14:textFill>
              </w:rPr>
              <w:t>Cr</w:t>
            </w:r>
          </w:p>
        </w:tc>
        <w:tc>
          <w:tcPr>
            <w:tcW w:w="1483" w:type="dxa"/>
            <w:noWrap w:val="0"/>
            <w:vAlign w:val="center"/>
          </w:tcPr>
          <w:p w14:paraId="23CAB1FC">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19DD04A2">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4A09C47C">
            <w:pPr>
              <w:widowControl/>
              <w:jc w:val="center"/>
              <w:textAlignment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73530E7B">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11.049</w:t>
            </w:r>
          </w:p>
        </w:tc>
        <w:tc>
          <w:tcPr>
            <w:tcW w:w="1561" w:type="dxa"/>
            <w:noWrap w:val="0"/>
            <w:vAlign w:val="center"/>
          </w:tcPr>
          <w:p w14:paraId="282599E7">
            <w:pPr>
              <w:widowControl/>
              <w:jc w:val="center"/>
              <w:textAlignment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47FCEDB5">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11.049</w:t>
            </w:r>
          </w:p>
        </w:tc>
        <w:tc>
          <w:tcPr>
            <w:tcW w:w="1286" w:type="dxa"/>
            <w:noWrap w:val="0"/>
            <w:vAlign w:val="center"/>
          </w:tcPr>
          <w:p w14:paraId="4C4BCEFE">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2C029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5F70DCC7">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46EA7F09">
            <w:pPr>
              <w:pStyle w:val="43"/>
              <w:jc w:val="center"/>
              <w:rPr>
                <w:rFonts w:ascii="Times New Roman"/>
                <w:snapToGrid w:val="0"/>
                <w:color w:val="000000" w:themeColor="text1"/>
                <w:kern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BOD</w:t>
            </w:r>
            <w:r>
              <w:rPr>
                <w:rFonts w:ascii="Times New Roman"/>
                <w:color w:val="000000" w:themeColor="text1"/>
                <w:sz w:val="21"/>
                <w:szCs w:val="21"/>
                <w:vertAlign w:val="subscript"/>
                <w14:textFill>
                  <w14:solidFill>
                    <w14:schemeClr w14:val="tx1"/>
                  </w14:solidFill>
                </w14:textFill>
              </w:rPr>
              <w:t>5</w:t>
            </w:r>
          </w:p>
        </w:tc>
        <w:tc>
          <w:tcPr>
            <w:tcW w:w="1483" w:type="dxa"/>
            <w:noWrap w:val="0"/>
            <w:vAlign w:val="center"/>
          </w:tcPr>
          <w:p w14:paraId="5AD84640">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416A5D04">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02B437B1">
            <w:pPr>
              <w:widowControl/>
              <w:jc w:val="center"/>
              <w:textAlignment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2EF29B8C">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4.60</w:t>
            </w:r>
          </w:p>
        </w:tc>
        <w:tc>
          <w:tcPr>
            <w:tcW w:w="1561" w:type="dxa"/>
            <w:noWrap w:val="0"/>
            <w:vAlign w:val="center"/>
          </w:tcPr>
          <w:p w14:paraId="1F2B9EB8">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68717D9E">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4.60</w:t>
            </w:r>
          </w:p>
        </w:tc>
        <w:tc>
          <w:tcPr>
            <w:tcW w:w="1286" w:type="dxa"/>
            <w:noWrap w:val="0"/>
            <w:vAlign w:val="center"/>
          </w:tcPr>
          <w:p w14:paraId="08C145E5">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0A8CE7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2B27567C">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3327E01A">
            <w:pPr>
              <w:pStyle w:val="43"/>
              <w:jc w:val="center"/>
              <w:rPr>
                <w:rFonts w:ascii="Times New Roman"/>
                <w:snapToGrid w:val="0"/>
                <w:color w:val="000000" w:themeColor="text1"/>
                <w:kern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SS</w:t>
            </w:r>
          </w:p>
        </w:tc>
        <w:tc>
          <w:tcPr>
            <w:tcW w:w="1483" w:type="dxa"/>
            <w:noWrap w:val="0"/>
            <w:vAlign w:val="center"/>
          </w:tcPr>
          <w:p w14:paraId="348CDB63">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1A32B240">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199FF544">
            <w:pPr>
              <w:widowControl/>
              <w:jc w:val="center"/>
              <w:textAlignment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6E4B3150">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2.817</w:t>
            </w:r>
          </w:p>
        </w:tc>
        <w:tc>
          <w:tcPr>
            <w:tcW w:w="1561" w:type="dxa"/>
            <w:noWrap w:val="0"/>
            <w:vAlign w:val="center"/>
          </w:tcPr>
          <w:p w14:paraId="6225599C">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55ABC041">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2.817</w:t>
            </w:r>
          </w:p>
        </w:tc>
        <w:tc>
          <w:tcPr>
            <w:tcW w:w="1286" w:type="dxa"/>
            <w:noWrap w:val="0"/>
            <w:vAlign w:val="center"/>
          </w:tcPr>
          <w:p w14:paraId="38E6E33A">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7E2E0C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3C489BED">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4095C3DC">
            <w:pPr>
              <w:pStyle w:val="43"/>
              <w:jc w:val="center"/>
              <w:rPr>
                <w:rFonts w:ascii="Times New Roman"/>
                <w:snapToGrid w:val="0"/>
                <w:color w:val="000000" w:themeColor="text1"/>
                <w:kern w:val="21"/>
                <w:szCs w:val="21"/>
                <w14:textFill>
                  <w14:solidFill>
                    <w14:schemeClr w14:val="tx1"/>
                  </w14:solidFill>
                </w14:textFill>
              </w:rPr>
            </w:pPr>
            <w:r>
              <w:rPr>
                <w:rFonts w:ascii="Times New Roman"/>
                <w:color w:val="000000" w:themeColor="text1"/>
                <w:sz w:val="21"/>
                <w:szCs w:val="21"/>
                <w14:textFill>
                  <w14:solidFill>
                    <w14:schemeClr w14:val="tx1"/>
                  </w14:solidFill>
                </w14:textFill>
              </w:rPr>
              <w:t>NH</w:t>
            </w:r>
            <w:r>
              <w:rPr>
                <w:rFonts w:ascii="Times New Roman"/>
                <w:color w:val="000000" w:themeColor="text1"/>
                <w:sz w:val="21"/>
                <w:szCs w:val="21"/>
                <w:vertAlign w:val="subscript"/>
                <w14:textFill>
                  <w14:solidFill>
                    <w14:schemeClr w14:val="tx1"/>
                  </w14:solidFill>
                </w14:textFill>
              </w:rPr>
              <w:t>3</w:t>
            </w:r>
            <w:r>
              <w:rPr>
                <w:rFonts w:ascii="Times New Roman"/>
                <w:color w:val="000000" w:themeColor="text1"/>
                <w:sz w:val="21"/>
                <w:szCs w:val="21"/>
                <w14:textFill>
                  <w14:solidFill>
                    <w14:schemeClr w14:val="tx1"/>
                  </w14:solidFill>
                </w14:textFill>
              </w:rPr>
              <w:t>-N</w:t>
            </w:r>
          </w:p>
        </w:tc>
        <w:tc>
          <w:tcPr>
            <w:tcW w:w="1483" w:type="dxa"/>
            <w:noWrap w:val="0"/>
            <w:vAlign w:val="center"/>
          </w:tcPr>
          <w:p w14:paraId="0862F05D">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097706BF">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0E9AC3A5">
            <w:pPr>
              <w:widowControl/>
              <w:jc w:val="center"/>
              <w:textAlignment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04F5FB9F">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2.808</w:t>
            </w:r>
          </w:p>
        </w:tc>
        <w:tc>
          <w:tcPr>
            <w:tcW w:w="1561" w:type="dxa"/>
            <w:noWrap w:val="0"/>
            <w:vAlign w:val="center"/>
          </w:tcPr>
          <w:p w14:paraId="589CE964">
            <w:pPr>
              <w:widowControl/>
              <w:jc w:val="center"/>
              <w:textAlignment w:val="center"/>
              <w:rPr>
                <w:rFonts w:hint="eastAsia" w:ascii="Times New Roman" w:hAnsi="Times New Roman" w:eastAsia="宋体" w:cs="Times New Roman"/>
                <w:bCs/>
                <w:color w:val="000000" w:themeColor="text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3458F399">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宋体"/>
                <w:color w:val="000000" w:themeColor="text1"/>
                <w:kern w:val="0"/>
                <w:szCs w:val="21"/>
                <w:lang w:bidi="ar"/>
                <w14:textFill>
                  <w14:solidFill>
                    <w14:schemeClr w14:val="tx1"/>
                  </w14:solidFill>
                </w14:textFill>
              </w:rPr>
              <w:t>2.808</w:t>
            </w:r>
          </w:p>
        </w:tc>
        <w:tc>
          <w:tcPr>
            <w:tcW w:w="1286" w:type="dxa"/>
            <w:noWrap w:val="0"/>
            <w:vAlign w:val="center"/>
          </w:tcPr>
          <w:p w14:paraId="10E4EBC9">
            <w:pPr>
              <w:widowControl/>
              <w:jc w:val="center"/>
              <w:textAlignment w:val="center"/>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7DB1F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042DE5BD">
            <w:pPr>
              <w:pStyle w:val="71"/>
              <w:spacing w:before="24" w:after="24"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4468178C">
            <w:pPr>
              <w:pStyle w:val="43"/>
              <w:jc w:val="center"/>
              <w:rPr>
                <w:rFonts w:ascii="Times New Roman"/>
                <w:color w:val="000000" w:themeColor="text1"/>
                <w:sz w:val="21"/>
                <w:szCs w:val="21"/>
                <w14:textFill>
                  <w14:solidFill>
                    <w14:schemeClr w14:val="tx1"/>
                  </w14:solidFill>
                </w14:textFill>
              </w:rPr>
            </w:pPr>
            <w:r>
              <w:rPr>
                <w:rFonts w:hint="eastAsia" w:ascii="Times New Roman"/>
                <w:color w:val="000000" w:themeColor="text1"/>
                <w:sz w:val="21"/>
                <w:szCs w:val="21"/>
                <w14:textFill>
                  <w14:solidFill>
                    <w14:schemeClr w14:val="tx1"/>
                  </w14:solidFill>
                </w14:textFill>
              </w:rPr>
              <w:t>LAS</w:t>
            </w:r>
          </w:p>
        </w:tc>
        <w:tc>
          <w:tcPr>
            <w:tcW w:w="1483" w:type="dxa"/>
            <w:noWrap w:val="0"/>
            <w:vAlign w:val="center"/>
          </w:tcPr>
          <w:p w14:paraId="40A008DD">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347A7A00">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051FCEDB">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5E315673">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w:t>
            </w:r>
          </w:p>
        </w:tc>
        <w:tc>
          <w:tcPr>
            <w:tcW w:w="1561" w:type="dxa"/>
            <w:noWrap w:val="0"/>
            <w:vAlign w:val="center"/>
          </w:tcPr>
          <w:p w14:paraId="1A8AB1DB">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71095CE8">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286" w:type="dxa"/>
            <w:noWrap w:val="0"/>
            <w:vAlign w:val="center"/>
          </w:tcPr>
          <w:p w14:paraId="6D4724A8">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3E0F35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restart"/>
            <w:noWrap w:val="0"/>
            <w:vAlign w:val="center"/>
          </w:tcPr>
          <w:p w14:paraId="6E2F7DA0">
            <w:pPr>
              <w:pStyle w:val="71"/>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一般工业</w:t>
            </w:r>
          </w:p>
          <w:p w14:paraId="38434014">
            <w:pPr>
              <w:pStyle w:val="71"/>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固体废物</w:t>
            </w:r>
          </w:p>
        </w:tc>
        <w:tc>
          <w:tcPr>
            <w:tcW w:w="2248" w:type="dxa"/>
            <w:noWrap w:val="0"/>
            <w:vAlign w:val="center"/>
          </w:tcPr>
          <w:p w14:paraId="7BEAA662">
            <w:pPr>
              <w:tabs>
                <w:tab w:val="left" w:pos="0"/>
              </w:tabs>
              <w:adjustRightInd w:val="0"/>
              <w:snapToGrid w:val="0"/>
              <w:jc w:val="center"/>
              <w:rPr>
                <w:rFonts w:hint="eastAsia"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生活垃圾</w:t>
            </w:r>
          </w:p>
        </w:tc>
        <w:tc>
          <w:tcPr>
            <w:tcW w:w="1483" w:type="dxa"/>
            <w:noWrap w:val="0"/>
            <w:vAlign w:val="center"/>
          </w:tcPr>
          <w:p w14:paraId="31A9C420">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2ED56E47">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6110CB8E">
            <w:pPr>
              <w:widowControl/>
              <w:jc w:val="center"/>
              <w:textAlignment w:val="center"/>
              <w:rPr>
                <w:rFonts w:hint="eastAsia" w:ascii="Times New Roman" w:hAnsi="Times New Roman" w:eastAsia="宋体" w:cs="Times New Roman"/>
                <w:snapToGrid w:val="0"/>
                <w:color w:val="000000" w:themeColor="text1"/>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5E454962">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4.32</w:t>
            </w:r>
          </w:p>
        </w:tc>
        <w:tc>
          <w:tcPr>
            <w:tcW w:w="1561" w:type="dxa"/>
            <w:noWrap w:val="0"/>
            <w:vAlign w:val="center"/>
          </w:tcPr>
          <w:p w14:paraId="466D70D3">
            <w:pPr>
              <w:widowControl/>
              <w:jc w:val="center"/>
              <w:textAlignment w:val="center"/>
              <w:rPr>
                <w:rFonts w:hint="eastAsia" w:ascii="Times New Roman" w:hAnsi="Times New Roman" w:eastAsia="宋体" w:cs="Times New Roman"/>
                <w:snapToGrid w:val="0"/>
                <w:color w:val="000000" w:themeColor="text1"/>
                <w:spacing w:val="-1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5211FF34">
            <w:pPr>
              <w:widowControl/>
              <w:jc w:val="center"/>
              <w:textAlignment w:val="center"/>
              <w:rPr>
                <w:rFonts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4.32</w:t>
            </w:r>
          </w:p>
        </w:tc>
        <w:tc>
          <w:tcPr>
            <w:tcW w:w="1286" w:type="dxa"/>
            <w:noWrap w:val="0"/>
            <w:vAlign w:val="center"/>
          </w:tcPr>
          <w:p w14:paraId="21C49F49">
            <w:pPr>
              <w:widowControl/>
              <w:jc w:val="center"/>
              <w:textAlignment w:val="center"/>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78975E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33BA99A7">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240CD7FA">
            <w:pPr>
              <w:tabs>
                <w:tab w:val="left" w:pos="0"/>
              </w:tabs>
              <w:adjustRightInd w:val="0"/>
              <w:snapToGrid w:val="0"/>
              <w:jc w:val="center"/>
              <w:rPr>
                <w:rFonts w:hint="eastAsia"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bCs/>
                <w:color w:val="000000" w:themeColor="text1"/>
                <w:szCs w:val="21"/>
                <w:lang w:bidi="ar"/>
                <w14:textFill>
                  <w14:solidFill>
                    <w14:schemeClr w14:val="tx1"/>
                  </w14:solidFill>
                </w14:textFill>
              </w:rPr>
              <w:t>废包装材料</w:t>
            </w:r>
          </w:p>
        </w:tc>
        <w:tc>
          <w:tcPr>
            <w:tcW w:w="1483" w:type="dxa"/>
            <w:noWrap w:val="0"/>
            <w:vAlign w:val="center"/>
          </w:tcPr>
          <w:p w14:paraId="54B2ADCF">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51852C18">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3C2224F2">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5834E8B1">
            <w:pPr>
              <w:widowControl/>
              <w:jc w:val="center"/>
              <w:textAlignment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1.5</w:t>
            </w:r>
          </w:p>
        </w:tc>
        <w:tc>
          <w:tcPr>
            <w:tcW w:w="1561" w:type="dxa"/>
            <w:noWrap w:val="0"/>
            <w:vAlign w:val="center"/>
          </w:tcPr>
          <w:p w14:paraId="5D50DB74">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61F44BF5">
            <w:pPr>
              <w:widowControl/>
              <w:jc w:val="center"/>
              <w:textAlignment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0.2</w:t>
            </w:r>
          </w:p>
        </w:tc>
        <w:tc>
          <w:tcPr>
            <w:tcW w:w="1286" w:type="dxa"/>
            <w:noWrap w:val="0"/>
            <w:vAlign w:val="center"/>
          </w:tcPr>
          <w:p w14:paraId="0B5AC338">
            <w:pPr>
              <w:widowControl/>
              <w:jc w:val="center"/>
              <w:textAlignment w:val="center"/>
              <w:rPr>
                <w:rFonts w:hint="eastAsia"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4C284C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6EFD0137">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4609F7F9">
            <w:pPr>
              <w:tabs>
                <w:tab w:val="left" w:pos="0"/>
              </w:tabs>
              <w:adjustRightInd w:val="0"/>
              <w:snapToGrid w:val="0"/>
              <w:jc w:val="center"/>
              <w:rPr>
                <w:rFonts w:hint="eastAsia" w:ascii="Times New Roman" w:hAnsi="Times New Roman" w:eastAsia="宋体" w:cs="Times New Roman"/>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lang w:bidi="ar"/>
                <w14:textFill>
                  <w14:solidFill>
                    <w14:schemeClr w14:val="tx1"/>
                  </w14:solidFill>
                </w14:textFill>
              </w:rPr>
              <w:t>锅炉灰渣</w:t>
            </w:r>
          </w:p>
        </w:tc>
        <w:tc>
          <w:tcPr>
            <w:tcW w:w="1483" w:type="dxa"/>
            <w:noWrap w:val="0"/>
            <w:vAlign w:val="center"/>
          </w:tcPr>
          <w:p w14:paraId="07C0F48A">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631D3081">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388E8F9A">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2AACE33F">
            <w:pPr>
              <w:widowControl/>
              <w:jc w:val="center"/>
              <w:textAlignment w:val="center"/>
              <w:rPr>
                <w:rFonts w:ascii="Times New Roman" w:hAnsi="Times New Roman" w:eastAsia="宋体" w:cs="Times New Roman"/>
                <w:bCs/>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56.45</w:t>
            </w:r>
          </w:p>
        </w:tc>
        <w:tc>
          <w:tcPr>
            <w:tcW w:w="1561" w:type="dxa"/>
            <w:noWrap w:val="0"/>
            <w:vAlign w:val="center"/>
          </w:tcPr>
          <w:p w14:paraId="38714352">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163444B1">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56.45</w:t>
            </w:r>
          </w:p>
        </w:tc>
        <w:tc>
          <w:tcPr>
            <w:tcW w:w="1286" w:type="dxa"/>
            <w:noWrap w:val="0"/>
            <w:vAlign w:val="center"/>
          </w:tcPr>
          <w:p w14:paraId="4861A4AB">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11CEE3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087C25DD">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6915E24D">
            <w:pPr>
              <w:tabs>
                <w:tab w:val="left" w:pos="0"/>
              </w:tabs>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收尘灰</w:t>
            </w:r>
          </w:p>
        </w:tc>
        <w:tc>
          <w:tcPr>
            <w:tcW w:w="1483" w:type="dxa"/>
            <w:noWrap w:val="0"/>
            <w:vAlign w:val="center"/>
          </w:tcPr>
          <w:p w14:paraId="60C02017">
            <w:pPr>
              <w:widowControl/>
              <w:jc w:val="center"/>
              <w:textAlignment w:val="center"/>
              <w:rPr>
                <w:rFonts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0093B9D6">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0DC2C3EB">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3441735C">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0.4878</w:t>
            </w:r>
          </w:p>
        </w:tc>
        <w:tc>
          <w:tcPr>
            <w:tcW w:w="1561" w:type="dxa"/>
            <w:noWrap w:val="0"/>
            <w:vAlign w:val="center"/>
          </w:tcPr>
          <w:p w14:paraId="718A9FB9">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59D0871D">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0.4878</w:t>
            </w:r>
          </w:p>
        </w:tc>
        <w:tc>
          <w:tcPr>
            <w:tcW w:w="1286" w:type="dxa"/>
            <w:noWrap w:val="0"/>
            <w:vAlign w:val="center"/>
          </w:tcPr>
          <w:p w14:paraId="48161192">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71B838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3B5235A0">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51FD16A9">
            <w:pPr>
              <w:tabs>
                <w:tab w:val="left" w:pos="0"/>
              </w:tabs>
              <w:adjustRightInd w:val="0"/>
              <w:snapToGrid w:val="0"/>
              <w:jc w:val="center"/>
              <w:rPr>
                <w:rFonts w:ascii="Times New Roman" w:hAnsi="Times New Roman" w:eastAsia="宋体" w:cs="Times New Roman"/>
                <w:bCs/>
                <w:color w:val="000000" w:themeColor="text1"/>
                <w:szCs w:val="21"/>
                <w:lang w:bidi="ar"/>
                <w14:textFill>
                  <w14:solidFill>
                    <w14:schemeClr w14:val="tx1"/>
                  </w14:solidFill>
                </w14:textFill>
              </w:rPr>
            </w:pPr>
            <w:r>
              <w:rPr>
                <w:rFonts w:hint="eastAsia" w:ascii="Times New Roman" w:hAnsi="Times New Roman" w:eastAsia="宋体" w:cs="Times New Roman"/>
                <w:color w:val="000000" w:themeColor="text1"/>
                <w:spacing w:val="-10"/>
                <w:szCs w:val="21"/>
                <w14:textFill>
                  <w14:solidFill>
                    <w14:schemeClr w14:val="tx1"/>
                  </w14:solidFill>
                </w14:textFill>
              </w:rPr>
              <w:t>废布袋</w:t>
            </w:r>
          </w:p>
        </w:tc>
        <w:tc>
          <w:tcPr>
            <w:tcW w:w="1483" w:type="dxa"/>
            <w:noWrap w:val="0"/>
            <w:vAlign w:val="center"/>
          </w:tcPr>
          <w:p w14:paraId="7C4877D7">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0081B51B">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1DDAB85C">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517E02C9">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0.2</w:t>
            </w:r>
          </w:p>
        </w:tc>
        <w:tc>
          <w:tcPr>
            <w:tcW w:w="1561" w:type="dxa"/>
            <w:noWrap w:val="0"/>
            <w:vAlign w:val="center"/>
          </w:tcPr>
          <w:p w14:paraId="34A0FCD7">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2B59BF05">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0.2</w:t>
            </w:r>
          </w:p>
        </w:tc>
        <w:tc>
          <w:tcPr>
            <w:tcW w:w="1286" w:type="dxa"/>
            <w:noWrap w:val="0"/>
            <w:vAlign w:val="center"/>
          </w:tcPr>
          <w:p w14:paraId="20296A6F">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0A5B3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0ECCED8C">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160BF391">
            <w:pPr>
              <w:tabs>
                <w:tab w:val="left" w:pos="0"/>
              </w:tabs>
              <w:adjustRightInd w:val="0"/>
              <w:snapToGrid w:val="0"/>
              <w:jc w:val="center"/>
              <w:rPr>
                <w:rFonts w:ascii="Times New Roman" w:hAnsi="Times New Roman" w:eastAsia="宋体" w:cs="Times New Roman"/>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spacing w:val="-10"/>
                <w:szCs w:val="21"/>
                <w14:textFill>
                  <w14:solidFill>
                    <w14:schemeClr w14:val="tx1"/>
                  </w14:solidFill>
                </w14:textFill>
              </w:rPr>
              <w:t>废离子交换树脂</w:t>
            </w:r>
          </w:p>
        </w:tc>
        <w:tc>
          <w:tcPr>
            <w:tcW w:w="1483" w:type="dxa"/>
            <w:noWrap w:val="0"/>
            <w:vAlign w:val="center"/>
          </w:tcPr>
          <w:p w14:paraId="718EB343">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7B859BB4">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4497E101">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0943D05D">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0.3</w:t>
            </w:r>
          </w:p>
        </w:tc>
        <w:tc>
          <w:tcPr>
            <w:tcW w:w="1561" w:type="dxa"/>
            <w:noWrap w:val="0"/>
            <w:vAlign w:val="center"/>
          </w:tcPr>
          <w:p w14:paraId="1F398F5A">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108D9EE4">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ascii="Times New Roman" w:hAnsi="Times New Roman" w:eastAsia="宋体" w:cs="Times New Roman"/>
                <w:color w:val="000000" w:themeColor="text1"/>
                <w:kern w:val="0"/>
                <w:szCs w:val="21"/>
                <w:lang w:bidi="ar"/>
                <w14:textFill>
                  <w14:solidFill>
                    <w14:schemeClr w14:val="tx1"/>
                  </w14:solidFill>
                </w14:textFill>
              </w:rPr>
              <w:t>0.3</w:t>
            </w:r>
          </w:p>
        </w:tc>
        <w:tc>
          <w:tcPr>
            <w:tcW w:w="1286" w:type="dxa"/>
            <w:noWrap w:val="0"/>
            <w:vAlign w:val="center"/>
          </w:tcPr>
          <w:p w14:paraId="09447981">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106F7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vMerge w:val="continue"/>
            <w:noWrap w:val="0"/>
            <w:vAlign w:val="center"/>
          </w:tcPr>
          <w:p w14:paraId="1DEC7948">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79AD374D">
            <w:pPr>
              <w:tabs>
                <w:tab w:val="left" w:pos="0"/>
              </w:tabs>
              <w:adjustRightInd w:val="0"/>
              <w:snapToGrid w:val="0"/>
              <w:jc w:val="center"/>
              <w:rPr>
                <w:rFonts w:ascii="Times New Roman" w:hAnsi="Times New Roman" w:eastAsia="宋体" w:cs="Times New Roman"/>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spacing w:val="-10"/>
                <w:szCs w:val="21"/>
                <w14:textFill>
                  <w14:solidFill>
                    <w14:schemeClr w14:val="tx1"/>
                  </w14:solidFill>
                </w14:textFill>
              </w:rPr>
              <w:t>废水处理污泥</w:t>
            </w:r>
          </w:p>
        </w:tc>
        <w:tc>
          <w:tcPr>
            <w:tcW w:w="1483" w:type="dxa"/>
            <w:noWrap w:val="0"/>
            <w:vAlign w:val="center"/>
          </w:tcPr>
          <w:p w14:paraId="5F7FDCAB">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0D4FC1C4">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364B3B21">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6C508140">
            <w:pPr>
              <w:widowControl/>
              <w:jc w:val="center"/>
              <w:textAlignment w:val="center"/>
              <w:rPr>
                <w:rFonts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24.39</w:t>
            </w:r>
          </w:p>
        </w:tc>
        <w:tc>
          <w:tcPr>
            <w:tcW w:w="1561" w:type="dxa"/>
            <w:noWrap w:val="0"/>
            <w:vAlign w:val="center"/>
          </w:tcPr>
          <w:p w14:paraId="619ADB81">
            <w:pPr>
              <w:widowControl/>
              <w:jc w:val="center"/>
              <w:textAlignment w:val="center"/>
              <w:rPr>
                <w:rFonts w:hint="eastAsia" w:ascii="Times New Roman" w:hAnsi="Times New Roman" w:eastAsia="宋体" w:cs="Times New Roman"/>
                <w:snapToGrid w:val="0"/>
                <w:color w:val="000000" w:themeColor="text1"/>
                <w:spacing w:val="-6"/>
                <w:kern w:val="2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615DA3E5">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24.39</w:t>
            </w:r>
          </w:p>
        </w:tc>
        <w:tc>
          <w:tcPr>
            <w:tcW w:w="1286" w:type="dxa"/>
            <w:noWrap w:val="0"/>
            <w:vAlign w:val="center"/>
          </w:tcPr>
          <w:p w14:paraId="4F6B86F8">
            <w:pPr>
              <w:widowControl/>
              <w:jc w:val="center"/>
              <w:textAlignment w:val="center"/>
              <w:rPr>
                <w:rFonts w:hint="eastAsia" w:ascii="Times New Roman" w:hAnsi="Times New Roman" w:eastAsia="宋体" w:cs="Times New Roman"/>
                <w:bCs/>
                <w:color w:val="000000" w:themeColor="text1"/>
                <w:szCs w:val="21"/>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r w14:paraId="22204D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2" w:type="dxa"/>
            <w:noWrap w:val="0"/>
            <w:vAlign w:val="center"/>
          </w:tcPr>
          <w:p w14:paraId="113C68B2">
            <w:pPr>
              <w:pStyle w:val="7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2248" w:type="dxa"/>
            <w:noWrap w:val="0"/>
            <w:vAlign w:val="center"/>
          </w:tcPr>
          <w:p w14:paraId="39D91C44">
            <w:pPr>
              <w:tabs>
                <w:tab w:val="left" w:pos="0"/>
              </w:tabs>
              <w:adjustRightInd w:val="0"/>
              <w:snapToGrid w:val="0"/>
              <w:jc w:val="center"/>
              <w:rPr>
                <w:rFonts w:ascii="Times New Roman" w:hAnsi="Times New Roman" w:eastAsia="宋体" w:cs="Times New Roman"/>
                <w:color w:val="000000" w:themeColor="text1"/>
                <w:spacing w:val="-10"/>
                <w:szCs w:val="21"/>
                <w14:textFill>
                  <w14:solidFill>
                    <w14:schemeClr w14:val="tx1"/>
                  </w14:solidFill>
                </w14:textFill>
              </w:rPr>
            </w:pPr>
            <w:r>
              <w:rPr>
                <w:rFonts w:hint="eastAsia" w:ascii="Times New Roman" w:hAnsi="Times New Roman" w:eastAsia="宋体" w:cs="Times New Roman"/>
                <w:color w:val="000000" w:themeColor="text1"/>
                <w:spacing w:val="-10"/>
                <w:szCs w:val="21"/>
                <w14:textFill>
                  <w14:solidFill>
                    <w14:schemeClr w14:val="tx1"/>
                  </w14:solidFill>
                </w14:textFill>
              </w:rPr>
              <w:t>废包装桶</w:t>
            </w:r>
          </w:p>
        </w:tc>
        <w:tc>
          <w:tcPr>
            <w:tcW w:w="1483" w:type="dxa"/>
            <w:noWrap w:val="0"/>
            <w:vAlign w:val="center"/>
          </w:tcPr>
          <w:p w14:paraId="233F2399">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84" w:type="dxa"/>
            <w:noWrap w:val="0"/>
            <w:vAlign w:val="center"/>
          </w:tcPr>
          <w:p w14:paraId="4D94D14F">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05" w:type="dxa"/>
            <w:noWrap w:val="0"/>
            <w:vAlign w:val="center"/>
          </w:tcPr>
          <w:p w14:paraId="7BBDA1EC">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560" w:type="dxa"/>
            <w:noWrap w:val="0"/>
            <w:vAlign w:val="center"/>
          </w:tcPr>
          <w:p w14:paraId="7B218D88">
            <w:pPr>
              <w:widowControl/>
              <w:jc w:val="center"/>
              <w:textAlignment w:val="center"/>
              <w:rPr>
                <w:rFonts w:hint="eastAsia" w:ascii="Times New Roman" w:hAnsi="Times New Roman" w:eastAsia="宋体" w:cs="Times New Roman"/>
                <w:color w:val="000000" w:themeColor="text1"/>
                <w:kern w:val="0"/>
                <w:szCs w:val="21"/>
                <w:lang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CN" w:bidi="ar"/>
                <w14:textFill>
                  <w14:solidFill>
                    <w14:schemeClr w14:val="tx1"/>
                  </w14:solidFill>
                </w14:textFill>
              </w:rPr>
              <w:t>0.48</w:t>
            </w:r>
          </w:p>
        </w:tc>
        <w:tc>
          <w:tcPr>
            <w:tcW w:w="1561" w:type="dxa"/>
            <w:noWrap w:val="0"/>
            <w:vAlign w:val="center"/>
          </w:tcPr>
          <w:p w14:paraId="74F8A36D">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c>
          <w:tcPr>
            <w:tcW w:w="1499" w:type="dxa"/>
            <w:noWrap w:val="0"/>
            <w:vAlign w:val="center"/>
          </w:tcPr>
          <w:p w14:paraId="43449190">
            <w:pPr>
              <w:widowControl/>
              <w:jc w:val="center"/>
              <w:textAlignment w:val="center"/>
              <w:rPr>
                <w:rFonts w:hint="eastAsia" w:ascii="Times New Roman" w:hAnsi="Times New Roman" w:eastAsia="宋体" w:cs="Times New Roman"/>
                <w:color w:val="000000" w:themeColor="text1"/>
                <w:kern w:val="0"/>
                <w:szCs w:val="21"/>
                <w:lang w:eastAsia="zh-CN" w:bidi="ar"/>
                <w14:textFill>
                  <w14:solidFill>
                    <w14:schemeClr w14:val="tx1"/>
                  </w14:solidFill>
                </w14:textFill>
              </w:rPr>
            </w:pPr>
            <w:r>
              <w:rPr>
                <w:rFonts w:hint="eastAsia" w:ascii="Times New Roman" w:hAnsi="Times New Roman" w:eastAsia="宋体" w:cs="Times New Roman"/>
                <w:color w:val="000000" w:themeColor="text1"/>
                <w:kern w:val="0"/>
                <w:szCs w:val="21"/>
                <w:lang w:eastAsia="zh-CN" w:bidi="ar"/>
                <w14:textFill>
                  <w14:solidFill>
                    <w14:schemeClr w14:val="tx1"/>
                  </w14:solidFill>
                </w14:textFill>
              </w:rPr>
              <w:t>0.48</w:t>
            </w:r>
          </w:p>
        </w:tc>
        <w:tc>
          <w:tcPr>
            <w:tcW w:w="1286" w:type="dxa"/>
            <w:noWrap w:val="0"/>
            <w:vAlign w:val="center"/>
          </w:tcPr>
          <w:p w14:paraId="03AC26F2">
            <w:pPr>
              <w:widowControl/>
              <w:jc w:val="center"/>
              <w:textAlignment w:val="center"/>
              <w:rPr>
                <w:rFonts w:ascii="Times New Roman" w:hAnsi="Times New Roman" w:eastAsia="宋体" w:cs="Times New Roman"/>
                <w:color w:val="000000" w:themeColor="text1"/>
                <w:kern w:val="0"/>
                <w:szCs w:val="21"/>
                <w:lang w:bidi="ar"/>
                <w14:textFill>
                  <w14:solidFill>
                    <w14:schemeClr w14:val="tx1"/>
                  </w14:solidFill>
                </w14:textFill>
              </w:rPr>
            </w:pPr>
            <w:r>
              <w:rPr>
                <w:rFonts w:hint="eastAsia" w:ascii="Times New Roman" w:hAnsi="Times New Roman" w:eastAsia="宋体" w:cs="Times New Roman"/>
                <w:color w:val="000000" w:themeColor="text1"/>
                <w:kern w:val="0"/>
                <w:szCs w:val="21"/>
                <w:lang w:bidi="ar"/>
                <w14:textFill>
                  <w14:solidFill>
                    <w14:schemeClr w14:val="tx1"/>
                  </w14:solidFill>
                </w14:textFill>
              </w:rPr>
              <w:t>/</w:t>
            </w:r>
          </w:p>
        </w:tc>
      </w:tr>
    </w:tbl>
    <w:p w14:paraId="660F8C2F">
      <w:pPr>
        <w:pStyle w:val="71"/>
        <w:spacing w:before="192" w:beforeLines="80" w:after="24"/>
        <w:jc w:val="left"/>
        <w:rPr>
          <w:rFonts w:hint="eastAsia" w:ascii="Times New Roman"/>
          <w:snapToGrid w:val="0"/>
          <w:color w:val="000000" w:themeColor="text1"/>
          <w:spacing w:val="-6"/>
          <w:kern w:val="21"/>
          <w:szCs w:val="21"/>
          <w14:textFill>
            <w14:solidFill>
              <w14:schemeClr w14:val="tx1"/>
            </w14:solidFill>
          </w14:textFill>
        </w:rPr>
        <w:sectPr>
          <w:pgSz w:w="16838" w:h="11906" w:orient="landscape"/>
          <w:pgMar w:top="1701" w:right="1531" w:bottom="1701" w:left="1531" w:header="851" w:footer="851" w:gutter="0"/>
          <w:cols w:space="720" w:num="1"/>
          <w:docGrid w:linePitch="312" w:charSpace="0"/>
        </w:sectPr>
      </w:pPr>
      <w:r>
        <w:rPr>
          <w:rFonts w:ascii="Times New Roman"/>
          <w:snapToGrid w:val="0"/>
          <w:color w:val="000000" w:themeColor="text1"/>
          <w:kern w:val="21"/>
          <w:szCs w:val="21"/>
          <w14:textFill>
            <w14:solidFill>
              <w14:schemeClr w14:val="tx1"/>
            </w14:solidFill>
          </w14:textFill>
        </w:rPr>
        <w:t>注：</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6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⑥</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1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①</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3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③</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4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④</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5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⑤</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7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⑦</w:t>
      </w:r>
      <w:r>
        <w:rPr>
          <w:rFonts w:ascii="Times New Roman"/>
          <w:snapToGrid w:val="0"/>
          <w:color w:val="000000" w:themeColor="text1"/>
          <w:spacing w:val="-6"/>
          <w:kern w:val="21"/>
          <w:szCs w:val="21"/>
          <w14:textFill>
            <w14:solidFill>
              <w14:schemeClr w14:val="tx1"/>
            </w14:solidFill>
          </w14:textFill>
        </w:rPr>
        <w:fldChar w:fldCharType="end"/>
      </w:r>
      <w:r>
        <w:rPr>
          <w:rFonts w:ascii="Times New Roman"/>
          <w:snapToGrid w:val="0"/>
          <w:color w:val="000000" w:themeColor="text1"/>
          <w:spacing w:val="-6"/>
          <w:kern w:val="21"/>
          <w:szCs w:val="21"/>
          <w14:textFill>
            <w14:solidFill>
              <w14:schemeClr w14:val="tx1"/>
            </w14:solidFill>
          </w14:textFill>
        </w:rPr>
        <w:t>=</w:t>
      </w:r>
      <w:r>
        <w:rPr>
          <w:rFonts w:ascii="Times New Roman"/>
          <w:snapToGrid w:val="0"/>
          <w:color w:val="000000" w:themeColor="text1"/>
          <w:spacing w:val="-16"/>
          <w:kern w:val="21"/>
          <w:szCs w:val="21"/>
          <w14:textFill>
            <w14:solidFill>
              <w14:schemeClr w14:val="tx1"/>
            </w14:solidFill>
          </w14:textFill>
        </w:rPr>
        <w:fldChar w:fldCharType="begin"/>
      </w:r>
      <w:r>
        <w:rPr>
          <w:rFonts w:ascii="Times New Roman"/>
          <w:snapToGrid w:val="0"/>
          <w:color w:val="000000" w:themeColor="text1"/>
          <w:spacing w:val="-16"/>
          <w:kern w:val="21"/>
          <w:szCs w:val="21"/>
          <w14:textFill>
            <w14:solidFill>
              <w14:schemeClr w14:val="tx1"/>
            </w14:solidFill>
          </w14:textFill>
        </w:rPr>
        <w:instrText xml:space="preserve"> = 6 \* GB3 \* MERGEFORMAT </w:instrText>
      </w:r>
      <w:r>
        <w:rPr>
          <w:rFonts w:ascii="Times New Roman"/>
          <w:snapToGrid w:val="0"/>
          <w:color w:val="000000" w:themeColor="text1"/>
          <w:spacing w:val="-1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⑥</w:t>
      </w:r>
      <w:r>
        <w:rPr>
          <w:rFonts w:ascii="Times New Roman"/>
          <w:snapToGrid w:val="0"/>
          <w:color w:val="000000" w:themeColor="text1"/>
          <w:spacing w:val="-16"/>
          <w:kern w:val="21"/>
          <w:szCs w:val="21"/>
          <w14:textFill>
            <w14:solidFill>
              <w14:schemeClr w14:val="tx1"/>
            </w14:solidFill>
          </w14:textFill>
        </w:rPr>
        <w:fldChar w:fldCharType="end"/>
      </w:r>
      <w:r>
        <w:rPr>
          <w:rFonts w:ascii="Times New Roman"/>
          <w:snapToGrid w:val="0"/>
          <w:color w:val="000000" w:themeColor="text1"/>
          <w:spacing w:val="-16"/>
          <w:kern w:val="21"/>
          <w:szCs w:val="21"/>
          <w14:textFill>
            <w14:solidFill>
              <w14:schemeClr w14:val="tx1"/>
            </w14:solidFill>
          </w14:textFill>
        </w:rPr>
        <w:t>-</w:t>
      </w:r>
      <w:r>
        <w:rPr>
          <w:rFonts w:ascii="Times New Roman"/>
          <w:snapToGrid w:val="0"/>
          <w:color w:val="000000" w:themeColor="text1"/>
          <w:spacing w:val="-6"/>
          <w:kern w:val="21"/>
          <w:szCs w:val="21"/>
          <w14:textFill>
            <w14:solidFill>
              <w14:schemeClr w14:val="tx1"/>
            </w14:solidFill>
          </w14:textFill>
        </w:rPr>
        <w:fldChar w:fldCharType="begin"/>
      </w:r>
      <w:r>
        <w:rPr>
          <w:rFonts w:ascii="Times New Roman"/>
          <w:snapToGrid w:val="0"/>
          <w:color w:val="000000" w:themeColor="text1"/>
          <w:spacing w:val="-6"/>
          <w:kern w:val="21"/>
          <w:szCs w:val="21"/>
          <w14:textFill>
            <w14:solidFill>
              <w14:schemeClr w14:val="tx1"/>
            </w14:solidFill>
          </w14:textFill>
        </w:rPr>
        <w:instrText xml:space="preserve"> = 1 \* GB3 \* MERGEFORMAT </w:instrText>
      </w:r>
      <w:r>
        <w:rPr>
          <w:rFonts w:ascii="Times New Roman"/>
          <w:snapToGrid w:val="0"/>
          <w:color w:val="000000" w:themeColor="text1"/>
          <w:spacing w:val="-6"/>
          <w:kern w:val="21"/>
          <w:szCs w:val="21"/>
          <w14:textFill>
            <w14:solidFill>
              <w14:schemeClr w14:val="tx1"/>
            </w14:solidFill>
          </w14:textFill>
        </w:rPr>
        <w:fldChar w:fldCharType="separate"/>
      </w:r>
      <w:r>
        <w:rPr>
          <w:rFonts w:hint="eastAsia" w:ascii="Times New Roman" w:cs="宋体"/>
          <w:color w:val="000000" w:themeColor="text1"/>
          <w:szCs w:val="21"/>
          <w14:textFill>
            <w14:solidFill>
              <w14:schemeClr w14:val="tx1"/>
            </w14:solidFill>
          </w14:textFill>
        </w:rPr>
        <w:t>①</w:t>
      </w:r>
      <w:r>
        <w:rPr>
          <w:rFonts w:ascii="Times New Roman"/>
          <w:snapToGrid w:val="0"/>
          <w:color w:val="000000" w:themeColor="text1"/>
          <w:spacing w:val="-6"/>
          <w:kern w:val="21"/>
          <w:szCs w:val="21"/>
          <w14:textFill>
            <w14:solidFill>
              <w14:schemeClr w14:val="tx1"/>
            </w14:solidFill>
          </w14:textFill>
        </w:rPr>
        <w:fldChar w:fldCharType="end"/>
      </w:r>
      <w:r>
        <w:rPr>
          <w:rFonts w:hint="eastAsia" w:ascii="Times New Roman"/>
          <w:snapToGrid w:val="0"/>
          <w:color w:val="000000" w:themeColor="text1"/>
          <w:spacing w:val="-6"/>
          <w:kern w:val="21"/>
          <w:szCs w:val="21"/>
          <w14:textFill>
            <w14:solidFill>
              <w14:schemeClr w14:val="tx1"/>
            </w14:solidFill>
          </w14:textFill>
        </w:rPr>
        <w:t>，单位：t/a</w:t>
      </w:r>
      <w:r>
        <w:rPr>
          <w:rFonts w:ascii="Times New Roman"/>
          <w:snapToGrid w:val="0"/>
          <w:color w:val="000000" w:themeColor="text1"/>
          <w:spacing w:val="-6"/>
          <w:kern w:val="21"/>
          <w:szCs w:val="21"/>
          <w14:textFill>
            <w14:solidFill>
              <w14:schemeClr w14:val="tx1"/>
            </w14:solidFill>
          </w14:textFill>
        </w:rPr>
        <w:t>。</w:t>
      </w:r>
    </w:p>
    <w:p w14:paraId="6A457DB2">
      <w:pPr>
        <w:ind w:firstLine="366" w:firstLineChars="0"/>
        <w:rPr>
          <w:rFonts w:hint="eastAsia" w:eastAsia="宋体"/>
          <w:color w:val="000000" w:themeColor="text1"/>
          <w:lang w:eastAsia="zh-CN"/>
          <w14:textFill>
            <w14:solidFill>
              <w14:schemeClr w14:val="tx1"/>
            </w14:solidFill>
          </w14:textFill>
        </w:rPr>
      </w:pPr>
    </w:p>
    <w:sectPr>
      <w:footerReference r:id="rId8" w:type="default"/>
      <w:pgSz w:w="11906" w:h="16838"/>
      <w:pgMar w:top="1701" w:right="1531" w:bottom="1701" w:left="153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仿宋体">
    <w:altName w:val="宋体"/>
    <w:panose1 w:val="00000000000000000000"/>
    <w:charset w:val="86"/>
    <w:family w:val="auto"/>
    <w:pitch w:val="default"/>
    <w:sig w:usb0="00000000" w:usb1="00000000" w:usb2="00000010" w:usb3="00000000" w:csb0="00040000" w:csb1="00000000"/>
  </w:font>
  <w:font w:name="思源宋体 CN">
    <w:altName w:val="宋体"/>
    <w:panose1 w:val="00000000000000000000"/>
    <w:charset w:val="00"/>
    <w:family w:val="roman"/>
    <w:pitch w:val="default"/>
    <w:sig w:usb0="00000000" w:usb1="00000000" w:usb2="00000016" w:usb3="00000000" w:csb0="00060107"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ZXBSJW--GB1-0">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TimesNewRomanPSMT">
    <w:altName w:val="Times New Roman"/>
    <w:panose1 w:val="00000000000000000000"/>
    <w:charset w:val="00"/>
    <w:family w:val="auto"/>
    <w:pitch w:val="default"/>
    <w:sig w:usb0="00000000" w:usb1="00000000" w:usb2="00000000"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29188">
    <w:pPr>
      <w:pStyle w:val="2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3CC7D">
    <w:pPr>
      <w:pStyle w:val="23"/>
      <w:framePr w:wrap="around" w:vAnchor="text" w:hAnchor="margin" w:xAlign="outside" w:y="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14</w:t>
    </w:r>
    <w:r>
      <w:rPr>
        <w:rStyle w:val="36"/>
        <w:rFonts w:ascii="宋体" w:hAnsi="宋体"/>
        <w:sz w:val="26"/>
        <w:szCs w:val="26"/>
      </w:rPr>
      <w:fldChar w:fldCharType="end"/>
    </w:r>
    <w:r>
      <w:rPr>
        <w:rStyle w:val="36"/>
        <w:rFonts w:hint="eastAsia" w:ascii="宋体" w:hAnsi="宋体"/>
        <w:sz w:val="28"/>
        <w:szCs w:val="28"/>
      </w:rPr>
      <w:t>—</w:t>
    </w:r>
  </w:p>
  <w:p w14:paraId="791756F8">
    <w:pPr>
      <w:pStyle w:val="23"/>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4527C">
    <w:pPr>
      <w:pStyle w:val="23"/>
      <w:framePr w:wrap="around" w:vAnchor="text" w:hAnchor="margin" w:xAlign="outside" w:y="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144</w:t>
    </w:r>
    <w:r>
      <w:rPr>
        <w:rStyle w:val="36"/>
        <w:rFonts w:ascii="宋体" w:hAnsi="宋体"/>
        <w:sz w:val="26"/>
        <w:szCs w:val="26"/>
      </w:rPr>
      <w:fldChar w:fldCharType="end"/>
    </w:r>
    <w:r>
      <w:rPr>
        <w:rStyle w:val="36"/>
        <w:rFonts w:hint="eastAsia" w:ascii="宋体" w:hAnsi="宋体"/>
        <w:sz w:val="28"/>
        <w:szCs w:val="28"/>
      </w:rPr>
      <w:t>—</w:t>
    </w:r>
  </w:p>
  <w:p w14:paraId="2DE574E6">
    <w:pPr>
      <w:pStyle w:val="23"/>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974DF">
    <w:pPr>
      <w:pStyle w:val="23"/>
      <w:framePr w:wrap="around" w:vAnchor="text" w:hAnchor="margin" w:xAlign="center" w:y="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66</w:t>
    </w:r>
    <w:r>
      <w:rPr>
        <w:rStyle w:val="36"/>
        <w:rFonts w:ascii="宋体" w:hAnsi="宋体"/>
        <w:sz w:val="26"/>
        <w:szCs w:val="26"/>
      </w:rPr>
      <w:fldChar w:fldCharType="end"/>
    </w:r>
    <w:r>
      <w:rPr>
        <w:rStyle w:val="36"/>
        <w:rFonts w:hint="eastAsia" w:ascii="宋体" w:hAnsi="宋体"/>
        <w:sz w:val="28"/>
        <w:szCs w:val="28"/>
      </w:rPr>
      <w:t>—</w:t>
    </w:r>
  </w:p>
  <w:p w14:paraId="72C733ED">
    <w:pPr>
      <w:pStyle w:val="23"/>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5688C">
    <w:pPr>
      <w:pStyle w:val="23"/>
      <w:framePr w:wrap="around" w:vAnchor="text" w:hAnchor="margin" w:xAlign="outside" w:y="1"/>
      <w:rPr>
        <w:rStyle w:val="36"/>
        <w:rFonts w:ascii="宋体" w:hAnsi="宋体"/>
        <w:sz w:val="28"/>
        <w:szCs w:val="28"/>
      </w:rPr>
    </w:pPr>
    <w:r>
      <w:rPr>
        <w:rStyle w:val="36"/>
        <w:rFonts w:hint="eastAsia" w:ascii="宋体" w:hAnsi="宋体"/>
        <w:sz w:val="28"/>
        <w:szCs w:val="28"/>
      </w:rPr>
      <w:t>—</w:t>
    </w:r>
    <w:r>
      <w:rPr>
        <w:rStyle w:val="36"/>
        <w:rFonts w:ascii="宋体" w:hAnsi="宋体"/>
        <w:sz w:val="26"/>
        <w:szCs w:val="26"/>
      </w:rPr>
      <w:fldChar w:fldCharType="begin"/>
    </w:r>
    <w:r>
      <w:rPr>
        <w:rStyle w:val="36"/>
        <w:rFonts w:ascii="宋体" w:hAnsi="宋体"/>
        <w:sz w:val="26"/>
        <w:szCs w:val="26"/>
      </w:rPr>
      <w:instrText xml:space="preserve">PAGE  </w:instrText>
    </w:r>
    <w:r>
      <w:rPr>
        <w:rStyle w:val="36"/>
        <w:rFonts w:ascii="宋体" w:hAnsi="宋体"/>
        <w:sz w:val="26"/>
        <w:szCs w:val="26"/>
      </w:rPr>
      <w:fldChar w:fldCharType="separate"/>
    </w:r>
    <w:r>
      <w:rPr>
        <w:rStyle w:val="36"/>
        <w:rFonts w:ascii="宋体" w:hAnsi="宋体"/>
        <w:sz w:val="26"/>
        <w:szCs w:val="26"/>
      </w:rPr>
      <w:t>144</w:t>
    </w:r>
    <w:r>
      <w:rPr>
        <w:rStyle w:val="36"/>
        <w:rFonts w:ascii="宋体" w:hAnsi="宋体"/>
        <w:sz w:val="26"/>
        <w:szCs w:val="26"/>
      </w:rPr>
      <w:fldChar w:fldCharType="end"/>
    </w:r>
    <w:r>
      <w:rPr>
        <w:rStyle w:val="36"/>
        <w:rFonts w:hint="eastAsia" w:ascii="宋体" w:hAnsi="宋体"/>
        <w:sz w:val="28"/>
        <w:szCs w:val="28"/>
      </w:rPr>
      <w:t>—</w:t>
    </w:r>
  </w:p>
  <w:p w14:paraId="10A49AB7">
    <w:pPr>
      <w:pStyle w:val="23"/>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1A39D">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decimal"/>
      <w:suff w:val="nothing"/>
      <w:lvlText w:val="%1、"/>
      <w:lvlJc w:val="left"/>
    </w:lvl>
  </w:abstractNum>
  <w:abstractNum w:abstractNumId="1">
    <w:nsid w:val="00000004"/>
    <w:multiLevelType w:val="singleLevel"/>
    <w:tmpl w:val="00000004"/>
    <w:lvl w:ilvl="0" w:tentative="0">
      <w:start w:val="1"/>
      <w:numFmt w:val="bullet"/>
      <w:pStyle w:val="17"/>
      <w:lvlText w:val=""/>
      <w:lvlJc w:val="left"/>
      <w:pPr>
        <w:tabs>
          <w:tab w:val="left" w:pos="780"/>
        </w:tabs>
        <w:ind w:left="7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jNmE1ZTRhNDk2MjlmOWI2NjM2NmExNWU5ZWUxYWQifQ=="/>
  </w:docVars>
  <w:rsids>
    <w:rsidRoot w:val="00172A27"/>
    <w:rsid w:val="00010298"/>
    <w:rsid w:val="000636FD"/>
    <w:rsid w:val="000946EA"/>
    <w:rsid w:val="000B58F4"/>
    <w:rsid w:val="0010668F"/>
    <w:rsid w:val="001111C6"/>
    <w:rsid w:val="00154570"/>
    <w:rsid w:val="001E4F50"/>
    <w:rsid w:val="00223136"/>
    <w:rsid w:val="00235651"/>
    <w:rsid w:val="00242E74"/>
    <w:rsid w:val="002D68A0"/>
    <w:rsid w:val="00331884"/>
    <w:rsid w:val="00334E3E"/>
    <w:rsid w:val="003806A7"/>
    <w:rsid w:val="00380963"/>
    <w:rsid w:val="003A6393"/>
    <w:rsid w:val="00412C41"/>
    <w:rsid w:val="00423102"/>
    <w:rsid w:val="004A1658"/>
    <w:rsid w:val="00536AA8"/>
    <w:rsid w:val="00544A3A"/>
    <w:rsid w:val="00546AA3"/>
    <w:rsid w:val="00554D92"/>
    <w:rsid w:val="0055561B"/>
    <w:rsid w:val="00595025"/>
    <w:rsid w:val="00600377"/>
    <w:rsid w:val="00603DE2"/>
    <w:rsid w:val="006548E3"/>
    <w:rsid w:val="00664755"/>
    <w:rsid w:val="006737DA"/>
    <w:rsid w:val="006A043B"/>
    <w:rsid w:val="006C6673"/>
    <w:rsid w:val="006F07EB"/>
    <w:rsid w:val="00795A93"/>
    <w:rsid w:val="00823A49"/>
    <w:rsid w:val="00855D29"/>
    <w:rsid w:val="008B4C3B"/>
    <w:rsid w:val="008F52E1"/>
    <w:rsid w:val="00907494"/>
    <w:rsid w:val="009266D4"/>
    <w:rsid w:val="009862E3"/>
    <w:rsid w:val="009B1EFC"/>
    <w:rsid w:val="009F0397"/>
    <w:rsid w:val="00A10DA6"/>
    <w:rsid w:val="00A12763"/>
    <w:rsid w:val="00A60237"/>
    <w:rsid w:val="00A9446C"/>
    <w:rsid w:val="00AC6A59"/>
    <w:rsid w:val="00AD11B9"/>
    <w:rsid w:val="00B25BE8"/>
    <w:rsid w:val="00B75854"/>
    <w:rsid w:val="00BA3E99"/>
    <w:rsid w:val="00BB6DBE"/>
    <w:rsid w:val="00BB7CB8"/>
    <w:rsid w:val="00BC3207"/>
    <w:rsid w:val="00BC6482"/>
    <w:rsid w:val="00BC672B"/>
    <w:rsid w:val="00BF6275"/>
    <w:rsid w:val="00C251C2"/>
    <w:rsid w:val="00C37655"/>
    <w:rsid w:val="00C91165"/>
    <w:rsid w:val="00CD38C2"/>
    <w:rsid w:val="00D02CC4"/>
    <w:rsid w:val="00D2575A"/>
    <w:rsid w:val="00D44F30"/>
    <w:rsid w:val="00D56D04"/>
    <w:rsid w:val="00D65CC6"/>
    <w:rsid w:val="00D84981"/>
    <w:rsid w:val="00D94ACC"/>
    <w:rsid w:val="00DF11A1"/>
    <w:rsid w:val="00E6391A"/>
    <w:rsid w:val="00E72CD9"/>
    <w:rsid w:val="00E97179"/>
    <w:rsid w:val="00EA4D58"/>
    <w:rsid w:val="00ED20CA"/>
    <w:rsid w:val="00EE325C"/>
    <w:rsid w:val="00F03B32"/>
    <w:rsid w:val="00F24996"/>
    <w:rsid w:val="00F44A9D"/>
    <w:rsid w:val="00F93390"/>
    <w:rsid w:val="00FC1E3A"/>
    <w:rsid w:val="00FE0E43"/>
    <w:rsid w:val="00FE1DCE"/>
    <w:rsid w:val="00FF1D8B"/>
    <w:rsid w:val="00FF5FF1"/>
    <w:rsid w:val="01161381"/>
    <w:rsid w:val="016145F7"/>
    <w:rsid w:val="017371E1"/>
    <w:rsid w:val="0178495D"/>
    <w:rsid w:val="01AA4B9A"/>
    <w:rsid w:val="01C358CB"/>
    <w:rsid w:val="01E62FAB"/>
    <w:rsid w:val="01F12262"/>
    <w:rsid w:val="01F277B5"/>
    <w:rsid w:val="01FF0067"/>
    <w:rsid w:val="020F1747"/>
    <w:rsid w:val="0253085C"/>
    <w:rsid w:val="02792B30"/>
    <w:rsid w:val="028B5EE0"/>
    <w:rsid w:val="0321034A"/>
    <w:rsid w:val="032C632B"/>
    <w:rsid w:val="03373600"/>
    <w:rsid w:val="03653EFA"/>
    <w:rsid w:val="036606AA"/>
    <w:rsid w:val="036A16A2"/>
    <w:rsid w:val="03DC5B53"/>
    <w:rsid w:val="048148B1"/>
    <w:rsid w:val="04F04E39"/>
    <w:rsid w:val="04F20A0B"/>
    <w:rsid w:val="05223167"/>
    <w:rsid w:val="056B0190"/>
    <w:rsid w:val="05931BCE"/>
    <w:rsid w:val="05F71612"/>
    <w:rsid w:val="06316A3D"/>
    <w:rsid w:val="069D0144"/>
    <w:rsid w:val="06A62C4A"/>
    <w:rsid w:val="06AD3948"/>
    <w:rsid w:val="0734520A"/>
    <w:rsid w:val="073F6C99"/>
    <w:rsid w:val="07BD55A7"/>
    <w:rsid w:val="07C35693"/>
    <w:rsid w:val="07E945E9"/>
    <w:rsid w:val="07FB11B6"/>
    <w:rsid w:val="07FF1354"/>
    <w:rsid w:val="08124123"/>
    <w:rsid w:val="086A0464"/>
    <w:rsid w:val="087851C1"/>
    <w:rsid w:val="088F4619"/>
    <w:rsid w:val="08A169DD"/>
    <w:rsid w:val="08A26BE7"/>
    <w:rsid w:val="08D5567E"/>
    <w:rsid w:val="08E95E09"/>
    <w:rsid w:val="09077801"/>
    <w:rsid w:val="09482FF7"/>
    <w:rsid w:val="099938FF"/>
    <w:rsid w:val="0A411F2E"/>
    <w:rsid w:val="0A912C8D"/>
    <w:rsid w:val="0AA61C76"/>
    <w:rsid w:val="0ABB2E7D"/>
    <w:rsid w:val="0AC459AA"/>
    <w:rsid w:val="0AC56713"/>
    <w:rsid w:val="0B0F00F9"/>
    <w:rsid w:val="0B114BC2"/>
    <w:rsid w:val="0B1B1342"/>
    <w:rsid w:val="0B203DD3"/>
    <w:rsid w:val="0B565BFF"/>
    <w:rsid w:val="0B60373C"/>
    <w:rsid w:val="0B6D1119"/>
    <w:rsid w:val="0BC006A5"/>
    <w:rsid w:val="0C023C38"/>
    <w:rsid w:val="0D072B6A"/>
    <w:rsid w:val="0D0E1813"/>
    <w:rsid w:val="0D1C612F"/>
    <w:rsid w:val="0D3104FF"/>
    <w:rsid w:val="0D441024"/>
    <w:rsid w:val="0D8E6743"/>
    <w:rsid w:val="0D986F95"/>
    <w:rsid w:val="0DED2312"/>
    <w:rsid w:val="0E0D3EFE"/>
    <w:rsid w:val="0E3F3599"/>
    <w:rsid w:val="0E7E3486"/>
    <w:rsid w:val="0E8C1E43"/>
    <w:rsid w:val="0E8C6879"/>
    <w:rsid w:val="0ED32660"/>
    <w:rsid w:val="0EDC3E68"/>
    <w:rsid w:val="0EE528BA"/>
    <w:rsid w:val="0EFB5712"/>
    <w:rsid w:val="0EFD592E"/>
    <w:rsid w:val="0EFD76DC"/>
    <w:rsid w:val="0F006F15"/>
    <w:rsid w:val="0F0A1295"/>
    <w:rsid w:val="0F2A31BD"/>
    <w:rsid w:val="0F3B73A8"/>
    <w:rsid w:val="0F487776"/>
    <w:rsid w:val="0F6A1A84"/>
    <w:rsid w:val="10435882"/>
    <w:rsid w:val="107D3BD7"/>
    <w:rsid w:val="109F48A9"/>
    <w:rsid w:val="10A55B2F"/>
    <w:rsid w:val="10C30144"/>
    <w:rsid w:val="10C657F3"/>
    <w:rsid w:val="10D54B9A"/>
    <w:rsid w:val="110A4B32"/>
    <w:rsid w:val="110D27A9"/>
    <w:rsid w:val="111700D2"/>
    <w:rsid w:val="118E4792"/>
    <w:rsid w:val="11DD0C9E"/>
    <w:rsid w:val="11E732F9"/>
    <w:rsid w:val="120123B4"/>
    <w:rsid w:val="121F715B"/>
    <w:rsid w:val="12222B9B"/>
    <w:rsid w:val="124F4A89"/>
    <w:rsid w:val="12A74BB2"/>
    <w:rsid w:val="12AC5763"/>
    <w:rsid w:val="12AF21D3"/>
    <w:rsid w:val="12BF6BB3"/>
    <w:rsid w:val="12C663B6"/>
    <w:rsid w:val="12E8202F"/>
    <w:rsid w:val="1319343F"/>
    <w:rsid w:val="134F5628"/>
    <w:rsid w:val="13B50C89"/>
    <w:rsid w:val="13C00F34"/>
    <w:rsid w:val="13C234F8"/>
    <w:rsid w:val="13D816E5"/>
    <w:rsid w:val="142A3568"/>
    <w:rsid w:val="143C602C"/>
    <w:rsid w:val="144961EA"/>
    <w:rsid w:val="145D57A9"/>
    <w:rsid w:val="1461421A"/>
    <w:rsid w:val="149E4474"/>
    <w:rsid w:val="14AE5021"/>
    <w:rsid w:val="14C01B46"/>
    <w:rsid w:val="14E76790"/>
    <w:rsid w:val="14FC1AFD"/>
    <w:rsid w:val="15256EFA"/>
    <w:rsid w:val="15840046"/>
    <w:rsid w:val="158806D7"/>
    <w:rsid w:val="15FD69FE"/>
    <w:rsid w:val="16062CBD"/>
    <w:rsid w:val="162517C4"/>
    <w:rsid w:val="166167A3"/>
    <w:rsid w:val="167E5AD5"/>
    <w:rsid w:val="168E46B9"/>
    <w:rsid w:val="16964AA1"/>
    <w:rsid w:val="16B84290"/>
    <w:rsid w:val="17057BF5"/>
    <w:rsid w:val="17376114"/>
    <w:rsid w:val="176F1863"/>
    <w:rsid w:val="177E1FDC"/>
    <w:rsid w:val="17800EAB"/>
    <w:rsid w:val="17974B4F"/>
    <w:rsid w:val="18056BA7"/>
    <w:rsid w:val="181170A6"/>
    <w:rsid w:val="185F3D2F"/>
    <w:rsid w:val="18805D37"/>
    <w:rsid w:val="189D20F0"/>
    <w:rsid w:val="18AB7819"/>
    <w:rsid w:val="18E0073C"/>
    <w:rsid w:val="18E201EF"/>
    <w:rsid w:val="195D35AB"/>
    <w:rsid w:val="19A80E61"/>
    <w:rsid w:val="19BE3140"/>
    <w:rsid w:val="19FB2A6A"/>
    <w:rsid w:val="1A4E0706"/>
    <w:rsid w:val="1A5A3C35"/>
    <w:rsid w:val="1A88246B"/>
    <w:rsid w:val="1AB259D3"/>
    <w:rsid w:val="1ACE187F"/>
    <w:rsid w:val="1B3E3F86"/>
    <w:rsid w:val="1B503617"/>
    <w:rsid w:val="1B513974"/>
    <w:rsid w:val="1C18362F"/>
    <w:rsid w:val="1C3F5F6F"/>
    <w:rsid w:val="1C400765"/>
    <w:rsid w:val="1CA17728"/>
    <w:rsid w:val="1CBD7217"/>
    <w:rsid w:val="1D1A58FD"/>
    <w:rsid w:val="1D23015A"/>
    <w:rsid w:val="1DD539E3"/>
    <w:rsid w:val="1DE6022B"/>
    <w:rsid w:val="1DEE4267"/>
    <w:rsid w:val="1DFB6AD0"/>
    <w:rsid w:val="1E3E691C"/>
    <w:rsid w:val="1E5C38B3"/>
    <w:rsid w:val="1E6B7F60"/>
    <w:rsid w:val="1E807EAC"/>
    <w:rsid w:val="1E836FDA"/>
    <w:rsid w:val="1EB458DE"/>
    <w:rsid w:val="1EEC1102"/>
    <w:rsid w:val="1F0C68A3"/>
    <w:rsid w:val="1F1D7AAB"/>
    <w:rsid w:val="1F2E7EA5"/>
    <w:rsid w:val="1F3D4E59"/>
    <w:rsid w:val="1F940932"/>
    <w:rsid w:val="200B4AB7"/>
    <w:rsid w:val="20D654D0"/>
    <w:rsid w:val="2152200F"/>
    <w:rsid w:val="21667134"/>
    <w:rsid w:val="219C7B4A"/>
    <w:rsid w:val="21AF4973"/>
    <w:rsid w:val="21BE719F"/>
    <w:rsid w:val="21BE7AEA"/>
    <w:rsid w:val="21F43C82"/>
    <w:rsid w:val="22394A78"/>
    <w:rsid w:val="22732DD6"/>
    <w:rsid w:val="22BF0B29"/>
    <w:rsid w:val="22D51C15"/>
    <w:rsid w:val="23177BE0"/>
    <w:rsid w:val="23B9384A"/>
    <w:rsid w:val="240864B0"/>
    <w:rsid w:val="24125580"/>
    <w:rsid w:val="24272231"/>
    <w:rsid w:val="24371507"/>
    <w:rsid w:val="24493715"/>
    <w:rsid w:val="245F05A4"/>
    <w:rsid w:val="2491660C"/>
    <w:rsid w:val="24E54F10"/>
    <w:rsid w:val="250E17BA"/>
    <w:rsid w:val="25113D78"/>
    <w:rsid w:val="251C4AEF"/>
    <w:rsid w:val="25262F8B"/>
    <w:rsid w:val="2551032A"/>
    <w:rsid w:val="25732813"/>
    <w:rsid w:val="26017357"/>
    <w:rsid w:val="263C377C"/>
    <w:rsid w:val="264B77F0"/>
    <w:rsid w:val="26BA2E39"/>
    <w:rsid w:val="279306A0"/>
    <w:rsid w:val="27DF1C1D"/>
    <w:rsid w:val="282D43B8"/>
    <w:rsid w:val="282E21C7"/>
    <w:rsid w:val="28900EBD"/>
    <w:rsid w:val="289A250D"/>
    <w:rsid w:val="28A26909"/>
    <w:rsid w:val="28AD2335"/>
    <w:rsid w:val="28BE5CD7"/>
    <w:rsid w:val="28F13D40"/>
    <w:rsid w:val="28F16556"/>
    <w:rsid w:val="290A4A78"/>
    <w:rsid w:val="293C0DA6"/>
    <w:rsid w:val="29BD61B3"/>
    <w:rsid w:val="29C410CB"/>
    <w:rsid w:val="29C503D4"/>
    <w:rsid w:val="29D2746B"/>
    <w:rsid w:val="2A1C2CB5"/>
    <w:rsid w:val="2A4A64D1"/>
    <w:rsid w:val="2A836848"/>
    <w:rsid w:val="2AF40F6A"/>
    <w:rsid w:val="2B094DCD"/>
    <w:rsid w:val="2C224D1C"/>
    <w:rsid w:val="2C3E56AD"/>
    <w:rsid w:val="2C5801F0"/>
    <w:rsid w:val="2C8D08AA"/>
    <w:rsid w:val="2C9B1E5A"/>
    <w:rsid w:val="2D2A50E2"/>
    <w:rsid w:val="2D6E57C6"/>
    <w:rsid w:val="2D6F19BF"/>
    <w:rsid w:val="2DC45B3D"/>
    <w:rsid w:val="2DF53411"/>
    <w:rsid w:val="2E132BDD"/>
    <w:rsid w:val="2E4F68CC"/>
    <w:rsid w:val="2E512A77"/>
    <w:rsid w:val="2E7A26A0"/>
    <w:rsid w:val="2EDD3B6B"/>
    <w:rsid w:val="2F4A2F1C"/>
    <w:rsid w:val="2F653D5F"/>
    <w:rsid w:val="2F990904"/>
    <w:rsid w:val="2F9C3A14"/>
    <w:rsid w:val="2FB20EB6"/>
    <w:rsid w:val="2FBD2791"/>
    <w:rsid w:val="2FD44032"/>
    <w:rsid w:val="30025B5E"/>
    <w:rsid w:val="302705B1"/>
    <w:rsid w:val="304D7AD9"/>
    <w:rsid w:val="309A65B4"/>
    <w:rsid w:val="30AC2E82"/>
    <w:rsid w:val="30EA7D2B"/>
    <w:rsid w:val="3143716D"/>
    <w:rsid w:val="31DA0A15"/>
    <w:rsid w:val="31DD585B"/>
    <w:rsid w:val="326A3E05"/>
    <w:rsid w:val="326A572A"/>
    <w:rsid w:val="328D1EC8"/>
    <w:rsid w:val="32C66E97"/>
    <w:rsid w:val="32CA4E85"/>
    <w:rsid w:val="32EB7F62"/>
    <w:rsid w:val="32FD1958"/>
    <w:rsid w:val="33007413"/>
    <w:rsid w:val="33A108E1"/>
    <w:rsid w:val="33CD7FAD"/>
    <w:rsid w:val="3433705E"/>
    <w:rsid w:val="346355D1"/>
    <w:rsid w:val="34912203"/>
    <w:rsid w:val="34A10D30"/>
    <w:rsid w:val="34CE54F3"/>
    <w:rsid w:val="34D02ECD"/>
    <w:rsid w:val="34F816AE"/>
    <w:rsid w:val="35080D3E"/>
    <w:rsid w:val="35241D8F"/>
    <w:rsid w:val="355E00ED"/>
    <w:rsid w:val="3589141A"/>
    <w:rsid w:val="35AE6535"/>
    <w:rsid w:val="360D4AE0"/>
    <w:rsid w:val="361D4623"/>
    <w:rsid w:val="36266BC1"/>
    <w:rsid w:val="364025D9"/>
    <w:rsid w:val="36662E42"/>
    <w:rsid w:val="367E005A"/>
    <w:rsid w:val="36EE4EDE"/>
    <w:rsid w:val="37462145"/>
    <w:rsid w:val="37D20246"/>
    <w:rsid w:val="38520A12"/>
    <w:rsid w:val="388E7917"/>
    <w:rsid w:val="38A47A36"/>
    <w:rsid w:val="38B4100D"/>
    <w:rsid w:val="38CF6E7B"/>
    <w:rsid w:val="39276F80"/>
    <w:rsid w:val="395743A4"/>
    <w:rsid w:val="395A5EEF"/>
    <w:rsid w:val="39650B6B"/>
    <w:rsid w:val="396D6D0A"/>
    <w:rsid w:val="39B20F40"/>
    <w:rsid w:val="39E11BA2"/>
    <w:rsid w:val="3A052C3D"/>
    <w:rsid w:val="3A606FF1"/>
    <w:rsid w:val="3A744447"/>
    <w:rsid w:val="3A7E7A11"/>
    <w:rsid w:val="3A930C27"/>
    <w:rsid w:val="3B47481D"/>
    <w:rsid w:val="3B590718"/>
    <w:rsid w:val="3B7E2844"/>
    <w:rsid w:val="3BAC1319"/>
    <w:rsid w:val="3BE01705"/>
    <w:rsid w:val="3BF62392"/>
    <w:rsid w:val="3C007580"/>
    <w:rsid w:val="3C072DB4"/>
    <w:rsid w:val="3C3A0A8F"/>
    <w:rsid w:val="3C5C4417"/>
    <w:rsid w:val="3C8F2D7F"/>
    <w:rsid w:val="3CB42DEC"/>
    <w:rsid w:val="3CD20CE6"/>
    <w:rsid w:val="3CD81ECD"/>
    <w:rsid w:val="3D763955"/>
    <w:rsid w:val="3DA908EF"/>
    <w:rsid w:val="3DAB6574"/>
    <w:rsid w:val="3DB03570"/>
    <w:rsid w:val="3DD47255"/>
    <w:rsid w:val="3DDA3E28"/>
    <w:rsid w:val="3DE5029B"/>
    <w:rsid w:val="3DFE6A3F"/>
    <w:rsid w:val="3E45777F"/>
    <w:rsid w:val="3E6E1A46"/>
    <w:rsid w:val="3E8E4943"/>
    <w:rsid w:val="3E9D6454"/>
    <w:rsid w:val="3EAF533C"/>
    <w:rsid w:val="3EE7366C"/>
    <w:rsid w:val="3F2261D2"/>
    <w:rsid w:val="3F3B7BBB"/>
    <w:rsid w:val="3F67760E"/>
    <w:rsid w:val="3F8949F7"/>
    <w:rsid w:val="3FD911FE"/>
    <w:rsid w:val="403501D5"/>
    <w:rsid w:val="407A6120"/>
    <w:rsid w:val="40854A43"/>
    <w:rsid w:val="40C9172C"/>
    <w:rsid w:val="412C666B"/>
    <w:rsid w:val="414F2A9D"/>
    <w:rsid w:val="418D4B48"/>
    <w:rsid w:val="42672ECB"/>
    <w:rsid w:val="42DF2D66"/>
    <w:rsid w:val="430976F7"/>
    <w:rsid w:val="43105F3B"/>
    <w:rsid w:val="431B40BE"/>
    <w:rsid w:val="43213843"/>
    <w:rsid w:val="435C7E27"/>
    <w:rsid w:val="4370038B"/>
    <w:rsid w:val="437869D4"/>
    <w:rsid w:val="43866912"/>
    <w:rsid w:val="43BB31A0"/>
    <w:rsid w:val="43C702B2"/>
    <w:rsid w:val="43C8538C"/>
    <w:rsid w:val="43EB01A6"/>
    <w:rsid w:val="44761FB8"/>
    <w:rsid w:val="44B45664"/>
    <w:rsid w:val="44FD023A"/>
    <w:rsid w:val="4522055C"/>
    <w:rsid w:val="45546485"/>
    <w:rsid w:val="460C19D8"/>
    <w:rsid w:val="46146CC9"/>
    <w:rsid w:val="4699504D"/>
    <w:rsid w:val="46FA357B"/>
    <w:rsid w:val="47334430"/>
    <w:rsid w:val="4799373F"/>
    <w:rsid w:val="479E319D"/>
    <w:rsid w:val="479F3AEF"/>
    <w:rsid w:val="47D10B9F"/>
    <w:rsid w:val="47D42002"/>
    <w:rsid w:val="48443D1F"/>
    <w:rsid w:val="48B620CF"/>
    <w:rsid w:val="496D5CD7"/>
    <w:rsid w:val="49743906"/>
    <w:rsid w:val="4A1E228E"/>
    <w:rsid w:val="4A28737C"/>
    <w:rsid w:val="4A631DE2"/>
    <w:rsid w:val="4AF235EB"/>
    <w:rsid w:val="4B26521D"/>
    <w:rsid w:val="4B2B6DA4"/>
    <w:rsid w:val="4B956C0B"/>
    <w:rsid w:val="4C5B69B8"/>
    <w:rsid w:val="4C68039E"/>
    <w:rsid w:val="4C830F95"/>
    <w:rsid w:val="4CB472AB"/>
    <w:rsid w:val="4CCC7AB7"/>
    <w:rsid w:val="4CE532F0"/>
    <w:rsid w:val="4D357FBB"/>
    <w:rsid w:val="4D3B0BB4"/>
    <w:rsid w:val="4D7A78E7"/>
    <w:rsid w:val="4DF459EA"/>
    <w:rsid w:val="4DFB6AB9"/>
    <w:rsid w:val="4E0420AB"/>
    <w:rsid w:val="4E8A15E1"/>
    <w:rsid w:val="4E941A75"/>
    <w:rsid w:val="4EEE34DE"/>
    <w:rsid w:val="4F3A5DA1"/>
    <w:rsid w:val="4F414141"/>
    <w:rsid w:val="4F4A0445"/>
    <w:rsid w:val="4F4A1778"/>
    <w:rsid w:val="4F667C45"/>
    <w:rsid w:val="4FAD5C54"/>
    <w:rsid w:val="50090EBD"/>
    <w:rsid w:val="50215D66"/>
    <w:rsid w:val="50AD0B2F"/>
    <w:rsid w:val="50EE0FAA"/>
    <w:rsid w:val="511B3417"/>
    <w:rsid w:val="511C4948"/>
    <w:rsid w:val="514C03AF"/>
    <w:rsid w:val="51525B08"/>
    <w:rsid w:val="515776D8"/>
    <w:rsid w:val="51987B43"/>
    <w:rsid w:val="51A560AD"/>
    <w:rsid w:val="51BE212A"/>
    <w:rsid w:val="51E4760B"/>
    <w:rsid w:val="51ED3B33"/>
    <w:rsid w:val="528B6A2F"/>
    <w:rsid w:val="52944021"/>
    <w:rsid w:val="52A011D6"/>
    <w:rsid w:val="52F7756C"/>
    <w:rsid w:val="533B7DA0"/>
    <w:rsid w:val="534F0AA1"/>
    <w:rsid w:val="536C660F"/>
    <w:rsid w:val="539673BD"/>
    <w:rsid w:val="53C13731"/>
    <w:rsid w:val="53CE08D5"/>
    <w:rsid w:val="53E81196"/>
    <w:rsid w:val="540325F6"/>
    <w:rsid w:val="547308EE"/>
    <w:rsid w:val="548533AA"/>
    <w:rsid w:val="54957A56"/>
    <w:rsid w:val="54995BCB"/>
    <w:rsid w:val="55097F02"/>
    <w:rsid w:val="55394AB2"/>
    <w:rsid w:val="55460716"/>
    <w:rsid w:val="554F379F"/>
    <w:rsid w:val="55616590"/>
    <w:rsid w:val="55675776"/>
    <w:rsid w:val="556E4860"/>
    <w:rsid w:val="55992C19"/>
    <w:rsid w:val="55B82906"/>
    <w:rsid w:val="55DA36BE"/>
    <w:rsid w:val="55DD61D5"/>
    <w:rsid w:val="562C598F"/>
    <w:rsid w:val="56637BB0"/>
    <w:rsid w:val="56692432"/>
    <w:rsid w:val="56CD44FC"/>
    <w:rsid w:val="572648C3"/>
    <w:rsid w:val="5738773E"/>
    <w:rsid w:val="576F0018"/>
    <w:rsid w:val="578838CF"/>
    <w:rsid w:val="58687C54"/>
    <w:rsid w:val="58757BB3"/>
    <w:rsid w:val="58883696"/>
    <w:rsid w:val="58CE3F1B"/>
    <w:rsid w:val="58D13740"/>
    <w:rsid w:val="58F564D5"/>
    <w:rsid w:val="590B2237"/>
    <w:rsid w:val="5921039D"/>
    <w:rsid w:val="59510799"/>
    <w:rsid w:val="595D2152"/>
    <w:rsid w:val="597D0F8E"/>
    <w:rsid w:val="59B5487C"/>
    <w:rsid w:val="59DE7C0E"/>
    <w:rsid w:val="5A276CA2"/>
    <w:rsid w:val="5AA004E9"/>
    <w:rsid w:val="5AF77731"/>
    <w:rsid w:val="5B0B3F0F"/>
    <w:rsid w:val="5B197FB1"/>
    <w:rsid w:val="5B2479CD"/>
    <w:rsid w:val="5B6A2FD1"/>
    <w:rsid w:val="5B87159C"/>
    <w:rsid w:val="5BE5738E"/>
    <w:rsid w:val="5C341C87"/>
    <w:rsid w:val="5C815949"/>
    <w:rsid w:val="5C9E5452"/>
    <w:rsid w:val="5CB53D34"/>
    <w:rsid w:val="5D0439AA"/>
    <w:rsid w:val="5D191652"/>
    <w:rsid w:val="5D4E0706"/>
    <w:rsid w:val="5D573817"/>
    <w:rsid w:val="5D9B0F9E"/>
    <w:rsid w:val="5DAC1DC3"/>
    <w:rsid w:val="5DBF7170"/>
    <w:rsid w:val="5DD15EB3"/>
    <w:rsid w:val="5DF00CDD"/>
    <w:rsid w:val="5E0A45FD"/>
    <w:rsid w:val="5E0E4C55"/>
    <w:rsid w:val="5E4B3F43"/>
    <w:rsid w:val="5E517AAC"/>
    <w:rsid w:val="5E826883"/>
    <w:rsid w:val="5E904131"/>
    <w:rsid w:val="5ED23092"/>
    <w:rsid w:val="5ED37DD1"/>
    <w:rsid w:val="5EDD2606"/>
    <w:rsid w:val="5EEF11D8"/>
    <w:rsid w:val="5F121559"/>
    <w:rsid w:val="5F230066"/>
    <w:rsid w:val="5F2440F3"/>
    <w:rsid w:val="5F3F4774"/>
    <w:rsid w:val="5F4B7EAE"/>
    <w:rsid w:val="5F4E0ACD"/>
    <w:rsid w:val="5F573264"/>
    <w:rsid w:val="5F794D64"/>
    <w:rsid w:val="5F803C8F"/>
    <w:rsid w:val="5F8C4003"/>
    <w:rsid w:val="5F8E1258"/>
    <w:rsid w:val="5F985A7D"/>
    <w:rsid w:val="5FD719CD"/>
    <w:rsid w:val="601C56B9"/>
    <w:rsid w:val="604E6EA3"/>
    <w:rsid w:val="609177C7"/>
    <w:rsid w:val="61057A68"/>
    <w:rsid w:val="61115AA5"/>
    <w:rsid w:val="61475B62"/>
    <w:rsid w:val="62150114"/>
    <w:rsid w:val="621E45E1"/>
    <w:rsid w:val="62343C62"/>
    <w:rsid w:val="623819C2"/>
    <w:rsid w:val="625D54A8"/>
    <w:rsid w:val="62856942"/>
    <w:rsid w:val="6297339E"/>
    <w:rsid w:val="62F74E19"/>
    <w:rsid w:val="63066A05"/>
    <w:rsid w:val="63472BFF"/>
    <w:rsid w:val="63642D55"/>
    <w:rsid w:val="63803504"/>
    <w:rsid w:val="63863D2C"/>
    <w:rsid w:val="639D7D7A"/>
    <w:rsid w:val="63D1569B"/>
    <w:rsid w:val="63ED303E"/>
    <w:rsid w:val="642959DE"/>
    <w:rsid w:val="64A12D7F"/>
    <w:rsid w:val="64A868BA"/>
    <w:rsid w:val="64F10EE8"/>
    <w:rsid w:val="64F45254"/>
    <w:rsid w:val="64F46001"/>
    <w:rsid w:val="653F1E34"/>
    <w:rsid w:val="65585541"/>
    <w:rsid w:val="656E04AA"/>
    <w:rsid w:val="65AB23B2"/>
    <w:rsid w:val="65AD1677"/>
    <w:rsid w:val="66034BED"/>
    <w:rsid w:val="66267086"/>
    <w:rsid w:val="67256946"/>
    <w:rsid w:val="677412C9"/>
    <w:rsid w:val="67D22140"/>
    <w:rsid w:val="67D84F6C"/>
    <w:rsid w:val="68296530"/>
    <w:rsid w:val="68405F24"/>
    <w:rsid w:val="686477F9"/>
    <w:rsid w:val="68720251"/>
    <w:rsid w:val="691161D7"/>
    <w:rsid w:val="69966220"/>
    <w:rsid w:val="69DE01DF"/>
    <w:rsid w:val="69E32631"/>
    <w:rsid w:val="6A161408"/>
    <w:rsid w:val="6A1833EB"/>
    <w:rsid w:val="6A3909CA"/>
    <w:rsid w:val="6A3976A3"/>
    <w:rsid w:val="6A4E74EA"/>
    <w:rsid w:val="6AD0773D"/>
    <w:rsid w:val="6AEF5997"/>
    <w:rsid w:val="6B1437C9"/>
    <w:rsid w:val="6B2507E6"/>
    <w:rsid w:val="6B680BAF"/>
    <w:rsid w:val="6B97700E"/>
    <w:rsid w:val="6BFD134A"/>
    <w:rsid w:val="6C29119C"/>
    <w:rsid w:val="6C495F33"/>
    <w:rsid w:val="6C4F7828"/>
    <w:rsid w:val="6C5B7529"/>
    <w:rsid w:val="6C743685"/>
    <w:rsid w:val="6CA70D8C"/>
    <w:rsid w:val="6CB15FBE"/>
    <w:rsid w:val="6CBF5A16"/>
    <w:rsid w:val="6DED0BE3"/>
    <w:rsid w:val="6DFF0555"/>
    <w:rsid w:val="6E05302D"/>
    <w:rsid w:val="6E0B23A6"/>
    <w:rsid w:val="6E786AB1"/>
    <w:rsid w:val="6E8D6012"/>
    <w:rsid w:val="6E957A00"/>
    <w:rsid w:val="6ED00F45"/>
    <w:rsid w:val="6EE62B05"/>
    <w:rsid w:val="6F075252"/>
    <w:rsid w:val="6F4C4226"/>
    <w:rsid w:val="6F8E37A5"/>
    <w:rsid w:val="6FA44533"/>
    <w:rsid w:val="70530603"/>
    <w:rsid w:val="705B698D"/>
    <w:rsid w:val="708678A3"/>
    <w:rsid w:val="711F6403"/>
    <w:rsid w:val="71AD5CE3"/>
    <w:rsid w:val="71AF33E3"/>
    <w:rsid w:val="721B2E65"/>
    <w:rsid w:val="72757A7F"/>
    <w:rsid w:val="7278273A"/>
    <w:rsid w:val="72865477"/>
    <w:rsid w:val="72A27E26"/>
    <w:rsid w:val="734C666F"/>
    <w:rsid w:val="73955B8D"/>
    <w:rsid w:val="73A1103E"/>
    <w:rsid w:val="73C646D9"/>
    <w:rsid w:val="74770DCD"/>
    <w:rsid w:val="74E61A81"/>
    <w:rsid w:val="74EE0377"/>
    <w:rsid w:val="758807CB"/>
    <w:rsid w:val="75F62724"/>
    <w:rsid w:val="760F6550"/>
    <w:rsid w:val="762A7AD4"/>
    <w:rsid w:val="763840CE"/>
    <w:rsid w:val="7677037E"/>
    <w:rsid w:val="771C4B52"/>
    <w:rsid w:val="771E1EF2"/>
    <w:rsid w:val="776A4914"/>
    <w:rsid w:val="779632CD"/>
    <w:rsid w:val="77CF4322"/>
    <w:rsid w:val="77D543BA"/>
    <w:rsid w:val="786E5CAA"/>
    <w:rsid w:val="787B33E7"/>
    <w:rsid w:val="787D4BCD"/>
    <w:rsid w:val="78A171BD"/>
    <w:rsid w:val="79515461"/>
    <w:rsid w:val="79AB2C69"/>
    <w:rsid w:val="79CF1AB5"/>
    <w:rsid w:val="79E461EC"/>
    <w:rsid w:val="7A135B61"/>
    <w:rsid w:val="7A5F3B9C"/>
    <w:rsid w:val="7AE12F7B"/>
    <w:rsid w:val="7B2674B5"/>
    <w:rsid w:val="7B7C6C94"/>
    <w:rsid w:val="7BA5679E"/>
    <w:rsid w:val="7BFC06CA"/>
    <w:rsid w:val="7C0501EA"/>
    <w:rsid w:val="7C2A4D58"/>
    <w:rsid w:val="7C77670B"/>
    <w:rsid w:val="7CAD6D69"/>
    <w:rsid w:val="7CB162F7"/>
    <w:rsid w:val="7D06612B"/>
    <w:rsid w:val="7D0D701F"/>
    <w:rsid w:val="7D344148"/>
    <w:rsid w:val="7D77E27F"/>
    <w:rsid w:val="7D8358A5"/>
    <w:rsid w:val="7E0A336C"/>
    <w:rsid w:val="7E8C2EF2"/>
    <w:rsid w:val="7EAA17B2"/>
    <w:rsid w:val="7F0E6BB7"/>
    <w:rsid w:val="7F35093E"/>
    <w:rsid w:val="7FA11351"/>
    <w:rsid w:val="7FD5089B"/>
    <w:rsid w:val="7FDF225A"/>
    <w:rsid w:val="9F1FAE90"/>
    <w:rsid w:val="B93EF58A"/>
    <w:rsid w:val="CAE9E428"/>
    <w:rsid w:val="D57E0C8D"/>
    <w:rsid w:val="FBCD4C2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0" w:semiHidden="0"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qFormat="1" w:unhideWhenUsed="0" w:uiPriority="0" w:semiHidden="0" w:name="List 3"/>
    <w:lsdException w:qFormat="1" w:unhideWhenUsed="0" w:uiPriority="0" w:semiHidden="0"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ascii="Times New Roman" w:hAnsi="Times New Roman" w:eastAsia="黑体" w:cs="Times New Roman"/>
      <w:b/>
      <w:bCs/>
      <w:color w:val="000000"/>
      <w:kern w:val="44"/>
      <w:sz w:val="30"/>
      <w:szCs w:val="30"/>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34">
    <w:name w:val="Default Paragraph Font"/>
    <w:qFormat/>
    <w:uiPriority w:val="0"/>
    <w:rPr>
      <w:rFonts w:ascii="Times New Roman" w:hAnsi="Times New Roman" w:eastAsia="宋体" w:cs="Times New Roman"/>
    </w:rPr>
  </w:style>
  <w:style w:type="table" w:default="1" w:styleId="32">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List 3"/>
    <w:basedOn w:val="1"/>
    <w:next w:val="6"/>
    <w:qFormat/>
    <w:uiPriority w:val="0"/>
    <w:pPr>
      <w:autoSpaceDE w:val="0"/>
      <w:autoSpaceDN w:val="0"/>
      <w:adjustRightInd w:val="0"/>
      <w:spacing w:line="288" w:lineRule="auto"/>
      <w:ind w:left="1260" w:hanging="420"/>
      <w:jc w:val="left"/>
      <w:textAlignment w:val="baseline"/>
    </w:pPr>
    <w:rPr>
      <w:rFonts w:ascii="Times New Roman" w:hAnsi="Times New Roman" w:eastAsia="宋体" w:cs="Times New Roman"/>
      <w:kern w:val="0"/>
      <w:sz w:val="20"/>
      <w:szCs w:val="20"/>
    </w:rPr>
  </w:style>
  <w:style w:type="paragraph" w:styleId="6">
    <w:name w:val="List 4"/>
    <w:basedOn w:val="1"/>
    <w:next w:val="7"/>
    <w:qFormat/>
    <w:uiPriority w:val="0"/>
    <w:pPr>
      <w:ind w:left="100" w:leftChars="600" w:hanging="200" w:hangingChars="200"/>
    </w:pPr>
    <w:rPr>
      <w:kern w:val="0"/>
      <w:sz w:val="24"/>
    </w:rPr>
  </w:style>
  <w:style w:type="paragraph" w:styleId="7">
    <w:name w:val="Plain Text"/>
    <w:basedOn w:val="1"/>
    <w:qFormat/>
    <w:uiPriority w:val="0"/>
    <w:rPr>
      <w:rFonts w:ascii="宋体" w:hAnsi="Courier New" w:eastAsia="宋体" w:cs="Times New Roman"/>
      <w:szCs w:val="21"/>
    </w:rPr>
  </w:style>
  <w:style w:type="paragraph" w:styleId="8">
    <w:name w:val="E-mail Signature"/>
    <w:basedOn w:val="1"/>
    <w:next w:val="9"/>
    <w:qFormat/>
    <w:uiPriority w:val="0"/>
    <w:pPr>
      <w:spacing w:line="460" w:lineRule="exact"/>
      <w:ind w:firstLine="200"/>
    </w:pPr>
    <w:rPr>
      <w:rFonts w:ascii="Times New Roman" w:hAnsi="Times New Roman" w:eastAsia="宋体" w:cs="Times New Roman"/>
    </w:rPr>
  </w:style>
  <w:style w:type="paragraph" w:customStyle="1" w:styleId="9">
    <w:name w:val="文章"/>
    <w:basedOn w:val="10"/>
    <w:next w:val="11"/>
    <w:qFormat/>
    <w:uiPriority w:val="0"/>
    <w:pPr>
      <w:ind w:firstLine="480"/>
      <w:jc w:val="center"/>
    </w:pPr>
    <w:rPr>
      <w:rFonts w:ascii="Times New Roman" w:hAnsi="Times New Roman" w:eastAsia="宋体" w:cs="Times New Roman"/>
      <w:kern w:val="2"/>
      <w:sz w:val="26"/>
      <w:szCs w:val="22"/>
      <w:lang w:val="en-US" w:eastAsia="zh-CN" w:bidi="ar-SA"/>
    </w:rPr>
  </w:style>
  <w:style w:type="paragraph" w:styleId="10">
    <w:name w:val="Body Text Indent"/>
    <w:basedOn w:val="1"/>
    <w:qFormat/>
    <w:uiPriority w:val="0"/>
    <w:pPr>
      <w:spacing w:after="120"/>
      <w:ind w:left="420" w:leftChars="200"/>
    </w:pPr>
    <w:rPr>
      <w:rFonts w:ascii="Times New Roman" w:hAnsi="Times New Roman" w:eastAsia="宋体" w:cs="Times New Roman"/>
      <w:kern w:val="0"/>
      <w:sz w:val="24"/>
      <w:szCs w:val="20"/>
    </w:rPr>
  </w:style>
  <w:style w:type="paragraph" w:styleId="11">
    <w:name w:val="List"/>
    <w:basedOn w:val="1"/>
    <w:next w:val="1"/>
    <w:uiPriority w:val="0"/>
    <w:pPr>
      <w:ind w:left="200" w:hanging="200" w:hangingChars="200"/>
    </w:pPr>
    <w:rPr>
      <w:rFonts w:ascii="Times New Roman" w:hAnsi="Times New Roman" w:eastAsia="宋体" w:cs="Times New Roman"/>
    </w:rPr>
  </w:style>
  <w:style w:type="paragraph" w:styleId="12">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ascii="Times New Roman" w:hAnsi="Times New Roman" w:eastAsia="宋体" w:cs="Times New Roman"/>
      <w:szCs w:val="20"/>
    </w:rPr>
  </w:style>
  <w:style w:type="paragraph" w:styleId="13">
    <w:name w:val="caption"/>
    <w:basedOn w:val="1"/>
    <w:next w:val="1"/>
    <w:qFormat/>
    <w:uiPriority w:val="0"/>
    <w:rPr>
      <w:rFonts w:ascii="Cambria" w:hAnsi="Cambria" w:eastAsia="黑体" w:cs="Times New Roman"/>
      <w:sz w:val="20"/>
      <w:szCs w:val="20"/>
    </w:rPr>
  </w:style>
  <w:style w:type="paragraph" w:styleId="14">
    <w:name w:val="annotation text"/>
    <w:basedOn w:val="1"/>
    <w:next w:val="15"/>
    <w:link w:val="40"/>
    <w:qFormat/>
    <w:uiPriority w:val="0"/>
    <w:pPr>
      <w:jc w:val="left"/>
    </w:pPr>
    <w:rPr>
      <w:rFonts w:ascii="Times New Roman" w:hAnsi="Times New Roman" w:eastAsia="宋体" w:cs="Times New Roman"/>
      <w:kern w:val="0"/>
      <w:sz w:val="24"/>
      <w:szCs w:val="20"/>
    </w:rPr>
  </w:style>
  <w:style w:type="paragraph" w:styleId="15">
    <w:name w:val="toc 5"/>
    <w:basedOn w:val="1"/>
    <w:next w:val="1"/>
    <w:qFormat/>
    <w:uiPriority w:val="0"/>
    <w:pPr>
      <w:ind w:left="840"/>
      <w:jc w:val="left"/>
    </w:pPr>
    <w:rPr>
      <w:rFonts w:ascii="等线" w:hAnsi="Times New Roman" w:eastAsia="等线" w:cs="Times New Roman"/>
      <w:sz w:val="18"/>
      <w:szCs w:val="18"/>
    </w:rPr>
  </w:style>
  <w:style w:type="paragraph" w:styleId="16">
    <w:name w:val="Body Text"/>
    <w:basedOn w:val="1"/>
    <w:next w:val="1"/>
    <w:qFormat/>
    <w:uiPriority w:val="0"/>
    <w:pPr>
      <w:widowControl/>
      <w:snapToGrid w:val="0"/>
      <w:spacing w:before="60" w:after="160" w:line="259" w:lineRule="auto"/>
      <w:ind w:right="113"/>
    </w:pPr>
    <w:rPr>
      <w:rFonts w:ascii="Times New Roman" w:hAnsi="Times New Roman" w:eastAsia="宋体" w:cs="Times New Roman"/>
      <w:kern w:val="0"/>
      <w:sz w:val="18"/>
      <w:szCs w:val="20"/>
    </w:rPr>
  </w:style>
  <w:style w:type="paragraph" w:styleId="17">
    <w:name w:val="List Bullet 2"/>
    <w:basedOn w:val="1"/>
    <w:next w:val="18"/>
    <w:qFormat/>
    <w:uiPriority w:val="0"/>
    <w:pPr>
      <w:numPr>
        <w:ilvl w:val="0"/>
        <w:numId w:val="1"/>
      </w:numPr>
    </w:pPr>
    <w:rPr>
      <w:rFonts w:ascii="Times New Roman" w:hAnsi="Times New Roman" w:eastAsia="宋体" w:cs="Times New Roman"/>
    </w:rPr>
  </w:style>
  <w:style w:type="paragraph" w:customStyle="1" w:styleId="18">
    <w:name w:val="xl70"/>
    <w:basedOn w:val="1"/>
    <w:next w:val="19"/>
    <w:qFormat/>
    <w:uiPriority w:val="0"/>
    <w:pPr>
      <w:widowControl/>
      <w:spacing w:before="280" w:after="280" w:line="240" w:lineRule="auto"/>
    </w:pPr>
    <w:rPr>
      <w:rFonts w:ascii="宋体" w:hAnsi="Times New Roman" w:eastAsia="宋体" w:cs="Times New Roman"/>
    </w:rPr>
  </w:style>
  <w:style w:type="paragraph" w:customStyle="1" w:styleId="19">
    <w:name w:val="正文缩进1"/>
    <w:basedOn w:val="12"/>
    <w:next w:val="20"/>
    <w:qFormat/>
    <w:uiPriority w:val="0"/>
    <w:pPr>
      <w:spacing w:line="240" w:lineRule="auto"/>
      <w:ind w:firstLine="420" w:firstLineChars="0"/>
    </w:pPr>
    <w:rPr>
      <w:rFonts w:ascii="Times New Roman" w:hAnsi="Times New Roman" w:eastAsia="宋体" w:cs="Times New Roman"/>
      <w:sz w:val="21"/>
      <w:szCs w:val="20"/>
    </w:rPr>
  </w:style>
  <w:style w:type="paragraph" w:customStyle="1" w:styleId="20">
    <w:name w:val="td1"/>
    <w:basedOn w:val="1"/>
    <w:next w:val="1"/>
    <w:qFormat/>
    <w:uiPriority w:val="0"/>
    <w:pPr>
      <w:widowControl/>
      <w:spacing w:before="280" w:after="280" w:line="300" w:lineRule="atLeast"/>
      <w:ind w:firstLine="200"/>
    </w:pPr>
    <w:rPr>
      <w:rFonts w:ascii="Times New Roman" w:hAnsi="Times New Roman" w:eastAsia="宋体" w:cs="Times New Roman"/>
      <w:color w:val="000000"/>
      <w:sz w:val="18"/>
    </w:rPr>
  </w:style>
  <w:style w:type="paragraph" w:styleId="21">
    <w:name w:val="Body Text Indent 2"/>
    <w:basedOn w:val="1"/>
    <w:qFormat/>
    <w:uiPriority w:val="0"/>
    <w:pPr>
      <w:spacing w:after="120" w:line="480" w:lineRule="auto"/>
      <w:ind w:left="420" w:leftChars="200"/>
    </w:pPr>
    <w:rPr>
      <w:rFonts w:ascii="Times New Roman" w:hAnsi="Times New Roman" w:eastAsia="宋体" w:cs="Times New Roman"/>
    </w:rPr>
  </w:style>
  <w:style w:type="paragraph" w:styleId="22">
    <w:name w:val="Balloon Text"/>
    <w:basedOn w:val="1"/>
    <w:link w:val="41"/>
    <w:qFormat/>
    <w:uiPriority w:val="0"/>
    <w:rPr>
      <w:rFonts w:ascii="Times New Roman" w:hAnsi="Times New Roman" w:eastAsia="宋体" w:cs="Times New Roman"/>
      <w:sz w:val="18"/>
      <w:szCs w:val="18"/>
    </w:rPr>
  </w:style>
  <w:style w:type="paragraph" w:styleId="23">
    <w:name w:val="footer"/>
    <w:basedOn w:val="1"/>
    <w:qFormat/>
    <w:uiPriority w:val="0"/>
    <w:pPr>
      <w:tabs>
        <w:tab w:val="center" w:pos="4153"/>
        <w:tab w:val="right" w:pos="8306"/>
      </w:tabs>
      <w:snapToGrid w:val="0"/>
      <w:jc w:val="left"/>
    </w:pPr>
    <w:rPr>
      <w:rFonts w:ascii="Times New Roman" w:hAnsi="Times New Roman" w:eastAsia="宋体" w:cs="Times New Roman"/>
      <w:kern w:val="0"/>
      <w:sz w:val="18"/>
      <w:szCs w:val="20"/>
    </w:rPr>
  </w:style>
  <w:style w:type="paragraph" w:styleId="2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25">
    <w:name w:val="toc 1"/>
    <w:basedOn w:val="1"/>
    <w:next w:val="1"/>
    <w:unhideWhenUsed/>
    <w:qFormat/>
    <w:uiPriority w:val="39"/>
  </w:style>
  <w:style w:type="paragraph" w:styleId="26">
    <w:name w:val="Body Text Indent 3"/>
    <w:basedOn w:val="1"/>
    <w:qFormat/>
    <w:uiPriority w:val="0"/>
    <w:pPr>
      <w:ind w:left="840" w:leftChars="400"/>
    </w:pPr>
    <w:rPr>
      <w:rFonts w:ascii="宋体" w:hAnsi="宋体" w:eastAsia="宋体" w:cs="Times New Roman"/>
      <w:sz w:val="28"/>
    </w:rPr>
  </w:style>
  <w:style w:type="paragraph" w:styleId="27">
    <w:name w:val="toc 2"/>
    <w:basedOn w:val="1"/>
    <w:next w:val="8"/>
    <w:qFormat/>
    <w:uiPriority w:val="0"/>
    <w:pPr>
      <w:ind w:left="420" w:leftChars="200"/>
    </w:pPr>
    <w:rPr>
      <w:rFonts w:ascii="Times New Roman" w:hAnsi="Times New Roman" w:eastAsia="宋体" w:cs="Times New Roman"/>
    </w:rPr>
  </w:style>
  <w:style w:type="paragraph" w:styleId="28">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29">
    <w:name w:val="annotation subject"/>
    <w:basedOn w:val="14"/>
    <w:next w:val="14"/>
    <w:link w:val="42"/>
    <w:qFormat/>
    <w:uiPriority w:val="0"/>
    <w:rPr>
      <w:rFonts w:ascii="Times New Roman" w:hAnsi="Times New Roman" w:eastAsia="宋体" w:cs="Times New Roman"/>
      <w:b/>
      <w:bCs/>
      <w:kern w:val="2"/>
      <w:sz w:val="21"/>
      <w:szCs w:val="24"/>
    </w:rPr>
  </w:style>
  <w:style w:type="paragraph" w:styleId="30">
    <w:name w:val="Body Text First Indent"/>
    <w:basedOn w:val="16"/>
    <w:qFormat/>
    <w:uiPriority w:val="0"/>
    <w:pPr>
      <w:spacing w:after="120"/>
      <w:ind w:firstLine="420" w:firstLineChars="100"/>
    </w:pPr>
    <w:rPr>
      <w:rFonts w:ascii="Times New Roman" w:hAnsi="Times New Roman" w:eastAsia="宋体" w:cs="Times New Roman"/>
      <w:sz w:val="21"/>
    </w:rPr>
  </w:style>
  <w:style w:type="paragraph" w:styleId="31">
    <w:name w:val="Body Text First Indent 2"/>
    <w:basedOn w:val="10"/>
    <w:unhideWhenUsed/>
    <w:qFormat/>
    <w:uiPriority w:val="0"/>
    <w:pPr>
      <w:ind w:firstLine="420" w:firstLineChars="200"/>
    </w:pPr>
  </w:style>
  <w:style w:type="table" w:styleId="33">
    <w:name w:val="Table Grid"/>
    <w:basedOn w:val="32"/>
    <w:qFormat/>
    <w:uiPriority w:val="0"/>
    <w:rPr>
      <w:rFonts w:ascii="Times New Roman" w:hAnsi="Times New Roman" w:eastAsia="宋体" w:cs="Times New Roman"/>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22"/>
    <w:rPr>
      <w:b/>
    </w:rPr>
  </w:style>
  <w:style w:type="character" w:styleId="36">
    <w:name w:val="page number"/>
    <w:qFormat/>
    <w:uiPriority w:val="0"/>
    <w:rPr>
      <w:rFonts w:ascii="Times New Roman" w:hAnsi="Times New Roman" w:eastAsia="宋体" w:cs="Times New Roman"/>
    </w:rPr>
  </w:style>
  <w:style w:type="character" w:styleId="37">
    <w:name w:val="Emphasis"/>
    <w:qFormat/>
    <w:uiPriority w:val="0"/>
    <w:rPr>
      <w:rFonts w:ascii="Times New Roman" w:hAnsi="Times New Roman" w:eastAsia="宋体" w:cs="Times New Roman"/>
      <w:i/>
    </w:rPr>
  </w:style>
  <w:style w:type="character" w:styleId="38">
    <w:name w:val="Hyperlink"/>
    <w:qFormat/>
    <w:uiPriority w:val="0"/>
    <w:rPr>
      <w:rFonts w:ascii="Times New Roman" w:hAnsi="Times New Roman" w:eastAsia="宋体" w:cs="Times New Roman"/>
      <w:color w:val="0000FF"/>
      <w:u w:val="single"/>
    </w:rPr>
  </w:style>
  <w:style w:type="character" w:styleId="39">
    <w:name w:val="annotation reference"/>
    <w:qFormat/>
    <w:uiPriority w:val="0"/>
    <w:rPr>
      <w:rFonts w:ascii="Times New Roman" w:hAnsi="Times New Roman" w:eastAsia="宋体" w:cs="Times New Roman"/>
      <w:sz w:val="21"/>
    </w:rPr>
  </w:style>
  <w:style w:type="character" w:customStyle="1" w:styleId="40">
    <w:name w:val="批注文字 字符"/>
    <w:link w:val="14"/>
    <w:qFormat/>
    <w:uiPriority w:val="0"/>
    <w:rPr>
      <w:rFonts w:ascii="Times New Roman" w:hAnsi="Times New Roman" w:eastAsia="宋体" w:cs="Times New Roman"/>
      <w:sz w:val="24"/>
    </w:rPr>
  </w:style>
  <w:style w:type="character" w:customStyle="1" w:styleId="41">
    <w:name w:val="批注框文本 字符"/>
    <w:link w:val="22"/>
    <w:qFormat/>
    <w:uiPriority w:val="0"/>
    <w:rPr>
      <w:rFonts w:ascii="Times New Roman" w:hAnsi="Times New Roman" w:eastAsia="宋体" w:cs="Times New Roman"/>
      <w:kern w:val="2"/>
      <w:sz w:val="18"/>
      <w:szCs w:val="18"/>
    </w:rPr>
  </w:style>
  <w:style w:type="character" w:customStyle="1" w:styleId="42">
    <w:name w:val="批注主题 字符"/>
    <w:link w:val="29"/>
    <w:qFormat/>
    <w:uiPriority w:val="0"/>
    <w:rPr>
      <w:rFonts w:ascii="Times New Roman" w:hAnsi="Times New Roman" w:eastAsia="宋体" w:cs="Times New Roman"/>
      <w:b/>
      <w:bCs/>
      <w:kern w:val="2"/>
      <w:sz w:val="21"/>
      <w:szCs w:val="24"/>
    </w:rPr>
  </w:style>
  <w:style w:type="paragraph" w:customStyle="1" w:styleId="43">
    <w:name w:val="Default"/>
    <w:basedOn w:val="44"/>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44">
    <w:name w:val="纯文本1"/>
    <w:basedOn w:val="1"/>
    <w:qFormat/>
    <w:uiPriority w:val="0"/>
    <w:pPr>
      <w:adjustRightInd w:val="0"/>
    </w:pPr>
    <w:rPr>
      <w:rFonts w:ascii="宋体" w:hAnsi="Courier New" w:eastAsia="宋体" w:cs="Times New Roman"/>
      <w:szCs w:val="20"/>
    </w:rPr>
  </w:style>
  <w:style w:type="paragraph" w:customStyle="1" w:styleId="45">
    <w:name w:val="样式35"/>
    <w:basedOn w:val="46"/>
    <w:next w:val="47"/>
    <w:qFormat/>
    <w:uiPriority w:val="0"/>
    <w:pPr>
      <w:widowControl w:val="0"/>
      <w:tabs>
        <w:tab w:val="left" w:pos="0"/>
        <w:tab w:val="left" w:pos="360"/>
        <w:tab w:val="left" w:pos="540"/>
        <w:tab w:val="left" w:pos="567"/>
      </w:tabs>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46">
    <w:name w:val="表 内容"/>
    <w:basedOn w:val="1"/>
    <w:qFormat/>
    <w:uiPriority w:val="0"/>
    <w:pPr>
      <w:spacing w:line="276" w:lineRule="auto"/>
      <w:jc w:val="center"/>
    </w:pPr>
    <w:rPr>
      <w:rFonts w:ascii="仿宋" w:hAnsi="仿宋" w:eastAsia="仿宋" w:cs="Times New Roman"/>
      <w:sz w:val="24"/>
    </w:rPr>
  </w:style>
  <w:style w:type="paragraph" w:customStyle="1" w:styleId="47">
    <w:name w:val="font6"/>
    <w:next w:val="27"/>
    <w:qFormat/>
    <w:uiPriority w:val="0"/>
    <w:pPr>
      <w:spacing w:before="280" w:after="280"/>
      <w:jc w:val="both"/>
    </w:pPr>
    <w:rPr>
      <w:rFonts w:ascii="Times New Roman" w:hAnsi="Times New Roman" w:eastAsia="宋体" w:cs="Times New Roman"/>
      <w:kern w:val="2"/>
      <w:sz w:val="21"/>
      <w:szCs w:val="22"/>
      <w:lang w:val="en-US" w:eastAsia="zh-CN" w:bidi="ar-SA"/>
    </w:rPr>
  </w:style>
  <w:style w:type="paragraph" w:customStyle="1" w:styleId="48">
    <w:name w:val="样式26"/>
    <w:basedOn w:val="49"/>
    <w:qFormat/>
    <w:uiPriority w:val="0"/>
    <w:pPr>
      <w:tabs>
        <w:tab w:val="left" w:pos="0"/>
        <w:tab w:val="left" w:pos="360"/>
        <w:tab w:val="left" w:pos="540"/>
        <w:tab w:val="left" w:pos="567"/>
      </w:tabs>
    </w:pPr>
    <w:rPr>
      <w:rFonts w:ascii="Times New Roman" w:hAnsi="Times New Roman" w:eastAsia="宋体" w:cs="Times New Roman"/>
    </w:rPr>
  </w:style>
  <w:style w:type="paragraph" w:customStyle="1" w:styleId="49">
    <w:name w:val="样式21"/>
    <w:basedOn w:val="50"/>
    <w:qFormat/>
    <w:uiPriority w:val="0"/>
    <w:pPr>
      <w:tabs>
        <w:tab w:val="left" w:pos="360"/>
        <w:tab w:val="left" w:pos="567"/>
      </w:tabs>
      <w:spacing w:beforeLines="0" w:afterLines="0"/>
      <w:ind w:hanging="992"/>
    </w:pPr>
    <w:rPr>
      <w:rFonts w:ascii="Times New Roman" w:hAnsi="Times New Roman" w:eastAsia="宋体" w:cs="Times New Roman"/>
    </w:rPr>
  </w:style>
  <w:style w:type="paragraph" w:customStyle="1" w:styleId="50">
    <w:name w:val="样式5"/>
    <w:basedOn w:val="51"/>
    <w:next w:val="1"/>
    <w:qFormat/>
    <w:uiPriority w:val="0"/>
    <w:pPr>
      <w:tabs>
        <w:tab w:val="left" w:pos="360"/>
        <w:tab w:val="left" w:pos="567"/>
      </w:tabs>
    </w:pPr>
    <w:rPr>
      <w:rFonts w:ascii="Times New Roman" w:hAnsi="Times New Roman" w:eastAsia="宋体" w:cs="Times New Roman"/>
    </w:rPr>
  </w:style>
  <w:style w:type="paragraph" w:customStyle="1" w:styleId="51">
    <w:name w:val="样式12"/>
    <w:basedOn w:val="52"/>
    <w:qFormat/>
    <w:uiPriority w:val="0"/>
    <w:pPr>
      <w:keepNext/>
      <w:keepLines/>
      <w:tabs>
        <w:tab w:val="left" w:pos="360"/>
      </w:tabs>
      <w:spacing w:beforeLines="50" w:afterLines="50" w:line="360" w:lineRule="auto"/>
      <w:ind w:left="567" w:hanging="567"/>
      <w:outlineLvl w:val="1"/>
    </w:pPr>
    <w:rPr>
      <w:rFonts w:ascii="Times New Roman" w:hAnsi="Times New Roman" w:eastAsia="MS Mincho" w:cs="Times New Roman"/>
      <w:kern w:val="0"/>
      <w:sz w:val="28"/>
      <w:szCs w:val="28"/>
    </w:rPr>
  </w:style>
  <w:style w:type="paragraph" w:customStyle="1" w:styleId="52">
    <w:name w:val="样式 标题 3标题 3 Char标题3H3h33rd level第二层条三级标题ReHead 3 WSA头..."/>
    <w:qFormat/>
    <w:uiPriority w:val="0"/>
    <w:pPr>
      <w:keepNext/>
      <w:keepLines/>
      <w:widowControl w:val="0"/>
      <w:spacing w:before="120" w:after="120"/>
      <w:outlineLvl w:val="2"/>
    </w:pPr>
    <w:rPr>
      <w:rFonts w:ascii="Times New Roman" w:hAnsi="Times New Roman" w:eastAsia="黑体" w:cs="Times New Roman"/>
      <w:b/>
      <w:bCs/>
      <w:color w:val="FF0000"/>
      <w:kern w:val="2"/>
      <w:sz w:val="28"/>
      <w:szCs w:val="32"/>
      <w:lang w:val="en-US" w:eastAsia="zh-CN" w:bidi="ar-SA"/>
    </w:rPr>
  </w:style>
  <w:style w:type="paragraph" w:customStyle="1" w:styleId="53">
    <w:name w:val="表格文字"/>
    <w:basedOn w:val="12"/>
    <w:qFormat/>
    <w:uiPriority w:val="0"/>
    <w:pPr>
      <w:adjustRightInd w:val="0"/>
      <w:snapToGrid w:val="0"/>
      <w:spacing w:line="300" w:lineRule="auto"/>
      <w:jc w:val="center"/>
    </w:pPr>
    <w:rPr>
      <w:rFonts w:ascii="宋体" w:hAnsi="宋体" w:eastAsia="宋体" w:cs="Times New Roman"/>
      <w:color w:val="000000"/>
      <w:sz w:val="18"/>
      <w:szCs w:val="21"/>
    </w:rPr>
  </w:style>
  <w:style w:type="paragraph" w:customStyle="1" w:styleId="54">
    <w:name w:val="表格 31"/>
    <w:qFormat/>
    <w:uiPriority w:val="0"/>
    <w:pPr>
      <w:widowControl w:val="0"/>
      <w:autoSpaceDE w:val="0"/>
      <w:autoSpaceDN w:val="0"/>
      <w:adjustRightInd w:val="0"/>
      <w:jc w:val="center"/>
      <w:textAlignment w:val="baseline"/>
    </w:pPr>
    <w:rPr>
      <w:rFonts w:ascii="Calibri" w:hAnsi="Calibri" w:eastAsia="宋体" w:cs="Times New Roman"/>
      <w:sz w:val="21"/>
      <w:szCs w:val="28"/>
      <w:lang w:val="en-US" w:eastAsia="zh-CN" w:bidi="ar-SA"/>
    </w:rPr>
  </w:style>
  <w:style w:type="paragraph" w:customStyle="1" w:styleId="55">
    <w:name w:val="表1表2"/>
    <w:basedOn w:val="1"/>
    <w:qFormat/>
    <w:uiPriority w:val="0"/>
    <w:pPr>
      <w:autoSpaceDE w:val="0"/>
      <w:autoSpaceDN w:val="0"/>
      <w:adjustRightInd w:val="0"/>
      <w:ind w:firstLine="0"/>
      <w:jc w:val="center"/>
      <w:textAlignment w:val="center"/>
    </w:pPr>
    <w:rPr>
      <w:rFonts w:ascii="Times New Roman" w:hAnsi="Times New Roman" w:eastAsia="仿宋体" w:cs="Times New Roman"/>
      <w:kern w:val="0"/>
      <w:sz w:val="24"/>
    </w:rPr>
  </w:style>
  <w:style w:type="paragraph" w:customStyle="1" w:styleId="56">
    <w:name w:val="无间隔1"/>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57">
    <w:name w:val="正文(首行缩进两字)"/>
    <w:basedOn w:val="1"/>
    <w:next w:val="1"/>
    <w:qFormat/>
    <w:uiPriority w:val="0"/>
    <w:pPr>
      <w:tabs>
        <w:tab w:val="left" w:pos="945"/>
        <w:tab w:val="right" w:leader="dot" w:pos="1155"/>
        <w:tab w:val="left" w:pos="8715"/>
      </w:tabs>
      <w:adjustRightInd w:val="0"/>
      <w:snapToGrid w:val="0"/>
      <w:spacing w:line="360" w:lineRule="auto"/>
      <w:ind w:firstLine="480" w:firstLineChars="200"/>
    </w:pPr>
    <w:rPr>
      <w:rFonts w:ascii="Calibri" w:hAnsi="Calibri" w:eastAsia="宋体" w:cs="Times New Roman"/>
      <w:kern w:val="0"/>
      <w:sz w:val="24"/>
    </w:rPr>
  </w:style>
  <w:style w:type="paragraph" w:customStyle="1" w:styleId="58">
    <w:name w:val="表中文字"/>
    <w:qFormat/>
    <w:uiPriority w:val="0"/>
    <w:pPr>
      <w:snapToGrid w:val="0"/>
      <w:spacing w:beforeAutospacing="1" w:afterAutospacing="1"/>
      <w:jc w:val="center"/>
    </w:pPr>
    <w:rPr>
      <w:rFonts w:ascii="Times New Roman" w:hAnsi="Times New Roman" w:eastAsia="宋体" w:cs="Times New Roman"/>
      <w:kern w:val="2"/>
      <w:sz w:val="21"/>
      <w:szCs w:val="21"/>
      <w:lang w:val="en-US" w:eastAsia="zh-CN" w:bidi="ar-SA"/>
    </w:rPr>
  </w:style>
  <w:style w:type="paragraph" w:customStyle="1" w:styleId="59">
    <w:name w:val="M表中字体"/>
    <w:qFormat/>
    <w:uiPriority w:val="0"/>
    <w:pPr>
      <w:adjustRightInd w:val="0"/>
      <w:snapToGrid w:val="0"/>
      <w:jc w:val="center"/>
    </w:pPr>
    <w:rPr>
      <w:rFonts w:ascii="Times New Roman" w:hAnsi="Times New Roman" w:eastAsia="宋体" w:cs="Times New Roman"/>
      <w:kern w:val="2"/>
      <w:sz w:val="24"/>
      <w:szCs w:val="21"/>
      <w:lang w:val="en-US" w:eastAsia="zh-CN" w:bidi="ar-SA"/>
    </w:rPr>
  </w:style>
  <w:style w:type="paragraph" w:customStyle="1" w:styleId="60">
    <w:name w:val="文本框样式"/>
    <w:basedOn w:val="1"/>
    <w:qFormat/>
    <w:uiPriority w:val="0"/>
    <w:pPr>
      <w:spacing w:line="240" w:lineRule="auto"/>
      <w:ind w:firstLine="0" w:firstLineChars="0"/>
      <w:jc w:val="center"/>
    </w:pPr>
    <w:rPr>
      <w:rFonts w:ascii="Times New Roman" w:hAnsi="Times New Roman" w:eastAsia="宋体" w:cs="Times New Roman"/>
      <w:kern w:val="0"/>
      <w:sz w:val="21"/>
      <w:szCs w:val="20"/>
    </w:rPr>
  </w:style>
  <w:style w:type="paragraph" w:customStyle="1" w:styleId="61">
    <w:name w:val="a表格标题"/>
    <w:basedOn w:val="16"/>
    <w:qFormat/>
    <w:uiPriority w:val="0"/>
    <w:pPr>
      <w:widowControl w:val="0"/>
      <w:snapToGrid/>
      <w:spacing w:before="0" w:after="0" w:line="360" w:lineRule="auto"/>
      <w:ind w:right="0" w:firstLine="482"/>
      <w:jc w:val="center"/>
    </w:pPr>
    <w:rPr>
      <w:rFonts w:ascii="Times New Roman" w:hAnsi="Times New Roman" w:eastAsia="宋体" w:cs="Times New Roman"/>
      <w:b/>
      <w:kern w:val="2"/>
      <w:sz w:val="21"/>
      <w:szCs w:val="21"/>
    </w:rPr>
  </w:style>
  <w:style w:type="paragraph" w:customStyle="1" w:styleId="62">
    <w:name w:val="表格内正文"/>
    <w:basedOn w:val="1"/>
    <w:qFormat/>
    <w:uiPriority w:val="0"/>
    <w:pPr>
      <w:ind w:firstLine="493"/>
    </w:pPr>
    <w:rPr>
      <w:rFonts w:ascii="宋体" w:hAnsi="宋体" w:eastAsia="宋体" w:cs="Times New Roman"/>
      <w:spacing w:val="4"/>
      <w:kern w:val="18"/>
      <w:sz w:val="24"/>
      <w:szCs w:val="20"/>
    </w:rPr>
  </w:style>
  <w:style w:type="paragraph" w:customStyle="1" w:styleId="63">
    <w:name w:val="正文0614"/>
    <w:basedOn w:val="16"/>
    <w:qFormat/>
    <w:uiPriority w:val="0"/>
    <w:pPr>
      <w:widowControl w:val="0"/>
      <w:autoSpaceDE w:val="0"/>
      <w:autoSpaceDN w:val="0"/>
      <w:adjustRightInd w:val="0"/>
      <w:snapToGrid/>
      <w:spacing w:before="0" w:after="0" w:line="240" w:lineRule="auto"/>
      <w:ind w:right="0" w:firstLine="200" w:firstLineChars="200"/>
      <w:jc w:val="center"/>
      <w:textAlignment w:val="baseline"/>
    </w:pPr>
    <w:rPr>
      <w:rFonts w:ascii="宋体" w:hAnsi="宋体" w:eastAsia="宋体" w:cs="Times New Roman"/>
      <w:snapToGrid w:val="0"/>
      <w:color w:val="000000"/>
      <w:spacing w:val="4"/>
      <w:kern w:val="18"/>
      <w:sz w:val="24"/>
      <w:szCs w:val="24"/>
    </w:rPr>
  </w:style>
  <w:style w:type="paragraph" w:customStyle="1" w:styleId="64">
    <w:name w:val="正 文"/>
    <w:basedOn w:val="1"/>
    <w:qFormat/>
    <w:uiPriority w:val="0"/>
    <w:rPr>
      <w:rFonts w:ascii="仿宋" w:hAnsi="仿宋" w:eastAsia="仿宋" w:cs="Times New Roman"/>
    </w:rPr>
  </w:style>
  <w:style w:type="paragraph" w:customStyle="1" w:styleId="65">
    <w:name w:val="列出段落1"/>
    <w:basedOn w:val="1"/>
    <w:qFormat/>
    <w:uiPriority w:val="0"/>
    <w:pPr>
      <w:ind w:firstLine="420"/>
    </w:pPr>
    <w:rPr>
      <w:rFonts w:ascii="Times New Roman" w:hAnsi="Times New Roman" w:eastAsia="宋体" w:cs="Times New Roman"/>
    </w:rPr>
  </w:style>
  <w:style w:type="paragraph" w:customStyle="1" w:styleId="66">
    <w:name w:val="表格题名"/>
    <w:basedOn w:val="43"/>
    <w:qFormat/>
    <w:uiPriority w:val="0"/>
    <w:pPr>
      <w:keepNext w:val="0"/>
      <w:keepLines w:val="0"/>
      <w:widowControl w:val="0"/>
      <w:suppressLineNumbers w:val="0"/>
      <w:autoSpaceDE w:val="0"/>
      <w:autoSpaceDN w:val="0"/>
      <w:adjustRightInd w:val="0"/>
      <w:spacing w:before="0" w:beforeAutospacing="0" w:after="0" w:afterAutospacing="0" w:line="360" w:lineRule="auto"/>
      <w:ind w:left="0" w:right="0"/>
      <w:jc w:val="center"/>
    </w:pPr>
    <w:rPr>
      <w:rFonts w:hint="eastAsia" w:ascii="思源宋体 CN" w:hAnsi="思源宋体 CN" w:eastAsia="思源宋体 CN" w:cs="Times New Roman"/>
      <w:kern w:val="2"/>
      <w:sz w:val="28"/>
      <w:szCs w:val="24"/>
      <w:lang w:val="en-US" w:eastAsia="zh-CN" w:bidi="ar"/>
    </w:rPr>
  </w:style>
  <w:style w:type="paragraph" w:customStyle="1" w:styleId="67">
    <w:name w:val="表格、图表名称"/>
    <w:basedOn w:val="1"/>
    <w:qFormat/>
    <w:uiPriority w:val="0"/>
    <w:pPr>
      <w:spacing w:line="360" w:lineRule="auto"/>
      <w:ind w:firstLine="0" w:firstLineChars="0"/>
      <w:jc w:val="center"/>
    </w:pPr>
    <w:rPr>
      <w:rFonts w:ascii="Times New Roman" w:hAnsi="Times New Roman" w:eastAsia="宋体" w:cs="Times New Roman"/>
      <w:b/>
      <w:kern w:val="0"/>
      <w:sz w:val="20"/>
      <w:szCs w:val="22"/>
    </w:rPr>
  </w:style>
  <w:style w:type="paragraph" w:customStyle="1" w:styleId="68">
    <w:name w:val="文本框格式"/>
    <w:basedOn w:val="1"/>
    <w:qFormat/>
    <w:uiPriority w:val="0"/>
    <w:pPr>
      <w:spacing w:line="240" w:lineRule="auto"/>
      <w:ind w:firstLine="0" w:firstLineChars="0"/>
      <w:jc w:val="center"/>
    </w:pPr>
    <w:rPr>
      <w:rFonts w:ascii="Times New Roman" w:hAnsi="Times New Roman" w:eastAsia="宋体" w:cs="Times New Roman"/>
      <w:kern w:val="0"/>
      <w:sz w:val="21"/>
      <w:szCs w:val="20"/>
    </w:rPr>
  </w:style>
  <w:style w:type="paragraph" w:customStyle="1" w:styleId="69">
    <w:name w:val="报告表正文"/>
    <w:basedOn w:val="12"/>
    <w:qFormat/>
    <w:uiPriority w:val="0"/>
    <w:pPr>
      <w:adjustRightInd w:val="0"/>
      <w:ind w:firstLine="482"/>
      <w:textAlignment w:val="baseline"/>
    </w:pPr>
    <w:rPr>
      <w:rFonts w:ascii="Times New Roman" w:hAnsi="Times New Roman" w:eastAsia="宋体" w:cs="Times New Roman"/>
      <w:kern w:val="0"/>
    </w:rPr>
  </w:style>
  <w:style w:type="paragraph" w:customStyle="1" w:styleId="70">
    <w:name w:val="2"/>
    <w:basedOn w:val="1"/>
    <w:next w:val="26"/>
    <w:qFormat/>
    <w:uiPriority w:val="0"/>
    <w:pPr>
      <w:ind w:left="840" w:leftChars="400"/>
    </w:pPr>
    <w:rPr>
      <w:rFonts w:ascii="宋体" w:hAnsi="宋体" w:eastAsia="宋体" w:cs="Times New Roman"/>
      <w:sz w:val="28"/>
    </w:rPr>
  </w:style>
  <w:style w:type="paragraph" w:customStyle="1" w:styleId="71">
    <w:name w:val="表格"/>
    <w:basedOn w:val="1"/>
    <w:next w:val="1"/>
    <w:qFormat/>
    <w:uiPriority w:val="0"/>
    <w:pPr>
      <w:adjustRightInd w:val="0"/>
      <w:snapToGrid w:val="0"/>
      <w:spacing w:beforeLines="10" w:afterLines="10" w:line="259" w:lineRule="auto"/>
      <w:jc w:val="center"/>
    </w:pPr>
    <w:rPr>
      <w:rFonts w:ascii="宋体" w:hAnsi="Times New Roman" w:eastAsia="宋体" w:cs="Times New Roman"/>
      <w:kern w:val="0"/>
      <w:szCs w:val="20"/>
    </w:rPr>
  </w:style>
  <w:style w:type="paragraph" w:customStyle="1" w:styleId="72">
    <w:name w:val="a正文"/>
    <w:basedOn w:val="7"/>
    <w:qFormat/>
    <w:uiPriority w:val="0"/>
    <w:pPr>
      <w:spacing w:line="360" w:lineRule="auto"/>
      <w:ind w:firstLine="480" w:firstLineChars="200"/>
    </w:pPr>
    <w:rPr>
      <w:rFonts w:ascii="Times New Roman" w:hAnsi="Times New Roman" w:eastAsia="宋体" w:cs="Times New Roman"/>
      <w:sz w:val="24"/>
      <w:szCs w:val="24"/>
    </w:rPr>
  </w:style>
  <w:style w:type="character" w:customStyle="1" w:styleId="73">
    <w:name w:val="font21"/>
    <w:qFormat/>
    <w:uiPriority w:val="0"/>
    <w:rPr>
      <w:rFonts w:hint="default" w:ascii="Times New Roman" w:hAnsi="Times New Roman" w:eastAsia="宋体" w:cs="Times New Roman"/>
      <w:color w:val="000000"/>
      <w:sz w:val="21"/>
      <w:szCs w:val="21"/>
      <w:u w:val="none"/>
    </w:rPr>
  </w:style>
  <w:style w:type="paragraph" w:customStyle="1" w:styleId="74">
    <w:name w:val="小四 间距1.5 缩进2"/>
    <w:basedOn w:val="1"/>
    <w:qFormat/>
    <w:uiPriority w:val="0"/>
    <w:pPr>
      <w:spacing w:line="360" w:lineRule="auto"/>
      <w:ind w:firstLine="415" w:firstLineChars="173"/>
    </w:pPr>
    <w:rPr>
      <w:rFonts w:ascii="Calibri" w:hAnsi="Calibri" w:eastAsia="宋体" w:cs="Times New Roman"/>
      <w:sz w:val="24"/>
    </w:rPr>
  </w:style>
  <w:style w:type="paragraph" w:customStyle="1" w:styleId="75">
    <w:name w:val="表格编号"/>
    <w:basedOn w:val="1"/>
    <w:next w:val="53"/>
    <w:qFormat/>
    <w:uiPriority w:val="0"/>
    <w:pPr>
      <w:spacing w:line="60" w:lineRule="atLeast"/>
      <w:jc w:val="left"/>
    </w:pPr>
    <w:rPr>
      <w:rFonts w:ascii="Times New Roman" w:hAnsi="Times New Roman" w:eastAsia="宋体" w:cs="Times New Roman"/>
      <w:spacing w:val="10"/>
      <w:kern w:val="0"/>
      <w:szCs w:val="21"/>
    </w:rPr>
  </w:style>
  <w:style w:type="paragraph" w:customStyle="1" w:styleId="76">
    <w:name w:val="表格内标"/>
    <w:basedOn w:val="1"/>
    <w:next w:val="1"/>
    <w:qFormat/>
    <w:uiPriority w:val="0"/>
    <w:pPr>
      <w:adjustRightInd w:val="0"/>
      <w:snapToGrid w:val="0"/>
      <w:jc w:val="center"/>
    </w:pPr>
    <w:rPr>
      <w:rFonts w:ascii="Times New Roman" w:hAnsi="Times New Roman" w:eastAsia="黑体" w:cs="Times New Roman"/>
      <w:sz w:val="20"/>
      <w:szCs w:val="20"/>
    </w:rPr>
  </w:style>
  <w:style w:type="paragraph" w:customStyle="1" w:styleId="77">
    <w:name w:val="表格2"/>
    <w:basedOn w:val="1"/>
    <w:next w:val="1"/>
    <w:qFormat/>
    <w:uiPriority w:val="0"/>
    <w:pPr>
      <w:keepNext/>
      <w:topLinePunct/>
      <w:autoSpaceDE w:val="0"/>
      <w:autoSpaceDN w:val="0"/>
      <w:adjustRightInd w:val="0"/>
      <w:jc w:val="center"/>
      <w:textAlignment w:val="baseline"/>
    </w:pPr>
    <w:rPr>
      <w:rFonts w:ascii="宋体" w:hAnsi="Times New Roman" w:eastAsia="宋体" w:cs="Times New Roman"/>
      <w:kern w:val="0"/>
      <w:position w:val="-28"/>
      <w:szCs w:val="20"/>
    </w:rPr>
  </w:style>
  <w:style w:type="paragraph" w:customStyle="1" w:styleId="78">
    <w:name w:val="表格内容"/>
    <w:basedOn w:val="1"/>
    <w:qFormat/>
    <w:uiPriority w:val="0"/>
    <w:pPr>
      <w:adjustRightInd w:val="0"/>
      <w:snapToGrid w:val="0"/>
      <w:jc w:val="center"/>
    </w:pPr>
    <w:rPr>
      <w:rFonts w:ascii="Times New Roman" w:hAnsi="Times New Roman" w:eastAsia="宋体" w:cs="Times New Roman"/>
      <w:sz w:val="20"/>
      <w:szCs w:val="20"/>
    </w:rPr>
  </w:style>
  <w:style w:type="paragraph" w:customStyle="1" w:styleId="79">
    <w:name w:val="表格内文字"/>
    <w:qFormat/>
    <w:uiPriority w:val="0"/>
    <w:pPr>
      <w:tabs>
        <w:tab w:val="left" w:pos="90"/>
      </w:tabs>
      <w:jc w:val="center"/>
    </w:pPr>
    <w:rPr>
      <w:rFonts w:ascii="Calibri" w:hAnsi="Calibri" w:eastAsia="宋体" w:cs="宋体"/>
      <w:sz w:val="21"/>
      <w:szCs w:val="24"/>
      <w:lang w:val="en-US" w:eastAsia="zh-CN" w:bidi="ar-SA"/>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正文 03"/>
    <w:basedOn w:val="1"/>
    <w:qFormat/>
    <w:uiPriority w:val="0"/>
    <w:pPr>
      <w:autoSpaceDE w:val="0"/>
      <w:autoSpaceDN w:val="0"/>
      <w:adjustRightInd w:val="0"/>
    </w:pPr>
    <w:rPr>
      <w:rFonts w:eastAsia="楷体_GB2312"/>
      <w:kern w:val="0"/>
      <w:sz w:val="24"/>
      <w:szCs w:val="20"/>
    </w:rPr>
  </w:style>
  <w:style w:type="character" w:customStyle="1" w:styleId="82">
    <w:name w:val="fontstyle01"/>
    <w:qFormat/>
    <w:uiPriority w:val="0"/>
    <w:rPr>
      <w:rFonts w:hint="default" w:ascii="FZXBSJW--GB1-0" w:hAnsi="FZXBSJW--GB1-0"/>
      <w:color w:val="000000"/>
      <w:sz w:val="56"/>
      <w:szCs w:val="56"/>
    </w:rPr>
  </w:style>
  <w:style w:type="paragraph" w:customStyle="1" w:styleId="83">
    <w:name w:val="_Style 199"/>
    <w:basedOn w:val="1"/>
    <w:next w:val="84"/>
    <w:qFormat/>
    <w:uiPriority w:val="34"/>
    <w:pPr>
      <w:widowControl/>
      <w:ind w:left="720"/>
      <w:contextualSpacing/>
      <w:jc w:val="left"/>
    </w:pPr>
    <w:rPr>
      <w:rFonts w:ascii="Calibri" w:hAnsi="Calibri"/>
      <w:kern w:val="0"/>
      <w:sz w:val="24"/>
    </w:rPr>
  </w:style>
  <w:style w:type="paragraph" w:styleId="84">
    <w:name w:val="List Paragraph"/>
    <w:basedOn w:val="1"/>
    <w:qFormat/>
    <w:uiPriority w:val="34"/>
    <w:pPr>
      <w:ind w:firstLine="420" w:firstLineChars="200"/>
    </w:pPr>
    <w:rPr>
      <w:szCs w:val="20"/>
    </w:rPr>
  </w:style>
  <w:style w:type="paragraph" w:customStyle="1" w:styleId="85">
    <w:name w:val="正文标题4"/>
    <w:qFormat/>
    <w:uiPriority w:val="0"/>
    <w:pPr>
      <w:spacing w:line="360" w:lineRule="auto"/>
      <w:ind w:firstLine="480" w:firstLineChars="200"/>
    </w:pPr>
    <w:rPr>
      <w:rFonts w:ascii="Times New Roman" w:hAnsi="Times New Roman" w:eastAsia="宋体" w:cs="Times New Roman"/>
      <w:b/>
      <w:sz w:val="24"/>
      <w:szCs w:val="24"/>
      <w:lang w:val="en-US" w:eastAsia="zh-CN" w:bidi="ar-SA"/>
    </w:rPr>
  </w:style>
  <w:style w:type="paragraph" w:customStyle="1" w:styleId="86">
    <w:name w:val="赫正文文本"/>
    <w:basedOn w:val="1"/>
    <w:qFormat/>
    <w:uiPriority w:val="0"/>
    <w:pPr>
      <w:spacing w:line="360" w:lineRule="auto"/>
      <w:ind w:firstLine="420" w:firstLineChars="200"/>
    </w:pPr>
    <w:rPr>
      <w:kern w:val="0"/>
      <w:szCs w:val="20"/>
    </w:rPr>
  </w:style>
  <w:style w:type="paragraph" w:customStyle="1" w:styleId="87">
    <w:name w:val="0HP 正文 文本"/>
    <w:basedOn w:val="1"/>
    <w:qFormat/>
    <w:uiPriority w:val="0"/>
    <w:pPr>
      <w:spacing w:line="360" w:lineRule="auto"/>
      <w:ind w:firstLine="480" w:firstLineChars="200"/>
    </w:pPr>
    <w:rPr>
      <w:sz w:val="24"/>
    </w:rPr>
  </w:style>
  <w:style w:type="paragraph" w:customStyle="1" w:styleId="88">
    <w:name w:val="UserStyle_2"/>
    <w:basedOn w:val="1"/>
    <w:qFormat/>
    <w:uiPriority w:val="0"/>
    <w:pPr>
      <w:widowControl/>
      <w:jc w:val="center"/>
      <w:textAlignment w:val="baseline"/>
    </w:pPr>
    <w:rPr>
      <w:szCs w:val="21"/>
    </w:rPr>
  </w:style>
  <w:style w:type="character" w:customStyle="1" w:styleId="89">
    <w:name w:val="NormalCharacter"/>
    <w:qFormat/>
    <w:uiPriority w:val="0"/>
  </w:style>
  <w:style w:type="character" w:customStyle="1" w:styleId="90">
    <w:name w:val="表格内字体 Char1"/>
    <w:qFormat/>
    <w:uiPriority w:val="0"/>
    <w:rPr>
      <w:rFonts w:ascii="宋体" w:hAnsi="宋体" w:eastAsia="宋体" w:cs="Times New Roman"/>
      <w:szCs w:val="24"/>
    </w:rPr>
  </w:style>
  <w:style w:type="character" w:customStyle="1" w:styleId="91">
    <w:name w:val="font11"/>
    <w:qFormat/>
    <w:uiPriority w:val="0"/>
    <w:rPr>
      <w:rFonts w:hint="default" w:ascii="Times New Roman" w:hAnsi="Times New Roman" w:cs="Times New Roman"/>
      <w:color w:val="000000"/>
      <w:sz w:val="21"/>
      <w:szCs w:val="21"/>
      <w:u w:val="none"/>
    </w:rPr>
  </w:style>
  <w:style w:type="character" w:customStyle="1" w:styleId="92">
    <w:name w:val="font31"/>
    <w:qFormat/>
    <w:uiPriority w:val="0"/>
    <w:rPr>
      <w:rFonts w:hint="eastAsia" w:ascii="宋体" w:hAnsi="宋体" w:eastAsia="宋体" w:cs="宋体"/>
      <w:color w:val="000000"/>
      <w:sz w:val="21"/>
      <w:szCs w:val="21"/>
      <w:u w:val="none"/>
    </w:rPr>
  </w:style>
  <w:style w:type="character" w:customStyle="1" w:styleId="93">
    <w:name w:val="font41"/>
    <w:qFormat/>
    <w:uiPriority w:val="0"/>
    <w:rPr>
      <w:rFonts w:hint="default" w:ascii="Times New Roman" w:hAnsi="Times New Roman" w:cs="Times New Roman"/>
      <w:b/>
      <w:bCs/>
      <w:color w:val="000000"/>
      <w:sz w:val="21"/>
      <w:szCs w:val="21"/>
      <w:u w:val="none"/>
    </w:rPr>
  </w:style>
  <w:style w:type="character" w:customStyle="1" w:styleId="94">
    <w:name w:val="font51"/>
    <w:qFormat/>
    <w:uiPriority w:val="0"/>
    <w:rPr>
      <w:rFonts w:hint="default" w:ascii="Times New Roman" w:hAnsi="Times New Roman" w:cs="Times New Roman"/>
      <w:color w:val="000000"/>
      <w:sz w:val="21"/>
      <w:szCs w:val="21"/>
      <w:u w:val="none"/>
      <w:vertAlign w:val="subscript"/>
    </w:rPr>
  </w:style>
  <w:style w:type="character" w:customStyle="1" w:styleId="95">
    <w:name w:val="font61"/>
    <w:qFormat/>
    <w:uiPriority w:val="0"/>
    <w:rPr>
      <w:rFonts w:hint="default" w:ascii="Times New Roman" w:hAnsi="Times New Roman" w:cs="Times New Roman"/>
      <w:color w:val="000000"/>
      <w:sz w:val="21"/>
      <w:szCs w:val="21"/>
      <w:u w:val="none"/>
      <w:vertAlign w:val="superscript"/>
    </w:rPr>
  </w:style>
  <w:style w:type="paragraph" w:customStyle="1" w:styleId="96">
    <w:name w:val="缩进"/>
    <w:basedOn w:val="1"/>
    <w:qFormat/>
    <w:uiPriority w:val="0"/>
    <w:pPr>
      <w:autoSpaceDE w:val="0"/>
      <w:autoSpaceDN w:val="0"/>
      <w:adjustRightInd w:val="0"/>
      <w:spacing w:line="400" w:lineRule="atLeast"/>
      <w:ind w:firstLine="480" w:firstLineChars="200"/>
      <w:textAlignment w:val="baseline"/>
    </w:pPr>
    <w:rPr>
      <w:sz w:val="24"/>
    </w:rPr>
  </w:style>
  <w:style w:type="paragraph" w:customStyle="1" w:styleId="97">
    <w:name w:val="表-表头"/>
    <w:basedOn w:val="98"/>
    <w:qFormat/>
    <w:uiPriority w:val="0"/>
    <w:pPr>
      <w:ind w:firstLine="0" w:firstLineChars="0"/>
      <w:jc w:val="center"/>
    </w:pPr>
    <w:rPr>
      <w:b/>
      <w:bCs/>
      <w:sz w:val="21"/>
      <w:szCs w:val="21"/>
    </w:rPr>
  </w:style>
  <w:style w:type="paragraph" w:customStyle="1" w:styleId="98">
    <w:name w:val="表-正文"/>
    <w:basedOn w:val="1"/>
    <w:qFormat/>
    <w:uiPriority w:val="0"/>
    <w:pPr>
      <w:spacing w:line="360" w:lineRule="auto"/>
      <w:ind w:firstLine="720" w:firstLineChars="200"/>
    </w:pPr>
    <w:rPr>
      <w:rFonts w:cs="宋体"/>
      <w:sz w:val="24"/>
    </w:rPr>
  </w:style>
  <w:style w:type="paragraph" w:customStyle="1" w:styleId="99">
    <w:name w:val="0HP 表内文字"/>
    <w:basedOn w:val="1"/>
    <w:qFormat/>
    <w:uiPriority w:val="0"/>
    <w:pPr>
      <w:jc w:val="center"/>
    </w:pPr>
  </w:style>
  <w:style w:type="paragraph" w:customStyle="1" w:styleId="100">
    <w:name w:val="表格标题1"/>
    <w:qFormat/>
    <w:uiPriority w:val="0"/>
    <w:pPr>
      <w:spacing w:line="360" w:lineRule="auto"/>
      <w:jc w:val="center"/>
    </w:pPr>
    <w:rPr>
      <w:rFonts w:ascii="Calibri" w:hAnsi="Calibri" w:eastAsia="宋体" w:cs="Times New Roman"/>
      <w:b/>
      <w:sz w:val="21"/>
      <w:szCs w:val="21"/>
      <w:lang w:val="en-US" w:eastAsia="zh-CN" w:bidi="ar-SA"/>
    </w:rPr>
  </w:style>
  <w:style w:type="paragraph" w:customStyle="1" w:styleId="101">
    <w:name w:val="_Style 197"/>
    <w:basedOn w:val="1"/>
    <w:next w:val="84"/>
    <w:qFormat/>
    <w:uiPriority w:val="34"/>
    <w:pPr>
      <w:widowControl/>
      <w:ind w:left="720"/>
      <w:contextualSpacing/>
      <w:jc w:val="left"/>
    </w:pPr>
    <w:rPr>
      <w:rFonts w:ascii="Calibri" w:hAnsi="Calibri"/>
      <w:kern w:val="0"/>
      <w:sz w:val="24"/>
    </w:rPr>
  </w:style>
  <w:style w:type="paragraph" w:customStyle="1" w:styleId="102">
    <w:name w:val="_Style 198"/>
    <w:basedOn w:val="1"/>
    <w:next w:val="84"/>
    <w:qFormat/>
    <w:uiPriority w:val="34"/>
    <w:pPr>
      <w:widowControl/>
      <w:ind w:left="720"/>
      <w:contextualSpacing/>
      <w:jc w:val="left"/>
    </w:pPr>
    <w:rPr>
      <w:rFonts w:ascii="Calibri" w:hAnsi="Calibri"/>
      <w:kern w:val="0"/>
      <w:sz w:val="24"/>
    </w:rPr>
  </w:style>
  <w:style w:type="character" w:customStyle="1" w:styleId="103">
    <w:name w:val="fontstyle11"/>
    <w:qFormat/>
    <w:uiPriority w:val="0"/>
    <w:rPr>
      <w:rFonts w:hint="default" w:ascii="TimesNewRomanPSMT" w:hAnsi="TimesNewRomanPSMT" w:eastAsia="宋体" w:cs="Times New Roman"/>
      <w:color w:val="000000"/>
      <w:sz w:val="32"/>
      <w:szCs w:val="32"/>
    </w:rPr>
  </w:style>
  <w:style w:type="paragraph" w:customStyle="1" w:styleId="104">
    <w:name w:val=" Char1"/>
    <w:basedOn w:val="1"/>
    <w:qFormat/>
    <w:uiPriority w:val="0"/>
    <w:pPr>
      <w:spacing w:line="360" w:lineRule="auto"/>
      <w:ind w:firstLine="200" w:firstLineChars="200"/>
    </w:pPr>
    <w:rPr>
      <w:rFonts w:ascii="宋体"/>
      <w:sz w:val="24"/>
      <w:szCs w:val="24"/>
    </w:rPr>
  </w:style>
  <w:style w:type="character" w:customStyle="1" w:styleId="105">
    <w:name w:val="font101"/>
    <w:qFormat/>
    <w:uiPriority w:val="0"/>
    <w:rPr>
      <w:rFonts w:hint="default" w:ascii="Times New Roman" w:hAnsi="Times New Roman" w:cs="Times New Roman"/>
      <w:b/>
      <w:bCs/>
      <w:color w:val="000000"/>
      <w:sz w:val="21"/>
      <w:szCs w:val="21"/>
      <w:u w:val="none"/>
      <w:vertAlign w:val="superscript"/>
    </w:rPr>
  </w:style>
  <w:style w:type="character" w:customStyle="1" w:styleId="106">
    <w:name w:val="font71"/>
    <w:qFormat/>
    <w:uiPriority w:val="0"/>
    <w:rPr>
      <w:rFonts w:hint="eastAsia" w:ascii="宋体" w:hAnsi="宋体" w:eastAsia="宋体" w:cs="宋体"/>
      <w:color w:val="000000"/>
      <w:sz w:val="21"/>
      <w:szCs w:val="21"/>
      <w:u w:val="none"/>
    </w:rPr>
  </w:style>
  <w:style w:type="paragraph" w:customStyle="1" w:styleId="107">
    <w:name w:val="正文1"/>
    <w:basedOn w:val="1"/>
    <w:qFormat/>
    <w:uiPriority w:val="0"/>
    <w:pPr>
      <w:adjustRightInd w:val="0"/>
    </w:pPr>
    <w:rPr>
      <w:rFonts w:eastAsia="楷体_GB2312"/>
      <w:sz w:val="24"/>
      <w:szCs w:val="20"/>
    </w:rPr>
  </w:style>
  <w:style w:type="character" w:customStyle="1" w:styleId="108">
    <w:name w:val="font01"/>
    <w:qFormat/>
    <w:uiPriority w:val="0"/>
    <w:rPr>
      <w:rFonts w:hint="default" w:ascii="MingLiU" w:hAnsi="MingLiU" w:cs="MingLiU"/>
      <w:b/>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9.pn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emf"/><Relationship Id="rId15" Type="http://schemas.openxmlformats.org/officeDocument/2006/relationships/oleObject" Target="embeddings/oleObject3.bin"/><Relationship Id="rId14" Type="http://schemas.openxmlformats.org/officeDocument/2006/relationships/image" Target="media/image3.png"/><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70</Pages>
  <Words>42936</Words>
  <Characters>49621</Characters>
  <Lines>380</Lines>
  <Paragraphs>107</Paragraphs>
  <TotalTime>1</TotalTime>
  <ScaleCrop>false</ScaleCrop>
  <LinksUpToDate>false</LinksUpToDate>
  <CharactersWithSpaces>49649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2026-08-31T08:47:00Z</dcterms:created>
  <dc:creator>Administrator</dc:creator>
  <cp:lastModifiedBy>空白</cp:lastModifiedBy>
  <cp:lastPrinted>2026-01-23T09:26:00Z</cp:lastPrinted>
  <dcterms:modified xsi:type="dcterms:W3CDTF">2026-10-16T03:35:56Z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802243F83C1E4790A9B1EF4D0E244A11_13</vt:lpwstr>
  </property>
  <property fmtid="{D5CDD505-2E9C-101B-9397-08002B2CF9AE}" pid="4" name="KSOTemplateDocerSaveRecord">
    <vt:lpwstr>eyJoZGlkIjoiMGM2NDQ3ZjMyM2FiN2Q0YzI1OTY2YjU0MWQwODRjMmYiLCJ1c2VySWQiOiI5Mjk0NzIwMjEifQ==</vt:lpwstr>
  </property>
</Properties>
</file>