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rPr>
          <w:rFonts w:hint="eastAsia" w:ascii="黑体" w:hAnsi="宋体" w:eastAsia="黑体" w:cs="黑体"/>
          <w:color w:val="000000"/>
          <w:kern w:val="0"/>
          <w:sz w:val="32"/>
          <w:szCs w:val="32"/>
          <w:highlight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sz w:val="36"/>
          <w:szCs w:val="36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highlight w:val="none"/>
          <w:lang w:val="en-US" w:eastAsia="zh-CN" w:bidi="ar"/>
        </w:rPr>
        <w:t>湛江市残疾人联合会（本级）2025年度财政拨款“三公”经费支出决算情况说明</w:t>
      </w:r>
    </w:p>
    <w:p>
      <w:pPr>
        <w:keepNext w:val="0"/>
        <w:keepLines w:val="0"/>
        <w:widowControl/>
        <w:suppressLineNumbers w:val="0"/>
        <w:jc w:val="left"/>
        <w:rPr>
          <w:rFonts w:ascii="仿宋" w:hAnsi="仿宋" w:eastAsia="仿宋" w:cs="仿宋"/>
          <w:b/>
          <w:bCs/>
          <w:color w:val="000000"/>
          <w:kern w:val="0"/>
          <w:sz w:val="30"/>
          <w:szCs w:val="30"/>
          <w:highlight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highlight w:val="none"/>
        </w:rPr>
      </w:pPr>
      <w:r>
        <w:rPr>
          <w:rFonts w:ascii="仿宋" w:hAnsi="仿宋" w:eastAsia="仿宋" w:cs="仿宋"/>
          <w:b/>
          <w:bCs/>
          <w:color w:val="000000"/>
          <w:kern w:val="0"/>
          <w:sz w:val="30"/>
          <w:szCs w:val="30"/>
          <w:highlight w:val="none"/>
          <w:lang w:val="en-US" w:eastAsia="zh-CN" w:bidi="ar"/>
        </w:rPr>
        <w:t xml:space="preserve">（一）“三公”经费财政拨款支出决算总体情况说明 </w:t>
      </w:r>
    </w:p>
    <w:p>
      <w:pPr>
        <w:keepNext w:val="0"/>
        <w:keepLines w:val="0"/>
        <w:widowControl/>
        <w:suppressLineNumbers w:val="0"/>
        <w:ind w:left="0" w:leftChars="0" w:firstLine="639" w:firstLineChars="213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 w:bidi="ar"/>
        </w:rPr>
        <w:t>湛江市残疾人联合会（本级）2025年度“三公”经费财政拨款支出决算为1.97万元，完成全年预算2.54万元的77.6%，比上年决算数增加0.56万元，增长39.7%。其中：因公出国（境）费支出决算为0万元，完成预算0万元的--%（基数为0，不可比），比上年决算数增加0万元，增长--（基数为0，不可比）；公务用车购置及运行维护费支出决算为1.63万元，完成预算2.2万元的74.2%，比上年决算数增加0.49万元，增长43.5%；其中：公务用车购置支出决算为0万元，完成预算0万元的--%（基数为0，不可比），比上年决算数增加0万元，增长--（基数为0，不可比）；公务用车运行维护费支出决算为1.63万元，完成预算2.2万元的74.2%，比上年决算数增加0.49万元，增长43.5%；公务接待费支出决算为0.34万元，完成预算0.34万元的100%，比上年决算数增加0.07万元，增长23.9%。</w:t>
      </w:r>
    </w:p>
    <w:p>
      <w:pPr>
        <w:keepNext w:val="0"/>
        <w:keepLines w:val="0"/>
        <w:widowControl/>
        <w:suppressLineNumbers w:val="0"/>
        <w:ind w:left="0" w:leftChars="0" w:firstLine="639" w:firstLineChars="213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 w:bidi="ar"/>
        </w:rPr>
        <w:t>2025年度“三公”经费支出决算小于预算数的主要情况：认真贯彻落实中央八项规定精神和厉行节约的要求，从严控制“三公”经费开支，全年实际支出比预算有所节约。</w:t>
      </w:r>
    </w:p>
    <w:p>
      <w:pPr>
        <w:keepNext w:val="0"/>
        <w:keepLines w:val="0"/>
        <w:widowControl/>
        <w:suppressLineNumbers w:val="0"/>
        <w:ind w:left="0" w:leftChars="0" w:firstLine="639" w:firstLineChars="213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 w:bidi="ar"/>
        </w:rPr>
        <w:t>2025年度“三公”经费支出决算大于上年决算数的主要情况：根据工作业务开展需要,本年度“三公”经费支出决算数大于上年度“三公”经费支出决算数,但不超本年度“三公”经费。</w:t>
      </w:r>
    </w:p>
    <w:p>
      <w:pPr>
        <w:keepNext w:val="0"/>
        <w:keepLines w:val="0"/>
        <w:widowControl/>
        <w:suppressLineNumbers w:val="0"/>
        <w:jc w:val="left"/>
        <w:rPr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0"/>
          <w:szCs w:val="30"/>
          <w:highlight w:val="none"/>
          <w:lang w:val="en-US" w:eastAsia="zh-CN" w:bidi="ar"/>
        </w:rPr>
        <w:t xml:space="preserve">（二）“三公”经费财政拨款支出决算具体情况说明 </w:t>
      </w:r>
    </w:p>
    <w:p>
      <w:pPr>
        <w:ind w:left="0" w:leftChars="0" w:firstLine="639" w:firstLineChars="213"/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 w:bidi="ar"/>
        </w:rPr>
        <w:t>2025年度“三公”经费财政拨款支出决算中，因公出国（境）费0万元，占0%；公务用车购置及运行维护费支出1.63万元，占82.8%；公务接待费支出0.34万元，占17.2%。具体情况如下：</w:t>
      </w:r>
    </w:p>
    <w:p>
      <w:pPr>
        <w:ind w:left="0" w:leftChars="0" w:firstLine="639" w:firstLineChars="213"/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 w:bidi="ar"/>
        </w:rPr>
        <w:t>1.因公出国（境）费支出0万元。全年使用财政拨款安排出国（境）团组0个、累计0人次。</w:t>
      </w:r>
    </w:p>
    <w:p>
      <w:pPr>
        <w:ind w:left="0" w:leftChars="0" w:firstLine="639" w:firstLineChars="213"/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 w:bidi="ar"/>
        </w:rPr>
        <w:t>2.公务用车购置及运行维护费支出1.63万元，其中：公务用车购置支出为0万元，公务用车购置数0辆。公务用车运行维护费支出1.63万元，公务用车保有量为1辆，主要用于开展残疾人康复、教育和就业、体育、文化宣传等公务支出。</w:t>
      </w:r>
    </w:p>
    <w:p>
      <w:pPr>
        <w:ind w:left="0" w:leftChars="0" w:firstLine="639" w:firstLineChars="213"/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 w:bidi="ar"/>
        </w:rPr>
        <w:t>3.公务接待费支出0.34万元，主要用于开展残疾人康复、教育和就业、体育、文化宣传等公务支出，共接待国外、境外来访团组0个，来访外宾0人次；发生国内接待4次，接待人数共26人。主要包括接待省残联、省培英学校等部门调研、指导、交流学习等工作。</w:t>
      </w:r>
    </w:p>
    <w:p>
      <w:pPr>
        <w:ind w:left="0" w:leftChars="0" w:firstLine="447" w:firstLineChars="213"/>
        <w:rPr>
          <w:highlight w:val="none"/>
        </w:rPr>
      </w:pPr>
    </w:p>
    <w:p>
      <w:pPr>
        <w:rPr>
          <w:highlight w:val="none"/>
        </w:rPr>
      </w:pPr>
    </w:p>
    <w:p>
      <w:pPr>
        <w:rPr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highlight w:val="none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highlight w:val="none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rPr>
          <w:highlight w:val="none"/>
        </w:rPr>
      </w:pPr>
      <w:bookmarkStart w:id="0" w:name="_GoBack"/>
      <w:r>
        <w:rPr>
          <w:rFonts w:hint="default" w:eastAsiaTheme="minorEastAsia"/>
          <w:highlight w:val="none"/>
          <w:lang w:val="en-US" w:eastAsia="zh-CN"/>
        </w:rPr>
        <w:drawing>
          <wp:inline distT="0" distB="0" distL="114300" distR="114300">
            <wp:extent cx="8856980" cy="2879090"/>
            <wp:effectExtent l="0" t="0" r="1270" b="16510"/>
            <wp:docPr id="1" name="图片 1" descr="screen_shot_1790066054627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creen_shot_1790066054627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6980" cy="287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rPr>
          <w:rFonts w:hint="eastAsia" w:eastAsiaTheme="minorEastAsia"/>
          <w:highlight w:val="none"/>
          <w:lang w:eastAsia="zh-CN"/>
        </w:rPr>
      </w:pPr>
    </w:p>
    <w:p>
      <w:pPr>
        <w:rPr>
          <w:highlight w:val="none"/>
        </w:rPr>
      </w:pPr>
    </w:p>
    <w:p>
      <w:pPr>
        <w:rPr>
          <w:highlight w:val="none"/>
        </w:rPr>
        <w:sectPr>
          <w:type w:val="continuous"/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eastAsiaTheme="minorEastAsia"/>
          <w:highlight w:val="none"/>
          <w:lang w:val="en-US" w:eastAsia="zh-CN"/>
        </w:rPr>
      </w:pPr>
    </w:p>
    <w:sectPr>
      <w:type w:val="continuous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01063A"/>
    <w:rsid w:val="2A01063A"/>
    <w:rsid w:val="7FDF7AF2"/>
    <w:rsid w:val="8FBD4747"/>
    <w:rsid w:val="97FFB51F"/>
    <w:rsid w:val="EBDB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2026-09-09T17:52:00Z</dcterms:created>
  <dc:creator>Just Mani~ </dc:creator>
  <cp:lastModifiedBy>greatwall</cp:lastModifiedBy>
  <dcterms:modified xsi:type="dcterms:W3CDTF">2026-09-22T16:35:01Z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1FC956C32DB24F609E395C8238126BF6_11</vt:lpwstr>
  </property>
  <property fmtid="{D5CDD505-2E9C-101B-9397-08002B2CF9AE}" pid="4" name="KSOTemplateDocerSaveRecord">
    <vt:lpwstr>eyJoZGlkIjoiNjg5ODliMjEwOWNhNzNiZDJlYjgzNTg3YTNhZjllYmUiLCJ1c2VySWQiOiIyNDk4MjgxMzAifQ==</vt:lpwstr>
  </property>
</Properties>
</file>