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03A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3" w:firstLineChars="200"/>
        <w:jc w:val="both"/>
        <w:textAlignment w:val="auto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359A4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湛江市人力资源和社会保障局（本级）2025年度一般公共预算财政拨款“三公”经费支出</w:t>
      </w:r>
    </w:p>
    <w:p w14:paraId="702099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决算情况说明</w:t>
      </w:r>
    </w:p>
    <w:p w14:paraId="2281AE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40612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一、“三公”经费财政拨款支出决算总体情况说明</w:t>
      </w:r>
    </w:p>
    <w:p w14:paraId="4CBC57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65" w:line="560" w:lineRule="exact"/>
        <w:ind w:right="-82" w:rightChars="0" w:firstLine="894" w:firstLineChars="300"/>
        <w:jc w:val="both"/>
        <w:textAlignment w:val="baseline"/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</w:rPr>
        <w:t>湛江市人力资源和社会保障局（本级）2025年度“三公”经费财政拨款支出决算为6.68万元，完成全年预算6.68万元的100%，比上年决算数减少10.95万元，下降62.1%。其中：因公出国（境）费支出决算为1.53万元，完成预算1.53万元的100%，比上年决算数减少8.34万元，下降84.5%；公务用车购置及运行维护费支出决算为4.28万元，完成预算4.28万元的100%，比上年决算数减少1.09万元，下降20.3%；其中：公务用车购置支出决算为0万元，完成预算0万元的--%（基数为0，不可比），比上年决算数增加0万元，增长--（基数为0，不可比）；公务用车运行维护费支出决算为4.28万元，完成预算4.28万元的100%，比上年决算数减少1.09万元，下降20.3%；公务接待费支出决算为0.88万元，完成预算0.88万元的100%，比上年决算数减少1.52万元，下降63.4%。</w:t>
      </w:r>
    </w:p>
    <w:p w14:paraId="15ABCC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65" w:line="560" w:lineRule="exact"/>
        <w:ind w:right="-82" w:rightChars="0" w:firstLine="894" w:firstLineChars="300"/>
        <w:jc w:val="both"/>
        <w:textAlignment w:val="baseline"/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</w:rPr>
        <w:t>2025年度“三公”经费支出决算等于预算数的主要情况：认真贯彻落实中央八项规定精神和厉行节约的要求，从严控制“三公”经费开支，</w:t>
      </w:r>
      <w:r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  <w:lang w:val="en-US" w:eastAsia="zh-CN"/>
        </w:rPr>
        <w:t>合理安排资金</w:t>
      </w:r>
      <w:r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</w:rPr>
        <w:t>。</w:t>
      </w:r>
    </w:p>
    <w:p w14:paraId="1B79769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2" w:line="560" w:lineRule="exact"/>
        <w:ind w:left="-200" w:leftChars="0" w:right="-502" w:rightChars="-239" w:firstLine="593" w:firstLineChars="0"/>
        <w:jc w:val="both"/>
        <w:textAlignment w:val="baseline"/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</w:rPr>
        <w:t>2025年度“三公”经费支出决算小于上年决算数的主要情况</w:t>
      </w:r>
      <w:r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</w:rPr>
        <w:t>2025年度因公出国（境）费决算数比上年减少8.34万元，下降84.5%。</w:t>
      </w:r>
    </w:p>
    <w:p w14:paraId="63583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22BBD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二、“三公”经费财政拨款支出决算具体情况说明</w:t>
      </w:r>
    </w:p>
    <w:p w14:paraId="13E3A2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65" w:line="560" w:lineRule="exact"/>
        <w:ind w:right="-82" w:rightChars="0" w:firstLine="894" w:firstLineChars="300"/>
        <w:jc w:val="both"/>
        <w:textAlignment w:val="baseline"/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</w:rPr>
        <w:t>2025年度“三公”经费财政拨款支出决算中，因公出国（境）费1.53万元，占22.9%；公务用车购置及运行维护费支出4.28万元，占64%；公务接待费支出0.88万元，占13.1%。具体情况如下：</w:t>
      </w:r>
    </w:p>
    <w:p w14:paraId="4CD182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firstLine="612"/>
        <w:jc w:val="both"/>
        <w:textAlignment w:val="baseline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</w:rPr>
        <w:t>1.因公出国（境）费支出1.53万元。全年使用财政拨款安排出国（境）团组1个、累计2人次。开支内容包括：（</w:t>
      </w:r>
      <w:r>
        <w:rPr>
          <w:rFonts w:ascii="仿宋" w:hAnsi="仿宋" w:eastAsia="仿宋" w:cs="仿宋"/>
          <w:color w:val="auto"/>
          <w:spacing w:val="-2"/>
          <w:sz w:val="30"/>
          <w:szCs w:val="30"/>
        </w:rPr>
        <w:t>1）参加境外</w:t>
      </w:r>
      <w:r>
        <w:rPr>
          <w:rFonts w:ascii="仿宋" w:hAnsi="仿宋" w:eastAsia="仿宋" w:cs="仿宋"/>
          <w:color w:val="auto"/>
          <w:spacing w:val="12"/>
          <w:sz w:val="30"/>
          <w:szCs w:val="30"/>
        </w:rPr>
        <w:t>会议支出1.31万元，主要用于参加澳门人才高质量发展大会，</w:t>
      </w:r>
      <w:r>
        <w:rPr>
          <w:rFonts w:ascii="仿宋" w:hAnsi="仿宋" w:eastAsia="仿宋" w:cs="仿宋"/>
          <w:color w:val="auto"/>
          <w:spacing w:val="-1"/>
          <w:sz w:val="30"/>
          <w:szCs w:val="30"/>
        </w:rPr>
        <w:t>（2）境外业务培训及考察支出0.22万元，主要用于结算2024年赴</w:t>
      </w:r>
      <w:r>
        <w:rPr>
          <w:rFonts w:ascii="仿宋" w:hAnsi="仿宋" w:eastAsia="仿宋" w:cs="仿宋"/>
          <w:color w:val="auto"/>
          <w:spacing w:val="-4"/>
          <w:sz w:val="30"/>
          <w:szCs w:val="30"/>
        </w:rPr>
        <w:t>德国、瑞士交流合作交通费用尾款。</w:t>
      </w:r>
    </w:p>
    <w:p w14:paraId="3897EB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firstLine="595"/>
        <w:textAlignment w:val="baseline"/>
        <w:rPr>
          <w:rFonts w:ascii="仿宋" w:hAnsi="仿宋" w:eastAsia="仿宋" w:cs="仿宋"/>
          <w:color w:val="auto"/>
          <w:spacing w:val="-9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</w:rPr>
        <w:t>2.公务用车购置及运行维护费支出4.28万元，其中：公务用车购置支出为0万元，公务用车购置数0辆。公务用车运行维护费支出4.28万元，公务用车保有量为3辆，主要用于</w:t>
      </w:r>
      <w:r>
        <w:rPr>
          <w:rFonts w:ascii="仿宋" w:hAnsi="仿宋" w:eastAsia="仿宋" w:cs="仿宋"/>
          <w:color w:val="auto"/>
          <w:spacing w:val="-1"/>
          <w:sz w:val="30"/>
          <w:szCs w:val="30"/>
        </w:rPr>
        <w:t>公务外出、调</w:t>
      </w:r>
      <w:r>
        <w:rPr>
          <w:rFonts w:ascii="仿宋" w:hAnsi="仿宋" w:eastAsia="仿宋" w:cs="仿宋"/>
          <w:color w:val="auto"/>
          <w:spacing w:val="-9"/>
          <w:sz w:val="30"/>
          <w:szCs w:val="30"/>
        </w:rPr>
        <w:t>研下乡使用。</w:t>
      </w:r>
    </w:p>
    <w:p w14:paraId="6EED9AF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firstLine="595"/>
        <w:textAlignment w:val="baseline"/>
        <w:rPr>
          <w:rFonts w:hint="eastAsia" w:ascii="仿宋" w:hAnsi="仿宋" w:eastAsia="仿宋" w:cs="仿宋"/>
          <w:color w:val="auto"/>
          <w:spacing w:val="-1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</w:rPr>
        <w:t>3.公务接待费支出0.88万元，主要用于</w:t>
      </w:r>
      <w:r>
        <w:rPr>
          <w:rFonts w:ascii="仿宋" w:hAnsi="仿宋" w:eastAsia="仿宋" w:cs="仿宋"/>
          <w:color w:val="auto"/>
          <w:spacing w:val="-1"/>
          <w:sz w:val="30"/>
          <w:szCs w:val="30"/>
        </w:rPr>
        <w:t>国内公务来访人员的接待支出，</w:t>
      </w:r>
      <w:r>
        <w:rPr>
          <w:rFonts w:hint="eastAsia" w:ascii="仿宋" w:hAnsi="仿宋" w:eastAsia="仿宋" w:cs="仿宋"/>
          <w:color w:val="auto"/>
          <w:spacing w:val="-1"/>
          <w:sz w:val="30"/>
          <w:szCs w:val="30"/>
          <w:highlight w:val="none"/>
        </w:rPr>
        <w:t>共接待国外、境外来访团组0个，来访外宾0人次；发生国内接待10次，接待人数共50人。</w:t>
      </w:r>
      <w:r>
        <w:rPr>
          <w:rFonts w:ascii="仿宋" w:hAnsi="仿宋" w:eastAsia="仿宋" w:cs="仿宋"/>
          <w:color w:val="auto"/>
          <w:spacing w:val="-1"/>
          <w:sz w:val="30"/>
          <w:szCs w:val="30"/>
        </w:rPr>
        <w:t>主要包括</w:t>
      </w:r>
      <w:r>
        <w:rPr>
          <w:rFonts w:hint="eastAsia" w:ascii="仿宋" w:hAnsi="仿宋" w:eastAsia="仿宋" w:cs="仿宋"/>
          <w:color w:val="auto"/>
          <w:spacing w:val="-1"/>
          <w:sz w:val="30"/>
          <w:szCs w:val="30"/>
        </w:rPr>
        <w:t>省人社厅、相关单位来湛调研、指导工作和学习交流发生的支出</w:t>
      </w:r>
      <w:r>
        <w:rPr>
          <w:rFonts w:ascii="仿宋" w:hAnsi="仿宋" w:eastAsia="仿宋" w:cs="仿宋"/>
          <w:color w:val="auto"/>
          <w:spacing w:val="-1"/>
          <w:sz w:val="30"/>
          <w:szCs w:val="30"/>
        </w:rPr>
        <w:t>。</w:t>
      </w:r>
    </w:p>
    <w:p w14:paraId="745155D7">
      <w:pPr>
        <w:spacing w:before="1" w:line="369" w:lineRule="auto"/>
        <w:ind w:left="9" w:firstLine="595"/>
        <w:rPr>
          <w:rFonts w:hint="eastAsia" w:ascii="仿宋" w:hAnsi="仿宋" w:eastAsia="仿宋" w:cs="仿宋"/>
          <w:color w:val="auto"/>
          <w:spacing w:val="-2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pacing w:val="-2"/>
          <w:sz w:val="30"/>
          <w:szCs w:val="30"/>
          <w:highlight w:val="none"/>
        </w:rPr>
        <w:t xml:space="preserve"> </w:t>
      </w:r>
    </w:p>
    <w:p w14:paraId="013E90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92" w:firstLineChars="200"/>
        <w:jc w:val="both"/>
        <w:textAlignment w:val="auto"/>
        <w:rPr>
          <w:rFonts w:hint="eastAsia" w:ascii="仿宋" w:hAnsi="仿宋" w:eastAsia="仿宋" w:cs="仿宋"/>
          <w:color w:val="8497B0" w:themeColor="text2" w:themeTint="99"/>
          <w:spacing w:val="-2"/>
          <w:sz w:val="30"/>
          <w:szCs w:val="30"/>
          <w:highlight w:val="none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3375B024">
      <w:pPr>
        <w:rPr>
          <w:rFonts w:hint="eastAsia" w:ascii="仿宋" w:hAnsi="仿宋" w:eastAsia="仿宋" w:cs="仿宋"/>
          <w:color w:val="8497B0" w:themeColor="text2" w:themeTint="99"/>
          <w:spacing w:val="-2"/>
          <w:sz w:val="30"/>
          <w:szCs w:val="30"/>
          <w:highlight w:val="none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  <w:sectPr>
          <w:pgSz w:w="11906" w:h="16838"/>
          <w:pgMar w:top="1587" w:right="1474" w:bottom="1587" w:left="1474" w:header="851" w:footer="992" w:gutter="0"/>
          <w:cols w:space="425" w:num="1"/>
          <w:docGrid w:type="lines" w:linePitch="312" w:charSpace="0"/>
        </w:sectPr>
      </w:pPr>
    </w:p>
    <w:p w14:paraId="1B4451FB">
      <w:pPr>
        <w:spacing w:before="270" w:line="219" w:lineRule="auto"/>
        <w:rPr>
          <w:rFonts w:ascii="宋体" w:hAnsi="宋体" w:eastAsia="宋体" w:cs="宋体"/>
          <w:b/>
          <w:bCs/>
          <w:spacing w:val="-4"/>
          <w:sz w:val="26"/>
          <w:szCs w:val="26"/>
        </w:rPr>
      </w:pPr>
    </w:p>
    <w:p w14:paraId="0242EE87">
      <w:pPr>
        <w:spacing w:before="270" w:line="219" w:lineRule="auto"/>
        <w:jc w:val="center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4"/>
          <w:sz w:val="26"/>
          <w:szCs w:val="26"/>
        </w:rPr>
        <w:t>财政拨款“三公”经费支出决算表</w:t>
      </w:r>
    </w:p>
    <w:p w14:paraId="50B4928D">
      <w:pPr>
        <w:spacing w:before="269" w:line="211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单位：湛江市人力资源和社会保障局（本级）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                                        </w:t>
      </w:r>
      <w:r>
        <w:rPr>
          <w:rFonts w:ascii="宋体" w:hAnsi="宋体" w:eastAsia="宋体" w:cs="宋体"/>
          <w:spacing w:val="-1"/>
          <w:sz w:val="24"/>
          <w:szCs w:val="24"/>
        </w:rPr>
        <w:t>单位：万元</w:t>
      </w:r>
    </w:p>
    <w:tbl>
      <w:tblPr>
        <w:tblStyle w:val="9"/>
        <w:tblpPr w:leftFromText="180" w:rightFromText="180" w:vertAnchor="text" w:horzAnchor="page" w:tblpX="655" w:tblpY="285"/>
        <w:tblOverlap w:val="never"/>
        <w:tblW w:w="15104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6"/>
        <w:gridCol w:w="1208"/>
        <w:gridCol w:w="1358"/>
        <w:gridCol w:w="1208"/>
        <w:gridCol w:w="1207"/>
        <w:gridCol w:w="1207"/>
        <w:gridCol w:w="1357"/>
        <w:gridCol w:w="1207"/>
        <w:gridCol w:w="1358"/>
        <w:gridCol w:w="1207"/>
        <w:gridCol w:w="1207"/>
        <w:gridCol w:w="1214"/>
      </w:tblGrid>
      <w:tr w14:paraId="34B60C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554" w:type="dxa"/>
            <w:gridSpan w:val="6"/>
            <w:tcBorders>
              <w:right w:val="single" w:color="000000" w:sz="4" w:space="0"/>
            </w:tcBorders>
            <w:vAlign w:val="top"/>
          </w:tcPr>
          <w:p w14:paraId="3EA4272F">
            <w:pPr>
              <w:pStyle w:val="8"/>
              <w:spacing w:before="55" w:line="219" w:lineRule="auto"/>
              <w:ind w:left="3477"/>
            </w:pPr>
            <w:r>
              <w:rPr>
                <w:spacing w:val="-2"/>
              </w:rPr>
              <w:t>预算数</w:t>
            </w:r>
          </w:p>
        </w:tc>
        <w:tc>
          <w:tcPr>
            <w:tcW w:w="7550" w:type="dxa"/>
            <w:gridSpan w:val="6"/>
            <w:tcBorders>
              <w:left w:val="single" w:color="000000" w:sz="4" w:space="0"/>
            </w:tcBorders>
            <w:vAlign w:val="top"/>
          </w:tcPr>
          <w:p w14:paraId="2026B346">
            <w:pPr>
              <w:pStyle w:val="8"/>
              <w:spacing w:before="55" w:line="219" w:lineRule="auto"/>
              <w:ind w:left="3484"/>
            </w:pPr>
            <w:r>
              <w:rPr>
                <w:spacing w:val="-3"/>
              </w:rPr>
              <w:t>决算数</w:t>
            </w:r>
          </w:p>
        </w:tc>
      </w:tr>
      <w:tr w14:paraId="1AAD2A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6" w:type="dxa"/>
            <w:vMerge w:val="restart"/>
            <w:tcBorders>
              <w:bottom w:val="nil"/>
            </w:tcBorders>
            <w:vAlign w:val="top"/>
          </w:tcPr>
          <w:p w14:paraId="28178C88">
            <w:pPr>
              <w:spacing w:line="303" w:lineRule="auto"/>
              <w:rPr>
                <w:rFonts w:ascii="Arial"/>
                <w:sz w:val="21"/>
              </w:rPr>
            </w:pPr>
          </w:p>
          <w:p w14:paraId="1405A546">
            <w:pPr>
              <w:pStyle w:val="8"/>
              <w:spacing w:before="66" w:line="220" w:lineRule="auto"/>
              <w:ind w:left="480"/>
            </w:pPr>
            <w:r>
              <w:rPr>
                <w:spacing w:val="-3"/>
              </w:rPr>
              <w:t>合计</w:t>
            </w:r>
          </w:p>
        </w:tc>
        <w:tc>
          <w:tcPr>
            <w:tcW w:w="1208" w:type="dxa"/>
            <w:vMerge w:val="restart"/>
            <w:tcBorders>
              <w:bottom w:val="nil"/>
            </w:tcBorders>
            <w:vAlign w:val="top"/>
          </w:tcPr>
          <w:p w14:paraId="44869D0B">
            <w:pPr>
              <w:pStyle w:val="8"/>
              <w:spacing w:before="215" w:line="290" w:lineRule="auto"/>
              <w:ind w:left="203" w:right="201" w:firstLine="10"/>
            </w:pPr>
            <w:r>
              <w:rPr>
                <w:spacing w:val="-6"/>
              </w:rPr>
              <w:t>因公出国</w:t>
            </w:r>
            <w:r>
              <w:rPr>
                <w:spacing w:val="-5"/>
              </w:rPr>
              <w:t>（境）费</w:t>
            </w:r>
          </w:p>
        </w:tc>
        <w:tc>
          <w:tcPr>
            <w:tcW w:w="3773" w:type="dxa"/>
            <w:gridSpan w:val="3"/>
            <w:vAlign w:val="top"/>
          </w:tcPr>
          <w:p w14:paraId="31B58A72">
            <w:pPr>
              <w:pStyle w:val="8"/>
              <w:spacing w:before="50" w:line="219" w:lineRule="auto"/>
              <w:ind w:left="688"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1207" w:type="dxa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 w14:paraId="722E32AD">
            <w:pPr>
              <w:spacing w:line="303" w:lineRule="auto"/>
              <w:rPr>
                <w:rFonts w:ascii="Arial"/>
                <w:sz w:val="21"/>
              </w:rPr>
            </w:pPr>
          </w:p>
          <w:p w14:paraId="6702E0DD">
            <w:pPr>
              <w:pStyle w:val="8"/>
              <w:spacing w:before="65" w:line="219" w:lineRule="auto"/>
              <w:ind w:left="108"/>
            </w:pPr>
            <w:r>
              <w:rPr>
                <w:spacing w:val="-3"/>
              </w:rPr>
              <w:t>公务接待费</w:t>
            </w:r>
          </w:p>
        </w:tc>
        <w:tc>
          <w:tcPr>
            <w:tcW w:w="1357" w:type="dxa"/>
            <w:vMerge w:val="restart"/>
            <w:tcBorders>
              <w:left w:val="single" w:color="000000" w:sz="4" w:space="0"/>
              <w:bottom w:val="nil"/>
            </w:tcBorders>
            <w:vAlign w:val="top"/>
          </w:tcPr>
          <w:p w14:paraId="2175C2CD">
            <w:pPr>
              <w:spacing w:line="303" w:lineRule="auto"/>
              <w:rPr>
                <w:rFonts w:ascii="Arial"/>
                <w:sz w:val="21"/>
              </w:rPr>
            </w:pPr>
          </w:p>
          <w:p w14:paraId="4219AA35">
            <w:pPr>
              <w:pStyle w:val="8"/>
              <w:spacing w:before="66" w:line="220" w:lineRule="auto"/>
              <w:ind w:left="482"/>
            </w:pPr>
            <w:r>
              <w:rPr>
                <w:spacing w:val="-3"/>
              </w:rPr>
              <w:t>合计</w:t>
            </w:r>
          </w:p>
        </w:tc>
        <w:tc>
          <w:tcPr>
            <w:tcW w:w="1207" w:type="dxa"/>
            <w:vMerge w:val="restart"/>
            <w:tcBorders>
              <w:bottom w:val="nil"/>
            </w:tcBorders>
            <w:vAlign w:val="top"/>
          </w:tcPr>
          <w:p w14:paraId="07E2443A">
            <w:pPr>
              <w:pStyle w:val="8"/>
              <w:spacing w:before="215" w:line="290" w:lineRule="auto"/>
              <w:ind w:left="211" w:right="193" w:firstLine="10"/>
            </w:pPr>
            <w:r>
              <w:rPr>
                <w:spacing w:val="-6"/>
              </w:rPr>
              <w:t>因公出国</w:t>
            </w:r>
            <w:r>
              <w:rPr>
                <w:spacing w:val="-5"/>
              </w:rPr>
              <w:t>（境）费</w:t>
            </w:r>
          </w:p>
        </w:tc>
        <w:tc>
          <w:tcPr>
            <w:tcW w:w="3772" w:type="dxa"/>
            <w:gridSpan w:val="3"/>
            <w:vAlign w:val="top"/>
          </w:tcPr>
          <w:p w14:paraId="4FB8095C">
            <w:pPr>
              <w:pStyle w:val="8"/>
              <w:spacing w:before="50" w:line="219" w:lineRule="auto"/>
              <w:ind w:left="696"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1214" w:type="dxa"/>
            <w:vMerge w:val="restart"/>
            <w:tcBorders>
              <w:bottom w:val="nil"/>
            </w:tcBorders>
            <w:vAlign w:val="top"/>
          </w:tcPr>
          <w:p w14:paraId="7C6B714A">
            <w:pPr>
              <w:spacing w:line="303" w:lineRule="auto"/>
              <w:rPr>
                <w:rFonts w:ascii="Arial"/>
                <w:sz w:val="21"/>
              </w:rPr>
            </w:pPr>
          </w:p>
          <w:p w14:paraId="7BEF0D7C">
            <w:pPr>
              <w:pStyle w:val="8"/>
              <w:spacing w:before="65" w:line="219" w:lineRule="auto"/>
              <w:ind w:left="116"/>
            </w:pPr>
            <w:r>
              <w:rPr>
                <w:spacing w:val="-3"/>
              </w:rPr>
              <w:t>公务接待费</w:t>
            </w:r>
          </w:p>
        </w:tc>
      </w:tr>
      <w:tr w14:paraId="05E0AD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66" w:type="dxa"/>
            <w:vMerge w:val="continue"/>
            <w:tcBorders>
              <w:top w:val="nil"/>
            </w:tcBorders>
            <w:vAlign w:val="top"/>
          </w:tcPr>
          <w:p w14:paraId="7B53FE61">
            <w:pPr>
              <w:rPr>
                <w:rFonts w:ascii="Arial"/>
                <w:sz w:val="21"/>
              </w:rPr>
            </w:pPr>
          </w:p>
        </w:tc>
        <w:tc>
          <w:tcPr>
            <w:tcW w:w="1208" w:type="dxa"/>
            <w:vMerge w:val="continue"/>
            <w:tcBorders>
              <w:top w:val="nil"/>
            </w:tcBorders>
            <w:vAlign w:val="top"/>
          </w:tcPr>
          <w:p w14:paraId="472328EF">
            <w:pPr>
              <w:rPr>
                <w:rFonts w:ascii="Arial"/>
                <w:sz w:val="21"/>
              </w:rPr>
            </w:pPr>
          </w:p>
        </w:tc>
        <w:tc>
          <w:tcPr>
            <w:tcW w:w="1358" w:type="dxa"/>
            <w:vAlign w:val="top"/>
          </w:tcPr>
          <w:p w14:paraId="315AC785">
            <w:pPr>
              <w:pStyle w:val="8"/>
              <w:spacing w:before="210" w:line="220" w:lineRule="auto"/>
              <w:ind w:left="480"/>
            </w:pPr>
            <w:r>
              <w:rPr>
                <w:spacing w:val="-4"/>
              </w:rPr>
              <w:t>小计</w:t>
            </w:r>
          </w:p>
        </w:tc>
        <w:tc>
          <w:tcPr>
            <w:tcW w:w="1208" w:type="dxa"/>
            <w:vAlign w:val="top"/>
          </w:tcPr>
          <w:p w14:paraId="27069E7D">
            <w:pPr>
              <w:pStyle w:val="8"/>
              <w:spacing w:before="54" w:line="256" w:lineRule="auto"/>
              <w:ind w:left="403" w:right="98" w:hanging="296"/>
            </w:pPr>
            <w:r>
              <w:rPr>
                <w:spacing w:val="-3"/>
              </w:rPr>
              <w:t>公务用车购置费</w:t>
            </w:r>
          </w:p>
        </w:tc>
        <w:tc>
          <w:tcPr>
            <w:tcW w:w="1207" w:type="dxa"/>
            <w:vAlign w:val="top"/>
          </w:tcPr>
          <w:p w14:paraId="07143C6B">
            <w:pPr>
              <w:pStyle w:val="8"/>
              <w:spacing w:before="54" w:line="256" w:lineRule="auto"/>
              <w:ind w:left="200" w:right="97" w:hanging="93"/>
            </w:pPr>
            <w:r>
              <w:rPr>
                <w:spacing w:val="-3"/>
              </w:rPr>
              <w:t>公务用车运</w:t>
            </w:r>
            <w:r>
              <w:rPr>
                <w:spacing w:val="-2"/>
              </w:rPr>
              <w:t>行维护费</w:t>
            </w:r>
          </w:p>
        </w:tc>
        <w:tc>
          <w:tcPr>
            <w:tcW w:w="1207" w:type="dxa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 w14:paraId="15AF2A9F">
            <w:pPr>
              <w:rPr>
                <w:rFonts w:ascii="Arial"/>
                <w:sz w:val="21"/>
              </w:rPr>
            </w:pPr>
          </w:p>
        </w:tc>
        <w:tc>
          <w:tcPr>
            <w:tcW w:w="1357" w:type="dxa"/>
            <w:vMerge w:val="continue"/>
            <w:tcBorders>
              <w:top w:val="nil"/>
              <w:left w:val="single" w:color="000000" w:sz="4" w:space="0"/>
            </w:tcBorders>
            <w:vAlign w:val="top"/>
          </w:tcPr>
          <w:p w14:paraId="38399A31">
            <w:pPr>
              <w:rPr>
                <w:rFonts w:ascii="Arial"/>
                <w:sz w:val="21"/>
              </w:rPr>
            </w:pPr>
          </w:p>
        </w:tc>
        <w:tc>
          <w:tcPr>
            <w:tcW w:w="1207" w:type="dxa"/>
            <w:vMerge w:val="continue"/>
            <w:tcBorders>
              <w:top w:val="nil"/>
            </w:tcBorders>
            <w:vAlign w:val="top"/>
          </w:tcPr>
          <w:p w14:paraId="40E4B9BE">
            <w:pPr>
              <w:rPr>
                <w:rFonts w:ascii="Arial"/>
                <w:sz w:val="21"/>
              </w:rPr>
            </w:pPr>
          </w:p>
        </w:tc>
        <w:tc>
          <w:tcPr>
            <w:tcW w:w="1358" w:type="dxa"/>
            <w:vAlign w:val="top"/>
          </w:tcPr>
          <w:p w14:paraId="62FFBEF3">
            <w:pPr>
              <w:pStyle w:val="8"/>
              <w:spacing w:before="210" w:line="220" w:lineRule="auto"/>
              <w:ind w:left="489"/>
            </w:pPr>
            <w:r>
              <w:rPr>
                <w:spacing w:val="-4"/>
              </w:rPr>
              <w:t>小计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32CC0656">
            <w:pPr>
              <w:pStyle w:val="8"/>
              <w:spacing w:before="54" w:line="256" w:lineRule="auto"/>
              <w:ind w:left="410" w:right="93" w:hanging="296"/>
            </w:pPr>
            <w:r>
              <w:rPr>
                <w:spacing w:val="-3"/>
              </w:rPr>
              <w:t>公务用车购置费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1BA03DA5">
            <w:pPr>
              <w:pStyle w:val="8"/>
              <w:spacing w:before="54" w:line="256" w:lineRule="auto"/>
              <w:ind w:left="211" w:right="89" w:hanging="93"/>
            </w:pPr>
            <w:r>
              <w:rPr>
                <w:spacing w:val="-3"/>
              </w:rPr>
              <w:t>公务用车运</w:t>
            </w:r>
            <w:r>
              <w:rPr>
                <w:spacing w:val="-2"/>
              </w:rPr>
              <w:t>行维护费</w:t>
            </w:r>
          </w:p>
        </w:tc>
        <w:tc>
          <w:tcPr>
            <w:tcW w:w="1214" w:type="dxa"/>
            <w:vMerge w:val="continue"/>
            <w:tcBorders>
              <w:top w:val="nil"/>
            </w:tcBorders>
            <w:vAlign w:val="top"/>
          </w:tcPr>
          <w:p w14:paraId="6D8A857D">
            <w:pPr>
              <w:rPr>
                <w:rFonts w:ascii="Arial"/>
                <w:sz w:val="21"/>
              </w:rPr>
            </w:pPr>
          </w:p>
        </w:tc>
      </w:tr>
      <w:tr w14:paraId="4C3DD4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6" w:type="dxa"/>
            <w:vAlign w:val="top"/>
          </w:tcPr>
          <w:p w14:paraId="749EB159">
            <w:pPr>
              <w:pStyle w:val="8"/>
              <w:spacing w:before="59" w:line="222" w:lineRule="auto"/>
              <w:ind w:left="594"/>
            </w:pPr>
            <w:r>
              <w:t>1</w:t>
            </w:r>
          </w:p>
        </w:tc>
        <w:tc>
          <w:tcPr>
            <w:tcW w:w="1208" w:type="dxa"/>
            <w:vAlign w:val="top"/>
          </w:tcPr>
          <w:p w14:paraId="05DB1BED">
            <w:pPr>
              <w:pStyle w:val="8"/>
              <w:spacing w:before="59" w:line="222" w:lineRule="auto"/>
              <w:ind w:left="500"/>
            </w:pPr>
            <w:r>
              <w:t>2</w:t>
            </w:r>
          </w:p>
        </w:tc>
        <w:tc>
          <w:tcPr>
            <w:tcW w:w="1358" w:type="dxa"/>
            <w:vAlign w:val="top"/>
          </w:tcPr>
          <w:p w14:paraId="40C3536A">
            <w:pPr>
              <w:pStyle w:val="8"/>
              <w:spacing w:before="59" w:line="222" w:lineRule="auto"/>
              <w:ind w:left="578"/>
            </w:pPr>
            <w:r>
              <w:t>3</w:t>
            </w:r>
          </w:p>
        </w:tc>
        <w:tc>
          <w:tcPr>
            <w:tcW w:w="1208" w:type="dxa"/>
            <w:vAlign w:val="top"/>
          </w:tcPr>
          <w:p w14:paraId="41594EF0">
            <w:pPr>
              <w:pStyle w:val="8"/>
              <w:spacing w:before="59" w:line="222" w:lineRule="auto"/>
              <w:ind w:left="500"/>
            </w:pPr>
            <w:r>
              <w:t>4</w:t>
            </w:r>
          </w:p>
        </w:tc>
        <w:tc>
          <w:tcPr>
            <w:tcW w:w="1207" w:type="dxa"/>
            <w:vAlign w:val="top"/>
          </w:tcPr>
          <w:p w14:paraId="37A90B2F">
            <w:pPr>
              <w:pStyle w:val="8"/>
              <w:spacing w:before="59" w:line="222" w:lineRule="auto"/>
              <w:ind w:left="505"/>
            </w:pPr>
            <w:r>
              <w:t>5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26C372F0">
            <w:pPr>
              <w:pStyle w:val="8"/>
              <w:spacing w:before="59" w:line="222" w:lineRule="auto"/>
              <w:ind w:left="504"/>
            </w:pPr>
            <w:r>
              <w:t>6</w:t>
            </w:r>
          </w:p>
        </w:tc>
        <w:tc>
          <w:tcPr>
            <w:tcW w:w="1357" w:type="dxa"/>
            <w:tcBorders>
              <w:left w:val="single" w:color="000000" w:sz="4" w:space="0"/>
            </w:tcBorders>
            <w:vAlign w:val="top"/>
          </w:tcPr>
          <w:p w14:paraId="1A22DC47">
            <w:pPr>
              <w:pStyle w:val="8"/>
              <w:spacing w:before="59" w:line="222" w:lineRule="auto"/>
              <w:ind w:left="586"/>
            </w:pPr>
            <w:r>
              <w:t>7</w:t>
            </w:r>
          </w:p>
        </w:tc>
        <w:tc>
          <w:tcPr>
            <w:tcW w:w="1207" w:type="dxa"/>
            <w:vAlign w:val="top"/>
          </w:tcPr>
          <w:p w14:paraId="5FA73080">
            <w:pPr>
              <w:pStyle w:val="8"/>
              <w:spacing w:before="59" w:line="222" w:lineRule="auto"/>
              <w:ind w:left="506"/>
            </w:pPr>
            <w:r>
              <w:t>8</w:t>
            </w:r>
          </w:p>
        </w:tc>
        <w:tc>
          <w:tcPr>
            <w:tcW w:w="1358" w:type="dxa"/>
            <w:vAlign w:val="top"/>
          </w:tcPr>
          <w:p w14:paraId="261FA2C5">
            <w:pPr>
              <w:pStyle w:val="8"/>
              <w:spacing w:before="59" w:line="222" w:lineRule="auto"/>
              <w:ind w:left="583"/>
            </w:pPr>
            <w:r>
              <w:t>9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1BA05263">
            <w:pPr>
              <w:pStyle w:val="8"/>
              <w:spacing w:before="59" w:line="222" w:lineRule="auto"/>
              <w:ind w:left="473"/>
            </w:pPr>
            <w:r>
              <w:rPr>
                <w:spacing w:val="-6"/>
              </w:rPr>
              <w:t>10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0EB8799E">
            <w:pPr>
              <w:pStyle w:val="8"/>
              <w:spacing w:before="59" w:line="222" w:lineRule="auto"/>
              <w:ind w:left="476"/>
            </w:pPr>
            <w:r>
              <w:rPr>
                <w:spacing w:val="-6"/>
              </w:rPr>
              <w:t>11</w:t>
            </w:r>
          </w:p>
        </w:tc>
        <w:tc>
          <w:tcPr>
            <w:tcW w:w="1214" w:type="dxa"/>
            <w:vAlign w:val="top"/>
          </w:tcPr>
          <w:p w14:paraId="700A28EC">
            <w:pPr>
              <w:pStyle w:val="8"/>
              <w:spacing w:before="59" w:line="222" w:lineRule="auto"/>
              <w:ind w:left="475"/>
            </w:pPr>
            <w:r>
              <w:rPr>
                <w:spacing w:val="-6"/>
              </w:rPr>
              <w:t>12</w:t>
            </w:r>
          </w:p>
        </w:tc>
      </w:tr>
      <w:tr w14:paraId="61EE67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366" w:type="dxa"/>
            <w:vAlign w:val="top"/>
          </w:tcPr>
          <w:p w14:paraId="7CCE5A0F">
            <w:pPr>
              <w:pStyle w:val="8"/>
              <w:spacing w:before="61" w:line="227" w:lineRule="auto"/>
              <w:ind w:right="4"/>
              <w:jc w:val="right"/>
            </w:pPr>
            <w:r>
              <w:rPr>
                <w:spacing w:val="-2"/>
              </w:rPr>
              <w:t>6.68</w:t>
            </w:r>
          </w:p>
        </w:tc>
        <w:tc>
          <w:tcPr>
            <w:tcW w:w="1208" w:type="dxa"/>
            <w:vAlign w:val="top"/>
          </w:tcPr>
          <w:p w14:paraId="6157DAD6">
            <w:pPr>
              <w:pStyle w:val="8"/>
              <w:spacing w:before="61" w:line="227" w:lineRule="auto"/>
              <w:jc w:val="right"/>
            </w:pPr>
            <w:r>
              <w:rPr>
                <w:spacing w:val="-6"/>
              </w:rPr>
              <w:t>1.53</w:t>
            </w:r>
          </w:p>
        </w:tc>
        <w:tc>
          <w:tcPr>
            <w:tcW w:w="1358" w:type="dxa"/>
            <w:vAlign w:val="top"/>
          </w:tcPr>
          <w:p w14:paraId="3782AED4">
            <w:pPr>
              <w:pStyle w:val="8"/>
              <w:spacing w:before="61" w:line="227" w:lineRule="auto"/>
              <w:ind w:right="1"/>
              <w:jc w:val="right"/>
            </w:pPr>
            <w:r>
              <w:rPr>
                <w:spacing w:val="-2"/>
              </w:rPr>
              <w:t>4.28</w:t>
            </w:r>
          </w:p>
        </w:tc>
        <w:tc>
          <w:tcPr>
            <w:tcW w:w="1208" w:type="dxa"/>
            <w:vAlign w:val="top"/>
          </w:tcPr>
          <w:p w14:paraId="5E7D1B8E">
            <w:pPr>
              <w:pStyle w:val="8"/>
              <w:spacing w:before="61" w:line="227" w:lineRule="auto"/>
              <w:jc w:val="right"/>
            </w:pPr>
            <w:r>
              <w:rPr>
                <w:spacing w:val="-2"/>
              </w:rPr>
              <w:t>0.00</w:t>
            </w:r>
          </w:p>
        </w:tc>
        <w:tc>
          <w:tcPr>
            <w:tcW w:w="1207" w:type="dxa"/>
            <w:vAlign w:val="top"/>
          </w:tcPr>
          <w:p w14:paraId="1C2433F0">
            <w:pPr>
              <w:pStyle w:val="8"/>
              <w:spacing w:before="61" w:line="227" w:lineRule="auto"/>
              <w:jc w:val="right"/>
            </w:pPr>
            <w:r>
              <w:rPr>
                <w:spacing w:val="-2"/>
              </w:rPr>
              <w:t>4.28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371353EB">
            <w:pPr>
              <w:pStyle w:val="8"/>
              <w:spacing w:before="61" w:line="227" w:lineRule="auto"/>
              <w:jc w:val="right"/>
            </w:pPr>
            <w:r>
              <w:rPr>
                <w:spacing w:val="-2"/>
              </w:rPr>
              <w:t>0.88</w:t>
            </w:r>
          </w:p>
        </w:tc>
        <w:tc>
          <w:tcPr>
            <w:tcW w:w="1357" w:type="dxa"/>
            <w:tcBorders>
              <w:left w:val="single" w:color="000000" w:sz="4" w:space="0"/>
            </w:tcBorders>
            <w:vAlign w:val="top"/>
          </w:tcPr>
          <w:p w14:paraId="2422B85A">
            <w:pPr>
              <w:pStyle w:val="8"/>
              <w:spacing w:before="61" w:line="227" w:lineRule="auto"/>
              <w:jc w:val="right"/>
            </w:pPr>
            <w:r>
              <w:rPr>
                <w:spacing w:val="-3"/>
              </w:rPr>
              <w:t>6.68</w:t>
            </w:r>
          </w:p>
        </w:tc>
        <w:tc>
          <w:tcPr>
            <w:tcW w:w="1207" w:type="dxa"/>
            <w:vAlign w:val="top"/>
          </w:tcPr>
          <w:p w14:paraId="5D441184">
            <w:pPr>
              <w:pStyle w:val="8"/>
              <w:spacing w:before="61" w:line="227" w:lineRule="auto"/>
              <w:jc w:val="right"/>
            </w:pPr>
            <w:r>
              <w:rPr>
                <w:spacing w:val="-7"/>
              </w:rPr>
              <w:t>1.53</w:t>
            </w:r>
          </w:p>
        </w:tc>
        <w:tc>
          <w:tcPr>
            <w:tcW w:w="1358" w:type="dxa"/>
            <w:vAlign w:val="top"/>
          </w:tcPr>
          <w:p w14:paraId="09B9260F">
            <w:pPr>
              <w:pStyle w:val="8"/>
              <w:spacing w:before="61" w:line="227" w:lineRule="auto"/>
              <w:jc w:val="right"/>
            </w:pPr>
            <w:r>
              <w:rPr>
                <w:spacing w:val="-3"/>
              </w:rPr>
              <w:t>4.28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12AC1440">
            <w:pPr>
              <w:pStyle w:val="8"/>
              <w:spacing w:before="61" w:line="227" w:lineRule="auto"/>
              <w:jc w:val="right"/>
            </w:pPr>
            <w:r>
              <w:rPr>
                <w:spacing w:val="-3"/>
              </w:rPr>
              <w:t>0.00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3B09FEF1">
            <w:pPr>
              <w:pStyle w:val="8"/>
              <w:spacing w:before="61" w:line="227" w:lineRule="auto"/>
              <w:jc w:val="right"/>
            </w:pPr>
            <w:r>
              <w:rPr>
                <w:spacing w:val="-4"/>
              </w:rPr>
              <w:t>4.28</w:t>
            </w:r>
          </w:p>
        </w:tc>
        <w:tc>
          <w:tcPr>
            <w:tcW w:w="1214" w:type="dxa"/>
            <w:vAlign w:val="top"/>
          </w:tcPr>
          <w:p w14:paraId="072B619C">
            <w:pPr>
              <w:pStyle w:val="8"/>
              <w:spacing w:before="61" w:line="227" w:lineRule="auto"/>
              <w:jc w:val="right"/>
            </w:pPr>
            <w:r>
              <w:rPr>
                <w:spacing w:val="-3"/>
              </w:rPr>
              <w:t>0.88</w:t>
            </w:r>
          </w:p>
        </w:tc>
      </w:tr>
    </w:tbl>
    <w:p w14:paraId="2F8B424A">
      <w:pPr>
        <w:spacing w:before="9" w:line="211" w:lineRule="auto"/>
        <w:ind w:right="877"/>
        <w:rPr>
          <w:rFonts w:ascii="宋体" w:hAnsi="宋体" w:eastAsia="宋体" w:cs="宋体"/>
          <w:spacing w:val="-4"/>
          <w:sz w:val="18"/>
          <w:szCs w:val="18"/>
        </w:rPr>
      </w:pPr>
      <w:r>
        <w:rPr>
          <w:rFonts w:hint="eastAsia" w:ascii="宋体" w:hAnsi="宋体" w:eastAsia="宋体" w:cs="宋体"/>
          <w:spacing w:val="-4"/>
          <w:sz w:val="18"/>
          <w:szCs w:val="18"/>
        </w:rPr>
        <w:t>注：本表反映单位本年度财政拨款“三公”经费支出预决算情况。其中，预算数为“三公”经费全年预算数，反映按规定程序调整后的预算数；决算数是包括当年财政拨款和以前年度结转资金安排的实际支出。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14BF76B1">
      <w:pPr>
        <w:spacing w:before="9" w:line="211" w:lineRule="auto"/>
        <w:ind w:left="844" w:right="877" w:hanging="4"/>
        <w:rPr>
          <w:rFonts w:ascii="宋体" w:hAnsi="宋体" w:eastAsia="宋体" w:cs="宋体"/>
          <w:spacing w:val="-4"/>
          <w:sz w:val="18"/>
          <w:szCs w:val="18"/>
        </w:rPr>
      </w:pPr>
    </w:p>
    <w:p w14:paraId="6EA4AAC5">
      <w:pPr>
        <w:spacing w:before="9" w:line="211" w:lineRule="auto"/>
        <w:ind w:right="877"/>
        <w:rPr>
          <w:rFonts w:hint="eastAsia" w:ascii="宋体" w:hAnsi="宋体" w:eastAsia="宋体" w:cs="宋体"/>
          <w:spacing w:val="-4"/>
          <w:sz w:val="18"/>
          <w:szCs w:val="18"/>
        </w:rPr>
      </w:pPr>
    </w:p>
    <w:sectPr>
      <w:headerReference r:id="rId3" w:type="default"/>
      <w:footerReference r:id="rId4" w:type="default"/>
      <w:pgSz w:w="16838" w:h="11906" w:orient="landscape"/>
      <w:pgMar w:top="1474" w:right="1587" w:bottom="147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EDBE5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CEF2BE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wNGM1OWE2ZjI2OTFlNTZmNmZmZmQ4ZWVlNzhhMDcifQ=="/>
  </w:docVars>
  <w:rsids>
    <w:rsidRoot w:val="6B8B03E1"/>
    <w:rsid w:val="007C2561"/>
    <w:rsid w:val="013435B5"/>
    <w:rsid w:val="04A15406"/>
    <w:rsid w:val="063522A9"/>
    <w:rsid w:val="07911761"/>
    <w:rsid w:val="087A28D8"/>
    <w:rsid w:val="08F55D20"/>
    <w:rsid w:val="0A23066B"/>
    <w:rsid w:val="0DF77E44"/>
    <w:rsid w:val="0E15476E"/>
    <w:rsid w:val="0E50214A"/>
    <w:rsid w:val="0F965D9A"/>
    <w:rsid w:val="10BE4C49"/>
    <w:rsid w:val="12F145D3"/>
    <w:rsid w:val="17C80CB1"/>
    <w:rsid w:val="17F81389"/>
    <w:rsid w:val="180B10BC"/>
    <w:rsid w:val="1B35642D"/>
    <w:rsid w:val="1BD143CB"/>
    <w:rsid w:val="1BF14125"/>
    <w:rsid w:val="1C746B04"/>
    <w:rsid w:val="1FC61D6D"/>
    <w:rsid w:val="20547378"/>
    <w:rsid w:val="23052BAC"/>
    <w:rsid w:val="24D82326"/>
    <w:rsid w:val="25665B84"/>
    <w:rsid w:val="265005E2"/>
    <w:rsid w:val="279A7D67"/>
    <w:rsid w:val="2C3A1B18"/>
    <w:rsid w:val="2E530C6F"/>
    <w:rsid w:val="2EFC2806"/>
    <w:rsid w:val="30BD4AC6"/>
    <w:rsid w:val="34285C7C"/>
    <w:rsid w:val="346F4329"/>
    <w:rsid w:val="3B201ED9"/>
    <w:rsid w:val="3B673FAC"/>
    <w:rsid w:val="3D361E88"/>
    <w:rsid w:val="3E133F77"/>
    <w:rsid w:val="3EB87239"/>
    <w:rsid w:val="3ECC124A"/>
    <w:rsid w:val="41D35EF7"/>
    <w:rsid w:val="43C95804"/>
    <w:rsid w:val="46DC584E"/>
    <w:rsid w:val="48361A3F"/>
    <w:rsid w:val="4A315EB1"/>
    <w:rsid w:val="4CB30DFF"/>
    <w:rsid w:val="4D924401"/>
    <w:rsid w:val="4E7E71EB"/>
    <w:rsid w:val="50615016"/>
    <w:rsid w:val="50ED2406"/>
    <w:rsid w:val="570109B9"/>
    <w:rsid w:val="588738B8"/>
    <w:rsid w:val="5980650D"/>
    <w:rsid w:val="5A403EEE"/>
    <w:rsid w:val="5CFD7E74"/>
    <w:rsid w:val="5EC24ED2"/>
    <w:rsid w:val="6457430E"/>
    <w:rsid w:val="6562740E"/>
    <w:rsid w:val="65B55790"/>
    <w:rsid w:val="673C6763"/>
    <w:rsid w:val="67E91721"/>
    <w:rsid w:val="6B8B03E1"/>
    <w:rsid w:val="6C0905E4"/>
    <w:rsid w:val="6D806684"/>
    <w:rsid w:val="6DFB0400"/>
    <w:rsid w:val="708741CD"/>
    <w:rsid w:val="70904E30"/>
    <w:rsid w:val="715F2A54"/>
    <w:rsid w:val="7213050A"/>
    <w:rsid w:val="724F0D1A"/>
    <w:rsid w:val="73090EC9"/>
    <w:rsid w:val="73182D4A"/>
    <w:rsid w:val="7487654A"/>
    <w:rsid w:val="7516167C"/>
    <w:rsid w:val="75EA3234"/>
    <w:rsid w:val="77212C85"/>
    <w:rsid w:val="79935991"/>
    <w:rsid w:val="7AED10D1"/>
    <w:rsid w:val="7D9F4904"/>
    <w:rsid w:val="7F8F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9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</w:style>
  <w:style w:type="paragraph" w:styleId="3">
    <w:name w:val="toc 5"/>
    <w:basedOn w:val="1"/>
    <w:next w:val="1"/>
    <w:qFormat/>
    <w:uiPriority w:val="99"/>
    <w:pPr>
      <w:ind w:left="168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1156</Words>
  <Characters>1362</Characters>
  <Lines>0</Lines>
  <Paragraphs>0</Paragraphs>
  <TotalTime>1</TotalTime>
  <ScaleCrop>false</ScaleCrop>
  <LinksUpToDate>false</LinksUpToDate>
  <CharactersWithSpaces>1408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2021-09-15T09:48:00Z</dcterms:created>
  <dc:creator>罗海艳</dc:creator>
  <cp:lastModifiedBy> ym-Xu </cp:lastModifiedBy>
  <dcterms:modified xsi:type="dcterms:W3CDTF">2026-09-22T02:59:01Z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D748CE44CC7F4AE8979204A2B4611B53_13</vt:lpwstr>
  </property>
  <property fmtid="{D5CDD505-2E9C-101B-9397-08002B2CF9AE}" pid="4" name="KSOTemplateDocerSaveRecord">
    <vt:lpwstr>eyJoZGlkIjoiYzMwNGM1OWE2ZjI2OTFlNTZmNmZmZmQ4ZWVlNzhhMDciLCJ1c2VySWQiOiI0Mjc1NDc4MzYifQ==</vt:lpwstr>
  </property>
</Properties>
</file>