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89636">
      <w:pPr>
        <w:spacing w:line="288" w:lineRule="auto"/>
        <w:ind w:left="1767" w:hanging="1767" w:hangingChars="4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年度财政拨款“三公”经费支出</w:t>
      </w:r>
    </w:p>
    <w:p w14:paraId="28A2F5A2">
      <w:pPr>
        <w:spacing w:line="288" w:lineRule="auto"/>
        <w:ind w:left="1767" w:hanging="1767" w:hangingChars="4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决算情况说明</w:t>
      </w:r>
    </w:p>
    <w:p w14:paraId="6BBE98FA">
      <w:pPr>
        <w:pStyle w:val="6"/>
        <w:rPr>
          <w:rFonts w:hint="eastAsia"/>
        </w:rPr>
      </w:pPr>
    </w:p>
    <w:p w14:paraId="2424B5D6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一、“三公”经费财政拨款支出决算总体情况说明 </w:t>
      </w:r>
    </w:p>
    <w:p w14:paraId="029E2EDF">
      <w:pPr>
        <w:spacing w:before="244" w:line="369" w:lineRule="auto"/>
        <w:ind w:firstLine="60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湛江市交通运输局（本级）2025年度“三公”经费财政拨款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支出决算为56.05万元，完成全年预算74.3万元的75.4%，</w:t>
      </w:r>
      <w:r>
        <w:rPr>
          <w:rFonts w:hint="eastAsia" w:ascii="仿宋_GB2312" w:hAnsi="仿宋_GB2312" w:eastAsia="仿宋_GB2312" w:cs="仿宋_GB2312"/>
          <w:spacing w:val="-8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上年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决算数减少12.62万元，下降18.4%。其中：因公出国（境）费支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出决算为0万元，完成预算0万元的--%（基数为0，不可比</w:t>
      </w:r>
      <w:r>
        <w:rPr>
          <w:rFonts w:hint="eastAsia" w:ascii="仿宋_GB2312" w:hAnsi="仿宋_GB2312" w:eastAsia="仿宋_GB2312" w:cs="仿宋_GB2312"/>
          <w:spacing w:val="36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比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上年决算数增加0万元，增长--（基数为0，不可比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>）；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公务用车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购置及运行维护费支出决算为52.81万元，完成预算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69.2万元的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76.3%，比上年决算数减少12.14万元，下降18.7%；其中：公务用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车购置支出决算为0万元，完成预算0万元的--%（基数为0，不可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比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比上年决算数增加0万元，增长--（基数为0，不可比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）；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公务用车运行维护费支出决算为52.81万元，完成预算69.2万元的76.3%，比上年决算数减少12.14万元，下降18.7%；公务接待费支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出决算为3.24万元，完成预算5.1万元的63.5%，</w:t>
      </w:r>
      <w:r>
        <w:rPr>
          <w:rFonts w:hint="eastAsia" w:ascii="仿宋_GB2312" w:hAnsi="仿宋_GB2312" w:eastAsia="仿宋_GB2312" w:cs="仿宋_GB2312"/>
          <w:spacing w:val="-8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比上年决算数减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少0.48万元，下降12.8%。</w:t>
      </w:r>
    </w:p>
    <w:p w14:paraId="70F7283B">
      <w:pPr>
        <w:spacing w:before="4" w:line="369" w:lineRule="auto"/>
        <w:ind w:left="8" w:firstLine="588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2025年度“三公”经费支出决算小于预算数的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主要情况：认真贯彻落实中央八项规定精神和厉行节约的要求，从严控制“三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公”经费开支，全年实际支出比预算有所节约。</w:t>
      </w:r>
    </w:p>
    <w:p w14:paraId="3D05A5B8">
      <w:pPr>
        <w:spacing w:before="97" w:line="369" w:lineRule="auto"/>
        <w:ind w:left="1" w:firstLine="593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2025年度“三公”经费支出决算小于上年决算数的主要情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况：主要体现在公务用车运行维护费决算数比上年减少12.14万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元，下降18.69%，变化的原因是主要是公车运行维护费减少，原因是建立定期检修机制，降低故障发生率和大修频次。且更新了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一批公务车，故障维修率低。</w:t>
      </w:r>
    </w:p>
    <w:p w14:paraId="5A4853C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 </w:t>
      </w:r>
    </w:p>
    <w:p w14:paraId="025A905A">
      <w:pPr>
        <w:keepNext w:val="0"/>
        <w:keepLines w:val="0"/>
        <w:widowControl/>
        <w:suppressLineNumbers w:val="0"/>
        <w:ind w:firstLine="643" w:firstLineChars="200"/>
        <w:jc w:val="left"/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>二、“三公”经费财政拨款支出决算具体情况说明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 </w:t>
      </w:r>
    </w:p>
    <w:p w14:paraId="50B6E963">
      <w:pPr>
        <w:spacing w:before="241" w:line="369" w:lineRule="auto"/>
        <w:ind w:firstLine="59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2025年度“</w:t>
      </w:r>
      <w:r>
        <w:rPr>
          <w:rFonts w:hint="eastAsia" w:ascii="仿宋_GB2312" w:hAnsi="仿宋_GB2312" w:eastAsia="仿宋_GB2312" w:cs="仿宋_GB2312"/>
          <w:spacing w:val="-7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三公</w:t>
      </w:r>
      <w:r>
        <w:rPr>
          <w:rFonts w:hint="eastAsia" w:ascii="仿宋_GB2312" w:hAnsi="仿宋_GB2312" w:eastAsia="仿宋_GB2312" w:cs="仿宋_GB2312"/>
          <w:spacing w:val="-8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”经费财政拨款支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出决算</w:t>
      </w:r>
      <w:r>
        <w:rPr>
          <w:rFonts w:hint="eastAsia" w:ascii="仿宋_GB2312" w:hAnsi="仿宋_GB2312" w:eastAsia="仿宋_GB2312" w:cs="仿宋_GB2312"/>
          <w:spacing w:val="-6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中</w:t>
      </w:r>
      <w:r>
        <w:rPr>
          <w:rFonts w:hint="eastAsia" w:ascii="仿宋_GB2312" w:hAnsi="仿宋_GB2312" w:eastAsia="仿宋_GB2312" w:cs="仿宋_GB2312"/>
          <w:spacing w:val="-7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因公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出</w:t>
      </w:r>
      <w:r>
        <w:rPr>
          <w:rFonts w:hint="eastAsia" w:ascii="仿宋_GB2312" w:hAnsi="仿宋_GB2312" w:eastAsia="仿宋_GB2312" w:cs="仿宋_GB2312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国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（境）费0万元，</w:t>
      </w:r>
      <w:r>
        <w:rPr>
          <w:rFonts w:hint="eastAsia" w:ascii="仿宋_GB2312" w:hAnsi="仿宋_GB2312" w:eastAsia="仿宋_GB2312" w:cs="仿宋_GB2312"/>
          <w:spacing w:val="-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占0%；公务用车购置及运行维护费支出52.81万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pacing w:val="-6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占94.2%；公务接待费支出3.24万元，</w:t>
      </w:r>
      <w:r>
        <w:rPr>
          <w:rFonts w:hint="eastAsia" w:ascii="仿宋_GB2312" w:hAnsi="仿宋_GB2312" w:eastAsia="仿宋_GB2312" w:cs="仿宋_GB2312"/>
          <w:spacing w:val="-6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占5.8%。具体情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况如</w:t>
      </w:r>
      <w:r>
        <w:rPr>
          <w:rFonts w:hint="eastAsia" w:ascii="仿宋_GB2312" w:hAnsi="仿宋_GB2312" w:eastAsia="仿宋_GB2312" w:cs="仿宋_GB2312"/>
          <w:spacing w:val="-22"/>
          <w:sz w:val="32"/>
          <w:szCs w:val="32"/>
        </w:rPr>
        <w:t>下：</w:t>
      </w:r>
    </w:p>
    <w:p w14:paraId="1C4E74D6">
      <w:pPr>
        <w:spacing w:line="369" w:lineRule="auto"/>
        <w:ind w:firstLine="61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1.因公出国（境）费支出0万元。全年使用财政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拨款安排出国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（境）团组0个、累计0人次。</w:t>
      </w:r>
    </w:p>
    <w:p w14:paraId="6543C82F">
      <w:pPr>
        <w:spacing w:before="1" w:line="369" w:lineRule="auto"/>
        <w:ind w:firstLine="59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2.公务用车购置及运行维护费支出52.81万元，其中：公务用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车购置支出为0万元，公务用车购置数0辆。公务用车运行维护费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支出52.81万元，公务用车保有量为22辆，主要用于一般公务用车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和一般执法执勤用车的加油费用、购买保险费用以及维修费用。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公务用车保有量22辆，与国有资产占有情况中的车辆数34辆不一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致，相差12辆的原因是：5辆为摩托车，7辆为待处置车辆等。</w:t>
      </w:r>
    </w:p>
    <w:p w14:paraId="4187E365">
      <w:pPr>
        <w:spacing w:before="1" w:line="370" w:lineRule="auto"/>
        <w:ind w:firstLine="59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3.公务接待费支出3.24万元，主要用于上级单位检查和相关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单位交流工作等方面的接待，共接待国外、境外来访团组0个，来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访外宾0人次；发生国内接待24次，接待人数共254人。主要包括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上级各项业务检查以及相关单位业务交流学习等产生的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接待费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用。</w:t>
      </w:r>
    </w:p>
    <w:p w14:paraId="707AFE2C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093E62FB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7ED96DE">
      <w:pPr>
        <w:spacing w:line="288" w:lineRule="auto"/>
        <w:rPr>
          <w:rFonts w:hint="eastAsia" w:ascii="宋体" w:hAnsi="宋体" w:cs="宋体"/>
        </w:rPr>
      </w:pPr>
      <w:bookmarkStart w:id="0" w:name="PO_part2Table9"/>
    </w:p>
    <w:p w14:paraId="5EAFDF15">
      <w:pPr>
        <w:spacing w:before="270" w:line="219" w:lineRule="auto"/>
        <w:ind w:left="5619"/>
        <w:rPr>
          <w:rFonts w:ascii="宋体" w:hAnsi="宋体" w:eastAsia="宋体" w:cs="宋体"/>
          <w:sz w:val="26"/>
          <w:szCs w:val="26"/>
        </w:rPr>
      </w:pPr>
      <w:r>
        <w:rPr>
          <w:rFonts w:hint="eastAsia" w:ascii="宋体" w:hAnsi="宋体" w:cs="宋体"/>
          <w:szCs w:val="21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 xml:space="preserve"> </w:t>
      </w:r>
      <w:bookmarkEnd w:id="0"/>
      <w:r>
        <w:rPr>
          <w:rFonts w:ascii="宋体" w:hAnsi="宋体" w:eastAsia="宋体" w:cs="宋体"/>
          <w:b/>
          <w:bCs/>
          <w:spacing w:val="-4"/>
          <w:sz w:val="26"/>
          <w:szCs w:val="26"/>
        </w:rPr>
        <w:t>财政拨款“三公”经费支出决算表</w:t>
      </w:r>
    </w:p>
    <w:p w14:paraId="0A448486">
      <w:pPr>
        <w:spacing w:before="269" w:line="211" w:lineRule="auto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单位：湛江市交通运输局（本级）                                                                             </w:t>
      </w:r>
      <w:bookmarkStart w:id="1" w:name="_GoBack"/>
      <w:bookmarkEnd w:id="1"/>
      <w:r>
        <w:rPr>
          <w:rFonts w:ascii="宋体" w:hAnsi="宋体" w:eastAsia="宋体" w:cs="宋体"/>
          <w:spacing w:val="-1"/>
          <w:sz w:val="24"/>
          <w:szCs w:val="24"/>
        </w:rPr>
        <w:t>单位：万元</w:t>
      </w:r>
    </w:p>
    <w:tbl>
      <w:tblPr>
        <w:tblStyle w:val="8"/>
        <w:tblW w:w="1510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208"/>
        <w:gridCol w:w="1358"/>
        <w:gridCol w:w="1208"/>
        <w:gridCol w:w="1207"/>
        <w:gridCol w:w="1207"/>
        <w:gridCol w:w="1357"/>
        <w:gridCol w:w="1207"/>
        <w:gridCol w:w="1358"/>
        <w:gridCol w:w="1207"/>
        <w:gridCol w:w="1207"/>
        <w:gridCol w:w="1214"/>
      </w:tblGrid>
      <w:tr w14:paraId="08B930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554" w:type="dxa"/>
            <w:gridSpan w:val="6"/>
            <w:tcBorders>
              <w:right w:val="single" w:color="000000" w:sz="4" w:space="0"/>
            </w:tcBorders>
            <w:vAlign w:val="top"/>
          </w:tcPr>
          <w:p w14:paraId="052A67A2">
            <w:pPr>
              <w:pStyle w:val="7"/>
              <w:spacing w:before="55" w:line="219" w:lineRule="auto"/>
              <w:ind w:left="3477"/>
            </w:pPr>
            <w:r>
              <w:rPr>
                <w:spacing w:val="-2"/>
              </w:rPr>
              <w:t>预算数</w:t>
            </w:r>
          </w:p>
        </w:tc>
        <w:tc>
          <w:tcPr>
            <w:tcW w:w="7550" w:type="dxa"/>
            <w:gridSpan w:val="6"/>
            <w:tcBorders>
              <w:left w:val="single" w:color="000000" w:sz="4" w:space="0"/>
            </w:tcBorders>
            <w:vAlign w:val="top"/>
          </w:tcPr>
          <w:p w14:paraId="1BD625E5">
            <w:pPr>
              <w:pStyle w:val="7"/>
              <w:spacing w:before="55" w:line="219" w:lineRule="auto"/>
              <w:ind w:left="3484"/>
            </w:pPr>
            <w:r>
              <w:rPr>
                <w:spacing w:val="-3"/>
              </w:rPr>
              <w:t>决算数</w:t>
            </w:r>
          </w:p>
        </w:tc>
      </w:tr>
      <w:tr w14:paraId="65AE9E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Merge w:val="restart"/>
            <w:tcBorders>
              <w:bottom w:val="nil"/>
            </w:tcBorders>
            <w:vAlign w:val="top"/>
          </w:tcPr>
          <w:p w14:paraId="7721EBE7">
            <w:pPr>
              <w:spacing w:line="303" w:lineRule="auto"/>
              <w:rPr>
                <w:rFonts w:ascii="Arial"/>
                <w:sz w:val="21"/>
              </w:rPr>
            </w:pPr>
          </w:p>
          <w:p w14:paraId="79C113D4">
            <w:pPr>
              <w:pStyle w:val="7"/>
              <w:spacing w:before="66" w:line="220" w:lineRule="auto"/>
              <w:ind w:left="480"/>
            </w:pPr>
            <w:r>
              <w:rPr>
                <w:spacing w:val="-3"/>
              </w:rPr>
              <w:t>合计</w:t>
            </w:r>
          </w:p>
        </w:tc>
        <w:tc>
          <w:tcPr>
            <w:tcW w:w="1208" w:type="dxa"/>
            <w:vMerge w:val="restart"/>
            <w:tcBorders>
              <w:bottom w:val="nil"/>
            </w:tcBorders>
            <w:vAlign w:val="top"/>
          </w:tcPr>
          <w:p w14:paraId="6005432F">
            <w:pPr>
              <w:pStyle w:val="7"/>
              <w:spacing w:before="215" w:line="290" w:lineRule="auto"/>
              <w:ind w:left="203" w:right="201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773" w:type="dxa"/>
            <w:gridSpan w:val="3"/>
            <w:vAlign w:val="top"/>
          </w:tcPr>
          <w:p w14:paraId="0ACDFF9F">
            <w:pPr>
              <w:pStyle w:val="7"/>
              <w:spacing w:before="50" w:line="219" w:lineRule="auto"/>
              <w:ind w:left="688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07" w:type="dxa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 w14:paraId="2B81031F">
            <w:pPr>
              <w:spacing w:line="303" w:lineRule="auto"/>
              <w:rPr>
                <w:rFonts w:ascii="Arial"/>
                <w:sz w:val="21"/>
              </w:rPr>
            </w:pPr>
          </w:p>
          <w:p w14:paraId="2246C598">
            <w:pPr>
              <w:pStyle w:val="7"/>
              <w:spacing w:before="65" w:line="219" w:lineRule="auto"/>
              <w:ind w:left="108"/>
            </w:pPr>
            <w:r>
              <w:rPr>
                <w:spacing w:val="-3"/>
              </w:rPr>
              <w:t>公务接待费</w:t>
            </w:r>
          </w:p>
        </w:tc>
        <w:tc>
          <w:tcPr>
            <w:tcW w:w="1357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 w14:paraId="7082F13A">
            <w:pPr>
              <w:spacing w:line="303" w:lineRule="auto"/>
              <w:rPr>
                <w:rFonts w:ascii="Arial"/>
                <w:sz w:val="21"/>
              </w:rPr>
            </w:pPr>
          </w:p>
          <w:p w14:paraId="587BE8A9">
            <w:pPr>
              <w:pStyle w:val="7"/>
              <w:spacing w:before="66" w:line="220" w:lineRule="auto"/>
              <w:ind w:left="482"/>
            </w:pPr>
            <w:r>
              <w:rPr>
                <w:spacing w:val="-3"/>
              </w:rPr>
              <w:t>合计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top"/>
          </w:tcPr>
          <w:p w14:paraId="56129D4D">
            <w:pPr>
              <w:pStyle w:val="7"/>
              <w:spacing w:before="215" w:line="290" w:lineRule="auto"/>
              <w:ind w:left="211" w:right="193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772" w:type="dxa"/>
            <w:gridSpan w:val="3"/>
            <w:vAlign w:val="top"/>
          </w:tcPr>
          <w:p w14:paraId="1544ED5C">
            <w:pPr>
              <w:pStyle w:val="7"/>
              <w:spacing w:before="50" w:line="219" w:lineRule="auto"/>
              <w:ind w:left="696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 w14:paraId="74B3E72C">
            <w:pPr>
              <w:spacing w:line="303" w:lineRule="auto"/>
              <w:rPr>
                <w:rFonts w:ascii="Arial"/>
                <w:sz w:val="21"/>
              </w:rPr>
            </w:pPr>
          </w:p>
          <w:p w14:paraId="5D140DAD">
            <w:pPr>
              <w:pStyle w:val="7"/>
              <w:spacing w:before="65" w:line="219" w:lineRule="auto"/>
              <w:ind w:left="116"/>
            </w:pPr>
            <w:r>
              <w:rPr>
                <w:spacing w:val="-3"/>
              </w:rPr>
              <w:t>公务接待费</w:t>
            </w:r>
          </w:p>
        </w:tc>
      </w:tr>
      <w:tr w14:paraId="752D60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6" w:type="dxa"/>
            <w:vMerge w:val="continue"/>
            <w:tcBorders>
              <w:top w:val="nil"/>
            </w:tcBorders>
            <w:vAlign w:val="top"/>
          </w:tcPr>
          <w:p w14:paraId="5D5FB835">
            <w:pPr>
              <w:rPr>
                <w:rFonts w:ascii="Arial"/>
                <w:sz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  <w:vAlign w:val="top"/>
          </w:tcPr>
          <w:p w14:paraId="3C678349"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 w14:paraId="053C53F5">
            <w:pPr>
              <w:pStyle w:val="7"/>
              <w:spacing w:before="210" w:line="220" w:lineRule="auto"/>
              <w:ind w:left="480"/>
            </w:pPr>
            <w:r>
              <w:rPr>
                <w:spacing w:val="-4"/>
              </w:rPr>
              <w:t>小计</w:t>
            </w:r>
          </w:p>
        </w:tc>
        <w:tc>
          <w:tcPr>
            <w:tcW w:w="1208" w:type="dxa"/>
            <w:vAlign w:val="top"/>
          </w:tcPr>
          <w:p w14:paraId="5377660A">
            <w:pPr>
              <w:pStyle w:val="7"/>
              <w:spacing w:before="54" w:line="256" w:lineRule="auto"/>
              <w:ind w:left="403" w:right="98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1207" w:type="dxa"/>
            <w:vAlign w:val="top"/>
          </w:tcPr>
          <w:p w14:paraId="4F313E02">
            <w:pPr>
              <w:pStyle w:val="7"/>
              <w:spacing w:before="54" w:line="256" w:lineRule="auto"/>
              <w:ind w:left="200" w:right="97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07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00A2FB01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 w14:paraId="44340D05">
            <w:pPr>
              <w:rPr>
                <w:rFonts w:ascii="Arial"/>
                <w:sz w:val="21"/>
              </w:rPr>
            </w:pPr>
          </w:p>
        </w:tc>
        <w:tc>
          <w:tcPr>
            <w:tcW w:w="1207" w:type="dxa"/>
            <w:vMerge w:val="continue"/>
            <w:tcBorders>
              <w:top w:val="nil"/>
            </w:tcBorders>
            <w:vAlign w:val="top"/>
          </w:tcPr>
          <w:p w14:paraId="77FB90BB"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 w14:paraId="45FD51B7">
            <w:pPr>
              <w:pStyle w:val="7"/>
              <w:spacing w:before="210" w:line="220" w:lineRule="auto"/>
              <w:ind w:left="489"/>
            </w:pPr>
            <w:r>
              <w:rPr>
                <w:spacing w:val="-4"/>
              </w:rPr>
              <w:t>小计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1F20FDE5">
            <w:pPr>
              <w:pStyle w:val="7"/>
              <w:spacing w:before="54" w:line="256" w:lineRule="auto"/>
              <w:ind w:left="410" w:right="93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43B25A85">
            <w:pPr>
              <w:pStyle w:val="7"/>
              <w:spacing w:before="54" w:line="256" w:lineRule="auto"/>
              <w:ind w:left="211" w:right="89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69735FE8">
            <w:pPr>
              <w:rPr>
                <w:rFonts w:ascii="Arial"/>
                <w:sz w:val="21"/>
              </w:rPr>
            </w:pPr>
          </w:p>
        </w:tc>
      </w:tr>
      <w:tr w14:paraId="6BBCE0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6" w:type="dxa"/>
            <w:vAlign w:val="top"/>
          </w:tcPr>
          <w:p w14:paraId="68BC5485">
            <w:pPr>
              <w:pStyle w:val="7"/>
              <w:spacing w:before="59" w:line="222" w:lineRule="auto"/>
              <w:ind w:left="594"/>
            </w:pPr>
            <w:r>
              <w:t>1</w:t>
            </w:r>
          </w:p>
        </w:tc>
        <w:tc>
          <w:tcPr>
            <w:tcW w:w="1208" w:type="dxa"/>
            <w:vAlign w:val="top"/>
          </w:tcPr>
          <w:p w14:paraId="686C5B0D">
            <w:pPr>
              <w:pStyle w:val="7"/>
              <w:spacing w:before="59" w:line="222" w:lineRule="auto"/>
              <w:ind w:left="500"/>
            </w:pPr>
            <w:r>
              <w:t>2</w:t>
            </w:r>
          </w:p>
        </w:tc>
        <w:tc>
          <w:tcPr>
            <w:tcW w:w="1358" w:type="dxa"/>
            <w:vAlign w:val="top"/>
          </w:tcPr>
          <w:p w14:paraId="60236847">
            <w:pPr>
              <w:pStyle w:val="7"/>
              <w:spacing w:before="59" w:line="222" w:lineRule="auto"/>
              <w:ind w:left="578"/>
            </w:pPr>
            <w:r>
              <w:t>3</w:t>
            </w:r>
          </w:p>
        </w:tc>
        <w:tc>
          <w:tcPr>
            <w:tcW w:w="1208" w:type="dxa"/>
            <w:vAlign w:val="top"/>
          </w:tcPr>
          <w:p w14:paraId="51F8B6E5">
            <w:pPr>
              <w:pStyle w:val="7"/>
              <w:spacing w:before="59" w:line="222" w:lineRule="auto"/>
              <w:ind w:left="500"/>
            </w:pPr>
            <w:r>
              <w:t>4</w:t>
            </w:r>
          </w:p>
        </w:tc>
        <w:tc>
          <w:tcPr>
            <w:tcW w:w="1207" w:type="dxa"/>
            <w:vAlign w:val="top"/>
          </w:tcPr>
          <w:p w14:paraId="386A66D1">
            <w:pPr>
              <w:pStyle w:val="7"/>
              <w:spacing w:before="59" w:line="222" w:lineRule="auto"/>
              <w:ind w:left="505"/>
            </w:pPr>
            <w:r>
              <w:t>5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1194B84A">
            <w:pPr>
              <w:pStyle w:val="7"/>
              <w:spacing w:before="59" w:line="222" w:lineRule="auto"/>
              <w:ind w:left="504"/>
            </w:pPr>
            <w:r>
              <w:t>6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1CD9B412">
            <w:pPr>
              <w:pStyle w:val="7"/>
              <w:spacing w:before="59" w:line="222" w:lineRule="auto"/>
              <w:ind w:left="586"/>
            </w:pPr>
            <w:r>
              <w:t>7</w:t>
            </w:r>
          </w:p>
        </w:tc>
        <w:tc>
          <w:tcPr>
            <w:tcW w:w="1207" w:type="dxa"/>
            <w:vAlign w:val="top"/>
          </w:tcPr>
          <w:p w14:paraId="07068320">
            <w:pPr>
              <w:pStyle w:val="7"/>
              <w:spacing w:before="59" w:line="222" w:lineRule="auto"/>
              <w:ind w:left="506"/>
            </w:pPr>
            <w:r>
              <w:t>8</w:t>
            </w:r>
          </w:p>
        </w:tc>
        <w:tc>
          <w:tcPr>
            <w:tcW w:w="1358" w:type="dxa"/>
            <w:vAlign w:val="top"/>
          </w:tcPr>
          <w:p w14:paraId="25AC750A">
            <w:pPr>
              <w:pStyle w:val="7"/>
              <w:spacing w:before="59" w:line="222" w:lineRule="auto"/>
              <w:ind w:left="583"/>
            </w:pPr>
            <w:r>
              <w:t>9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713F4DBE">
            <w:pPr>
              <w:pStyle w:val="7"/>
              <w:spacing w:before="59" w:line="222" w:lineRule="auto"/>
              <w:ind w:left="473"/>
            </w:pPr>
            <w:r>
              <w:rPr>
                <w:spacing w:val="-6"/>
              </w:rPr>
              <w:t>10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1675A390">
            <w:pPr>
              <w:pStyle w:val="7"/>
              <w:spacing w:before="59" w:line="222" w:lineRule="auto"/>
              <w:ind w:left="476"/>
            </w:pPr>
            <w:r>
              <w:rPr>
                <w:spacing w:val="-6"/>
              </w:rPr>
              <w:t>11</w:t>
            </w:r>
          </w:p>
        </w:tc>
        <w:tc>
          <w:tcPr>
            <w:tcW w:w="1214" w:type="dxa"/>
            <w:vAlign w:val="top"/>
          </w:tcPr>
          <w:p w14:paraId="3B76CB7F">
            <w:pPr>
              <w:pStyle w:val="7"/>
              <w:spacing w:before="59" w:line="222" w:lineRule="auto"/>
              <w:ind w:left="475"/>
            </w:pPr>
            <w:r>
              <w:rPr>
                <w:spacing w:val="-6"/>
              </w:rPr>
              <w:t>12</w:t>
            </w:r>
          </w:p>
        </w:tc>
      </w:tr>
      <w:tr w14:paraId="531A70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66" w:type="dxa"/>
            <w:vAlign w:val="top"/>
          </w:tcPr>
          <w:p w14:paraId="4331C89D">
            <w:pPr>
              <w:pStyle w:val="7"/>
              <w:spacing w:before="61" w:line="227" w:lineRule="auto"/>
              <w:ind w:right="4"/>
              <w:jc w:val="right"/>
            </w:pPr>
            <w:r>
              <w:rPr>
                <w:spacing w:val="-2"/>
              </w:rPr>
              <w:t>74.30</w:t>
            </w:r>
          </w:p>
        </w:tc>
        <w:tc>
          <w:tcPr>
            <w:tcW w:w="1208" w:type="dxa"/>
            <w:vAlign w:val="top"/>
          </w:tcPr>
          <w:p w14:paraId="5C827A55">
            <w:pPr>
              <w:pStyle w:val="7"/>
              <w:spacing w:before="61" w:line="227" w:lineRule="auto"/>
              <w:ind w:right="3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1358" w:type="dxa"/>
            <w:vAlign w:val="top"/>
          </w:tcPr>
          <w:p w14:paraId="62132383">
            <w:pPr>
              <w:pStyle w:val="7"/>
              <w:spacing w:before="61" w:line="227" w:lineRule="auto"/>
              <w:ind w:right="2"/>
              <w:jc w:val="right"/>
            </w:pPr>
            <w:r>
              <w:rPr>
                <w:spacing w:val="-2"/>
              </w:rPr>
              <w:t>69.20</w:t>
            </w:r>
          </w:p>
        </w:tc>
        <w:tc>
          <w:tcPr>
            <w:tcW w:w="1208" w:type="dxa"/>
            <w:vAlign w:val="top"/>
          </w:tcPr>
          <w:p w14:paraId="65E78D77">
            <w:pPr>
              <w:pStyle w:val="7"/>
              <w:spacing w:before="61" w:line="227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1207" w:type="dxa"/>
            <w:vAlign w:val="top"/>
          </w:tcPr>
          <w:p w14:paraId="625E34A0">
            <w:pPr>
              <w:pStyle w:val="7"/>
              <w:spacing w:before="61" w:line="227" w:lineRule="auto"/>
              <w:jc w:val="right"/>
            </w:pPr>
            <w:r>
              <w:rPr>
                <w:spacing w:val="-2"/>
              </w:rPr>
              <w:t>69.20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320ED093">
            <w:pPr>
              <w:pStyle w:val="7"/>
              <w:spacing w:before="61" w:line="227" w:lineRule="auto"/>
              <w:jc w:val="right"/>
            </w:pPr>
            <w:r>
              <w:rPr>
                <w:spacing w:val="-3"/>
              </w:rPr>
              <w:t>5.10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6D601E61">
            <w:pPr>
              <w:pStyle w:val="7"/>
              <w:spacing w:before="61" w:line="227" w:lineRule="auto"/>
              <w:jc w:val="right"/>
            </w:pPr>
            <w:r>
              <w:rPr>
                <w:spacing w:val="-3"/>
              </w:rPr>
              <w:t>56.05</w:t>
            </w:r>
          </w:p>
        </w:tc>
        <w:tc>
          <w:tcPr>
            <w:tcW w:w="1207" w:type="dxa"/>
            <w:vAlign w:val="top"/>
          </w:tcPr>
          <w:p w14:paraId="71D6D9EF">
            <w:pPr>
              <w:pStyle w:val="7"/>
              <w:spacing w:before="61" w:line="227" w:lineRule="auto"/>
              <w:jc w:val="right"/>
            </w:pPr>
            <w:r>
              <w:rPr>
                <w:spacing w:val="-4"/>
              </w:rPr>
              <w:t>0.00</w:t>
            </w:r>
          </w:p>
        </w:tc>
        <w:tc>
          <w:tcPr>
            <w:tcW w:w="1358" w:type="dxa"/>
            <w:vAlign w:val="top"/>
          </w:tcPr>
          <w:p w14:paraId="066BB2BB">
            <w:pPr>
              <w:pStyle w:val="7"/>
              <w:spacing w:before="61" w:line="227" w:lineRule="auto"/>
              <w:jc w:val="right"/>
            </w:pPr>
            <w:r>
              <w:rPr>
                <w:spacing w:val="-4"/>
              </w:rPr>
              <w:t>52.81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2D8D3581">
            <w:pPr>
              <w:pStyle w:val="7"/>
              <w:spacing w:before="61" w:line="227" w:lineRule="auto"/>
              <w:jc w:val="right"/>
            </w:pPr>
            <w:r>
              <w:rPr>
                <w:spacing w:val="-3"/>
              </w:rPr>
              <w:t>0.00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670F94BB">
            <w:pPr>
              <w:pStyle w:val="7"/>
              <w:spacing w:before="61" w:line="227" w:lineRule="auto"/>
              <w:jc w:val="right"/>
            </w:pPr>
            <w:r>
              <w:rPr>
                <w:spacing w:val="-4"/>
              </w:rPr>
              <w:t>52.81</w:t>
            </w:r>
          </w:p>
        </w:tc>
        <w:tc>
          <w:tcPr>
            <w:tcW w:w="1214" w:type="dxa"/>
            <w:vAlign w:val="top"/>
          </w:tcPr>
          <w:p w14:paraId="1618B81D">
            <w:pPr>
              <w:pStyle w:val="7"/>
              <w:spacing w:before="61" w:line="227" w:lineRule="auto"/>
              <w:jc w:val="right"/>
            </w:pPr>
            <w:r>
              <w:rPr>
                <w:spacing w:val="-4"/>
              </w:rPr>
              <w:t>3.24</w:t>
            </w:r>
          </w:p>
        </w:tc>
      </w:tr>
    </w:tbl>
    <w:p w14:paraId="605057CF">
      <w:pPr>
        <w:spacing w:before="9" w:line="211" w:lineRule="auto"/>
        <w:ind w:left="10" w:hanging="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注：本表反映单位本年度财政拨款“三公”经费支出预决算情况。其中，预算数为“三公”经费全年预算数，反映按规定程序调整后的预算数；决算数是包括当年财政拨款和</w:t>
      </w:r>
      <w:r>
        <w:rPr>
          <w:rFonts w:ascii="宋体" w:hAnsi="宋体" w:eastAsia="宋体" w:cs="宋体"/>
          <w:spacing w:val="-1"/>
          <w:sz w:val="18"/>
          <w:szCs w:val="18"/>
        </w:rPr>
        <w:t>以前年度结转资金</w:t>
      </w:r>
      <w:r>
        <w:rPr>
          <w:rFonts w:ascii="宋体" w:hAnsi="宋体" w:eastAsia="宋体" w:cs="宋体"/>
          <w:spacing w:val="-4"/>
          <w:sz w:val="18"/>
          <w:szCs w:val="18"/>
        </w:rPr>
        <w:t>安排的实际支出。</w:t>
      </w:r>
    </w:p>
    <w:p w14:paraId="400A1CDD">
      <w:pPr>
        <w:spacing w:line="360" w:lineRule="auto"/>
        <w:ind w:firstLine="840" w:firstLineChars="400"/>
        <w:rPr>
          <w:rFonts w:hint="eastAsia" w:ascii="宋体" w:hAnsi="宋体" w:cs="宋体"/>
          <w:szCs w:val="21"/>
        </w:rPr>
      </w:pPr>
    </w:p>
    <w:sectPr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2819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A2C3B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A2C3B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17CF3">
    <w:pPr>
      <w:spacing w:line="317" w:lineRule="exact"/>
      <w:ind w:left="7306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pacing w:val="-9"/>
        <w:position w:val="1"/>
        <w:sz w:val="24"/>
        <w:szCs w:val="24"/>
      </w:rPr>
      <w:t>-</w:t>
    </w:r>
    <w:r>
      <w:rPr>
        <w:rFonts w:ascii="Arial" w:hAnsi="Arial" w:eastAsia="Arial" w:cs="Arial"/>
        <w:spacing w:val="27"/>
        <w:position w:val="1"/>
        <w:sz w:val="24"/>
        <w:szCs w:val="24"/>
      </w:rPr>
      <w:t xml:space="preserve"> </w:t>
    </w:r>
    <w:r>
      <w:rPr>
        <w:rFonts w:hint="eastAsia" w:ascii="Arial" w:hAnsi="Arial" w:cs="Arial"/>
        <w:spacing w:val="27"/>
        <w:position w:val="1"/>
        <w:sz w:val="24"/>
        <w:szCs w:val="24"/>
        <w:lang w:val="en-US" w:eastAsia="zh-CN"/>
      </w:rPr>
      <w:t>4</w:t>
    </w:r>
    <w:r>
      <w:rPr>
        <w:rFonts w:ascii="Arial" w:hAnsi="Arial" w:eastAsia="Arial" w:cs="Arial"/>
        <w:spacing w:val="-9"/>
        <w:position w:val="1"/>
        <w:sz w:val="24"/>
        <w:szCs w:val="24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YTY1YWMxYTM1ZmNkNGY0MWE5MzgxMTJlZjQwNmIifQ=="/>
  </w:docVars>
  <w:rsids>
    <w:rsidRoot w:val="77817FC0"/>
    <w:rsid w:val="074731B9"/>
    <w:rsid w:val="0A6A040A"/>
    <w:rsid w:val="0B4A7984"/>
    <w:rsid w:val="13124658"/>
    <w:rsid w:val="16C10A11"/>
    <w:rsid w:val="25227EB3"/>
    <w:rsid w:val="26880203"/>
    <w:rsid w:val="26DB60FD"/>
    <w:rsid w:val="305232DD"/>
    <w:rsid w:val="432B1D63"/>
    <w:rsid w:val="46CD691B"/>
    <w:rsid w:val="470567D8"/>
    <w:rsid w:val="4CB41B97"/>
    <w:rsid w:val="51AD6647"/>
    <w:rsid w:val="5FC24A29"/>
    <w:rsid w:val="68EF79B9"/>
    <w:rsid w:val="71C97C97"/>
    <w:rsid w:val="733E7BB3"/>
    <w:rsid w:val="77817FC0"/>
    <w:rsid w:val="780C2DEC"/>
    <w:rsid w:val="7CE3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OC2"/>
    <w:basedOn w:val="1"/>
    <w:next w:val="1"/>
    <w:qFormat/>
    <w:uiPriority w:val="0"/>
    <w:pPr>
      <w:textAlignment w:val="baseline"/>
    </w:pPr>
    <w:rPr>
      <w:rFonts w:ascii="Times New Roman" w:hAnsi="Times New Roman" w:eastAsia="宋体" w:cs="Times New Roman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1219</Words>
  <Characters>1403</Characters>
  <Lines>0</Lines>
  <Paragraphs>0</Paragraphs>
  <TotalTime>6</TotalTime>
  <ScaleCrop>false</ScaleCrop>
  <LinksUpToDate>false</LinksUpToDate>
  <CharactersWithSpaces>1507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2021-09-09T03:34:00Z</dcterms:created>
  <dc:creator>琉璃雪</dc:creator>
  <cp:lastModifiedBy>琉璃雪</cp:lastModifiedBy>
  <dcterms:modified xsi:type="dcterms:W3CDTF">2026-09-21T08:40:04Z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C47D5BDAFC2348769E7A2A2FF2D16074_13</vt:lpwstr>
  </property>
  <property fmtid="{D5CDD505-2E9C-101B-9397-08002B2CF9AE}" pid="4" name="KSOTemplateDocerSaveRecord">
    <vt:lpwstr>eyJoZGlkIjoiMjcwYTY1YWMxYTM1ZmNkNGY0MWE5MzgxMTJlZjQwNmIiLCJ1c2VySWQiOiI2NjY1NTM4MzEifQ==</vt:lpwstr>
  </property>
</Properties>
</file>