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03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3" w:firstLineChars="200"/>
        <w:jc w:val="both"/>
        <w:textAlignment w:val="auto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9361C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湛江市人力资源和社会保障局2025年度一般公共预算财政拨款“三公”经费支出决算</w:t>
      </w:r>
    </w:p>
    <w:p w14:paraId="702099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情况说明</w:t>
      </w:r>
    </w:p>
    <w:p w14:paraId="2281AE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4061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7A7DD5D9">
      <w:pPr>
        <w:spacing w:before="244" w:line="369" w:lineRule="auto"/>
        <w:ind w:firstLine="611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湛江市人力资源和社会保障局2025年度“三公”经费财政拨</w:t>
      </w:r>
      <w:r>
        <w:rPr>
          <w:rFonts w:ascii="仿宋" w:hAnsi="仿宋" w:eastAsia="仿宋" w:cs="仿宋"/>
          <w:spacing w:val="2"/>
          <w:sz w:val="30"/>
          <w:szCs w:val="30"/>
        </w:rPr>
        <w:t>款支出决算为17.45万元，完成全年预算18.6万元的93.8%，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比上</w:t>
      </w:r>
      <w:r>
        <w:rPr>
          <w:rFonts w:ascii="仿宋" w:hAnsi="仿宋" w:eastAsia="仿宋" w:cs="仿宋"/>
          <w:spacing w:val="4"/>
          <w:sz w:val="30"/>
          <w:szCs w:val="30"/>
        </w:rPr>
        <w:t>年决算数减少11.13万元，下降38.9%。其中：因公出国（境）费</w:t>
      </w:r>
      <w:r>
        <w:rPr>
          <w:rFonts w:ascii="仿宋" w:hAnsi="仿宋" w:eastAsia="仿宋" w:cs="仿宋"/>
          <w:spacing w:val="2"/>
          <w:sz w:val="30"/>
          <w:szCs w:val="30"/>
        </w:rPr>
        <w:t>支出决算为1.53万元，完成预算1.53万元的100%，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比上年决算数</w:t>
      </w:r>
      <w:r>
        <w:rPr>
          <w:rFonts w:ascii="仿宋" w:hAnsi="仿宋" w:eastAsia="仿宋" w:cs="仿宋"/>
          <w:sz w:val="30"/>
          <w:szCs w:val="30"/>
        </w:rPr>
        <w:t>减少8.34万元，下降84.5%；公务</w:t>
      </w:r>
      <w:r>
        <w:rPr>
          <w:rFonts w:ascii="仿宋" w:hAnsi="仿宋" w:eastAsia="仿宋" w:cs="仿宋"/>
          <w:spacing w:val="-1"/>
          <w:sz w:val="30"/>
          <w:szCs w:val="30"/>
        </w:rPr>
        <w:t>用车购置及运行维护费支出决算</w:t>
      </w:r>
      <w:r>
        <w:rPr>
          <w:rFonts w:ascii="仿宋" w:hAnsi="仿宋" w:eastAsia="仿宋" w:cs="仿宋"/>
          <w:spacing w:val="6"/>
          <w:sz w:val="30"/>
          <w:szCs w:val="30"/>
        </w:rPr>
        <w:t>为14.32万元，完成预算14.55万元的98.4%，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比上年决算数减少</w:t>
      </w:r>
      <w:r>
        <w:rPr>
          <w:rFonts w:ascii="仿宋" w:hAnsi="仿宋" w:eastAsia="仿宋" w:cs="仿宋"/>
          <w:spacing w:val="4"/>
          <w:sz w:val="30"/>
          <w:szCs w:val="30"/>
        </w:rPr>
        <w:t>0.7万元，下降4.6%；其中：公务用车购置支出决算为0万元，完</w:t>
      </w:r>
      <w:r>
        <w:rPr>
          <w:rFonts w:ascii="仿宋" w:hAnsi="仿宋" w:eastAsia="仿宋" w:cs="仿宋"/>
          <w:spacing w:val="2"/>
          <w:sz w:val="30"/>
          <w:szCs w:val="30"/>
        </w:rPr>
        <w:t>成预算0万元的--%（基数为0，不可比</w:t>
      </w:r>
      <w:r>
        <w:rPr>
          <w:rFonts w:ascii="仿宋" w:hAnsi="仿宋" w:eastAsia="仿宋" w:cs="仿宋"/>
          <w:spacing w:val="39"/>
          <w:sz w:val="30"/>
          <w:szCs w:val="30"/>
        </w:rPr>
        <w:t>），</w:t>
      </w:r>
      <w:r>
        <w:rPr>
          <w:rFonts w:ascii="仿宋" w:hAnsi="仿宋" w:eastAsia="仿宋" w:cs="仿宋"/>
          <w:spacing w:val="2"/>
          <w:sz w:val="30"/>
          <w:szCs w:val="30"/>
        </w:rPr>
        <w:t>比上年决算数增加0万</w:t>
      </w:r>
      <w:r>
        <w:rPr>
          <w:rFonts w:ascii="仿宋" w:hAnsi="仿宋" w:eastAsia="仿宋" w:cs="仿宋"/>
          <w:spacing w:val="-1"/>
          <w:sz w:val="30"/>
          <w:szCs w:val="30"/>
        </w:rPr>
        <w:t>元，增长--（基数为0，不可比）；公务用车运</w:t>
      </w:r>
      <w:r>
        <w:rPr>
          <w:rFonts w:ascii="仿宋" w:hAnsi="仿宋" w:eastAsia="仿宋" w:cs="仿宋"/>
          <w:spacing w:val="-2"/>
          <w:sz w:val="30"/>
          <w:szCs w:val="30"/>
        </w:rPr>
        <w:t>行维护费支出决算</w:t>
      </w:r>
      <w:r>
        <w:rPr>
          <w:rFonts w:ascii="仿宋" w:hAnsi="仿宋" w:eastAsia="仿宋" w:cs="仿宋"/>
          <w:spacing w:val="6"/>
          <w:sz w:val="30"/>
          <w:szCs w:val="30"/>
        </w:rPr>
        <w:t>为14.32万元，完成预算14.55万元的98.4%，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比上年决算数减少</w:t>
      </w:r>
      <w:r>
        <w:rPr>
          <w:rFonts w:ascii="仿宋" w:hAnsi="仿宋" w:eastAsia="仿宋" w:cs="仿宋"/>
          <w:spacing w:val="4"/>
          <w:sz w:val="30"/>
          <w:szCs w:val="30"/>
        </w:rPr>
        <w:t>0.7万元，下降4.6%；公务接待费支出决算为1.6万元，完成预算</w:t>
      </w:r>
      <w:r>
        <w:rPr>
          <w:rFonts w:ascii="仿宋" w:hAnsi="仿宋" w:eastAsia="仿宋" w:cs="仿宋"/>
          <w:spacing w:val="-1"/>
          <w:sz w:val="30"/>
          <w:szCs w:val="30"/>
        </w:rPr>
        <w:t>2.52万元的63.4%，比上年决算数减少2.09万元，下降56.7%。</w:t>
      </w:r>
    </w:p>
    <w:p w14:paraId="4C8B1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both"/>
        <w:textAlignment w:val="auto"/>
        <w:rPr>
          <w:rFonts w:hint="eastAsia" w:ascii="仿宋" w:hAnsi="仿宋" w:eastAsia="仿宋" w:cs="仿宋"/>
          <w:color w:val="0000FF"/>
          <w:spacing w:val="3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spacing w:val="5"/>
          <w:sz w:val="30"/>
          <w:szCs w:val="30"/>
        </w:rPr>
        <w:t>2025年度“三公”经费支出决算小于预算数的</w:t>
      </w:r>
      <w:r>
        <w:rPr>
          <w:rFonts w:ascii="仿宋" w:hAnsi="仿宋" w:eastAsia="仿宋" w:cs="仿宋"/>
          <w:spacing w:val="4"/>
          <w:sz w:val="30"/>
          <w:szCs w:val="30"/>
        </w:rPr>
        <w:t>主要情况：认真贯彻落实中央八项规定精神和厉行节约的要求，从严控制“三</w:t>
      </w:r>
      <w:r>
        <w:rPr>
          <w:rFonts w:ascii="仿宋" w:hAnsi="仿宋" w:eastAsia="仿宋" w:cs="仿宋"/>
          <w:spacing w:val="-3"/>
          <w:sz w:val="30"/>
          <w:szCs w:val="30"/>
        </w:rPr>
        <w:t>公”经费开支，全年实际支出比预算有所节约。</w:t>
      </w:r>
    </w:p>
    <w:p w14:paraId="521206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firstLine="664" w:firstLineChars="200"/>
        <w:jc w:val="both"/>
        <w:textAlignment w:val="baseline"/>
        <w:rPr>
          <w:rFonts w:hint="eastAsia" w:ascii="仿宋" w:hAnsi="仿宋" w:eastAsia="仿宋" w:cs="仿宋"/>
          <w:color w:val="auto"/>
          <w:spacing w:val="3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spacing w:val="16"/>
          <w:sz w:val="30"/>
          <w:szCs w:val="30"/>
        </w:rPr>
        <w:t>2025年度“三公”经费支出决算小于上年决算数的主要情</w:t>
      </w:r>
      <w:r>
        <w:rPr>
          <w:rFonts w:ascii="仿宋" w:hAnsi="仿宋" w:eastAsia="仿宋" w:cs="仿宋"/>
          <w:spacing w:val="14"/>
          <w:sz w:val="30"/>
          <w:szCs w:val="30"/>
        </w:rPr>
        <w:t>况：</w:t>
      </w:r>
      <w:r>
        <w:rPr>
          <w:rFonts w:hint="eastAsia" w:ascii="仿宋" w:hAnsi="仿宋" w:eastAsia="仿宋" w:cs="仿宋"/>
          <w:color w:val="auto"/>
          <w:spacing w:val="3"/>
          <w:sz w:val="30"/>
          <w:szCs w:val="30"/>
          <w:lang w:val="en-US" w:eastAsia="zh-CN"/>
        </w:rPr>
        <w:t>2025年度因公出国（境）费决算数比上年减少8.34万元，下降84.5%。</w:t>
      </w:r>
      <w:bookmarkStart w:id="0" w:name="_GoBack"/>
      <w:bookmarkEnd w:id="0"/>
    </w:p>
    <w:p w14:paraId="22BB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02BDDECA">
      <w:pPr>
        <w:spacing w:before="241" w:line="369" w:lineRule="auto"/>
        <w:ind w:left="8" w:firstLine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2025年度“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三公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”经费财政拨款支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出决算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中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，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因公出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国</w:t>
      </w:r>
      <w:r>
        <w:rPr>
          <w:rFonts w:ascii="仿宋" w:hAnsi="仿宋" w:eastAsia="仿宋" w:cs="仿宋"/>
          <w:spacing w:val="10"/>
          <w:sz w:val="30"/>
          <w:szCs w:val="30"/>
        </w:rPr>
        <w:t>（境）费1.53万元，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占8.8%；公务用车购置及运行维护费支出</w:t>
      </w:r>
      <w:r>
        <w:rPr>
          <w:rFonts w:ascii="仿宋" w:hAnsi="仿宋" w:eastAsia="仿宋" w:cs="仿宋"/>
          <w:spacing w:val="-1"/>
          <w:sz w:val="30"/>
          <w:szCs w:val="30"/>
        </w:rPr>
        <w:t>14.32万元，占82.1%；公务接待费支出1.6万元，占9.2%。具体情</w:t>
      </w:r>
      <w:r>
        <w:rPr>
          <w:rFonts w:ascii="仿宋" w:hAnsi="仿宋" w:eastAsia="仿宋" w:cs="仿宋"/>
          <w:spacing w:val="-17"/>
          <w:sz w:val="30"/>
          <w:szCs w:val="30"/>
        </w:rPr>
        <w:t>况如下：</w:t>
      </w:r>
    </w:p>
    <w:p w14:paraId="489561C5">
      <w:pPr>
        <w:spacing w:before="1" w:line="369" w:lineRule="auto"/>
        <w:ind w:left="8" w:firstLine="61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1.因公出国（境）费支出1.53万元。全年使用财政拨款安排</w:t>
      </w:r>
      <w:r>
        <w:rPr>
          <w:rFonts w:ascii="仿宋" w:hAnsi="仿宋" w:eastAsia="仿宋" w:cs="仿宋"/>
          <w:spacing w:val="-1"/>
          <w:sz w:val="30"/>
          <w:szCs w:val="30"/>
        </w:rPr>
        <w:t>出国（境）团组1个、累计2人次。开支内</w:t>
      </w:r>
      <w:r>
        <w:rPr>
          <w:rFonts w:ascii="仿宋" w:hAnsi="仿宋" w:eastAsia="仿宋" w:cs="仿宋"/>
          <w:spacing w:val="-2"/>
          <w:sz w:val="30"/>
          <w:szCs w:val="30"/>
        </w:rPr>
        <w:t>容包括</w:t>
      </w:r>
      <w:r>
        <w:rPr>
          <w:rFonts w:ascii="仿宋" w:hAnsi="仿宋" w:eastAsia="仿宋" w:cs="仿宋"/>
          <w:spacing w:val="-3"/>
          <w:sz w:val="30"/>
          <w:szCs w:val="30"/>
        </w:rPr>
        <w:t>：（</w:t>
      </w:r>
      <w:r>
        <w:rPr>
          <w:rFonts w:ascii="仿宋" w:hAnsi="仿宋" w:eastAsia="仿宋" w:cs="仿宋"/>
          <w:spacing w:val="-2"/>
          <w:sz w:val="30"/>
          <w:szCs w:val="30"/>
        </w:rPr>
        <w:t>1）参加境外</w:t>
      </w:r>
      <w:r>
        <w:rPr>
          <w:rFonts w:ascii="仿宋" w:hAnsi="仿宋" w:eastAsia="仿宋" w:cs="仿宋"/>
          <w:spacing w:val="12"/>
          <w:sz w:val="30"/>
          <w:szCs w:val="30"/>
        </w:rPr>
        <w:t>会议支出1.31万元，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主要用于参加澳门人才高质量发展大会，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（2）境外业务培训及考察支出0.22万元，主要用于结算2024年赴</w:t>
      </w:r>
      <w:r>
        <w:rPr>
          <w:rFonts w:ascii="仿宋" w:hAnsi="仿宋" w:eastAsia="仿宋" w:cs="仿宋"/>
          <w:spacing w:val="-4"/>
          <w:sz w:val="30"/>
          <w:szCs w:val="30"/>
        </w:rPr>
        <w:t>德国、瑞士交流合作交通费用尾款。</w:t>
      </w:r>
    </w:p>
    <w:p w14:paraId="3893E4F5">
      <w:pPr>
        <w:spacing w:before="2" w:line="369" w:lineRule="auto"/>
        <w:ind w:left="7" w:firstLine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2.公务用车购置及运行维护费支出14.32万元，其中：公务用</w:t>
      </w:r>
      <w:r>
        <w:rPr>
          <w:rFonts w:ascii="仿宋" w:hAnsi="仿宋" w:eastAsia="仿宋" w:cs="仿宋"/>
          <w:spacing w:val="4"/>
          <w:sz w:val="30"/>
          <w:szCs w:val="30"/>
        </w:rPr>
        <w:t>车购置支出为0万元，公务用车购置数0辆。公务用车运行维护费</w:t>
      </w:r>
      <w:r>
        <w:rPr>
          <w:rFonts w:ascii="仿宋" w:hAnsi="仿宋" w:eastAsia="仿宋" w:cs="仿宋"/>
          <w:spacing w:val="-1"/>
          <w:sz w:val="30"/>
          <w:szCs w:val="30"/>
        </w:rPr>
        <w:t>支出14.32万元，公务用车保有量为13辆，主要用于公务外出、调</w:t>
      </w:r>
      <w:r>
        <w:rPr>
          <w:rFonts w:ascii="仿宋" w:hAnsi="仿宋" w:eastAsia="仿宋" w:cs="仿宋"/>
          <w:spacing w:val="-9"/>
          <w:sz w:val="30"/>
          <w:szCs w:val="30"/>
        </w:rPr>
        <w:t>研下乡使用。</w:t>
      </w:r>
    </w:p>
    <w:p w14:paraId="745155D7">
      <w:pPr>
        <w:spacing w:before="1" w:line="369" w:lineRule="auto"/>
        <w:ind w:left="9" w:firstLine="595"/>
        <w:rPr>
          <w:rFonts w:hint="eastAsia" w:ascii="仿宋" w:hAnsi="仿宋" w:eastAsia="仿宋" w:cs="仿宋"/>
          <w:color w:val="auto"/>
          <w:spacing w:val="-2"/>
          <w:sz w:val="30"/>
          <w:szCs w:val="30"/>
          <w:highlight w:val="none"/>
        </w:rPr>
      </w:pPr>
      <w:r>
        <w:rPr>
          <w:rFonts w:ascii="仿宋" w:hAnsi="仿宋" w:eastAsia="仿宋" w:cs="仿宋"/>
          <w:spacing w:val="-1"/>
          <w:sz w:val="30"/>
          <w:szCs w:val="30"/>
        </w:rPr>
        <w:t>3.公务接待费支出1.6万元，主要用于国内公务来访人员的接</w:t>
      </w:r>
      <w:r>
        <w:rPr>
          <w:rFonts w:ascii="仿宋" w:hAnsi="仿宋" w:eastAsia="仿宋" w:cs="仿宋"/>
          <w:spacing w:val="4"/>
          <w:sz w:val="30"/>
          <w:szCs w:val="30"/>
        </w:rPr>
        <w:t>待支出，共接待国外、境外来访团组0个，来访外宾0人次；发生</w:t>
      </w:r>
      <w:r>
        <w:rPr>
          <w:rFonts w:ascii="仿宋" w:hAnsi="仿宋" w:eastAsia="仿宋" w:cs="仿宋"/>
          <w:spacing w:val="-1"/>
          <w:sz w:val="30"/>
          <w:szCs w:val="30"/>
        </w:rPr>
        <w:t>国内接待18次，接待人数共108人。主要包括接待上级部门到本单</w:t>
      </w:r>
      <w:r>
        <w:rPr>
          <w:rFonts w:ascii="仿宋" w:hAnsi="仿宋" w:eastAsia="仿宋" w:cs="仿宋"/>
          <w:spacing w:val="-3"/>
          <w:sz w:val="30"/>
          <w:szCs w:val="30"/>
        </w:rPr>
        <w:t>位调研、指导工作，及其他地市交流学习接待工作。</w:t>
      </w:r>
      <w:r>
        <w:rPr>
          <w:rFonts w:hint="eastAsia" w:ascii="仿宋" w:hAnsi="仿宋" w:eastAsia="仿宋" w:cs="仿宋"/>
          <w:color w:val="auto"/>
          <w:spacing w:val="-2"/>
          <w:sz w:val="30"/>
          <w:szCs w:val="30"/>
          <w:highlight w:val="none"/>
        </w:rPr>
        <w:t xml:space="preserve"> </w:t>
      </w:r>
    </w:p>
    <w:p w14:paraId="013E9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2" w:firstLineChars="200"/>
        <w:jc w:val="both"/>
        <w:textAlignment w:val="auto"/>
        <w:rPr>
          <w:rFonts w:hint="eastAsia" w:ascii="仿宋" w:hAnsi="仿宋" w:eastAsia="仿宋" w:cs="仿宋"/>
          <w:color w:val="8497B0" w:themeColor="text2" w:themeTint="99"/>
          <w:spacing w:val="-2"/>
          <w:sz w:val="30"/>
          <w:szCs w:val="30"/>
          <w:highlight w:val="none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02A87883">
      <w:pPr>
        <w:spacing w:before="270" w:line="219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6"/>
          <w:szCs w:val="26"/>
        </w:rPr>
        <w:t>财政拨款“三公”经费支出决算表</w:t>
      </w:r>
    </w:p>
    <w:p w14:paraId="3AE289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宋体" w:hAnsi="宋体" w:eastAsia="宋体" w:cs="宋体"/>
          <w:sz w:val="24"/>
          <w:szCs w:val="24"/>
        </w:rPr>
      </w:pPr>
    </w:p>
    <w:p w14:paraId="3A850C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" w:hAnsi="仿宋" w:eastAsia="宋体" w:cs="仿宋"/>
          <w:color w:val="8497B0" w:themeColor="text2" w:themeTint="99"/>
          <w:spacing w:val="-2"/>
          <w:sz w:val="30"/>
          <w:szCs w:val="30"/>
          <w:highlight w:val="none"/>
          <w:lang w:val="en-US" w:eastAsia="zh-CN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t xml:space="preserve">部门：湛江市人力资源和社会保障局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>单位：万元</w:t>
      </w:r>
    </w:p>
    <w:tbl>
      <w:tblPr>
        <w:tblStyle w:val="7"/>
        <w:tblpPr w:leftFromText="180" w:rightFromText="180" w:vertAnchor="text" w:horzAnchor="page" w:tblpX="741" w:tblpY="273"/>
        <w:tblOverlap w:val="never"/>
        <w:tblW w:w="1043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834"/>
        <w:gridCol w:w="938"/>
        <w:gridCol w:w="834"/>
        <w:gridCol w:w="835"/>
        <w:gridCol w:w="836"/>
        <w:gridCol w:w="937"/>
        <w:gridCol w:w="833"/>
        <w:gridCol w:w="938"/>
        <w:gridCol w:w="833"/>
        <w:gridCol w:w="836"/>
        <w:gridCol w:w="841"/>
      </w:tblGrid>
      <w:tr w14:paraId="1FCC79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221" w:type="dxa"/>
            <w:gridSpan w:val="6"/>
            <w:tcBorders>
              <w:right w:val="single" w:color="000000" w:sz="4" w:space="0"/>
            </w:tcBorders>
            <w:vAlign w:val="top"/>
          </w:tcPr>
          <w:p w14:paraId="29ACBF2B">
            <w:pPr>
              <w:pStyle w:val="6"/>
              <w:spacing w:before="55" w:line="219" w:lineRule="auto"/>
              <w:ind w:left="3477"/>
            </w:pPr>
            <w:r>
              <w:rPr>
                <w:spacing w:val="-2"/>
              </w:rPr>
              <w:t>预算数</w:t>
            </w:r>
          </w:p>
        </w:tc>
        <w:tc>
          <w:tcPr>
            <w:tcW w:w="5218" w:type="dxa"/>
            <w:gridSpan w:val="6"/>
            <w:tcBorders>
              <w:left w:val="single" w:color="000000" w:sz="4" w:space="0"/>
            </w:tcBorders>
            <w:vAlign w:val="top"/>
          </w:tcPr>
          <w:p w14:paraId="36048E18">
            <w:pPr>
              <w:pStyle w:val="6"/>
              <w:spacing w:before="55" w:line="219" w:lineRule="auto"/>
              <w:ind w:left="3484"/>
            </w:pPr>
            <w:r>
              <w:rPr>
                <w:spacing w:val="-3"/>
              </w:rPr>
              <w:t>决算数</w:t>
            </w:r>
          </w:p>
        </w:tc>
      </w:tr>
      <w:tr w14:paraId="36038E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944" w:type="dxa"/>
            <w:vMerge w:val="restart"/>
            <w:tcBorders>
              <w:bottom w:val="nil"/>
            </w:tcBorders>
            <w:vAlign w:val="top"/>
          </w:tcPr>
          <w:p w14:paraId="0193CE95">
            <w:pPr>
              <w:spacing w:line="303" w:lineRule="auto"/>
              <w:rPr>
                <w:rFonts w:ascii="Arial"/>
                <w:sz w:val="21"/>
              </w:rPr>
            </w:pPr>
          </w:p>
          <w:p w14:paraId="2F2EA48D">
            <w:pPr>
              <w:pStyle w:val="6"/>
              <w:spacing w:before="66" w:line="220" w:lineRule="auto"/>
              <w:ind w:left="480"/>
            </w:pPr>
            <w:r>
              <w:rPr>
                <w:spacing w:val="-3"/>
              </w:rPr>
              <w:t>合计</w:t>
            </w:r>
          </w:p>
        </w:tc>
        <w:tc>
          <w:tcPr>
            <w:tcW w:w="834" w:type="dxa"/>
            <w:vMerge w:val="restart"/>
            <w:tcBorders>
              <w:bottom w:val="nil"/>
            </w:tcBorders>
            <w:vAlign w:val="top"/>
          </w:tcPr>
          <w:p w14:paraId="4B2E74E7">
            <w:pPr>
              <w:pStyle w:val="6"/>
              <w:spacing w:before="215" w:line="290" w:lineRule="auto"/>
              <w:ind w:left="203" w:right="201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2607" w:type="dxa"/>
            <w:gridSpan w:val="3"/>
            <w:vAlign w:val="top"/>
          </w:tcPr>
          <w:p w14:paraId="60A97C71">
            <w:pPr>
              <w:pStyle w:val="6"/>
              <w:spacing w:before="50" w:line="219" w:lineRule="auto"/>
              <w:ind w:left="688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836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6FE831C2">
            <w:pPr>
              <w:spacing w:line="303" w:lineRule="auto"/>
              <w:rPr>
                <w:rFonts w:ascii="Arial"/>
                <w:sz w:val="21"/>
              </w:rPr>
            </w:pPr>
          </w:p>
          <w:p w14:paraId="329E75DE">
            <w:pPr>
              <w:pStyle w:val="6"/>
              <w:spacing w:before="65" w:line="219" w:lineRule="auto"/>
              <w:ind w:left="108"/>
            </w:pPr>
            <w:r>
              <w:rPr>
                <w:spacing w:val="-3"/>
              </w:rPr>
              <w:t>公务接待费</w:t>
            </w:r>
          </w:p>
        </w:tc>
        <w:tc>
          <w:tcPr>
            <w:tcW w:w="93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18D92825">
            <w:pPr>
              <w:spacing w:line="303" w:lineRule="auto"/>
              <w:rPr>
                <w:rFonts w:ascii="Arial"/>
                <w:sz w:val="21"/>
              </w:rPr>
            </w:pPr>
          </w:p>
          <w:p w14:paraId="7BEE0788">
            <w:pPr>
              <w:pStyle w:val="6"/>
              <w:spacing w:before="66" w:line="220" w:lineRule="auto"/>
              <w:ind w:left="482"/>
            </w:pPr>
            <w:r>
              <w:rPr>
                <w:spacing w:val="-3"/>
              </w:rPr>
              <w:t>合计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vAlign w:val="top"/>
          </w:tcPr>
          <w:p w14:paraId="329B09E3">
            <w:pPr>
              <w:pStyle w:val="6"/>
              <w:spacing w:before="215" w:line="290" w:lineRule="auto"/>
              <w:ind w:left="211" w:right="193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2607" w:type="dxa"/>
            <w:gridSpan w:val="3"/>
            <w:vAlign w:val="top"/>
          </w:tcPr>
          <w:p w14:paraId="0B3D7E85">
            <w:pPr>
              <w:pStyle w:val="6"/>
              <w:spacing w:before="50" w:line="219" w:lineRule="auto"/>
              <w:ind w:left="696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 w14:paraId="2CBD811D">
            <w:pPr>
              <w:spacing w:line="303" w:lineRule="auto"/>
              <w:rPr>
                <w:rFonts w:ascii="Arial"/>
                <w:sz w:val="21"/>
              </w:rPr>
            </w:pPr>
          </w:p>
          <w:p w14:paraId="0E6678FC">
            <w:pPr>
              <w:pStyle w:val="6"/>
              <w:spacing w:before="65" w:line="219" w:lineRule="auto"/>
              <w:ind w:left="116"/>
            </w:pPr>
            <w:r>
              <w:rPr>
                <w:spacing w:val="-3"/>
              </w:rPr>
              <w:t>公务接待费</w:t>
            </w:r>
          </w:p>
        </w:tc>
      </w:tr>
      <w:tr w14:paraId="511D35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944" w:type="dxa"/>
            <w:vMerge w:val="continue"/>
            <w:tcBorders>
              <w:top w:val="nil"/>
            </w:tcBorders>
            <w:vAlign w:val="top"/>
          </w:tcPr>
          <w:p w14:paraId="535A434F">
            <w:pPr>
              <w:rPr>
                <w:rFonts w:ascii="Arial"/>
                <w:sz w:val="21"/>
              </w:rPr>
            </w:pPr>
          </w:p>
        </w:tc>
        <w:tc>
          <w:tcPr>
            <w:tcW w:w="834" w:type="dxa"/>
            <w:vMerge w:val="continue"/>
            <w:tcBorders>
              <w:top w:val="nil"/>
            </w:tcBorders>
            <w:vAlign w:val="top"/>
          </w:tcPr>
          <w:p w14:paraId="6C8E4D0C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24C9E682">
            <w:pPr>
              <w:pStyle w:val="6"/>
              <w:spacing w:before="210" w:line="220" w:lineRule="auto"/>
              <w:ind w:left="480"/>
            </w:pPr>
            <w:r>
              <w:rPr>
                <w:spacing w:val="-4"/>
              </w:rPr>
              <w:t>小计</w:t>
            </w:r>
          </w:p>
        </w:tc>
        <w:tc>
          <w:tcPr>
            <w:tcW w:w="834" w:type="dxa"/>
            <w:vAlign w:val="top"/>
          </w:tcPr>
          <w:p w14:paraId="5D2260D6">
            <w:pPr>
              <w:pStyle w:val="6"/>
              <w:spacing w:before="54" w:line="256" w:lineRule="auto"/>
              <w:ind w:left="403" w:right="98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835" w:type="dxa"/>
            <w:vAlign w:val="top"/>
          </w:tcPr>
          <w:p w14:paraId="6A137CD5">
            <w:pPr>
              <w:pStyle w:val="6"/>
              <w:spacing w:before="54" w:line="256" w:lineRule="auto"/>
              <w:ind w:left="200" w:right="97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836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10E5DC7A"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2338630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</w:tcBorders>
            <w:vAlign w:val="top"/>
          </w:tcPr>
          <w:p w14:paraId="62F369E8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7206C60D">
            <w:pPr>
              <w:pStyle w:val="6"/>
              <w:spacing w:before="210" w:line="220" w:lineRule="auto"/>
              <w:ind w:left="489"/>
            </w:pPr>
            <w:r>
              <w:rPr>
                <w:spacing w:val="-4"/>
              </w:rPr>
              <w:t>小计</w:t>
            </w:r>
          </w:p>
        </w:tc>
        <w:tc>
          <w:tcPr>
            <w:tcW w:w="833" w:type="dxa"/>
            <w:tcBorders>
              <w:right w:val="single" w:color="000000" w:sz="4" w:space="0"/>
            </w:tcBorders>
            <w:vAlign w:val="top"/>
          </w:tcPr>
          <w:p w14:paraId="3DF7CE31">
            <w:pPr>
              <w:pStyle w:val="6"/>
              <w:spacing w:before="54" w:line="256" w:lineRule="auto"/>
              <w:ind w:left="410" w:right="93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836" w:type="dxa"/>
            <w:tcBorders>
              <w:left w:val="single" w:color="000000" w:sz="4" w:space="0"/>
            </w:tcBorders>
            <w:vAlign w:val="top"/>
          </w:tcPr>
          <w:p w14:paraId="4664942E">
            <w:pPr>
              <w:pStyle w:val="6"/>
              <w:spacing w:before="54" w:line="256" w:lineRule="auto"/>
              <w:ind w:left="211" w:right="89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 w14:paraId="7CD31AFA">
            <w:pPr>
              <w:rPr>
                <w:rFonts w:ascii="Arial"/>
                <w:sz w:val="21"/>
              </w:rPr>
            </w:pPr>
          </w:p>
        </w:tc>
      </w:tr>
      <w:tr w14:paraId="6EB1AF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944" w:type="dxa"/>
            <w:vAlign w:val="top"/>
          </w:tcPr>
          <w:p w14:paraId="0A8FAF78">
            <w:pPr>
              <w:pStyle w:val="6"/>
              <w:spacing w:before="59" w:line="222" w:lineRule="auto"/>
              <w:ind w:left="594"/>
            </w:pPr>
            <w:r>
              <w:t>1</w:t>
            </w:r>
          </w:p>
        </w:tc>
        <w:tc>
          <w:tcPr>
            <w:tcW w:w="834" w:type="dxa"/>
            <w:vAlign w:val="top"/>
          </w:tcPr>
          <w:p w14:paraId="6837E42C">
            <w:pPr>
              <w:pStyle w:val="6"/>
              <w:spacing w:before="59" w:line="222" w:lineRule="auto"/>
              <w:ind w:left="500"/>
            </w:pPr>
            <w:r>
              <w:t>2</w:t>
            </w:r>
          </w:p>
        </w:tc>
        <w:tc>
          <w:tcPr>
            <w:tcW w:w="938" w:type="dxa"/>
            <w:vAlign w:val="top"/>
          </w:tcPr>
          <w:p w14:paraId="127E647D">
            <w:pPr>
              <w:pStyle w:val="6"/>
              <w:spacing w:before="59" w:line="222" w:lineRule="auto"/>
              <w:ind w:left="578"/>
            </w:pPr>
            <w:r>
              <w:t>3</w:t>
            </w:r>
          </w:p>
        </w:tc>
        <w:tc>
          <w:tcPr>
            <w:tcW w:w="834" w:type="dxa"/>
            <w:vAlign w:val="top"/>
          </w:tcPr>
          <w:p w14:paraId="5538C0E0">
            <w:pPr>
              <w:pStyle w:val="6"/>
              <w:spacing w:before="59" w:line="222" w:lineRule="auto"/>
              <w:ind w:left="500"/>
            </w:pPr>
            <w:r>
              <w:t>4</w:t>
            </w:r>
          </w:p>
        </w:tc>
        <w:tc>
          <w:tcPr>
            <w:tcW w:w="835" w:type="dxa"/>
            <w:vAlign w:val="top"/>
          </w:tcPr>
          <w:p w14:paraId="364B4414">
            <w:pPr>
              <w:pStyle w:val="6"/>
              <w:spacing w:before="59" w:line="222" w:lineRule="auto"/>
              <w:ind w:left="505"/>
            </w:pPr>
            <w:r>
              <w:t>5</w:t>
            </w:r>
          </w:p>
        </w:tc>
        <w:tc>
          <w:tcPr>
            <w:tcW w:w="836" w:type="dxa"/>
            <w:tcBorders>
              <w:right w:val="single" w:color="000000" w:sz="4" w:space="0"/>
            </w:tcBorders>
            <w:vAlign w:val="top"/>
          </w:tcPr>
          <w:p w14:paraId="046D7136">
            <w:pPr>
              <w:pStyle w:val="6"/>
              <w:spacing w:before="59" w:line="222" w:lineRule="auto"/>
              <w:ind w:left="504"/>
            </w:pPr>
            <w:r>
              <w:t>6</w:t>
            </w:r>
          </w:p>
        </w:tc>
        <w:tc>
          <w:tcPr>
            <w:tcW w:w="937" w:type="dxa"/>
            <w:tcBorders>
              <w:left w:val="single" w:color="000000" w:sz="4" w:space="0"/>
            </w:tcBorders>
            <w:vAlign w:val="top"/>
          </w:tcPr>
          <w:p w14:paraId="355CD5C3">
            <w:pPr>
              <w:pStyle w:val="6"/>
              <w:spacing w:before="59" w:line="222" w:lineRule="auto"/>
              <w:ind w:left="586"/>
            </w:pPr>
            <w:r>
              <w:t>7</w:t>
            </w:r>
          </w:p>
        </w:tc>
        <w:tc>
          <w:tcPr>
            <w:tcW w:w="833" w:type="dxa"/>
            <w:vAlign w:val="top"/>
          </w:tcPr>
          <w:p w14:paraId="65A62CC6">
            <w:pPr>
              <w:pStyle w:val="6"/>
              <w:spacing w:before="59" w:line="222" w:lineRule="auto"/>
              <w:ind w:left="506"/>
            </w:pPr>
            <w:r>
              <w:t>8</w:t>
            </w:r>
          </w:p>
        </w:tc>
        <w:tc>
          <w:tcPr>
            <w:tcW w:w="938" w:type="dxa"/>
            <w:vAlign w:val="top"/>
          </w:tcPr>
          <w:p w14:paraId="4F2F538D">
            <w:pPr>
              <w:pStyle w:val="6"/>
              <w:spacing w:before="59" w:line="222" w:lineRule="auto"/>
              <w:ind w:left="583"/>
            </w:pPr>
            <w:r>
              <w:t>9</w:t>
            </w:r>
          </w:p>
        </w:tc>
        <w:tc>
          <w:tcPr>
            <w:tcW w:w="833" w:type="dxa"/>
            <w:tcBorders>
              <w:right w:val="single" w:color="000000" w:sz="4" w:space="0"/>
            </w:tcBorders>
            <w:vAlign w:val="top"/>
          </w:tcPr>
          <w:p w14:paraId="3A951344">
            <w:pPr>
              <w:pStyle w:val="6"/>
              <w:spacing w:before="59" w:line="222" w:lineRule="auto"/>
              <w:ind w:left="473"/>
            </w:pPr>
            <w:r>
              <w:rPr>
                <w:spacing w:val="-6"/>
              </w:rPr>
              <w:t>10</w:t>
            </w:r>
          </w:p>
        </w:tc>
        <w:tc>
          <w:tcPr>
            <w:tcW w:w="836" w:type="dxa"/>
            <w:tcBorders>
              <w:left w:val="single" w:color="000000" w:sz="4" w:space="0"/>
            </w:tcBorders>
            <w:vAlign w:val="top"/>
          </w:tcPr>
          <w:p w14:paraId="6A9E7BEE">
            <w:pPr>
              <w:pStyle w:val="6"/>
              <w:spacing w:before="59" w:line="222" w:lineRule="auto"/>
              <w:ind w:left="476"/>
            </w:pPr>
            <w:r>
              <w:rPr>
                <w:spacing w:val="-6"/>
              </w:rPr>
              <w:t>11</w:t>
            </w:r>
          </w:p>
        </w:tc>
        <w:tc>
          <w:tcPr>
            <w:tcW w:w="841" w:type="dxa"/>
            <w:vAlign w:val="top"/>
          </w:tcPr>
          <w:p w14:paraId="0A821FA0">
            <w:pPr>
              <w:pStyle w:val="6"/>
              <w:spacing w:before="59" w:line="222" w:lineRule="auto"/>
              <w:ind w:left="475"/>
            </w:pPr>
            <w:r>
              <w:rPr>
                <w:spacing w:val="-6"/>
              </w:rPr>
              <w:t>12</w:t>
            </w:r>
          </w:p>
        </w:tc>
      </w:tr>
      <w:tr w14:paraId="1AE433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44" w:type="dxa"/>
            <w:vAlign w:val="top"/>
          </w:tcPr>
          <w:p w14:paraId="53D0F8B6">
            <w:pPr>
              <w:pStyle w:val="6"/>
              <w:spacing w:before="61" w:line="227" w:lineRule="auto"/>
              <w:ind w:right="2"/>
              <w:jc w:val="right"/>
            </w:pPr>
            <w:r>
              <w:rPr>
                <w:spacing w:val="-4"/>
              </w:rPr>
              <w:t>18.60</w:t>
            </w:r>
          </w:p>
        </w:tc>
        <w:tc>
          <w:tcPr>
            <w:tcW w:w="834" w:type="dxa"/>
            <w:vAlign w:val="top"/>
          </w:tcPr>
          <w:p w14:paraId="5CC0E3CA">
            <w:pPr>
              <w:pStyle w:val="6"/>
              <w:spacing w:before="61" w:line="227" w:lineRule="auto"/>
              <w:jc w:val="right"/>
            </w:pPr>
            <w:r>
              <w:rPr>
                <w:spacing w:val="-6"/>
              </w:rPr>
              <w:t>1.53</w:t>
            </w:r>
          </w:p>
        </w:tc>
        <w:tc>
          <w:tcPr>
            <w:tcW w:w="938" w:type="dxa"/>
            <w:vAlign w:val="top"/>
          </w:tcPr>
          <w:p w14:paraId="11618A87">
            <w:pPr>
              <w:pStyle w:val="6"/>
              <w:spacing w:before="61" w:line="227" w:lineRule="auto"/>
              <w:jc w:val="right"/>
            </w:pPr>
            <w:r>
              <w:rPr>
                <w:spacing w:val="-5"/>
              </w:rPr>
              <w:t>14.55</w:t>
            </w:r>
          </w:p>
        </w:tc>
        <w:tc>
          <w:tcPr>
            <w:tcW w:w="834" w:type="dxa"/>
            <w:vAlign w:val="top"/>
          </w:tcPr>
          <w:p w14:paraId="4BF1985C">
            <w:pPr>
              <w:pStyle w:val="6"/>
              <w:spacing w:before="61" w:line="227" w:lineRule="auto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835" w:type="dxa"/>
            <w:vAlign w:val="top"/>
          </w:tcPr>
          <w:p w14:paraId="11312ACE">
            <w:pPr>
              <w:pStyle w:val="6"/>
              <w:spacing w:before="61" w:line="227" w:lineRule="auto"/>
              <w:jc w:val="right"/>
            </w:pPr>
            <w:r>
              <w:rPr>
                <w:spacing w:val="-5"/>
              </w:rPr>
              <w:t>14.55</w:t>
            </w:r>
          </w:p>
        </w:tc>
        <w:tc>
          <w:tcPr>
            <w:tcW w:w="836" w:type="dxa"/>
            <w:tcBorders>
              <w:right w:val="single" w:color="000000" w:sz="4" w:space="0"/>
            </w:tcBorders>
            <w:vAlign w:val="top"/>
          </w:tcPr>
          <w:p w14:paraId="65AAFE76">
            <w:pPr>
              <w:pStyle w:val="6"/>
              <w:spacing w:before="61" w:line="227" w:lineRule="auto"/>
              <w:jc w:val="right"/>
            </w:pPr>
            <w:r>
              <w:rPr>
                <w:spacing w:val="-2"/>
              </w:rPr>
              <w:t>2.52</w:t>
            </w:r>
          </w:p>
        </w:tc>
        <w:tc>
          <w:tcPr>
            <w:tcW w:w="937" w:type="dxa"/>
            <w:tcBorders>
              <w:left w:val="single" w:color="000000" w:sz="4" w:space="0"/>
            </w:tcBorders>
            <w:vAlign w:val="top"/>
          </w:tcPr>
          <w:p w14:paraId="127FDAC9">
            <w:pPr>
              <w:pStyle w:val="6"/>
              <w:spacing w:before="61" w:line="227" w:lineRule="auto"/>
              <w:jc w:val="right"/>
            </w:pPr>
            <w:r>
              <w:rPr>
                <w:spacing w:val="-5"/>
              </w:rPr>
              <w:t>17.45</w:t>
            </w:r>
          </w:p>
        </w:tc>
        <w:tc>
          <w:tcPr>
            <w:tcW w:w="833" w:type="dxa"/>
            <w:vAlign w:val="top"/>
          </w:tcPr>
          <w:p w14:paraId="4C2568CE">
            <w:pPr>
              <w:pStyle w:val="6"/>
              <w:spacing w:before="61" w:line="227" w:lineRule="auto"/>
              <w:jc w:val="right"/>
            </w:pPr>
            <w:r>
              <w:rPr>
                <w:spacing w:val="-7"/>
              </w:rPr>
              <w:t>1.53</w:t>
            </w:r>
          </w:p>
        </w:tc>
        <w:tc>
          <w:tcPr>
            <w:tcW w:w="938" w:type="dxa"/>
            <w:vAlign w:val="top"/>
          </w:tcPr>
          <w:p w14:paraId="760621CD">
            <w:pPr>
              <w:pStyle w:val="6"/>
              <w:spacing w:before="61" w:line="227" w:lineRule="auto"/>
              <w:jc w:val="right"/>
            </w:pPr>
            <w:r>
              <w:rPr>
                <w:spacing w:val="-6"/>
              </w:rPr>
              <w:t>14.32</w:t>
            </w:r>
          </w:p>
        </w:tc>
        <w:tc>
          <w:tcPr>
            <w:tcW w:w="833" w:type="dxa"/>
            <w:tcBorders>
              <w:right w:val="single" w:color="000000" w:sz="4" w:space="0"/>
            </w:tcBorders>
            <w:vAlign w:val="top"/>
          </w:tcPr>
          <w:p w14:paraId="535B26A3">
            <w:pPr>
              <w:pStyle w:val="6"/>
              <w:spacing w:before="61" w:line="227" w:lineRule="auto"/>
              <w:jc w:val="right"/>
            </w:pPr>
            <w:r>
              <w:rPr>
                <w:spacing w:val="-3"/>
              </w:rPr>
              <w:t>0.00</w:t>
            </w:r>
          </w:p>
        </w:tc>
        <w:tc>
          <w:tcPr>
            <w:tcW w:w="836" w:type="dxa"/>
            <w:tcBorders>
              <w:left w:val="single" w:color="000000" w:sz="4" w:space="0"/>
            </w:tcBorders>
            <w:vAlign w:val="top"/>
          </w:tcPr>
          <w:p w14:paraId="5348686A">
            <w:pPr>
              <w:pStyle w:val="6"/>
              <w:spacing w:before="61" w:line="227" w:lineRule="auto"/>
              <w:jc w:val="right"/>
            </w:pPr>
            <w:r>
              <w:rPr>
                <w:spacing w:val="-6"/>
              </w:rPr>
              <w:t>14.32</w:t>
            </w:r>
          </w:p>
        </w:tc>
        <w:tc>
          <w:tcPr>
            <w:tcW w:w="841" w:type="dxa"/>
            <w:vAlign w:val="top"/>
          </w:tcPr>
          <w:p w14:paraId="22AC9355">
            <w:pPr>
              <w:pStyle w:val="6"/>
              <w:spacing w:before="61" w:line="227" w:lineRule="auto"/>
              <w:jc w:val="right"/>
            </w:pPr>
            <w:r>
              <w:rPr>
                <w:spacing w:val="-6"/>
              </w:rPr>
              <w:t>1.60</w:t>
            </w:r>
          </w:p>
        </w:tc>
      </w:tr>
    </w:tbl>
    <w:p w14:paraId="5E05CFD9">
      <w:pPr>
        <w:spacing w:before="9" w:line="211" w:lineRule="auto"/>
        <w:ind w:right="877"/>
        <w:rPr>
          <w:rFonts w:ascii="宋体" w:hAnsi="宋体" w:eastAsia="宋体" w:cs="宋体"/>
          <w:sz w:val="18"/>
          <w:szCs w:val="18"/>
        </w:rPr>
      </w:pPr>
    </w:p>
    <w:p w14:paraId="2DBB4923">
      <w:pPr>
        <w:spacing w:before="9" w:line="211" w:lineRule="auto"/>
        <w:ind w:right="877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注：本表反映部门本年度财政拨款“三公”经费支出预决算情况。其中，预算数为“三公”经费全年预算数，反映按规定程序调整后的预算数；决算数是包括当年财政拨款和</w:t>
      </w:r>
      <w:r>
        <w:rPr>
          <w:rFonts w:ascii="宋体" w:hAnsi="宋体" w:eastAsia="宋体" w:cs="宋体"/>
          <w:spacing w:val="-1"/>
          <w:sz w:val="18"/>
          <w:szCs w:val="18"/>
        </w:rPr>
        <w:t>以前年度结转资金</w:t>
      </w:r>
      <w:r>
        <w:rPr>
          <w:rFonts w:ascii="宋体" w:hAnsi="宋体" w:eastAsia="宋体" w:cs="宋体"/>
          <w:spacing w:val="-4"/>
          <w:sz w:val="18"/>
          <w:szCs w:val="18"/>
        </w:rPr>
        <w:t>安排的实际支出。</w:t>
      </w:r>
    </w:p>
    <w:p w14:paraId="348E0D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2" w:firstLineChars="200"/>
        <w:jc w:val="both"/>
        <w:textAlignment w:val="auto"/>
        <w:rPr>
          <w:rFonts w:hint="eastAsia" w:ascii="仿宋" w:hAnsi="仿宋" w:eastAsia="仿宋" w:cs="仿宋"/>
          <w:color w:val="8497B0" w:themeColor="text2" w:themeTint="99"/>
          <w:spacing w:val="-2"/>
          <w:sz w:val="30"/>
          <w:szCs w:val="30"/>
          <w:highlight w:val="none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p w14:paraId="62F09F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92" w:firstLineChars="200"/>
        <w:jc w:val="both"/>
        <w:textAlignment w:val="auto"/>
        <w:rPr>
          <w:rFonts w:hint="eastAsia" w:ascii="仿宋" w:hAnsi="仿宋" w:eastAsia="仿宋" w:cs="仿宋"/>
          <w:color w:val="8497B0" w:themeColor="text2" w:themeTint="99"/>
          <w:spacing w:val="-2"/>
          <w:sz w:val="30"/>
          <w:szCs w:val="30"/>
          <w:highlight w:val="none"/>
          <w14:textFill>
            <w14:solidFill>
              <w14:schemeClr w14:val="tx2">
                <w14:lumMod w14:val="60000"/>
                <w14:lumOff w14:val="40000"/>
              </w14:schemeClr>
            </w14:solidFill>
          </w14:textFill>
        </w:rPr>
      </w:pPr>
    </w:p>
    <w:sectPr>
      <w:pgSz w:w="11906" w:h="16838"/>
      <w:pgMar w:top="2098" w:right="1588" w:bottom="209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wNGM1OWE2ZjI2OTFlNTZmNmZmZmQ4ZWVlNzhhMDcifQ=="/>
  </w:docVars>
  <w:rsids>
    <w:rsidRoot w:val="6B8B03E1"/>
    <w:rsid w:val="04A15406"/>
    <w:rsid w:val="063522A9"/>
    <w:rsid w:val="07911761"/>
    <w:rsid w:val="087A28D8"/>
    <w:rsid w:val="08F55D20"/>
    <w:rsid w:val="0E50214A"/>
    <w:rsid w:val="0F965D9A"/>
    <w:rsid w:val="10BE4C49"/>
    <w:rsid w:val="12F145D3"/>
    <w:rsid w:val="17C80CB1"/>
    <w:rsid w:val="17F81389"/>
    <w:rsid w:val="180B10BC"/>
    <w:rsid w:val="1B35642D"/>
    <w:rsid w:val="1BD143CB"/>
    <w:rsid w:val="1BF14125"/>
    <w:rsid w:val="1C746B04"/>
    <w:rsid w:val="1FC61D6D"/>
    <w:rsid w:val="20547378"/>
    <w:rsid w:val="23052BAC"/>
    <w:rsid w:val="25665B84"/>
    <w:rsid w:val="265005E2"/>
    <w:rsid w:val="279A7D67"/>
    <w:rsid w:val="2C3A1B18"/>
    <w:rsid w:val="30BD4AC6"/>
    <w:rsid w:val="346F4329"/>
    <w:rsid w:val="3B201ED9"/>
    <w:rsid w:val="3B673FAC"/>
    <w:rsid w:val="3D361E88"/>
    <w:rsid w:val="3ECC124A"/>
    <w:rsid w:val="43C95804"/>
    <w:rsid w:val="46DC584E"/>
    <w:rsid w:val="48361A3F"/>
    <w:rsid w:val="4A315EB1"/>
    <w:rsid w:val="4D924401"/>
    <w:rsid w:val="50615016"/>
    <w:rsid w:val="50ED2406"/>
    <w:rsid w:val="570109B9"/>
    <w:rsid w:val="588738B8"/>
    <w:rsid w:val="5980650D"/>
    <w:rsid w:val="5A403EEE"/>
    <w:rsid w:val="6562740E"/>
    <w:rsid w:val="65B55790"/>
    <w:rsid w:val="673C6763"/>
    <w:rsid w:val="6B8B03E1"/>
    <w:rsid w:val="6C0905E4"/>
    <w:rsid w:val="6DFB0400"/>
    <w:rsid w:val="708741CD"/>
    <w:rsid w:val="7213050A"/>
    <w:rsid w:val="724F0D1A"/>
    <w:rsid w:val="73182D4A"/>
    <w:rsid w:val="7516167C"/>
    <w:rsid w:val="75EA3234"/>
    <w:rsid w:val="77212C85"/>
    <w:rsid w:val="7993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9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</w:style>
  <w:style w:type="paragraph" w:styleId="3">
    <w:name w:val="toc 5"/>
    <w:basedOn w:val="1"/>
    <w:next w:val="1"/>
    <w:qFormat/>
    <w:uiPriority w:val="99"/>
    <w:pPr>
      <w:ind w:left="1680"/>
    </w:p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1169</Words>
  <Characters>1381</Characters>
  <Lines>0</Lines>
  <Paragraphs>0</Paragraphs>
  <TotalTime>0</TotalTime>
  <ScaleCrop>false</ScaleCrop>
  <LinksUpToDate>false</LinksUpToDate>
  <CharactersWithSpaces>1427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2021-09-15T09:48:00Z</dcterms:created>
  <dc:creator>罗海艳</dc:creator>
  <cp:lastModifiedBy> ym-Xu </cp:lastModifiedBy>
  <dcterms:modified xsi:type="dcterms:W3CDTF">2026-09-16T07:58:35Z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D748CE44CC7F4AE8979204A2B4611B53_13</vt:lpwstr>
  </property>
  <property fmtid="{D5CDD505-2E9C-101B-9397-08002B2CF9AE}" pid="4" name="KSOTemplateDocerSaveRecord">
    <vt:lpwstr>eyJoZGlkIjoiYzMwNGM1OWE2ZjI2OTFlNTZmNmZmZmQ4ZWVlNzhhMDciLCJ1c2VySWQiOiI0Mjc1NDc4MzYifQ==</vt:lpwstr>
  </property>
</Properties>
</file>