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BC098">
      <w:pPr>
        <w:keepNext w:val="0"/>
        <w:keepLines w:val="0"/>
        <w:pageBreakBefore w:val="0"/>
        <w:widowControl w:val="0"/>
        <w:kinsoku/>
        <w:wordWrap/>
        <w:overflowPunct w:val="0"/>
        <w:topLinePunct w:val="0"/>
        <w:autoSpaceDE/>
        <w:autoSpaceDN/>
        <w:bidi w:val="0"/>
        <w:adjustRightInd/>
        <w:snapToGrid/>
        <w:spacing w:after="0" w:afterLines="0" w:line="56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6604CE5E">
      <w:pPr>
        <w:keepNext w:val="0"/>
        <w:keepLines w:val="0"/>
        <w:pageBreakBefore w:val="0"/>
        <w:kinsoku/>
        <w:wordWrap/>
        <w:topLinePunct w:val="0"/>
        <w:autoSpaceDE/>
        <w:autoSpaceDN/>
        <w:bidi w:val="0"/>
        <w:adjustRightInd/>
        <w:snapToGrid/>
        <w:spacing w:line="560" w:lineRule="exact"/>
        <w:textAlignment w:val="auto"/>
        <w:rPr>
          <w:sz w:val="32"/>
          <w:szCs w:val="32"/>
        </w:rPr>
      </w:pPr>
    </w:p>
    <w:p w14:paraId="22B8588B">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eastAsia="zh-CN"/>
        </w:rPr>
      </w:pPr>
      <w:r>
        <w:rPr>
          <w:rFonts w:hint="eastAsia" w:ascii="方正小标宋简体" w:hAnsi="Times New Roman" w:eastAsia="方正小标宋简体" w:cs="Times New Roman"/>
          <w:sz w:val="44"/>
          <w:szCs w:val="44"/>
          <w:lang w:eastAsia="zh-CN"/>
        </w:rPr>
        <w:t>《关于进一步规范全市房屋市政工程项目经理锁定管理的通知（</w:t>
      </w:r>
      <w:r>
        <w:rPr>
          <w:rFonts w:hint="eastAsia" w:ascii="方正小标宋简体" w:hAnsi="Times New Roman" w:eastAsia="方正小标宋简体" w:cs="Times New Roman"/>
          <w:sz w:val="44"/>
          <w:szCs w:val="44"/>
          <w:lang w:val="en-US" w:eastAsia="zh-CN"/>
        </w:rPr>
        <w:t>征求意见稿</w:t>
      </w:r>
      <w:r>
        <w:rPr>
          <w:rFonts w:hint="eastAsia" w:ascii="方正小标宋简体" w:hAnsi="Times New Roman" w:eastAsia="方正小标宋简体" w:cs="Times New Roman"/>
          <w:sz w:val="44"/>
          <w:szCs w:val="44"/>
          <w:lang w:eastAsia="zh-CN"/>
        </w:rPr>
        <w:t>）》</w:t>
      </w:r>
    </w:p>
    <w:p w14:paraId="52FA8B9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eastAsia="zh-CN"/>
        </w:rPr>
      </w:pPr>
      <w:r>
        <w:rPr>
          <w:rFonts w:hint="eastAsia" w:ascii="方正小标宋简体" w:hAnsi="Times New Roman" w:eastAsia="方正小标宋简体" w:cs="Times New Roman"/>
          <w:sz w:val="44"/>
          <w:szCs w:val="44"/>
          <w:lang w:eastAsia="zh-CN"/>
        </w:rPr>
        <w:t>起草说明</w:t>
      </w:r>
    </w:p>
    <w:p w14:paraId="7359C4E1">
      <w:pPr>
        <w:keepNext w:val="0"/>
        <w:keepLines w:val="0"/>
        <w:pageBreakBefore w:val="0"/>
        <w:widowControl w:val="0"/>
        <w:suppressLineNumbers w:val="0"/>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textAlignment w:val="auto"/>
        <w:outlineLvl w:val="9"/>
        <w:rPr>
          <w:rFonts w:hint="eastAsia" w:ascii="方正仿宋_GB2312" w:hAnsi="方正仿宋_GB2312" w:eastAsia="方正仿宋_GB2312" w:cs="方正仿宋_GB2312"/>
          <w:i w:val="0"/>
          <w:iCs w:val="0"/>
          <w:caps w:val="0"/>
          <w:color w:val="0F1115"/>
          <w:spacing w:val="0"/>
          <w:sz w:val="32"/>
          <w:szCs w:val="32"/>
          <w:shd w:val="clear" w:color="auto" w:fill="FFFFFF"/>
        </w:rPr>
      </w:pPr>
    </w:p>
    <w:p w14:paraId="7032F9F1">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一、起草背景</w:t>
      </w:r>
    </w:p>
    <w:p w14:paraId="1318F74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项目经理（项目负责人）是房屋市政工程施工管理的核心人员，其执业状态直接关系到工程项目的质量安全管理和建筑市场的规范有序运行。根据《注册建造师执业管理办法（试行）》（建市〔2008〕48号）第九条规定，注册建造师不得同时担任两个及以上建设工程施工项目负责人。为落实这一规定，广东省通过“三库一平台”等信息化手段，对项目经理实行锁定管理——即在建工程的项目经理在省级平台被锁定为“在建”状态，不得再参与其他项目的投标或执业。</w:t>
      </w:r>
    </w:p>
    <w:p w14:paraId="4C0BB56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然而，在实际执行过程中，项目经理“锁而不解”的问题日益突出。部分工程项目已竣工验收但因非施工方原因未能办理备案手续、项目因故停工后建设单位不予配合解锁、项目经理已与施工企业解除劳动合同但原企业不予办理等情形下，项目经理长期被锁定在同一项目上，无法正常流动和执业，既制约了建筑人才资源的合理配置，也增加了企业经营成本。与此同时，部分地方在解锁审核中缺乏统一规范的标准和程序，存在条件不明确、程序不透明等问题。</w:t>
      </w:r>
    </w:p>
    <w:p w14:paraId="5FD59CA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回应市场主体关切，切实解决上述问题，湛江市住房和城乡建设局依据《注册建造师执业管理办法》《广东省住房和城乡建设厅关于广东省建筑市场监管公共服务平台改进应用的通知》（粤建市函〔2018〕1564号）等有关规定，参考广州、肇庆等先进地市经验做法，起草了本通知。</w:t>
      </w:r>
    </w:p>
    <w:p w14:paraId="31209DB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二、起草依据</w:t>
      </w:r>
    </w:p>
    <w:p w14:paraId="56082780">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本通知起草的主要依据包括：</w:t>
      </w:r>
    </w:p>
    <w:p w14:paraId="094B068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《注册建造师管理规定》（建设部令第153号）：规定了注册建造师的注册、执业、监督管理等基本制度。</w:t>
      </w:r>
    </w:p>
    <w:p w14:paraId="3A7FBF5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《注册建造师执业管理办法（试行）》（建市〔2008〕48号）：第九条规定注册建造师不得同时担任两个及以上建设工程施工项目负责人；第十条规定注册建造师担任施工项目负责人期间原则上不得更换。</w:t>
      </w:r>
    </w:p>
    <w:p w14:paraId="763CA46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《广东省住房和城乡建设厅关于广东省建筑市场监管公共服务平台改进应用的通知》（粤建市函〔2018〕1564号） ：对省级平台中关键岗位人员的锁定与解锁条件作出了规定。</w:t>
      </w:r>
    </w:p>
    <w:p w14:paraId="639D321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《广东省促进建筑业高质量发展若干措施》（粤府办〔2021〕11号）。</w:t>
      </w:r>
    </w:p>
    <w:p w14:paraId="4612274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5.其他地市文件《广州市住房和城乡建设局 广州市交通运输局关于调整项目负责人变更和解锁指引的通知》（穗建筑〔2020〕294号）。</w:t>
      </w:r>
    </w:p>
    <w:p w14:paraId="021EFFA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6.其他地市文件《肇庆市住房和城乡建设局关于办理“三库一平台”管理信息服务系统“关键岗位人员解锁、竣工验收备案”事项的通知》</w:t>
      </w:r>
    </w:p>
    <w:p w14:paraId="4661211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三、起草过程</w:t>
      </w:r>
    </w:p>
    <w:p w14:paraId="06D0E1D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本通知由湛江市住房和城乡建设局牵头起草。起草过程中，我</w:t>
      </w:r>
      <w:r>
        <w:rPr>
          <w:rFonts w:hint="eastAsia" w:ascii="方正仿宋_GB2312" w:hAnsi="方正仿宋_GB2312" w:eastAsia="方正仿宋_GB2312" w:cs="方正仿宋_GB2312"/>
          <w:sz w:val="32"/>
          <w:szCs w:val="32"/>
          <w:lang w:val="en-US" w:eastAsia="zh-CN"/>
        </w:rPr>
        <w:t>局</w:t>
      </w:r>
      <w:r>
        <w:rPr>
          <w:rFonts w:hint="eastAsia" w:ascii="方正仿宋_GB2312" w:hAnsi="方正仿宋_GB2312" w:eastAsia="方正仿宋_GB2312" w:cs="方正仿宋_GB2312"/>
          <w:sz w:val="32"/>
          <w:szCs w:val="32"/>
        </w:rPr>
        <w:t>系统梳理了现行法律法规及上级政策文件关于项目经理锁定管理的相关规定，</w:t>
      </w:r>
      <w:r>
        <w:rPr>
          <w:rFonts w:hint="eastAsia" w:ascii="方正仿宋_GB2312" w:hAnsi="方正仿宋_GB2312" w:eastAsia="方正仿宋_GB2312" w:cs="方正仿宋_GB2312"/>
          <w:sz w:val="32"/>
          <w:szCs w:val="32"/>
          <w:lang w:val="en-US" w:eastAsia="zh-CN"/>
        </w:rPr>
        <w:t>学习</w:t>
      </w:r>
      <w:r>
        <w:rPr>
          <w:rFonts w:hint="eastAsia" w:ascii="方正仿宋_GB2312" w:hAnsi="方正仿宋_GB2312" w:eastAsia="方正仿宋_GB2312" w:cs="方正仿宋_GB2312"/>
          <w:sz w:val="32"/>
          <w:szCs w:val="32"/>
        </w:rPr>
        <w:t>了广州市、肇庆市等先进地市的经验做法，并征求了相关业务科室及各县（市、区）住建部门的意见。在综合各方意见的基础上，经多次修改完善，形成了本送审稿。</w:t>
      </w:r>
    </w:p>
    <w:p w14:paraId="6EC0F79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四、主要内容</w:t>
      </w:r>
    </w:p>
    <w:p w14:paraId="34DA440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本通知共分四个部分：</w:t>
      </w:r>
    </w:p>
    <w:p w14:paraId="66889F4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第一部分“总体原则”（共三条）。</w:t>
      </w:r>
      <w:r>
        <w:rPr>
          <w:rFonts w:hint="eastAsia" w:ascii="方正仿宋_GB2312" w:hAnsi="方正仿宋_GB2312" w:eastAsia="方正仿宋_GB2312" w:cs="方正仿宋_GB2312"/>
          <w:sz w:val="32"/>
          <w:szCs w:val="32"/>
        </w:rPr>
        <w:t>明确了项目经理解锁管理应遵循的三项基本原则：依法依规原则、实事求是原则、权责一致原则。其中，“谁核发、谁办理”明确了解锁事项的办理主体为施工许可核发部门。</w:t>
      </w:r>
    </w:p>
    <w:p w14:paraId="5B31A84B">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第二部分“解锁适用情形及条件”（共三种情形）。</w:t>
      </w:r>
      <w:r>
        <w:rPr>
          <w:rFonts w:hint="eastAsia" w:ascii="方正仿宋_GB2312" w:hAnsi="方正仿宋_GB2312" w:eastAsia="方正仿宋_GB2312" w:cs="方正仿宋_GB2312"/>
          <w:sz w:val="32"/>
          <w:szCs w:val="32"/>
        </w:rPr>
        <w:t>区分项目竣工验收备案、竣工验收但未备案、中途停工三种不同情形，分别设定了相应的解锁条件和申请材料要求。其中停工解锁的“连续停工满120天”标准，与《注册建造师执业管理办法（试行）》第九条第三项的规定保持一致。同时，针对建设单位不予配合或已破产注销等特殊情况，设定了司法和行政救济路径。</w:t>
      </w:r>
    </w:p>
    <w:p w14:paraId="60808436">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第三部分“不予解锁的情形”（共四项）。</w:t>
      </w:r>
      <w:r>
        <w:rPr>
          <w:rFonts w:hint="eastAsia" w:ascii="方正仿宋_GB2312" w:hAnsi="方正仿宋_GB2312" w:eastAsia="方正仿宋_GB2312" w:cs="方正仿宋_GB2312"/>
          <w:sz w:val="32"/>
          <w:szCs w:val="32"/>
        </w:rPr>
        <w:t>明确了在工程质量安全隐患未整改完毕、拖欠农民工工资未解决、存在与工程质量安全或合同履行直接相关的法律纠纷等情形下，不予办理项目经理解锁。该部分旨在防止通过解锁规避质量安全责任和法律责任。</w:t>
      </w:r>
    </w:p>
    <w:p w14:paraId="78504EF0">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第四部分“监督管理”（共三条）。</w:t>
      </w:r>
      <w:r>
        <w:rPr>
          <w:rFonts w:hint="eastAsia" w:ascii="方正仿宋_GB2312" w:hAnsi="方正仿宋_GB2312" w:eastAsia="方正仿宋_GB2312" w:cs="方正仿宋_GB2312"/>
          <w:sz w:val="32"/>
          <w:szCs w:val="32"/>
        </w:rPr>
        <w:t>分别规定了建设单位和施工企业的责任、项目经理的权利保障机制</w:t>
      </w:r>
      <w:bookmarkStart w:id="0" w:name="_GoBack"/>
      <w:r>
        <w:rPr>
          <w:rFonts w:hint="eastAsia" w:ascii="方正仿宋_GB2312" w:hAnsi="方正仿宋_GB2312" w:eastAsia="方正仿宋_GB2312" w:cs="方正仿宋_GB2312"/>
          <w:sz w:val="32"/>
          <w:szCs w:val="32"/>
        </w:rPr>
        <w:t>、以及</w:t>
      </w:r>
      <w:bookmarkEnd w:id="0"/>
      <w:r>
        <w:rPr>
          <w:rFonts w:hint="eastAsia" w:ascii="方正仿宋_GB2312" w:hAnsi="方正仿宋_GB2312" w:eastAsia="方正仿宋_GB2312" w:cs="方正仿宋_GB2312"/>
          <w:sz w:val="32"/>
          <w:szCs w:val="32"/>
        </w:rPr>
        <w:t>解锁后的后续衔接管理要求。其中特别规定，项目经理办理解锁不免除其担任原工程项目经理期间依法应当承担的质量安全终身责任。</w:t>
      </w:r>
    </w:p>
    <w:p w14:paraId="6CB53D7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附件为《项目经理解锁申请表》，明确了申请解锁所需填写的基本信息和各方意见。</w:t>
      </w:r>
    </w:p>
    <w:p w14:paraId="124852E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五、需要说明的几个问题</w:t>
      </w:r>
    </w:p>
    <w:p w14:paraId="3816B8D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楷体" w:hAnsi="楷体" w:eastAsia="楷体" w:cs="楷体"/>
          <w:sz w:val="32"/>
          <w:szCs w:val="32"/>
        </w:rPr>
        <w:t>（一）关于停工解锁的“120天”标准</w:t>
      </w:r>
      <w:r>
        <w:rPr>
          <w:rFonts w:hint="eastAsia" w:ascii="楷体" w:hAnsi="楷体" w:eastAsia="楷体" w:cs="楷体"/>
          <w:sz w:val="32"/>
          <w:szCs w:val="32"/>
          <w:lang w:eastAsia="zh-CN"/>
        </w:rPr>
        <w:t>。</w:t>
      </w:r>
      <w:r>
        <w:rPr>
          <w:rFonts w:hint="eastAsia" w:ascii="方正仿宋_GB2312" w:hAnsi="方正仿宋_GB2312" w:eastAsia="方正仿宋_GB2312" w:cs="方正仿宋_GB2312"/>
          <w:sz w:val="32"/>
          <w:szCs w:val="32"/>
        </w:rPr>
        <w:t>本通知规定工程项目因非施工单位原因停工，连续停工满120天方可申请解锁。该标准直接援引《注册建造师执业管理办法（试行）》第九条第三项的规定，具有充分的上位法依据。同时，为防止施工企业或项目经理通过短期停工规避锁定管理，通知明确“其间若有任何复工（含部分复工），则停工时间中断，须以最后一次复工后重新签发的停工文件所载起始日重新计算”。</w:t>
      </w:r>
    </w:p>
    <w:p w14:paraId="7548746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楷体" w:hAnsi="楷体" w:eastAsia="楷体" w:cs="楷体"/>
          <w:sz w:val="32"/>
          <w:szCs w:val="32"/>
        </w:rPr>
        <w:t>（二）关于建设单位配合义务</w:t>
      </w:r>
      <w:r>
        <w:rPr>
          <w:rFonts w:hint="eastAsia" w:ascii="楷体" w:hAnsi="楷体" w:eastAsia="楷体" w:cs="楷体"/>
          <w:sz w:val="32"/>
          <w:szCs w:val="32"/>
          <w:lang w:eastAsia="zh-CN"/>
        </w:rPr>
        <w:t>。</w:t>
      </w:r>
      <w:r>
        <w:rPr>
          <w:rFonts w:hint="eastAsia" w:ascii="方正仿宋_GB2312" w:hAnsi="方正仿宋_GB2312" w:eastAsia="方正仿宋_GB2312" w:cs="方正仿宋_GB2312"/>
          <w:sz w:val="32"/>
          <w:szCs w:val="32"/>
        </w:rPr>
        <w:t>在实际工作中，部分建设单位因各种原因拒绝或拖延出具同意解锁的书面意见，导致施工企业和项目经理的合法权益无法实现。通知在要求建设单位积极配合的同时，针对建设单位无正当理由不予配合、以及建设单位已破产注销等无法配合的情形，分别设定了凭生效裁判文书或相关法律文书申请解锁的救济路径，切实保障了施工企业和项目经理的合法权益。</w:t>
      </w:r>
    </w:p>
    <w:p w14:paraId="2CEBA05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楷体" w:hAnsi="楷体" w:eastAsia="楷体" w:cs="楷体"/>
          <w:sz w:val="32"/>
          <w:szCs w:val="32"/>
        </w:rPr>
        <w:t>（三）关于不予解锁的适用</w:t>
      </w:r>
      <w:r>
        <w:rPr>
          <w:rFonts w:hint="eastAsia" w:ascii="楷体" w:hAnsi="楷体" w:eastAsia="楷体" w:cs="楷体"/>
          <w:sz w:val="32"/>
          <w:szCs w:val="32"/>
          <w:lang w:eastAsia="zh-CN"/>
        </w:rPr>
        <w:t>。</w:t>
      </w:r>
      <w:r>
        <w:rPr>
          <w:rFonts w:hint="eastAsia" w:ascii="方正仿宋_GB2312" w:hAnsi="方正仿宋_GB2312" w:eastAsia="方正仿宋_GB2312" w:cs="方正仿宋_GB2312"/>
          <w:sz w:val="32"/>
          <w:szCs w:val="32"/>
        </w:rPr>
        <w:t>通知第三部分明确了几种不予解锁的情形，包括存在质量安全隐患未整改、拖欠农民工工资未解决、存在相关法律纠纷尚未处理完毕等。需要说明的是，这些不予解锁情形仅适用于“竣工验收但未备案”和“中途停工”两种解锁情形，已竣工验收备案的项目不受此限制。</w:t>
      </w:r>
    </w:p>
    <w:p w14:paraId="1EDA11E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楷体" w:hAnsi="楷体" w:eastAsia="楷体" w:cs="楷体"/>
          <w:sz w:val="32"/>
          <w:szCs w:val="32"/>
          <w:lang w:eastAsia="zh-CN"/>
        </w:rPr>
        <w:t>（四）关于项目经理的权利保障。</w:t>
      </w:r>
      <w:r>
        <w:rPr>
          <w:rFonts w:hint="eastAsia" w:ascii="方正仿宋_GB2312" w:hAnsi="方正仿宋_GB2312" w:eastAsia="方正仿宋_GB2312" w:cs="方正仿宋_GB2312"/>
          <w:sz w:val="32"/>
          <w:szCs w:val="32"/>
        </w:rPr>
        <w:t>通知明确规定，项目经理已与原施工企业解除劳动合同，而原施工企业无正当理由不予配合办理解锁的，项目经理可以凭劳动争议仲裁裁决书或人民法院生效判决书，向项目所在地住房城乡建设部门申请办理解锁。这一规定有效保障了项目经理作为自然人的执业自由和劳动权利。</w:t>
      </w:r>
    </w:p>
    <w:p w14:paraId="48D81750">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14:paraId="6F12B9BF">
      <w:pPr>
        <w:keepNext w:val="0"/>
        <w:keepLines w:val="0"/>
        <w:pageBreakBefore w:val="0"/>
        <w:kinsoku/>
        <w:wordWrap/>
        <w:topLinePunct w:val="0"/>
        <w:autoSpaceDE/>
        <w:autoSpaceDN/>
        <w:bidi w:val="0"/>
        <w:adjustRightInd/>
        <w:snapToGrid/>
        <w:spacing w:line="560" w:lineRule="exact"/>
        <w:textAlignment w:val="auto"/>
      </w:pPr>
    </w:p>
    <w:p w14:paraId="427F4A5B">
      <w:pPr>
        <w:keepNext w:val="0"/>
        <w:keepLines w:val="0"/>
        <w:pageBreakBefore w:val="0"/>
        <w:kinsoku/>
        <w:wordWrap/>
        <w:topLinePunct w:val="0"/>
        <w:autoSpaceDE/>
        <w:autoSpaceDN/>
        <w:bidi w:val="0"/>
        <w:adjustRightInd/>
        <w:snapToGrid/>
        <w:spacing w:line="560" w:lineRule="exact"/>
        <w:textAlignment w:val="auto"/>
      </w:pPr>
    </w:p>
    <w:p w14:paraId="3E5156F4">
      <w:pPr>
        <w:keepNext w:val="0"/>
        <w:keepLines w:val="0"/>
        <w:pageBreakBefore w:val="0"/>
        <w:kinsoku/>
        <w:wordWrap/>
        <w:topLinePunct w:val="0"/>
        <w:autoSpaceDE/>
        <w:autoSpaceDN/>
        <w:bidi w:val="0"/>
        <w:adjustRightInd/>
        <w:snapToGrid/>
        <w:spacing w:line="560" w:lineRule="exact"/>
        <w:textAlignment w:val="auto"/>
      </w:pPr>
    </w:p>
    <w:p w14:paraId="1E1EA673">
      <w:pPr>
        <w:keepNext w:val="0"/>
        <w:keepLines w:val="0"/>
        <w:pageBreakBefore w:val="0"/>
        <w:kinsoku/>
        <w:wordWrap/>
        <w:topLinePunct w:val="0"/>
        <w:autoSpaceDE/>
        <w:autoSpaceDN/>
        <w:bidi w:val="0"/>
        <w:adjustRightInd/>
        <w:snapToGrid/>
        <w:spacing w:line="560" w:lineRule="exact"/>
        <w:textAlignment w:val="auto"/>
      </w:pPr>
    </w:p>
    <w:p w14:paraId="344304C9">
      <w:pPr>
        <w:keepNext w:val="0"/>
        <w:keepLines w:val="0"/>
        <w:pageBreakBefore w:val="0"/>
        <w:kinsoku/>
        <w:wordWrap/>
        <w:topLinePunct w:val="0"/>
        <w:autoSpaceDE/>
        <w:autoSpaceDN/>
        <w:bidi w:val="0"/>
        <w:adjustRightInd/>
        <w:snapToGrid/>
        <w:spacing w:line="560" w:lineRule="exact"/>
        <w:textAlignment w:val="auto"/>
      </w:pPr>
    </w:p>
    <w:p w14:paraId="3E526C9E">
      <w:pPr>
        <w:keepNext w:val="0"/>
        <w:keepLines w:val="0"/>
        <w:pageBreakBefore w:val="0"/>
        <w:kinsoku/>
        <w:wordWrap/>
        <w:topLinePunct w:val="0"/>
        <w:autoSpaceDE/>
        <w:autoSpaceDN/>
        <w:bidi w:val="0"/>
        <w:adjustRightInd/>
        <w:snapToGrid/>
        <w:spacing w:line="560" w:lineRule="exact"/>
        <w:textAlignment w:val="auto"/>
      </w:pPr>
    </w:p>
    <w:p w14:paraId="24CC5BBA">
      <w:pPr>
        <w:keepNext w:val="0"/>
        <w:keepLines w:val="0"/>
        <w:pageBreakBefore w:val="0"/>
        <w:kinsoku/>
        <w:wordWrap/>
        <w:topLinePunct w:val="0"/>
        <w:autoSpaceDE/>
        <w:autoSpaceDN/>
        <w:bidi w:val="0"/>
        <w:adjustRightInd/>
        <w:snapToGrid/>
        <w:spacing w:line="560" w:lineRule="exact"/>
        <w:textAlignment w:val="auto"/>
      </w:pPr>
    </w:p>
    <w:p w14:paraId="5ABD9E8B">
      <w:pPr>
        <w:keepNext w:val="0"/>
        <w:keepLines w:val="0"/>
        <w:pageBreakBefore w:val="0"/>
        <w:kinsoku/>
        <w:wordWrap/>
        <w:topLinePunct w:val="0"/>
        <w:autoSpaceDE/>
        <w:autoSpaceDN/>
        <w:bidi w:val="0"/>
        <w:adjustRightInd/>
        <w:snapToGrid/>
        <w:spacing w:line="560" w:lineRule="exact"/>
        <w:textAlignment w:val="auto"/>
      </w:pPr>
    </w:p>
    <w:p w14:paraId="49CB421F">
      <w:pPr>
        <w:keepNext w:val="0"/>
        <w:keepLines w:val="0"/>
        <w:pageBreakBefore w:val="0"/>
        <w:kinsoku/>
        <w:wordWrap/>
        <w:topLinePunct w:val="0"/>
        <w:autoSpaceDE/>
        <w:autoSpaceDN/>
        <w:bidi w:val="0"/>
        <w:adjustRightInd/>
        <w:snapToGrid/>
        <w:spacing w:line="560" w:lineRule="exact"/>
        <w:textAlignment w:val="auto"/>
      </w:pPr>
    </w:p>
    <w:p w14:paraId="1BBB9F39">
      <w:pPr>
        <w:keepNext w:val="0"/>
        <w:keepLines w:val="0"/>
        <w:pageBreakBefore w:val="0"/>
        <w:kinsoku/>
        <w:wordWrap/>
        <w:topLinePunct w:val="0"/>
        <w:autoSpaceDE/>
        <w:autoSpaceDN/>
        <w:bidi w:val="0"/>
        <w:adjustRightInd/>
        <w:snapToGrid/>
        <w:spacing w:line="560" w:lineRule="exact"/>
        <w:textAlignment w:val="auto"/>
      </w:pPr>
    </w:p>
    <w:p w14:paraId="1B328058">
      <w:pPr>
        <w:keepNext w:val="0"/>
        <w:keepLines w:val="0"/>
        <w:pageBreakBefore w:val="0"/>
        <w:kinsoku/>
        <w:wordWrap/>
        <w:topLinePunct w:val="0"/>
        <w:autoSpaceDE/>
        <w:autoSpaceDN/>
        <w:bidi w:val="0"/>
        <w:adjustRightInd/>
        <w:snapToGrid/>
        <w:spacing w:line="560" w:lineRule="exact"/>
        <w:textAlignment w:val="auto"/>
      </w:pPr>
    </w:p>
    <w:p w14:paraId="283A9B26">
      <w:pPr>
        <w:keepNext w:val="0"/>
        <w:keepLines w:val="0"/>
        <w:pageBreakBefore w:val="0"/>
        <w:kinsoku/>
        <w:wordWrap/>
        <w:topLinePunct w:val="0"/>
        <w:autoSpaceDE/>
        <w:autoSpaceDN/>
        <w:bidi w:val="0"/>
        <w:adjustRightInd/>
        <w:snapToGrid/>
        <w:spacing w:line="560" w:lineRule="exact"/>
        <w:textAlignment w:val="auto"/>
      </w:pPr>
    </w:p>
    <w:p w14:paraId="35DEA55B">
      <w:pPr>
        <w:keepNext w:val="0"/>
        <w:keepLines w:val="0"/>
        <w:pageBreakBefore w:val="0"/>
        <w:kinsoku/>
        <w:wordWrap/>
        <w:topLinePunct w:val="0"/>
        <w:autoSpaceDE/>
        <w:autoSpaceDN/>
        <w:bidi w:val="0"/>
        <w:adjustRightInd/>
        <w:snapToGrid/>
        <w:spacing w:line="560" w:lineRule="exact"/>
        <w:textAlignment w:val="auto"/>
      </w:pPr>
    </w:p>
    <w:p w14:paraId="3E558EA9">
      <w:pPr>
        <w:keepNext w:val="0"/>
        <w:keepLines w:val="0"/>
        <w:pageBreakBefore w:val="0"/>
        <w:kinsoku/>
        <w:wordWrap/>
        <w:topLinePunct w:val="0"/>
        <w:autoSpaceDE/>
        <w:autoSpaceDN/>
        <w:bidi w:val="0"/>
        <w:adjustRightInd/>
        <w:snapToGrid/>
        <w:spacing w:line="560" w:lineRule="exact"/>
        <w:textAlignment w:val="auto"/>
      </w:pPr>
    </w:p>
    <w:p w14:paraId="753F6454">
      <w:pPr>
        <w:keepNext w:val="0"/>
        <w:keepLines w:val="0"/>
        <w:pageBreakBefore w:val="0"/>
        <w:kinsoku/>
        <w:wordWrap/>
        <w:topLinePunct w:val="0"/>
        <w:autoSpaceDE/>
        <w:autoSpaceDN/>
        <w:bidi w:val="0"/>
        <w:adjustRightInd/>
        <w:snapToGrid/>
        <w:spacing w:line="560" w:lineRule="exact"/>
        <w:textAlignment w:val="auto"/>
      </w:pPr>
    </w:p>
    <w:p w14:paraId="6E6C1962">
      <w:pPr>
        <w:keepNext w:val="0"/>
        <w:keepLines w:val="0"/>
        <w:pageBreakBefore w:val="0"/>
        <w:kinsoku/>
        <w:wordWrap/>
        <w:topLinePunct w:val="0"/>
        <w:autoSpaceDE/>
        <w:autoSpaceDN/>
        <w:bidi w:val="0"/>
        <w:adjustRightInd/>
        <w:snapToGrid/>
        <w:spacing w:line="560" w:lineRule="exact"/>
        <w:textAlignment w:val="auto"/>
      </w:pPr>
    </w:p>
    <w:p w14:paraId="0E1D2566">
      <w:pPr>
        <w:keepNext w:val="0"/>
        <w:keepLines w:val="0"/>
        <w:pageBreakBefore w:val="0"/>
        <w:kinsoku/>
        <w:wordWrap/>
        <w:topLinePunct w:val="0"/>
        <w:autoSpaceDE/>
        <w:autoSpaceDN/>
        <w:bidi w:val="0"/>
        <w:adjustRightInd/>
        <w:snapToGrid/>
        <w:spacing w:line="560" w:lineRule="exact"/>
        <w:textAlignment w:val="auto"/>
      </w:pPr>
    </w:p>
    <w:p w14:paraId="7E96967F">
      <w:pPr>
        <w:keepNext w:val="0"/>
        <w:keepLines w:val="0"/>
        <w:pageBreakBefore w:val="0"/>
        <w:kinsoku/>
        <w:wordWrap/>
        <w:topLinePunct w:val="0"/>
        <w:autoSpaceDE/>
        <w:autoSpaceDN/>
        <w:bidi w:val="0"/>
        <w:adjustRightInd/>
        <w:snapToGrid/>
        <w:spacing w:line="560" w:lineRule="exact"/>
        <w:textAlignment w:val="auto"/>
      </w:pPr>
    </w:p>
    <w:p w14:paraId="664F2302">
      <w:pPr>
        <w:keepNext w:val="0"/>
        <w:keepLines w:val="0"/>
        <w:pageBreakBefore w:val="0"/>
        <w:kinsoku/>
        <w:wordWrap/>
        <w:topLinePunct w:val="0"/>
        <w:autoSpaceDE/>
        <w:autoSpaceDN/>
        <w:bidi w:val="0"/>
        <w:adjustRightInd/>
        <w:snapToGrid/>
        <w:spacing w:line="560" w:lineRule="exact"/>
        <w:textAlignment w:val="auto"/>
      </w:pPr>
    </w:p>
    <w:p w14:paraId="6A62CBAA">
      <w:pPr>
        <w:keepNext w:val="0"/>
        <w:keepLines w:val="0"/>
        <w:pageBreakBefore w:val="0"/>
        <w:kinsoku/>
        <w:wordWrap/>
        <w:topLinePunct w:val="0"/>
        <w:autoSpaceDE/>
        <w:autoSpaceDN/>
        <w:bidi w:val="0"/>
        <w:adjustRightInd/>
        <w:snapToGrid/>
        <w:spacing w:line="560" w:lineRule="exact"/>
        <w:textAlignment w:val="auto"/>
      </w:pPr>
    </w:p>
    <w:p w14:paraId="3B3D4B30">
      <w:pPr>
        <w:keepNext w:val="0"/>
        <w:keepLines w:val="0"/>
        <w:pageBreakBefore w:val="0"/>
        <w:kinsoku/>
        <w:wordWrap/>
        <w:topLinePunct w:val="0"/>
        <w:autoSpaceDE/>
        <w:autoSpaceDN/>
        <w:bidi w:val="0"/>
        <w:adjustRightInd/>
        <w:snapToGrid/>
        <w:spacing w:line="560" w:lineRule="exact"/>
        <w:textAlignment w:val="auto"/>
      </w:pPr>
    </w:p>
    <w:p w14:paraId="4D7CB256">
      <w:pPr>
        <w:keepNext w:val="0"/>
        <w:keepLines w:val="0"/>
        <w:pageBreakBefore w:val="0"/>
        <w:kinsoku/>
        <w:wordWrap/>
        <w:topLinePunct w:val="0"/>
        <w:autoSpaceDE/>
        <w:autoSpaceDN/>
        <w:bidi w:val="0"/>
        <w:adjustRightInd/>
        <w:snapToGrid/>
        <w:spacing w:line="560" w:lineRule="exact"/>
        <w:textAlignment w:val="auto"/>
      </w:pPr>
    </w:p>
    <w:p w14:paraId="24C213A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1B63D5"/>
    <w:rsid w:val="44341BFD"/>
    <w:rsid w:val="5E1B6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a4737b84-2ba5-413e-9ab0-09ec15e28468</errorID>
      <errorWord>、以及</errorWord>
      <group>L1_Punc</group>
      <groupName>标点问题</groupName>
      <ability>L2_Punc_CN</ability>
      <abilityName>标点符号问题</abilityName>
      <candidateList>
        <item>，以及</item>
      </candidateList>
      <explain>连接词前后不宜使用顿号，建议使用逗号。</explain>
      <paraID>78504EF0</paraID>
      <start>45</start>
      <end>48</end>
      <status>ignored</status>
      <modifiedWord/>
      <trackRevisions>false</trackRevisions>
    </reviewItem>
    <reviewItem>
      <errorID>9216d7fb-0a9a-4619-adc1-a3e2a19964be</errorID>
      <errorWord>日重新计算</errorWord>
      <group>L1_Word</group>
      <groupName>字词问题</groupName>
      <ability>L2_Typo</ability>
      <abilityName>字词错误</abilityName>
      <candidateList>
        <item>日起重新计算</item>
      </candidateList>
      <explain/>
      <paraID>3816B8DA</paraID>
      <start>179</start>
      <end>184</end>
      <status>ignored</status>
      <modifiedWord/>
      <trackRevisions>false</trackRevisions>
    </reviewItem>
    <reviewItem>
      <errorID>1504585c-1a15-4630-be07-8d52fa2651f5</errorID>
      <errorWord>、以及</errorWord>
      <group>L1_Punc</group>
      <groupName>标点问题</groupName>
      <ability>L2_Punc_CN</ability>
      <abilityName>标点符号问题</abilityName>
      <candidateList>
        <item>，以及</item>
      </candidateList>
      <explain>连接词前后不宜使用顿号，建议使用逗号。</explain>
      <paraID>75487469</paraID>
      <start>102</start>
      <end>105</end>
      <status>ignored</status>
      <modifiedWord/>
      <trackRevisions>false</trackRevisions>
    </reviewItem>
  </reviewItems>
  <config/>
</contractReview>
</file>

<file path=customXml/itemProps1.xml><?xml version="1.0" encoding="utf-8"?>
<ds:datastoreItem xmlns:ds="http://schemas.openxmlformats.org/officeDocument/2006/customXml" ds:itemID="{b35f1ff8-ae32-4830-8ab9-09c31bf0c8c4}">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2268</Words>
  <Characters>2311</Characters>
  <Lines>0</Lines>
  <Paragraphs>0</Paragraphs>
  <TotalTime>0</TotalTime>
  <ScaleCrop>false</ScaleCrop>
  <LinksUpToDate>false</LinksUpToDate>
  <CharactersWithSpaces>2313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2026-09-09T07:45:00Z</dcterms:created>
  <dc:creator>WPS_1746354525</dc:creator>
  <cp:lastModifiedBy>WPS_1746354525</cp:lastModifiedBy>
  <dcterms:modified xsi:type="dcterms:W3CDTF">2026-09-15T09:14:15Z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062F2616871E4265B07A49B094EA91FE_11</vt:lpwstr>
  </property>
  <property fmtid="{D5CDD505-2E9C-101B-9397-08002B2CF9AE}" pid="4" name="KSOTemplateDocerSaveRecord">
    <vt:lpwstr>eyJoZGlkIjoiOTM1NDA3NmFjMDBlYmVkYjM2NGU0OTVlYmQ1Y2EyNWQiLCJ1c2VySWQiOiIxNzAwMDg5MTk2In0=</vt:lpwstr>
  </property>
</Properties>
</file>