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ECB9A">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46CDD31A">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38D9C8B2">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eastAsia" w:ascii="Times New Roman" w:hAnsi="Times New Roman" w:eastAsia="仿宋_GB2312" w:cs="Times New Roman"/>
          <w:highlight w:val="none"/>
          <w:u w:val="none"/>
          <w:lang w:eastAsia="zh-CN"/>
        </w:rPr>
      </w:pPr>
      <w:r>
        <w:rPr>
          <w:rFonts w:hint="default" w:ascii="Times New Roman" w:hAnsi="Times New Roman" w:cs="Times New Roman"/>
          <w:highlight w:val="none"/>
          <w:u w:val="none"/>
        </w:rPr>
        <w:fldChar w:fldCharType="begin">
          <w:fldData xml:space="preserve">ZQBKAHoAdABYAFEAdAAwAFUAMQBXADYAMwBxAGQASgBrADkATgBOAGsAWgBvAGkAWQB0AFYATABU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=
</w:fldData>
        </w:fldChar>
      </w:r>
      <w:r>
        <w:rPr>
          <w:rFonts w:hint="eastAsia" w:cs="Times New Roman"/>
          <w:highlight w:val="none"/>
          <w:u w:val="none"/>
          <w:lang w:eastAsia="zh-CN"/>
        </w:rPr>
        <w:instrText xml:space="preserve">ADDIN CNKISM.UserStyle</w:instrText>
      </w:r>
      <w:r>
        <w:rPr>
          <w:rFonts w:hint="default" w:ascii="Times New Roman" w:hAnsi="Times New Roman" w:cs="Times New Roman"/>
          <w:highlight w:val="none"/>
          <w:u w:val="none"/>
        </w:rPr>
        <w:fldChar w:fldCharType="separate"/>
      </w:r>
      <w:r>
        <w:rPr>
          <w:rFonts w:hint="default" w:ascii="Times New Roman" w:hAnsi="Times New Roman" w:cs="Times New Roman"/>
          <w:highlight w:val="none"/>
          <w:u w:val="none"/>
        </w:rPr>
        <w:fldChar w:fldCharType="end"/>
      </w:r>
    </w:p>
    <w:p w14:paraId="6E7C8E62">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4DC56CD0">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552C4DB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left="0" w:leftChars="0" w:firstLine="0" w:firstLineChars="0"/>
        <w:jc w:val="center"/>
        <w:textAlignment w:val="auto"/>
        <w:outlineLvl w:val="9"/>
        <w:rPr>
          <w:rFonts w:hint="default" w:ascii="小标宋" w:hAnsi="小标宋" w:eastAsia="小标宋" w:cs="小标宋"/>
          <w:kern w:val="2"/>
          <w:sz w:val="44"/>
          <w:szCs w:val="44"/>
          <w:highlight w:val="none"/>
          <w:u w:val="none"/>
          <w:lang w:val="en-US" w:eastAsia="zh-CN" w:bidi="ar-SA"/>
        </w:rPr>
      </w:pPr>
      <w:r>
        <w:rPr>
          <w:rFonts w:hint="eastAsia" w:ascii="小标宋" w:hAnsi="小标宋" w:eastAsia="小标宋" w:cs="小标宋"/>
          <w:kern w:val="2"/>
          <w:sz w:val="44"/>
          <w:szCs w:val="44"/>
          <w:highlight w:val="none"/>
          <w:u w:val="none"/>
          <w:lang w:val="en-US" w:eastAsia="zh-CN" w:bidi="ar-SA"/>
        </w:rPr>
        <w:t>湛江市</w:t>
      </w:r>
      <w:r>
        <w:rPr>
          <w:rFonts w:hint="eastAsia" w:ascii="仿宋_GB2312" w:hAnsi="仿宋_GB2312" w:eastAsia="仿宋_GB2312" w:cs="小标宋"/>
          <w:kern w:val="2"/>
          <w:sz w:val="44"/>
          <w:szCs w:val="44"/>
          <w:highlight w:val="none"/>
          <w:u w:val="none"/>
          <w:lang w:val="en-US" w:eastAsia="zh-CN" w:bidi="ar-SA"/>
        </w:rPr>
        <w:t>“</w:t>
      </w:r>
      <w:r>
        <w:rPr>
          <w:rFonts w:hint="default" w:ascii="小标宋" w:hAnsi="小标宋" w:eastAsia="小标宋" w:cs="小标宋"/>
          <w:kern w:val="2"/>
          <w:sz w:val="44"/>
          <w:szCs w:val="44"/>
          <w:highlight w:val="none"/>
          <w:u w:val="none"/>
          <w:lang w:val="en-US" w:eastAsia="zh-CN" w:bidi="ar-SA"/>
        </w:rPr>
        <w:t>十五五</w:t>
      </w:r>
      <w:r>
        <w:rPr>
          <w:rFonts w:hint="eastAsia" w:ascii="仿宋_GB2312" w:hAnsi="仿宋_GB2312" w:eastAsia="仿宋_GB2312" w:cs="小标宋"/>
          <w:kern w:val="2"/>
          <w:sz w:val="44"/>
          <w:szCs w:val="44"/>
          <w:highlight w:val="none"/>
          <w:u w:val="none"/>
          <w:lang w:val="en-US" w:eastAsia="zh-CN" w:bidi="ar-SA"/>
        </w:rPr>
        <w:t>”</w:t>
      </w:r>
      <w:r>
        <w:rPr>
          <w:rFonts w:hint="default" w:ascii="小标宋" w:hAnsi="小标宋" w:eastAsia="小标宋" w:cs="小标宋"/>
          <w:kern w:val="2"/>
          <w:sz w:val="44"/>
          <w:szCs w:val="44"/>
          <w:highlight w:val="none"/>
          <w:u w:val="none"/>
          <w:lang w:val="en-US" w:eastAsia="zh-CN" w:bidi="ar-SA"/>
        </w:rPr>
        <w:t>住房发展规划</w:t>
      </w:r>
    </w:p>
    <w:p w14:paraId="41B8C421">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0" w:firstLineChars="0"/>
        <w:jc w:val="center"/>
        <w:textAlignment w:val="auto"/>
        <w:rPr>
          <w:rFonts w:hint="default" w:ascii="Times New Roman" w:hAnsi="Times New Roman" w:eastAsia="楷体_GB2312" w:cs="Times New Roman"/>
          <w:highlight w:val="none"/>
          <w:u w:val="none"/>
        </w:rPr>
      </w:pPr>
      <w:r>
        <w:rPr>
          <w:rFonts w:hint="default" w:ascii="Times New Roman" w:hAnsi="Times New Roman" w:eastAsia="楷体_GB2312" w:cs="Times New Roman"/>
          <w:highlight w:val="none"/>
          <w:u w:val="none"/>
        </w:rPr>
        <w:t>（</w:t>
      </w:r>
      <w:r>
        <w:rPr>
          <w:rFonts w:hint="eastAsia" w:eastAsia="楷体_GB2312" w:cs="Times New Roman"/>
          <w:highlight w:val="none"/>
          <w:u w:val="none"/>
          <w:lang w:val="en-US" w:eastAsia="zh-CN"/>
        </w:rPr>
        <w:t>文本</w:t>
      </w:r>
      <w:r>
        <w:rPr>
          <w:rFonts w:hint="default" w:ascii="Times New Roman" w:hAnsi="Times New Roman" w:eastAsia="楷体_GB2312" w:cs="Times New Roman"/>
          <w:highlight w:val="none"/>
          <w:u w:val="none"/>
        </w:rPr>
        <w:t>）</w:t>
      </w:r>
    </w:p>
    <w:p w14:paraId="2074A45F">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0" w:firstLineChars="0"/>
        <w:jc w:val="center"/>
        <w:textAlignment w:val="auto"/>
        <w:rPr>
          <w:rFonts w:hint="eastAsia" w:ascii="Times New Roman" w:hAnsi="Times New Roman" w:eastAsia="楷体_GB2312" w:cs="Times New Roman"/>
          <w:highlight w:val="none"/>
          <w:u w:val="none"/>
          <w:lang w:eastAsia="zh-CN"/>
        </w:rPr>
      </w:pPr>
      <w:r>
        <w:rPr>
          <w:rFonts w:hint="eastAsia" w:eastAsia="楷体_GB2312" w:cs="Times New Roman"/>
          <w:highlight w:val="none"/>
          <w:u w:val="none"/>
          <w:lang w:eastAsia="zh-CN"/>
        </w:rPr>
        <w:t>（</w:t>
      </w:r>
      <w:r>
        <w:rPr>
          <w:rFonts w:hint="eastAsia" w:eastAsia="楷体_GB2312" w:cs="Times New Roman"/>
          <w:highlight w:val="none"/>
          <w:u w:val="none"/>
          <w:lang w:val="en-US" w:eastAsia="zh-CN"/>
        </w:rPr>
        <w:t>征求意见稿</w:t>
      </w:r>
      <w:r>
        <w:rPr>
          <w:rFonts w:hint="eastAsia" w:eastAsia="楷体_GB2312" w:cs="Times New Roman"/>
          <w:highlight w:val="none"/>
          <w:u w:val="none"/>
          <w:lang w:eastAsia="zh-CN"/>
        </w:rPr>
        <w:t>）</w:t>
      </w:r>
    </w:p>
    <w:p w14:paraId="10D9C821">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4939AC57">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73B1231E">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49523BBB">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08C6CAFD">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03291753">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69D23D48">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45AC20BE">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15B7873B">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0BE813F8">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5D4B7B13">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79357700">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640" w:firstLineChars="200"/>
        <w:textAlignment w:val="auto"/>
        <w:rPr>
          <w:rFonts w:hint="default" w:ascii="Times New Roman" w:hAnsi="Times New Roman" w:cs="Times New Roman"/>
          <w:highlight w:val="none"/>
          <w:u w:val="none"/>
        </w:rPr>
      </w:pPr>
    </w:p>
    <w:p w14:paraId="60EB6392">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0" w:firstLineChars="0"/>
        <w:jc w:val="center"/>
        <w:textAlignment w:val="auto"/>
        <w:rPr>
          <w:rFonts w:hint="default" w:ascii="Times New Roman" w:hAnsi="Times New Roman" w:eastAsia="仿宋_GB2312" w:cs="Times New Roman"/>
          <w:highlight w:val="none"/>
          <w:u w:val="none"/>
          <w:lang w:val="en-US" w:eastAsia="zh-CN"/>
        </w:rPr>
      </w:pPr>
      <w:r>
        <w:rPr>
          <w:rFonts w:hint="eastAsia" w:ascii="Times New Roman" w:hAnsi="Times New Roman" w:cs="Times New Roman"/>
          <w:highlight w:val="none"/>
          <w:u w:val="none"/>
          <w:lang w:val="en-US" w:eastAsia="zh-CN"/>
        </w:rPr>
        <w:t>湛江市住房和城乡建设局</w:t>
      </w:r>
    </w:p>
    <w:p w14:paraId="402DB3F8">
      <w:pPr>
        <w:keepNext w:val="0"/>
        <w:keepLines w:val="0"/>
        <w:numPr>
          <w:ilvl w:val="-1"/>
          <w:numId w:val="0"/>
        </w:numPr>
        <w:kinsoku/>
        <w:wordWrap/>
        <w:overflowPunct/>
        <w:topLinePunct w:val="0"/>
        <w:autoSpaceDE/>
        <w:autoSpaceDN/>
        <w:bidi w:val="0"/>
        <w:adjustRightInd w:val="0"/>
        <w:snapToGrid w:val="0"/>
        <w:spacing w:beforeLines="0" w:afterLines="0" w:line="600" w:lineRule="exact"/>
        <w:ind w:left="0" w:leftChars="0" w:firstLine="0" w:firstLineChars="0"/>
        <w:jc w:val="center"/>
        <w:textAlignment w:val="auto"/>
        <w:rPr>
          <w:rFonts w:hint="default" w:ascii="Times New Roman" w:hAnsi="Times New Roman" w:cs="Times New Roman"/>
          <w:highlight w:val="none"/>
          <w:u w:val="none"/>
        </w:rPr>
      </w:pPr>
      <w:r>
        <w:rPr>
          <w:rFonts w:hint="default" w:ascii="Times New Roman" w:hAnsi="Times New Roman" w:cs="Times New Roman"/>
          <w:highlight w:val="none"/>
          <w:u w:val="none"/>
        </w:rPr>
        <w:t>202</w:t>
      </w:r>
      <w:r>
        <w:rPr>
          <w:rFonts w:hint="eastAsia" w:cs="Times New Roman"/>
          <w:highlight w:val="none"/>
          <w:u w:val="none"/>
          <w:lang w:val="en-US" w:eastAsia="zh-CN"/>
        </w:rPr>
        <w:t>6</w:t>
      </w:r>
      <w:r>
        <w:rPr>
          <w:rFonts w:hint="default" w:ascii="Times New Roman" w:hAnsi="Times New Roman" w:cs="Times New Roman"/>
          <w:highlight w:val="none"/>
          <w:u w:val="none"/>
        </w:rPr>
        <w:t>年</w:t>
      </w:r>
      <w:r>
        <w:rPr>
          <w:rFonts w:hint="eastAsia" w:cs="Times New Roman"/>
          <w:highlight w:val="none"/>
          <w:u w:val="none"/>
          <w:lang w:val="en-US" w:eastAsia="zh-CN"/>
        </w:rPr>
        <w:t>8</w:t>
      </w:r>
      <w:r>
        <w:rPr>
          <w:rFonts w:hint="default" w:ascii="Times New Roman" w:hAnsi="Times New Roman" w:cs="Times New Roman"/>
          <w:highlight w:val="none"/>
          <w:u w:val="none"/>
        </w:rPr>
        <w:t>月</w:t>
      </w:r>
    </w:p>
    <w:p w14:paraId="6D4369E3">
      <w:pPr>
        <w:spacing w:beforeLines="0" w:afterLines="0" w:line="600" w:lineRule="exact"/>
        <w:ind w:firstLine="0" w:firstLineChars="0"/>
        <w:jc w:val="left"/>
        <w:rPr>
          <w:rFonts w:hint="eastAsia" w:ascii="小标宋" w:hAnsi="小标宋" w:eastAsia="小标宋" w:cs="小标宋"/>
          <w:sz w:val="52"/>
          <w:szCs w:val="52"/>
          <w:highlight w:val="none"/>
          <w:lang w:val="en-US" w:eastAsia="zh-CN"/>
        </w:rPr>
        <w:sectPr>
          <w:footerReference r:id="rId5" w:type="default"/>
          <w:pgSz w:w="11906" w:h="16838"/>
          <w:pgMar w:top="1644" w:right="1474" w:bottom="1417"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sdt>
      <w:sdtPr>
        <w:rPr>
          <w:rFonts w:ascii="Times New Roman" w:hAnsi="Times New Roman" w:eastAsia="宋体" w:cs="仿宋_GB2312"/>
          <w:kern w:val="2"/>
          <w:sz w:val="21"/>
          <w:szCs w:val="32"/>
          <w:highlight w:val="none"/>
          <w:u w:val="none"/>
          <w:lang w:val="en-US" w:eastAsia="zh-CN" w:bidi="ar-SA"/>
        </w:rPr>
        <w:id w:val="147456364"/>
        <w15:color w:val="DBDBDB"/>
      </w:sdtPr>
      <w:sdtEndPr>
        <w:rPr>
          <w:rFonts w:ascii="Times New Roman" w:hAnsi="Times New Roman" w:eastAsia="仿宋_GB2312" w:cs="仿宋_GB2312"/>
          <w:kern w:val="2"/>
          <w:sz w:val="32"/>
          <w:szCs w:val="32"/>
          <w:highlight w:val="none"/>
          <w:u w:val="none"/>
          <w:lang w:val="en-US" w:eastAsia="zh-CN" w:bidi="ar-SA"/>
        </w:rPr>
      </w:sdtEndPr>
      <w:sdtContent>
        <w:p w14:paraId="0FFB6CB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left="0" w:leftChars="0" w:firstLine="420" w:firstLineChars="200"/>
            <w:jc w:val="center"/>
            <w:textAlignment w:val="auto"/>
            <w:rPr>
              <w:rFonts w:ascii="Times New Roman" w:hAnsi="Times New Roman" w:eastAsia="黑体" w:cs="仿宋_GB2312"/>
              <w:szCs w:val="32"/>
              <w:highlight w:val="none"/>
              <w:u w:val="none"/>
            </w:rPr>
          </w:pPr>
          <w:bookmarkStart w:id="0" w:name="_Toc196259724"/>
          <w:bookmarkStart w:id="1" w:name="_Toc15390"/>
          <w:bookmarkStart w:id="2" w:name="_Toc14541"/>
          <w:r>
            <w:rPr>
              <w:rFonts w:ascii="Times New Roman" w:hAnsi="Times New Roman" w:eastAsia="黑体" w:cs="仿宋_GB2312"/>
              <w:szCs w:val="32"/>
              <w:highlight w:val="none"/>
              <w:u w:val="none"/>
            </w:rPr>
            <w:t>目</w:t>
          </w:r>
          <w:r>
            <w:rPr>
              <w:rFonts w:hint="eastAsia" w:eastAsia="黑体" w:cs="仿宋_GB2312"/>
              <w:szCs w:val="32"/>
              <w:highlight w:val="none"/>
              <w:u w:val="none"/>
              <w:lang w:val="en-US" w:eastAsia="zh-CN"/>
            </w:rPr>
            <w:t xml:space="preserve"> </w:t>
          </w:r>
          <w:r>
            <w:rPr>
              <w:rFonts w:ascii="Times New Roman" w:hAnsi="Times New Roman" w:eastAsia="黑体" w:cs="仿宋_GB2312"/>
              <w:szCs w:val="32"/>
              <w:highlight w:val="none"/>
              <w:u w:val="none"/>
            </w:rPr>
            <w:t>录</w:t>
          </w:r>
        </w:p>
        <w:p w14:paraId="210921DE">
          <w:pPr>
            <w:pStyle w:val="15"/>
            <w:tabs>
              <w:tab w:val="right" w:leader="dot" w:pos="8845"/>
            </w:tabs>
          </w:pPr>
          <w:r>
            <w:rPr>
              <w:rFonts w:ascii="Times New Roman" w:hAnsi="Times New Roman" w:eastAsia="楷体_GB2312" w:cs="仿宋_GB2312"/>
              <w:kern w:val="2"/>
              <w:sz w:val="32"/>
              <w:szCs w:val="32"/>
              <w:highlight w:val="none"/>
              <w:u w:val="none"/>
              <w:lang w:val="en-US" w:eastAsia="zh-CN" w:bidi="ar-SA"/>
            </w:rPr>
            <w:fldChar w:fldCharType="begin"/>
          </w:r>
          <w:r>
            <w:rPr>
              <w:rFonts w:ascii="Times New Roman" w:hAnsi="Times New Roman" w:eastAsia="楷体_GB2312" w:cs="仿宋_GB2312"/>
              <w:kern w:val="2"/>
              <w:sz w:val="32"/>
              <w:szCs w:val="32"/>
              <w:highlight w:val="none"/>
              <w:u w:val="none"/>
              <w:lang w:val="en-US" w:eastAsia="zh-CN" w:bidi="ar-SA"/>
            </w:rPr>
            <w:instrText xml:space="preserve">TOC \o "1-2" \h \u </w:instrText>
          </w:r>
          <w:r>
            <w:rPr>
              <w:rFonts w:ascii="Times New Roman" w:hAnsi="Times New Roman" w:eastAsia="楷体_GB2312" w:cs="仿宋_GB2312"/>
              <w:kern w:val="2"/>
              <w:sz w:val="32"/>
              <w:szCs w:val="32"/>
              <w:highlight w:val="none"/>
              <w:u w:val="none"/>
              <w:lang w:val="en-US" w:eastAsia="zh-CN" w:bidi="ar-SA"/>
            </w:rPr>
            <w:fldChar w:fldCharType="separate"/>
          </w: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_Toc907 </w:instrText>
          </w:r>
          <w:r>
            <w:rPr>
              <w:rFonts w:ascii="Times New Roman" w:hAnsi="Times New Roman" w:eastAsia="楷体_GB2312" w:cs="仿宋_GB2312"/>
              <w:szCs w:val="32"/>
              <w:highlight w:val="none"/>
            </w:rPr>
            <w:fldChar w:fldCharType="separate"/>
          </w:r>
          <w:r>
            <w:rPr>
              <w:rFonts w:hint="eastAsia"/>
              <w:lang w:val="en-US" w:eastAsia="zh-CN"/>
            </w:rPr>
            <w:t xml:space="preserve">一、 </w:t>
          </w:r>
          <w:r>
            <w:rPr>
              <w:highlight w:val="none"/>
              <w:lang w:val="en-US" w:eastAsia="zh-CN"/>
            </w:rPr>
            <w:t>发展基础</w:t>
          </w:r>
          <w:r>
            <w:tab/>
          </w:r>
          <w:r>
            <w:fldChar w:fldCharType="begin"/>
          </w:r>
          <w:r>
            <w:instrText xml:space="preserve"> PAGEREF _Toc907 \h </w:instrText>
          </w:r>
          <w:r>
            <w:fldChar w:fldCharType="separate"/>
          </w:r>
          <w:r>
            <w:t>1</w:t>
          </w:r>
          <w:r>
            <w:fldChar w:fldCharType="end"/>
          </w:r>
          <w:r>
            <w:rPr>
              <w:rFonts w:ascii="Times New Roman" w:hAnsi="Times New Roman" w:eastAsia="楷体_GB2312" w:cs="仿宋_GB2312"/>
              <w:szCs w:val="32"/>
              <w:highlight w:val="none"/>
              <w:u w:val="none"/>
            </w:rPr>
            <w:fldChar w:fldCharType="end"/>
          </w:r>
        </w:p>
        <w:p w14:paraId="5064DCA7">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_Toc10546 </w:instrText>
          </w:r>
          <w:r>
            <w:rPr>
              <w:rFonts w:ascii="Times New Roman" w:hAnsi="Times New Roman" w:eastAsia="楷体_GB2312" w:cs="仿宋_GB2312"/>
              <w:szCs w:val="32"/>
              <w:highlight w:val="none"/>
            </w:rPr>
            <w:fldChar w:fldCharType="separate"/>
          </w:r>
          <w:r>
            <w:rPr>
              <w:highlight w:val="none"/>
              <w:lang w:val="en-US" w:eastAsia="zh-CN"/>
            </w:rPr>
            <w:t>（一）</w:t>
          </w:r>
          <w:r>
            <w:rPr>
              <w:rFonts w:hint="eastAsia"/>
              <w:highlight w:val="none"/>
              <w:lang w:val="en-US" w:eastAsia="zh-CN"/>
            </w:rPr>
            <w:t>发展</w:t>
          </w:r>
          <w:r>
            <w:rPr>
              <w:highlight w:val="none"/>
              <w:lang w:val="en-US" w:eastAsia="zh-CN"/>
            </w:rPr>
            <w:t>成效</w:t>
          </w:r>
          <w:r>
            <w:tab/>
          </w:r>
          <w:r>
            <w:fldChar w:fldCharType="begin"/>
          </w:r>
          <w:r>
            <w:instrText xml:space="preserve"> PAGEREF _Toc10546 \h </w:instrText>
          </w:r>
          <w:r>
            <w:fldChar w:fldCharType="separate"/>
          </w:r>
          <w:r>
            <w:t>1</w:t>
          </w:r>
          <w:r>
            <w:fldChar w:fldCharType="end"/>
          </w:r>
          <w:r>
            <w:rPr>
              <w:rFonts w:ascii="Times New Roman" w:hAnsi="Times New Roman" w:eastAsia="楷体_GB2312" w:cs="仿宋_GB2312"/>
              <w:szCs w:val="32"/>
              <w:highlight w:val="none"/>
              <w:u w:val="none"/>
            </w:rPr>
            <w:fldChar w:fldCharType="end"/>
          </w:r>
        </w:p>
        <w:p w14:paraId="47F81321">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_Toc17706 </w:instrText>
          </w:r>
          <w:r>
            <w:rPr>
              <w:rFonts w:ascii="Times New Roman" w:hAnsi="Times New Roman" w:eastAsia="楷体_GB2312" w:cs="仿宋_GB2312"/>
              <w:szCs w:val="32"/>
              <w:highlight w:val="none"/>
            </w:rPr>
            <w:fldChar w:fldCharType="separate"/>
          </w:r>
          <w:r>
            <w:rPr>
              <w:rFonts w:hint="eastAsia"/>
              <w:highlight w:val="none"/>
              <w:lang w:val="en-US" w:eastAsia="zh-CN"/>
            </w:rPr>
            <w:t>（二）存在问题</w:t>
          </w:r>
          <w:r>
            <w:tab/>
          </w:r>
          <w:r>
            <w:fldChar w:fldCharType="begin"/>
          </w:r>
          <w:r>
            <w:instrText xml:space="preserve"> PAGEREF _Toc17706 \h </w:instrText>
          </w:r>
          <w:r>
            <w:fldChar w:fldCharType="separate"/>
          </w:r>
          <w:r>
            <w:t>10</w:t>
          </w:r>
          <w:r>
            <w:fldChar w:fldCharType="end"/>
          </w:r>
          <w:r>
            <w:rPr>
              <w:rFonts w:ascii="Times New Roman" w:hAnsi="Times New Roman" w:eastAsia="楷体_GB2312" w:cs="仿宋_GB2312"/>
              <w:szCs w:val="32"/>
              <w:highlight w:val="none"/>
              <w:u w:val="none"/>
            </w:rPr>
            <w:fldChar w:fldCharType="end"/>
          </w:r>
        </w:p>
        <w:p w14:paraId="0D496AC0">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_Toc32744 </w:instrText>
          </w:r>
          <w:r>
            <w:rPr>
              <w:rFonts w:ascii="Times New Roman" w:hAnsi="Times New Roman" w:eastAsia="楷体_GB2312" w:cs="仿宋_GB2312"/>
              <w:szCs w:val="32"/>
              <w:highlight w:val="none"/>
            </w:rPr>
            <w:fldChar w:fldCharType="separate"/>
          </w:r>
          <w:r>
            <w:rPr>
              <w:rFonts w:hint="eastAsia"/>
              <w:highlight w:val="none"/>
              <w:lang w:val="en-US" w:eastAsia="zh-CN"/>
            </w:rPr>
            <w:t>（三）发展形势与要求</w:t>
          </w:r>
          <w:r>
            <w:tab/>
          </w:r>
          <w:r>
            <w:fldChar w:fldCharType="begin"/>
          </w:r>
          <w:r>
            <w:instrText xml:space="preserve"> PAGEREF _Toc32744 \h </w:instrText>
          </w:r>
          <w:r>
            <w:fldChar w:fldCharType="separate"/>
          </w:r>
          <w:r>
            <w:t>12</w:t>
          </w:r>
          <w:r>
            <w:fldChar w:fldCharType="end"/>
          </w:r>
          <w:r>
            <w:rPr>
              <w:rFonts w:ascii="Times New Roman" w:hAnsi="Times New Roman" w:eastAsia="楷体_GB2312" w:cs="仿宋_GB2312"/>
              <w:szCs w:val="32"/>
              <w:highlight w:val="none"/>
              <w:u w:val="none"/>
            </w:rPr>
            <w:fldChar w:fldCharType="end"/>
          </w:r>
        </w:p>
        <w:p w14:paraId="23A89126">
          <w:pPr>
            <w:pStyle w:val="15"/>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_Toc17264 </w:instrText>
          </w:r>
          <w:r>
            <w:rPr>
              <w:rFonts w:ascii="Times New Roman" w:hAnsi="Times New Roman" w:eastAsia="楷体_GB2312" w:cs="仿宋_GB2312"/>
              <w:szCs w:val="32"/>
              <w:highlight w:val="none"/>
            </w:rPr>
            <w:fldChar w:fldCharType="separate"/>
          </w:r>
          <w:r>
            <w:rPr>
              <w:rFonts w:hint="eastAsia"/>
              <w:highlight w:val="none"/>
              <w:lang w:val="en-US" w:eastAsia="zh-CN"/>
            </w:rPr>
            <w:t>二</w:t>
          </w:r>
          <w:r>
            <w:rPr>
              <w:highlight w:val="none"/>
              <w:lang w:val="en-US" w:eastAsia="zh-CN"/>
            </w:rPr>
            <w:t>、总体要求</w:t>
          </w:r>
          <w:r>
            <w:tab/>
          </w:r>
          <w:r>
            <w:fldChar w:fldCharType="begin"/>
          </w:r>
          <w:r>
            <w:instrText xml:space="preserve"> PAGEREF _Toc17264 \h </w:instrText>
          </w:r>
          <w:r>
            <w:fldChar w:fldCharType="separate"/>
          </w:r>
          <w:r>
            <w:t>15</w:t>
          </w:r>
          <w:r>
            <w:fldChar w:fldCharType="end"/>
          </w:r>
          <w:r>
            <w:rPr>
              <w:rFonts w:ascii="Times New Roman" w:hAnsi="Times New Roman" w:eastAsia="楷体_GB2312" w:cs="仿宋_GB2312"/>
              <w:szCs w:val="32"/>
              <w:highlight w:val="none"/>
              <w:u w:val="none"/>
            </w:rPr>
            <w:fldChar w:fldCharType="end"/>
          </w:r>
        </w:p>
        <w:p w14:paraId="5DE9883C">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_Toc32383 </w:instrText>
          </w:r>
          <w:r>
            <w:rPr>
              <w:rFonts w:ascii="Times New Roman" w:hAnsi="Times New Roman" w:eastAsia="楷体_GB2312" w:cs="仿宋_GB2312"/>
              <w:szCs w:val="32"/>
              <w:highlight w:val="none"/>
            </w:rPr>
            <w:fldChar w:fldCharType="separate"/>
          </w:r>
          <w:r>
            <w:rPr>
              <w:highlight w:val="none"/>
              <w:lang w:val="en-US" w:eastAsia="zh-CN"/>
            </w:rPr>
            <w:t>（一）指导思想</w:t>
          </w:r>
          <w:r>
            <w:tab/>
          </w:r>
          <w:r>
            <w:fldChar w:fldCharType="begin"/>
          </w:r>
          <w:r>
            <w:instrText xml:space="preserve"> PAGEREF _Toc32383 \h </w:instrText>
          </w:r>
          <w:r>
            <w:fldChar w:fldCharType="separate"/>
          </w:r>
          <w:r>
            <w:t>15</w:t>
          </w:r>
          <w:r>
            <w:fldChar w:fldCharType="end"/>
          </w:r>
          <w:r>
            <w:rPr>
              <w:rFonts w:ascii="Times New Roman" w:hAnsi="Times New Roman" w:eastAsia="楷体_GB2312" w:cs="仿宋_GB2312"/>
              <w:szCs w:val="32"/>
              <w:highlight w:val="none"/>
              <w:u w:val="none"/>
            </w:rPr>
            <w:fldChar w:fldCharType="end"/>
          </w:r>
        </w:p>
        <w:p w14:paraId="73738761">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_Toc22927 </w:instrText>
          </w:r>
          <w:r>
            <w:rPr>
              <w:rFonts w:ascii="Times New Roman" w:hAnsi="Times New Roman" w:eastAsia="楷体_GB2312" w:cs="仿宋_GB2312"/>
              <w:szCs w:val="32"/>
              <w:highlight w:val="none"/>
            </w:rPr>
            <w:fldChar w:fldCharType="separate"/>
          </w:r>
          <w:r>
            <w:rPr>
              <w:rFonts w:hint="eastAsia"/>
              <w:lang w:val="en-US" w:eastAsia="zh-CN"/>
            </w:rPr>
            <w:t>（二）</w:t>
          </w:r>
          <w:r>
            <w:rPr>
              <w:highlight w:val="none"/>
              <w:lang w:val="en-US" w:eastAsia="zh-CN"/>
            </w:rPr>
            <w:t>基本原则</w:t>
          </w:r>
          <w:r>
            <w:tab/>
          </w:r>
          <w:r>
            <w:fldChar w:fldCharType="begin"/>
          </w:r>
          <w:r>
            <w:instrText xml:space="preserve"> PAGEREF _Toc22927 \h </w:instrText>
          </w:r>
          <w:r>
            <w:fldChar w:fldCharType="separate"/>
          </w:r>
          <w:r>
            <w:t>15</w:t>
          </w:r>
          <w:r>
            <w:fldChar w:fldCharType="end"/>
          </w:r>
          <w:r>
            <w:rPr>
              <w:rFonts w:ascii="Times New Roman" w:hAnsi="Times New Roman" w:eastAsia="楷体_GB2312" w:cs="仿宋_GB2312"/>
              <w:szCs w:val="32"/>
              <w:highlight w:val="none"/>
              <w:u w:val="none"/>
            </w:rPr>
            <w:fldChar w:fldCharType="end"/>
          </w:r>
        </w:p>
        <w:p w14:paraId="071E5C16">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_Toc3090 </w:instrText>
          </w:r>
          <w:r>
            <w:rPr>
              <w:rFonts w:ascii="Times New Roman" w:hAnsi="Times New Roman" w:eastAsia="楷体_GB2312" w:cs="仿宋_GB2312"/>
              <w:szCs w:val="32"/>
              <w:highlight w:val="none"/>
            </w:rPr>
            <w:fldChar w:fldCharType="separate"/>
          </w:r>
          <w:r>
            <w:rPr>
              <w:highlight w:val="none"/>
              <w:lang w:val="en-US" w:eastAsia="zh-CN"/>
            </w:rPr>
            <w:t>（</w:t>
          </w:r>
          <w:r>
            <w:rPr>
              <w:rFonts w:hint="eastAsia"/>
              <w:highlight w:val="none"/>
              <w:lang w:val="en-US" w:eastAsia="zh-CN"/>
            </w:rPr>
            <w:t>三</w:t>
          </w:r>
          <w:r>
            <w:rPr>
              <w:highlight w:val="none"/>
              <w:lang w:val="en-US" w:eastAsia="zh-CN"/>
            </w:rPr>
            <w:t>）发展目标</w:t>
          </w:r>
          <w:r>
            <w:tab/>
          </w:r>
          <w:r>
            <w:fldChar w:fldCharType="begin"/>
          </w:r>
          <w:r>
            <w:instrText xml:space="preserve"> PAGEREF _Toc3090 \h </w:instrText>
          </w:r>
          <w:r>
            <w:fldChar w:fldCharType="separate"/>
          </w:r>
          <w:r>
            <w:t>16</w:t>
          </w:r>
          <w:r>
            <w:fldChar w:fldCharType="end"/>
          </w:r>
          <w:r>
            <w:rPr>
              <w:rFonts w:ascii="Times New Roman" w:hAnsi="Times New Roman" w:eastAsia="楷体_GB2312" w:cs="仿宋_GB2312"/>
              <w:szCs w:val="32"/>
              <w:highlight w:val="none"/>
              <w:u w:val="none"/>
            </w:rPr>
            <w:fldChar w:fldCharType="end"/>
          </w:r>
        </w:p>
        <w:p w14:paraId="1975FE6A">
          <w:pPr>
            <w:pStyle w:val="15"/>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_Toc12323 </w:instrText>
          </w:r>
          <w:r>
            <w:rPr>
              <w:rFonts w:ascii="Times New Roman" w:hAnsi="Times New Roman" w:eastAsia="楷体_GB2312" w:cs="仿宋_GB2312"/>
              <w:szCs w:val="32"/>
              <w:highlight w:val="none"/>
            </w:rPr>
            <w:fldChar w:fldCharType="separate"/>
          </w:r>
          <w:r>
            <w:rPr>
              <w:rFonts w:hint="eastAsia"/>
              <w:highlight w:val="none"/>
              <w:lang w:val="en-US" w:eastAsia="zh-CN"/>
            </w:rPr>
            <w:t>三、空间指引</w:t>
          </w:r>
          <w:r>
            <w:tab/>
          </w:r>
          <w:r>
            <w:fldChar w:fldCharType="begin"/>
          </w:r>
          <w:r>
            <w:instrText xml:space="preserve"> PAGEREF _Toc12323 \h </w:instrText>
          </w:r>
          <w:r>
            <w:fldChar w:fldCharType="separate"/>
          </w:r>
          <w:r>
            <w:t>18</w:t>
          </w:r>
          <w:r>
            <w:fldChar w:fldCharType="end"/>
          </w:r>
          <w:r>
            <w:rPr>
              <w:rFonts w:ascii="Times New Roman" w:hAnsi="Times New Roman" w:eastAsia="楷体_GB2312" w:cs="仿宋_GB2312"/>
              <w:szCs w:val="32"/>
              <w:highlight w:val="none"/>
              <w:u w:val="none"/>
            </w:rPr>
            <w:fldChar w:fldCharType="end"/>
          </w:r>
        </w:p>
        <w:p w14:paraId="78750A34">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_Toc15635 </w:instrText>
          </w:r>
          <w:r>
            <w:rPr>
              <w:rFonts w:ascii="Times New Roman" w:hAnsi="Times New Roman" w:eastAsia="楷体_GB2312" w:cs="仿宋_GB2312"/>
              <w:szCs w:val="32"/>
              <w:highlight w:val="none"/>
            </w:rPr>
            <w:fldChar w:fldCharType="separate"/>
          </w:r>
          <w:r>
            <w:rPr>
              <w:rFonts w:hint="eastAsia"/>
              <w:highlight w:val="none"/>
              <w:lang w:val="en-US" w:eastAsia="zh-CN"/>
            </w:rPr>
            <w:t>（一）市区指引</w:t>
          </w:r>
          <w:r>
            <w:tab/>
          </w:r>
          <w:r>
            <w:fldChar w:fldCharType="begin"/>
          </w:r>
          <w:r>
            <w:instrText xml:space="preserve"> PAGEREF _Toc15635 \h </w:instrText>
          </w:r>
          <w:r>
            <w:fldChar w:fldCharType="separate"/>
          </w:r>
          <w:r>
            <w:t>18</w:t>
          </w:r>
          <w:r>
            <w:fldChar w:fldCharType="end"/>
          </w:r>
          <w:r>
            <w:rPr>
              <w:rFonts w:ascii="Times New Roman" w:hAnsi="Times New Roman" w:eastAsia="楷体_GB2312" w:cs="仿宋_GB2312"/>
              <w:szCs w:val="32"/>
              <w:highlight w:val="none"/>
              <w:u w:val="none"/>
            </w:rPr>
            <w:fldChar w:fldCharType="end"/>
          </w:r>
        </w:p>
        <w:p w14:paraId="1B8B6FFF">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_Toc26382 </w:instrText>
          </w:r>
          <w:r>
            <w:rPr>
              <w:rFonts w:ascii="Times New Roman" w:hAnsi="Times New Roman" w:eastAsia="楷体_GB2312" w:cs="仿宋_GB2312"/>
              <w:szCs w:val="32"/>
              <w:highlight w:val="none"/>
            </w:rPr>
            <w:fldChar w:fldCharType="separate"/>
          </w:r>
          <w:r>
            <w:rPr>
              <w:rFonts w:hint="eastAsia"/>
              <w:highlight w:val="none"/>
              <w:lang w:val="en-US" w:eastAsia="zh-CN"/>
            </w:rPr>
            <w:t>（二）县市指引</w:t>
          </w:r>
          <w:r>
            <w:tab/>
          </w:r>
          <w:r>
            <w:fldChar w:fldCharType="begin"/>
          </w:r>
          <w:r>
            <w:instrText xml:space="preserve"> PAGEREF _Toc26382 \h </w:instrText>
          </w:r>
          <w:r>
            <w:fldChar w:fldCharType="separate"/>
          </w:r>
          <w:r>
            <w:t>21</w:t>
          </w:r>
          <w:r>
            <w:fldChar w:fldCharType="end"/>
          </w:r>
          <w:r>
            <w:rPr>
              <w:rFonts w:ascii="Times New Roman" w:hAnsi="Times New Roman" w:eastAsia="楷体_GB2312" w:cs="仿宋_GB2312"/>
              <w:szCs w:val="32"/>
              <w:highlight w:val="none"/>
              <w:u w:val="none"/>
            </w:rPr>
            <w:fldChar w:fldCharType="end"/>
          </w:r>
        </w:p>
        <w:p w14:paraId="3CA65C46">
          <w:pPr>
            <w:pStyle w:val="15"/>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_Toc551 </w:instrText>
          </w:r>
          <w:r>
            <w:rPr>
              <w:rFonts w:ascii="Times New Roman" w:hAnsi="Times New Roman" w:eastAsia="楷体_GB2312" w:cs="仿宋_GB2312"/>
              <w:szCs w:val="32"/>
              <w:highlight w:val="none"/>
            </w:rPr>
            <w:fldChar w:fldCharType="separate"/>
          </w:r>
          <w:r>
            <w:rPr>
              <w:rFonts w:hint="eastAsia"/>
              <w:highlight w:val="none"/>
              <w:lang w:val="en-US" w:eastAsia="zh-CN"/>
            </w:rPr>
            <w:t>四、主要任务</w:t>
          </w:r>
          <w:r>
            <w:tab/>
          </w:r>
          <w:r>
            <w:fldChar w:fldCharType="begin"/>
          </w:r>
          <w:r>
            <w:instrText xml:space="preserve"> PAGEREF _Toc551 \h </w:instrText>
          </w:r>
          <w:r>
            <w:fldChar w:fldCharType="separate"/>
          </w:r>
          <w:r>
            <w:t>24</w:t>
          </w:r>
          <w:r>
            <w:fldChar w:fldCharType="end"/>
          </w:r>
          <w:r>
            <w:rPr>
              <w:rFonts w:ascii="Times New Roman" w:hAnsi="Times New Roman" w:eastAsia="楷体_GB2312" w:cs="仿宋_GB2312"/>
              <w:szCs w:val="32"/>
              <w:highlight w:val="none"/>
              <w:u w:val="none"/>
            </w:rPr>
            <w:fldChar w:fldCharType="end"/>
          </w:r>
        </w:p>
        <w:p w14:paraId="1A3F6719">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_Toc874 </w:instrText>
          </w:r>
          <w:r>
            <w:rPr>
              <w:rFonts w:ascii="Times New Roman" w:hAnsi="Times New Roman" w:eastAsia="楷体_GB2312" w:cs="仿宋_GB2312"/>
              <w:szCs w:val="32"/>
              <w:highlight w:val="none"/>
            </w:rPr>
            <w:fldChar w:fldCharType="separate"/>
          </w:r>
          <w:r>
            <w:rPr>
              <w:rFonts w:hint="eastAsia"/>
              <w:highlight w:val="none"/>
              <w:lang w:val="en-US" w:eastAsia="zh-CN"/>
            </w:rPr>
            <w:t>（一）优化供需关系，多措并举稳定市场</w:t>
          </w:r>
          <w:r>
            <w:tab/>
          </w:r>
          <w:r>
            <w:fldChar w:fldCharType="begin"/>
          </w:r>
          <w:r>
            <w:instrText xml:space="preserve"> PAGEREF _Toc874 \h </w:instrText>
          </w:r>
          <w:r>
            <w:fldChar w:fldCharType="separate"/>
          </w:r>
          <w:r>
            <w:t>24</w:t>
          </w:r>
          <w:r>
            <w:fldChar w:fldCharType="end"/>
          </w:r>
          <w:r>
            <w:rPr>
              <w:rFonts w:ascii="Times New Roman" w:hAnsi="Times New Roman" w:eastAsia="楷体_GB2312" w:cs="仿宋_GB2312"/>
              <w:szCs w:val="32"/>
              <w:highlight w:val="none"/>
              <w:u w:val="none"/>
            </w:rPr>
            <w:fldChar w:fldCharType="end"/>
          </w:r>
        </w:p>
        <w:p w14:paraId="6D6D8935">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_Toc28396 </w:instrText>
          </w:r>
          <w:r>
            <w:rPr>
              <w:rFonts w:ascii="Times New Roman" w:hAnsi="Times New Roman" w:eastAsia="楷体_GB2312" w:cs="仿宋_GB2312"/>
              <w:szCs w:val="32"/>
              <w:highlight w:val="none"/>
            </w:rPr>
            <w:fldChar w:fldCharType="separate"/>
          </w:r>
          <w:r>
            <w:rPr>
              <w:rFonts w:hint="eastAsia"/>
              <w:highlight w:val="none"/>
              <w:lang w:val="en-US" w:eastAsia="zh-CN"/>
            </w:rPr>
            <w:t>（二）强化住房品质，服务“四好”建设</w:t>
          </w:r>
          <w:r>
            <w:tab/>
          </w:r>
          <w:r>
            <w:fldChar w:fldCharType="begin"/>
          </w:r>
          <w:r>
            <w:instrText xml:space="preserve"> PAGEREF _Toc28396 \h </w:instrText>
          </w:r>
          <w:r>
            <w:fldChar w:fldCharType="separate"/>
          </w:r>
          <w:r>
            <w:t>30</w:t>
          </w:r>
          <w:r>
            <w:fldChar w:fldCharType="end"/>
          </w:r>
          <w:r>
            <w:rPr>
              <w:rFonts w:ascii="Times New Roman" w:hAnsi="Times New Roman" w:eastAsia="楷体_GB2312" w:cs="仿宋_GB2312"/>
              <w:szCs w:val="32"/>
              <w:highlight w:val="none"/>
              <w:u w:val="none"/>
            </w:rPr>
            <w:fldChar w:fldCharType="end"/>
          </w:r>
        </w:p>
        <w:p w14:paraId="12B00A8F">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_Toc27066 </w:instrText>
          </w:r>
          <w:r>
            <w:rPr>
              <w:rFonts w:ascii="Times New Roman" w:hAnsi="Times New Roman" w:eastAsia="楷体_GB2312" w:cs="仿宋_GB2312"/>
              <w:szCs w:val="32"/>
              <w:highlight w:val="none"/>
            </w:rPr>
            <w:fldChar w:fldCharType="separate"/>
          </w:r>
          <w:r>
            <w:rPr>
              <w:rFonts w:hint="eastAsia"/>
              <w:lang w:val="en-US" w:eastAsia="zh-CN"/>
            </w:rPr>
            <w:t>（三）</w:t>
          </w:r>
          <w:r>
            <w:rPr>
              <w:rFonts w:hint="eastAsia"/>
              <w:highlight w:val="none"/>
              <w:lang w:val="en-US" w:eastAsia="zh-CN"/>
            </w:rPr>
            <w:t>细化住房保障，提升管理服务水平</w:t>
          </w:r>
          <w:r>
            <w:tab/>
          </w:r>
          <w:r>
            <w:fldChar w:fldCharType="begin"/>
          </w:r>
          <w:r>
            <w:instrText xml:space="preserve"> PAGEREF _Toc27066 \h </w:instrText>
          </w:r>
          <w:r>
            <w:fldChar w:fldCharType="separate"/>
          </w:r>
          <w:r>
            <w:t>34</w:t>
          </w:r>
          <w:r>
            <w:fldChar w:fldCharType="end"/>
          </w:r>
          <w:r>
            <w:rPr>
              <w:rFonts w:ascii="Times New Roman" w:hAnsi="Times New Roman" w:eastAsia="楷体_GB2312" w:cs="仿宋_GB2312"/>
              <w:szCs w:val="32"/>
              <w:highlight w:val="none"/>
              <w:u w:val="none"/>
            </w:rPr>
            <w:fldChar w:fldCharType="end"/>
          </w:r>
        </w:p>
        <w:p w14:paraId="7CD4B7B9">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_Toc24513 </w:instrText>
          </w:r>
          <w:r>
            <w:rPr>
              <w:rFonts w:ascii="Times New Roman" w:hAnsi="Times New Roman" w:eastAsia="楷体_GB2312" w:cs="仿宋_GB2312"/>
              <w:szCs w:val="32"/>
              <w:highlight w:val="none"/>
            </w:rPr>
            <w:fldChar w:fldCharType="separate"/>
          </w:r>
          <w:r>
            <w:rPr>
              <w:rFonts w:hint="eastAsia"/>
              <w:lang w:val="en-US" w:eastAsia="zh-CN"/>
            </w:rPr>
            <w:t>（四）推进住区更新，改善居民居住环境</w:t>
          </w:r>
          <w:r>
            <w:tab/>
          </w:r>
          <w:r>
            <w:fldChar w:fldCharType="begin"/>
          </w:r>
          <w:r>
            <w:instrText xml:space="preserve"> PAGEREF _Toc24513 \h </w:instrText>
          </w:r>
          <w:r>
            <w:fldChar w:fldCharType="separate"/>
          </w:r>
          <w:r>
            <w:t>37</w:t>
          </w:r>
          <w:r>
            <w:fldChar w:fldCharType="end"/>
          </w:r>
          <w:r>
            <w:rPr>
              <w:rFonts w:ascii="Times New Roman" w:hAnsi="Times New Roman" w:eastAsia="楷体_GB2312" w:cs="仿宋_GB2312"/>
              <w:szCs w:val="32"/>
              <w:highlight w:val="none"/>
              <w:u w:val="none"/>
            </w:rPr>
            <w:fldChar w:fldCharType="end"/>
          </w:r>
        </w:p>
        <w:p w14:paraId="5F3BBC61">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_Toc12040 </w:instrText>
          </w:r>
          <w:r>
            <w:rPr>
              <w:rFonts w:ascii="Times New Roman" w:hAnsi="Times New Roman" w:eastAsia="楷体_GB2312" w:cs="仿宋_GB2312"/>
              <w:szCs w:val="32"/>
              <w:highlight w:val="none"/>
            </w:rPr>
            <w:fldChar w:fldCharType="separate"/>
          </w:r>
          <w:r>
            <w:rPr>
              <w:rFonts w:hint="eastAsia"/>
              <w:lang w:val="en-US" w:eastAsia="zh-CN"/>
            </w:rPr>
            <w:t>（五）</w:t>
          </w:r>
          <w:r>
            <w:rPr>
              <w:rFonts w:hint="eastAsia"/>
              <w:highlight w:val="none"/>
              <w:lang w:val="en-US" w:eastAsia="zh-CN"/>
            </w:rPr>
            <w:t>深化住房改革，加速产业转型升级</w:t>
          </w:r>
          <w:r>
            <w:tab/>
          </w:r>
          <w:r>
            <w:fldChar w:fldCharType="begin"/>
          </w:r>
          <w:r>
            <w:instrText xml:space="preserve"> PAGEREF _Toc12040 \h </w:instrText>
          </w:r>
          <w:r>
            <w:fldChar w:fldCharType="separate"/>
          </w:r>
          <w:r>
            <w:t>39</w:t>
          </w:r>
          <w:r>
            <w:fldChar w:fldCharType="end"/>
          </w:r>
          <w:r>
            <w:rPr>
              <w:rFonts w:ascii="Times New Roman" w:hAnsi="Times New Roman" w:eastAsia="楷体_GB2312" w:cs="仿宋_GB2312"/>
              <w:szCs w:val="32"/>
              <w:highlight w:val="none"/>
              <w:u w:val="none"/>
            </w:rPr>
            <w:fldChar w:fldCharType="end"/>
          </w:r>
        </w:p>
        <w:p w14:paraId="0E9E7178">
          <w:pPr>
            <w:pStyle w:val="15"/>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_Toc16143 </w:instrText>
          </w:r>
          <w:r>
            <w:rPr>
              <w:rFonts w:ascii="Times New Roman" w:hAnsi="Times New Roman" w:eastAsia="楷体_GB2312" w:cs="仿宋_GB2312"/>
              <w:szCs w:val="32"/>
              <w:highlight w:val="none"/>
            </w:rPr>
            <w:fldChar w:fldCharType="separate"/>
          </w:r>
          <w:r>
            <w:rPr>
              <w:rFonts w:hint="eastAsia"/>
              <w:highlight w:val="none"/>
              <w:lang w:val="en-US" w:eastAsia="zh-CN"/>
            </w:rPr>
            <w:t>五</w:t>
          </w:r>
          <w:r>
            <w:rPr>
              <w:highlight w:val="none"/>
              <w:lang w:val="en-US" w:eastAsia="zh-CN"/>
            </w:rPr>
            <w:t>、</w:t>
          </w:r>
          <w:r>
            <w:rPr>
              <w:rFonts w:hint="eastAsia"/>
              <w:highlight w:val="none"/>
              <w:lang w:val="en-US" w:eastAsia="zh-CN"/>
            </w:rPr>
            <w:t>保障措施</w:t>
          </w:r>
          <w:r>
            <w:tab/>
          </w:r>
          <w:r>
            <w:fldChar w:fldCharType="begin"/>
          </w:r>
          <w:r>
            <w:instrText xml:space="preserve"> PAGEREF _Toc16143 \h </w:instrText>
          </w:r>
          <w:r>
            <w:fldChar w:fldCharType="separate"/>
          </w:r>
          <w:r>
            <w:t>40</w:t>
          </w:r>
          <w:r>
            <w:fldChar w:fldCharType="end"/>
          </w:r>
          <w:r>
            <w:rPr>
              <w:rFonts w:ascii="Times New Roman" w:hAnsi="Times New Roman" w:eastAsia="楷体_GB2312" w:cs="仿宋_GB2312"/>
              <w:szCs w:val="32"/>
              <w:highlight w:val="none"/>
              <w:u w:val="none"/>
            </w:rPr>
            <w:fldChar w:fldCharType="end"/>
          </w:r>
        </w:p>
        <w:p w14:paraId="52BBD6B5">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_Toc8084 </w:instrText>
          </w:r>
          <w:r>
            <w:rPr>
              <w:rFonts w:ascii="Times New Roman" w:hAnsi="Times New Roman" w:eastAsia="楷体_GB2312" w:cs="仿宋_GB2312"/>
              <w:szCs w:val="32"/>
              <w:highlight w:val="none"/>
            </w:rPr>
            <w:fldChar w:fldCharType="separate"/>
          </w:r>
          <w:r>
            <w:rPr>
              <w:rFonts w:hint="eastAsia"/>
              <w:highlight w:val="none"/>
              <w:lang w:val="en-US" w:eastAsia="zh-CN"/>
            </w:rPr>
            <w:t>（一）组织保障</w:t>
          </w:r>
          <w:r>
            <w:tab/>
          </w:r>
          <w:r>
            <w:fldChar w:fldCharType="begin"/>
          </w:r>
          <w:r>
            <w:instrText xml:space="preserve"> PAGEREF _Toc8084 \h </w:instrText>
          </w:r>
          <w:r>
            <w:fldChar w:fldCharType="separate"/>
          </w:r>
          <w:r>
            <w:t>40</w:t>
          </w:r>
          <w:r>
            <w:fldChar w:fldCharType="end"/>
          </w:r>
          <w:r>
            <w:rPr>
              <w:rFonts w:ascii="Times New Roman" w:hAnsi="Times New Roman" w:eastAsia="楷体_GB2312" w:cs="仿宋_GB2312"/>
              <w:szCs w:val="32"/>
              <w:highlight w:val="none"/>
              <w:u w:val="none"/>
            </w:rPr>
            <w:fldChar w:fldCharType="end"/>
          </w:r>
        </w:p>
        <w:p w14:paraId="33DFA134">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_Toc28071 </w:instrText>
          </w:r>
          <w:r>
            <w:rPr>
              <w:rFonts w:ascii="Times New Roman" w:hAnsi="Times New Roman" w:eastAsia="楷体_GB2312" w:cs="仿宋_GB2312"/>
              <w:szCs w:val="32"/>
              <w:highlight w:val="none"/>
            </w:rPr>
            <w:fldChar w:fldCharType="separate"/>
          </w:r>
          <w:r>
            <w:rPr>
              <w:rFonts w:hint="eastAsia"/>
              <w:highlight w:val="none"/>
              <w:lang w:val="en-US" w:eastAsia="zh-CN"/>
            </w:rPr>
            <w:t>（二）机制保障</w:t>
          </w:r>
          <w:r>
            <w:tab/>
          </w:r>
          <w:r>
            <w:fldChar w:fldCharType="begin"/>
          </w:r>
          <w:r>
            <w:instrText xml:space="preserve"> PAGEREF _Toc28071 \h </w:instrText>
          </w:r>
          <w:r>
            <w:fldChar w:fldCharType="separate"/>
          </w:r>
          <w:r>
            <w:t>41</w:t>
          </w:r>
          <w:r>
            <w:fldChar w:fldCharType="end"/>
          </w:r>
          <w:r>
            <w:rPr>
              <w:rFonts w:ascii="Times New Roman" w:hAnsi="Times New Roman" w:eastAsia="楷体_GB2312" w:cs="仿宋_GB2312"/>
              <w:szCs w:val="32"/>
              <w:highlight w:val="none"/>
              <w:u w:val="none"/>
            </w:rPr>
            <w:fldChar w:fldCharType="end"/>
          </w:r>
        </w:p>
        <w:p w14:paraId="67862EF6">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_Toc4148 </w:instrText>
          </w:r>
          <w:r>
            <w:rPr>
              <w:rFonts w:ascii="Times New Roman" w:hAnsi="Times New Roman" w:eastAsia="楷体_GB2312" w:cs="仿宋_GB2312"/>
              <w:szCs w:val="32"/>
              <w:highlight w:val="none"/>
            </w:rPr>
            <w:fldChar w:fldCharType="separate"/>
          </w:r>
          <w:r>
            <w:rPr>
              <w:rFonts w:hint="eastAsia" w:ascii="Times New Roman" w:hAnsi="Times New Roman" w:eastAsia="仿宋_GB2312" w:cstheme="minorBidi"/>
              <w:kern w:val="2"/>
              <w:szCs w:val="32"/>
              <w:highlight w:val="none"/>
              <w:lang w:val="en-US" w:eastAsia="zh-CN" w:bidi="ar-SA"/>
            </w:rPr>
            <w:t>（三）用地</w:t>
          </w:r>
          <w:r>
            <w:rPr>
              <w:rFonts w:hint="eastAsia"/>
              <w:highlight w:val="none"/>
              <w:lang w:val="en-US" w:eastAsia="zh-CN"/>
            </w:rPr>
            <w:t>保障</w:t>
          </w:r>
          <w:r>
            <w:tab/>
          </w:r>
          <w:r>
            <w:fldChar w:fldCharType="begin"/>
          </w:r>
          <w:r>
            <w:instrText xml:space="preserve"> PAGEREF _Toc4148 \h </w:instrText>
          </w:r>
          <w:r>
            <w:fldChar w:fldCharType="separate"/>
          </w:r>
          <w:r>
            <w:t>41</w:t>
          </w:r>
          <w:r>
            <w:fldChar w:fldCharType="end"/>
          </w:r>
          <w:r>
            <w:rPr>
              <w:rFonts w:ascii="Times New Roman" w:hAnsi="Times New Roman" w:eastAsia="楷体_GB2312" w:cs="仿宋_GB2312"/>
              <w:szCs w:val="32"/>
              <w:highlight w:val="none"/>
              <w:u w:val="none"/>
            </w:rPr>
            <w:fldChar w:fldCharType="end"/>
          </w:r>
        </w:p>
        <w:p w14:paraId="12F36EE6">
          <w:pPr>
            <w:pStyle w:val="17"/>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_Toc12074 </w:instrText>
          </w:r>
          <w:r>
            <w:rPr>
              <w:rFonts w:ascii="Times New Roman" w:hAnsi="Times New Roman" w:eastAsia="楷体_GB2312" w:cs="仿宋_GB2312"/>
              <w:szCs w:val="32"/>
              <w:highlight w:val="none"/>
            </w:rPr>
            <w:fldChar w:fldCharType="separate"/>
          </w:r>
          <w:r>
            <w:rPr>
              <w:rFonts w:hint="eastAsia"/>
              <w:highlight w:val="none"/>
              <w:lang w:val="en-US" w:eastAsia="zh-CN"/>
            </w:rPr>
            <w:t>（四）资金</w:t>
          </w:r>
          <w:r>
            <w:rPr>
              <w:rFonts w:hint="eastAsia" w:ascii="楷体_GB2312" w:hAnsi="楷体_GB2312" w:eastAsia="楷体_GB2312" w:cs="楷体_GB2312"/>
              <w:kern w:val="2"/>
              <w:szCs w:val="32"/>
              <w:highlight w:val="none"/>
              <w:lang w:val="en-US" w:eastAsia="zh-CN" w:bidi="ar-SA"/>
            </w:rPr>
            <w:t>保障</w:t>
          </w:r>
          <w:r>
            <w:tab/>
          </w:r>
          <w:r>
            <w:fldChar w:fldCharType="begin"/>
          </w:r>
          <w:r>
            <w:instrText xml:space="preserve"> PAGEREF _Toc12074 \h </w:instrText>
          </w:r>
          <w:r>
            <w:fldChar w:fldCharType="separate"/>
          </w:r>
          <w:r>
            <w:t>41</w:t>
          </w:r>
          <w:r>
            <w:fldChar w:fldCharType="end"/>
          </w:r>
          <w:r>
            <w:rPr>
              <w:rFonts w:ascii="Times New Roman" w:hAnsi="Times New Roman" w:eastAsia="楷体_GB2312" w:cs="仿宋_GB2312"/>
              <w:szCs w:val="32"/>
              <w:highlight w:val="none"/>
              <w:u w:val="none"/>
            </w:rPr>
            <w:fldChar w:fldCharType="end"/>
          </w:r>
        </w:p>
        <w:p w14:paraId="2E793281">
          <w:pPr>
            <w:pStyle w:val="15"/>
            <w:tabs>
              <w:tab w:val="right" w:leader="dot" w:pos="8845"/>
            </w:tabs>
          </w:pPr>
          <w:r>
            <w:rPr>
              <w:rFonts w:ascii="Times New Roman" w:hAnsi="Times New Roman" w:eastAsia="楷体_GB2312" w:cs="仿宋_GB2312"/>
              <w:szCs w:val="32"/>
              <w:highlight w:val="none"/>
              <w:u w:val="none"/>
            </w:rPr>
            <w:fldChar w:fldCharType="begin"/>
          </w:r>
          <w:r>
            <w:rPr>
              <w:rFonts w:ascii="Times New Roman" w:hAnsi="Times New Roman" w:eastAsia="楷体_GB2312" w:cs="仿宋_GB2312"/>
              <w:szCs w:val="32"/>
              <w:highlight w:val="none"/>
            </w:rPr>
            <w:instrText xml:space="preserve"> HYPERLINK \l _Toc30628 </w:instrText>
          </w:r>
          <w:r>
            <w:rPr>
              <w:rFonts w:ascii="Times New Roman" w:hAnsi="Times New Roman" w:eastAsia="楷体_GB2312" w:cs="仿宋_GB2312"/>
              <w:szCs w:val="32"/>
              <w:highlight w:val="none"/>
            </w:rPr>
            <w:fldChar w:fldCharType="separate"/>
          </w:r>
          <w:r>
            <w:rPr>
              <w:rFonts w:hint="eastAsia" w:ascii="Times New Roman" w:hAnsi="Times New Roman"/>
              <w:highlight w:val="none"/>
            </w:rPr>
            <w:t>附表</w:t>
          </w:r>
          <w:r>
            <w:tab/>
          </w:r>
          <w:r>
            <w:fldChar w:fldCharType="begin"/>
          </w:r>
          <w:r>
            <w:instrText xml:space="preserve"> PAGEREF _Toc30628 \h </w:instrText>
          </w:r>
          <w:r>
            <w:fldChar w:fldCharType="separate"/>
          </w:r>
          <w:r>
            <w:t>43</w:t>
          </w:r>
          <w:r>
            <w:fldChar w:fldCharType="end"/>
          </w:r>
          <w:r>
            <w:rPr>
              <w:rFonts w:ascii="Times New Roman" w:hAnsi="Times New Roman" w:eastAsia="楷体_GB2312" w:cs="仿宋_GB2312"/>
              <w:szCs w:val="32"/>
              <w:highlight w:val="none"/>
              <w:u w:val="none"/>
            </w:rPr>
            <w:fldChar w:fldCharType="end"/>
          </w:r>
        </w:p>
        <w:p w14:paraId="44ADFB39">
          <w:pPr>
            <w:keepNext w:val="0"/>
            <w:keepLines w:val="0"/>
            <w:numPr>
              <w:ilvl w:val="0"/>
              <w:numId w:val="0"/>
            </w:numPr>
            <w:kinsoku/>
            <w:wordWrap/>
            <w:overflowPunct/>
            <w:topLinePunct w:val="0"/>
            <w:autoSpaceDE/>
            <w:autoSpaceDN/>
            <w:bidi w:val="0"/>
            <w:adjustRightInd/>
            <w:snapToGrid/>
            <w:spacing w:beforeLines="0" w:afterLines="0" w:line="600" w:lineRule="exact"/>
            <w:ind w:left="0" w:leftChars="0" w:firstLine="640" w:firstLineChars="200"/>
            <w:textAlignment w:val="auto"/>
            <w:rPr>
              <w:rFonts w:ascii="Times New Roman" w:hAnsi="Times New Roman" w:eastAsia="仿宋_GB2312" w:cs="仿宋_GB2312"/>
              <w:sz w:val="32"/>
              <w:highlight w:val="none"/>
              <w:u w:val="none"/>
            </w:rPr>
          </w:pPr>
          <w:r>
            <w:rPr>
              <w:rFonts w:ascii="Times New Roman" w:hAnsi="Times New Roman" w:eastAsia="楷体_GB2312" w:cs="仿宋_GB2312"/>
              <w:szCs w:val="32"/>
              <w:highlight w:val="none"/>
              <w:u w:val="none"/>
            </w:rPr>
            <w:fldChar w:fldCharType="end"/>
          </w:r>
        </w:p>
      </w:sdtContent>
    </w:sdt>
    <w:p w14:paraId="6E45C622">
      <w:pPr>
        <w:spacing w:beforeLines="0" w:afterLines="0" w:line="600" w:lineRule="exact"/>
        <w:rPr>
          <w:rFonts w:hint="default" w:eastAsia="仿宋_GB2312"/>
          <w:highlight w:val="none"/>
          <w:lang w:val="en-US" w:eastAsia="zh-CN"/>
        </w:rPr>
        <w:sectPr>
          <w:footerReference r:id="rId6" w:type="default"/>
          <w:pgSz w:w="11906" w:h="16838"/>
          <w:pgMar w:top="1644" w:right="1474" w:bottom="1417" w:left="158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14:paraId="1184BD20">
      <w:pPr>
        <w:pStyle w:val="6"/>
        <w:spacing w:beforeLines="0" w:afterLines="0"/>
        <w:rPr>
          <w:rFonts w:hint="eastAsia"/>
          <w:highlight w:val="none"/>
          <w:lang w:val="en-US" w:eastAsia="zh-CN"/>
        </w:rPr>
      </w:pPr>
      <w:r>
        <w:rPr>
          <w:rFonts w:hint="eastAsia" w:ascii="仿宋_GB2312" w:hAnsi="仿宋_GB2312"/>
          <w:highlight w:val="none"/>
          <w:lang w:val="en-US" w:eastAsia="zh-CN"/>
        </w:rPr>
        <w:t>“</w:t>
      </w:r>
      <w:r>
        <w:rPr>
          <w:rFonts w:hint="eastAsia"/>
          <w:highlight w:val="none"/>
          <w:lang w:val="en-US" w:eastAsia="zh-CN"/>
        </w:rPr>
        <w:t>十五五</w:t>
      </w:r>
      <w:r>
        <w:rPr>
          <w:rFonts w:hint="eastAsia" w:ascii="仿宋_GB2312" w:hAnsi="仿宋_GB2312"/>
          <w:highlight w:val="none"/>
          <w:lang w:val="en-US" w:eastAsia="zh-CN"/>
        </w:rPr>
        <w:t>”</w:t>
      </w:r>
      <w:r>
        <w:rPr>
          <w:rFonts w:hint="eastAsia"/>
          <w:highlight w:val="none"/>
          <w:lang w:val="en-US" w:eastAsia="zh-CN"/>
        </w:rPr>
        <w:t>时期是我国基本实现社会主义现代化夯实基础、全面发力的关键时期，也是湛江加快打造现代化沿海经济带重要发展极，高标准建设省域副中心城市，实现跨越式、高质量发展的攻坚突破期。</w:t>
      </w:r>
      <w:r>
        <w:rPr>
          <w:rFonts w:hint="eastAsia"/>
          <w:color w:val="auto"/>
          <w:highlight w:val="none"/>
          <w:lang w:val="en-US" w:eastAsia="zh-CN"/>
        </w:rPr>
        <w:t>为贯彻落实国家、省和市的有关工作要求，适应房地产市场供求关系发生重大变化的新形势，更好满足人民群众对美好生活的新期待，更加科学引导土地、资金等要素优化配置，衔接湛江市国土空间总体规划、国民经济和社会发展规划等，</w:t>
      </w:r>
      <w:r>
        <w:rPr>
          <w:rFonts w:hint="eastAsia"/>
          <w:highlight w:val="none"/>
          <w:lang w:val="en-US" w:eastAsia="zh-CN"/>
        </w:rPr>
        <w:t>制定本规划，作为指导湛江市2026—2030年城镇住房发展的纲领性文件。</w:t>
      </w:r>
    </w:p>
    <w:p w14:paraId="1A62CF28">
      <w:pPr>
        <w:pStyle w:val="2"/>
        <w:keepNext w:val="0"/>
        <w:keepLines w:val="0"/>
        <w:pageBreakBefore w:val="0"/>
        <w:widowControl w:val="0"/>
        <w:numPr>
          <w:ilvl w:val="0"/>
          <w:numId w:val="1"/>
        </w:numPr>
        <w:kinsoku/>
        <w:wordWrap/>
        <w:overflowPunct/>
        <w:topLinePunct w:val="0"/>
        <w:autoSpaceDE/>
        <w:autoSpaceDN/>
        <w:bidi w:val="0"/>
        <w:adjustRightInd/>
        <w:snapToGrid/>
        <w:spacing w:beforeLines="0" w:afterLines="0" w:line="600" w:lineRule="exact"/>
        <w:ind w:leftChars="0"/>
        <w:textAlignment w:val="auto"/>
        <w:rPr>
          <w:highlight w:val="none"/>
          <w:lang w:val="en-US" w:eastAsia="zh-CN"/>
        </w:rPr>
      </w:pPr>
      <w:bookmarkStart w:id="3" w:name="_Toc17611"/>
      <w:bookmarkStart w:id="4" w:name="_Toc32422"/>
      <w:bookmarkStart w:id="5" w:name="_Toc1612959952"/>
      <w:bookmarkStart w:id="6" w:name="_Toc31719"/>
      <w:bookmarkStart w:id="7" w:name="_Toc28244"/>
      <w:bookmarkStart w:id="8" w:name="_Toc727407557"/>
      <w:bookmarkStart w:id="9" w:name="_Toc11819"/>
      <w:bookmarkStart w:id="10" w:name="_Toc28280"/>
      <w:bookmarkStart w:id="11" w:name="_Toc1690"/>
      <w:bookmarkStart w:id="12" w:name="_Toc3837"/>
      <w:bookmarkStart w:id="13" w:name="_Toc907"/>
      <w:bookmarkStart w:id="14" w:name="_Toc27405"/>
      <w:bookmarkStart w:id="15" w:name="_Toc16204"/>
      <w:bookmarkStart w:id="16" w:name="_Toc4813"/>
      <w:bookmarkStart w:id="17" w:name="_Toc140118039"/>
      <w:bookmarkStart w:id="18" w:name="_Toc29316"/>
      <w:r>
        <w:rPr>
          <w:highlight w:val="none"/>
          <w:lang w:val="en-US" w:eastAsia="zh-CN"/>
        </w:rPr>
        <w:t>发展基础</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0639043E">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Chars="0"/>
        <w:textAlignment w:val="auto"/>
        <w:rPr>
          <w:rFonts w:hint="eastAsia"/>
          <w:highlight w:val="none"/>
          <w:lang w:val="en-US" w:eastAsia="zh-CN"/>
        </w:rPr>
      </w:pPr>
      <w:bookmarkStart w:id="19" w:name="_Toc196259725"/>
      <w:bookmarkStart w:id="20" w:name="_Toc9308"/>
      <w:bookmarkStart w:id="21" w:name="_Toc10546"/>
      <w:bookmarkStart w:id="22" w:name="_Toc25623"/>
      <w:bookmarkStart w:id="23" w:name="_Toc8514"/>
      <w:bookmarkStart w:id="24" w:name="_Toc17050"/>
      <w:bookmarkStart w:id="25" w:name="_Toc6396"/>
      <w:bookmarkStart w:id="26" w:name="_Toc9520"/>
      <w:bookmarkStart w:id="27" w:name="_Toc396"/>
      <w:bookmarkStart w:id="28" w:name="_Toc2061891775"/>
      <w:bookmarkStart w:id="29" w:name="_Toc23288"/>
      <w:bookmarkStart w:id="30" w:name="_Toc1321804361"/>
      <w:bookmarkStart w:id="31" w:name="_Toc22907"/>
      <w:bookmarkStart w:id="32" w:name="_Toc25917"/>
      <w:bookmarkStart w:id="33" w:name="_Toc14288"/>
      <w:bookmarkStart w:id="34" w:name="_Toc6124"/>
      <w:bookmarkStart w:id="35" w:name="_Toc18281"/>
      <w:bookmarkStart w:id="36" w:name="_Toc1331837183"/>
      <w:bookmarkStart w:id="37" w:name="_Toc9513"/>
      <w:bookmarkStart w:id="38" w:name="_Toc25162"/>
      <w:r>
        <w:rPr>
          <w:highlight w:val="none"/>
          <w:lang w:val="en-US" w:eastAsia="zh-CN"/>
        </w:rPr>
        <w:t>（一）</w:t>
      </w:r>
      <w:bookmarkEnd w:id="19"/>
      <w:r>
        <w:rPr>
          <w:rFonts w:hint="eastAsia"/>
          <w:highlight w:val="none"/>
          <w:lang w:val="en-US" w:eastAsia="zh-CN"/>
        </w:rPr>
        <w:t>发展</w:t>
      </w:r>
      <w:r>
        <w:rPr>
          <w:highlight w:val="none"/>
          <w:lang w:val="en-US" w:eastAsia="zh-CN"/>
        </w:rPr>
        <w:t>成效</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0C0F14BC">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Chars="0"/>
        <w:textAlignment w:val="auto"/>
        <w:rPr>
          <w:rFonts w:hint="eastAsia"/>
          <w:highlight w:val="none"/>
          <w:lang w:val="en-US" w:eastAsia="zh-CN"/>
        </w:rPr>
      </w:pPr>
      <w:r>
        <w:rPr>
          <w:rFonts w:hint="eastAsia"/>
          <w:highlight w:val="none"/>
          <w:lang w:val="en-US" w:eastAsia="zh-CN"/>
        </w:rPr>
        <w:t>1.</w:t>
      </w:r>
      <w:r>
        <w:rPr>
          <w:rFonts w:hint="eastAsia" w:ascii="仿宋_GB2312" w:hAnsi="仿宋_GB2312"/>
          <w:highlight w:val="none"/>
          <w:lang w:val="en-US" w:eastAsia="zh-CN"/>
        </w:rPr>
        <w:t>“</w:t>
      </w:r>
      <w:r>
        <w:rPr>
          <w:rFonts w:hint="eastAsia"/>
          <w:highlight w:val="none"/>
          <w:lang w:val="en-US" w:eastAsia="zh-CN"/>
        </w:rPr>
        <w:t>市场+保障</w:t>
      </w:r>
      <w:r>
        <w:rPr>
          <w:rFonts w:hint="eastAsia" w:ascii="仿宋_GB2312" w:hAnsi="仿宋_GB2312"/>
          <w:highlight w:val="none"/>
          <w:lang w:val="en-US" w:eastAsia="zh-CN"/>
        </w:rPr>
        <w:t>”</w:t>
      </w:r>
      <w:r>
        <w:rPr>
          <w:rFonts w:hint="eastAsia"/>
          <w:highlight w:val="none"/>
          <w:lang w:val="en-US" w:eastAsia="zh-CN"/>
        </w:rPr>
        <w:t>体系不断完善，</w:t>
      </w:r>
      <w:r>
        <w:rPr>
          <w:rFonts w:hint="default"/>
          <w:highlight w:val="none"/>
          <w:lang w:val="en-US" w:eastAsia="zh-CN"/>
        </w:rPr>
        <w:t>居民居住水平</w:t>
      </w:r>
      <w:r>
        <w:rPr>
          <w:rFonts w:hint="eastAsia"/>
          <w:highlight w:val="none"/>
          <w:lang w:val="en-US" w:eastAsia="zh-CN"/>
        </w:rPr>
        <w:t>稳步</w:t>
      </w:r>
      <w:r>
        <w:rPr>
          <w:rFonts w:hint="default"/>
          <w:highlight w:val="none"/>
          <w:lang w:val="en-US" w:eastAsia="zh-CN"/>
        </w:rPr>
        <w:t>提高</w:t>
      </w:r>
      <w:r>
        <w:rPr>
          <w:rFonts w:hint="eastAsia"/>
          <w:highlight w:val="none"/>
          <w:lang w:val="en-US" w:eastAsia="zh-CN"/>
        </w:rPr>
        <w:t>。</w:t>
      </w:r>
    </w:p>
    <w:p w14:paraId="70216F58">
      <w:pPr>
        <w:keepNext w:val="0"/>
        <w:keepLines w:val="0"/>
        <w:pageBreakBefore w:val="0"/>
        <w:widowControl w:val="0"/>
        <w:kinsoku/>
        <w:wordWrap/>
        <w:overflowPunct/>
        <w:topLinePunct w:val="0"/>
        <w:autoSpaceDE/>
        <w:autoSpaceDN/>
        <w:bidi w:val="0"/>
        <w:adjustRightInd w:val="0"/>
        <w:snapToGrid w:val="0"/>
        <w:spacing w:before="0" w:beforeLines="0" w:after="0" w:afterLines="0" w:afterAutospacing="0"/>
        <w:textAlignment w:val="auto"/>
        <w:rPr>
          <w:rFonts w:hint="eastAsia"/>
          <w:highlight w:val="none"/>
          <w:lang w:val="en-US" w:eastAsia="zh-CN"/>
        </w:rPr>
      </w:pPr>
      <w:r>
        <w:rPr>
          <w:rFonts w:hint="eastAsia" w:ascii="仿宋_GB2312" w:hAnsi="仿宋_GB2312"/>
          <w:highlight w:val="none"/>
          <w:lang w:val="en-US" w:eastAsia="zh-CN"/>
        </w:rPr>
        <w:t>“</w:t>
      </w:r>
      <w:r>
        <w:rPr>
          <w:rFonts w:hint="eastAsia"/>
          <w:highlight w:val="none"/>
          <w:lang w:val="en-US" w:eastAsia="zh-CN"/>
        </w:rPr>
        <w:t>十四五</w:t>
      </w:r>
      <w:r>
        <w:rPr>
          <w:rFonts w:hint="eastAsia" w:ascii="仿宋_GB2312" w:hAnsi="仿宋_GB2312"/>
          <w:highlight w:val="none"/>
          <w:lang w:val="en-US" w:eastAsia="zh-CN"/>
        </w:rPr>
        <w:t>”</w:t>
      </w:r>
      <w:r>
        <w:rPr>
          <w:rFonts w:hint="eastAsia"/>
          <w:highlight w:val="none"/>
          <w:lang w:val="en-US" w:eastAsia="zh-CN"/>
        </w:rPr>
        <w:t>期间，全市新建商品住房新开工面积为</w:t>
      </w:r>
      <w:r>
        <w:rPr>
          <w:rFonts w:hint="eastAsia"/>
          <w:highlight w:val="none"/>
        </w:rPr>
        <w:t>1405.21</w:t>
      </w:r>
      <w:r>
        <w:rPr>
          <w:rFonts w:hint="eastAsia"/>
          <w:highlight w:val="none"/>
          <w:lang w:val="en-US" w:eastAsia="zh-CN"/>
        </w:rPr>
        <w:t>万平方米，批准预售面积为</w:t>
      </w:r>
      <w:r>
        <w:rPr>
          <w:rFonts w:hint="eastAsia"/>
          <w:highlight w:val="none"/>
        </w:rPr>
        <w:t>166</w:t>
      </w:r>
      <w:r>
        <w:rPr>
          <w:rFonts w:hint="eastAsia"/>
          <w:highlight w:val="none"/>
          <w:lang w:val="en-US" w:eastAsia="zh-CN"/>
        </w:rPr>
        <w:t>5</w:t>
      </w:r>
      <w:r>
        <w:rPr>
          <w:rFonts w:hint="eastAsia"/>
          <w:highlight w:val="none"/>
        </w:rPr>
        <w:t>.</w:t>
      </w:r>
      <w:r>
        <w:rPr>
          <w:rFonts w:hint="eastAsia"/>
          <w:highlight w:val="none"/>
          <w:lang w:val="en-US" w:eastAsia="zh-CN"/>
        </w:rPr>
        <w:t>58万平方米，销售面积为</w:t>
      </w:r>
      <w:r>
        <w:rPr>
          <w:rFonts w:hint="eastAsia"/>
          <w:highlight w:val="none"/>
        </w:rPr>
        <w:t>1696.69</w:t>
      </w:r>
      <w:r>
        <w:rPr>
          <w:rFonts w:hint="eastAsia"/>
          <w:highlight w:val="none"/>
          <w:lang w:val="en-US" w:eastAsia="zh-CN"/>
        </w:rPr>
        <w:t>万平方米；全市二手住房销售面积为</w:t>
      </w:r>
      <w:r>
        <w:rPr>
          <w:rFonts w:hint="eastAsia"/>
          <w:highlight w:val="none"/>
        </w:rPr>
        <w:t>738.51</w:t>
      </w:r>
      <w:r>
        <w:rPr>
          <w:rFonts w:hint="eastAsia"/>
          <w:highlight w:val="none"/>
          <w:lang w:val="en-US" w:eastAsia="zh-CN"/>
        </w:rPr>
        <w:t>万平方米，占住房市场总交易量的30.33%</w:t>
      </w:r>
      <w:r>
        <w:rPr>
          <w:rFonts w:hint="eastAsia"/>
          <w:color w:val="auto"/>
          <w:highlight w:val="none"/>
          <w:lang w:val="en-US" w:eastAsia="zh-CN"/>
        </w:rPr>
        <w:t>。</w:t>
      </w:r>
      <w:r>
        <w:rPr>
          <w:rFonts w:hint="eastAsia"/>
          <w:highlight w:val="none"/>
          <w:lang w:val="en-US" w:eastAsia="zh-CN"/>
        </w:rPr>
        <w:t>新增建设筹集各类保障性住房9693套、人才公寓</w:t>
      </w:r>
      <w:r>
        <w:rPr>
          <w:rFonts w:hint="eastAsia"/>
          <w:highlight w:val="none"/>
        </w:rPr>
        <w:t>1765</w:t>
      </w:r>
      <w:r>
        <w:rPr>
          <w:rFonts w:hint="eastAsia"/>
          <w:highlight w:val="none"/>
          <w:lang w:val="en-US" w:eastAsia="zh-CN"/>
        </w:rPr>
        <w:t>套，</w:t>
      </w:r>
      <w:r>
        <w:rPr>
          <w:rFonts w:hint="eastAsia"/>
          <w:strike w:val="0"/>
          <w:highlight w:val="none"/>
          <w:lang w:val="en-US" w:eastAsia="zh-CN"/>
        </w:rPr>
        <w:t>住房困难群体居住需求得到有效保障</w:t>
      </w:r>
      <w:r>
        <w:rPr>
          <w:rFonts w:ascii="Times New Roman" w:hAnsi="Times New Roman" w:cs="Times New Roman"/>
          <w:strike w:val="0"/>
          <w:highlight w:val="none"/>
        </w:rPr>
        <w:t>。</w:t>
      </w:r>
      <w:r>
        <w:rPr>
          <w:rFonts w:hint="eastAsia"/>
          <w:highlight w:val="none"/>
          <w:lang w:val="en-US" w:eastAsia="zh-CN"/>
        </w:rPr>
        <w:t>全市</w:t>
      </w:r>
      <w:r>
        <w:rPr>
          <w:rFonts w:hint="eastAsia"/>
          <w:highlight w:val="none"/>
        </w:rPr>
        <w:t>房价收入比从2021年的8.99下降至202</w:t>
      </w:r>
      <w:r>
        <w:rPr>
          <w:rFonts w:hint="eastAsia"/>
          <w:highlight w:val="none"/>
          <w:lang w:val="en-US" w:eastAsia="zh-CN"/>
        </w:rPr>
        <w:t>5</w:t>
      </w:r>
      <w:r>
        <w:rPr>
          <w:rFonts w:hint="eastAsia"/>
          <w:highlight w:val="none"/>
        </w:rPr>
        <w:t>年的</w:t>
      </w:r>
      <w:r>
        <w:rPr>
          <w:rFonts w:hint="eastAsia"/>
          <w:highlight w:val="none"/>
          <w:lang w:val="en-US" w:eastAsia="zh-CN"/>
        </w:rPr>
        <w:t>7.68</w:t>
      </w:r>
      <w:r>
        <w:rPr>
          <w:rStyle w:val="28"/>
          <w:rFonts w:hint="eastAsia"/>
          <w:highlight w:val="none"/>
        </w:rPr>
        <w:footnoteReference w:id="0"/>
      </w:r>
      <w:r>
        <w:rPr>
          <w:rFonts w:hint="eastAsia"/>
          <w:highlight w:val="none"/>
          <w:lang w:eastAsia="zh-CN"/>
        </w:rPr>
        <w:t>，</w:t>
      </w:r>
      <w:r>
        <w:rPr>
          <w:rFonts w:hint="eastAsia"/>
          <w:highlight w:val="none"/>
          <w:lang w:val="en-US" w:eastAsia="zh-CN"/>
        </w:rPr>
        <w:t>城镇常住居民购房可负担能力不断提升。</w:t>
      </w:r>
    </w:p>
    <w:p w14:paraId="1B054C00">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left="0" w:leftChars="0" w:firstLine="643" w:firstLineChars="200"/>
        <w:jc w:val="both"/>
        <w:textAlignment w:val="auto"/>
        <w:outlineLvl w:val="2"/>
        <w:rPr>
          <w:rFonts w:hint="default" w:ascii="Times New Roman" w:hAnsi="Times New Roman" w:eastAsia="仿宋_GB2312" w:cs="仿宋_GB2312"/>
          <w:b/>
          <w:bCs/>
          <w:color w:val="auto"/>
          <w:kern w:val="2"/>
          <w:sz w:val="32"/>
          <w:szCs w:val="32"/>
          <w:highlight w:val="none"/>
          <w:u w:val="none"/>
          <w:lang w:val="en-US" w:eastAsia="zh-CN" w:bidi="ar-SA"/>
        </w:rPr>
      </w:pPr>
      <w:r>
        <w:rPr>
          <w:rFonts w:hint="eastAsia" w:ascii="Times New Roman" w:hAnsi="Times New Roman" w:cs="仿宋_GB2312"/>
          <w:b/>
          <w:bCs/>
          <w:color w:val="auto"/>
          <w:sz w:val="32"/>
          <w:szCs w:val="32"/>
          <w:highlight w:val="none"/>
          <w:u w:val="none"/>
          <w:lang w:val="en-US" w:eastAsia="zh-CN"/>
        </w:rPr>
        <w:t>2.房地产</w:t>
      </w:r>
      <w:r>
        <w:rPr>
          <w:rFonts w:hint="default" w:cs="仿宋_GB2312"/>
          <w:b/>
          <w:bCs/>
          <w:color w:val="auto"/>
          <w:kern w:val="2"/>
          <w:sz w:val="32"/>
          <w:szCs w:val="32"/>
          <w:highlight w:val="none"/>
          <w:u w:val="none"/>
          <w:lang w:val="en-US" w:eastAsia="zh-CN" w:bidi="ar-SA"/>
        </w:rPr>
        <w:t>风险有效</w:t>
      </w:r>
      <w:r>
        <w:rPr>
          <w:rFonts w:hint="eastAsia" w:cs="仿宋_GB2312"/>
          <w:b/>
          <w:bCs/>
          <w:color w:val="auto"/>
          <w:kern w:val="2"/>
          <w:sz w:val="32"/>
          <w:szCs w:val="32"/>
          <w:highlight w:val="none"/>
          <w:u w:val="none"/>
          <w:lang w:val="en-US" w:eastAsia="zh-CN" w:bidi="ar-SA"/>
        </w:rPr>
        <w:t>防范</w:t>
      </w:r>
      <w:r>
        <w:rPr>
          <w:rFonts w:hint="default" w:cs="仿宋_GB2312"/>
          <w:b/>
          <w:bCs/>
          <w:color w:val="auto"/>
          <w:kern w:val="2"/>
          <w:sz w:val="32"/>
          <w:szCs w:val="32"/>
          <w:highlight w:val="none"/>
          <w:u w:val="none"/>
          <w:lang w:val="en-US" w:eastAsia="zh-CN" w:bidi="ar-SA"/>
        </w:rPr>
        <w:t>化解，市场</w:t>
      </w:r>
      <w:r>
        <w:rPr>
          <w:rFonts w:hint="default" w:cs="仿宋_GB2312"/>
          <w:b/>
          <w:bCs/>
          <w:color w:val="auto"/>
          <w:highlight w:val="none"/>
          <w:u w:val="none"/>
        </w:rPr>
        <w:t>供需关系逐步优化</w:t>
      </w:r>
      <w:r>
        <w:rPr>
          <w:rFonts w:hint="default" w:ascii="Times New Roman" w:hAnsi="Times New Roman" w:cs="仿宋_GB2312"/>
          <w:b/>
          <w:bCs/>
          <w:color w:val="auto"/>
          <w:sz w:val="32"/>
          <w:szCs w:val="32"/>
          <w:highlight w:val="none"/>
          <w:u w:val="none"/>
          <w:lang w:val="en-US" w:eastAsia="zh-CN"/>
        </w:rPr>
        <w:t>。</w:t>
      </w:r>
    </w:p>
    <w:p w14:paraId="53990AA3">
      <w:pPr>
        <w:keepNext w:val="0"/>
        <w:keepLines w:val="0"/>
        <w:pageBreakBefore w:val="0"/>
        <w:widowControl w:val="0"/>
        <w:kinsoku/>
        <w:wordWrap/>
        <w:overflowPunct w:val="0"/>
        <w:topLinePunct w:val="0"/>
        <w:autoSpaceDE/>
        <w:autoSpaceDN/>
        <w:bidi w:val="0"/>
        <w:adjustRightInd w:val="0"/>
        <w:snapToGrid w:val="0"/>
        <w:spacing w:beforeLines="0" w:afterLines="0"/>
        <w:ind w:firstLine="643" w:firstLineChars="200"/>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b/>
          <w:bCs/>
          <w:highlight w:val="none"/>
          <w:lang w:val="en-US" w:eastAsia="zh-CN"/>
        </w:rPr>
        <w:t>一</w:t>
      </w:r>
      <w:r>
        <w:rPr>
          <w:rFonts w:hint="default"/>
          <w:b/>
          <w:bCs/>
          <w:highlight w:val="none"/>
          <w:lang w:val="en-US" w:eastAsia="zh-CN"/>
        </w:rPr>
        <w:t>是</w:t>
      </w:r>
      <w:r>
        <w:rPr>
          <w:rFonts w:hint="eastAsia"/>
          <w:b/>
          <w:bCs/>
          <w:highlight w:val="none"/>
          <w:lang w:val="en-US" w:eastAsia="zh-CN"/>
        </w:rPr>
        <w:t>保交楼保交房工作稳妥推进</w:t>
      </w:r>
      <w:r>
        <w:rPr>
          <w:rFonts w:hint="default"/>
          <w:b/>
          <w:bCs/>
          <w:highlight w:val="none"/>
          <w:lang w:val="en-US" w:eastAsia="zh-CN"/>
        </w:rPr>
        <w:t>。</w:t>
      </w:r>
      <w:r>
        <w:rPr>
          <w:rFonts w:hint="eastAsia"/>
          <w:highlight w:val="none"/>
        </w:rPr>
        <w:t>加快推进问题楼盘化解处置，全面摸排辖区停工、半停工及烂尾项目，建立问题楼盘台账清单</w:t>
      </w:r>
      <w:r>
        <w:rPr>
          <w:rFonts w:hint="eastAsia"/>
          <w:highlight w:val="none"/>
          <w:lang w:eastAsia="zh-CN"/>
        </w:rPr>
        <w:t>；</w:t>
      </w:r>
      <w:r>
        <w:rPr>
          <w:rFonts w:hint="eastAsia"/>
          <w:highlight w:val="none"/>
        </w:rPr>
        <w:t>健全</w:t>
      </w:r>
      <w:r>
        <w:rPr>
          <w:rFonts w:hint="eastAsia" w:ascii="仿宋_GB2312" w:hAnsi="仿宋_GB2312"/>
          <w:highlight w:val="none"/>
          <w:lang w:eastAsia="zh-CN"/>
        </w:rPr>
        <w:t>“</w:t>
      </w:r>
      <w:r>
        <w:rPr>
          <w:rFonts w:hint="eastAsia"/>
          <w:highlight w:val="none"/>
        </w:rPr>
        <w:t>六个一</w:t>
      </w:r>
      <w:r>
        <w:rPr>
          <w:rFonts w:hint="eastAsia" w:ascii="仿宋_GB2312" w:hAnsi="仿宋_GB2312"/>
          <w:highlight w:val="none"/>
          <w:lang w:eastAsia="zh-CN"/>
        </w:rPr>
        <w:t>”</w:t>
      </w:r>
      <w:r>
        <w:rPr>
          <w:rFonts w:hint="eastAsia"/>
          <w:highlight w:val="none"/>
        </w:rPr>
        <w:t>化解工作机制，坚持</w:t>
      </w:r>
      <w:r>
        <w:rPr>
          <w:rFonts w:hint="eastAsia" w:ascii="仿宋_GB2312" w:hAnsi="仿宋_GB2312"/>
          <w:highlight w:val="none"/>
          <w:lang w:eastAsia="zh-CN"/>
        </w:rPr>
        <w:t>“</w:t>
      </w:r>
      <w:r>
        <w:rPr>
          <w:rFonts w:hint="eastAsia"/>
          <w:highlight w:val="none"/>
        </w:rPr>
        <w:t>一楼一策</w:t>
      </w:r>
      <w:r>
        <w:rPr>
          <w:rFonts w:hint="eastAsia" w:ascii="仿宋_GB2312" w:hAnsi="仿宋_GB2312"/>
          <w:highlight w:val="none"/>
          <w:lang w:eastAsia="zh-CN"/>
        </w:rPr>
        <w:t>”</w:t>
      </w:r>
      <w:r>
        <w:rPr>
          <w:rFonts w:hint="eastAsia"/>
          <w:highlight w:val="none"/>
        </w:rPr>
        <w:t>分类施策</w:t>
      </w:r>
      <w:r>
        <w:rPr>
          <w:rFonts w:hint="eastAsia"/>
          <w:highlight w:val="none"/>
          <w:lang w:eastAsia="zh-CN"/>
        </w:rPr>
        <w:t>；</w:t>
      </w: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加强</w:t>
      </w:r>
      <w:r>
        <w:rPr>
          <w:rFonts w:hint="eastAsia" w:ascii="仿宋_GB2312" w:hAnsi="仿宋_GB2312" w:cs="仿宋_GB2312"/>
          <w:b w:val="0"/>
          <w:bCs w:val="0"/>
          <w:i w:val="0"/>
          <w:caps w:val="0"/>
          <w:color w:val="auto"/>
          <w:spacing w:val="0"/>
          <w:kern w:val="0"/>
          <w:sz w:val="32"/>
          <w:szCs w:val="32"/>
          <w:highlight w:val="none"/>
          <w:shd w:val="clear" w:color="auto" w:fill="FFFFFF"/>
          <w:lang w:val="en-US" w:eastAsia="zh-CN" w:bidi="ar"/>
        </w:rPr>
        <w:t>“</w:t>
      </w: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政银企</w:t>
      </w:r>
      <w:r>
        <w:rPr>
          <w:rFonts w:hint="eastAsia" w:ascii="仿宋_GB2312" w:hAnsi="仿宋_GB2312" w:cs="仿宋_GB2312"/>
          <w:b w:val="0"/>
          <w:bCs w:val="0"/>
          <w:i w:val="0"/>
          <w:caps w:val="0"/>
          <w:color w:val="auto"/>
          <w:spacing w:val="0"/>
          <w:kern w:val="0"/>
          <w:sz w:val="32"/>
          <w:szCs w:val="32"/>
          <w:highlight w:val="none"/>
          <w:shd w:val="clear" w:color="auto" w:fill="FFFFFF"/>
          <w:lang w:val="en-US" w:eastAsia="zh-CN" w:bidi="ar"/>
        </w:rPr>
        <w:t>”对接</w:t>
      </w: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，逐步恢复</w:t>
      </w:r>
      <w:r>
        <w:rPr>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问题项目</w:t>
      </w:r>
      <w:r>
        <w:rPr>
          <w:rFonts w:hint="eastAsia" w:ascii="仿宋_GB2312" w:hAnsi="仿宋_GB2312" w:eastAsia="仿宋_GB2312" w:cs="仿宋_GB2312"/>
          <w:i w:val="0"/>
          <w:iCs w:val="0"/>
          <w:caps w:val="0"/>
          <w:color w:val="auto"/>
          <w:spacing w:val="0"/>
          <w:kern w:val="0"/>
          <w:sz w:val="32"/>
          <w:szCs w:val="32"/>
          <w:highlight w:val="none"/>
          <w:shd w:val="clear" w:color="auto" w:fill="auto"/>
          <w:lang w:bidi="ar"/>
        </w:rPr>
        <w:t>住房按揭贷款业务，切实解决项目资金缺口问题</w:t>
      </w:r>
      <w:r>
        <w:rPr>
          <w:rFonts w:hint="eastAsia" w:ascii="仿宋_GB2312" w:hAnsi="仿宋_GB2312" w:cs="仿宋_GB2312"/>
          <w:i w:val="0"/>
          <w:iCs w:val="0"/>
          <w:caps w:val="0"/>
          <w:color w:val="auto"/>
          <w:spacing w:val="0"/>
          <w:kern w:val="0"/>
          <w:sz w:val="32"/>
          <w:szCs w:val="32"/>
          <w:highlight w:val="none"/>
          <w:shd w:val="clear" w:color="auto" w:fill="auto"/>
          <w:lang w:eastAsia="zh-CN" w:bidi="ar"/>
        </w:rPr>
        <w:t>，</w:t>
      </w:r>
      <w:r>
        <w:rPr>
          <w:rFonts w:hint="eastAsia" w:ascii="仿宋_GB2312" w:hAnsi="仿宋_GB2312" w:cs="仿宋_GB2312"/>
          <w:i w:val="0"/>
          <w:iCs w:val="0"/>
          <w:caps w:val="0"/>
          <w:color w:val="auto"/>
          <w:spacing w:val="0"/>
          <w:kern w:val="0"/>
          <w:sz w:val="32"/>
          <w:szCs w:val="32"/>
          <w:highlight w:val="none"/>
          <w:shd w:val="clear" w:color="auto" w:fill="auto"/>
          <w:lang w:val="en-US" w:eastAsia="zh-CN" w:bidi="ar"/>
        </w:rPr>
        <w:t>着力</w:t>
      </w:r>
      <w:r>
        <w:rPr>
          <w:rFonts w:hint="eastAsia"/>
          <w:highlight w:val="none"/>
        </w:rPr>
        <w:t>推动风险项目稳妥有序化解</w:t>
      </w:r>
      <w:r>
        <w:rPr>
          <w:rFonts w:hint="eastAsia"/>
          <w:highlight w:val="none"/>
          <w:lang w:eastAsia="zh-CN"/>
        </w:rPr>
        <w:t>。</w:t>
      </w:r>
      <w:r>
        <w:rPr>
          <w:rFonts w:hint="default" w:cs="Times New Roman"/>
          <w:color w:val="auto"/>
          <w:sz w:val="32"/>
          <w:szCs w:val="32"/>
          <w:highlight w:val="none"/>
          <w:lang w:val="en-US" w:eastAsia="zh-CN"/>
        </w:rPr>
        <w:t>扎实推进保</w:t>
      </w:r>
      <w:r>
        <w:rPr>
          <w:rFonts w:hint="eastAsia" w:cstheme="minorBidi"/>
          <w:sz w:val="32"/>
          <w:szCs w:val="32"/>
          <w:highlight w:val="none"/>
          <w:lang w:val="en-US" w:eastAsia="zh-CN"/>
        </w:rPr>
        <w:t>交房民生工作，</w:t>
      </w:r>
      <w:r>
        <w:rPr>
          <w:rFonts w:hint="default" w:cs="Times New Roman"/>
          <w:color w:val="auto"/>
          <w:szCs w:val="32"/>
          <w:highlight w:val="none"/>
          <w:lang w:val="en-US" w:eastAsia="zh-CN"/>
        </w:rPr>
        <w:t>出台《湛江市保交房</w:t>
      </w:r>
      <w:r>
        <w:rPr>
          <w:rFonts w:hint="eastAsia" w:ascii="仿宋_GB2312" w:hAnsi="仿宋_GB2312" w:cs="Times New Roman"/>
          <w:color w:val="auto"/>
          <w:szCs w:val="32"/>
          <w:highlight w:val="none"/>
          <w:lang w:val="en-US" w:eastAsia="zh-CN"/>
        </w:rPr>
        <w:t>“</w:t>
      </w:r>
      <w:r>
        <w:rPr>
          <w:rFonts w:hint="default" w:cs="Times New Roman"/>
          <w:color w:val="auto"/>
          <w:szCs w:val="32"/>
          <w:highlight w:val="none"/>
          <w:lang w:val="en-US" w:eastAsia="zh-CN"/>
        </w:rPr>
        <w:t>1+N+X</w:t>
      </w:r>
      <w:r>
        <w:rPr>
          <w:rFonts w:hint="eastAsia" w:ascii="仿宋_GB2312" w:hAnsi="仿宋_GB2312" w:cs="Times New Roman"/>
          <w:color w:val="auto"/>
          <w:szCs w:val="32"/>
          <w:highlight w:val="none"/>
          <w:lang w:val="en-US" w:eastAsia="zh-CN"/>
        </w:rPr>
        <w:t>”</w:t>
      </w:r>
      <w:r>
        <w:rPr>
          <w:rFonts w:hint="default" w:cs="Times New Roman"/>
          <w:color w:val="auto"/>
          <w:szCs w:val="32"/>
          <w:highlight w:val="none"/>
          <w:lang w:val="en-US" w:eastAsia="zh-CN"/>
        </w:rPr>
        <w:t>一揽子工作方案》，</w:t>
      </w:r>
      <w:r>
        <w:rPr>
          <w:rFonts w:hint="eastAsia" w:cs="Times New Roman"/>
          <w:color w:val="auto"/>
          <w:kern w:val="2"/>
          <w:sz w:val="32"/>
          <w:szCs w:val="32"/>
          <w:highlight w:val="none"/>
          <w:lang w:val="en-US" w:eastAsia="zh-CN" w:bidi="ar-SA"/>
        </w:rPr>
        <w:t>坚持</w:t>
      </w:r>
      <w:r>
        <w:rPr>
          <w:rFonts w:hint="eastAsia" w:ascii="仿宋_GB2312" w:hAnsi="仿宋_GB2312" w:cs="Times New Roman"/>
          <w:color w:val="auto"/>
          <w:kern w:val="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一项目一策</w:t>
      </w:r>
      <w:r>
        <w:rPr>
          <w:rFonts w:hint="eastAsia" w:ascii="仿宋_GB2312" w:hAnsi="仿宋_GB2312" w:cs="Times New Roman"/>
          <w:color w:val="auto"/>
          <w:kern w:val="2"/>
          <w:szCs w:val="32"/>
          <w:highlight w:val="none"/>
          <w:lang w:val="en-US" w:eastAsia="zh-CN" w:bidi="ar-SA"/>
        </w:rPr>
        <w:t>”</w:t>
      </w:r>
      <w:r>
        <w:rPr>
          <w:rFonts w:hint="eastAsia" w:cs="Times New Roman"/>
          <w:color w:val="auto"/>
          <w:kern w:val="2"/>
          <w:szCs w:val="32"/>
          <w:highlight w:val="none"/>
          <w:lang w:val="en-US" w:eastAsia="zh-CN" w:bidi="ar-SA"/>
        </w:rPr>
        <w:t>精准施策</w:t>
      </w:r>
      <w:r>
        <w:rPr>
          <w:rFonts w:hint="default"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i w:val="0"/>
          <w:iCs w:val="0"/>
          <w:caps w:val="0"/>
          <w:color w:val="auto"/>
          <w:spacing w:val="0"/>
          <w:sz w:val="32"/>
          <w:szCs w:val="32"/>
          <w:highlight w:val="none"/>
          <w:shd w:val="clear" w:fill="FFFFFF"/>
        </w:rPr>
        <w:t>加快推动项目建设交付</w:t>
      </w:r>
      <w:r>
        <w:rPr>
          <w:rFonts w:hint="default" w:cs="Times New Roman"/>
          <w:color w:val="auto"/>
          <w:szCs w:val="32"/>
          <w:highlight w:val="none"/>
          <w:lang w:val="en-US" w:eastAsia="zh-CN"/>
        </w:rPr>
        <w:t>。</w:t>
      </w:r>
      <w:r>
        <w:rPr>
          <w:rFonts w:hint="eastAsia"/>
          <w:b w:val="0"/>
          <w:bCs w:val="0"/>
          <w:highlight w:val="none"/>
          <w:lang w:val="en-US" w:eastAsia="zh-CN"/>
        </w:rPr>
        <w:t>规范</w:t>
      </w:r>
      <w:r>
        <w:rPr>
          <w:rFonts w:hint="eastAsia" w:ascii="Times New Roman" w:hAnsi="Times New Roman" w:eastAsia="仿宋_GB2312" w:cstheme="minorBidi"/>
          <w:sz w:val="32"/>
          <w:szCs w:val="32"/>
          <w:highlight w:val="none"/>
        </w:rPr>
        <w:t>商品房销售行为</w:t>
      </w:r>
      <w:r>
        <w:rPr>
          <w:rFonts w:hint="eastAsia" w:ascii="Times New Roman" w:hAnsi="Times New Roman" w:eastAsia="仿宋_GB2312" w:cstheme="minorBidi"/>
          <w:sz w:val="32"/>
          <w:szCs w:val="32"/>
          <w:highlight w:val="none"/>
          <w:lang w:eastAsia="zh-CN"/>
        </w:rPr>
        <w:t>，</w:t>
      </w:r>
      <w:r>
        <w:rPr>
          <w:rFonts w:hint="eastAsia" w:ascii="Times New Roman" w:hAnsi="Times New Roman" w:cstheme="minorBidi"/>
          <w:highlight w:val="none"/>
          <w:lang w:val="en-US" w:eastAsia="zh-CN"/>
        </w:rPr>
        <w:t>出台</w:t>
      </w:r>
      <w:r>
        <w:rPr>
          <w:rFonts w:hint="eastAsia" w:ascii="Times New Roman" w:hAnsi="Times New Roman" w:eastAsia="仿宋_GB2312" w:cstheme="minorBidi"/>
          <w:i w:val="0"/>
          <w:iCs w:val="0"/>
          <w:caps w:val="0"/>
          <w:spacing w:val="0"/>
          <w:sz w:val="32"/>
          <w:szCs w:val="32"/>
          <w:highlight w:val="none"/>
          <w:shd w:val="clear"/>
        </w:rPr>
        <w:t>《湛江市住房和城乡建设局商品房预售款监督管理暂行办法》</w:t>
      </w:r>
      <w:r>
        <w:rPr>
          <w:rFonts w:hint="eastAsia"/>
          <w:highlight w:val="none"/>
        </w:rPr>
        <w:t>《关于进一步规范商品房预售资金使用管理的通知》，细化资金使用节点、调整监管额</w:t>
      </w:r>
      <w:r>
        <w:rPr>
          <w:rFonts w:hint="eastAsia" w:ascii="Times New Roman" w:hAnsi="Times New Roman"/>
          <w:highlight w:val="none"/>
        </w:rPr>
        <w:t>度，</w:t>
      </w:r>
      <w:r>
        <w:rPr>
          <w:rFonts w:hint="eastAsia" w:ascii="Times New Roman" w:hAnsi="Times New Roman" w:eastAsia="仿宋_GB2312" w:cstheme="minorBidi"/>
          <w:sz w:val="32"/>
          <w:szCs w:val="32"/>
          <w:highlight w:val="none"/>
        </w:rPr>
        <w:t>保障资金专款专用</w:t>
      </w:r>
      <w:r>
        <w:rPr>
          <w:rFonts w:hint="eastAsia" w:cstheme="minorBidi"/>
          <w:sz w:val="32"/>
          <w:szCs w:val="32"/>
          <w:highlight w:val="none"/>
          <w:lang w:eastAsia="zh-CN"/>
        </w:rPr>
        <w:t>，</w:t>
      </w:r>
      <w:r>
        <w:rPr>
          <w:rFonts w:hint="eastAsia" w:cstheme="minorBidi"/>
          <w:sz w:val="32"/>
          <w:szCs w:val="32"/>
          <w:highlight w:val="none"/>
          <w:lang w:val="en-US" w:eastAsia="zh-CN"/>
        </w:rPr>
        <w:t>着力保</w:t>
      </w:r>
      <w:r>
        <w:rPr>
          <w:rFonts w:hint="eastAsia" w:ascii="Times New Roman" w:hAnsi="Times New Roman" w:eastAsia="仿宋_GB2312" w:cstheme="minorBidi"/>
          <w:sz w:val="32"/>
          <w:szCs w:val="32"/>
          <w:highlight w:val="none"/>
        </w:rPr>
        <w:t>障购房</w:t>
      </w:r>
      <w:r>
        <w:rPr>
          <w:rFonts w:hint="eastAsia" w:ascii="Times New Roman" w:hAnsi="Times New Roman" w:eastAsia="仿宋_GB2312" w:cstheme="minorBidi"/>
          <w:sz w:val="32"/>
          <w:szCs w:val="32"/>
          <w:highlight w:val="none"/>
          <w:lang w:val="en-US" w:eastAsia="zh-CN"/>
        </w:rPr>
        <w:t>者</w:t>
      </w:r>
      <w:r>
        <w:rPr>
          <w:rFonts w:hint="eastAsia" w:ascii="Times New Roman" w:hAnsi="Times New Roman" w:eastAsia="仿宋_GB2312" w:cstheme="minorBidi"/>
          <w:sz w:val="32"/>
          <w:szCs w:val="32"/>
          <w:highlight w:val="none"/>
        </w:rPr>
        <w:t>合法权益</w:t>
      </w:r>
      <w:r>
        <w:rPr>
          <w:rFonts w:hint="eastAsia" w:ascii="Times New Roman" w:hAnsi="Times New Roman" w:eastAsia="仿宋_GB2312" w:cstheme="minorBidi"/>
          <w:sz w:val="32"/>
          <w:szCs w:val="32"/>
          <w:highlight w:val="none"/>
          <w:lang w:eastAsia="zh-CN"/>
        </w:rPr>
        <w:t>。</w:t>
      </w:r>
      <w:r>
        <w:rPr>
          <w:rFonts w:hint="eastAsia"/>
          <w:highlight w:val="none"/>
        </w:rPr>
        <w:t>截至2025年底，全市上报问题楼盘68个，已化解67个，化解率达98.53%；保交房完成交付19693套，交付率达到100%，完成了国家下达的不低于80%交付目标。</w:t>
      </w:r>
    </w:p>
    <w:p w14:paraId="788DB5B6">
      <w:pPr>
        <w:keepNext w:val="0"/>
        <w:keepLines w:val="0"/>
        <w:pageBreakBefore w:val="0"/>
        <w:widowControl/>
        <w:kinsoku/>
        <w:wordWrap/>
        <w:overflowPunct w:val="0"/>
        <w:topLinePunct w:val="0"/>
        <w:autoSpaceDE/>
        <w:autoSpaceDN/>
        <w:bidi w:val="0"/>
        <w:adjustRightInd/>
        <w:snapToGrid/>
        <w:spacing w:beforeLines="0" w:afterLines="0"/>
        <w:ind w:firstLineChars="200"/>
        <w:jc w:val="both"/>
        <w:textAlignment w:val="auto"/>
        <w:rPr>
          <w:rFonts w:hint="default" w:cs="Times New Roman"/>
          <w:color w:val="auto"/>
          <w:szCs w:val="32"/>
          <w:highlight w:val="none"/>
          <w:lang w:val="en-US" w:eastAsia="zh-CN"/>
        </w:rPr>
      </w:pPr>
      <w:r>
        <w:rPr>
          <w:rFonts w:hint="eastAsia" w:cs="Times New Roman"/>
          <w:b/>
          <w:bCs/>
          <w:color w:val="auto"/>
          <w:szCs w:val="32"/>
          <w:highlight w:val="none"/>
          <w:lang w:val="en-US" w:eastAsia="zh-CN"/>
        </w:rPr>
        <w:t>二</w:t>
      </w:r>
      <w:r>
        <w:rPr>
          <w:rFonts w:hint="default" w:ascii="Times New Roman" w:hAnsi="Times New Roman" w:cs="Times New Roman"/>
          <w:b/>
          <w:bCs/>
          <w:color w:val="auto"/>
          <w:szCs w:val="32"/>
          <w:highlight w:val="none"/>
          <w:lang w:val="en-US" w:eastAsia="zh-CN"/>
        </w:rPr>
        <w:t>是</w:t>
      </w:r>
      <w:r>
        <w:rPr>
          <w:rFonts w:hint="eastAsia" w:cs="Times New Roman"/>
          <w:b/>
          <w:bCs/>
          <w:color w:val="auto"/>
          <w:szCs w:val="32"/>
          <w:highlight w:val="none"/>
          <w:lang w:val="en-US" w:eastAsia="zh-CN"/>
        </w:rPr>
        <w:t>房地产</w:t>
      </w:r>
      <w:r>
        <w:rPr>
          <w:rFonts w:hint="default" w:ascii="Times New Roman" w:hAnsi="Times New Roman" w:cs="Times New Roman"/>
          <w:b/>
          <w:bCs/>
          <w:color w:val="auto"/>
          <w:szCs w:val="32"/>
          <w:highlight w:val="none"/>
          <w:lang w:val="en-US" w:eastAsia="zh-CN"/>
        </w:rPr>
        <w:t>融资协调机制</w:t>
      </w:r>
      <w:r>
        <w:rPr>
          <w:rFonts w:hint="eastAsia" w:cs="Times New Roman"/>
          <w:b/>
          <w:bCs/>
          <w:color w:val="auto"/>
          <w:szCs w:val="32"/>
          <w:highlight w:val="none"/>
          <w:lang w:val="en-US" w:eastAsia="zh-CN"/>
        </w:rPr>
        <w:t>加快建</w:t>
      </w:r>
      <w:r>
        <w:rPr>
          <w:rFonts w:hint="default" w:ascii="Times New Roman" w:hAnsi="Times New Roman" w:cs="Times New Roman"/>
          <w:b/>
          <w:bCs/>
          <w:color w:val="auto"/>
          <w:szCs w:val="32"/>
          <w:highlight w:val="none"/>
          <w:lang w:val="en-US" w:eastAsia="zh-CN"/>
        </w:rPr>
        <w:t>立。</w:t>
      </w:r>
      <w:r>
        <w:rPr>
          <w:rFonts w:hint="eastAsia" w:cs="Times New Roman"/>
          <w:b w:val="0"/>
          <w:bCs w:val="0"/>
          <w:color w:val="auto"/>
          <w:szCs w:val="32"/>
          <w:highlight w:val="none"/>
          <w:lang w:val="en-US" w:eastAsia="zh-CN"/>
        </w:rPr>
        <w:t>积极开展房地产</w:t>
      </w:r>
      <w:r>
        <w:rPr>
          <w:rFonts w:hint="eastAsia" w:cs="Times New Roman"/>
          <w:b w:val="0"/>
          <w:bCs w:val="0"/>
          <w:color w:val="auto"/>
          <w:szCs w:val="32"/>
          <w:highlight w:val="none"/>
        </w:rPr>
        <w:t>融资协调工作</w:t>
      </w:r>
      <w:r>
        <w:rPr>
          <w:rFonts w:hint="eastAsia" w:cs="Times New Roman"/>
          <w:b w:val="0"/>
          <w:bCs w:val="0"/>
          <w:color w:val="auto"/>
          <w:szCs w:val="32"/>
          <w:highlight w:val="none"/>
          <w:lang w:eastAsia="zh-CN"/>
        </w:rPr>
        <w:t>，</w:t>
      </w:r>
      <w:r>
        <w:rPr>
          <w:rFonts w:hint="default" w:cs="Times New Roman"/>
          <w:b w:val="0"/>
          <w:bCs w:val="0"/>
          <w:color w:val="auto"/>
          <w:szCs w:val="32"/>
          <w:highlight w:val="none"/>
          <w:lang w:val="en-US" w:eastAsia="zh-CN"/>
        </w:rPr>
        <w:t>出台</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《关于建立湛江市房地产融资协调机制的通知</w:t>
      </w:r>
      <w:r>
        <w:rPr>
          <w:rFonts w:hint="eastAsia" w:ascii="Times New Roman" w:hAnsi="Times New Roman" w:cs="Times New Roman"/>
          <w:i w:val="0"/>
          <w:iCs w:val="0"/>
          <w:caps w:val="0"/>
          <w:color w:val="auto"/>
          <w:spacing w:val="0"/>
          <w:kern w:val="0"/>
          <w:sz w:val="32"/>
          <w:szCs w:val="32"/>
          <w:highlight w:val="none"/>
          <w:shd w:val="clear" w:color="auto" w:fill="FFFFFF"/>
          <w:lang w:val="en-US" w:eastAsia="zh-CN" w:bidi="ar"/>
        </w:rPr>
        <w:t>》</w:t>
      </w:r>
      <w:r>
        <w:rPr>
          <w:rFonts w:hint="default"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cs="Times New Roman"/>
          <w:color w:val="auto"/>
          <w:szCs w:val="32"/>
          <w:highlight w:val="none"/>
        </w:rPr>
        <w:t>建立</w:t>
      </w:r>
      <w:r>
        <w:rPr>
          <w:rFonts w:hint="eastAsia" w:cs="Times New Roman"/>
          <w:color w:val="auto"/>
          <w:szCs w:val="32"/>
          <w:highlight w:val="none"/>
          <w:lang w:val="en-US" w:eastAsia="zh-CN"/>
        </w:rPr>
        <w:t>完善房</w:t>
      </w:r>
      <w:r>
        <w:rPr>
          <w:rFonts w:hint="default" w:ascii="Times New Roman" w:hAnsi="Times New Roman" w:cs="Times New Roman"/>
          <w:color w:val="auto"/>
          <w:szCs w:val="32"/>
          <w:highlight w:val="none"/>
        </w:rPr>
        <w:t>地产企业</w:t>
      </w:r>
      <w:r>
        <w:rPr>
          <w:rFonts w:hint="eastAsia" w:ascii="仿宋_GB2312" w:hAnsi="仿宋_GB2312" w:cs="Times New Roman"/>
          <w:color w:val="auto"/>
          <w:szCs w:val="32"/>
          <w:highlight w:val="none"/>
          <w:lang w:eastAsia="zh-CN"/>
        </w:rPr>
        <w:t>“</w:t>
      </w:r>
      <w:r>
        <w:rPr>
          <w:rFonts w:hint="default" w:ascii="Times New Roman" w:hAnsi="Times New Roman" w:cs="Times New Roman"/>
          <w:color w:val="auto"/>
          <w:szCs w:val="32"/>
          <w:highlight w:val="none"/>
        </w:rPr>
        <w:t>白名单</w:t>
      </w:r>
      <w:r>
        <w:rPr>
          <w:rFonts w:hint="eastAsia" w:ascii="仿宋_GB2312" w:hAnsi="仿宋_GB2312" w:cs="Times New Roman"/>
          <w:color w:val="auto"/>
          <w:szCs w:val="32"/>
          <w:highlight w:val="none"/>
          <w:lang w:eastAsia="zh-CN"/>
        </w:rPr>
        <w:t>”</w:t>
      </w:r>
      <w:r>
        <w:rPr>
          <w:rFonts w:hint="default" w:ascii="Times New Roman" w:hAnsi="Times New Roman" w:cs="Times New Roman"/>
          <w:color w:val="auto"/>
          <w:szCs w:val="32"/>
          <w:highlight w:val="none"/>
        </w:rPr>
        <w:t>制度</w:t>
      </w:r>
      <w:r>
        <w:rPr>
          <w:rFonts w:hint="default" w:ascii="Times New Roman" w:hAnsi="Times New Roman" w:cs="Times New Roman"/>
          <w:color w:val="auto"/>
          <w:szCs w:val="32"/>
          <w:highlight w:val="none"/>
          <w:lang w:eastAsia="zh-CN"/>
        </w:rPr>
        <w:t>，</w:t>
      </w:r>
      <w:r>
        <w:rPr>
          <w:rFonts w:hint="eastAsia" w:cs="Times New Roman"/>
          <w:color w:val="auto"/>
          <w:szCs w:val="32"/>
          <w:highlight w:val="none"/>
          <w:lang w:val="en-US" w:eastAsia="zh-CN"/>
        </w:rPr>
        <w:t>切实满足</w:t>
      </w:r>
      <w:r>
        <w:rPr>
          <w:rFonts w:hint="default" w:cs="Times New Roman"/>
          <w:color w:val="auto"/>
          <w:szCs w:val="32"/>
          <w:highlight w:val="none"/>
          <w:lang w:bidi="ar"/>
        </w:rPr>
        <w:t>房地产项目合理融资需求</w:t>
      </w:r>
      <w:r>
        <w:rPr>
          <w:rFonts w:hint="eastAsia" w:cs="Times New Roman"/>
          <w:color w:val="auto"/>
          <w:szCs w:val="32"/>
          <w:highlight w:val="none"/>
          <w:lang w:eastAsia="zh-CN"/>
        </w:rPr>
        <w:t>。</w:t>
      </w:r>
      <w:r>
        <w:rPr>
          <w:rFonts w:hint="eastAsia" w:cs="Times New Roman"/>
          <w:color w:val="auto"/>
          <w:szCs w:val="32"/>
          <w:highlight w:val="none"/>
          <w:lang w:val="en-US" w:eastAsia="zh-CN"/>
        </w:rPr>
        <w:t>出台</w:t>
      </w:r>
      <w:r>
        <w:rPr>
          <w:rFonts w:hint="eastAsia" w:ascii="Times New Roman" w:hAnsi="Times New Roman"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湛江市房地产融资协调机制推送名单申报及审核流程</w:t>
      </w:r>
      <w:r>
        <w:rPr>
          <w:rFonts w:hint="eastAsia" w:ascii="Times New Roman" w:hAnsi="Times New Roman" w:cs="Times New Roman"/>
          <w:i w:val="0"/>
          <w:iCs w:val="0"/>
          <w:caps w:val="0"/>
          <w:color w:val="auto"/>
          <w:spacing w:val="0"/>
          <w:kern w:val="0"/>
          <w:sz w:val="32"/>
          <w:szCs w:val="32"/>
          <w:highlight w:val="none"/>
          <w:shd w:val="clear" w:color="auto" w:fill="FFFFFF"/>
          <w:lang w:val="en-US" w:eastAsia="zh-CN" w:bidi="ar"/>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融资协调机制闭环管理工作指引》</w:t>
      </w:r>
      <w:r>
        <w:rPr>
          <w:rFonts w:hint="default" w:ascii="Times New Roman" w:hAnsi="Times New Roman" w:cs="Times New Roman"/>
          <w:i w:val="0"/>
          <w:iCs w:val="0"/>
          <w:caps w:val="0"/>
          <w:color w:val="auto"/>
          <w:spacing w:val="0"/>
          <w:kern w:val="0"/>
          <w:sz w:val="32"/>
          <w:szCs w:val="32"/>
          <w:highlight w:val="none"/>
          <w:shd w:val="clear" w:color="auto" w:fill="FFFFFF"/>
          <w:lang w:val="en-US" w:eastAsia="zh-CN" w:bidi="ar"/>
        </w:rPr>
        <w:t>等</w:t>
      </w:r>
      <w:r>
        <w:rPr>
          <w:rFonts w:hint="eastAsia" w:cs="Times New Roman"/>
          <w:i w:val="0"/>
          <w:iCs w:val="0"/>
          <w:caps w:val="0"/>
          <w:color w:val="auto"/>
          <w:spacing w:val="0"/>
          <w:kern w:val="0"/>
          <w:sz w:val="32"/>
          <w:szCs w:val="32"/>
          <w:highlight w:val="none"/>
          <w:shd w:val="clear" w:color="auto" w:fill="FFFFFF"/>
          <w:lang w:val="en-US" w:eastAsia="zh-CN" w:bidi="ar"/>
        </w:rPr>
        <w:t>配套</w:t>
      </w:r>
      <w:r>
        <w:rPr>
          <w:rFonts w:hint="default" w:ascii="Times New Roman" w:hAnsi="Times New Roman" w:cs="Times New Roman"/>
          <w:i w:val="0"/>
          <w:iCs w:val="0"/>
          <w:caps w:val="0"/>
          <w:color w:val="auto"/>
          <w:spacing w:val="0"/>
          <w:kern w:val="0"/>
          <w:sz w:val="32"/>
          <w:szCs w:val="32"/>
          <w:highlight w:val="none"/>
          <w:shd w:val="clear" w:color="auto" w:fill="FFFFFF"/>
          <w:lang w:val="en-US" w:eastAsia="zh-CN" w:bidi="ar"/>
        </w:rPr>
        <w:t>文件，</w:t>
      </w:r>
      <w:r>
        <w:rPr>
          <w:rFonts w:hint="eastAsia" w:cs="Times New Roman"/>
          <w:i w:val="0"/>
          <w:iCs w:val="0"/>
          <w:caps w:val="0"/>
          <w:color w:val="auto"/>
          <w:spacing w:val="0"/>
          <w:kern w:val="0"/>
          <w:sz w:val="32"/>
          <w:szCs w:val="32"/>
          <w:highlight w:val="none"/>
          <w:shd w:val="clear" w:color="auto" w:fill="FFFFFF"/>
          <w:lang w:val="en-US" w:eastAsia="zh-CN" w:bidi="ar"/>
        </w:rPr>
        <w:t>进一步</w:t>
      </w:r>
      <w:r>
        <w:rPr>
          <w:rFonts w:hint="default" w:cs="Times New Roman"/>
          <w:color w:val="auto"/>
          <w:kern w:val="0"/>
          <w:szCs w:val="32"/>
          <w:highlight w:val="none"/>
          <w:shd w:val="clear" w:color="auto" w:fill="FFFFFF"/>
          <w:lang w:bidi="ar"/>
        </w:rPr>
        <w:t>规范项目推送名单管理，</w:t>
      </w:r>
      <w:r>
        <w:rPr>
          <w:rFonts w:hint="default" w:ascii="Times New Roman" w:hAnsi="Times New Roman" w:cs="Times New Roman"/>
          <w:color w:val="auto"/>
          <w:szCs w:val="32"/>
          <w:highlight w:val="none"/>
        </w:rPr>
        <w:t>推动符合条件的项目</w:t>
      </w:r>
      <w:r>
        <w:rPr>
          <w:rFonts w:hint="eastAsia" w:ascii="仿宋_GB2312" w:hAnsi="仿宋_GB2312" w:cs="Times New Roman"/>
          <w:color w:val="auto"/>
          <w:szCs w:val="32"/>
          <w:highlight w:val="none"/>
          <w:lang w:eastAsia="zh-CN"/>
        </w:rPr>
        <w:t>“</w:t>
      </w:r>
      <w:r>
        <w:rPr>
          <w:rFonts w:hint="default" w:ascii="Times New Roman" w:hAnsi="Times New Roman" w:cs="Times New Roman"/>
          <w:color w:val="auto"/>
          <w:szCs w:val="32"/>
          <w:highlight w:val="none"/>
        </w:rPr>
        <w:t>应进尽进</w:t>
      </w:r>
      <w:r>
        <w:rPr>
          <w:rFonts w:hint="eastAsia" w:ascii="仿宋_GB2312" w:hAnsi="仿宋_GB2312" w:cs="Times New Roman"/>
          <w:color w:val="auto"/>
          <w:szCs w:val="32"/>
          <w:highlight w:val="none"/>
          <w:lang w:eastAsia="zh-CN"/>
        </w:rPr>
        <w:t>”</w:t>
      </w:r>
      <w:r>
        <w:rPr>
          <w:rFonts w:hint="eastAsia" w:cs="Times New Roman"/>
          <w:color w:val="auto"/>
          <w:kern w:val="0"/>
          <w:szCs w:val="32"/>
          <w:highlight w:val="none"/>
          <w:shd w:val="clear" w:color="auto" w:fill="FFFFFF"/>
          <w:lang w:eastAsia="zh-CN" w:bidi="ar"/>
        </w:rPr>
        <w:t>。</w:t>
      </w:r>
      <w:r>
        <w:rPr>
          <w:rFonts w:hint="eastAsia" w:ascii="仿宋_GB2312" w:hAnsi="仿宋_GB2312" w:cs="Times New Roman"/>
          <w:color w:val="auto"/>
          <w:highlight w:val="none"/>
          <w:lang w:eastAsia="zh-CN"/>
        </w:rPr>
        <w:t>“</w:t>
      </w:r>
      <w:r>
        <w:rPr>
          <w:rFonts w:hint="eastAsia" w:cs="Times New Roman"/>
          <w:color w:val="auto"/>
          <w:highlight w:val="none"/>
        </w:rPr>
        <w:t>十四五</w:t>
      </w:r>
      <w:r>
        <w:rPr>
          <w:rFonts w:hint="eastAsia" w:ascii="仿宋_GB2312" w:hAnsi="仿宋_GB2312" w:cs="Times New Roman"/>
          <w:color w:val="auto"/>
          <w:highlight w:val="none"/>
          <w:lang w:eastAsia="zh-CN"/>
        </w:rPr>
        <w:t>”</w:t>
      </w:r>
      <w:r>
        <w:rPr>
          <w:rFonts w:hint="eastAsia" w:cs="Times New Roman"/>
          <w:color w:val="auto"/>
          <w:highlight w:val="none"/>
        </w:rPr>
        <w:t>期间，房地产项目融资需求资金270.38亿元，累计89个项目获得银行授信批复，已实现放款190.91亿元。</w:t>
      </w:r>
    </w:p>
    <w:p w14:paraId="15581662">
      <w:pPr>
        <w:bidi w:val="0"/>
        <w:spacing w:beforeLines="0" w:afterLines="0"/>
        <w:ind w:firstLine="643"/>
        <w:rPr>
          <w:rFonts w:hint="default" w:ascii="Times New Roman" w:hAnsi="Times New Roman" w:eastAsia="仿宋_GB2312" w:cs="Times New Roman"/>
          <w:i w:val="0"/>
          <w:iCs w:val="0"/>
          <w:caps w:val="0"/>
          <w:color w:val="222222"/>
          <w:spacing w:val="0"/>
          <w:sz w:val="32"/>
          <w:szCs w:val="32"/>
          <w:highlight w:val="none"/>
          <w:shd w:val="clear" w:fill="FFFFFF"/>
          <w:lang w:val="en-US" w:eastAsia="zh-CN"/>
        </w:rPr>
      </w:pPr>
      <w:r>
        <w:rPr>
          <w:rFonts w:hint="eastAsia" w:ascii="Times New Roman" w:hAnsi="Times New Roman" w:cs="Times New Roman"/>
          <w:b/>
          <w:bCs/>
          <w:sz w:val="32"/>
          <w:szCs w:val="32"/>
          <w:highlight w:val="none"/>
          <w:lang w:val="en-US" w:eastAsia="zh-CN"/>
        </w:rPr>
        <w:t>三</w:t>
      </w:r>
      <w:r>
        <w:rPr>
          <w:rFonts w:hint="default" w:ascii="Times New Roman" w:hAnsi="Times New Roman" w:cs="Times New Roman"/>
          <w:b/>
          <w:bCs/>
          <w:sz w:val="32"/>
          <w:szCs w:val="32"/>
          <w:highlight w:val="none"/>
          <w:lang w:val="en-US" w:eastAsia="zh-CN"/>
        </w:rPr>
        <w:t>是市场</w:t>
      </w:r>
      <w:r>
        <w:rPr>
          <w:rFonts w:hint="default" w:ascii="Times New Roman" w:hAnsi="Times New Roman" w:eastAsia="仿宋_GB2312" w:cs="Times New Roman"/>
          <w:b/>
          <w:bCs/>
          <w:sz w:val="32"/>
          <w:szCs w:val="32"/>
          <w:highlight w:val="none"/>
        </w:rPr>
        <w:t>提振政策落地见效</w:t>
      </w:r>
      <w:r>
        <w:rPr>
          <w:rFonts w:hint="default" w:ascii="Times New Roman" w:hAnsi="Times New Roman" w:eastAsia="仿宋_GB2312" w:cs="Times New Roman"/>
          <w:b/>
          <w:bCs/>
          <w:sz w:val="32"/>
          <w:szCs w:val="32"/>
          <w:highlight w:val="none"/>
          <w:lang w:eastAsia="zh-CN"/>
        </w:rPr>
        <w:t>。</w:t>
      </w:r>
      <w:r>
        <w:rPr>
          <w:rFonts w:hint="eastAsia" w:cs="Times New Roman"/>
          <w:b w:val="0"/>
          <w:bCs w:val="0"/>
          <w:sz w:val="32"/>
          <w:szCs w:val="32"/>
          <w:highlight w:val="none"/>
          <w:lang w:val="en-US" w:eastAsia="zh-CN"/>
        </w:rPr>
        <w:t>先后</w:t>
      </w:r>
      <w:r>
        <w:rPr>
          <w:rFonts w:hint="default" w:ascii="Times New Roman" w:hAnsi="Times New Roman" w:cs="Times New Roman"/>
          <w:b w:val="0"/>
          <w:bCs w:val="0"/>
          <w:sz w:val="32"/>
          <w:szCs w:val="32"/>
          <w:highlight w:val="none"/>
          <w:lang w:val="en-US" w:eastAsia="zh-CN"/>
        </w:rPr>
        <w:t>出台</w:t>
      </w:r>
      <w:r>
        <w:rPr>
          <w:rFonts w:hint="default" w:ascii="Times New Roman" w:hAnsi="Times New Roman" w:cs="Times New Roman"/>
          <w:sz w:val="32"/>
          <w:szCs w:val="32"/>
          <w:highlight w:val="none"/>
        </w:rPr>
        <w:t>《湛江市促进房地产市场良性循环和健康发展若干措施》</w:t>
      </w:r>
      <w:r>
        <w:rPr>
          <w:rFonts w:hint="default" w:cs="Times New Roman"/>
          <w:i w:val="0"/>
          <w:iCs w:val="0"/>
          <w:caps w:val="0"/>
          <w:color w:val="auto"/>
          <w:spacing w:val="0"/>
          <w:kern w:val="0"/>
          <w:sz w:val="32"/>
          <w:szCs w:val="32"/>
          <w:highlight w:val="none"/>
          <w:shd w:val="clear" w:color="auto" w:fill="FFFFFF"/>
          <w:lang w:val="en-US" w:eastAsia="zh-CN" w:bidi="ar"/>
        </w:rPr>
        <w:t>《湛江市促进房地产市场平稳健康发展的若干措施》</w:t>
      </w:r>
      <w:r>
        <w:rPr>
          <w:rFonts w:hint="eastAsia" w:cs="Times New Roman"/>
          <w:color w:val="auto"/>
          <w:kern w:val="0"/>
          <w:sz w:val="32"/>
          <w:szCs w:val="32"/>
          <w:highlight w:val="none"/>
          <w:shd w:val="clear" w:color="auto" w:fill="FFFFFF"/>
          <w:lang w:val="en-US" w:eastAsia="zh-CN" w:bidi="ar"/>
        </w:rPr>
        <w:t>等。</w:t>
      </w:r>
      <w:r>
        <w:rPr>
          <w:rFonts w:hint="default" w:ascii="Times New Roman" w:hAnsi="Times New Roman" w:cs="Times New Roman"/>
          <w:sz w:val="32"/>
          <w:szCs w:val="32"/>
          <w:highlight w:val="none"/>
          <w:lang w:val="en-US" w:eastAsia="zh-CN"/>
        </w:rPr>
        <w:t>在供应</w:t>
      </w:r>
      <w:r>
        <w:rPr>
          <w:rFonts w:hint="eastAsia" w:cs="Times New Roman"/>
          <w:sz w:val="32"/>
          <w:szCs w:val="32"/>
          <w:highlight w:val="none"/>
          <w:lang w:val="en-US" w:eastAsia="zh-CN"/>
        </w:rPr>
        <w:t>端，通过优化公共开放空间和配建设施建筑面积计算规则、放宽半开敞空间半计容比例等，</w:t>
      </w:r>
      <w:r>
        <w:rPr>
          <w:rFonts w:hint="eastAsia" w:ascii="仿宋_GB2312" w:hAnsi="仿宋_GB2312" w:eastAsia="仿宋_GB2312" w:cs="仿宋_GB2312"/>
          <w:color w:val="000000"/>
          <w:sz w:val="32"/>
          <w:szCs w:val="32"/>
          <w:highlight w:val="none"/>
          <w:lang w:val="en-US" w:eastAsia="zh-CN"/>
        </w:rPr>
        <w:t>鼓励房地产企业建设高品质居住区；实施土地出让价款分期付款、不动产交易“带押过户”等，优化土地供应管理；</w:t>
      </w:r>
      <w:r>
        <w:rPr>
          <w:rFonts w:hint="default" w:ascii="Times New Roman" w:hAnsi="Times New Roman" w:eastAsia="仿宋_GB2312" w:cs="Times New Roman"/>
          <w:sz w:val="32"/>
          <w:szCs w:val="32"/>
          <w:highlight w:val="none"/>
          <w:shd w:val="clear"/>
          <w:lang w:val="en-US" w:eastAsia="zh-CN"/>
        </w:rPr>
        <w:t>允许</w:t>
      </w:r>
      <w:r>
        <w:rPr>
          <w:rFonts w:hint="default" w:ascii="Times New Roman" w:hAnsi="Times New Roman" w:eastAsia="仿宋_GB2312" w:cs="Times New Roman"/>
          <w:i w:val="0"/>
          <w:iCs w:val="0"/>
          <w:caps w:val="0"/>
          <w:spacing w:val="0"/>
          <w:sz w:val="32"/>
          <w:szCs w:val="32"/>
          <w:highlight w:val="none"/>
          <w:shd w:val="clear"/>
        </w:rPr>
        <w:t>已取得预售许可的未售房源和未取得预售许可的在建楼栋办理在建</w:t>
      </w:r>
      <w:r>
        <w:rPr>
          <w:rFonts w:hint="eastAsia" w:cs="Times New Roman"/>
          <w:i w:val="0"/>
          <w:iCs w:val="0"/>
          <w:caps w:val="0"/>
          <w:spacing w:val="0"/>
          <w:sz w:val="32"/>
          <w:szCs w:val="32"/>
          <w:highlight w:val="none"/>
          <w:shd w:val="clear"/>
          <w:lang w:eastAsia="zh-CN"/>
        </w:rPr>
        <w:t>工程</w:t>
      </w:r>
      <w:r>
        <w:rPr>
          <w:rFonts w:hint="default" w:ascii="Times New Roman" w:hAnsi="Times New Roman" w:eastAsia="仿宋_GB2312" w:cs="Times New Roman"/>
          <w:i w:val="0"/>
          <w:iCs w:val="0"/>
          <w:caps w:val="0"/>
          <w:spacing w:val="0"/>
          <w:sz w:val="32"/>
          <w:szCs w:val="32"/>
          <w:highlight w:val="none"/>
          <w:shd w:val="clear"/>
        </w:rPr>
        <w:t>抵押</w:t>
      </w:r>
      <w:r>
        <w:rPr>
          <w:rFonts w:hint="eastAsia" w:cs="Times New Roman"/>
          <w:i w:val="0"/>
          <w:iCs w:val="0"/>
          <w:caps w:val="0"/>
          <w:spacing w:val="0"/>
          <w:sz w:val="32"/>
          <w:szCs w:val="32"/>
          <w:highlight w:val="none"/>
          <w:shd w:val="clear"/>
          <w:lang w:eastAsia="zh-CN"/>
        </w:rPr>
        <w:t>，</w:t>
      </w:r>
      <w:r>
        <w:rPr>
          <w:rFonts w:hint="default" w:ascii="Times New Roman" w:hAnsi="Times New Roman" w:eastAsia="仿宋_GB2312" w:cs="Times New Roman"/>
          <w:i w:val="0"/>
          <w:iCs w:val="0"/>
          <w:caps w:val="0"/>
          <w:spacing w:val="0"/>
          <w:sz w:val="32"/>
          <w:szCs w:val="32"/>
          <w:highlight w:val="none"/>
          <w:shd w:val="clear"/>
        </w:rPr>
        <w:t>并实施</w:t>
      </w:r>
      <w:r>
        <w:rPr>
          <w:rFonts w:hint="eastAsia" w:ascii="仿宋_GB2312" w:hAnsi="仿宋_GB2312" w:cs="Times New Roman"/>
          <w:i w:val="0"/>
          <w:iCs w:val="0"/>
          <w:caps w:val="0"/>
          <w:spacing w:val="0"/>
          <w:sz w:val="32"/>
          <w:szCs w:val="32"/>
          <w:highlight w:val="none"/>
          <w:shd w:val="clear"/>
          <w:lang w:eastAsia="zh-CN"/>
        </w:rPr>
        <w:t>“</w:t>
      </w:r>
      <w:r>
        <w:rPr>
          <w:rFonts w:hint="default" w:ascii="Times New Roman" w:hAnsi="Times New Roman" w:eastAsia="仿宋_GB2312" w:cs="Times New Roman"/>
          <w:i w:val="0"/>
          <w:iCs w:val="0"/>
          <w:caps w:val="0"/>
          <w:spacing w:val="0"/>
          <w:sz w:val="32"/>
          <w:szCs w:val="32"/>
          <w:highlight w:val="none"/>
          <w:shd w:val="clear"/>
        </w:rPr>
        <w:t>逐套解押</w:t>
      </w:r>
      <w:r>
        <w:rPr>
          <w:rFonts w:hint="eastAsia" w:ascii="仿宋_GB2312" w:hAnsi="仿宋_GB2312" w:cs="Times New Roman"/>
          <w:i w:val="0"/>
          <w:iCs w:val="0"/>
          <w:caps w:val="0"/>
          <w:spacing w:val="0"/>
          <w:sz w:val="32"/>
          <w:szCs w:val="32"/>
          <w:highlight w:val="none"/>
          <w:shd w:val="clear"/>
          <w:lang w:eastAsia="zh-CN"/>
        </w:rPr>
        <w:t>”</w:t>
      </w:r>
      <w:r>
        <w:rPr>
          <w:rFonts w:hint="default" w:ascii="Times New Roman" w:hAnsi="Times New Roman" w:eastAsia="仿宋_GB2312" w:cs="Times New Roman"/>
          <w:i w:val="0"/>
          <w:iCs w:val="0"/>
          <w:caps w:val="0"/>
          <w:spacing w:val="0"/>
          <w:sz w:val="32"/>
          <w:szCs w:val="32"/>
          <w:highlight w:val="none"/>
          <w:shd w:val="clear"/>
          <w:lang w:val="en-US" w:eastAsia="zh-CN"/>
        </w:rPr>
        <w:t>等</w:t>
      </w:r>
      <w:r>
        <w:rPr>
          <w:rFonts w:hint="eastAsia" w:cs="Times New Roman"/>
          <w:i w:val="0"/>
          <w:iCs w:val="0"/>
          <w:caps w:val="0"/>
          <w:spacing w:val="0"/>
          <w:sz w:val="32"/>
          <w:szCs w:val="32"/>
          <w:highlight w:val="none"/>
          <w:shd w:val="clear"/>
          <w:lang w:val="en-US" w:eastAsia="zh-CN"/>
        </w:rPr>
        <w:t>，</w:t>
      </w:r>
      <w:r>
        <w:rPr>
          <w:rFonts w:hint="default" w:ascii="Times New Roman" w:hAnsi="Times New Roman" w:eastAsia="仿宋_GB2312" w:cs="Times New Roman"/>
          <w:i w:val="0"/>
          <w:iCs w:val="0"/>
          <w:caps w:val="0"/>
          <w:spacing w:val="0"/>
          <w:sz w:val="32"/>
          <w:szCs w:val="32"/>
          <w:highlight w:val="none"/>
          <w:shd w:val="clear"/>
        </w:rPr>
        <w:t>合理</w:t>
      </w:r>
      <w:r>
        <w:rPr>
          <w:rFonts w:hint="default" w:ascii="Times New Roman" w:hAnsi="Times New Roman" w:eastAsia="仿宋_GB2312" w:cs="Times New Roman"/>
          <w:i w:val="0"/>
          <w:iCs w:val="0"/>
          <w:caps w:val="0"/>
          <w:spacing w:val="0"/>
          <w:sz w:val="32"/>
          <w:szCs w:val="32"/>
          <w:highlight w:val="none"/>
          <w:shd w:val="clear"/>
          <w:lang w:val="en-US" w:eastAsia="zh-CN"/>
        </w:rPr>
        <w:t>满足</w:t>
      </w:r>
      <w:r>
        <w:rPr>
          <w:rFonts w:hint="default" w:ascii="Times New Roman" w:hAnsi="Times New Roman" w:eastAsia="仿宋_GB2312" w:cs="Times New Roman"/>
          <w:i w:val="0"/>
          <w:iCs w:val="0"/>
          <w:caps w:val="0"/>
          <w:spacing w:val="0"/>
          <w:sz w:val="32"/>
          <w:szCs w:val="32"/>
          <w:highlight w:val="none"/>
          <w:shd w:val="clear"/>
        </w:rPr>
        <w:t>房地产企业</w:t>
      </w:r>
      <w:r>
        <w:rPr>
          <w:rFonts w:hint="default" w:ascii="Times New Roman" w:hAnsi="Times New Roman" w:eastAsia="仿宋_GB2312" w:cs="Times New Roman"/>
          <w:i w:val="0"/>
          <w:iCs w:val="0"/>
          <w:caps w:val="0"/>
          <w:spacing w:val="0"/>
          <w:sz w:val="32"/>
          <w:szCs w:val="32"/>
          <w:highlight w:val="none"/>
          <w:shd w:val="clear"/>
          <w:lang w:val="en-US" w:eastAsia="zh-CN"/>
        </w:rPr>
        <w:t>融资需求</w:t>
      </w:r>
      <w:r>
        <w:rPr>
          <w:rFonts w:hint="default" w:ascii="Times New Roman" w:hAnsi="Times New Roman" w:cs="Times New Roman"/>
          <w:i w:val="0"/>
          <w:iCs w:val="0"/>
          <w:caps w:val="0"/>
          <w:spacing w:val="0"/>
          <w:sz w:val="32"/>
          <w:szCs w:val="32"/>
          <w:highlight w:val="none"/>
          <w:shd w:val="clear"/>
          <w:lang w:val="en-US" w:eastAsia="zh-CN"/>
        </w:rPr>
        <w:t>，</w:t>
      </w:r>
      <w:r>
        <w:rPr>
          <w:rFonts w:ascii="Times New Roman" w:hAnsi="Times New Roman" w:eastAsia="仿宋_GB2312" w:cs="Times New Roman"/>
          <w:sz w:val="32"/>
          <w:szCs w:val="32"/>
          <w:highlight w:val="none"/>
        </w:rPr>
        <w:t>稳固行业发展信心</w:t>
      </w:r>
      <w:r>
        <w:rPr>
          <w:rFonts w:hint="default" w:ascii="Times New Roman" w:hAnsi="Times New Roman" w:cs="Times New Roman"/>
          <w:i w:val="0"/>
          <w:iCs w:val="0"/>
          <w:caps w:val="0"/>
          <w:spacing w:val="0"/>
          <w:sz w:val="32"/>
          <w:szCs w:val="32"/>
          <w:highlight w:val="none"/>
          <w:shd w:val="clear"/>
          <w:lang w:val="en-US" w:eastAsia="zh-CN"/>
        </w:rPr>
        <w:t>。在需求端，</w:t>
      </w:r>
      <w:r>
        <w:rPr>
          <w:rFonts w:hint="eastAsia" w:cs="Times New Roman"/>
          <w:i w:val="0"/>
          <w:iCs w:val="0"/>
          <w:caps w:val="0"/>
          <w:spacing w:val="0"/>
          <w:sz w:val="32"/>
          <w:szCs w:val="32"/>
          <w:highlight w:val="none"/>
          <w:shd w:val="clear"/>
          <w:lang w:val="en-US" w:eastAsia="zh-CN"/>
        </w:rPr>
        <w:t>实行</w:t>
      </w:r>
      <w:r>
        <w:rPr>
          <w:rFonts w:hint="eastAsia" w:ascii="仿宋_GB2312" w:hAnsi="仿宋_GB2312" w:cs="Times New Roman"/>
          <w:i w:val="0"/>
          <w:iCs w:val="0"/>
          <w:caps w:val="0"/>
          <w:spacing w:val="0"/>
          <w:sz w:val="32"/>
          <w:szCs w:val="32"/>
          <w:highlight w:val="none"/>
          <w:shd w:val="clear"/>
          <w:lang w:val="en-US" w:eastAsia="zh-CN"/>
        </w:rPr>
        <w:t>“</w:t>
      </w:r>
      <w:r>
        <w:rPr>
          <w:rFonts w:hint="eastAsia" w:cs="Times New Roman"/>
          <w:i w:val="0"/>
          <w:iCs w:val="0"/>
          <w:caps w:val="0"/>
          <w:spacing w:val="0"/>
          <w:sz w:val="32"/>
          <w:szCs w:val="32"/>
          <w:highlight w:val="none"/>
          <w:shd w:val="clear"/>
          <w:lang w:val="en-US" w:eastAsia="zh-CN"/>
        </w:rPr>
        <w:t>认房不认贷</w:t>
      </w:r>
      <w:r>
        <w:rPr>
          <w:rFonts w:hint="eastAsia" w:ascii="仿宋_GB2312" w:hAnsi="仿宋_GB2312" w:cs="Times New Roman"/>
          <w:i w:val="0"/>
          <w:iCs w:val="0"/>
          <w:caps w:val="0"/>
          <w:spacing w:val="0"/>
          <w:sz w:val="32"/>
          <w:szCs w:val="32"/>
          <w:highlight w:val="none"/>
          <w:shd w:val="clear"/>
          <w:lang w:val="en-US" w:eastAsia="zh-CN"/>
        </w:rPr>
        <w:t>”</w:t>
      </w:r>
      <w:r>
        <w:rPr>
          <w:rFonts w:hint="eastAsia" w:cs="Times New Roman"/>
          <w:i w:val="0"/>
          <w:iCs w:val="0"/>
          <w:caps w:val="0"/>
          <w:spacing w:val="0"/>
          <w:sz w:val="32"/>
          <w:szCs w:val="32"/>
          <w:highlight w:val="none"/>
          <w:shd w:val="clear"/>
          <w:lang w:val="en-US" w:eastAsia="zh-CN"/>
        </w:rPr>
        <w:t>、</w:t>
      </w:r>
      <w:r>
        <w:rPr>
          <w:rFonts w:hint="default" w:cs="Times New Roman"/>
          <w:highlight w:val="none"/>
        </w:rPr>
        <w:t>降低首付比例</w:t>
      </w:r>
      <w:r>
        <w:rPr>
          <w:rFonts w:hint="eastAsia" w:cs="Times New Roman"/>
          <w:highlight w:val="none"/>
          <w:lang w:eastAsia="zh-CN"/>
        </w:rPr>
        <w:t>、</w:t>
      </w:r>
      <w:r>
        <w:rPr>
          <w:rFonts w:hint="default" w:ascii="Times New Roman" w:hAnsi="Times New Roman" w:eastAsia="仿宋_GB2312" w:cs="Times New Roman"/>
          <w:i w:val="0"/>
          <w:iCs w:val="0"/>
          <w:caps w:val="0"/>
          <w:spacing w:val="0"/>
          <w:sz w:val="32"/>
          <w:szCs w:val="32"/>
          <w:highlight w:val="none"/>
          <w:shd w:val="clear"/>
          <w:lang w:val="en-US" w:eastAsia="zh-CN"/>
        </w:rPr>
        <w:t>提高</w:t>
      </w:r>
      <w:r>
        <w:rPr>
          <w:rFonts w:hint="default" w:ascii="Times New Roman" w:hAnsi="Times New Roman" w:eastAsia="仿宋_GB2312" w:cs="Times New Roman"/>
          <w:i w:val="0"/>
          <w:iCs w:val="0"/>
          <w:caps w:val="0"/>
          <w:spacing w:val="0"/>
          <w:sz w:val="32"/>
          <w:szCs w:val="32"/>
          <w:highlight w:val="none"/>
          <w:shd w:val="clear"/>
        </w:rPr>
        <w:t>住房公积金</w:t>
      </w:r>
      <w:r>
        <w:rPr>
          <w:rFonts w:hint="default" w:ascii="Times New Roman" w:hAnsi="Times New Roman" w:eastAsia="仿宋_GB2312" w:cs="Times New Roman"/>
          <w:i w:val="0"/>
          <w:iCs w:val="0"/>
          <w:caps w:val="0"/>
          <w:spacing w:val="0"/>
          <w:sz w:val="32"/>
          <w:szCs w:val="32"/>
          <w:highlight w:val="none"/>
          <w:shd w:val="clear"/>
          <w:lang w:val="en-US" w:eastAsia="zh-CN"/>
        </w:rPr>
        <w:t>贷款额度</w:t>
      </w:r>
      <w:r>
        <w:rPr>
          <w:rFonts w:hint="default" w:ascii="Times New Roman" w:hAnsi="Times New Roman" w:cs="Times New Roman"/>
          <w:i w:val="0"/>
          <w:iCs w:val="0"/>
          <w:caps w:val="0"/>
          <w:spacing w:val="0"/>
          <w:sz w:val="32"/>
          <w:szCs w:val="32"/>
          <w:highlight w:val="none"/>
          <w:shd w:val="clear"/>
          <w:lang w:val="en-US" w:eastAsia="zh-CN"/>
        </w:rPr>
        <w:t>等</w:t>
      </w:r>
      <w:r>
        <w:rPr>
          <w:rFonts w:hint="default" w:ascii="Times New Roman" w:hAnsi="Times New Roman" w:eastAsia="仿宋_GB2312" w:cs="Times New Roman"/>
          <w:i w:val="0"/>
          <w:iCs w:val="0"/>
          <w:caps w:val="0"/>
          <w:spacing w:val="0"/>
          <w:sz w:val="32"/>
          <w:szCs w:val="32"/>
          <w:highlight w:val="none"/>
          <w:shd w:val="clear"/>
          <w:lang w:eastAsia="zh-CN"/>
        </w:rPr>
        <w:t>，</w:t>
      </w:r>
      <w:r>
        <w:rPr>
          <w:rFonts w:hint="default" w:ascii="Times New Roman" w:hAnsi="Times New Roman" w:eastAsia="仿宋_GB2312" w:cs="Times New Roman"/>
          <w:sz w:val="32"/>
          <w:szCs w:val="32"/>
          <w:highlight w:val="none"/>
        </w:rPr>
        <w:t>强化居民购房金融支持</w:t>
      </w:r>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lang w:val="en-US" w:eastAsia="zh-CN"/>
        </w:rPr>
        <w:t>2025年，</w:t>
      </w:r>
      <w:r>
        <w:rPr>
          <w:rFonts w:hint="default" w:ascii="Times New Roman" w:hAnsi="Times New Roman" w:cs="Times New Roman"/>
          <w:highlight w:val="none"/>
        </w:rPr>
        <w:t>市场预期逐步企稳</w:t>
      </w:r>
      <w:r>
        <w:rPr>
          <w:rFonts w:hint="default" w:ascii="Times New Roman" w:hAnsi="Times New Roman" w:cs="Times New Roman"/>
          <w:sz w:val="32"/>
          <w:szCs w:val="32"/>
          <w:highlight w:val="none"/>
          <w:lang w:val="en-US" w:eastAsia="zh-CN"/>
        </w:rPr>
        <w:t>，</w:t>
      </w:r>
      <w:r>
        <w:rPr>
          <w:rFonts w:hint="eastAsia" w:cs="Times New Roman"/>
          <w:sz w:val="32"/>
          <w:szCs w:val="32"/>
          <w:highlight w:val="none"/>
          <w:lang w:val="en-US" w:eastAsia="zh-CN"/>
        </w:rPr>
        <w:t>全市</w:t>
      </w:r>
      <w:r>
        <w:rPr>
          <w:rFonts w:hint="default" w:ascii="Times New Roman" w:hAnsi="Times New Roman" w:cs="Times New Roman"/>
          <w:color w:val="auto"/>
          <w:szCs w:val="32"/>
          <w:highlight w:val="none"/>
          <w:lang w:val="en-US" w:eastAsia="zh-CN"/>
        </w:rPr>
        <w:t>商品</w:t>
      </w:r>
      <w:r>
        <w:rPr>
          <w:rFonts w:hint="eastAsia" w:cs="Times New Roman"/>
          <w:color w:val="auto"/>
          <w:szCs w:val="32"/>
          <w:highlight w:val="none"/>
          <w:lang w:val="en-US" w:eastAsia="zh-CN"/>
        </w:rPr>
        <w:t>住</w:t>
      </w:r>
      <w:r>
        <w:rPr>
          <w:rFonts w:hint="default" w:ascii="Times New Roman" w:hAnsi="Times New Roman" w:cs="Times New Roman"/>
          <w:color w:val="auto"/>
          <w:szCs w:val="32"/>
          <w:highlight w:val="none"/>
          <w:lang w:val="en-US" w:eastAsia="zh-CN"/>
        </w:rPr>
        <w:t>房批准预售面积</w:t>
      </w:r>
      <w:r>
        <w:rPr>
          <w:rFonts w:hint="eastAsia" w:cs="Times New Roman"/>
          <w:color w:val="auto"/>
          <w:szCs w:val="32"/>
          <w:highlight w:val="none"/>
          <w:lang w:val="en-US" w:eastAsia="zh-CN"/>
        </w:rPr>
        <w:t>为</w:t>
      </w:r>
      <w:r>
        <w:rPr>
          <w:rFonts w:hint="default" w:cs="Times New Roman"/>
          <w:highlight w:val="none"/>
        </w:rPr>
        <w:t>222.74</w:t>
      </w:r>
      <w:r>
        <w:rPr>
          <w:rFonts w:hint="default" w:ascii="Times New Roman" w:hAnsi="Times New Roman" w:cs="Times New Roman"/>
          <w:color w:val="auto"/>
          <w:szCs w:val="32"/>
          <w:highlight w:val="none"/>
          <w:lang w:val="en-US" w:eastAsia="zh-CN"/>
        </w:rPr>
        <w:t>万平方米，同比增长</w:t>
      </w:r>
      <w:r>
        <w:rPr>
          <w:rFonts w:hint="eastAsia" w:cs="Times New Roman"/>
          <w:color w:val="auto"/>
          <w:szCs w:val="32"/>
          <w:highlight w:val="none"/>
          <w:lang w:val="en-US" w:eastAsia="zh-CN"/>
        </w:rPr>
        <w:t>4</w:t>
      </w:r>
      <w:r>
        <w:rPr>
          <w:rFonts w:hint="default" w:ascii="Times New Roman" w:hAnsi="Times New Roman" w:cs="Times New Roman"/>
          <w:highlight w:val="none"/>
        </w:rPr>
        <w:t>.</w:t>
      </w:r>
      <w:r>
        <w:rPr>
          <w:rFonts w:hint="eastAsia" w:cs="Times New Roman"/>
          <w:highlight w:val="none"/>
          <w:lang w:val="en-US" w:eastAsia="zh-CN"/>
        </w:rPr>
        <w:t>59</w:t>
      </w:r>
      <w:r>
        <w:rPr>
          <w:rFonts w:hint="default" w:ascii="Times New Roman" w:hAnsi="Times New Roman" w:cs="Times New Roman"/>
          <w:highlight w:val="none"/>
        </w:rPr>
        <w:t>%</w:t>
      </w:r>
      <w:r>
        <w:rPr>
          <w:rFonts w:hint="default" w:ascii="Times New Roman" w:hAnsi="Times New Roman" w:cs="Times New Roman"/>
          <w:highlight w:val="none"/>
          <w:lang w:eastAsia="zh-CN"/>
        </w:rPr>
        <w:t>，</w:t>
      </w:r>
      <w:r>
        <w:rPr>
          <w:rFonts w:hint="eastAsia" w:ascii="仿宋_GB2312" w:hAnsi="仿宋_GB2312" w:cs="Times New Roman"/>
          <w:highlight w:val="none"/>
          <w:lang w:eastAsia="zh-CN"/>
        </w:rPr>
        <w:t>“</w:t>
      </w:r>
      <w:r>
        <w:rPr>
          <w:rFonts w:hint="default" w:ascii="Times New Roman" w:hAnsi="Times New Roman" w:cs="Times New Roman"/>
          <w:highlight w:val="none"/>
          <w:lang w:val="en-US" w:eastAsia="zh-CN"/>
        </w:rPr>
        <w:t>十四五</w:t>
      </w:r>
      <w:r>
        <w:rPr>
          <w:rFonts w:hint="eastAsia" w:ascii="仿宋_GB2312" w:hAnsi="仿宋_GB2312" w:cs="Times New Roman"/>
          <w:highlight w:val="none"/>
          <w:lang w:eastAsia="zh-CN"/>
        </w:rPr>
        <w:t>”</w:t>
      </w:r>
      <w:r>
        <w:rPr>
          <w:rFonts w:hint="default" w:ascii="Times New Roman" w:hAnsi="Times New Roman" w:cs="Times New Roman"/>
          <w:highlight w:val="none"/>
          <w:lang w:val="en-US" w:eastAsia="zh-CN"/>
        </w:rPr>
        <w:t>期间首次恢复正增长</w:t>
      </w:r>
      <w:r>
        <w:rPr>
          <w:rFonts w:hint="default" w:ascii="Times New Roman" w:hAnsi="Times New Roman" w:cs="Times New Roman"/>
          <w:highlight w:val="none"/>
          <w:lang w:eastAsia="zh-CN"/>
        </w:rPr>
        <w:t>；</w:t>
      </w:r>
      <w:r>
        <w:rPr>
          <w:rFonts w:hint="default" w:ascii="Times New Roman" w:hAnsi="Times New Roman" w:cs="Times New Roman"/>
          <w:color w:val="auto"/>
          <w:highlight w:val="none"/>
        </w:rPr>
        <w:t>商品住房库存面积较2022年峰值减少228.20万平方米，去化周期缩短2.4个月。</w:t>
      </w:r>
    </w:p>
    <w:p w14:paraId="1B9622DA">
      <w:pPr>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b/>
          <w:bCs/>
          <w:highlight w:val="none"/>
          <w:lang w:val="en-US" w:eastAsia="zh-CN"/>
        </w:rPr>
        <w:t>四是市场秩序持续优化。</w:t>
      </w:r>
      <w:r>
        <w:rPr>
          <w:rFonts w:hint="eastAsia"/>
          <w:b w:val="0"/>
          <w:bCs w:val="0"/>
          <w:highlight w:val="none"/>
        </w:rPr>
        <w:t>加</w:t>
      </w:r>
      <w:r>
        <w:rPr>
          <w:rFonts w:hint="eastAsia"/>
          <w:b w:val="0"/>
          <w:bCs w:val="0"/>
          <w:highlight w:val="none"/>
          <w:lang w:val="en-US" w:eastAsia="zh-CN"/>
        </w:rPr>
        <w:t>快落实</w:t>
      </w:r>
      <w:r>
        <w:rPr>
          <w:rFonts w:hint="eastAsia"/>
          <w:b w:val="0"/>
          <w:bCs w:val="0"/>
          <w:highlight w:val="none"/>
        </w:rPr>
        <w:t>房地产经纪机构备案管理</w:t>
      </w:r>
      <w:r>
        <w:rPr>
          <w:rFonts w:hint="eastAsia"/>
          <w:b w:val="0"/>
          <w:bCs w:val="0"/>
          <w:highlight w:val="none"/>
          <w:lang w:val="en-US" w:eastAsia="zh-CN"/>
        </w:rPr>
        <w:t>制度</w:t>
      </w:r>
      <w:r>
        <w:rPr>
          <w:rFonts w:hint="eastAsia"/>
          <w:b w:val="0"/>
          <w:bCs w:val="0"/>
          <w:highlight w:val="none"/>
          <w:lang w:eastAsia="zh-CN"/>
        </w:rPr>
        <w:t>，</w:t>
      </w:r>
      <w:r>
        <w:rPr>
          <w:rFonts w:hint="eastAsia"/>
          <w:b w:val="0"/>
          <w:bCs w:val="0"/>
          <w:highlight w:val="none"/>
          <w:lang w:val="en-US" w:eastAsia="zh-CN"/>
        </w:rPr>
        <w:t>积极开展</w:t>
      </w:r>
      <w:r>
        <w:rPr>
          <w:rFonts w:hint="eastAsia" w:ascii="Times New Roman" w:hAnsi="Times New Roman" w:eastAsia="仿宋_GB2312" w:cstheme="minorBidi"/>
          <w:sz w:val="32"/>
          <w:szCs w:val="32"/>
          <w:highlight w:val="none"/>
          <w:lang w:eastAsia="zh-CN"/>
        </w:rPr>
        <w:t>房地产经纪机构</w:t>
      </w:r>
      <w:r>
        <w:rPr>
          <w:rFonts w:hint="eastAsia" w:ascii="Times New Roman" w:hAnsi="Times New Roman" w:eastAsia="仿宋_GB2312" w:cstheme="minorBidi"/>
          <w:sz w:val="32"/>
          <w:szCs w:val="32"/>
          <w:highlight w:val="none"/>
          <w:lang w:val="en-US" w:eastAsia="zh-CN"/>
        </w:rPr>
        <w:t>专项整治活动，</w:t>
      </w:r>
      <w:r>
        <w:rPr>
          <w:rFonts w:hint="eastAsia"/>
          <w:highlight w:val="none"/>
          <w:lang w:val="en-US" w:eastAsia="zh-CN"/>
        </w:rPr>
        <w:t>出台《</w:t>
      </w:r>
      <w:r>
        <w:rPr>
          <w:rFonts w:hint="eastAsia"/>
          <w:highlight w:val="none"/>
        </w:rPr>
        <w:t>关于加强房地产经纪机构管理规范房地产交易秩序的通知》《湛江市住房和城乡建设局房地产经纪机构专项整治工作方案》</w:t>
      </w:r>
      <w:r>
        <w:rPr>
          <w:rFonts w:hint="eastAsia"/>
          <w:highlight w:val="none"/>
          <w:lang w:val="en-US" w:eastAsia="zh-CN"/>
        </w:rPr>
        <w:t>等，持续加大对房地产开发企业、房地产中介机构及从业人员、住房租赁机构等市场主体违法违规行为</w:t>
      </w:r>
      <w:r>
        <w:rPr>
          <w:rFonts w:hint="eastAsia" w:ascii="Times New Roman" w:hAnsi="Times New Roman" w:eastAsia="仿宋_GB2312" w:cstheme="minorBidi"/>
          <w:sz w:val="32"/>
          <w:szCs w:val="32"/>
          <w:highlight w:val="none"/>
        </w:rPr>
        <w:t>的查处</w:t>
      </w:r>
      <w:r>
        <w:rPr>
          <w:rFonts w:hint="eastAsia" w:cstheme="minorBidi"/>
          <w:sz w:val="32"/>
          <w:szCs w:val="32"/>
          <w:highlight w:val="none"/>
          <w:lang w:val="en-US" w:eastAsia="zh-CN"/>
        </w:rPr>
        <w:t>和</w:t>
      </w:r>
      <w:r>
        <w:rPr>
          <w:rFonts w:hint="eastAsia" w:ascii="Times New Roman" w:hAnsi="Times New Roman" w:eastAsia="仿宋_GB2312" w:cstheme="minorBidi"/>
          <w:sz w:val="32"/>
          <w:szCs w:val="32"/>
          <w:highlight w:val="none"/>
        </w:rPr>
        <w:t>整治力度</w:t>
      </w:r>
      <w:r>
        <w:rPr>
          <w:rFonts w:hint="eastAsia"/>
          <w:highlight w:val="none"/>
          <w:lang w:val="en-US" w:eastAsia="zh-CN"/>
        </w:rPr>
        <w:t>，</w:t>
      </w:r>
      <w:r>
        <w:rPr>
          <w:rFonts w:hint="eastAsia"/>
          <w:highlight w:val="none"/>
        </w:rPr>
        <w:t>有效规范市场秩序，稳定市场预期。</w:t>
      </w:r>
    </w:p>
    <w:p w14:paraId="432D15B7">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3.住房保障体系不断健全，保障覆盖人群持续扩大。</w:t>
      </w:r>
    </w:p>
    <w:p w14:paraId="5526577F">
      <w:pPr>
        <w:keepNext w:val="0"/>
        <w:keepLines w:val="0"/>
        <w:pageBreakBefore w:val="0"/>
        <w:widowControl/>
        <w:kinsoku/>
        <w:wordWrap/>
        <w:overflowPunct/>
        <w:topLinePunct w:val="0"/>
        <w:autoSpaceDE/>
        <w:autoSpaceDN/>
        <w:bidi w:val="0"/>
        <w:adjustRightInd/>
        <w:snapToGrid/>
        <w:spacing w:beforeLines="0" w:afterLines="0"/>
        <w:ind w:leftChars="0" w:firstLine="643"/>
        <w:jc w:val="both"/>
        <w:textAlignment w:val="auto"/>
        <w:rPr>
          <w:rFonts w:hint="eastAsia" w:eastAsia="仿宋_GB2312" w:cs="Times New Roman"/>
          <w:color w:val="FF0000"/>
          <w:szCs w:val="24"/>
          <w:highlight w:val="none"/>
          <w:lang w:val="en-US" w:eastAsia="zh-CN"/>
        </w:rPr>
      </w:pPr>
      <w:r>
        <w:rPr>
          <w:rFonts w:hint="eastAsia" w:cs="Times New Roman"/>
          <w:b/>
          <w:bCs w:val="0"/>
          <w:sz w:val="32"/>
          <w:szCs w:val="32"/>
          <w:highlight w:val="none"/>
          <w:lang w:val="en-US" w:eastAsia="zh-CN"/>
        </w:rPr>
        <w:t>一</w:t>
      </w:r>
      <w:r>
        <w:rPr>
          <w:rFonts w:hint="eastAsia" w:ascii="Times New Roman" w:hAnsi="Times New Roman" w:cs="Times New Roman"/>
          <w:b/>
          <w:bCs w:val="0"/>
          <w:sz w:val="32"/>
          <w:szCs w:val="32"/>
          <w:highlight w:val="none"/>
          <w:lang w:val="en-US" w:eastAsia="zh-CN"/>
        </w:rPr>
        <w:t>是公租房</w:t>
      </w:r>
      <w:r>
        <w:rPr>
          <w:rFonts w:hint="eastAsia" w:cs="Times New Roman"/>
          <w:b/>
          <w:bCs w:val="0"/>
          <w:sz w:val="32"/>
          <w:szCs w:val="32"/>
          <w:highlight w:val="none"/>
          <w:lang w:val="en-US" w:eastAsia="zh-CN"/>
        </w:rPr>
        <w:t>保障提质扩面。</w:t>
      </w:r>
      <w:r>
        <w:rPr>
          <w:rFonts w:hint="eastAsia" w:ascii="Times New Roman" w:hAnsi="Times New Roman" w:eastAsia="仿宋_GB2312" w:cs="Times New Roman"/>
          <w:sz w:val="32"/>
          <w:szCs w:val="32"/>
          <w:highlight w:val="none"/>
        </w:rPr>
        <w:t>进一步</w:t>
      </w:r>
      <w:r>
        <w:rPr>
          <w:rFonts w:hint="eastAsia" w:cs="Times New Roman"/>
          <w:highlight w:val="none"/>
        </w:rPr>
        <w:t>拓宽政策惠及</w:t>
      </w:r>
      <w:r>
        <w:rPr>
          <w:rFonts w:hint="eastAsia" w:cs="Times New Roman"/>
          <w:highlight w:val="none"/>
          <w:lang w:val="en-US" w:eastAsia="zh-CN"/>
        </w:rPr>
        <w:t>群体范围，</w:t>
      </w:r>
      <w:r>
        <w:rPr>
          <w:rFonts w:hint="eastAsia" w:ascii="Times New Roman" w:hAnsi="Times New Roman" w:cs="Times New Roman"/>
          <w:highlight w:val="none"/>
          <w:lang w:val="en-US" w:eastAsia="zh-CN"/>
        </w:rPr>
        <w:t>修订《</w:t>
      </w:r>
      <w:r>
        <w:rPr>
          <w:rFonts w:hint="eastAsia" w:cs="Times New Roman"/>
          <w:highlight w:val="none"/>
          <w:lang w:val="en-US" w:eastAsia="zh-CN"/>
        </w:rPr>
        <w:t>湛江市</w:t>
      </w:r>
      <w:r>
        <w:rPr>
          <w:rFonts w:hint="eastAsia" w:ascii="Times New Roman" w:hAnsi="Times New Roman" w:cs="Times New Roman"/>
          <w:highlight w:val="none"/>
          <w:lang w:val="en-US" w:eastAsia="zh-CN"/>
        </w:rPr>
        <w:t>市区公共租赁住房管理办法》</w:t>
      </w:r>
      <w:r>
        <w:rPr>
          <w:rFonts w:hint="eastAsia" w:cs="Times New Roman"/>
          <w:highlight w:val="none"/>
          <w:lang w:eastAsia="zh-CN"/>
        </w:rPr>
        <w:t>，</w:t>
      </w:r>
      <w:r>
        <w:rPr>
          <w:rFonts w:hint="eastAsia" w:cs="Times New Roman"/>
          <w:highlight w:val="none"/>
          <w:lang w:val="en-US" w:eastAsia="zh-CN"/>
        </w:rPr>
        <w:t>放宽保障群体准入条件，将</w:t>
      </w:r>
      <w:r>
        <w:rPr>
          <w:rFonts w:hint="eastAsia" w:cs="Times New Roman"/>
          <w:highlight w:val="none"/>
        </w:rPr>
        <w:t>人均住房建筑面积</w:t>
      </w:r>
      <w:r>
        <w:rPr>
          <w:rFonts w:hint="eastAsia" w:cs="Times New Roman"/>
          <w:highlight w:val="none"/>
          <w:lang w:val="en-US" w:eastAsia="zh-CN"/>
        </w:rPr>
        <w:t>准入</w:t>
      </w:r>
      <w:r>
        <w:rPr>
          <w:rFonts w:hint="eastAsia" w:cs="Times New Roman"/>
          <w:highlight w:val="none"/>
        </w:rPr>
        <w:t>标准</w:t>
      </w:r>
      <w:r>
        <w:rPr>
          <w:rFonts w:hint="eastAsia" w:cs="Times New Roman"/>
          <w:highlight w:val="none"/>
          <w:lang w:val="en-US" w:eastAsia="zh-CN"/>
        </w:rPr>
        <w:t>由</w:t>
      </w:r>
      <w:r>
        <w:rPr>
          <w:rFonts w:hint="eastAsia" w:cs="Times New Roman"/>
          <w:highlight w:val="none"/>
        </w:rPr>
        <w:t>10平方米</w:t>
      </w:r>
      <w:r>
        <w:rPr>
          <w:rFonts w:hint="eastAsia" w:cs="Times New Roman"/>
          <w:highlight w:val="none"/>
          <w:lang w:val="en-US" w:eastAsia="zh-CN"/>
        </w:rPr>
        <w:t>调整至</w:t>
      </w:r>
      <w:r>
        <w:rPr>
          <w:rFonts w:hint="eastAsia" w:cs="Times New Roman"/>
          <w:highlight w:val="none"/>
        </w:rPr>
        <w:t>13平方米</w:t>
      </w:r>
      <w:r>
        <w:rPr>
          <w:rFonts w:hint="eastAsia" w:cs="Times New Roman"/>
          <w:highlight w:val="none"/>
          <w:lang w:eastAsia="zh-CN"/>
        </w:rPr>
        <w:t>；</w:t>
      </w:r>
      <w:r>
        <w:rPr>
          <w:rFonts w:hint="eastAsia" w:cs="Times New Roman"/>
          <w:highlight w:val="none"/>
          <w:lang w:val="en-US" w:eastAsia="zh-CN"/>
        </w:rPr>
        <w:t>加大对</w:t>
      </w:r>
      <w:r>
        <w:rPr>
          <w:rFonts w:hint="eastAsia" w:cs="Times New Roman"/>
          <w:highlight w:val="none"/>
        </w:rPr>
        <w:t>新就业人员、外来务工人员</w:t>
      </w:r>
      <w:r>
        <w:rPr>
          <w:rFonts w:hint="eastAsia" w:cs="Times New Roman"/>
          <w:highlight w:val="none"/>
          <w:lang w:val="en-US" w:eastAsia="zh-CN"/>
        </w:rPr>
        <w:t>的住房保障支持力度，将</w:t>
      </w:r>
      <w:r>
        <w:rPr>
          <w:rFonts w:hint="eastAsia" w:cs="Times New Roman"/>
          <w:highlight w:val="none"/>
        </w:rPr>
        <w:t>青年教师、青年医生、环卫工人、公交司机等</w:t>
      </w:r>
      <w:r>
        <w:rPr>
          <w:rFonts w:hint="eastAsia" w:cs="Times New Roman"/>
          <w:highlight w:val="none"/>
          <w:lang w:val="en-US" w:eastAsia="zh-CN"/>
        </w:rPr>
        <w:t>重点群体纳入保障范围</w:t>
      </w:r>
      <w:r>
        <w:rPr>
          <w:rFonts w:hint="eastAsia" w:ascii="CESI仿宋-GB2312" w:hAnsi="CESI仿宋-GB2312" w:eastAsia="CESI仿宋-GB2312" w:cs="CESI仿宋-GB2312"/>
          <w:sz w:val="32"/>
          <w:szCs w:val="32"/>
          <w:highlight w:val="none"/>
          <w:lang w:val="en-US" w:eastAsia="zh-CN"/>
        </w:rPr>
        <w:t>；</w:t>
      </w:r>
      <w:r>
        <w:rPr>
          <w:rFonts w:hint="eastAsia" w:ascii="Times New Roman" w:hAnsi="Times New Roman" w:eastAsia="仿宋_GB2312" w:cs="Times New Roman"/>
          <w:sz w:val="32"/>
          <w:szCs w:val="32"/>
          <w:highlight w:val="none"/>
        </w:rPr>
        <w:t>针对</w:t>
      </w:r>
      <w:r>
        <w:rPr>
          <w:rFonts w:hint="eastAsia" w:cs="Times New Roman"/>
          <w:sz w:val="32"/>
          <w:szCs w:val="32"/>
          <w:highlight w:val="none"/>
          <w:lang w:eastAsia="zh-CN"/>
        </w:rPr>
        <w:t>公益性岗位</w:t>
      </w:r>
      <w:r>
        <w:rPr>
          <w:rFonts w:hint="eastAsia" w:ascii="Times New Roman" w:hAnsi="Times New Roman" w:eastAsia="仿宋_GB2312" w:cs="Times New Roman"/>
          <w:sz w:val="32"/>
          <w:szCs w:val="32"/>
          <w:highlight w:val="none"/>
        </w:rPr>
        <w:t>群体实施定向配租</w:t>
      </w:r>
      <w:r>
        <w:rPr>
          <w:rFonts w:hint="eastAsia" w:cs="Times New Roman"/>
          <w:sz w:val="32"/>
          <w:szCs w:val="32"/>
          <w:highlight w:val="none"/>
          <w:lang w:eastAsia="zh-CN"/>
        </w:rPr>
        <w:t>，</w:t>
      </w:r>
      <w:r>
        <w:rPr>
          <w:rFonts w:hint="eastAsia" w:cs="Times New Roman"/>
          <w:highlight w:val="none"/>
        </w:rPr>
        <w:t>精准保障基层公共服务从业者住房需求</w:t>
      </w:r>
      <w:r>
        <w:rPr>
          <w:rFonts w:hint="eastAsia" w:cs="Times New Roman"/>
          <w:sz w:val="32"/>
          <w:szCs w:val="32"/>
          <w:highlight w:val="none"/>
          <w:lang w:val="en-US" w:eastAsia="zh-CN"/>
        </w:rPr>
        <w:t>。</w:t>
      </w:r>
      <w:r>
        <w:rPr>
          <w:rFonts w:hint="eastAsia" w:ascii="仿宋_GB2312" w:hAnsi="仿宋" w:cs="Times New Roman"/>
          <w:color w:val="auto"/>
          <w:highlight w:val="none"/>
        </w:rPr>
        <w:t>持续完善公租房小区配套设施建设，开展监控系统升级、消防隐患治理、基础设施维修更新、充电桩加装等工作，</w:t>
      </w:r>
      <w:r>
        <w:rPr>
          <w:rFonts w:hint="eastAsia" w:ascii="仿宋_GB2312" w:hAnsi="仿宋" w:cs="Times New Roman"/>
          <w:color w:val="auto"/>
          <w:highlight w:val="none"/>
          <w:lang w:val="en-US" w:eastAsia="zh-CN"/>
        </w:rPr>
        <w:t>着力</w:t>
      </w:r>
      <w:r>
        <w:rPr>
          <w:rFonts w:hint="eastAsia" w:ascii="仿宋_GB2312" w:hAnsi="仿宋" w:cs="Times New Roman"/>
          <w:color w:val="auto"/>
          <w:highlight w:val="none"/>
        </w:rPr>
        <w:t>解决群众急难愁盼问题，不断优化居住环境。</w:t>
      </w:r>
      <w:r>
        <w:rPr>
          <w:rFonts w:hint="eastAsia" w:ascii="仿宋_GB2312" w:hAnsi="仿宋_GB2312" w:cs="Times New Roman"/>
          <w:color w:val="auto"/>
          <w:highlight w:val="none"/>
          <w:lang w:val="en-US" w:eastAsia="zh-CN"/>
        </w:rPr>
        <w:t>“</w:t>
      </w:r>
      <w:r>
        <w:rPr>
          <w:rFonts w:hint="eastAsia" w:cs="Times New Roman"/>
          <w:color w:val="auto"/>
          <w:highlight w:val="none"/>
          <w:lang w:val="en-US" w:eastAsia="zh-CN"/>
        </w:rPr>
        <w:t>十四五</w:t>
      </w:r>
      <w:r>
        <w:rPr>
          <w:rFonts w:hint="eastAsia" w:ascii="仿宋_GB2312" w:hAnsi="仿宋_GB2312" w:cs="Times New Roman"/>
          <w:color w:val="auto"/>
          <w:highlight w:val="none"/>
          <w:lang w:val="en-US" w:eastAsia="zh-CN"/>
        </w:rPr>
        <w:t>”</w:t>
      </w:r>
      <w:r>
        <w:rPr>
          <w:rFonts w:hint="eastAsia" w:cs="Times New Roman"/>
          <w:color w:val="auto"/>
          <w:highlight w:val="none"/>
          <w:lang w:val="en-US" w:eastAsia="zh-CN"/>
        </w:rPr>
        <w:t>期间</w:t>
      </w:r>
      <w:r>
        <w:rPr>
          <w:rFonts w:hint="eastAsia" w:cs="Times New Roman"/>
          <w:color w:val="auto"/>
          <w:szCs w:val="32"/>
          <w:highlight w:val="none"/>
          <w:lang w:val="en-US" w:eastAsia="zh-CN"/>
        </w:rPr>
        <w:t>，全市</w:t>
      </w:r>
      <w:r>
        <w:rPr>
          <w:rFonts w:hint="eastAsia" w:ascii="Times New Roman" w:hAnsi="Times New Roman" w:cs="Times New Roman"/>
          <w:color w:val="auto"/>
          <w:szCs w:val="32"/>
          <w:highlight w:val="none"/>
          <w:lang w:val="en-US" w:eastAsia="zh-CN"/>
        </w:rPr>
        <w:t>累计</w:t>
      </w:r>
      <w:r>
        <w:rPr>
          <w:rFonts w:hint="eastAsia"/>
          <w:color w:val="auto"/>
          <w:highlight w:val="none"/>
          <w:lang w:val="en-US" w:eastAsia="zh-CN"/>
        </w:rPr>
        <w:t>筹建公租房2500套，累计</w:t>
      </w:r>
      <w:r>
        <w:rPr>
          <w:rFonts w:hint="default" w:ascii="Times New Roman" w:hAnsi="Times New Roman" w:cs="Times New Roman"/>
          <w:color w:val="auto"/>
          <w:szCs w:val="24"/>
          <w:highlight w:val="none"/>
          <w:lang w:val="en-US" w:eastAsia="zh-CN"/>
        </w:rPr>
        <w:t>发放租赁补贴</w:t>
      </w:r>
      <w:r>
        <w:rPr>
          <w:rFonts w:hint="eastAsia" w:cs="Times New Roman"/>
          <w:color w:val="auto"/>
          <w:szCs w:val="24"/>
          <w:highlight w:val="none"/>
          <w:lang w:val="en-US" w:eastAsia="zh-CN"/>
        </w:rPr>
        <w:t>6455</w:t>
      </w:r>
      <w:r>
        <w:rPr>
          <w:rFonts w:hint="default" w:ascii="Times New Roman" w:hAnsi="Times New Roman" w:cs="Times New Roman"/>
          <w:color w:val="auto"/>
          <w:szCs w:val="24"/>
          <w:highlight w:val="none"/>
          <w:lang w:val="en-US" w:eastAsia="zh-CN"/>
        </w:rPr>
        <w:t>户</w:t>
      </w:r>
      <w:r>
        <w:rPr>
          <w:rFonts w:hint="eastAsia" w:cs="Times New Roman"/>
          <w:color w:val="auto"/>
          <w:szCs w:val="24"/>
          <w:highlight w:val="none"/>
          <w:lang w:val="en-US" w:eastAsia="zh-CN"/>
        </w:rPr>
        <w:t>、</w:t>
      </w:r>
      <w:r>
        <w:rPr>
          <w:rFonts w:hint="eastAsia" w:cs="Times New Roman"/>
          <w:color w:val="auto"/>
          <w:szCs w:val="24"/>
          <w:highlight w:val="none"/>
        </w:rPr>
        <w:t>超1000万元</w:t>
      </w:r>
      <w:r>
        <w:rPr>
          <w:rFonts w:hint="eastAsia" w:cs="Times New Roman"/>
          <w:color w:val="auto"/>
          <w:szCs w:val="24"/>
          <w:highlight w:val="none"/>
          <w:lang w:val="en-US" w:eastAsia="zh-CN"/>
        </w:rPr>
        <w:t>。</w:t>
      </w:r>
    </w:p>
    <w:p w14:paraId="01556F3C">
      <w:pPr>
        <w:widowControl/>
        <w:spacing w:beforeLines="0" w:afterLines="0"/>
        <w:ind w:firstLine="643" w:firstLineChars="200"/>
        <w:rPr>
          <w:rFonts w:hint="default" w:ascii="Times New Roman" w:hAnsi="Times New Roman" w:cs="Times New Roman"/>
          <w:color w:val="auto"/>
          <w:highlight w:val="none"/>
          <w:lang w:val="en-US" w:eastAsia="zh-CN"/>
        </w:rPr>
      </w:pPr>
      <w:r>
        <w:rPr>
          <w:rFonts w:hint="eastAsia" w:ascii="Times New Roman" w:hAnsi="Times New Roman" w:cs="Times New Roman"/>
          <w:b/>
          <w:bCs/>
          <w:color w:val="auto"/>
          <w:szCs w:val="32"/>
          <w:highlight w:val="none"/>
          <w:lang w:val="en-US" w:eastAsia="zh-CN"/>
        </w:rPr>
        <w:t>二是</w:t>
      </w:r>
      <w:r>
        <w:rPr>
          <w:rFonts w:hint="eastAsia" w:cs="Times New Roman"/>
          <w:b/>
          <w:bCs/>
          <w:color w:val="auto"/>
          <w:szCs w:val="32"/>
          <w:highlight w:val="none"/>
          <w:lang w:val="en-US" w:eastAsia="zh-CN"/>
        </w:rPr>
        <w:t>保障性租赁住房筹建扎实</w:t>
      </w:r>
      <w:r>
        <w:rPr>
          <w:rFonts w:hint="eastAsia" w:cs="Times New Roman"/>
          <w:b/>
          <w:bCs/>
          <w:color w:val="auto"/>
          <w:highlight w:val="none"/>
          <w:lang w:val="en-US" w:eastAsia="zh-CN"/>
        </w:rPr>
        <w:t>推进。</w:t>
      </w:r>
      <w:r>
        <w:rPr>
          <w:rFonts w:hint="eastAsia" w:cs="Times New Roman"/>
          <w:color w:val="auto"/>
          <w:highlight w:val="none"/>
        </w:rPr>
        <w:t>持续提升保障性租赁住房规范化管理水平，出台《湛江市市区保障性租赁住房管理办法（试行）》，对政府组织配租、社会组织配租两类保障性租赁住房，分类明确准入条件和小户型面积管理要求。充分发挥市场机制作用，印发《湛江市加快发展保障性租赁住房实施意见》，明确非居住存量房屋改建、存量住房调整等</w:t>
      </w:r>
      <w:r>
        <w:rPr>
          <w:rFonts w:hint="eastAsia" w:ascii="Times New Roman" w:hAnsi="Times New Roman" w:cs="Times New Roman"/>
          <w:color w:val="auto"/>
          <w:highlight w:val="none"/>
          <w:lang w:eastAsia="zh-CN"/>
        </w:rPr>
        <w:t>七</w:t>
      </w:r>
      <w:r>
        <w:rPr>
          <w:rFonts w:hint="eastAsia" w:cs="Times New Roman"/>
          <w:color w:val="auto"/>
          <w:highlight w:val="none"/>
          <w:lang w:val="en-US" w:eastAsia="zh-CN"/>
        </w:rPr>
        <w:t>种</w:t>
      </w:r>
      <w:r>
        <w:rPr>
          <w:rFonts w:hint="eastAsia" w:cs="Times New Roman"/>
          <w:color w:val="auto"/>
          <w:highlight w:val="none"/>
        </w:rPr>
        <w:t>房源筹集渠道，结合存量房源去化进一步拓宽供给来源；强化财</w:t>
      </w:r>
      <w:r>
        <w:rPr>
          <w:rFonts w:hint="eastAsia" w:cs="Times New Roman"/>
          <w:color w:val="auto"/>
          <w:highlight w:val="none"/>
          <w:lang w:val="en-US" w:eastAsia="zh-CN"/>
        </w:rPr>
        <w:t>政</w:t>
      </w:r>
      <w:r>
        <w:rPr>
          <w:rFonts w:hint="eastAsia" w:cs="Times New Roman"/>
          <w:color w:val="auto"/>
          <w:highlight w:val="none"/>
        </w:rPr>
        <w:t>、金融等政策</w:t>
      </w:r>
      <w:r>
        <w:rPr>
          <w:rFonts w:hint="eastAsia" w:cs="Times New Roman"/>
          <w:color w:val="auto"/>
          <w:highlight w:val="none"/>
          <w:lang w:val="en-US" w:eastAsia="zh-CN"/>
        </w:rPr>
        <w:t>支持</w:t>
      </w:r>
      <w:r>
        <w:rPr>
          <w:rFonts w:hint="eastAsia" w:cs="Times New Roman"/>
          <w:color w:val="auto"/>
          <w:highlight w:val="none"/>
        </w:rPr>
        <w:t>，</w:t>
      </w:r>
      <w:r>
        <w:rPr>
          <w:rFonts w:hint="eastAsia" w:cs="Times New Roman"/>
          <w:color w:val="auto"/>
          <w:highlight w:val="none"/>
          <w:lang w:val="en-US" w:eastAsia="zh-CN"/>
        </w:rPr>
        <w:t>积极</w:t>
      </w:r>
      <w:r>
        <w:rPr>
          <w:rFonts w:hint="eastAsia" w:cs="Times New Roman"/>
          <w:color w:val="auto"/>
          <w:highlight w:val="none"/>
        </w:rPr>
        <w:t>落实专项资金、税收优惠、费用减免等，有效调动社会资本参与积极性。重点推进工业园区、产业园区宿舍型保障性租赁住房</w:t>
      </w:r>
      <w:r>
        <w:rPr>
          <w:rFonts w:hint="eastAsia" w:cs="Times New Roman"/>
          <w:color w:val="auto"/>
          <w:highlight w:val="none"/>
          <w:lang w:val="en-US" w:eastAsia="zh-CN"/>
        </w:rPr>
        <w:t>筹建</w:t>
      </w:r>
      <w:r>
        <w:rPr>
          <w:rFonts w:hint="eastAsia" w:cs="Times New Roman"/>
          <w:color w:val="auto"/>
          <w:highlight w:val="none"/>
        </w:rPr>
        <w:t>，切实缓解企业用工留人难题。</w:t>
      </w:r>
      <w:r>
        <w:rPr>
          <w:rFonts w:hint="eastAsia" w:ascii="仿宋_GB2312" w:hAnsi="仿宋_GB2312" w:cs="Times New Roman"/>
          <w:color w:val="auto"/>
          <w:highlight w:val="none"/>
          <w:lang w:eastAsia="zh-CN"/>
        </w:rPr>
        <w:t>“</w:t>
      </w:r>
      <w:r>
        <w:rPr>
          <w:rFonts w:hint="eastAsia" w:cs="Times New Roman"/>
          <w:color w:val="auto"/>
          <w:highlight w:val="none"/>
        </w:rPr>
        <w:t>十四五</w:t>
      </w:r>
      <w:r>
        <w:rPr>
          <w:rFonts w:hint="eastAsia" w:ascii="仿宋_GB2312" w:hAnsi="仿宋_GB2312" w:cs="Times New Roman"/>
          <w:color w:val="auto"/>
          <w:highlight w:val="none"/>
          <w:lang w:eastAsia="zh-CN"/>
        </w:rPr>
        <w:t>”</w:t>
      </w:r>
      <w:r>
        <w:rPr>
          <w:rFonts w:hint="eastAsia" w:cs="Times New Roman"/>
          <w:color w:val="auto"/>
          <w:highlight w:val="none"/>
          <w:lang w:val="en-US" w:eastAsia="zh-CN"/>
        </w:rPr>
        <w:t>期间</w:t>
      </w:r>
      <w:r>
        <w:rPr>
          <w:rFonts w:hint="eastAsia" w:cs="Times New Roman"/>
          <w:color w:val="auto"/>
          <w:highlight w:val="none"/>
        </w:rPr>
        <w:t>，全市累计筹建</w:t>
      </w:r>
      <w:r>
        <w:rPr>
          <w:rFonts w:hint="eastAsia" w:cs="Times New Roman"/>
          <w:color w:val="auto"/>
          <w:highlight w:val="none"/>
          <w:lang w:val="en-US" w:eastAsia="zh-CN"/>
        </w:rPr>
        <w:t>保障性租赁住房</w:t>
      </w:r>
      <w:r>
        <w:rPr>
          <w:rFonts w:hint="eastAsia" w:cs="Times New Roman"/>
          <w:color w:val="auto"/>
          <w:highlight w:val="none"/>
        </w:rPr>
        <w:t>71</w:t>
      </w:r>
      <w:r>
        <w:rPr>
          <w:rFonts w:hint="eastAsia" w:cs="Times New Roman"/>
          <w:color w:val="auto"/>
          <w:highlight w:val="none"/>
          <w:lang w:val="en-US" w:eastAsia="zh-CN"/>
        </w:rPr>
        <w:t>93</w:t>
      </w:r>
      <w:r>
        <w:rPr>
          <w:rFonts w:hint="eastAsia" w:cs="Times New Roman"/>
          <w:color w:val="auto"/>
          <w:highlight w:val="none"/>
        </w:rPr>
        <w:t>套，超额完成省下达的</w:t>
      </w:r>
      <w:r>
        <w:rPr>
          <w:rFonts w:hint="eastAsia" w:cs="Times New Roman"/>
          <w:color w:val="auto"/>
          <w:highlight w:val="none"/>
          <w:lang w:val="en-US" w:eastAsia="zh-CN"/>
        </w:rPr>
        <w:t>7000套筹建</w:t>
      </w:r>
      <w:r>
        <w:rPr>
          <w:rFonts w:hint="eastAsia" w:cs="Times New Roman"/>
          <w:color w:val="auto"/>
          <w:highlight w:val="none"/>
        </w:rPr>
        <w:t>任务</w:t>
      </w:r>
      <w:r>
        <w:rPr>
          <w:rFonts w:hint="default" w:cs="Times New Roman"/>
          <w:color w:val="auto"/>
          <w:highlight w:val="none"/>
          <w:lang w:val="en-US" w:eastAsia="zh-CN"/>
        </w:rPr>
        <w:t>。</w:t>
      </w:r>
    </w:p>
    <w:p w14:paraId="11A9AB09">
      <w:pPr>
        <w:pStyle w:val="17"/>
        <w:spacing w:beforeLines="0" w:afterLines="0"/>
        <w:ind w:firstLine="643"/>
        <w:rPr>
          <w:rFonts w:hint="eastAsia" w:ascii="Times New Roman" w:hAnsi="Times New Roman" w:cs="Times New Roman"/>
          <w:color w:val="auto"/>
          <w:highlight w:val="none"/>
          <w:lang w:val="en-US" w:eastAsia="zh-CN"/>
        </w:rPr>
      </w:pPr>
      <w:r>
        <w:rPr>
          <w:rFonts w:hint="eastAsia" w:ascii="Times New Roman" w:hAnsi="Times New Roman" w:cs="Times New Roman"/>
          <w:b/>
          <w:bCs/>
          <w:color w:val="auto"/>
          <w:szCs w:val="32"/>
          <w:highlight w:val="none"/>
          <w:lang w:val="en-US" w:eastAsia="zh-CN"/>
        </w:rPr>
        <w:t>三是人才安居</w:t>
      </w:r>
      <w:r>
        <w:rPr>
          <w:rFonts w:hint="eastAsia" w:cs="Times New Roman"/>
          <w:b/>
          <w:bCs/>
          <w:color w:val="auto"/>
          <w:szCs w:val="32"/>
          <w:highlight w:val="none"/>
          <w:lang w:val="en-US" w:eastAsia="zh-CN"/>
        </w:rPr>
        <w:t>制度</w:t>
      </w:r>
      <w:r>
        <w:rPr>
          <w:rFonts w:hint="eastAsia" w:ascii="Times New Roman" w:hAnsi="Times New Roman" w:cs="Times New Roman"/>
          <w:b/>
          <w:bCs/>
          <w:color w:val="auto"/>
          <w:szCs w:val="32"/>
          <w:highlight w:val="none"/>
          <w:lang w:val="en-US" w:eastAsia="zh-CN"/>
        </w:rPr>
        <w:t>体系</w:t>
      </w:r>
      <w:r>
        <w:rPr>
          <w:rFonts w:hint="eastAsia" w:cs="Times New Roman"/>
          <w:b/>
          <w:bCs/>
          <w:color w:val="auto"/>
          <w:szCs w:val="32"/>
          <w:highlight w:val="none"/>
          <w:lang w:val="en-US" w:eastAsia="zh-CN"/>
        </w:rPr>
        <w:t>不断健全</w:t>
      </w:r>
      <w:r>
        <w:rPr>
          <w:rFonts w:hint="eastAsia" w:ascii="Times New Roman" w:hAnsi="Times New Roman" w:cs="Times New Roman"/>
          <w:b/>
          <w:bCs/>
          <w:color w:val="auto"/>
          <w:szCs w:val="32"/>
          <w:highlight w:val="none"/>
          <w:lang w:val="en-US" w:eastAsia="zh-CN"/>
        </w:rPr>
        <w:t>。</w:t>
      </w:r>
      <w:r>
        <w:rPr>
          <w:rFonts w:hint="eastAsia" w:ascii="Times New Roman" w:hAnsi="Times New Roman" w:eastAsia="仿宋_GB2312" w:cs="Times New Roman"/>
          <w:color w:val="auto"/>
          <w:sz w:val="32"/>
          <w:szCs w:val="32"/>
          <w:highlight w:val="none"/>
        </w:rPr>
        <w:t>扎实推进人才安居保障工作</w:t>
      </w:r>
      <w:r>
        <w:rPr>
          <w:rFonts w:hint="eastAsia" w:cs="Times New Roman"/>
          <w:color w:val="auto"/>
          <w:highlight w:val="none"/>
          <w:lang w:val="en-US" w:eastAsia="zh-CN"/>
        </w:rPr>
        <w:t>，</w:t>
      </w:r>
      <w:r>
        <w:rPr>
          <w:rFonts w:hint="eastAsia" w:ascii="Times New Roman" w:hAnsi="Times New Roman" w:eastAsia="仿宋_GB2312" w:cs="Times New Roman"/>
          <w:color w:val="auto"/>
          <w:sz w:val="32"/>
          <w:szCs w:val="32"/>
          <w:highlight w:val="none"/>
        </w:rPr>
        <w:t>构建</w:t>
      </w:r>
      <w:r>
        <w:rPr>
          <w:rStyle w:val="24"/>
          <w:rFonts w:hint="eastAsia" w:ascii="Times New Roman" w:hAnsi="Times New Roman" w:eastAsia="仿宋_GB2312" w:cs="Times New Roman"/>
          <w:b w:val="0"/>
          <w:bCs w:val="0"/>
          <w:color w:val="auto"/>
          <w:sz w:val="32"/>
          <w:szCs w:val="32"/>
          <w:highlight w:val="none"/>
        </w:rPr>
        <w:t>实物保障与货币补贴</w:t>
      </w:r>
      <w:r>
        <w:rPr>
          <w:rFonts w:hint="eastAsia" w:ascii="Times New Roman" w:hAnsi="Times New Roman" w:cs="Times New Roman"/>
          <w:b w:val="0"/>
          <w:bCs w:val="0"/>
          <w:color w:val="auto"/>
          <w:sz w:val="32"/>
          <w:szCs w:val="32"/>
          <w:highlight w:val="none"/>
          <w:lang w:eastAsia="zh-CN"/>
        </w:rPr>
        <w:t>双轨</w:t>
      </w:r>
      <w:r>
        <w:rPr>
          <w:rStyle w:val="24"/>
          <w:rFonts w:hint="eastAsia" w:ascii="Times New Roman" w:hAnsi="Times New Roman" w:eastAsia="仿宋_GB2312" w:cs="Times New Roman"/>
          <w:b w:val="0"/>
          <w:bCs w:val="0"/>
          <w:color w:val="auto"/>
          <w:sz w:val="32"/>
          <w:szCs w:val="32"/>
          <w:highlight w:val="none"/>
          <w:lang w:val="en-US" w:eastAsia="zh-CN"/>
        </w:rPr>
        <w:t>并行</w:t>
      </w:r>
      <w:r>
        <w:rPr>
          <w:rFonts w:hint="eastAsia" w:ascii="Times New Roman" w:hAnsi="Times New Roman" w:eastAsia="仿宋_GB2312" w:cs="Times New Roman"/>
          <w:color w:val="auto"/>
          <w:sz w:val="32"/>
          <w:szCs w:val="32"/>
          <w:highlight w:val="none"/>
        </w:rPr>
        <w:t>的人才安居保障体系</w:t>
      </w:r>
      <w:r>
        <w:rPr>
          <w:rFonts w:hint="eastAsia" w:ascii="Times New Roman" w:hAnsi="Times New Roman" w:eastAsia="仿宋_GB2312" w:cs="Times New Roman"/>
          <w:color w:val="auto"/>
          <w:sz w:val="32"/>
          <w:szCs w:val="32"/>
          <w:highlight w:val="none"/>
          <w:lang w:eastAsia="zh-CN"/>
        </w:rPr>
        <w:t>。</w:t>
      </w:r>
      <w:r>
        <w:rPr>
          <w:rFonts w:hint="eastAsia" w:cs="Times New Roman"/>
          <w:b w:val="0"/>
          <w:bCs w:val="0"/>
          <w:color w:val="auto"/>
          <w:szCs w:val="32"/>
          <w:highlight w:val="none"/>
          <w:lang w:val="en-US" w:eastAsia="zh-CN"/>
        </w:rPr>
        <w:t>实物保障方面，</w:t>
      </w:r>
      <w:r>
        <w:rPr>
          <w:rStyle w:val="24"/>
          <w:rFonts w:hint="eastAsia" w:ascii="Times New Roman" w:hAnsi="Times New Roman" w:eastAsia="仿宋_GB2312" w:cs="Times New Roman"/>
          <w:b w:val="0"/>
          <w:bCs w:val="0"/>
          <w:color w:val="auto"/>
          <w:sz w:val="32"/>
          <w:szCs w:val="32"/>
          <w:highlight w:val="none"/>
        </w:rPr>
        <w:t>结合城市更新统筹配建人才公寓，持续扩大房源供给</w:t>
      </w:r>
      <w:r>
        <w:rPr>
          <w:rStyle w:val="28"/>
          <w:rFonts w:hint="eastAsia" w:ascii="Times New Roman" w:hAnsi="Times New Roman" w:eastAsia="仿宋_GB2312" w:cs="Times New Roman"/>
          <w:b w:val="0"/>
          <w:bCs w:val="0"/>
          <w:color w:val="auto"/>
          <w:sz w:val="32"/>
          <w:szCs w:val="32"/>
          <w:highlight w:val="none"/>
        </w:rPr>
        <w:footnoteReference w:id="1"/>
      </w:r>
      <w:r>
        <w:rPr>
          <w:rStyle w:val="24"/>
          <w:rFonts w:hint="eastAsia" w:cs="Times New Roman"/>
          <w:b w:val="0"/>
          <w:bCs w:val="0"/>
          <w:color w:val="auto"/>
          <w:sz w:val="32"/>
          <w:szCs w:val="32"/>
          <w:highlight w:val="none"/>
          <w:lang w:eastAsia="zh-CN"/>
        </w:rPr>
        <w:t>；</w:t>
      </w:r>
      <w:r>
        <w:rPr>
          <w:rFonts w:hint="eastAsia" w:cs="Times New Roman"/>
          <w:b w:val="0"/>
          <w:bCs w:val="0"/>
          <w:color w:val="auto"/>
          <w:szCs w:val="32"/>
          <w:highlight w:val="none"/>
          <w:lang w:val="en-US" w:eastAsia="zh-CN"/>
        </w:rPr>
        <w:t>持续优化人才公寓管理服务，结合发展需求</w:t>
      </w:r>
      <w:r>
        <w:rPr>
          <w:rFonts w:hint="eastAsia" w:ascii="Times New Roman" w:hAnsi="Times New Roman" w:cs="Times New Roman"/>
          <w:b w:val="0"/>
          <w:bCs w:val="0"/>
          <w:color w:val="auto"/>
          <w:szCs w:val="32"/>
          <w:highlight w:val="none"/>
          <w:lang w:val="en-US" w:eastAsia="zh-CN"/>
        </w:rPr>
        <w:t>修订</w:t>
      </w:r>
      <w:r>
        <w:rPr>
          <w:rFonts w:hint="eastAsia" w:ascii="Times New Roman" w:hAnsi="Times New Roman" w:cs="Times New Roman"/>
          <w:color w:val="auto"/>
          <w:highlight w:val="none"/>
          <w:lang w:val="en-US" w:eastAsia="zh-CN"/>
        </w:rPr>
        <w:t>《湛江市市区人才公寓管理办法》</w:t>
      </w:r>
      <w:r>
        <w:rPr>
          <w:rFonts w:hint="eastAsia" w:cs="Times New Roman"/>
          <w:color w:val="auto"/>
          <w:highlight w:val="none"/>
          <w:lang w:val="en-US" w:eastAsia="zh-CN"/>
        </w:rPr>
        <w:t>，明确C类人才和市委、市政府确定的特殊人才累计租住不超过3年，简化符合条件的A类、B类人才续租流程，持续优化人才服务保障</w:t>
      </w:r>
      <w:r>
        <w:rPr>
          <w:rFonts w:hint="eastAsia" w:ascii="Times New Roman" w:hAnsi="Times New Roman" w:eastAsia="仿宋_GB2312" w:cs="Times New Roman"/>
          <w:color w:val="auto"/>
          <w:sz w:val="32"/>
          <w:szCs w:val="32"/>
          <w:highlight w:val="none"/>
          <w:lang w:eastAsia="zh-CN"/>
        </w:rPr>
        <w:t>。</w:t>
      </w:r>
      <w:r>
        <w:rPr>
          <w:rFonts w:hint="eastAsia" w:cs="Times New Roman"/>
          <w:color w:val="auto"/>
          <w:highlight w:val="none"/>
          <w:lang w:val="en-US" w:eastAsia="zh-CN"/>
        </w:rPr>
        <w:t>货币保障方面</w:t>
      </w:r>
      <w:r>
        <w:rPr>
          <w:rFonts w:hint="eastAsia" w:ascii="Times New Roman" w:hAnsi="Times New Roman" w:eastAsia="仿宋_GB2312" w:cs="Times New Roman"/>
          <w:color w:val="auto"/>
          <w:sz w:val="32"/>
          <w:szCs w:val="32"/>
          <w:highlight w:val="none"/>
        </w:rPr>
        <w:t>，提高购房补贴标准、放宽年龄限制等，进一步</w:t>
      </w:r>
      <w:r>
        <w:rPr>
          <w:rFonts w:hint="eastAsia" w:cs="Times New Roman"/>
          <w:color w:val="auto"/>
          <w:sz w:val="32"/>
          <w:szCs w:val="32"/>
          <w:highlight w:val="none"/>
          <w:lang w:eastAsia="zh-CN"/>
        </w:rPr>
        <w:t>加大</w:t>
      </w:r>
      <w:r>
        <w:rPr>
          <w:rFonts w:hint="eastAsia" w:ascii="Times New Roman" w:hAnsi="Times New Roman" w:eastAsia="仿宋_GB2312" w:cs="Times New Roman"/>
          <w:color w:val="auto"/>
          <w:sz w:val="32"/>
          <w:szCs w:val="32"/>
          <w:highlight w:val="none"/>
        </w:rPr>
        <w:t>对高层次人才购房安居</w:t>
      </w:r>
      <w:r>
        <w:rPr>
          <w:rFonts w:hint="eastAsia" w:cs="Times New Roman"/>
          <w:color w:val="auto"/>
          <w:sz w:val="32"/>
          <w:szCs w:val="32"/>
          <w:highlight w:val="none"/>
          <w:lang w:eastAsia="zh-CN"/>
        </w:rPr>
        <w:t>的支持</w:t>
      </w:r>
      <w:r>
        <w:rPr>
          <w:rFonts w:hint="eastAsia" w:ascii="Times New Roman" w:hAnsi="Times New Roman" w:eastAsia="仿宋_GB2312" w:cs="Times New Roman"/>
          <w:color w:val="auto"/>
          <w:sz w:val="32"/>
          <w:szCs w:val="32"/>
          <w:highlight w:val="none"/>
        </w:rPr>
        <w:t>力度。</w:t>
      </w:r>
      <w:r>
        <w:rPr>
          <w:rFonts w:hint="eastAsia" w:ascii="Times New Roman" w:hAnsi="Times New Roman" w:cs="Times New Roman"/>
          <w:color w:val="auto"/>
          <w:sz w:val="32"/>
          <w:szCs w:val="32"/>
          <w:highlight w:val="none"/>
          <w:lang w:val="en-US" w:eastAsia="zh-CN"/>
        </w:rPr>
        <w:t>2025年，</w:t>
      </w:r>
      <w:r>
        <w:rPr>
          <w:rFonts w:hint="eastAsia" w:cs="Times New Roman"/>
          <w:color w:val="auto"/>
          <w:highlight w:val="none"/>
        </w:rPr>
        <w:t>为高层次人才配租</w:t>
      </w:r>
      <w:r>
        <w:rPr>
          <w:rFonts w:hint="eastAsia" w:cs="Times New Roman"/>
          <w:color w:val="auto"/>
          <w:highlight w:val="none"/>
          <w:lang w:val="en-US" w:eastAsia="zh-CN"/>
        </w:rPr>
        <w:t>人才公寓</w:t>
      </w:r>
      <w:r>
        <w:rPr>
          <w:rFonts w:hint="eastAsia" w:cs="Times New Roman"/>
          <w:color w:val="auto"/>
          <w:highlight w:val="none"/>
        </w:rPr>
        <w:t>1391套</w:t>
      </w:r>
      <w:r>
        <w:rPr>
          <w:rFonts w:hint="eastAsia" w:cs="Times New Roman"/>
          <w:color w:val="auto"/>
          <w:highlight w:val="none"/>
          <w:lang w:eastAsia="zh-CN"/>
        </w:rPr>
        <w:t>，并为7名领军人才发放住房补贴共计320万元</w:t>
      </w:r>
      <w:r>
        <w:rPr>
          <w:rFonts w:hint="eastAsia" w:cs="Times New Roman"/>
          <w:color w:val="auto"/>
          <w:highlight w:val="none"/>
        </w:rPr>
        <w:t>。</w:t>
      </w:r>
    </w:p>
    <w:p w14:paraId="571E88E3">
      <w:pPr>
        <w:keepNext w:val="0"/>
        <w:keepLines w:val="0"/>
        <w:pageBreakBefore w:val="0"/>
        <w:widowControl/>
        <w:kinsoku/>
        <w:wordWrap/>
        <w:overflowPunct/>
        <w:topLinePunct w:val="0"/>
        <w:autoSpaceDE/>
        <w:autoSpaceDN/>
        <w:bidi w:val="0"/>
        <w:adjustRightInd/>
        <w:snapToGrid/>
        <w:spacing w:beforeLines="0" w:afterLines="0"/>
        <w:ind w:leftChars="0" w:firstLine="643"/>
        <w:textAlignment w:val="auto"/>
        <w:rPr>
          <w:rFonts w:hint="default" w:cstheme="minorBidi"/>
          <w:szCs w:val="32"/>
          <w:highlight w:val="none"/>
          <w:lang w:val="en-US" w:eastAsia="zh-CN"/>
        </w:rPr>
      </w:pPr>
      <w:r>
        <w:rPr>
          <w:rFonts w:hint="eastAsia" w:cs="Times New Roman"/>
          <w:b/>
          <w:bCs/>
          <w:color w:val="auto"/>
          <w:highlight w:val="none"/>
          <w:lang w:val="en-US" w:eastAsia="zh-CN"/>
        </w:rPr>
        <w:t>四是配售型保障性住房有序</w:t>
      </w:r>
      <w:r>
        <w:rPr>
          <w:rFonts w:hint="eastAsia" w:cs="Times New Roman"/>
          <w:b/>
          <w:bCs/>
          <w:color w:val="auto"/>
          <w:sz w:val="32"/>
          <w:szCs w:val="32"/>
          <w:highlight w:val="none"/>
          <w:lang w:val="en-US" w:eastAsia="zh-CN"/>
        </w:rPr>
        <w:t>开展</w:t>
      </w:r>
      <w:r>
        <w:rPr>
          <w:rFonts w:hint="eastAsia" w:cs="Times New Roman"/>
          <w:b/>
          <w:bCs/>
          <w:color w:val="auto"/>
          <w:highlight w:val="none"/>
          <w:lang w:val="en-US" w:eastAsia="zh-CN"/>
        </w:rPr>
        <w:t>。</w:t>
      </w:r>
      <w:r>
        <w:rPr>
          <w:rFonts w:hint="eastAsia" w:cs="Times New Roman"/>
          <w:b w:val="0"/>
          <w:bCs w:val="0"/>
          <w:color w:val="auto"/>
          <w:szCs w:val="32"/>
          <w:highlight w:val="none"/>
          <w:lang w:val="en-US" w:eastAsia="zh-CN"/>
        </w:rPr>
        <w:t>积极落实省级部门工作部署，</w:t>
      </w:r>
      <w:r>
        <w:rPr>
          <w:rFonts w:hint="eastAsia" w:cs="Times New Roman"/>
          <w:color w:val="auto"/>
          <w:highlight w:val="none"/>
          <w:lang w:val="en-US" w:eastAsia="zh-CN"/>
        </w:rPr>
        <w:t>联合有关部门开展</w:t>
      </w:r>
      <w:r>
        <w:rPr>
          <w:rFonts w:hint="eastAsia" w:cs="Times New Roman"/>
          <w:color w:val="auto"/>
          <w:highlight w:val="none"/>
        </w:rPr>
        <w:t>配售型保障性住房需求</w:t>
      </w:r>
      <w:r>
        <w:rPr>
          <w:rFonts w:hint="eastAsia" w:cs="Times New Roman"/>
          <w:color w:val="auto"/>
          <w:highlight w:val="none"/>
          <w:lang w:val="en-US" w:eastAsia="zh-CN"/>
        </w:rPr>
        <w:t>摸底调研</w:t>
      </w:r>
      <w:r>
        <w:rPr>
          <w:rFonts w:hint="eastAsia" w:cs="Times New Roman"/>
          <w:color w:val="auto"/>
          <w:highlight w:val="none"/>
        </w:rPr>
        <w:t>工作</w:t>
      </w:r>
      <w:r>
        <w:rPr>
          <w:rFonts w:hint="eastAsia" w:cs="Times New Roman"/>
          <w:color w:val="auto"/>
          <w:highlight w:val="none"/>
          <w:lang w:eastAsia="zh-CN"/>
        </w:rPr>
        <w:t>，</w:t>
      </w:r>
      <w:r>
        <w:rPr>
          <w:rFonts w:hint="eastAsia" w:ascii="Times New Roman" w:hAnsi="Times New Roman" w:eastAsia="仿宋_GB2312" w:cs="Times New Roman"/>
          <w:color w:val="auto"/>
          <w:sz w:val="32"/>
          <w:szCs w:val="32"/>
          <w:highlight w:val="none"/>
        </w:rPr>
        <w:t>坚持</w:t>
      </w:r>
      <w:r>
        <w:rPr>
          <w:rFonts w:hint="eastAsia" w:ascii="仿宋_GB2312" w:hAnsi="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以需定建、以需定购</w:t>
      </w:r>
      <w:r>
        <w:rPr>
          <w:rFonts w:hint="eastAsia" w:ascii="仿宋_GB2312" w:hAnsi="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，建立配售型保障性住房轮候库</w:t>
      </w:r>
      <w:r>
        <w:rPr>
          <w:rFonts w:hint="eastAsia"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精准掌握全市配售型保障性住房需求情况。</w:t>
      </w:r>
      <w:r>
        <w:rPr>
          <w:rFonts w:hint="eastAsia" w:cs="Times New Roman"/>
          <w:color w:val="auto"/>
          <w:highlight w:val="none"/>
          <w:lang w:val="en-US" w:eastAsia="zh-CN"/>
        </w:rPr>
        <w:t>发布《湛江市配售型保障性住房管理办法（征求意见稿）》，</w:t>
      </w:r>
      <w:r>
        <w:rPr>
          <w:rFonts w:hint="eastAsia" w:ascii="Times New Roman" w:hAnsi="Times New Roman" w:eastAsia="仿宋_GB2312" w:cs="Times New Roman"/>
          <w:color w:val="auto"/>
          <w:sz w:val="32"/>
          <w:szCs w:val="32"/>
          <w:highlight w:val="none"/>
        </w:rPr>
        <w:t>构建从房源筹建到监督管理的全流程</w:t>
      </w:r>
      <w:r>
        <w:rPr>
          <w:rFonts w:hint="eastAsia" w:cs="Times New Roman"/>
          <w:color w:val="auto"/>
          <w:highlight w:val="none"/>
          <w:lang w:val="en-US" w:eastAsia="zh-CN"/>
        </w:rPr>
        <w:t>管理</w:t>
      </w:r>
      <w:r>
        <w:rPr>
          <w:rFonts w:hint="eastAsia" w:ascii="Times New Roman" w:hAnsi="Times New Roman" w:eastAsia="仿宋_GB2312" w:cs="Times New Roman"/>
          <w:color w:val="auto"/>
          <w:sz w:val="32"/>
          <w:szCs w:val="32"/>
          <w:highlight w:val="none"/>
        </w:rPr>
        <w:t>制度</w:t>
      </w:r>
      <w:r>
        <w:rPr>
          <w:rFonts w:hint="eastAsia" w:cs="Times New Roman"/>
          <w:color w:val="auto"/>
          <w:highlight w:val="none"/>
        </w:rPr>
        <w:t>。</w:t>
      </w:r>
    </w:p>
    <w:p w14:paraId="25301252">
      <w:pPr>
        <w:pStyle w:val="4"/>
        <w:keepNext w:val="0"/>
        <w:keepLines w:val="0"/>
        <w:pageBreakBefore w:val="0"/>
        <w:widowControl w:val="0"/>
        <w:kinsoku/>
        <w:wordWrap/>
        <w:overflowPunct/>
        <w:topLinePunct w:val="0"/>
        <w:autoSpaceDE/>
        <w:autoSpaceDN/>
        <w:bidi w:val="0"/>
        <w:adjustRightInd/>
        <w:snapToGrid/>
        <w:spacing w:before="0" w:beforeLines="0" w:after="0" w:afterLines="0"/>
        <w:ind w:leftChars="0"/>
        <w:textAlignment w:val="auto"/>
        <w:rPr>
          <w:rFonts w:hint="default"/>
          <w:highlight w:val="none"/>
          <w:lang w:val="en-US" w:eastAsia="zh-CN"/>
        </w:rPr>
      </w:pPr>
      <w:r>
        <w:rPr>
          <w:rFonts w:hint="eastAsia"/>
          <w:highlight w:val="none"/>
          <w:lang w:val="en-US" w:eastAsia="zh-CN"/>
        </w:rPr>
        <w:t>4.住房品质建设有力推进，</w:t>
      </w:r>
      <w:r>
        <w:rPr>
          <w:rFonts w:hint="default"/>
          <w:highlight w:val="none"/>
          <w:lang w:val="en-US" w:eastAsia="zh-CN"/>
        </w:rPr>
        <w:t>社区治理</w:t>
      </w:r>
      <w:r>
        <w:rPr>
          <w:rFonts w:hint="eastAsia"/>
          <w:highlight w:val="none"/>
          <w:lang w:val="en-US" w:eastAsia="zh-CN"/>
        </w:rPr>
        <w:t>服务水平提升。</w:t>
      </w:r>
    </w:p>
    <w:p w14:paraId="10D58EDD">
      <w:pPr>
        <w:pStyle w:val="21"/>
        <w:spacing w:beforeLines="0" w:afterLines="0"/>
        <w:ind w:firstLine="643"/>
        <w:rPr>
          <w:rFonts w:hint="default" w:ascii="Times New Roman" w:hAnsi="Times New Roman" w:cstheme="minorBidi"/>
          <w:b w:val="0"/>
          <w:bCs w:val="0"/>
          <w:i w:val="0"/>
          <w:iCs w:val="0"/>
          <w:caps w:val="0"/>
          <w:color w:val="auto"/>
          <w:spacing w:val="0"/>
          <w:sz w:val="32"/>
          <w:szCs w:val="32"/>
          <w:highlight w:val="none"/>
          <w:shd w:val="clear"/>
          <w:lang w:val="en-US" w:eastAsia="zh-CN"/>
        </w:rPr>
      </w:pPr>
      <w:r>
        <w:rPr>
          <w:rFonts w:hint="eastAsia" w:ascii="Times New Roman"/>
          <w:b/>
          <w:bCs/>
          <w:color w:val="auto"/>
          <w:szCs w:val="32"/>
          <w:highlight w:val="none"/>
          <w:lang w:val="en-US" w:eastAsia="zh-CN"/>
        </w:rPr>
        <w:t>一</w:t>
      </w:r>
      <w:r>
        <w:rPr>
          <w:rFonts w:hint="default" w:ascii="Times New Roman"/>
          <w:b/>
          <w:bCs/>
          <w:color w:val="auto"/>
          <w:szCs w:val="32"/>
          <w:highlight w:val="none"/>
          <w:lang w:val="en-US" w:eastAsia="zh-CN"/>
        </w:rPr>
        <w:t>是</w:t>
      </w:r>
      <w:r>
        <w:rPr>
          <w:rFonts w:hint="default" w:ascii="Times New Roman"/>
          <w:color w:val="auto"/>
          <w:szCs w:val="32"/>
          <w:highlight w:val="none"/>
        </w:rPr>
        <w:t>住宅品质提档升级步伐</w:t>
      </w:r>
      <w:r>
        <w:rPr>
          <w:rFonts w:hint="eastAsia" w:ascii="Times New Roman"/>
          <w:color w:val="auto"/>
          <w:szCs w:val="32"/>
          <w:highlight w:val="none"/>
          <w:lang w:val="en-US" w:eastAsia="zh-CN"/>
        </w:rPr>
        <w:t>加快</w:t>
      </w:r>
      <w:r>
        <w:rPr>
          <w:rFonts w:hint="default" w:ascii="Times New Roman"/>
          <w:b/>
          <w:bCs/>
          <w:color w:val="auto"/>
          <w:szCs w:val="32"/>
          <w:highlight w:val="none"/>
          <w:lang w:val="en-US" w:eastAsia="zh-CN"/>
        </w:rPr>
        <w:t>。</w:t>
      </w:r>
      <w:r>
        <w:rPr>
          <w:rFonts w:hint="eastAsia" w:ascii="Times New Roman"/>
          <w:b w:val="0"/>
          <w:bCs w:val="0"/>
          <w:color w:val="auto"/>
          <w:szCs w:val="32"/>
          <w:highlight w:val="none"/>
          <w:lang w:val="en-US" w:eastAsia="zh-CN"/>
        </w:rPr>
        <w:t>通过</w:t>
      </w:r>
      <w:r>
        <w:rPr>
          <w:rFonts w:hint="default" w:ascii="Times New Roman"/>
          <w:b w:val="0"/>
          <w:bCs w:val="0"/>
          <w:color w:val="auto"/>
          <w:szCs w:val="32"/>
          <w:highlight w:val="none"/>
        </w:rPr>
        <w:t>优化半开敞空间、阳台、飘窗等计容计算规则，支持公共服务设施免计容、免计车位</w:t>
      </w:r>
      <w:r>
        <w:rPr>
          <w:rFonts w:hint="eastAsia" w:ascii="Times New Roman"/>
          <w:b w:val="0"/>
          <w:bCs w:val="0"/>
          <w:color w:val="auto"/>
          <w:szCs w:val="32"/>
          <w:highlight w:val="none"/>
          <w:lang w:eastAsia="zh-CN"/>
        </w:rPr>
        <w:t>，</w:t>
      </w:r>
      <w:r>
        <w:rPr>
          <w:rFonts w:hint="default" w:ascii="Times New Roman"/>
          <w:b w:val="0"/>
          <w:bCs w:val="0"/>
          <w:color w:val="auto"/>
          <w:szCs w:val="32"/>
          <w:highlight w:val="none"/>
        </w:rPr>
        <w:t>放宽建筑层高限制</w:t>
      </w:r>
      <w:r>
        <w:rPr>
          <w:rFonts w:hint="eastAsia" w:ascii="Times New Roman"/>
          <w:b w:val="0"/>
          <w:bCs w:val="0"/>
          <w:color w:val="auto"/>
          <w:szCs w:val="32"/>
          <w:highlight w:val="none"/>
          <w:lang w:val="en-US" w:eastAsia="zh-CN"/>
        </w:rPr>
        <w:t>等措施，</w:t>
      </w:r>
      <w:r>
        <w:rPr>
          <w:rFonts w:hint="eastAsia" w:ascii="Times New Roman"/>
          <w:b w:val="0"/>
          <w:bCs w:val="0"/>
          <w:color w:val="auto"/>
          <w:szCs w:val="32"/>
          <w:highlight w:val="none"/>
        </w:rPr>
        <w:t>激发高品质项目建设积极性</w:t>
      </w:r>
      <w:r>
        <w:rPr>
          <w:rFonts w:hint="default" w:ascii="Times New Roman" w:hAnsi="Times New Roman" w:cstheme="minorBidi"/>
          <w:b w:val="0"/>
          <w:bCs w:val="0"/>
          <w:color w:val="auto"/>
          <w:sz w:val="32"/>
          <w:szCs w:val="32"/>
          <w:highlight w:val="none"/>
          <w:lang w:eastAsia="zh-CN"/>
        </w:rPr>
        <w:t>。</w:t>
      </w:r>
      <w:r>
        <w:rPr>
          <w:rFonts w:hint="eastAsia" w:ascii="Times New Roman" w:cstheme="minorBidi"/>
          <w:b w:val="0"/>
          <w:bCs w:val="0"/>
          <w:color w:val="auto"/>
          <w:sz w:val="32"/>
          <w:szCs w:val="32"/>
          <w:highlight w:val="none"/>
          <w:lang w:val="en-US" w:eastAsia="zh-CN"/>
        </w:rPr>
        <w:t>进一步</w:t>
      </w:r>
      <w:r>
        <w:rPr>
          <w:rFonts w:hint="eastAsia" w:ascii="仿宋_GB2312" w:hAnsi="仿宋_GB2312" w:cs="仿宋_GB2312"/>
          <w:b w:val="0"/>
          <w:bCs w:val="0"/>
          <w:i w:val="0"/>
          <w:iCs w:val="0"/>
          <w:caps w:val="0"/>
          <w:color w:val="auto"/>
          <w:spacing w:val="0"/>
          <w:sz w:val="32"/>
          <w:szCs w:val="32"/>
          <w:highlight w:val="none"/>
          <w:shd w:val="clear" w:fill="FFFFFF"/>
          <w:lang w:val="en-US" w:eastAsia="zh-CN"/>
        </w:rPr>
        <w:t>提升</w:t>
      </w:r>
      <w:r>
        <w:rPr>
          <w:rFonts w:hint="eastAsia" w:ascii="仿宋_GB2312" w:hAnsi="仿宋_GB2312" w:eastAsia="仿宋_GB2312" w:cs="仿宋_GB2312"/>
          <w:b w:val="0"/>
          <w:bCs w:val="0"/>
          <w:color w:val="auto"/>
          <w:sz w:val="32"/>
          <w:szCs w:val="32"/>
          <w:highlight w:val="none"/>
          <w:shd w:val="clear" w:fill="FFFFFF"/>
        </w:rPr>
        <w:t>公共服务配套设施</w:t>
      </w:r>
      <w:r>
        <w:rPr>
          <w:rFonts w:hint="eastAsia" w:ascii="仿宋_GB2312" w:hAnsi="仿宋_GB2312" w:eastAsia="仿宋_GB2312" w:cs="仿宋_GB2312"/>
          <w:b w:val="0"/>
          <w:bCs w:val="0"/>
          <w:color w:val="auto"/>
          <w:sz w:val="32"/>
          <w:szCs w:val="32"/>
          <w:highlight w:val="none"/>
        </w:rPr>
        <w:t>供给质效</w:t>
      </w:r>
      <w:r>
        <w:rPr>
          <w:rFonts w:hint="eastAsia" w:hAnsi="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shd w:val="clear" w:fill="FFFFFF"/>
          <w:lang w:val="en-US" w:eastAsia="zh-CN"/>
        </w:rPr>
        <w:t>出台</w:t>
      </w:r>
      <w:r>
        <w:rPr>
          <w:rFonts w:hint="eastAsia" w:ascii="仿宋_GB2312" w:hAnsi="仿宋_GB2312" w:cs="仿宋_GB2312"/>
          <w:b w:val="0"/>
          <w:bCs w:val="0"/>
          <w:color w:val="auto"/>
          <w:highlight w:val="none"/>
        </w:rPr>
        <w:t>《湛江市房地产开发项目公共配套服务设施管理办法》</w:t>
      </w:r>
      <w:r>
        <w:rPr>
          <w:rFonts w:hint="eastAsia" w:ascii="仿宋_GB2312" w:hAnsi="仿宋_GB2312" w:cs="仿宋_GB2312"/>
          <w:b w:val="0"/>
          <w:bCs w:val="0"/>
          <w:color w:val="auto"/>
          <w:highlight w:val="none"/>
          <w:shd w:val="clear" w:fill="FFFFFF"/>
          <w:lang w:eastAsia="zh-CN"/>
        </w:rPr>
        <w:t>，</w:t>
      </w:r>
      <w:r>
        <w:rPr>
          <w:rFonts w:hint="eastAsia" w:hAnsi="仿宋_GB2312" w:cs="仿宋_GB2312"/>
          <w:b w:val="0"/>
          <w:bCs w:val="0"/>
          <w:color w:val="auto"/>
          <w:highlight w:val="none"/>
          <w:shd w:val="clear" w:fill="FFFFFF"/>
          <w:lang w:val="en-US" w:eastAsia="zh-CN"/>
        </w:rPr>
        <w:t>明确</w:t>
      </w:r>
      <w:r>
        <w:rPr>
          <w:rFonts w:hint="eastAsia" w:ascii="仿宋_GB2312" w:hAnsi="仿宋_GB2312" w:cs="仿宋_GB2312"/>
          <w:b w:val="0"/>
          <w:bCs w:val="0"/>
          <w:color w:val="auto"/>
          <w:highlight w:val="none"/>
          <w:shd w:val="clear" w:fill="FFFFFF"/>
          <w:lang w:eastAsia="zh-CN"/>
        </w:rPr>
        <w:t>公共配套服务设施应当</w:t>
      </w:r>
      <w:r>
        <w:rPr>
          <w:rFonts w:hint="eastAsia" w:ascii="仿宋_GB2312" w:hAnsi="仿宋_GB2312" w:cs="仿宋_GB2312"/>
          <w:b w:val="0"/>
          <w:bCs w:val="0"/>
          <w:color w:val="auto"/>
          <w:highlight w:val="none"/>
          <w:shd w:val="clear" w:fill="FFFFFF"/>
        </w:rPr>
        <w:t>与住宅项目</w:t>
      </w:r>
      <w:r>
        <w:rPr>
          <w:rFonts w:hint="eastAsia" w:hAnsi="仿宋_GB2312" w:cs="仿宋_GB2312"/>
          <w:b w:val="0"/>
          <w:bCs w:val="0"/>
          <w:color w:val="auto"/>
          <w:highlight w:val="none"/>
          <w:shd w:val="clear" w:fill="FFFFFF"/>
        </w:rPr>
        <w:t>同步规划、设计、建设、竣工、交付使用</w:t>
      </w:r>
      <w:r>
        <w:rPr>
          <w:rFonts w:hint="eastAsia" w:hAnsi="仿宋_GB2312" w:cs="仿宋_GB2312"/>
          <w:b w:val="0"/>
          <w:bCs w:val="0"/>
          <w:color w:val="auto"/>
          <w:sz w:val="32"/>
          <w:szCs w:val="32"/>
          <w:highlight w:val="none"/>
          <w:shd w:val="clear" w:fill="FFFFFF"/>
          <w:lang w:val="en-US" w:eastAsia="zh-CN"/>
        </w:rPr>
        <w:t>，建立</w:t>
      </w:r>
      <w:r>
        <w:rPr>
          <w:rFonts w:hint="eastAsia" w:ascii="仿宋_GB2312" w:hAnsi="仿宋_GB2312" w:eastAsia="仿宋_GB2312" w:cs="仿宋_GB2312"/>
          <w:b w:val="0"/>
          <w:bCs w:val="0"/>
          <w:color w:val="auto"/>
          <w:sz w:val="32"/>
          <w:szCs w:val="32"/>
          <w:highlight w:val="none"/>
          <w:shd w:val="clear" w:fill="FFFFFF"/>
        </w:rPr>
        <w:t>公共配套服务设施</w:t>
      </w:r>
      <w:r>
        <w:rPr>
          <w:rStyle w:val="24"/>
          <w:rFonts w:hint="eastAsia" w:ascii="仿宋_GB2312" w:hAnsi="仿宋_GB2312" w:eastAsia="仿宋_GB2312" w:cs="仿宋_GB2312"/>
          <w:b w:val="0"/>
          <w:bCs w:val="0"/>
          <w:color w:val="auto"/>
          <w:sz w:val="32"/>
          <w:szCs w:val="32"/>
          <w:highlight w:val="none"/>
          <w:shd w:val="clear" w:fill="FFFFFF"/>
        </w:rPr>
        <w:t>全生命周期管理机制</w:t>
      </w:r>
      <w:r>
        <w:rPr>
          <w:rStyle w:val="24"/>
          <w:rFonts w:hint="eastAsia" w:ascii="仿宋_GB2312" w:hAnsi="仿宋_GB2312" w:eastAsia="仿宋_GB2312" w:cs="仿宋_GB2312"/>
          <w:b w:val="0"/>
          <w:bCs w:val="0"/>
          <w:color w:val="auto"/>
          <w:sz w:val="32"/>
          <w:szCs w:val="32"/>
          <w:highlight w:val="none"/>
          <w:shd w:val="clear" w:fill="FFFFFF"/>
          <w:lang w:eastAsia="zh-CN"/>
        </w:rPr>
        <w:t>，</w:t>
      </w:r>
      <w:r>
        <w:rPr>
          <w:rFonts w:hint="eastAsia" w:ascii="仿宋_GB2312" w:hAnsi="仿宋_GB2312" w:cs="仿宋_GB2312"/>
          <w:b w:val="0"/>
          <w:bCs w:val="0"/>
          <w:i w:val="0"/>
          <w:iCs w:val="0"/>
          <w:caps w:val="0"/>
          <w:color w:val="auto"/>
          <w:spacing w:val="0"/>
          <w:sz w:val="32"/>
          <w:szCs w:val="32"/>
          <w:highlight w:val="none"/>
          <w:shd w:val="clear" w:fill="FFFFFF"/>
          <w:lang w:val="en-US" w:eastAsia="zh-CN"/>
        </w:rPr>
        <w:t>着力</w:t>
      </w:r>
      <w:r>
        <w:rPr>
          <w:rFonts w:hint="eastAsia" w:ascii="仿宋_GB2312" w:hAnsi="仿宋_GB2312" w:eastAsia="仿宋_GB2312" w:cs="仿宋_GB2312"/>
          <w:b w:val="0"/>
          <w:bCs w:val="0"/>
          <w:i w:val="0"/>
          <w:iCs w:val="0"/>
          <w:caps w:val="0"/>
          <w:color w:val="auto"/>
          <w:spacing w:val="0"/>
          <w:sz w:val="32"/>
          <w:szCs w:val="32"/>
          <w:highlight w:val="none"/>
          <w:shd w:val="clear" w:fill="FFFFFF"/>
        </w:rPr>
        <w:t>化解配而不建、建而不用、用而不管问题</w:t>
      </w:r>
      <w:r>
        <w:rPr>
          <w:rFonts w:hint="eastAsia" w:ascii="仿宋_GB2312" w:hAnsi="仿宋_GB2312" w:eastAsia="仿宋_GB2312" w:cs="仿宋_GB2312"/>
          <w:b w:val="0"/>
          <w:bCs w:val="0"/>
          <w:color w:val="auto"/>
          <w:sz w:val="32"/>
          <w:szCs w:val="32"/>
          <w:highlight w:val="none"/>
          <w:shd w:val="clear" w:fill="FFFFFF"/>
          <w:lang w:val="en-US" w:eastAsia="zh-CN"/>
        </w:rPr>
        <w:t>。</w:t>
      </w:r>
      <w:r>
        <w:rPr>
          <w:rFonts w:hint="default" w:ascii="Times New Roman" w:hAnsi="Times New Roman" w:cstheme="minorBidi"/>
          <w:b w:val="0"/>
          <w:bCs w:val="0"/>
          <w:i w:val="0"/>
          <w:iCs w:val="0"/>
          <w:caps w:val="0"/>
          <w:color w:val="auto"/>
          <w:spacing w:val="0"/>
          <w:sz w:val="32"/>
          <w:szCs w:val="32"/>
          <w:highlight w:val="none"/>
          <w:shd w:val="clear"/>
          <w:lang w:val="en-US" w:eastAsia="zh-CN"/>
        </w:rPr>
        <w:t>截至2025年底，</w:t>
      </w:r>
      <w:r>
        <w:rPr>
          <w:rFonts w:ascii="Times New Roman" w:hAnsi="Times New Roman" w:eastAsia="仿宋_GB2312" w:cstheme="minorBidi"/>
          <w:b w:val="0"/>
          <w:bCs w:val="0"/>
          <w:color w:val="auto"/>
          <w:sz w:val="32"/>
          <w:szCs w:val="32"/>
          <w:highlight w:val="none"/>
        </w:rPr>
        <w:t>已推动南国天琴湾花园、御景壹方</w:t>
      </w:r>
      <w:r>
        <w:rPr>
          <w:rFonts w:hint="eastAsia" w:ascii="Times New Roman" w:cstheme="minorBidi"/>
          <w:b w:val="0"/>
          <w:bCs w:val="0"/>
          <w:color w:val="auto"/>
          <w:sz w:val="32"/>
          <w:szCs w:val="32"/>
          <w:highlight w:val="none"/>
          <w:lang w:val="en-US" w:eastAsia="zh-CN"/>
        </w:rPr>
        <w:t>·</w:t>
      </w:r>
      <w:r>
        <w:rPr>
          <w:rFonts w:ascii="Times New Roman" w:hAnsi="Times New Roman" w:eastAsia="仿宋_GB2312" w:cstheme="minorBidi"/>
          <w:b w:val="0"/>
          <w:bCs w:val="0"/>
          <w:color w:val="auto"/>
          <w:sz w:val="32"/>
          <w:szCs w:val="32"/>
          <w:highlight w:val="none"/>
        </w:rPr>
        <w:t>竣汇花园等一批高品质住宅项目入市</w:t>
      </w:r>
      <w:r>
        <w:rPr>
          <w:rStyle w:val="24"/>
          <w:rFonts w:hint="default" w:ascii="Times New Roman" w:hAnsi="Times New Roman" w:eastAsia="仿宋_GB2312" w:cstheme="minorBidi"/>
          <w:b w:val="0"/>
          <w:bCs w:val="0"/>
          <w:color w:val="auto"/>
          <w:sz w:val="32"/>
          <w:szCs w:val="32"/>
          <w:highlight w:val="none"/>
          <w:shd w:val="clear" w:fill="FFFFFF"/>
          <w:lang w:val="en-US" w:eastAsia="zh-CN"/>
        </w:rPr>
        <w:t>。</w:t>
      </w:r>
    </w:p>
    <w:p w14:paraId="7F1B787E">
      <w:pPr>
        <w:widowControl/>
        <w:bidi w:val="0"/>
        <w:spacing w:beforeLines="0" w:afterLines="0" w:line="600" w:lineRule="exact"/>
        <w:ind w:firstLine="640"/>
        <w:rPr>
          <w:rFonts w:hint="eastAsia"/>
          <w:highlight w:val="none"/>
          <w:lang w:eastAsia="zh-CN"/>
        </w:rPr>
      </w:pPr>
      <w:r>
        <w:rPr>
          <w:rFonts w:hint="default"/>
          <w:b/>
          <w:bCs/>
          <w:highlight w:val="none"/>
          <w:lang w:val="en-US" w:eastAsia="zh-CN"/>
        </w:rPr>
        <w:t>二是新型建造方式</w:t>
      </w:r>
      <w:r>
        <w:rPr>
          <w:rFonts w:ascii="Times New Roman" w:hAnsi="Times New Roman" w:eastAsia="仿宋_GB2312" w:cstheme="minorBidi"/>
          <w:b/>
          <w:bCs/>
          <w:sz w:val="32"/>
          <w:szCs w:val="32"/>
          <w:highlight w:val="none"/>
        </w:rPr>
        <w:t>稳步推广</w:t>
      </w:r>
      <w:r>
        <w:rPr>
          <w:rFonts w:hint="eastAsia" w:ascii="Times New Roman" w:hAnsi="Times New Roman" w:cstheme="minorBidi"/>
          <w:b/>
          <w:bCs/>
          <w:sz w:val="32"/>
          <w:szCs w:val="32"/>
          <w:highlight w:val="none"/>
          <w:lang w:val="en-US" w:eastAsia="zh-CN"/>
        </w:rPr>
        <w:t>落地</w:t>
      </w:r>
      <w:r>
        <w:rPr>
          <w:rFonts w:hint="default"/>
          <w:b/>
          <w:bCs/>
          <w:highlight w:val="none"/>
          <w:lang w:val="en-US" w:eastAsia="zh-CN"/>
        </w:rPr>
        <w:t>。</w:t>
      </w:r>
      <w:r>
        <w:rPr>
          <w:rFonts w:hint="default"/>
          <w:b w:val="0"/>
          <w:bCs w:val="0"/>
          <w:highlight w:val="none"/>
          <w:lang w:val="en-US" w:eastAsia="zh-CN"/>
        </w:rPr>
        <w:t>持</w:t>
      </w:r>
      <w:r>
        <w:rPr>
          <w:rFonts w:hint="eastAsia"/>
          <w:b w:val="0"/>
          <w:bCs w:val="0"/>
          <w:highlight w:val="none"/>
          <w:lang w:val="en-US" w:eastAsia="zh-CN"/>
        </w:rPr>
        <w:t>续健全</w:t>
      </w:r>
      <w:r>
        <w:rPr>
          <w:rFonts w:hint="default"/>
          <w:highlight w:val="none"/>
          <w:lang w:val="en-US" w:eastAsia="zh-CN"/>
        </w:rPr>
        <w:t>绿色建筑监管机制，</w:t>
      </w:r>
      <w:r>
        <w:rPr>
          <w:rFonts w:hint="default"/>
          <w:highlight w:val="none"/>
          <w:lang w:eastAsia="zh-CN"/>
        </w:rPr>
        <w:t>强化</w:t>
      </w:r>
      <w:r>
        <w:rPr>
          <w:rFonts w:hint="default"/>
          <w:highlight w:val="none"/>
          <w:lang w:val="en-US" w:eastAsia="zh-CN"/>
        </w:rPr>
        <w:t>从</w:t>
      </w:r>
      <w:r>
        <w:rPr>
          <w:rFonts w:hint="default"/>
          <w:highlight w:val="none"/>
          <w:lang w:eastAsia="zh-CN"/>
        </w:rPr>
        <w:t>设计到竣工验收</w:t>
      </w:r>
      <w:r>
        <w:rPr>
          <w:rFonts w:hint="default"/>
          <w:highlight w:val="none"/>
          <w:lang w:val="en-US" w:eastAsia="zh-CN"/>
        </w:rPr>
        <w:t>的</w:t>
      </w:r>
      <w:r>
        <w:rPr>
          <w:rFonts w:hint="default"/>
          <w:highlight w:val="none"/>
          <w:lang w:eastAsia="zh-CN"/>
        </w:rPr>
        <w:t>全过程</w:t>
      </w:r>
      <w:r>
        <w:rPr>
          <w:rFonts w:hint="default"/>
          <w:highlight w:val="none"/>
          <w:lang w:val="en-US" w:eastAsia="zh-CN"/>
        </w:rPr>
        <w:t>监督管理，</w:t>
      </w:r>
      <w:r>
        <w:rPr>
          <w:rFonts w:hint="default"/>
          <w:highlight w:val="none"/>
        </w:rPr>
        <w:t>积极推广绿色建材与新型建筑材料应用</w:t>
      </w:r>
      <w:r>
        <w:rPr>
          <w:rFonts w:hint="default"/>
          <w:highlight w:val="none"/>
          <w:lang w:eastAsia="zh-CN"/>
        </w:rPr>
        <w:t>；</w:t>
      </w:r>
      <w:r>
        <w:rPr>
          <w:rFonts w:hint="default"/>
          <w:highlight w:val="none"/>
          <w:lang w:val="en-US" w:eastAsia="zh-CN"/>
        </w:rPr>
        <w:t>组织编制</w:t>
      </w:r>
      <w:r>
        <w:rPr>
          <w:rFonts w:hint="default"/>
          <w:highlight w:val="none"/>
        </w:rPr>
        <w:t>《湛江市建筑领域碳排放达峰行动方案》《湛江市绿色建筑发展专项规划》</w:t>
      </w:r>
      <w:r>
        <w:rPr>
          <w:rFonts w:hint="default"/>
          <w:highlight w:val="none"/>
          <w:lang w:eastAsia="zh-CN"/>
        </w:rPr>
        <w:t>，</w:t>
      </w:r>
      <w:r>
        <w:rPr>
          <w:highlight w:val="none"/>
        </w:rPr>
        <w:t>进一步细化绿色建筑应用路径</w:t>
      </w:r>
      <w:r>
        <w:rPr>
          <w:rFonts w:hint="default"/>
          <w:highlight w:val="none"/>
          <w:lang w:val="en-US" w:eastAsia="zh-CN"/>
        </w:rPr>
        <w:t>。</w:t>
      </w:r>
      <w:r>
        <w:rPr>
          <w:rFonts w:ascii="Times New Roman" w:hAnsi="Times New Roman" w:eastAsia="仿宋_GB2312" w:cstheme="minorBidi"/>
          <w:sz w:val="32"/>
          <w:szCs w:val="32"/>
          <w:highlight w:val="none"/>
        </w:rPr>
        <w:t>将装配式建筑</w:t>
      </w:r>
      <w:r>
        <w:rPr>
          <w:rFonts w:hint="eastAsia" w:ascii="Times New Roman" w:hAnsi="Times New Roman" w:cstheme="minorBidi"/>
          <w:sz w:val="32"/>
          <w:szCs w:val="32"/>
          <w:highlight w:val="none"/>
          <w:lang w:val="en-US" w:eastAsia="zh-CN"/>
        </w:rPr>
        <w:t>建设</w:t>
      </w:r>
      <w:r>
        <w:rPr>
          <w:rFonts w:ascii="Times New Roman" w:hAnsi="Times New Roman" w:eastAsia="仿宋_GB2312" w:cstheme="minorBidi"/>
          <w:sz w:val="32"/>
          <w:szCs w:val="32"/>
          <w:highlight w:val="none"/>
        </w:rPr>
        <w:t>要求纳入用地规划条件、土地出让公告及划拨批复文件，从严落实应用要求</w:t>
      </w:r>
      <w:r>
        <w:rPr>
          <w:rFonts w:hint="default" w:ascii="Times New Roman" w:hAnsi="Times New Roman" w:eastAsia="仿宋_GB2312" w:cstheme="minorBidi"/>
          <w:sz w:val="32"/>
          <w:szCs w:val="32"/>
          <w:highlight w:val="none"/>
          <w:lang w:eastAsia="zh-CN"/>
        </w:rPr>
        <w:t>；</w:t>
      </w:r>
      <w:r>
        <w:rPr>
          <w:rFonts w:hint="default"/>
          <w:highlight w:val="none"/>
          <w:lang w:val="en-US" w:eastAsia="zh-CN"/>
        </w:rPr>
        <w:t>出台</w:t>
      </w:r>
      <w:r>
        <w:rPr>
          <w:rFonts w:hint="default" w:ascii="Times New Roman" w:eastAsia="仿宋_GB2312"/>
          <w:b w:val="0"/>
          <w:bCs w:val="0"/>
          <w:snapToGrid/>
          <w:color w:val="auto"/>
          <w:sz w:val="32"/>
          <w:szCs w:val="32"/>
          <w:highlight w:val="none"/>
          <w:lang w:eastAsia="zh-CN"/>
        </w:rPr>
        <w:t>《关于开展装配式建筑项目预评价工作的通知》</w:t>
      </w:r>
      <w:r>
        <w:rPr>
          <w:rFonts w:hint="default" w:ascii="Times New Roman"/>
          <w:b w:val="0"/>
          <w:bCs w:val="0"/>
          <w:snapToGrid/>
          <w:color w:val="auto"/>
          <w:sz w:val="32"/>
          <w:szCs w:val="32"/>
          <w:highlight w:val="none"/>
          <w:lang w:val="en-US" w:eastAsia="zh-CN"/>
        </w:rPr>
        <w:t>等</w:t>
      </w:r>
      <w:r>
        <w:rPr>
          <w:rFonts w:hint="default" w:ascii="Times New Roman" w:eastAsia="仿宋_GB2312"/>
          <w:b w:val="0"/>
          <w:bCs w:val="0"/>
          <w:snapToGrid/>
          <w:color w:val="auto"/>
          <w:sz w:val="32"/>
          <w:szCs w:val="32"/>
          <w:highlight w:val="none"/>
          <w:lang w:eastAsia="zh-CN"/>
        </w:rPr>
        <w:t>，</w:t>
      </w:r>
      <w:r>
        <w:rPr>
          <w:rFonts w:hint="default" w:ascii="Times New Roman" w:hAnsi="Times New Roman" w:eastAsia="仿宋_GB2312" w:cstheme="minorBidi"/>
          <w:i w:val="0"/>
          <w:iCs w:val="0"/>
          <w:caps w:val="0"/>
          <w:color w:val="auto"/>
          <w:spacing w:val="0"/>
          <w:sz w:val="32"/>
          <w:szCs w:val="32"/>
          <w:highlight w:val="none"/>
          <w:shd w:val="clear" w:fill="auto"/>
        </w:rPr>
        <w:t>进一步明确装配式建筑相关实施技术要求，推动装配式建筑规范化发展</w:t>
      </w:r>
      <w:r>
        <w:rPr>
          <w:rFonts w:hint="default" w:ascii="Times New Roman" w:eastAsia="仿宋_GB2312"/>
          <w:b w:val="0"/>
          <w:bCs w:val="0"/>
          <w:snapToGrid/>
          <w:color w:val="auto"/>
          <w:sz w:val="32"/>
          <w:szCs w:val="32"/>
          <w:highlight w:val="none"/>
          <w:lang w:eastAsia="zh-CN"/>
        </w:rPr>
        <w:t>。</w:t>
      </w:r>
      <w:r>
        <w:rPr>
          <w:rFonts w:hint="eastAsia" w:ascii="仿宋_GB2312" w:hAnsi="仿宋_GB2312"/>
          <w:highlight w:val="none"/>
          <w:lang w:eastAsia="zh-CN"/>
        </w:rPr>
        <w:t>“</w:t>
      </w:r>
      <w:r>
        <w:rPr>
          <w:rFonts w:hint="default"/>
          <w:highlight w:val="none"/>
        </w:rPr>
        <w:t>十四五</w:t>
      </w:r>
      <w:r>
        <w:rPr>
          <w:rFonts w:hint="eastAsia" w:ascii="仿宋_GB2312" w:hAnsi="仿宋_GB2312"/>
          <w:highlight w:val="none"/>
          <w:lang w:eastAsia="zh-CN"/>
        </w:rPr>
        <w:t>”</w:t>
      </w:r>
      <w:r>
        <w:rPr>
          <w:rFonts w:hint="default"/>
          <w:highlight w:val="none"/>
        </w:rPr>
        <w:t>期间，全市新开工装配式建筑面积101.44万平方米；新开工绿色建筑面积2049.78万平方米，其中星级绿色建筑面积为467.28万平方米，占比22.80%。</w:t>
      </w:r>
    </w:p>
    <w:p w14:paraId="54A6C16B">
      <w:pPr>
        <w:widowControl/>
        <w:bidi w:val="0"/>
        <w:spacing w:beforeLines="0" w:afterLines="0" w:line="600" w:lineRule="exact"/>
        <w:ind w:firstLine="640"/>
        <w:rPr>
          <w:rFonts w:hint="eastAsia" w:ascii="仿宋_GB2312" w:hAnsi="仿宋_GB2312" w:cs="仿宋_GB2312"/>
          <w:sz w:val="32"/>
          <w:szCs w:val="32"/>
          <w:highlight w:val="none"/>
          <w:lang w:val="en-US" w:eastAsia="zh-CN"/>
        </w:rPr>
      </w:pPr>
      <w:r>
        <w:rPr>
          <w:rFonts w:hint="eastAsia" w:ascii="仿宋_GB2312" w:hAnsi="仿宋_GB2312" w:cs="仿宋_GB2312"/>
          <w:b/>
          <w:bCs/>
          <w:color w:val="auto"/>
          <w:highlight w:val="none"/>
          <w:lang w:val="en-US" w:eastAsia="zh-CN"/>
        </w:rPr>
        <w:t>三是</w:t>
      </w:r>
      <w:r>
        <w:rPr>
          <w:rFonts w:hint="eastAsia" w:ascii="仿宋_GB2312" w:hAnsi="仿宋_GB2312" w:cs="仿宋_GB2312"/>
          <w:b/>
          <w:bCs/>
          <w:color w:val="auto"/>
          <w:sz w:val="32"/>
          <w:szCs w:val="32"/>
          <w:highlight w:val="none"/>
          <w:lang w:val="en-US" w:eastAsia="zh-CN"/>
        </w:rPr>
        <w:t>老旧小区改造</w:t>
      </w:r>
      <w:r>
        <w:rPr>
          <w:rFonts w:hint="eastAsia" w:ascii="仿宋_GB2312" w:hAnsi="仿宋_GB2312" w:eastAsia="仿宋_GB2312" w:cs="仿宋_GB2312"/>
          <w:b/>
          <w:bCs/>
          <w:color w:val="auto"/>
          <w:sz w:val="32"/>
          <w:szCs w:val="32"/>
          <w:highlight w:val="none"/>
          <w:lang w:val="en-US" w:eastAsia="zh-CN"/>
        </w:rPr>
        <w:t>积极推进</w:t>
      </w:r>
      <w:r>
        <w:rPr>
          <w:rFonts w:hint="eastAsia" w:ascii="仿宋_GB2312" w:hAnsi="仿宋_GB2312" w:cs="仿宋_GB2312"/>
          <w:b/>
          <w:bCs/>
          <w:color w:val="auto"/>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强化政策引领，出台《湛江市全面推进城镇老旧小区改造工作的实施方案》</w:t>
      </w:r>
      <w:r>
        <w:rPr>
          <w:rFonts w:hint="eastAsia" w:ascii="仿宋_GB2312" w:hAnsi="仿宋_GB2312" w:eastAsia="仿宋_GB2312" w:cs="仿宋_GB2312"/>
          <w:kern w:val="2"/>
          <w:sz w:val="32"/>
          <w:szCs w:val="32"/>
          <w:highlight w:val="none"/>
        </w:rPr>
        <w:t>《湛江市城镇老旧小区改造项目工作流程指引》</w:t>
      </w:r>
      <w:r>
        <w:rPr>
          <w:rFonts w:hint="eastAsia" w:ascii="仿宋_GB2312" w:hAnsi="仿宋_GB2312" w:eastAsia="仿宋_GB2312" w:cs="仿宋_GB2312"/>
          <w:kern w:val="2"/>
          <w:sz w:val="32"/>
          <w:szCs w:val="32"/>
          <w:highlight w:val="none"/>
          <w:lang w:val="en-US" w:eastAsia="zh-CN"/>
        </w:rPr>
        <w:t>等</w:t>
      </w:r>
      <w:r>
        <w:rPr>
          <w:rFonts w:hint="eastAsia" w:ascii="仿宋_GB2312" w:hAnsi="仿宋_GB2312" w:eastAsia="仿宋_GB2312" w:cs="仿宋_GB2312"/>
          <w:color w:val="auto"/>
          <w:kern w:val="2"/>
          <w:sz w:val="32"/>
          <w:szCs w:val="32"/>
          <w:highlight w:val="none"/>
          <w:lang w:val="en-US" w:eastAsia="zh-CN" w:bidi="ar-SA"/>
        </w:rPr>
        <w:t>，建立</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市县统筹谋划，镇街组织实施，社区参与落实</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工作机制，高质效推进改造工作</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rPr>
        <w:t>创新推进审批事项改革，相关经验被纳入《广东省城镇老旧小区改造可复制政策机制清单》；率先将部队移交地方管理的房屋纳入改造范围</w:t>
      </w:r>
      <w:r>
        <w:rPr>
          <w:rFonts w:hint="eastAsia" w:ascii="仿宋_GB2312" w:hAnsi="仿宋_GB2312" w:cs="仿宋_GB2312"/>
          <w:color w:val="auto"/>
          <w:kern w:val="2"/>
          <w:sz w:val="32"/>
          <w:szCs w:val="32"/>
          <w:highlight w:val="none"/>
          <w:shd w:val="clear"/>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坚持</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先急后缓、优先补短板</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rPr>
        <w:t>量质提升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里子面子并重实施</w:t>
      </w:r>
      <w:r>
        <w:rPr>
          <w:rFonts w:hint="eastAsia" w:ascii="仿宋_GB2312" w:hAnsi="仿宋_GB2312" w:cs="仿宋_GB2312"/>
          <w:color w:val="auto"/>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cs="仿宋_GB2312"/>
          <w:color w:val="auto"/>
          <w:kern w:val="2"/>
          <w:sz w:val="32"/>
          <w:szCs w:val="32"/>
          <w:highlight w:val="none"/>
          <w:lang w:val="en-US" w:eastAsia="zh-CN" w:bidi="ar-SA"/>
        </w:rPr>
        <w:t>一</w:t>
      </w:r>
      <w:r>
        <w:rPr>
          <w:rFonts w:hint="eastAsia" w:ascii="仿宋_GB2312" w:hAnsi="仿宋_GB2312" w:eastAsia="仿宋_GB2312" w:cs="仿宋_GB2312"/>
          <w:color w:val="auto"/>
          <w:sz w:val="32"/>
          <w:szCs w:val="32"/>
          <w:highlight w:val="none"/>
        </w:rPr>
        <w:t>体推进</w:t>
      </w:r>
      <w:r>
        <w:rPr>
          <w:rFonts w:hint="eastAsia" w:ascii="仿宋_GB2312" w:hAnsi="仿宋_GB2312" w:cs="仿宋_GB2312"/>
          <w:color w:val="auto"/>
          <w:kern w:val="2"/>
          <w:sz w:val="32"/>
          <w:szCs w:val="32"/>
          <w:highlight w:val="none"/>
          <w:shd w:val="clear" w:color="auto" w:fill="auto"/>
          <w:lang w:val="en-US" w:eastAsia="zh-CN" w:bidi="ar-SA"/>
        </w:rPr>
        <w:t>城镇老旧小区</w:t>
      </w:r>
      <w:r>
        <w:rPr>
          <w:rFonts w:hint="eastAsia" w:ascii="仿宋_GB2312" w:hAnsi="仿宋_GB2312" w:eastAsia="仿宋_GB2312" w:cs="仿宋_GB2312"/>
          <w:color w:val="auto"/>
          <w:kern w:val="2"/>
          <w:sz w:val="32"/>
          <w:szCs w:val="32"/>
          <w:highlight w:val="none"/>
          <w:shd w:val="clear" w:color="auto" w:fill="auto"/>
          <w:lang w:val="en-US" w:eastAsia="zh-CN" w:bidi="ar-SA"/>
        </w:rPr>
        <w:t>基础类、完善</w:t>
      </w:r>
      <w:r>
        <w:rPr>
          <w:rFonts w:hint="eastAsia" w:ascii="仿宋_GB2312" w:hAnsi="仿宋_GB2312" w:cs="仿宋_GB2312"/>
          <w:color w:val="auto"/>
          <w:kern w:val="2"/>
          <w:sz w:val="32"/>
          <w:szCs w:val="32"/>
          <w:highlight w:val="none"/>
          <w:shd w:val="clear" w:color="auto" w:fill="auto"/>
          <w:lang w:val="en-US" w:eastAsia="zh-CN" w:bidi="ar-SA"/>
        </w:rPr>
        <w:t>类</w:t>
      </w:r>
      <w:r>
        <w:rPr>
          <w:rFonts w:hint="eastAsia" w:ascii="仿宋_GB2312" w:hAnsi="仿宋_GB2312" w:eastAsia="仿宋_GB2312" w:cs="仿宋_GB2312"/>
          <w:color w:val="auto"/>
          <w:kern w:val="2"/>
          <w:sz w:val="32"/>
          <w:szCs w:val="32"/>
          <w:highlight w:val="none"/>
          <w:shd w:val="clear" w:color="auto" w:fill="auto"/>
          <w:lang w:val="en-US" w:eastAsia="zh-CN" w:bidi="ar-SA"/>
        </w:rPr>
        <w:t>和提升类改造</w:t>
      </w:r>
      <w:r>
        <w:rPr>
          <w:rFonts w:hint="eastAsia" w:ascii="仿宋_GB2312" w:hAnsi="仿宋_GB2312" w:cs="仿宋_GB2312"/>
          <w:color w:val="auto"/>
          <w:kern w:val="2"/>
          <w:sz w:val="32"/>
          <w:szCs w:val="32"/>
          <w:highlight w:val="none"/>
          <w:shd w:val="clear"/>
          <w:lang w:val="en-US" w:eastAsia="zh-CN" w:bidi="ar-SA"/>
        </w:rPr>
        <w:t>，</w:t>
      </w:r>
      <w:r>
        <w:rPr>
          <w:rFonts w:hint="eastAsia" w:ascii="仿宋_GB2312" w:hAnsi="仿宋_GB2312" w:eastAsia="仿宋_GB2312" w:cs="仿宋_GB2312"/>
          <w:color w:val="auto"/>
          <w:sz w:val="32"/>
          <w:szCs w:val="32"/>
          <w:highlight w:val="none"/>
        </w:rPr>
        <w:t>统筹点、面、片联动</w:t>
      </w:r>
      <w:r>
        <w:rPr>
          <w:rFonts w:hint="eastAsia" w:ascii="仿宋_GB2312" w:hAnsi="仿宋_GB2312" w:cs="仿宋_GB2312"/>
          <w:color w:val="auto"/>
          <w:sz w:val="32"/>
          <w:szCs w:val="32"/>
          <w:highlight w:val="none"/>
          <w:lang w:val="en-US" w:eastAsia="zh-CN"/>
        </w:rPr>
        <w:t>实施</w:t>
      </w:r>
      <w:r>
        <w:rPr>
          <w:rFonts w:hint="eastAsia" w:ascii="仿宋_GB2312" w:hAnsi="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全面</w:t>
      </w:r>
      <w:r>
        <w:rPr>
          <w:rStyle w:val="24"/>
          <w:rFonts w:hint="eastAsia" w:ascii="仿宋_GB2312" w:hAnsi="仿宋_GB2312" w:eastAsia="仿宋_GB2312" w:cs="仿宋_GB2312"/>
          <w:b w:val="0"/>
          <w:bCs w:val="0"/>
          <w:color w:val="auto"/>
          <w:sz w:val="32"/>
          <w:szCs w:val="32"/>
          <w:highlight w:val="none"/>
          <w:lang w:val="en-US" w:eastAsia="zh-CN"/>
        </w:rPr>
        <w:t>优化基础设施配套</w:t>
      </w:r>
      <w:r>
        <w:rPr>
          <w:rStyle w:val="24"/>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color w:val="auto"/>
          <w:sz w:val="32"/>
          <w:szCs w:val="32"/>
          <w:highlight w:val="none"/>
        </w:rPr>
        <w:t>完善</w:t>
      </w:r>
      <w:r>
        <w:rPr>
          <w:rFonts w:hint="eastAsia" w:ascii="仿宋_GB2312" w:hAnsi="仿宋_GB2312" w:cs="仿宋_GB2312"/>
          <w:color w:val="auto"/>
          <w:sz w:val="32"/>
          <w:szCs w:val="32"/>
          <w:highlight w:val="none"/>
          <w:lang w:val="en-US" w:eastAsia="zh-CN"/>
        </w:rPr>
        <w:t>住区</w:t>
      </w:r>
      <w:r>
        <w:rPr>
          <w:rFonts w:hint="eastAsia" w:ascii="仿宋_GB2312" w:hAnsi="仿宋_GB2312" w:eastAsia="仿宋_GB2312" w:cs="仿宋_GB2312"/>
          <w:color w:val="auto"/>
          <w:sz w:val="32"/>
          <w:szCs w:val="32"/>
          <w:highlight w:val="none"/>
        </w:rPr>
        <w:t>服务功能。</w:t>
      </w:r>
      <w:r>
        <w:rPr>
          <w:rFonts w:hint="eastAsia" w:ascii="仿宋_GB2312" w:hAnsi="仿宋_GB2312" w:cs="仿宋_GB2312"/>
          <w:i w:val="0"/>
          <w:iCs w:val="0"/>
          <w:caps w:val="0"/>
          <w:color w:val="333333"/>
          <w:spacing w:val="0"/>
          <w:sz w:val="32"/>
          <w:szCs w:val="32"/>
          <w:highlight w:val="none"/>
          <w:shd w:val="clear" w:fill="FFFFFF"/>
          <w:lang w:eastAsia="zh-CN"/>
        </w:rPr>
        <w:t>“</w:t>
      </w:r>
      <w:r>
        <w:rPr>
          <w:rFonts w:hint="eastAsia" w:ascii="仿宋_GB2312" w:hAnsi="仿宋_GB2312" w:cs="仿宋_GB2312"/>
          <w:i w:val="0"/>
          <w:iCs w:val="0"/>
          <w:caps w:val="0"/>
          <w:color w:val="333333"/>
          <w:spacing w:val="0"/>
          <w:sz w:val="32"/>
          <w:szCs w:val="32"/>
          <w:highlight w:val="none"/>
          <w:shd w:val="clear" w:fill="FFFFFF"/>
          <w:lang w:val="en-US" w:eastAsia="zh-CN"/>
        </w:rPr>
        <w:t>十四五</w:t>
      </w:r>
      <w:r>
        <w:rPr>
          <w:rFonts w:hint="eastAsia" w:ascii="仿宋_GB2312" w:hAnsi="仿宋_GB2312" w:cs="仿宋_GB2312"/>
          <w:i w:val="0"/>
          <w:iCs w:val="0"/>
          <w:caps w:val="0"/>
          <w:color w:val="333333"/>
          <w:spacing w:val="0"/>
          <w:sz w:val="32"/>
          <w:szCs w:val="32"/>
          <w:highlight w:val="none"/>
          <w:shd w:val="clear" w:fill="FFFFFF"/>
          <w:lang w:eastAsia="zh-CN"/>
        </w:rPr>
        <w:t>”</w:t>
      </w:r>
      <w:r>
        <w:rPr>
          <w:rFonts w:hint="eastAsia" w:ascii="仿宋_GB2312" w:hAnsi="仿宋_GB2312" w:cs="仿宋_GB2312"/>
          <w:i w:val="0"/>
          <w:iCs w:val="0"/>
          <w:caps w:val="0"/>
          <w:color w:val="333333"/>
          <w:spacing w:val="0"/>
          <w:sz w:val="32"/>
          <w:szCs w:val="32"/>
          <w:highlight w:val="none"/>
          <w:shd w:val="clear" w:fill="FFFFFF"/>
          <w:lang w:val="en-US" w:eastAsia="zh-CN"/>
        </w:rPr>
        <w:t>期间，全市</w:t>
      </w:r>
      <w:r>
        <w:rPr>
          <w:rFonts w:hint="eastAsia" w:ascii="仿宋_GB2312" w:hAnsi="仿宋_GB2312" w:eastAsia="仿宋_GB2312" w:cs="仿宋_GB2312"/>
          <w:sz w:val="32"/>
          <w:szCs w:val="32"/>
          <w:highlight w:val="none"/>
          <w:lang w:val="en-US" w:eastAsia="zh-CN"/>
        </w:rPr>
        <w:t>已开工改造城镇老旧小区</w:t>
      </w:r>
      <w:r>
        <w:rPr>
          <w:rFonts w:hint="default" w:ascii="Times New Roman" w:hAnsi="Times New Roman" w:cs="Times New Roman"/>
          <w:sz w:val="32"/>
          <w:szCs w:val="32"/>
          <w:highlight w:val="none"/>
          <w:lang w:val="en-US" w:eastAsia="zh-CN"/>
        </w:rPr>
        <w:t>843</w:t>
      </w:r>
      <w:r>
        <w:rPr>
          <w:rFonts w:hint="eastAsia" w:ascii="仿宋_GB2312" w:hAnsi="仿宋_GB2312" w:eastAsia="仿宋_GB2312" w:cs="仿宋_GB2312"/>
          <w:sz w:val="32"/>
          <w:szCs w:val="32"/>
          <w:highlight w:val="none"/>
          <w:lang w:val="en-US" w:eastAsia="zh-CN"/>
        </w:rPr>
        <w:t>个</w:t>
      </w:r>
      <w:r>
        <w:rPr>
          <w:rFonts w:hint="eastAsia" w:ascii="仿宋_GB2312" w:hAnsi="仿宋_GB2312" w:cs="仿宋_GB2312"/>
          <w:sz w:val="32"/>
          <w:szCs w:val="32"/>
          <w:highlight w:val="none"/>
          <w:lang w:val="en-US" w:eastAsia="zh-CN"/>
        </w:rPr>
        <w:t>。</w:t>
      </w:r>
    </w:p>
    <w:p w14:paraId="32AE2B7B">
      <w:pPr>
        <w:spacing w:beforeLines="0" w:afterLines="0" w:line="600" w:lineRule="exact"/>
        <w:ind w:firstLine="643" w:firstLineChars="200"/>
        <w:rPr>
          <w:rFonts w:hint="eastAsia"/>
          <w:highlight w:val="none"/>
          <w:lang w:val="en-US" w:eastAsia="zh-CN"/>
        </w:rPr>
      </w:pPr>
      <w:r>
        <w:rPr>
          <w:rFonts w:hint="eastAsia" w:ascii="仿宋_GB2312" w:hAnsi="仿宋_GB2312" w:cs="仿宋_GB2312"/>
          <w:b/>
          <w:bCs/>
          <w:highlight w:val="none"/>
          <w:lang w:val="en-US" w:eastAsia="zh-CN"/>
        </w:rPr>
        <w:t>四是</w:t>
      </w:r>
      <w:r>
        <w:rPr>
          <w:rFonts w:hint="eastAsia" w:ascii="仿宋_GB2312" w:hAnsi="仿宋_GB2312" w:cs="仿宋_GB2312"/>
          <w:b/>
          <w:bCs/>
          <w:highlight w:val="none"/>
          <w:lang w:eastAsia="zh-CN"/>
        </w:rPr>
        <w:t>物业管理</w:t>
      </w:r>
      <w:r>
        <w:rPr>
          <w:rFonts w:hint="eastAsia" w:ascii="仿宋_GB2312" w:hAnsi="仿宋_GB2312" w:cs="仿宋_GB2312"/>
          <w:b/>
          <w:bCs/>
          <w:highlight w:val="none"/>
          <w:lang w:val="en-US" w:eastAsia="zh-CN"/>
        </w:rPr>
        <w:t>持续</w:t>
      </w:r>
      <w:r>
        <w:rPr>
          <w:rFonts w:hint="eastAsia" w:ascii="仿宋_GB2312" w:hAnsi="仿宋_GB2312" w:cs="仿宋_GB2312"/>
          <w:b/>
          <w:bCs/>
          <w:highlight w:val="none"/>
          <w:lang w:eastAsia="zh-CN"/>
        </w:rPr>
        <w:t>深化改革</w:t>
      </w:r>
      <w:r>
        <w:rPr>
          <w:rFonts w:hint="eastAsia" w:ascii="仿宋_GB2312" w:hAnsi="仿宋_GB2312" w:cs="仿宋_GB2312"/>
          <w:b/>
          <w:bCs/>
          <w:highlight w:val="none"/>
          <w:lang w:val="en-US" w:eastAsia="zh-CN"/>
        </w:rPr>
        <w:t>。</w:t>
      </w:r>
      <w:r>
        <w:rPr>
          <w:rFonts w:hint="eastAsia" w:ascii="仿宋_GB2312" w:hAnsi="仿宋_GB2312" w:eastAsia="仿宋_GB2312" w:cs="仿宋_GB2312"/>
          <w:sz w:val="32"/>
          <w:szCs w:val="32"/>
          <w:highlight w:val="none"/>
        </w:rPr>
        <w:t>健全物业管理监管</w:t>
      </w:r>
      <w:r>
        <w:rPr>
          <w:rFonts w:hint="eastAsia" w:ascii="仿宋_GB2312" w:hAnsi="仿宋_GB2312" w:cs="仿宋_GB2312"/>
          <w:sz w:val="32"/>
          <w:szCs w:val="32"/>
          <w:highlight w:val="none"/>
          <w:lang w:val="en-US" w:eastAsia="zh-CN"/>
        </w:rPr>
        <w:t>制度体系</w:t>
      </w:r>
      <w:r>
        <w:rPr>
          <w:rFonts w:hint="eastAsia" w:ascii="仿宋_GB2312" w:hAnsi="仿宋_GB2312" w:eastAsia="仿宋_GB2312" w:cs="仿宋_GB2312"/>
          <w:sz w:val="32"/>
          <w:szCs w:val="32"/>
          <w:highlight w:val="none"/>
          <w:lang w:eastAsia="zh-CN"/>
        </w:rPr>
        <w:t>，</w:t>
      </w:r>
      <w:r>
        <w:rPr>
          <w:rFonts w:hint="eastAsia" w:ascii="仿宋_GB2312" w:hAnsi="仿宋_GB2312" w:cs="仿宋_GB2312"/>
          <w:highlight w:val="none"/>
          <w:lang w:val="en-US" w:eastAsia="zh-CN"/>
        </w:rPr>
        <w:t>出台《湛江市物业管理条例》</w:t>
      </w:r>
      <w:r>
        <w:rPr>
          <w:rFonts w:hint="eastAsia" w:ascii="仿宋_GB2312" w:hAnsi="仿宋_GB2312" w:cs="仿宋_GB2312"/>
          <w:highlight w:val="none"/>
        </w:rPr>
        <w:t>《湛江市物业管理办法》</w:t>
      </w:r>
      <w:r>
        <w:rPr>
          <w:rFonts w:hint="eastAsia" w:ascii="仿宋_GB2312" w:hAnsi="仿宋_GB2312" w:cs="仿宋_GB2312"/>
          <w:highlight w:val="none"/>
          <w:lang w:val="en-US" w:eastAsia="zh-CN"/>
        </w:rPr>
        <w:t>等</w:t>
      </w:r>
      <w:r>
        <w:rPr>
          <w:rFonts w:hint="eastAsia" w:ascii="仿宋_GB2312" w:hAnsi="仿宋_GB2312" w:cs="仿宋_GB2312"/>
          <w:highlight w:val="none"/>
          <w:lang w:eastAsia="zh-CN"/>
        </w:rPr>
        <w:t>，</w:t>
      </w:r>
      <w:r>
        <w:rPr>
          <w:rFonts w:hint="eastAsia" w:ascii="仿宋_GB2312" w:hAnsi="仿宋_GB2312" w:eastAsia="仿宋_GB2312" w:cs="仿宋_GB2312"/>
          <w:i w:val="0"/>
          <w:iCs w:val="0"/>
          <w:caps w:val="0"/>
          <w:spacing w:val="0"/>
          <w:sz w:val="32"/>
          <w:szCs w:val="32"/>
          <w:highlight w:val="none"/>
          <w:shd w:val="clear"/>
          <w:lang w:val="en-US" w:eastAsia="zh-CN"/>
        </w:rPr>
        <w:t>实行</w:t>
      </w:r>
      <w:r>
        <w:rPr>
          <w:rStyle w:val="24"/>
          <w:rFonts w:hint="eastAsia" w:ascii="仿宋_GB2312" w:hAnsi="仿宋_GB2312" w:eastAsia="仿宋_GB2312" w:cs="仿宋_GB2312"/>
          <w:i w:val="0"/>
          <w:iCs w:val="0"/>
          <w:caps w:val="0"/>
          <w:color w:val="auto"/>
          <w:spacing w:val="0"/>
          <w:sz w:val="32"/>
          <w:szCs w:val="32"/>
          <w:highlight w:val="none"/>
        </w:rPr>
        <w:t>共有资金账户专户管理</w:t>
      </w:r>
      <w:r>
        <w:rPr>
          <w:rStyle w:val="24"/>
          <w:rFonts w:hint="eastAsia" w:ascii="仿宋_GB2312" w:hAnsi="仿宋_GB2312" w:cs="仿宋_GB2312"/>
          <w:i w:val="0"/>
          <w:iCs w:val="0"/>
          <w:caps w:val="0"/>
          <w:color w:val="auto"/>
          <w:spacing w:val="0"/>
          <w:sz w:val="32"/>
          <w:szCs w:val="32"/>
          <w:highlight w:val="none"/>
          <w:lang w:eastAsia="zh-CN"/>
        </w:rPr>
        <w:t>，</w:t>
      </w:r>
      <w:r>
        <w:rPr>
          <w:rFonts w:hint="eastAsia" w:ascii="仿宋_GB2312" w:hAnsi="仿宋_GB2312" w:cs="仿宋_GB2312"/>
          <w:color w:val="auto"/>
          <w:highlight w:val="none"/>
          <w:shd w:val="clear" w:fill="auto"/>
        </w:rPr>
        <w:t>强化物业资金</w:t>
      </w:r>
      <w:r>
        <w:rPr>
          <w:rFonts w:hint="eastAsia" w:ascii="仿宋_GB2312" w:hAnsi="仿宋_GB2312" w:cs="仿宋_GB2312"/>
          <w:color w:val="auto"/>
          <w:highlight w:val="none"/>
          <w:shd w:val="clear" w:fill="auto"/>
          <w:lang w:val="en-US" w:eastAsia="zh-CN"/>
        </w:rPr>
        <w:t>使用与</w:t>
      </w:r>
      <w:r>
        <w:rPr>
          <w:rFonts w:hint="eastAsia" w:ascii="仿宋_GB2312" w:hAnsi="仿宋_GB2312" w:cs="仿宋_GB2312"/>
          <w:color w:val="auto"/>
          <w:highlight w:val="none"/>
          <w:shd w:val="clear" w:fill="auto"/>
        </w:rPr>
        <w:t>监管</w:t>
      </w:r>
      <w:r>
        <w:rPr>
          <w:rFonts w:hint="eastAsia" w:ascii="仿宋_GB2312" w:hAnsi="仿宋_GB2312" w:eastAsia="仿宋_GB2312" w:cs="仿宋_GB2312"/>
          <w:i w:val="0"/>
          <w:iCs w:val="0"/>
          <w:caps w:val="0"/>
          <w:spacing w:val="0"/>
          <w:sz w:val="32"/>
          <w:szCs w:val="32"/>
          <w:highlight w:val="none"/>
          <w:shd w:val="clear"/>
          <w:lang w:eastAsia="zh-CN"/>
        </w:rPr>
        <w:t>；</w:t>
      </w:r>
      <w:r>
        <w:rPr>
          <w:rFonts w:hint="eastAsia" w:ascii="仿宋_GB2312" w:hAnsi="仿宋_GB2312" w:cs="仿宋_GB2312"/>
          <w:highlight w:val="none"/>
          <w:lang w:val="en-US" w:eastAsia="zh-CN"/>
        </w:rPr>
        <w:t>明确</w:t>
      </w:r>
      <w:r>
        <w:rPr>
          <w:rFonts w:hint="eastAsia" w:ascii="仿宋_GB2312" w:hAnsi="仿宋_GB2312" w:eastAsia="仿宋_GB2312" w:cs="仿宋_GB2312"/>
          <w:b w:val="0"/>
          <w:bCs w:val="0"/>
          <w:i w:val="0"/>
          <w:iCs w:val="0"/>
          <w:caps w:val="0"/>
          <w:color w:val="auto"/>
          <w:spacing w:val="0"/>
          <w:sz w:val="32"/>
          <w:szCs w:val="32"/>
          <w:highlight w:val="none"/>
        </w:rPr>
        <w:t>业主委员会</w:t>
      </w:r>
      <w:r>
        <w:rPr>
          <w:rFonts w:hint="eastAsia" w:ascii="仿宋_GB2312" w:hAnsi="仿宋_GB2312" w:eastAsia="仿宋_GB2312" w:cs="仿宋_GB2312"/>
          <w:i w:val="0"/>
          <w:iCs w:val="0"/>
          <w:caps w:val="0"/>
          <w:color w:val="auto"/>
          <w:spacing w:val="0"/>
          <w:sz w:val="32"/>
          <w:szCs w:val="32"/>
          <w:highlight w:val="none"/>
        </w:rPr>
        <w:t>的组建、职责、解散等内容</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cs="仿宋_GB2312"/>
          <w:highlight w:val="none"/>
        </w:rPr>
        <w:t>推动业主自治规范化运行</w:t>
      </w:r>
      <w:r>
        <w:rPr>
          <w:rFonts w:hint="eastAsia" w:ascii="仿宋_GB2312" w:hAnsi="仿宋_GB2312" w:cs="仿宋_GB2312"/>
          <w:highlight w:val="none"/>
          <w:lang w:eastAsia="zh-CN"/>
        </w:rPr>
        <w:t>；</w:t>
      </w:r>
      <w:r>
        <w:rPr>
          <w:rFonts w:hint="eastAsia" w:ascii="仿宋_GB2312" w:hAnsi="仿宋_GB2312" w:eastAsia="仿宋_GB2312" w:cs="仿宋_GB2312"/>
          <w:i w:val="0"/>
          <w:iCs w:val="0"/>
          <w:caps w:val="0"/>
          <w:spacing w:val="0"/>
          <w:sz w:val="32"/>
          <w:szCs w:val="32"/>
          <w:highlight w:val="none"/>
          <w:shd w:val="clear"/>
          <w:lang w:val="en-US" w:eastAsia="zh-CN"/>
        </w:rPr>
        <w:t>坚持党建引领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健全多方协同治理机制</w:t>
      </w:r>
      <w:r>
        <w:rPr>
          <w:rFonts w:hint="eastAsia" w:ascii="仿宋_GB2312" w:hAnsi="仿宋_GB2312" w:eastAsia="仿宋_GB2312" w:cs="仿宋_GB2312"/>
          <w:sz w:val="32"/>
          <w:szCs w:val="32"/>
          <w:highlight w:val="none"/>
          <w:lang w:eastAsia="zh-CN"/>
        </w:rPr>
        <w:t>，</w:t>
      </w:r>
      <w:r>
        <w:rPr>
          <w:rStyle w:val="24"/>
          <w:rFonts w:hint="eastAsia" w:ascii="仿宋_GB2312" w:hAnsi="仿宋_GB2312" w:eastAsia="仿宋_GB2312" w:cs="仿宋_GB2312"/>
          <w:b w:val="0"/>
          <w:bCs w:val="0"/>
          <w:color w:val="auto"/>
          <w:sz w:val="32"/>
          <w:szCs w:val="32"/>
          <w:highlight w:val="none"/>
        </w:rPr>
        <w:t>不断提升物业服务质量和基层治理效能</w:t>
      </w:r>
      <w:r>
        <w:rPr>
          <w:rFonts w:hint="eastAsia" w:ascii="仿宋_GB2312" w:hAnsi="仿宋_GB2312" w:eastAsia="仿宋_GB2312" w:cs="仿宋_GB2312"/>
          <w:sz w:val="32"/>
          <w:szCs w:val="32"/>
          <w:highlight w:val="none"/>
        </w:rPr>
        <w:t>。</w:t>
      </w:r>
      <w:r>
        <w:rPr>
          <w:rFonts w:hint="eastAsia" w:ascii="仿宋_GB2312" w:hAnsi="仿宋_GB2312" w:cs="仿宋_GB2312"/>
          <w:highlight w:val="none"/>
        </w:rPr>
        <w:t>持续提升物业行业规范化管理水平，</w:t>
      </w:r>
      <w:r>
        <w:rPr>
          <w:rFonts w:hint="eastAsia" w:ascii="仿宋_GB2312" w:hAnsi="仿宋_GB2312" w:cs="仿宋_GB2312"/>
          <w:highlight w:val="none"/>
          <w:lang w:val="en-US" w:eastAsia="zh-CN"/>
        </w:rPr>
        <w:t>印发</w:t>
      </w:r>
      <w:r>
        <w:rPr>
          <w:rFonts w:hint="eastAsia" w:ascii="仿宋_GB2312" w:hAnsi="仿宋_GB2312" w:cs="仿宋_GB2312"/>
          <w:highlight w:val="none"/>
        </w:rPr>
        <w:t>《湛江市前期物业服务合同（示范文本）》《湛江市物业服务企业和物业项目负责人信用信息管理暂行办法》等，进一步厘清建设单位与前期物业服务企业权责边界，建立健全物业服务企业信用评价体系，推动物业管理行业规范</w:t>
      </w:r>
      <w:r>
        <w:rPr>
          <w:rFonts w:hint="eastAsia" w:ascii="仿宋_GB2312" w:hAnsi="仿宋_GB2312" w:cs="仿宋_GB2312"/>
          <w:highlight w:val="none"/>
          <w:lang w:val="en-US" w:eastAsia="zh-CN"/>
        </w:rPr>
        <w:t>化</w:t>
      </w:r>
      <w:r>
        <w:rPr>
          <w:rFonts w:hint="eastAsia" w:ascii="仿宋_GB2312" w:hAnsi="仿宋_GB2312" w:cs="仿宋_GB2312"/>
          <w:highlight w:val="none"/>
        </w:rPr>
        <w:t>发展。</w:t>
      </w:r>
      <w:r>
        <w:rPr>
          <w:rFonts w:hint="eastAsia" w:ascii="仿宋_GB2312" w:hAnsi="仿宋_GB2312"/>
          <w:color w:val="auto"/>
          <w:highlight w:val="none"/>
          <w:lang w:eastAsia="zh-CN"/>
        </w:rPr>
        <w:t>“</w:t>
      </w:r>
      <w:r>
        <w:rPr>
          <w:rFonts w:hint="eastAsia"/>
          <w:color w:val="auto"/>
          <w:highlight w:val="none"/>
        </w:rPr>
        <w:t>十四五</w:t>
      </w:r>
      <w:r>
        <w:rPr>
          <w:rFonts w:hint="eastAsia" w:ascii="仿宋_GB2312" w:hAnsi="仿宋_GB2312"/>
          <w:color w:val="auto"/>
          <w:highlight w:val="none"/>
          <w:lang w:eastAsia="zh-CN"/>
        </w:rPr>
        <w:t>”</w:t>
      </w:r>
      <w:r>
        <w:rPr>
          <w:rFonts w:hint="eastAsia"/>
          <w:color w:val="auto"/>
          <w:highlight w:val="none"/>
        </w:rPr>
        <w:t>期间，全市住宅专业化物业管理水平稳步提升，实施专业物业管理项目678个，成立业主委员会85个，物业管理覆盖面持续扩大。</w:t>
      </w:r>
    </w:p>
    <w:p w14:paraId="592B0945">
      <w:pPr>
        <w:spacing w:beforeLines="-2147483648" w:afterLines="-2147483648" w:line="240" w:lineRule="auto"/>
        <w:ind w:firstLine="643" w:firstLineChars="200"/>
        <w:rPr>
          <w:rFonts w:hint="default"/>
          <w:highlight w:val="none"/>
        </w:rPr>
      </w:pPr>
      <w:r>
        <w:rPr>
          <w:rFonts w:hint="eastAsia"/>
          <w:b/>
          <w:bCs/>
          <w:color w:val="auto"/>
          <w:highlight w:val="none"/>
          <w:lang w:val="en-US" w:eastAsia="zh-CN"/>
        </w:rPr>
        <w:t>五是党建引领赋能物业服务水平提升。</w:t>
      </w:r>
      <w:r>
        <w:rPr>
          <w:rFonts w:hint="default"/>
          <w:highlight w:val="none"/>
        </w:rPr>
        <w:t>推动党建工作与物业服务行业深度融合，</w:t>
      </w:r>
      <w:r>
        <w:rPr>
          <w:rFonts w:hint="eastAsia"/>
          <w:highlight w:val="none"/>
          <w:lang w:val="en-US" w:eastAsia="zh-CN"/>
        </w:rPr>
        <w:t>支持</w:t>
      </w:r>
      <w:r>
        <w:rPr>
          <w:rFonts w:hint="default"/>
          <w:highlight w:val="none"/>
        </w:rPr>
        <w:t>符合条件的物业企业成立党组织，统筹推进物业服务企业党组织全覆盖建设</w:t>
      </w:r>
      <w:r>
        <w:rPr>
          <w:rFonts w:hint="eastAsia"/>
          <w:highlight w:val="none"/>
          <w:lang w:eastAsia="zh-CN"/>
        </w:rPr>
        <w:t>；</w:t>
      </w:r>
      <w:r>
        <w:rPr>
          <w:rFonts w:hint="eastAsia"/>
          <w:highlight w:val="none"/>
          <w:lang w:val="en-US" w:eastAsia="zh-CN"/>
        </w:rPr>
        <w:t>充分发挥党建引领作用，</w:t>
      </w:r>
      <w:r>
        <w:rPr>
          <w:rFonts w:hint="default"/>
          <w:highlight w:val="none"/>
          <w:lang w:val="en-US" w:eastAsia="zh-CN"/>
        </w:rPr>
        <w:t>将基层</w:t>
      </w:r>
      <w:r>
        <w:rPr>
          <w:rFonts w:hint="default" w:ascii="Times New Roman" w:hAnsi="Times New Roman" w:eastAsia="仿宋_GB2312" w:cstheme="minorBidi"/>
          <w:i w:val="0"/>
          <w:iCs w:val="0"/>
          <w:caps w:val="0"/>
          <w:color w:val="auto"/>
          <w:spacing w:val="0"/>
          <w:sz w:val="32"/>
          <w:szCs w:val="32"/>
          <w:highlight w:val="none"/>
        </w:rPr>
        <w:t>党建融入小区治理</w:t>
      </w:r>
      <w:r>
        <w:rPr>
          <w:rFonts w:hint="default" w:ascii="Times New Roman" w:hAnsi="Times New Roman" w:eastAsia="仿宋_GB2312" w:cstheme="minorBidi"/>
          <w:i w:val="0"/>
          <w:iCs w:val="0"/>
          <w:caps w:val="0"/>
          <w:color w:val="auto"/>
          <w:spacing w:val="0"/>
          <w:sz w:val="32"/>
          <w:szCs w:val="32"/>
          <w:highlight w:val="none"/>
          <w:lang w:eastAsia="zh-CN"/>
        </w:rPr>
        <w:t>，</w:t>
      </w:r>
      <w:r>
        <w:rPr>
          <w:rFonts w:hint="default"/>
          <w:highlight w:val="none"/>
        </w:rPr>
        <w:t>加快发展</w:t>
      </w:r>
      <w:r>
        <w:rPr>
          <w:rFonts w:hint="eastAsia" w:ascii="仿宋_GB2312" w:hAnsi="仿宋_GB2312"/>
          <w:highlight w:val="none"/>
          <w:lang w:eastAsia="zh-CN"/>
        </w:rPr>
        <w:t>“</w:t>
      </w:r>
      <w:r>
        <w:rPr>
          <w:rFonts w:hint="default"/>
          <w:highlight w:val="none"/>
        </w:rPr>
        <w:t>红色物业</w:t>
      </w:r>
      <w:r>
        <w:rPr>
          <w:rFonts w:hint="eastAsia" w:ascii="仿宋_GB2312" w:hAnsi="仿宋_GB2312"/>
          <w:highlight w:val="none"/>
          <w:lang w:eastAsia="zh-CN"/>
        </w:rPr>
        <w:t>”</w:t>
      </w:r>
      <w:r>
        <w:rPr>
          <w:rFonts w:hint="eastAsia"/>
          <w:highlight w:val="none"/>
          <w:lang w:eastAsia="zh-CN"/>
        </w:rPr>
        <w:t>，</w:t>
      </w:r>
      <w:r>
        <w:rPr>
          <w:rFonts w:hint="eastAsia"/>
          <w:highlight w:val="none"/>
          <w:lang w:val="en-US" w:eastAsia="zh-CN"/>
        </w:rPr>
        <w:t>推动</w:t>
      </w:r>
      <w:r>
        <w:rPr>
          <w:rFonts w:hint="default"/>
          <w:highlight w:val="none"/>
        </w:rPr>
        <w:t>物业管理全面纳入社区治理体系，着力构建小区</w:t>
      </w:r>
      <w:r>
        <w:rPr>
          <w:rFonts w:hint="eastAsia"/>
          <w:highlight w:val="none"/>
          <w:lang w:val="en-US" w:eastAsia="zh-CN"/>
        </w:rPr>
        <w:t>共建</w:t>
      </w:r>
      <w:r>
        <w:rPr>
          <w:rFonts w:hint="default"/>
          <w:highlight w:val="none"/>
        </w:rPr>
        <w:t>共治共享治理格局。组织开展</w:t>
      </w:r>
      <w:r>
        <w:rPr>
          <w:rFonts w:hint="eastAsia" w:ascii="仿宋_GB2312" w:hAnsi="仿宋_GB2312"/>
          <w:highlight w:val="none"/>
          <w:lang w:eastAsia="zh-CN"/>
        </w:rPr>
        <w:t>“</w:t>
      </w:r>
      <w:r>
        <w:rPr>
          <w:rFonts w:hint="default"/>
          <w:highlight w:val="none"/>
        </w:rPr>
        <w:t>美好家园</w:t>
      </w:r>
      <w:r>
        <w:rPr>
          <w:rFonts w:hint="eastAsia" w:ascii="仿宋_GB2312" w:hAnsi="仿宋_GB2312"/>
          <w:highlight w:val="none"/>
          <w:lang w:eastAsia="zh-CN"/>
        </w:rPr>
        <w:t>”</w:t>
      </w:r>
      <w:r>
        <w:rPr>
          <w:rFonts w:hint="default"/>
          <w:highlight w:val="none"/>
        </w:rPr>
        <w:t>小区评选活动，总结优秀治理经验，推广典型示范案例，以点带面推进物业小区标准化建设，加快打造具有湛江特色的</w:t>
      </w:r>
      <w:r>
        <w:rPr>
          <w:rFonts w:hint="eastAsia" w:ascii="仿宋_GB2312" w:hAnsi="仿宋_GB2312"/>
          <w:highlight w:val="none"/>
          <w:lang w:eastAsia="zh-CN"/>
        </w:rPr>
        <w:t>“</w:t>
      </w:r>
      <w:r>
        <w:rPr>
          <w:rFonts w:hint="default"/>
          <w:highlight w:val="none"/>
        </w:rPr>
        <w:t>红色物业</w:t>
      </w:r>
      <w:r>
        <w:rPr>
          <w:rFonts w:hint="eastAsia" w:ascii="仿宋_GB2312" w:hAnsi="仿宋_GB2312"/>
          <w:highlight w:val="none"/>
          <w:lang w:eastAsia="zh-CN"/>
        </w:rPr>
        <w:t>”</w:t>
      </w:r>
      <w:r>
        <w:rPr>
          <w:rFonts w:hint="default"/>
          <w:highlight w:val="none"/>
        </w:rPr>
        <w:t>党建品牌和示范点。</w:t>
      </w:r>
      <w:r>
        <w:rPr>
          <w:rFonts w:hint="eastAsia"/>
          <w:highlight w:val="none"/>
          <w:lang w:eastAsia="zh-CN"/>
        </w:rPr>
        <w:t>“</w:t>
      </w:r>
      <w:r>
        <w:rPr>
          <w:rFonts w:hint="eastAsia"/>
          <w:highlight w:val="none"/>
        </w:rPr>
        <w:t>十四五</w:t>
      </w:r>
      <w:r>
        <w:rPr>
          <w:rFonts w:hint="eastAsia" w:ascii="仿宋_GB2312" w:hAnsi="仿宋_GB2312"/>
          <w:highlight w:val="none"/>
          <w:lang w:eastAsia="zh-CN"/>
        </w:rPr>
        <w:t>”</w:t>
      </w:r>
      <w:r>
        <w:rPr>
          <w:rFonts w:hint="eastAsia"/>
          <w:highlight w:val="none"/>
        </w:rPr>
        <w:t>期间，全市已建立党组织的物业服务企业达425家，成立市物业行业党委，下设党组织24个。</w:t>
      </w:r>
    </w:p>
    <w:p w14:paraId="06E66E4A">
      <w:pPr>
        <w:pStyle w:val="4"/>
        <w:keepNext w:val="0"/>
        <w:keepLines w:val="0"/>
        <w:pageBreakBefore w:val="0"/>
        <w:widowControl w:val="0"/>
        <w:kinsoku/>
        <w:wordWrap/>
        <w:overflowPunct/>
        <w:topLinePunct w:val="0"/>
        <w:autoSpaceDE/>
        <w:autoSpaceDN/>
        <w:bidi w:val="0"/>
        <w:adjustRightInd/>
        <w:snapToGrid/>
        <w:spacing w:before="0" w:beforeLines="0" w:after="0" w:afterLines="0"/>
        <w:ind w:leftChars="0"/>
        <w:textAlignment w:val="auto"/>
        <w:rPr>
          <w:rFonts w:hint="default"/>
          <w:highlight w:val="none"/>
          <w:lang w:val="en-US" w:eastAsia="zh-CN"/>
        </w:rPr>
      </w:pPr>
      <w:r>
        <w:rPr>
          <w:rFonts w:hint="eastAsia"/>
          <w:highlight w:val="none"/>
          <w:lang w:val="en-US" w:eastAsia="zh-CN"/>
        </w:rPr>
        <w:t>5.住房公积金制度日益完善，助力居民安居效用显著。</w:t>
      </w:r>
    </w:p>
    <w:p w14:paraId="40AD8D30">
      <w:pPr>
        <w:keepNext w:val="0"/>
        <w:keepLines w:val="0"/>
        <w:pageBreakBefore w:val="0"/>
        <w:widowControl w:val="0"/>
        <w:kinsoku/>
        <w:wordWrap/>
        <w:overflowPunct/>
        <w:topLinePunct w:val="0"/>
        <w:autoSpaceDE/>
        <w:autoSpaceDN/>
        <w:bidi w:val="0"/>
        <w:adjustRightInd/>
        <w:snapToGrid/>
        <w:spacing w:beforeLines="0" w:afterLines="0"/>
        <w:ind w:leftChars="0" w:firstLine="643" w:firstLineChars="200"/>
        <w:textAlignment w:val="auto"/>
        <w:rPr>
          <w:rFonts w:hint="eastAsia" w:cs="Times New Roman"/>
          <w:highlight w:val="none"/>
          <w:lang w:val="en-US" w:eastAsia="zh-CN"/>
        </w:rPr>
      </w:pPr>
      <w:r>
        <w:rPr>
          <w:rFonts w:hint="eastAsia"/>
          <w:b/>
          <w:bCs/>
          <w:highlight w:val="none"/>
        </w:rPr>
        <w:t>一是</w:t>
      </w:r>
      <w:r>
        <w:rPr>
          <w:rFonts w:hint="eastAsia" w:ascii="Times New Roman Regular" w:hAnsi="Times New Roman Regular" w:cs="Times New Roman Regular"/>
          <w:b/>
          <w:bCs w:val="0"/>
          <w:color w:val="auto"/>
          <w:szCs w:val="32"/>
          <w:highlight w:val="none"/>
          <w:lang w:val="en-US" w:eastAsia="zh-CN"/>
        </w:rPr>
        <w:t>住房公积金</w:t>
      </w:r>
      <w:r>
        <w:rPr>
          <w:rFonts w:hint="eastAsia"/>
          <w:b/>
          <w:bCs/>
          <w:highlight w:val="none"/>
        </w:rPr>
        <w:t>缴存规模稳步扩大</w:t>
      </w:r>
      <w:r>
        <w:rPr>
          <w:rFonts w:hint="eastAsia"/>
          <w:b/>
          <w:bCs/>
          <w:highlight w:val="none"/>
          <w:lang w:eastAsia="zh-CN"/>
        </w:rPr>
        <w:t>。</w:t>
      </w:r>
      <w:r>
        <w:rPr>
          <w:rFonts w:hint="eastAsia"/>
          <w:b w:val="0"/>
          <w:bCs w:val="0"/>
          <w:highlight w:val="none"/>
          <w:lang w:val="en-US" w:eastAsia="zh-CN"/>
        </w:rPr>
        <w:t>联合开展</w:t>
      </w:r>
      <w:r>
        <w:rPr>
          <w:rFonts w:hint="eastAsia" w:ascii="仿宋_GB2312" w:hAnsi="仿宋_GB2312"/>
          <w:sz w:val="32"/>
          <w:szCs w:val="32"/>
          <w:highlight w:val="none"/>
          <w:lang w:val="en-US" w:eastAsia="zh-CN"/>
        </w:rPr>
        <w:t>“</w:t>
      </w:r>
      <w:r>
        <w:rPr>
          <w:rFonts w:hint="default" w:ascii="Times New Roman" w:hAnsi="Times New Roman" w:eastAsia="仿宋_GB2312"/>
          <w:sz w:val="32"/>
          <w:szCs w:val="32"/>
          <w:highlight w:val="none"/>
          <w:lang w:val="en-US" w:eastAsia="zh-CN"/>
        </w:rPr>
        <w:t>惠民公积金服务暖人心</w:t>
      </w:r>
      <w:r>
        <w:rPr>
          <w:rFonts w:hint="eastAsia" w:ascii="仿宋_GB2312" w:hAnsi="仿宋_GB2312"/>
          <w:sz w:val="32"/>
          <w:szCs w:val="32"/>
          <w:highlight w:val="none"/>
          <w:lang w:val="en-US" w:eastAsia="zh-CN"/>
        </w:rPr>
        <w:t>”</w:t>
      </w:r>
      <w:r>
        <w:rPr>
          <w:rFonts w:hint="eastAsia"/>
          <w:b w:val="0"/>
          <w:bCs w:val="0"/>
          <w:highlight w:val="none"/>
          <w:lang w:val="en-US" w:eastAsia="zh-CN"/>
        </w:rPr>
        <w:t>政策宣传活动，统筹推进各县（市、区）</w:t>
      </w:r>
      <w:r>
        <w:rPr>
          <w:rFonts w:hint="eastAsia" w:ascii="Times New Roman" w:hAnsi="Times New Roman" w:eastAsia="仿宋_GB2312"/>
          <w:sz w:val="32"/>
          <w:szCs w:val="32"/>
          <w:highlight w:val="none"/>
          <w:lang w:val="en-US" w:eastAsia="zh-CN"/>
        </w:rPr>
        <w:t>政策宣讲上门服务</w:t>
      </w:r>
      <w:r>
        <w:rPr>
          <w:rFonts w:hint="eastAsia" w:ascii="Times New Roman" w:hAnsi="Times New Roman"/>
          <w:sz w:val="32"/>
          <w:szCs w:val="32"/>
          <w:highlight w:val="none"/>
          <w:lang w:val="en-US" w:eastAsia="zh-CN"/>
        </w:rPr>
        <w:t>，在城市公园等公共场所增</w:t>
      </w:r>
      <w:r>
        <w:rPr>
          <w:rFonts w:hint="eastAsia" w:ascii="Times New Roman" w:hAnsi="Times New Roman" w:eastAsia="仿宋_GB2312"/>
          <w:sz w:val="32"/>
          <w:szCs w:val="32"/>
          <w:highlight w:val="none"/>
          <w:lang w:val="en-US" w:eastAsia="zh-CN"/>
        </w:rPr>
        <w:t>设公积金政策宣传专栏</w:t>
      </w:r>
      <w:r>
        <w:rPr>
          <w:rFonts w:hint="eastAsia" w:ascii="Times New Roman" w:hAnsi="Times New Roman"/>
          <w:sz w:val="32"/>
          <w:szCs w:val="32"/>
          <w:highlight w:val="none"/>
          <w:lang w:val="en-US" w:eastAsia="zh-CN"/>
        </w:rPr>
        <w:t>，实现</w:t>
      </w:r>
      <w:r>
        <w:rPr>
          <w:rFonts w:hint="eastAsia" w:ascii="Times New Roman" w:hAnsi="Times New Roman" w:eastAsia="仿宋_GB2312" w:cstheme="minorBidi"/>
          <w:sz w:val="32"/>
          <w:szCs w:val="32"/>
          <w:highlight w:val="none"/>
        </w:rPr>
        <w:t>公积金政策宣讲服务全域覆盖</w:t>
      </w:r>
      <w:r>
        <w:rPr>
          <w:rFonts w:hint="eastAsia" w:ascii="Times New Roman" w:hAnsi="Times New Roman"/>
          <w:highlight w:val="none"/>
          <w:lang w:eastAsia="zh-CN"/>
        </w:rPr>
        <w:t>，</w:t>
      </w:r>
      <w:r>
        <w:rPr>
          <w:rFonts w:hint="eastAsia" w:ascii="Times New Roman" w:hAnsi="Times New Roman"/>
          <w:highlight w:val="none"/>
          <w:lang w:val="en-US" w:eastAsia="zh-CN"/>
        </w:rPr>
        <w:t>显著提升政策知晓度和影响力</w:t>
      </w:r>
      <w:r>
        <w:rPr>
          <w:rFonts w:hint="eastAsia" w:ascii="Times New Roman" w:hAnsi="Times New Roman"/>
          <w:highlight w:val="none"/>
          <w:lang w:eastAsia="zh-CN"/>
        </w:rPr>
        <w:t>。</w:t>
      </w:r>
      <w:r>
        <w:rPr>
          <w:rFonts w:hint="eastAsia" w:ascii="仿宋_GB2312" w:hAnsi="仿宋_GB2312" w:cs="Times New Roman Regular"/>
          <w:b w:val="0"/>
          <w:szCs w:val="32"/>
          <w:highlight w:val="none"/>
          <w:lang w:val="en-US" w:eastAsia="zh-CN"/>
        </w:rPr>
        <w:t>“</w:t>
      </w:r>
      <w:r>
        <w:rPr>
          <w:rFonts w:hint="eastAsia" w:ascii="Times New Roman Regular" w:hAnsi="Times New Roman Regular" w:cs="Times New Roman Regular"/>
          <w:b w:val="0"/>
          <w:szCs w:val="32"/>
          <w:highlight w:val="none"/>
          <w:lang w:val="en-US" w:eastAsia="zh-CN"/>
        </w:rPr>
        <w:t>十四五</w:t>
      </w:r>
      <w:r>
        <w:rPr>
          <w:rFonts w:hint="eastAsia" w:ascii="仿宋_GB2312" w:hAnsi="仿宋_GB2312" w:cs="Times New Roman Regular"/>
          <w:b w:val="0"/>
          <w:szCs w:val="32"/>
          <w:highlight w:val="none"/>
          <w:lang w:val="en-US" w:eastAsia="zh-CN"/>
        </w:rPr>
        <w:t>”</w:t>
      </w:r>
      <w:r>
        <w:rPr>
          <w:rFonts w:hint="eastAsia" w:ascii="Times New Roman Regular" w:hAnsi="Times New Roman Regular" w:cs="Times New Roman Regular"/>
          <w:b w:val="0"/>
          <w:szCs w:val="32"/>
          <w:highlight w:val="none"/>
          <w:lang w:val="en-US" w:eastAsia="zh-CN"/>
        </w:rPr>
        <w:t>期间，</w:t>
      </w:r>
      <w:r>
        <w:rPr>
          <w:rFonts w:hint="eastAsia" w:ascii="Times New Roman Regular" w:hAnsi="Times New Roman Regular" w:cs="Times New Roman Regular"/>
          <w:highlight w:val="none"/>
        </w:rPr>
        <w:t>全市住房公积金缴存工作成效显著</w:t>
      </w:r>
      <w:r>
        <w:rPr>
          <w:rFonts w:hint="eastAsia" w:ascii="Times New Roman Regular" w:hAnsi="Times New Roman Regular" w:cs="Times New Roman Regular"/>
          <w:highlight w:val="none"/>
          <w:lang w:eastAsia="zh-CN"/>
        </w:rPr>
        <w:t>，</w:t>
      </w:r>
      <w:r>
        <w:rPr>
          <w:rFonts w:hint="eastAsia" w:ascii="Times New Roman Regular" w:hAnsi="Times New Roman Regular" w:cs="Times New Roman Regular"/>
          <w:highlight w:val="none"/>
          <w:lang w:val="en-US" w:eastAsia="zh-CN"/>
        </w:rPr>
        <w:t>缴存人数从39.52万人增加至42.46万人，</w:t>
      </w:r>
      <w:r>
        <w:rPr>
          <w:rFonts w:hint="default" w:ascii="Times New Roman Regular" w:hAnsi="Times New Roman Regular" w:eastAsia="仿宋_GB2312" w:cs="Times New Roman Regular"/>
          <w:b w:val="0"/>
          <w:szCs w:val="32"/>
          <w:highlight w:val="none"/>
          <w:lang w:val="en-US" w:eastAsia="zh-CN"/>
        </w:rPr>
        <w:t>累计缴存总额</w:t>
      </w:r>
      <w:r>
        <w:rPr>
          <w:rFonts w:hint="eastAsia" w:ascii="Times New Roman Regular" w:hAnsi="Times New Roman Regular" w:cs="Times New Roman Regular"/>
          <w:b w:val="0"/>
          <w:szCs w:val="32"/>
          <w:highlight w:val="none"/>
          <w:lang w:val="en-US" w:eastAsia="zh-CN"/>
        </w:rPr>
        <w:t>从</w:t>
      </w:r>
      <w:r>
        <w:rPr>
          <w:rFonts w:hint="eastAsia" w:ascii="Times New Roman Regular" w:hAnsi="Times New Roman Regular" w:cs="Times New Roman Regular"/>
          <w:highlight w:val="none"/>
          <w:lang w:val="en-US" w:eastAsia="zh-CN"/>
        </w:rPr>
        <w:t>543.57</w:t>
      </w:r>
      <w:r>
        <w:rPr>
          <w:rFonts w:hint="default" w:ascii="Times New Roman Regular" w:hAnsi="Times New Roman Regular" w:eastAsia="仿宋_GB2312" w:cs="Times New Roman Regular"/>
          <w:b w:val="0"/>
          <w:szCs w:val="32"/>
          <w:highlight w:val="none"/>
          <w:lang w:val="en-US" w:eastAsia="zh-CN"/>
        </w:rPr>
        <w:t>亿元</w:t>
      </w:r>
      <w:r>
        <w:rPr>
          <w:rFonts w:hint="eastAsia" w:ascii="Times New Roman Regular" w:hAnsi="Times New Roman Regular" w:cs="Times New Roman Regular"/>
          <w:highlight w:val="none"/>
          <w:lang w:val="en-US" w:eastAsia="zh-CN"/>
        </w:rPr>
        <w:t>增加至979.46亿元，</w:t>
      </w:r>
      <w:r>
        <w:rPr>
          <w:rFonts w:hint="eastAsia" w:cs="Times New Roman"/>
          <w:highlight w:val="none"/>
          <w:lang w:val="en-US" w:eastAsia="zh-CN"/>
        </w:rPr>
        <w:t>累计新增开户单位6660家</w:t>
      </w:r>
      <w:r>
        <w:rPr>
          <w:rFonts w:hint="eastAsia"/>
          <w:highlight w:val="none"/>
          <w:lang w:val="en-US" w:eastAsia="zh-CN"/>
        </w:rPr>
        <w:t>，新增开户职工18.26万人</w:t>
      </w:r>
      <w:r>
        <w:rPr>
          <w:rFonts w:hint="default" w:ascii="Times New Roman Regular" w:hAnsi="Times New Roman Regular" w:eastAsia="仿宋_GB2312" w:cs="Times New Roman Regular"/>
          <w:b w:val="0"/>
          <w:szCs w:val="32"/>
          <w:highlight w:val="none"/>
          <w:lang w:val="en-US" w:eastAsia="zh-CN"/>
        </w:rPr>
        <w:t>。</w:t>
      </w:r>
    </w:p>
    <w:p w14:paraId="62EE336A">
      <w:pPr>
        <w:keepNext w:val="0"/>
        <w:keepLines w:val="0"/>
        <w:pageBreakBefore w:val="0"/>
        <w:widowControl w:val="0"/>
        <w:kinsoku/>
        <w:wordWrap/>
        <w:overflowPunct/>
        <w:topLinePunct w:val="0"/>
        <w:autoSpaceDE/>
        <w:autoSpaceDN/>
        <w:bidi w:val="0"/>
        <w:adjustRightInd/>
        <w:snapToGrid/>
        <w:spacing w:beforeLines="0" w:afterLines="0"/>
        <w:ind w:leftChars="0" w:firstLine="643"/>
        <w:textAlignment w:val="auto"/>
        <w:rPr>
          <w:rFonts w:hint="default" w:cs="Times New Roman"/>
          <w:b/>
          <w:bCs/>
          <w:highlight w:val="yellow"/>
          <w:lang w:val="en-US" w:eastAsia="zh-CN"/>
        </w:rPr>
      </w:pPr>
      <w:r>
        <w:rPr>
          <w:rFonts w:hint="default" w:cs="Times New Roman"/>
          <w:b/>
          <w:bCs/>
          <w:highlight w:val="none"/>
          <w:lang w:val="en-US" w:eastAsia="zh-CN"/>
        </w:rPr>
        <w:t>二是</w:t>
      </w:r>
      <w:r>
        <w:rPr>
          <w:rFonts w:hint="default" w:ascii="Times New Roman" w:hAnsi="Times New Roman" w:cs="Times New Roman"/>
          <w:b/>
          <w:bCs w:val="0"/>
          <w:color w:val="auto"/>
          <w:szCs w:val="32"/>
          <w:highlight w:val="none"/>
          <w:lang w:val="en-US" w:eastAsia="zh-CN"/>
        </w:rPr>
        <w:t>住房公积金</w:t>
      </w:r>
      <w:r>
        <w:rPr>
          <w:rFonts w:hint="default" w:cs="Times New Roman"/>
          <w:b/>
          <w:bCs/>
          <w:highlight w:val="none"/>
          <w:lang w:val="en-US" w:eastAsia="zh-CN"/>
        </w:rPr>
        <w:t>惠民力度不断加强。</w:t>
      </w:r>
      <w:r>
        <w:rPr>
          <w:rFonts w:hint="eastAsia" w:ascii="Times New Roman" w:hAnsi="Times New Roman" w:cs="Times New Roman"/>
          <w:b w:val="0"/>
          <w:bCs w:val="0"/>
          <w:highlight w:val="none"/>
          <w:lang w:val="en-US" w:eastAsia="zh-CN"/>
        </w:rPr>
        <w:t>出台</w:t>
      </w:r>
      <w:r>
        <w:rPr>
          <w:rFonts w:hint="eastAsia" w:cs="Times New Roman"/>
          <w:highlight w:val="none"/>
        </w:rPr>
        <w:t>《关于住房公积金个人住房贷款有关问题的通知》</w:t>
      </w:r>
      <w:r>
        <w:rPr>
          <w:rFonts w:hint="eastAsia" w:cs="Times New Roman"/>
          <w:highlight w:val="none"/>
          <w:lang w:val="en-US" w:eastAsia="zh-CN"/>
        </w:rPr>
        <w:t>《</w:t>
      </w:r>
      <w:r>
        <w:rPr>
          <w:rFonts w:hint="eastAsia" w:cs="Times New Roman"/>
          <w:highlight w:val="none"/>
        </w:rPr>
        <w:t>关于优化调整住房公积金异地购房和还贷提取政策的通知</w:t>
      </w:r>
      <w:r>
        <w:rPr>
          <w:rFonts w:hint="eastAsia" w:cs="Times New Roman"/>
          <w:highlight w:val="none"/>
          <w:lang w:eastAsia="zh-CN"/>
        </w:rPr>
        <w:t>》</w:t>
      </w:r>
      <w:r>
        <w:rPr>
          <w:rFonts w:hint="eastAsia" w:ascii="Times New Roman" w:hAnsi="Times New Roman" w:cs="Times New Roman"/>
          <w:i w:val="0"/>
          <w:iCs w:val="0"/>
          <w:caps w:val="0"/>
          <w:spacing w:val="0"/>
          <w:sz w:val="32"/>
          <w:szCs w:val="32"/>
          <w:highlight w:val="none"/>
          <w:shd w:val="clear"/>
          <w:lang w:val="en-US" w:eastAsia="zh-CN"/>
        </w:rPr>
        <w:t>等</w:t>
      </w:r>
      <w:r>
        <w:rPr>
          <w:rFonts w:hint="default" w:ascii="Times New Roman" w:hAnsi="Times New Roman" w:eastAsia="仿宋_GB2312" w:cs="Times New Roman"/>
          <w:b w:val="0"/>
          <w:bCs w:val="0"/>
          <w:sz w:val="32"/>
          <w:szCs w:val="32"/>
          <w:highlight w:val="none"/>
          <w:lang w:val="en-US" w:eastAsia="zh-CN"/>
        </w:rPr>
        <w:t>惠民政策</w:t>
      </w:r>
      <w:r>
        <w:rPr>
          <w:rFonts w:hint="eastAsia" w:ascii="Times New Roman" w:hAnsi="Times New Roman" w:cs="Times New Roman"/>
          <w:b w:val="0"/>
          <w:bCs w:val="0"/>
          <w:sz w:val="32"/>
          <w:szCs w:val="32"/>
          <w:highlight w:val="none"/>
          <w:lang w:val="en-US" w:eastAsia="zh-CN"/>
        </w:rPr>
        <w:t>。</w:t>
      </w:r>
      <w:r>
        <w:rPr>
          <w:rFonts w:hint="default" w:ascii="Times New Roman" w:hAnsi="Times New Roman" w:cs="Times New Roman"/>
          <w:b w:val="0"/>
          <w:bCs w:val="0"/>
          <w:sz w:val="32"/>
          <w:szCs w:val="32"/>
          <w:highlight w:val="none"/>
          <w:lang w:val="en-US" w:eastAsia="zh-CN"/>
        </w:rPr>
        <w:t>在</w:t>
      </w:r>
      <w:r>
        <w:rPr>
          <w:rFonts w:hint="default" w:ascii="Times New Roman" w:hAnsi="Times New Roman" w:eastAsia="仿宋_GB2312" w:cs="Times New Roman"/>
          <w:sz w:val="32"/>
          <w:szCs w:val="32"/>
          <w:highlight w:val="none"/>
        </w:rPr>
        <w:t>贷款政策</w:t>
      </w:r>
      <w:r>
        <w:rPr>
          <w:rFonts w:hint="default" w:ascii="Times New Roman" w:hAnsi="Times New Roman" w:eastAsia="仿宋_GB2312" w:cs="Times New Roman"/>
          <w:sz w:val="32"/>
          <w:szCs w:val="32"/>
          <w:highlight w:val="none"/>
          <w:lang w:eastAsia="zh-CN"/>
        </w:rPr>
        <w:t>方面</w:t>
      </w:r>
      <w:r>
        <w:rPr>
          <w:rFonts w:hint="default" w:ascii="Times New Roman" w:hAnsi="Times New Roman" w:eastAsia="仿宋_GB2312" w:cs="Times New Roman"/>
          <w:sz w:val="32"/>
          <w:szCs w:val="32"/>
          <w:highlight w:val="none"/>
        </w:rPr>
        <w:t>，下调贷款利率</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提高最高贷款额度</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全面放开异地贷款</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取消</w:t>
      </w:r>
      <w:r>
        <w:rPr>
          <w:rFonts w:hint="eastAsia" w:cs="Times New Roman"/>
          <w:sz w:val="32"/>
          <w:szCs w:val="32"/>
          <w:highlight w:val="none"/>
          <w:lang w:val="en-US" w:eastAsia="zh-CN"/>
        </w:rPr>
        <w:t>首次及</w:t>
      </w:r>
      <w:r>
        <w:rPr>
          <w:rFonts w:hint="default" w:ascii="Times New Roman" w:hAnsi="Times New Roman" w:eastAsia="仿宋_GB2312" w:cs="Times New Roman"/>
          <w:sz w:val="32"/>
          <w:szCs w:val="32"/>
          <w:highlight w:val="none"/>
        </w:rPr>
        <w:t>二次贷款</w:t>
      </w:r>
      <w:r>
        <w:rPr>
          <w:rFonts w:hint="eastAsia" w:cs="Times New Roman"/>
          <w:sz w:val="32"/>
          <w:szCs w:val="32"/>
          <w:highlight w:val="none"/>
          <w:lang w:val="en-US" w:eastAsia="zh-CN"/>
        </w:rPr>
        <w:t>额度</w:t>
      </w:r>
      <w:r>
        <w:rPr>
          <w:rFonts w:hint="default" w:ascii="Times New Roman" w:hAnsi="Times New Roman" w:eastAsia="仿宋_GB2312" w:cs="Times New Roman"/>
          <w:sz w:val="32"/>
          <w:szCs w:val="32"/>
          <w:highlight w:val="none"/>
          <w:lang w:val="en-US" w:eastAsia="zh-CN"/>
        </w:rPr>
        <w:t>差别</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放</w:t>
      </w:r>
      <w:r>
        <w:rPr>
          <w:rFonts w:hint="default" w:ascii="Times New Roman" w:hAnsi="Times New Roman" w:cs="Times New Roman"/>
          <w:sz w:val="32"/>
          <w:szCs w:val="32"/>
          <w:highlight w:val="none"/>
          <w:lang w:val="en-US" w:eastAsia="zh-CN"/>
        </w:rPr>
        <w:t>宽</w:t>
      </w:r>
      <w:r>
        <w:rPr>
          <w:rFonts w:hint="default" w:ascii="Times New Roman" w:hAnsi="Times New Roman" w:eastAsia="仿宋_GB2312" w:cs="Times New Roman"/>
          <w:sz w:val="32"/>
          <w:szCs w:val="32"/>
          <w:highlight w:val="none"/>
        </w:rPr>
        <w:t>购房套数认定标准</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实行</w:t>
      </w:r>
      <w:r>
        <w:rPr>
          <w:rFonts w:hint="default" w:ascii="Times New Roman" w:hAnsi="Times New Roman" w:eastAsia="仿宋_GB2312" w:cs="Times New Roman"/>
          <w:sz w:val="32"/>
          <w:szCs w:val="32"/>
          <w:highlight w:val="none"/>
        </w:rPr>
        <w:t>二手房</w:t>
      </w:r>
      <w:r>
        <w:rPr>
          <w:rFonts w:hint="eastAsia" w:ascii="仿宋_GB2312" w:hAnsi="仿宋_GB2312" w:cs="Times New Roman"/>
          <w:sz w:val="32"/>
          <w:szCs w:val="32"/>
          <w:highlight w:val="none"/>
          <w:lang w:eastAsia="zh-CN"/>
        </w:rPr>
        <w:t>“</w:t>
      </w:r>
      <w:r>
        <w:rPr>
          <w:rFonts w:hint="default" w:ascii="Times New Roman" w:hAnsi="Times New Roman" w:eastAsia="仿宋_GB2312" w:cs="Times New Roman"/>
          <w:sz w:val="32"/>
          <w:szCs w:val="32"/>
          <w:highlight w:val="none"/>
        </w:rPr>
        <w:t>带押过户</w:t>
      </w:r>
      <w:r>
        <w:rPr>
          <w:rFonts w:hint="eastAsia" w:ascii="仿宋_GB2312" w:hAnsi="仿宋_GB2312" w:cs="Times New Roman"/>
          <w:sz w:val="32"/>
          <w:szCs w:val="32"/>
          <w:highlight w:val="none"/>
          <w:lang w:eastAsia="zh-CN"/>
        </w:rPr>
        <w:t>”</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开展</w:t>
      </w:r>
      <w:r>
        <w:rPr>
          <w:rFonts w:hint="eastAsia" w:ascii="仿宋_GB2312" w:hAnsi="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商转公</w:t>
      </w:r>
      <w:r>
        <w:rPr>
          <w:rFonts w:hint="eastAsia" w:ascii="仿宋_GB2312" w:hAnsi="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贷款业务</w:t>
      </w:r>
      <w:r>
        <w:rPr>
          <w:rFonts w:hint="eastAsia" w:cs="Times New Roman"/>
          <w:sz w:val="32"/>
          <w:szCs w:val="32"/>
          <w:highlight w:val="none"/>
          <w:lang w:val="en-US" w:eastAsia="zh-CN"/>
        </w:rPr>
        <w:t>等</w:t>
      </w:r>
      <w:r>
        <w:rPr>
          <w:rFonts w:hint="default" w:ascii="Times New Roman" w:hAnsi="Times New Roman" w:cs="Times New Roman"/>
          <w:sz w:val="32"/>
          <w:szCs w:val="32"/>
          <w:highlight w:val="none"/>
          <w:lang w:eastAsia="zh-CN"/>
        </w:rPr>
        <w:t>；</w:t>
      </w:r>
      <w:r>
        <w:rPr>
          <w:rFonts w:hint="default" w:ascii="Times New Roman" w:hAnsi="Times New Roman" w:cs="Times New Roman"/>
          <w:sz w:val="32"/>
          <w:szCs w:val="32"/>
          <w:highlight w:val="none"/>
          <w:lang w:val="en-US" w:eastAsia="zh-CN"/>
        </w:rPr>
        <w:t>在</w:t>
      </w:r>
      <w:r>
        <w:rPr>
          <w:rFonts w:hint="default" w:ascii="Times New Roman" w:hAnsi="Times New Roman" w:eastAsia="仿宋_GB2312" w:cs="Times New Roman"/>
          <w:b w:val="0"/>
          <w:bCs w:val="0"/>
          <w:sz w:val="32"/>
          <w:szCs w:val="32"/>
          <w:highlight w:val="none"/>
        </w:rPr>
        <w:t>提取政策</w:t>
      </w:r>
      <w:r>
        <w:rPr>
          <w:rFonts w:hint="default" w:ascii="Times New Roman" w:hAnsi="Times New Roman" w:eastAsia="仿宋_GB2312" w:cs="Times New Roman"/>
          <w:b w:val="0"/>
          <w:bCs w:val="0"/>
          <w:sz w:val="32"/>
          <w:szCs w:val="32"/>
          <w:highlight w:val="none"/>
          <w:lang w:eastAsia="zh-CN"/>
        </w:rPr>
        <w:t>方面</w:t>
      </w:r>
      <w:r>
        <w:rPr>
          <w:rFonts w:hint="eastAsia" w:cs="Times New Roman"/>
          <w:sz w:val="32"/>
          <w:szCs w:val="32"/>
          <w:highlight w:val="none"/>
          <w:lang w:eastAsia="zh-CN"/>
        </w:rPr>
        <w:t>，</w:t>
      </w:r>
      <w:r>
        <w:rPr>
          <w:rFonts w:hint="default" w:ascii="Times New Roman" w:hAnsi="Times New Roman" w:cs="Times New Roman"/>
          <w:sz w:val="32"/>
          <w:szCs w:val="32"/>
          <w:highlight w:val="none"/>
          <w:lang w:val="en-US" w:eastAsia="zh-CN"/>
        </w:rPr>
        <w:t>支持留</w:t>
      </w:r>
      <w:r>
        <w:rPr>
          <w:rFonts w:hint="default" w:ascii="Times New Roman" w:hAnsi="Times New Roman" w:eastAsia="仿宋_GB2312" w:cs="Times New Roman"/>
          <w:sz w:val="32"/>
          <w:szCs w:val="32"/>
          <w:highlight w:val="none"/>
        </w:rPr>
        <w:t>湛</w:t>
      </w:r>
      <w:r>
        <w:rPr>
          <w:rFonts w:hint="default" w:ascii="Times New Roman" w:hAnsi="Times New Roman" w:cs="Times New Roman"/>
          <w:sz w:val="32"/>
          <w:szCs w:val="32"/>
          <w:highlight w:val="none"/>
          <w:lang w:val="en-US" w:eastAsia="zh-CN"/>
        </w:rPr>
        <w:t>工作的</w:t>
      </w:r>
      <w:r>
        <w:rPr>
          <w:rFonts w:hint="default" w:ascii="Times New Roman" w:hAnsi="Times New Roman" w:eastAsia="仿宋_GB2312" w:cs="Times New Roman"/>
          <w:sz w:val="32"/>
          <w:szCs w:val="32"/>
          <w:highlight w:val="none"/>
        </w:rPr>
        <w:t>高校毕业生全额提取公积金用于租房。</w:t>
      </w:r>
      <w:r>
        <w:rPr>
          <w:rFonts w:hint="default" w:cs="Times New Roman"/>
          <w:highlight w:val="none"/>
        </w:rPr>
        <w:t>创新推出全省首个公积金信用贷款业务，以公积金缴存信息为重要信用依据，为符合条件的中小微企业提供50</w:t>
      </w:r>
      <w:r>
        <w:rPr>
          <w:rFonts w:hint="eastAsia" w:cs="Times New Roman"/>
          <w:highlight w:val="none"/>
          <w:lang w:val="en-US" w:eastAsia="zh-CN"/>
        </w:rPr>
        <w:t>-</w:t>
      </w:r>
      <w:r>
        <w:rPr>
          <w:rFonts w:hint="default" w:cs="Times New Roman"/>
          <w:highlight w:val="none"/>
        </w:rPr>
        <w:t>500万元贷款授信，有效缓解企业资金周转难题。</w:t>
      </w:r>
      <w:r>
        <w:rPr>
          <w:rFonts w:hint="eastAsia" w:ascii="仿宋_GB2312" w:hAnsi="仿宋_GB2312" w:cs="Times New Roman"/>
          <w:highlight w:val="none"/>
          <w:lang w:eastAsia="zh-CN"/>
        </w:rPr>
        <w:t>“</w:t>
      </w:r>
      <w:r>
        <w:rPr>
          <w:rFonts w:hint="default" w:cs="Times New Roman"/>
          <w:highlight w:val="none"/>
          <w:lang w:val="en-US" w:eastAsia="zh-CN"/>
        </w:rPr>
        <w:t>十四五</w:t>
      </w:r>
      <w:r>
        <w:rPr>
          <w:rFonts w:hint="eastAsia" w:ascii="仿宋_GB2312" w:hAnsi="仿宋_GB2312" w:cs="Times New Roman"/>
          <w:highlight w:val="none"/>
          <w:lang w:eastAsia="zh-CN"/>
        </w:rPr>
        <w:t>”</w:t>
      </w:r>
      <w:r>
        <w:rPr>
          <w:rFonts w:hint="default" w:cs="Times New Roman"/>
          <w:highlight w:val="none"/>
          <w:lang w:val="en-US" w:eastAsia="zh-CN"/>
        </w:rPr>
        <w:t>期间，</w:t>
      </w:r>
      <w:r>
        <w:rPr>
          <w:rFonts w:hint="default" w:cs="Times New Roman"/>
          <w:highlight w:val="none"/>
        </w:rPr>
        <w:t>支持全市缴存职工提取公积金325.17亿元</w:t>
      </w:r>
      <w:r>
        <w:rPr>
          <w:rFonts w:hint="default" w:cs="Times New Roman"/>
          <w:highlight w:val="none"/>
          <w:lang w:val="en-US" w:eastAsia="zh-CN"/>
        </w:rPr>
        <w:t>，累计发放个人住房贷款</w:t>
      </w:r>
      <w:r>
        <w:rPr>
          <w:rFonts w:hint="eastAsia" w:cs="Times New Roman"/>
          <w:highlight w:val="none"/>
          <w:lang w:val="en-US" w:eastAsia="zh-CN"/>
        </w:rPr>
        <w:t>2.99</w:t>
      </w:r>
      <w:r>
        <w:rPr>
          <w:rFonts w:hint="default" w:cs="Times New Roman"/>
          <w:highlight w:val="none"/>
          <w:lang w:val="en-US" w:eastAsia="zh-CN"/>
        </w:rPr>
        <w:t>万笔，共计</w:t>
      </w:r>
      <w:r>
        <w:rPr>
          <w:rFonts w:hint="eastAsia" w:cs="Times New Roman"/>
          <w:highlight w:val="none"/>
          <w:lang w:val="en-US" w:eastAsia="zh-CN"/>
        </w:rPr>
        <w:t>128.60</w:t>
      </w:r>
      <w:r>
        <w:rPr>
          <w:rFonts w:hint="default" w:cs="Times New Roman"/>
          <w:highlight w:val="none"/>
          <w:lang w:val="en-US" w:eastAsia="zh-CN"/>
        </w:rPr>
        <w:t>亿元。</w:t>
      </w:r>
    </w:p>
    <w:p w14:paraId="0D98095A">
      <w:pPr>
        <w:keepNext w:val="0"/>
        <w:keepLines w:val="0"/>
        <w:pageBreakBefore w:val="0"/>
        <w:widowControl/>
        <w:kinsoku/>
        <w:wordWrap/>
        <w:overflowPunct/>
        <w:topLinePunct w:val="0"/>
        <w:autoSpaceDE/>
        <w:autoSpaceDN/>
        <w:bidi w:val="0"/>
        <w:adjustRightInd/>
        <w:snapToGrid/>
        <w:spacing w:beforeLines="0" w:afterLines="0"/>
        <w:ind w:leftChars="0"/>
        <w:textAlignment w:val="auto"/>
        <w:rPr>
          <w:rFonts w:hint="default" w:ascii="Times New Roman" w:hAnsi="Times New Roman" w:cs="Times New Roman"/>
          <w:highlight w:val="none"/>
          <w:lang w:val="en-US" w:eastAsia="zh-CN"/>
        </w:rPr>
      </w:pPr>
      <w:r>
        <w:rPr>
          <w:rFonts w:hint="default" w:cs="Times New Roman"/>
          <w:b/>
          <w:bCs/>
          <w:highlight w:val="none"/>
          <w:lang w:val="en-US" w:eastAsia="zh-CN"/>
        </w:rPr>
        <w:t>三是</w:t>
      </w:r>
      <w:r>
        <w:rPr>
          <w:rFonts w:hint="default" w:ascii="Times New Roman" w:hAnsi="Times New Roman" w:cs="Times New Roman"/>
          <w:b/>
          <w:bCs/>
          <w:color w:val="auto"/>
          <w:szCs w:val="32"/>
          <w:highlight w:val="none"/>
          <w:lang w:val="en-US" w:eastAsia="zh-CN"/>
        </w:rPr>
        <w:t>住房公积金</w:t>
      </w:r>
      <w:r>
        <w:rPr>
          <w:rFonts w:hint="default" w:cs="Times New Roman"/>
          <w:b/>
          <w:bCs/>
          <w:highlight w:val="none"/>
          <w:lang w:val="en-US" w:eastAsia="zh-CN"/>
        </w:rPr>
        <w:t>服务效能显著提高。</w:t>
      </w:r>
      <w:r>
        <w:rPr>
          <w:rFonts w:hint="default" w:ascii="Times New Roman" w:hAnsi="Times New Roman" w:cs="Times New Roman"/>
          <w:b w:val="0"/>
          <w:bCs w:val="0"/>
          <w:highlight w:val="none"/>
          <w:lang w:val="en-US" w:eastAsia="zh-CN"/>
        </w:rPr>
        <w:t>深化</w:t>
      </w:r>
      <w:r>
        <w:rPr>
          <w:rFonts w:hint="eastAsia" w:ascii="仿宋_GB2312" w:hAnsi="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三市通办</w:t>
      </w:r>
      <w:r>
        <w:rPr>
          <w:rFonts w:hint="eastAsia" w:ascii="仿宋_GB2312" w:hAnsi="仿宋_GB2312" w:cs="Times New Roman"/>
          <w:b w:val="0"/>
          <w:bCs w:val="0"/>
          <w:color w:val="auto"/>
          <w:kern w:val="2"/>
          <w:sz w:val="32"/>
          <w:szCs w:val="32"/>
          <w:highlight w:val="none"/>
          <w:lang w:val="en-US" w:eastAsia="zh-CN" w:bidi="ar-SA"/>
        </w:rPr>
        <w:t>”</w:t>
      </w:r>
      <w:r>
        <w:rPr>
          <w:rStyle w:val="28"/>
          <w:rFonts w:hint="default" w:ascii="Times New Roman" w:hAnsi="Times New Roman" w:eastAsia="仿宋_GB2312" w:cs="Times New Roman"/>
          <w:b w:val="0"/>
          <w:bCs w:val="0"/>
          <w:color w:val="auto"/>
          <w:kern w:val="2"/>
          <w:sz w:val="32"/>
          <w:szCs w:val="32"/>
          <w:highlight w:val="none"/>
          <w:lang w:val="en-US" w:eastAsia="zh-CN" w:bidi="ar-SA"/>
        </w:rPr>
        <w:footnoteReference w:id="2"/>
      </w:r>
      <w:r>
        <w:rPr>
          <w:rFonts w:hint="default" w:ascii="Times New Roman" w:hAnsi="Times New Roman" w:eastAsia="仿宋_GB2312" w:cs="Times New Roman"/>
          <w:b w:val="0"/>
          <w:bCs w:val="0"/>
          <w:color w:val="auto"/>
          <w:kern w:val="2"/>
          <w:sz w:val="32"/>
          <w:szCs w:val="32"/>
          <w:highlight w:val="none"/>
          <w:lang w:val="en-US" w:eastAsia="zh-CN" w:bidi="ar-SA"/>
        </w:rPr>
        <w:t>同城化合作</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打破城市</w:t>
      </w:r>
      <w:r>
        <w:rPr>
          <w:rFonts w:hint="default" w:ascii="Times New Roman" w:hAnsi="Times New Roman"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部门间信息壁垒，实现三市异地住房公积金业务互认互提互贷，为缴存人提供极速、极简、极便的异地办理业务服务。</w:t>
      </w:r>
      <w:r>
        <w:rPr>
          <w:rFonts w:hint="default" w:cs="Times New Roman"/>
          <w:color w:val="auto"/>
          <w:highlight w:val="none"/>
        </w:rPr>
        <w:t>构建两地政策并行机制，</w:t>
      </w:r>
      <w:r>
        <w:rPr>
          <w:rFonts w:hint="eastAsia" w:ascii="Times New Roman" w:hAnsi="Times New Roman" w:eastAsia="仿宋_GB2312"/>
          <w:sz w:val="32"/>
          <w:szCs w:val="32"/>
          <w:highlight w:val="none"/>
        </w:rPr>
        <w:t>在</w:t>
      </w:r>
      <w:r>
        <w:rPr>
          <w:rFonts w:hint="eastAsia" w:ascii="Times New Roman" w:hAnsi="Times New Roman"/>
          <w:sz w:val="32"/>
          <w:szCs w:val="32"/>
          <w:highlight w:val="none"/>
          <w:lang w:eastAsia="zh-CN"/>
        </w:rPr>
        <w:t>现行</w:t>
      </w:r>
      <w:r>
        <w:rPr>
          <w:rFonts w:hint="eastAsia" w:ascii="Times New Roman" w:hAnsi="Times New Roman"/>
          <w:sz w:val="32"/>
          <w:szCs w:val="32"/>
          <w:highlight w:val="none"/>
          <w:lang w:val="en-US" w:eastAsia="zh-CN"/>
        </w:rPr>
        <w:t>公积金</w:t>
      </w:r>
      <w:r>
        <w:rPr>
          <w:rFonts w:hint="eastAsia" w:ascii="Times New Roman" w:hAnsi="Times New Roman" w:eastAsia="仿宋_GB2312"/>
          <w:sz w:val="32"/>
          <w:szCs w:val="32"/>
          <w:highlight w:val="none"/>
        </w:rPr>
        <w:t>提取</w:t>
      </w:r>
      <w:r>
        <w:rPr>
          <w:rFonts w:hint="eastAsia" w:ascii="Times New Roman" w:hAnsi="Times New Roman" w:eastAsia="仿宋_GB2312"/>
          <w:sz w:val="32"/>
          <w:szCs w:val="32"/>
          <w:highlight w:val="none"/>
          <w:lang w:eastAsia="zh-CN"/>
        </w:rPr>
        <w:t>政策</w:t>
      </w:r>
      <w:r>
        <w:rPr>
          <w:rFonts w:hint="eastAsia" w:ascii="Times New Roman" w:hAnsi="Times New Roman" w:eastAsia="仿宋_GB2312"/>
          <w:sz w:val="32"/>
          <w:szCs w:val="32"/>
          <w:highlight w:val="none"/>
        </w:rPr>
        <w:t>的基础上，</w:t>
      </w:r>
      <w:r>
        <w:rPr>
          <w:rFonts w:hint="eastAsia" w:ascii="Times New Roman" w:hAnsi="Times New Roman"/>
          <w:sz w:val="32"/>
          <w:szCs w:val="32"/>
          <w:highlight w:val="none"/>
          <w:lang w:val="en-US" w:eastAsia="zh-CN"/>
        </w:rPr>
        <w:t>兼容适用</w:t>
      </w:r>
      <w:r>
        <w:rPr>
          <w:rFonts w:hint="eastAsia" w:ascii="Times New Roman" w:hAnsi="Times New Roman" w:eastAsia="仿宋_GB2312"/>
          <w:sz w:val="32"/>
          <w:szCs w:val="32"/>
          <w:highlight w:val="none"/>
        </w:rPr>
        <w:t>广州</w:t>
      </w:r>
      <w:r>
        <w:rPr>
          <w:rFonts w:hint="eastAsia" w:ascii="Times New Roman" w:hAnsi="Times New Roman"/>
          <w:sz w:val="32"/>
          <w:szCs w:val="32"/>
          <w:highlight w:val="none"/>
          <w:lang w:val="en-US" w:eastAsia="zh-CN"/>
        </w:rPr>
        <w:t>公积金</w:t>
      </w:r>
      <w:r>
        <w:rPr>
          <w:rFonts w:hint="eastAsia" w:ascii="Times New Roman" w:hAnsi="Times New Roman" w:eastAsia="仿宋_GB2312"/>
          <w:sz w:val="32"/>
          <w:szCs w:val="32"/>
          <w:highlight w:val="none"/>
        </w:rPr>
        <w:t>提取</w:t>
      </w:r>
      <w:r>
        <w:rPr>
          <w:rFonts w:hint="eastAsia" w:ascii="Times New Roman" w:hAnsi="Times New Roman"/>
          <w:sz w:val="32"/>
          <w:szCs w:val="32"/>
          <w:highlight w:val="none"/>
          <w:lang w:val="en-US" w:eastAsia="zh-CN"/>
        </w:rPr>
        <w:t>政策</w:t>
      </w:r>
      <w:r>
        <w:rPr>
          <w:rFonts w:hint="eastAsia" w:ascii="Times New Roman" w:hAnsi="Times New Roman" w:eastAsia="仿宋_GB2312"/>
          <w:sz w:val="32"/>
          <w:szCs w:val="32"/>
          <w:highlight w:val="none"/>
        </w:rPr>
        <w:t>，更好地满足</w:t>
      </w:r>
      <w:r>
        <w:rPr>
          <w:rFonts w:hint="eastAsia" w:ascii="Times New Roman" w:hAnsi="Times New Roman" w:eastAsia="仿宋_GB2312"/>
          <w:sz w:val="32"/>
          <w:szCs w:val="32"/>
          <w:highlight w:val="none"/>
          <w:lang w:eastAsia="zh-CN"/>
        </w:rPr>
        <w:t>从</w:t>
      </w:r>
      <w:r>
        <w:rPr>
          <w:rFonts w:hint="eastAsia" w:ascii="Times New Roman" w:hAnsi="Times New Roman"/>
          <w:sz w:val="32"/>
          <w:szCs w:val="32"/>
          <w:highlight w:val="none"/>
          <w:lang w:val="en-US" w:eastAsia="zh-CN"/>
        </w:rPr>
        <w:t>广州</w:t>
      </w:r>
      <w:r>
        <w:rPr>
          <w:rFonts w:hint="eastAsia" w:ascii="Times New Roman" w:hAnsi="Times New Roman" w:eastAsia="仿宋_GB2312"/>
          <w:sz w:val="32"/>
          <w:szCs w:val="32"/>
          <w:highlight w:val="none"/>
        </w:rPr>
        <w:t>来</w:t>
      </w:r>
      <w:r>
        <w:rPr>
          <w:rFonts w:hint="eastAsia" w:ascii="Times New Roman" w:hAnsi="Times New Roman"/>
          <w:sz w:val="32"/>
          <w:szCs w:val="32"/>
          <w:highlight w:val="none"/>
          <w:lang w:val="en-US" w:eastAsia="zh-CN"/>
        </w:rPr>
        <w:t>湛江</w:t>
      </w:r>
      <w:r>
        <w:rPr>
          <w:rFonts w:hint="eastAsia" w:ascii="Times New Roman" w:hAnsi="Times New Roman" w:eastAsia="仿宋_GB2312"/>
          <w:sz w:val="32"/>
          <w:szCs w:val="32"/>
          <w:highlight w:val="none"/>
        </w:rPr>
        <w:t>工作缴存职工的提取需求</w:t>
      </w:r>
      <w:r>
        <w:rPr>
          <w:rFonts w:hint="eastAsia" w:cs="Times New Roman"/>
          <w:sz w:val="32"/>
          <w:szCs w:val="32"/>
          <w:highlight w:val="none"/>
          <w:lang w:eastAsia="zh-CN"/>
        </w:rPr>
        <w:t>。</w:t>
      </w:r>
      <w:r>
        <w:rPr>
          <w:rFonts w:hint="default" w:ascii="Times New Roman" w:hAnsi="Times New Roman" w:cs="Times New Roman"/>
          <w:b w:val="0"/>
          <w:color w:val="auto"/>
          <w:kern w:val="2"/>
          <w:sz w:val="32"/>
          <w:szCs w:val="32"/>
          <w:highlight w:val="none"/>
          <w:lang w:val="en-US" w:eastAsia="zh-CN" w:bidi="ar-SA"/>
        </w:rPr>
        <w:t>紧扣</w:t>
      </w:r>
      <w:r>
        <w:rPr>
          <w:rFonts w:hint="eastAsia" w:ascii="仿宋_GB2312" w:hAnsi="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eastAsia="zh-CN"/>
        </w:rPr>
        <w:t>数字政府</w:t>
      </w:r>
      <w:r>
        <w:rPr>
          <w:rFonts w:hint="eastAsia" w:ascii="仿宋_GB2312" w:hAnsi="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eastAsia="zh-CN"/>
        </w:rPr>
        <w:t>建设</w:t>
      </w:r>
      <w:r>
        <w:rPr>
          <w:rFonts w:hint="default" w:ascii="Times New Roman" w:hAnsi="Times New Roman" w:cs="Times New Roman"/>
          <w:kern w:val="2"/>
          <w:sz w:val="32"/>
          <w:szCs w:val="32"/>
          <w:highlight w:val="none"/>
          <w:lang w:val="en-US" w:eastAsia="zh-CN"/>
        </w:rPr>
        <w:t>要求，</w:t>
      </w:r>
      <w:r>
        <w:rPr>
          <w:rFonts w:hint="default" w:ascii="Times New Roman" w:hAnsi="Times New Roman" w:cs="Times New Roman"/>
          <w:highlight w:val="none"/>
          <w:lang w:val="en-US" w:eastAsia="zh-CN"/>
        </w:rPr>
        <w:t>加快推动公积金数字化体系建设，推动</w:t>
      </w:r>
      <w:r>
        <w:rPr>
          <w:rFonts w:hint="eastAsia" w:ascii="仿宋_GB2312" w:hAnsi="仿宋_GB2312" w:cs="Times New Roman"/>
          <w:highlight w:val="none"/>
          <w:lang w:val="en-US" w:eastAsia="zh-CN"/>
        </w:rPr>
        <w:t>“</w:t>
      </w:r>
      <w:r>
        <w:rPr>
          <w:rFonts w:hint="default" w:ascii="Times New Roman" w:hAnsi="Times New Roman" w:cs="Times New Roman"/>
          <w:highlight w:val="none"/>
          <w:lang w:val="en-US" w:eastAsia="zh-CN"/>
        </w:rPr>
        <w:t>现场办</w:t>
      </w:r>
      <w:r>
        <w:rPr>
          <w:rFonts w:hint="eastAsia" w:ascii="仿宋_GB2312" w:hAnsi="仿宋_GB2312" w:cs="Times New Roman"/>
          <w:highlight w:val="none"/>
          <w:lang w:val="en-US" w:eastAsia="zh-CN"/>
        </w:rPr>
        <w:t>”</w:t>
      </w:r>
      <w:r>
        <w:rPr>
          <w:rFonts w:hint="default" w:ascii="Times New Roman" w:hAnsi="Times New Roman" w:cs="Times New Roman"/>
          <w:highlight w:val="none"/>
          <w:lang w:val="en-US" w:eastAsia="zh-CN"/>
        </w:rPr>
        <w:t>业务向</w:t>
      </w:r>
      <w:r>
        <w:rPr>
          <w:rFonts w:hint="eastAsia" w:ascii="仿宋_GB2312" w:hAnsi="仿宋_GB2312" w:cs="Times New Roman"/>
          <w:highlight w:val="none"/>
          <w:lang w:val="en-US" w:eastAsia="zh-CN"/>
        </w:rPr>
        <w:t>“</w:t>
      </w:r>
      <w:r>
        <w:rPr>
          <w:rFonts w:hint="default" w:ascii="Times New Roman" w:hAnsi="Times New Roman" w:cs="Times New Roman"/>
          <w:highlight w:val="none"/>
          <w:lang w:val="en-US" w:eastAsia="zh-CN"/>
        </w:rPr>
        <w:t>线上办</w:t>
      </w:r>
      <w:r>
        <w:rPr>
          <w:rFonts w:hint="eastAsia" w:ascii="仿宋_GB2312" w:hAnsi="仿宋_GB2312" w:cs="Times New Roman"/>
          <w:highlight w:val="none"/>
          <w:lang w:val="en-US" w:eastAsia="zh-CN"/>
        </w:rPr>
        <w:t>”“</w:t>
      </w:r>
      <w:r>
        <w:rPr>
          <w:rFonts w:hint="default" w:ascii="Times New Roman" w:hAnsi="Times New Roman" w:cs="Times New Roman"/>
          <w:highlight w:val="none"/>
          <w:lang w:val="en-US" w:eastAsia="zh-CN"/>
        </w:rPr>
        <w:t>掌上办</w:t>
      </w:r>
      <w:r>
        <w:rPr>
          <w:rFonts w:hint="eastAsia" w:ascii="仿宋_GB2312" w:hAnsi="仿宋_GB2312" w:cs="Times New Roman"/>
          <w:highlight w:val="none"/>
          <w:lang w:val="en-US" w:eastAsia="zh-CN"/>
        </w:rPr>
        <w:t>”</w:t>
      </w:r>
      <w:r>
        <w:rPr>
          <w:rFonts w:hint="default" w:ascii="Times New Roman" w:hAnsi="Times New Roman" w:cs="Times New Roman"/>
          <w:highlight w:val="none"/>
          <w:lang w:val="en-US" w:eastAsia="zh-CN"/>
        </w:rPr>
        <w:t>转型，</w:t>
      </w:r>
      <w:r>
        <w:rPr>
          <w:rFonts w:hint="default" w:ascii="Times New Roman" w:hAnsi="Times New Roman" w:cs="Times New Roman"/>
          <w:highlight w:val="none"/>
        </w:rPr>
        <w:t>减少</w:t>
      </w:r>
      <w:r>
        <w:rPr>
          <w:rFonts w:hint="default" w:ascii="Times New Roman" w:hAnsi="Times New Roman" w:cs="Times New Roman"/>
          <w:highlight w:val="none"/>
          <w:lang w:val="en-US" w:eastAsia="zh-CN"/>
        </w:rPr>
        <w:t>办事群众</w:t>
      </w:r>
      <w:r>
        <w:rPr>
          <w:rFonts w:hint="eastAsia" w:ascii="仿宋_GB2312" w:hAnsi="仿宋_GB2312" w:cs="Times New Roman"/>
          <w:highlight w:val="none"/>
          <w:lang w:eastAsia="zh-CN"/>
        </w:rPr>
        <w:t>“</w:t>
      </w:r>
      <w:r>
        <w:rPr>
          <w:rFonts w:hint="default" w:ascii="Times New Roman" w:hAnsi="Times New Roman" w:cs="Times New Roman"/>
          <w:highlight w:val="none"/>
        </w:rPr>
        <w:t>往返跑</w:t>
      </w:r>
      <w:r>
        <w:rPr>
          <w:rFonts w:hint="eastAsia" w:ascii="仿宋_GB2312" w:hAnsi="仿宋_GB2312" w:cs="Times New Roman"/>
          <w:highlight w:val="none"/>
          <w:lang w:eastAsia="zh-CN"/>
        </w:rPr>
        <w:t>”“</w:t>
      </w:r>
      <w:r>
        <w:rPr>
          <w:rFonts w:hint="default" w:ascii="Times New Roman" w:hAnsi="Times New Roman" w:cs="Times New Roman"/>
          <w:highlight w:val="none"/>
        </w:rPr>
        <w:t>多地跑</w:t>
      </w:r>
      <w:r>
        <w:rPr>
          <w:rFonts w:hint="eastAsia" w:ascii="仿宋_GB2312" w:hAnsi="仿宋_GB2312" w:cs="Times New Roman"/>
          <w:highlight w:val="none"/>
          <w:lang w:eastAsia="zh-CN"/>
        </w:rPr>
        <w:t>”</w:t>
      </w:r>
      <w:r>
        <w:rPr>
          <w:rFonts w:hint="default" w:ascii="Times New Roman" w:hAnsi="Times New Roman" w:cs="Times New Roman"/>
          <w:highlight w:val="none"/>
          <w:lang w:val="en-US" w:eastAsia="zh-CN"/>
        </w:rPr>
        <w:t>等问题，提供</w:t>
      </w:r>
      <w:r>
        <w:rPr>
          <w:rFonts w:hint="default" w:cs="Times New Roman"/>
          <w:highlight w:val="none"/>
        </w:rPr>
        <w:t>24小时</w:t>
      </w:r>
      <w:r>
        <w:rPr>
          <w:rFonts w:hint="eastAsia" w:ascii="仿宋_GB2312" w:hAnsi="仿宋_GB2312" w:cs="Times New Roman"/>
          <w:highlight w:val="none"/>
          <w:lang w:eastAsia="zh-CN"/>
        </w:rPr>
        <w:t>“</w:t>
      </w:r>
      <w:r>
        <w:rPr>
          <w:rFonts w:hint="default" w:ascii="Times New Roman" w:hAnsi="Times New Roman" w:cs="Times New Roman"/>
          <w:highlight w:val="none"/>
        </w:rPr>
        <w:t>不打烊</w:t>
      </w:r>
      <w:r>
        <w:rPr>
          <w:rFonts w:hint="eastAsia" w:ascii="仿宋_GB2312" w:hAnsi="仿宋_GB2312" w:cs="Times New Roman"/>
          <w:highlight w:val="none"/>
          <w:lang w:eastAsia="zh-CN"/>
        </w:rPr>
        <w:t>”</w:t>
      </w:r>
      <w:r>
        <w:rPr>
          <w:rFonts w:hint="default" w:ascii="Times New Roman" w:hAnsi="Times New Roman" w:cs="Times New Roman"/>
          <w:highlight w:val="none"/>
        </w:rPr>
        <w:t>、资金</w:t>
      </w:r>
      <w:r>
        <w:rPr>
          <w:rFonts w:hint="eastAsia" w:ascii="仿宋_GB2312" w:hAnsi="仿宋_GB2312" w:cs="Times New Roman"/>
          <w:highlight w:val="none"/>
          <w:lang w:eastAsia="zh-CN"/>
        </w:rPr>
        <w:t>“</w:t>
      </w:r>
      <w:r>
        <w:rPr>
          <w:rFonts w:hint="default" w:ascii="Times New Roman" w:hAnsi="Times New Roman" w:cs="Times New Roman"/>
          <w:highlight w:val="none"/>
        </w:rPr>
        <w:t>秒到账</w:t>
      </w:r>
      <w:r>
        <w:rPr>
          <w:rFonts w:hint="eastAsia" w:ascii="仿宋_GB2312" w:hAnsi="仿宋_GB2312" w:cs="Times New Roman"/>
          <w:highlight w:val="none"/>
          <w:lang w:eastAsia="zh-CN"/>
        </w:rPr>
        <w:t>”</w:t>
      </w:r>
      <w:r>
        <w:rPr>
          <w:rFonts w:hint="default" w:ascii="Times New Roman" w:hAnsi="Times New Roman" w:cs="Times New Roman"/>
          <w:highlight w:val="none"/>
        </w:rPr>
        <w:t>服务</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深入开展</w:t>
      </w:r>
      <w:r>
        <w:rPr>
          <w:rFonts w:hint="eastAsia" w:ascii="仿宋_GB2312" w:hAnsi="仿宋_GB2312" w:cs="Times New Roman"/>
          <w:highlight w:val="none"/>
          <w:lang w:val="en-US" w:eastAsia="zh-CN"/>
        </w:rPr>
        <w:t>“</w:t>
      </w:r>
      <w:r>
        <w:rPr>
          <w:rFonts w:hint="default" w:ascii="Times New Roman" w:hAnsi="Times New Roman" w:cs="Times New Roman"/>
          <w:highlight w:val="none"/>
          <w:lang w:val="en-US" w:eastAsia="zh-CN"/>
        </w:rPr>
        <w:t>六大特色服务</w:t>
      </w:r>
      <w:r>
        <w:rPr>
          <w:rFonts w:hint="eastAsia" w:ascii="仿宋_GB2312" w:hAnsi="仿宋_GB2312" w:cs="Times New Roman"/>
          <w:highlight w:val="none"/>
          <w:lang w:val="en-US" w:eastAsia="zh-CN"/>
        </w:rPr>
        <w:t>”</w:t>
      </w:r>
      <w:r>
        <w:rPr>
          <w:rStyle w:val="28"/>
          <w:rFonts w:hint="default" w:ascii="Times New Roman" w:hAnsi="Times New Roman" w:cs="Times New Roman"/>
          <w:highlight w:val="none"/>
          <w:lang w:val="en-US" w:eastAsia="zh-CN"/>
        </w:rPr>
        <w:footnoteReference w:id="3"/>
      </w:r>
      <w:r>
        <w:rPr>
          <w:rFonts w:hint="default" w:ascii="Times New Roman" w:hAnsi="Times New Roman" w:cs="Times New Roman"/>
          <w:highlight w:val="none"/>
          <w:lang w:val="en-US" w:eastAsia="zh-CN"/>
        </w:rPr>
        <w:t>，</w:t>
      </w:r>
      <w:r>
        <w:rPr>
          <w:rFonts w:hint="default" w:ascii="Times New Roman" w:hAnsi="Times New Roman" w:eastAsia="仿宋_GB2312" w:cs="Times New Roman"/>
          <w:sz w:val="32"/>
          <w:szCs w:val="32"/>
          <w:highlight w:val="none"/>
        </w:rPr>
        <w:t>切实增强缴存职工办事体验</w:t>
      </w:r>
      <w:r>
        <w:rPr>
          <w:rFonts w:hint="default" w:ascii="Times New Roman" w:hAnsi="Times New Roman" w:cs="Times New Roman"/>
          <w:highlight w:val="none"/>
          <w:lang w:val="en-US" w:eastAsia="zh-CN"/>
        </w:rPr>
        <w:t>。</w:t>
      </w:r>
      <w:r>
        <w:rPr>
          <w:rFonts w:hint="eastAsia" w:ascii="仿宋_GB2312" w:hAnsi="仿宋_GB2312" w:cs="Times New Roman"/>
          <w:highlight w:val="none"/>
          <w:lang w:val="en-US" w:eastAsia="zh-CN"/>
        </w:rPr>
        <w:t>“</w:t>
      </w:r>
      <w:r>
        <w:rPr>
          <w:rFonts w:hint="default" w:ascii="Times New Roman" w:hAnsi="Times New Roman" w:cs="Times New Roman"/>
          <w:highlight w:val="none"/>
          <w:lang w:val="en-US" w:eastAsia="zh-CN"/>
        </w:rPr>
        <w:t>十四五</w:t>
      </w:r>
      <w:r>
        <w:rPr>
          <w:rFonts w:hint="eastAsia" w:ascii="仿宋_GB2312" w:hAnsi="仿宋_GB2312" w:cs="Times New Roman"/>
          <w:highlight w:val="none"/>
          <w:lang w:val="en-US" w:eastAsia="zh-CN"/>
        </w:rPr>
        <w:t>”</w:t>
      </w:r>
      <w:r>
        <w:rPr>
          <w:rFonts w:hint="default" w:ascii="Times New Roman" w:hAnsi="Times New Roman" w:cs="Times New Roman"/>
          <w:highlight w:val="none"/>
          <w:lang w:val="en-US" w:eastAsia="zh-CN"/>
        </w:rPr>
        <w:t>期间，累计发放异地贷款</w:t>
      </w:r>
      <w:r>
        <w:rPr>
          <w:rFonts w:hint="eastAsia" w:cs="Times New Roman"/>
          <w:highlight w:val="none"/>
          <w:lang w:val="en-US" w:eastAsia="zh-CN"/>
        </w:rPr>
        <w:t>2982</w:t>
      </w:r>
      <w:r>
        <w:rPr>
          <w:rFonts w:hint="default" w:ascii="Times New Roman" w:hAnsi="Times New Roman" w:cs="Times New Roman"/>
          <w:highlight w:val="none"/>
          <w:lang w:val="en-US" w:eastAsia="zh-CN"/>
        </w:rPr>
        <w:t>笔，共计</w:t>
      </w:r>
      <w:r>
        <w:rPr>
          <w:rFonts w:hint="eastAsia" w:cs="Times New Roman"/>
          <w:highlight w:val="none"/>
          <w:lang w:val="en-US" w:eastAsia="zh-CN"/>
        </w:rPr>
        <w:t>13.88</w:t>
      </w:r>
      <w:r>
        <w:rPr>
          <w:rFonts w:hint="default" w:ascii="Times New Roman" w:hAnsi="Times New Roman" w:cs="Times New Roman"/>
          <w:highlight w:val="none"/>
          <w:lang w:val="en-US" w:eastAsia="zh-CN"/>
        </w:rPr>
        <w:t>亿元。</w:t>
      </w:r>
    </w:p>
    <w:p w14:paraId="113A5308">
      <w:pPr>
        <w:pStyle w:val="3"/>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bookmarkStart w:id="39" w:name="_Toc196259727"/>
      <w:bookmarkStart w:id="40" w:name="_Toc21330"/>
      <w:bookmarkStart w:id="41" w:name="_Toc9484"/>
      <w:bookmarkStart w:id="42" w:name="_Toc29833"/>
      <w:bookmarkStart w:id="43" w:name="_Toc10719"/>
      <w:bookmarkStart w:id="44" w:name="_Toc23715"/>
      <w:bookmarkStart w:id="45" w:name="_Toc1995050759"/>
      <w:bookmarkStart w:id="46" w:name="_Toc965482000"/>
      <w:bookmarkStart w:id="47" w:name="_Toc10827"/>
      <w:bookmarkStart w:id="48" w:name="_Toc8563"/>
      <w:bookmarkStart w:id="49" w:name="_Toc5335"/>
      <w:bookmarkStart w:id="50" w:name="_Toc9370"/>
      <w:bookmarkStart w:id="51" w:name="_Toc4053"/>
      <w:bookmarkStart w:id="52" w:name="_Toc8148"/>
      <w:bookmarkStart w:id="53" w:name="_Toc3539"/>
      <w:bookmarkStart w:id="54" w:name="_Toc271450786"/>
      <w:bookmarkStart w:id="55" w:name="_Toc17706"/>
      <w:bookmarkStart w:id="56" w:name="_Toc22054"/>
      <w:bookmarkStart w:id="57" w:name="_Toc10583"/>
      <w:bookmarkStart w:id="58" w:name="_Toc11559"/>
      <w:bookmarkStart w:id="59" w:name="_Toc9345"/>
      <w:r>
        <w:rPr>
          <w:rFonts w:hint="eastAsia"/>
          <w:highlight w:val="none"/>
          <w:lang w:val="en-US" w:eastAsia="zh-CN"/>
        </w:rPr>
        <w:t>（二）</w:t>
      </w:r>
      <w:bookmarkEnd w:id="39"/>
      <w:bookmarkEnd w:id="40"/>
      <w:bookmarkEnd w:id="41"/>
      <w:bookmarkEnd w:id="42"/>
      <w:r>
        <w:rPr>
          <w:rFonts w:hint="eastAsia"/>
          <w:highlight w:val="none"/>
          <w:lang w:val="en-US" w:eastAsia="zh-CN"/>
        </w:rPr>
        <w:t>存在问题</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052DB161">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1.居民购房观望情绪较重，市场止跌回稳压力仍存。</w:t>
      </w:r>
    </w:p>
    <w:p w14:paraId="32F2A2BA">
      <w:pPr>
        <w:keepNext w:val="0"/>
        <w:keepLines w:val="0"/>
        <w:pageBreakBefore w:val="0"/>
        <w:widowControl w:val="0"/>
        <w:kinsoku/>
        <w:wordWrap/>
        <w:overflowPunct/>
        <w:topLinePunct w:val="0"/>
        <w:autoSpaceDE/>
        <w:autoSpaceDN/>
        <w:bidi w:val="0"/>
        <w:adjustRightInd/>
        <w:snapToGrid/>
        <w:spacing w:beforeLines="0" w:afterLines="0"/>
        <w:ind w:firstLine="640" w:firstLineChars="200"/>
        <w:textAlignment w:val="auto"/>
        <w:rPr>
          <w:rFonts w:hint="default" w:ascii="Times New Roman" w:hAnsi="Times New Roman" w:cs="Times New Roman"/>
          <w:highlight w:val="none"/>
          <w:lang w:val="en-US" w:eastAsia="zh-CN"/>
        </w:rPr>
      </w:pPr>
      <w:r>
        <w:rPr>
          <w:rFonts w:hint="default"/>
          <w:highlight w:val="none"/>
          <w:lang w:val="en-US" w:eastAsia="zh-CN"/>
        </w:rPr>
        <w:t>近年来，我国经济发展面临需求收缩、供给冲击、预期转弱三重压力，外部环境复杂严峻，市场主体预期偏弱，民间投资增速放缓，就业压力持续显现，</w:t>
      </w:r>
      <w:r>
        <w:rPr>
          <w:rFonts w:hint="eastAsia"/>
          <w:highlight w:val="none"/>
          <w:lang w:val="en-US" w:eastAsia="zh-CN"/>
        </w:rPr>
        <w:t>居民收入预期下降。在房地产市场供求关系发生重大变化的新形势下，房地产市场</w:t>
      </w:r>
      <w:r>
        <w:rPr>
          <w:rFonts w:hint="default"/>
          <w:highlight w:val="none"/>
          <w:lang w:val="en-US" w:eastAsia="zh-CN"/>
        </w:rPr>
        <w:t>持续承压</w:t>
      </w:r>
      <w:r>
        <w:rPr>
          <w:rFonts w:hint="eastAsia" w:ascii="Times New Roman" w:hAnsi="Times New Roman" w:cs="Times New Roman"/>
          <w:color w:val="auto"/>
          <w:kern w:val="2"/>
          <w:highlight w:val="none"/>
          <w:lang w:eastAsia="zh-CN"/>
        </w:rPr>
        <w:t>。</w:t>
      </w:r>
      <w:r>
        <w:rPr>
          <w:rFonts w:hint="eastAsia" w:cs="Times New Roman"/>
          <w:highlight w:val="none"/>
          <w:lang w:val="en-US" w:eastAsia="zh-CN"/>
        </w:rPr>
        <w:t>同时，</w:t>
      </w:r>
      <w:r>
        <w:rPr>
          <w:rFonts w:hint="eastAsia" w:cs="Times New Roman"/>
          <w:highlight w:val="none"/>
        </w:rPr>
        <w:t>市场需求结构发生变化，外地</w:t>
      </w:r>
      <w:r>
        <w:rPr>
          <w:rFonts w:hint="eastAsia" w:cs="Times New Roman"/>
          <w:highlight w:val="none"/>
          <w:lang w:val="en-US" w:eastAsia="zh-CN"/>
        </w:rPr>
        <w:t>人</w:t>
      </w:r>
      <w:r>
        <w:rPr>
          <w:rFonts w:hint="eastAsia" w:cs="Times New Roman"/>
          <w:highlight w:val="none"/>
        </w:rPr>
        <w:t>购房需求</w:t>
      </w:r>
      <w:r>
        <w:rPr>
          <w:rFonts w:hint="eastAsia" w:cs="Times New Roman"/>
          <w:highlight w:val="none"/>
          <w:lang w:val="en-US" w:eastAsia="zh-CN"/>
        </w:rPr>
        <w:t>持续走低</w:t>
      </w:r>
      <w:r>
        <w:rPr>
          <w:rFonts w:hint="eastAsia" w:cs="Times New Roman"/>
          <w:highlight w:val="none"/>
        </w:rPr>
        <w:t>，二手住房交易规模占比</w:t>
      </w:r>
      <w:r>
        <w:rPr>
          <w:rFonts w:hint="eastAsia" w:cs="Times New Roman"/>
          <w:highlight w:val="none"/>
          <w:lang w:val="en-US" w:eastAsia="zh-CN"/>
        </w:rPr>
        <w:t>显著提升</w:t>
      </w:r>
      <w:r>
        <w:rPr>
          <w:rFonts w:hint="eastAsia" w:cs="Times New Roman"/>
          <w:highlight w:val="none"/>
          <w:lang w:eastAsia="zh-CN"/>
        </w:rPr>
        <w:t>，</w:t>
      </w:r>
      <w:r>
        <w:rPr>
          <w:rFonts w:hint="eastAsia" w:ascii="Times New Roman" w:hAnsi="Times New Roman" w:cs="Times New Roman"/>
          <w:highlight w:val="none"/>
          <w:lang w:val="en-US" w:eastAsia="zh-CN"/>
        </w:rPr>
        <w:t>租赁住房需求逐年上升，</w:t>
      </w:r>
      <w:r>
        <w:rPr>
          <w:rFonts w:hint="default" w:ascii="Times New Roman" w:hAnsi="Times New Roman" w:cs="Times New Roman"/>
          <w:color w:val="auto"/>
          <w:kern w:val="2"/>
          <w:highlight w:val="none"/>
        </w:rPr>
        <w:t>居民</w:t>
      </w:r>
      <w:r>
        <w:rPr>
          <w:rFonts w:hint="eastAsia" w:ascii="Times New Roman" w:hAnsi="Times New Roman" w:cs="Times New Roman"/>
          <w:color w:val="auto"/>
          <w:kern w:val="2"/>
          <w:highlight w:val="none"/>
          <w:lang w:val="en-US" w:eastAsia="zh-CN"/>
        </w:rPr>
        <w:t>在</w:t>
      </w:r>
      <w:r>
        <w:rPr>
          <w:rFonts w:hint="default" w:ascii="Times New Roman" w:hAnsi="Times New Roman" w:cs="Times New Roman"/>
          <w:color w:val="auto"/>
          <w:kern w:val="2"/>
          <w:highlight w:val="none"/>
        </w:rPr>
        <w:t>没有迫切自住需求</w:t>
      </w:r>
      <w:r>
        <w:rPr>
          <w:rFonts w:hint="eastAsia" w:cs="Times New Roman"/>
          <w:color w:val="auto"/>
          <w:kern w:val="2"/>
          <w:highlight w:val="none"/>
          <w:lang w:val="en-US" w:eastAsia="zh-CN"/>
        </w:rPr>
        <w:t>的</w:t>
      </w:r>
      <w:r>
        <w:rPr>
          <w:rFonts w:hint="default" w:ascii="Times New Roman" w:hAnsi="Times New Roman" w:cs="Times New Roman"/>
          <w:color w:val="auto"/>
          <w:kern w:val="2"/>
          <w:highlight w:val="none"/>
        </w:rPr>
        <w:t>情况下，购买住房不再是</w:t>
      </w:r>
      <w:r>
        <w:rPr>
          <w:rFonts w:hint="eastAsia" w:ascii="仿宋_GB2312" w:hAnsi="仿宋_GB2312" w:cs="Times New Roman"/>
          <w:color w:val="auto"/>
          <w:kern w:val="2"/>
          <w:highlight w:val="none"/>
          <w:lang w:eastAsia="zh-CN"/>
        </w:rPr>
        <w:t>“</w:t>
      </w:r>
      <w:r>
        <w:rPr>
          <w:rFonts w:hint="default" w:ascii="Times New Roman" w:hAnsi="Times New Roman" w:cs="Times New Roman"/>
          <w:color w:val="auto"/>
          <w:kern w:val="2"/>
          <w:highlight w:val="none"/>
        </w:rPr>
        <w:t>保值增值</w:t>
      </w:r>
      <w:r>
        <w:rPr>
          <w:rFonts w:hint="eastAsia" w:ascii="仿宋_GB2312" w:hAnsi="仿宋_GB2312" w:cs="Times New Roman"/>
          <w:color w:val="auto"/>
          <w:kern w:val="2"/>
          <w:highlight w:val="none"/>
          <w:lang w:eastAsia="zh-CN"/>
        </w:rPr>
        <w:t>”</w:t>
      </w:r>
      <w:r>
        <w:rPr>
          <w:rFonts w:hint="default" w:ascii="Times New Roman" w:hAnsi="Times New Roman" w:cs="Times New Roman"/>
          <w:color w:val="auto"/>
          <w:kern w:val="2"/>
          <w:highlight w:val="none"/>
        </w:rPr>
        <w:t>手段</w:t>
      </w:r>
      <w:r>
        <w:rPr>
          <w:rFonts w:hint="eastAsia" w:cs="Times New Roman"/>
          <w:color w:val="auto"/>
          <w:kern w:val="2"/>
          <w:highlight w:val="none"/>
          <w:lang w:eastAsia="zh-CN"/>
        </w:rPr>
        <w:t>，</w:t>
      </w:r>
      <w:r>
        <w:rPr>
          <w:rFonts w:hint="eastAsia" w:cs="Times New Roman"/>
          <w:highlight w:val="none"/>
          <w:lang w:val="en-US" w:eastAsia="zh-CN"/>
        </w:rPr>
        <w:t>房地产市场</w:t>
      </w:r>
      <w:r>
        <w:rPr>
          <w:rFonts w:hint="eastAsia" w:ascii="Times New Roman" w:hAnsi="Times New Roman" w:cs="Times New Roman"/>
          <w:highlight w:val="none"/>
          <w:lang w:val="en-US" w:eastAsia="zh-CN"/>
        </w:rPr>
        <w:t>止跌回稳仍面临多重压力</w:t>
      </w:r>
      <w:r>
        <w:rPr>
          <w:rFonts w:hint="eastAsia" w:cs="Times New Roman"/>
          <w:highlight w:val="none"/>
          <w:lang w:val="en-US" w:eastAsia="zh-CN"/>
        </w:rPr>
        <w:t>。截至2025年底，全市商品住房库存去化周期22.66个月，坡头区、雷州市、遂溪县、吴川市、徐闻县等均超过24个月</w:t>
      </w:r>
      <w:r>
        <w:rPr>
          <w:rFonts w:hint="eastAsia" w:ascii="Times New Roman" w:hAnsi="Times New Roman" w:cs="Times New Roman"/>
          <w:color w:val="auto"/>
          <w:kern w:val="2"/>
          <w:highlight w:val="none"/>
          <w:lang w:eastAsia="zh-CN"/>
        </w:rPr>
        <w:t>。</w:t>
      </w:r>
    </w:p>
    <w:p w14:paraId="505BA83B">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2.住房配套设施建设滞后，品质口碑打造发力不足。</w:t>
      </w:r>
    </w:p>
    <w:p w14:paraId="3DA9FE05">
      <w:pPr>
        <w:keepNext w:val="0"/>
        <w:keepLines w:val="0"/>
        <w:pageBreakBefore w:val="0"/>
        <w:widowControl w:val="0"/>
        <w:kinsoku/>
        <w:wordWrap/>
        <w:overflowPunct/>
        <w:topLinePunct w:val="0"/>
        <w:autoSpaceDE/>
        <w:autoSpaceDN/>
        <w:bidi w:val="0"/>
        <w:adjustRightInd/>
        <w:snapToGrid/>
        <w:spacing w:beforeLines="0" w:afterLines="0"/>
        <w:ind w:firstLine="640" w:firstLineChars="200"/>
        <w:textAlignment w:val="auto"/>
        <w:rPr>
          <w:rFonts w:hint="default"/>
          <w:highlight w:val="none"/>
          <w:lang w:val="en-US" w:eastAsia="zh-CN"/>
        </w:rPr>
      </w:pPr>
      <w:r>
        <w:rPr>
          <w:rFonts w:hint="eastAsia" w:ascii="Times New Roman" w:hAnsi="Times New Roman" w:cs="Times New Roman"/>
          <w:color w:val="auto"/>
          <w:kern w:val="2"/>
          <w:highlight w:val="none"/>
          <w:lang w:eastAsia="zh-CN"/>
        </w:rPr>
        <w:t>房地产项目开发及销售过程中存在配套设施不完善问题</w:t>
      </w:r>
      <w:r>
        <w:rPr>
          <w:rFonts w:hint="eastAsia" w:cs="Times New Roman"/>
          <w:color w:val="auto"/>
          <w:kern w:val="2"/>
          <w:highlight w:val="none"/>
          <w:lang w:eastAsia="zh-CN"/>
        </w:rPr>
        <w:t>。</w:t>
      </w:r>
      <w:r>
        <w:rPr>
          <w:rFonts w:hint="default" w:ascii="Times New Roman" w:hAnsi="Times New Roman" w:cs="Times New Roman"/>
          <w:color w:val="auto"/>
          <w:kern w:val="2"/>
          <w:highlight w:val="none"/>
        </w:rPr>
        <w:t>部分已出让土地及竣工交付项目周边道路未贯通，部分路段仍处于土路、路基层面，项目给排水、电力等市政基础设施未能顺利接入城市管网，电动车位配置不规范，乱停乱放现象普遍，影响居民正常居住生活</w:t>
      </w:r>
      <w:r>
        <w:rPr>
          <w:rFonts w:hint="eastAsia" w:cs="Times New Roman"/>
          <w:color w:val="auto"/>
          <w:kern w:val="2"/>
          <w:highlight w:val="none"/>
          <w:lang w:eastAsia="zh-CN"/>
        </w:rPr>
        <w:t>。教育等公共服务配套供需</w:t>
      </w:r>
      <w:r>
        <w:rPr>
          <w:rFonts w:hint="eastAsia" w:cs="Times New Roman"/>
          <w:color w:val="auto"/>
          <w:kern w:val="2"/>
          <w:highlight w:val="none"/>
          <w:lang w:val="en-US" w:eastAsia="zh-CN"/>
        </w:rPr>
        <w:t>不平衡</w:t>
      </w:r>
      <w:r>
        <w:rPr>
          <w:rFonts w:hint="eastAsia" w:cs="Times New Roman"/>
          <w:color w:val="auto"/>
          <w:kern w:val="2"/>
          <w:highlight w:val="none"/>
          <w:lang w:eastAsia="zh-CN"/>
        </w:rPr>
        <w:t>，新兴城区优质学位供给不足，学位房供需缺口较大，部分新建住宅教育配套建设滞后于住宅交付，与市场需求衔接不够紧密。</w:t>
      </w:r>
      <w:r>
        <w:rPr>
          <w:rFonts w:hint="eastAsia" w:ascii="Times New Roman" w:hAnsi="Times New Roman" w:eastAsia="仿宋_GB2312" w:cs="Times New Roman"/>
          <w:i w:val="0"/>
          <w:iCs w:val="0"/>
          <w:caps w:val="0"/>
          <w:spacing w:val="0"/>
          <w:sz w:val="32"/>
          <w:szCs w:val="36"/>
          <w:highlight w:val="none"/>
          <w:shd w:val="clear" w:fill="FFFFFF"/>
        </w:rPr>
        <w:t>同时，</w:t>
      </w:r>
      <w:r>
        <w:rPr>
          <w:rFonts w:hint="eastAsia" w:cs="Times New Roman"/>
          <w:i w:val="0"/>
          <w:iCs w:val="0"/>
          <w:caps w:val="0"/>
          <w:spacing w:val="0"/>
          <w:sz w:val="32"/>
          <w:szCs w:val="36"/>
          <w:highlight w:val="none"/>
          <w:shd w:val="clear" w:fill="FFFFFF"/>
          <w:lang w:val="en-US" w:eastAsia="zh-CN"/>
        </w:rPr>
        <w:t>房地产开发企业</w:t>
      </w:r>
      <w:r>
        <w:rPr>
          <w:rFonts w:hint="eastAsia"/>
          <w:highlight w:val="none"/>
          <w:lang w:val="en-US" w:eastAsia="zh-CN"/>
        </w:rPr>
        <w:t>在项目品质管控和口碑运营方面投入力度不足，</w:t>
      </w:r>
      <w:r>
        <w:rPr>
          <w:rFonts w:hint="eastAsia" w:ascii="Times New Roman" w:hAnsi="Times New Roman" w:eastAsia="仿宋_GB2312" w:cs="Times New Roman"/>
          <w:i w:val="0"/>
          <w:iCs w:val="0"/>
          <w:caps w:val="0"/>
          <w:spacing w:val="0"/>
          <w:sz w:val="32"/>
          <w:szCs w:val="36"/>
          <w:highlight w:val="none"/>
          <w:shd w:val="clear" w:fill="FFFFFF"/>
        </w:rPr>
        <w:t>产品迭代缓慢</w:t>
      </w:r>
      <w:r>
        <w:rPr>
          <w:rFonts w:hint="eastAsia" w:cs="Times New Roman"/>
          <w:i w:val="0"/>
          <w:iCs w:val="0"/>
          <w:caps w:val="0"/>
          <w:spacing w:val="0"/>
          <w:sz w:val="32"/>
          <w:szCs w:val="36"/>
          <w:highlight w:val="none"/>
          <w:shd w:val="clear" w:fill="FFFFFF"/>
          <w:lang w:eastAsia="zh-CN"/>
        </w:rPr>
        <w:t>，</w:t>
      </w:r>
      <w:r>
        <w:rPr>
          <w:rFonts w:hint="eastAsia" w:ascii="Times New Roman" w:hAnsi="Times New Roman" w:cs="Times New Roman"/>
          <w:i w:val="0"/>
          <w:iCs w:val="0"/>
          <w:caps w:val="0"/>
          <w:spacing w:val="0"/>
          <w:sz w:val="32"/>
          <w:szCs w:val="36"/>
          <w:highlight w:val="none"/>
          <w:shd w:val="clear" w:fill="FFFFFF"/>
          <w:lang w:val="en-US" w:eastAsia="zh-CN"/>
        </w:rPr>
        <w:t>对</w:t>
      </w:r>
      <w:r>
        <w:rPr>
          <w:rFonts w:hint="eastAsia" w:ascii="Times New Roman" w:hAnsi="Times New Roman" w:eastAsia="仿宋_GB2312" w:cs="Times New Roman"/>
          <w:i w:val="0"/>
          <w:iCs w:val="0"/>
          <w:caps w:val="0"/>
          <w:spacing w:val="0"/>
          <w:sz w:val="32"/>
          <w:szCs w:val="36"/>
          <w:highlight w:val="none"/>
          <w:shd w:val="clear" w:fill="FFFFFF"/>
        </w:rPr>
        <w:t>多样化住房需求激发</w:t>
      </w:r>
      <w:r>
        <w:rPr>
          <w:rFonts w:hint="eastAsia" w:ascii="Times New Roman" w:hAnsi="Times New Roman" w:cs="Times New Roman"/>
          <w:i w:val="0"/>
          <w:iCs w:val="0"/>
          <w:caps w:val="0"/>
          <w:spacing w:val="0"/>
          <w:sz w:val="32"/>
          <w:szCs w:val="36"/>
          <w:highlight w:val="none"/>
          <w:shd w:val="clear" w:fill="FFFFFF"/>
          <w:lang w:val="en-US" w:eastAsia="zh-CN"/>
        </w:rPr>
        <w:t>不足</w:t>
      </w:r>
      <w:r>
        <w:rPr>
          <w:rFonts w:hint="eastAsia" w:ascii="Times New Roman" w:hAnsi="Times New Roman" w:eastAsia="仿宋_GB2312" w:cs="Times New Roman"/>
          <w:i w:val="0"/>
          <w:iCs w:val="0"/>
          <w:caps w:val="0"/>
          <w:spacing w:val="0"/>
          <w:sz w:val="32"/>
          <w:szCs w:val="36"/>
          <w:highlight w:val="none"/>
          <w:shd w:val="clear" w:fill="FFFFFF"/>
        </w:rPr>
        <w:t>，与市场对高品质住宅的潜在需求形成错配。</w:t>
      </w:r>
      <w:r>
        <w:rPr>
          <w:rFonts w:hint="eastAsia" w:cs="Times New Roman"/>
          <w:i w:val="0"/>
          <w:iCs w:val="0"/>
          <w:caps w:val="0"/>
          <w:spacing w:val="0"/>
          <w:sz w:val="32"/>
          <w:szCs w:val="36"/>
          <w:highlight w:val="none"/>
          <w:shd w:val="clear" w:fill="FFFFFF"/>
          <w:lang w:val="en-US" w:eastAsia="zh-CN"/>
        </w:rPr>
        <w:t>本地房企对标杆品牌打造力度不够，</w:t>
      </w:r>
      <w:r>
        <w:rPr>
          <w:rFonts w:hint="eastAsia"/>
          <w:highlight w:val="none"/>
          <w:lang w:val="en-US" w:eastAsia="zh-CN"/>
        </w:rPr>
        <w:t>缺乏系统性品牌建设规划和长效运营机制，物业管理服务水平存在较大差异，社区文化氛围培育工作不到位，整体环境缺乏竞争力。</w:t>
      </w:r>
    </w:p>
    <w:p w14:paraId="49A28585">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3.住房保障数字化程度低，管理水平待进一步提高。</w:t>
      </w:r>
    </w:p>
    <w:p w14:paraId="09927D25">
      <w:pPr>
        <w:keepNext w:val="0"/>
        <w:keepLines w:val="0"/>
        <w:pageBreakBefore w:val="0"/>
        <w:widowControl w:val="0"/>
        <w:kinsoku/>
        <w:wordWrap/>
        <w:overflowPunct/>
        <w:topLinePunct w:val="0"/>
        <w:autoSpaceDE/>
        <w:autoSpaceDN/>
        <w:bidi w:val="0"/>
        <w:adjustRightInd/>
        <w:snapToGrid/>
        <w:spacing w:beforeLines="0" w:afterLines="0"/>
        <w:textAlignment w:val="auto"/>
        <w:rPr>
          <w:rFonts w:hint="default"/>
          <w:highlight w:val="none"/>
          <w:lang w:val="en-US" w:eastAsia="zh-CN"/>
        </w:rPr>
      </w:pPr>
      <w:r>
        <w:rPr>
          <w:rFonts w:hint="eastAsia"/>
          <w:highlight w:val="none"/>
          <w:lang w:val="en-US" w:eastAsia="zh-CN"/>
        </w:rPr>
        <w:t>住房保障信息化、</w:t>
      </w:r>
      <w:r>
        <w:rPr>
          <w:rFonts w:hint="eastAsia"/>
          <w:highlight w:val="none"/>
        </w:rPr>
        <w:t>数字化治理水平有待提升</w:t>
      </w:r>
      <w:r>
        <w:rPr>
          <w:rFonts w:hint="eastAsia"/>
          <w:highlight w:val="none"/>
          <w:lang w:val="en-US" w:eastAsia="zh-CN"/>
        </w:rPr>
        <w:t>，现有信息系统数据互通、业务协同程度不足，跨区域、跨部门数据共享机制不健全</w:t>
      </w:r>
      <w:r>
        <w:rPr>
          <w:rFonts w:hint="eastAsia"/>
          <w:highlight w:val="none"/>
          <w:lang w:eastAsia="zh-CN"/>
        </w:rPr>
        <w:t>。</w:t>
      </w:r>
      <w:r>
        <w:rPr>
          <w:rFonts w:hint="eastAsia"/>
          <w:highlight w:val="none"/>
          <w:lang w:val="en-US" w:eastAsia="zh-CN"/>
        </w:rPr>
        <w:t>受</w:t>
      </w:r>
      <w:r>
        <w:rPr>
          <w:rFonts w:hint="eastAsia" w:ascii="仿宋_GB2312" w:hAnsi="仿宋_GB2312"/>
          <w:highlight w:val="none"/>
          <w:lang w:val="en-US" w:eastAsia="zh-CN"/>
        </w:rPr>
        <w:t>“</w:t>
      </w:r>
      <w:r>
        <w:rPr>
          <w:rFonts w:hint="eastAsia"/>
          <w:highlight w:val="none"/>
          <w:lang w:val="en-US" w:eastAsia="zh-CN"/>
        </w:rPr>
        <w:t>互联网+监管</w:t>
      </w:r>
      <w:r>
        <w:rPr>
          <w:rFonts w:hint="eastAsia" w:ascii="仿宋_GB2312" w:hAnsi="仿宋_GB2312"/>
          <w:highlight w:val="none"/>
          <w:lang w:val="en-US" w:eastAsia="zh-CN"/>
        </w:rPr>
        <w:t>”</w:t>
      </w:r>
      <w:r>
        <w:rPr>
          <w:rFonts w:hint="eastAsia"/>
          <w:highlight w:val="none"/>
          <w:lang w:val="en-US" w:eastAsia="zh-CN"/>
        </w:rPr>
        <w:t>大数据应用支撑不足影响，保障性住房准入、复核及退出等环节审核信息未能实现高效联动共享，存在信息滞后问题。家庭人口、收入资产等关键信息核查，以及保障性住房日常巡查、事中事后监管等工作仍以人工操作为主，存在数据核查不精准的风险隐患。现有公租房管理系统功能相对滞后，线上化、便捷化服务水平不足，难以满足群众高效办事需求。</w:t>
      </w:r>
      <w:r>
        <w:rPr>
          <w:rFonts w:hint="eastAsia"/>
          <w:highlight w:val="none"/>
        </w:rPr>
        <w:t>住房管理体制机制</w:t>
      </w:r>
      <w:r>
        <w:rPr>
          <w:rFonts w:hint="eastAsia"/>
          <w:highlight w:val="none"/>
          <w:lang w:val="en-US" w:eastAsia="zh-CN"/>
        </w:rPr>
        <w:t>有待优化，</w:t>
      </w:r>
      <w:r>
        <w:rPr>
          <w:rFonts w:hint="eastAsia"/>
          <w:highlight w:val="none"/>
        </w:rPr>
        <w:t>服务效能</w:t>
      </w:r>
      <w:r>
        <w:rPr>
          <w:rFonts w:hint="eastAsia"/>
          <w:highlight w:val="none"/>
          <w:lang w:val="en-US" w:eastAsia="zh-CN"/>
        </w:rPr>
        <w:t>与精细化管理水平</w:t>
      </w:r>
      <w:r>
        <w:rPr>
          <w:rFonts w:hint="eastAsia"/>
          <w:highlight w:val="none"/>
        </w:rPr>
        <w:t>需</w:t>
      </w:r>
      <w:r>
        <w:rPr>
          <w:rFonts w:hint="eastAsia"/>
          <w:highlight w:val="none"/>
          <w:lang w:val="en-US" w:eastAsia="zh-CN"/>
        </w:rPr>
        <w:t>持续</w:t>
      </w:r>
      <w:r>
        <w:rPr>
          <w:rFonts w:hint="eastAsia"/>
          <w:highlight w:val="none"/>
        </w:rPr>
        <w:t>提升，</w:t>
      </w:r>
      <w:r>
        <w:rPr>
          <w:rFonts w:hint="eastAsia"/>
          <w:highlight w:val="none"/>
          <w:lang w:val="en-US" w:eastAsia="zh-CN"/>
        </w:rPr>
        <w:t>部分</w:t>
      </w:r>
      <w:r>
        <w:rPr>
          <w:rFonts w:hint="default"/>
          <w:highlight w:val="none"/>
          <w:lang w:val="en-US" w:eastAsia="zh-CN"/>
        </w:rPr>
        <w:t>保障</w:t>
      </w:r>
      <w:r>
        <w:rPr>
          <w:rFonts w:hint="eastAsia"/>
          <w:highlight w:val="none"/>
          <w:lang w:val="en-US" w:eastAsia="zh-CN"/>
        </w:rPr>
        <w:t>性住房</w:t>
      </w:r>
      <w:r>
        <w:rPr>
          <w:rFonts w:hint="default"/>
          <w:highlight w:val="none"/>
          <w:lang w:val="en-US" w:eastAsia="zh-CN"/>
        </w:rPr>
        <w:t>小区物业服务不规范、问题整改不到位，居住品质与群众期盼仍有差距。</w:t>
      </w:r>
    </w:p>
    <w:p w14:paraId="33C5DD23">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4.城市更新资金平衡困难，存量盘活改造推进缓慢。</w:t>
      </w:r>
    </w:p>
    <w:p w14:paraId="73A3A2BC">
      <w:pPr>
        <w:keepNext w:val="0"/>
        <w:keepLines w:val="0"/>
        <w:pageBreakBefore w:val="0"/>
        <w:widowControl w:val="0"/>
        <w:kinsoku/>
        <w:wordWrap/>
        <w:overflowPunct/>
        <w:topLinePunct w:val="0"/>
        <w:autoSpaceDE/>
        <w:autoSpaceDN/>
        <w:bidi w:val="0"/>
        <w:adjustRightInd/>
        <w:snapToGrid/>
        <w:spacing w:beforeLines="0" w:afterLines="0"/>
        <w:textAlignment w:val="auto"/>
        <w:rPr>
          <w:rFonts w:hint="default" w:ascii="Times New Roman" w:hAnsi="Times New Roman" w:cs="Times New Roman"/>
          <w:highlight w:val="none"/>
          <w:lang w:val="en-US" w:eastAsia="zh-CN"/>
        </w:rPr>
      </w:pPr>
      <w:r>
        <w:rPr>
          <w:rFonts w:hint="eastAsia"/>
          <w:highlight w:val="none"/>
        </w:rPr>
        <w:t>当前</w:t>
      </w:r>
      <w:r>
        <w:rPr>
          <w:rFonts w:hint="eastAsia"/>
          <w:highlight w:val="none"/>
          <w:lang w:eastAsia="zh-CN"/>
        </w:rPr>
        <w:t>，</w:t>
      </w:r>
      <w:r>
        <w:rPr>
          <w:rFonts w:hint="eastAsia"/>
          <w:highlight w:val="none"/>
        </w:rPr>
        <w:t>优质增量</w:t>
      </w:r>
      <w:r>
        <w:rPr>
          <w:rFonts w:hint="eastAsia"/>
          <w:highlight w:val="none"/>
          <w:lang w:val="en-US" w:eastAsia="zh-CN"/>
        </w:rPr>
        <w:t>用地日趋紧张，</w:t>
      </w:r>
      <w:r>
        <w:rPr>
          <w:rFonts w:hint="eastAsia"/>
          <w:highlight w:val="none"/>
        </w:rPr>
        <w:t>城镇化提质扩容对空间拓展提出更高要求，城市更新已成为优化空间结构、提升城市功能的重要抓手。</w:t>
      </w:r>
      <w:r>
        <w:rPr>
          <w:rFonts w:hint="default"/>
          <w:highlight w:val="none"/>
          <w:lang w:val="en-US" w:eastAsia="zh-CN"/>
        </w:rPr>
        <w:t>受房地产市场调整、行业预期偏弱及相关政策持续完善等因素影响，市场主体参与城市更新的动力不足，新增更新项目落地节奏有所放缓。同时，融资环境收紧、项目销售回款周期拉长等多重约束叠加，开发企业资金周转压力加大，部分更新项目实施进度不及预期。存量住房盘活涉及多方利益协调，统筹推进难度较大，存量房源转化利用路径尚不顺畅</w:t>
      </w:r>
      <w:r>
        <w:rPr>
          <w:rFonts w:hint="eastAsia"/>
          <w:highlight w:val="none"/>
          <w:lang w:val="en-US" w:eastAsia="zh-CN"/>
        </w:rPr>
        <w:t>。</w:t>
      </w:r>
    </w:p>
    <w:p w14:paraId="53C6C6A9">
      <w:pPr>
        <w:pStyle w:val="3"/>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bookmarkStart w:id="60" w:name="_Toc469537268"/>
      <w:bookmarkStart w:id="61" w:name="_Toc1464"/>
      <w:bookmarkStart w:id="62" w:name="_Toc8442255"/>
      <w:bookmarkStart w:id="63" w:name="_Toc3908"/>
      <w:bookmarkStart w:id="64" w:name="_Toc14082"/>
      <w:bookmarkStart w:id="65" w:name="_Toc3508"/>
      <w:bookmarkStart w:id="66" w:name="_Toc1169"/>
      <w:bookmarkStart w:id="67" w:name="_Toc13406"/>
      <w:bookmarkStart w:id="68" w:name="_Toc25277"/>
      <w:bookmarkStart w:id="69" w:name="_Toc25176"/>
      <w:bookmarkStart w:id="70" w:name="_Toc28380"/>
      <w:bookmarkStart w:id="71" w:name="_Toc30975"/>
      <w:bookmarkStart w:id="72" w:name="_Toc19270"/>
      <w:bookmarkStart w:id="73" w:name="_Toc20059"/>
      <w:bookmarkStart w:id="74" w:name="_Toc10571"/>
      <w:bookmarkStart w:id="75" w:name="_Toc1018094074"/>
      <w:bookmarkStart w:id="76" w:name="_Toc32744"/>
      <w:r>
        <w:rPr>
          <w:rFonts w:hint="eastAsia"/>
          <w:highlight w:val="none"/>
          <w:lang w:val="en-US" w:eastAsia="zh-CN"/>
        </w:rPr>
        <w:t>（三）发展形势与要求</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278D2012">
      <w:pPr>
        <w:pStyle w:val="4"/>
        <w:spacing w:before="0" w:beforeLines="0" w:after="0" w:afterLines="0"/>
        <w:rPr>
          <w:rFonts w:hint="eastAsia"/>
          <w:highlight w:val="none"/>
          <w:lang w:val="en-US" w:eastAsia="zh-CN"/>
        </w:rPr>
      </w:pPr>
      <w:r>
        <w:rPr>
          <w:rFonts w:hint="eastAsia"/>
          <w:highlight w:val="none"/>
          <w:lang w:val="en-US" w:eastAsia="zh-CN"/>
        </w:rPr>
        <w:t>1.湛江战略地位全面跃升，为住房发展注入强劲动能。</w:t>
      </w:r>
    </w:p>
    <w:p w14:paraId="01323E6E">
      <w:pPr>
        <w:spacing w:beforeLines="0" w:afterLines="0"/>
        <w:rPr>
          <w:rFonts w:hint="eastAsia"/>
          <w:highlight w:val="none"/>
          <w:lang w:val="en-US" w:eastAsia="zh-CN"/>
        </w:rPr>
      </w:pPr>
      <w:r>
        <w:rPr>
          <w:rFonts w:hint="eastAsia" w:ascii="仿宋_GB2312" w:hAnsi="仿宋_GB2312"/>
          <w:highlight w:val="none"/>
          <w:lang w:val="en-US" w:eastAsia="zh-CN"/>
        </w:rPr>
        <w:t>“</w:t>
      </w:r>
      <w:r>
        <w:rPr>
          <w:rFonts w:hint="eastAsia"/>
          <w:highlight w:val="none"/>
          <w:lang w:val="en-US" w:eastAsia="zh-CN"/>
        </w:rPr>
        <w:t>十五五</w:t>
      </w:r>
      <w:r>
        <w:rPr>
          <w:rFonts w:hint="eastAsia" w:ascii="仿宋_GB2312" w:hAnsi="仿宋_GB2312"/>
          <w:highlight w:val="none"/>
          <w:lang w:val="en-US" w:eastAsia="zh-CN"/>
        </w:rPr>
        <w:t>”</w:t>
      </w:r>
      <w:r>
        <w:rPr>
          <w:rFonts w:hint="eastAsia"/>
          <w:highlight w:val="none"/>
          <w:lang w:val="en-US" w:eastAsia="zh-CN"/>
        </w:rPr>
        <w:t>时期，湛江作为粤港澳大湾区与海南自贸港联动发展的核心支撑点、国内国际双循环战略链接点，将持续聚焦现代化沿海经济带重要发展极、省域副中心城市和世界级临港产业基地建设，城市战略地位持续跃升。交通方面，</w:t>
      </w:r>
      <w:r>
        <w:rPr>
          <w:rFonts w:hint="eastAsia" w:ascii="仿宋_GB2312" w:hAnsi="仿宋_GB2312"/>
          <w:highlight w:val="none"/>
          <w:lang w:val="en-US" w:eastAsia="zh-CN"/>
        </w:rPr>
        <w:t>“</w:t>
      </w:r>
      <w:r>
        <w:rPr>
          <w:rFonts w:hint="eastAsia"/>
          <w:highlight w:val="none"/>
          <w:lang w:val="en-US" w:eastAsia="zh-CN"/>
        </w:rPr>
        <w:t>五龙入湛</w:t>
      </w:r>
      <w:r>
        <w:rPr>
          <w:rFonts w:hint="eastAsia" w:ascii="仿宋_GB2312" w:hAnsi="仿宋_GB2312"/>
          <w:highlight w:val="none"/>
          <w:lang w:val="en-US" w:eastAsia="zh-CN"/>
        </w:rPr>
        <w:t>”</w:t>
      </w:r>
      <w:r>
        <w:rPr>
          <w:rFonts w:hint="eastAsia"/>
          <w:highlight w:val="none"/>
          <w:lang w:val="en-US" w:eastAsia="zh-CN"/>
        </w:rPr>
        <w:t>高铁格局加快构建，湛江实质性融入粤港澳大湾区“1.5小时经济圈”，湛江北站、徐闻港TOD综合开发有序推进，交通区位优势持续释放，为城市发展和住房需求扩容奠定基础。产业方面，绿色钢铁、绿色石化、绿色能源、绿色食品和海洋经济</w:t>
      </w:r>
      <w:r>
        <w:rPr>
          <w:rFonts w:hint="eastAsia" w:ascii="仿宋_GB2312" w:hAnsi="仿宋_GB2312"/>
          <w:highlight w:val="none"/>
          <w:lang w:val="en-US" w:eastAsia="zh-CN"/>
        </w:rPr>
        <w:t>“</w:t>
      </w:r>
      <w:r>
        <w:rPr>
          <w:rFonts w:hint="eastAsia"/>
          <w:highlight w:val="none"/>
          <w:lang w:val="en-US" w:eastAsia="zh-CN"/>
        </w:rPr>
        <w:t>四绿一蓝</w:t>
      </w:r>
      <w:r>
        <w:rPr>
          <w:rFonts w:hint="eastAsia" w:ascii="仿宋_GB2312" w:hAnsi="仿宋_GB2312"/>
          <w:highlight w:val="none"/>
          <w:lang w:val="en-US" w:eastAsia="zh-CN"/>
        </w:rPr>
        <w:t>”</w:t>
      </w:r>
      <w:r>
        <w:rPr>
          <w:rFonts w:hint="eastAsia"/>
          <w:highlight w:val="none"/>
          <w:lang w:val="en-US" w:eastAsia="zh-CN"/>
        </w:rPr>
        <w:t>主导产业集群持续壮大，宝钢、巴斯夫、中科炼化等重大项目不断导入高素质技术人才，产城融合深度推进。城市能级提升、交通格局完善、产业集群崛起三者协同发力，将带动住房需求稳步扩容，为湛江住房领域高质量发展提供坚实的经济支撑和空间载体。</w:t>
      </w:r>
    </w:p>
    <w:p w14:paraId="5FDEF86A">
      <w:pPr>
        <w:pStyle w:val="4"/>
        <w:spacing w:before="0" w:beforeLines="0" w:after="0" w:afterLines="0"/>
        <w:rPr>
          <w:rFonts w:hint="eastAsia"/>
          <w:highlight w:val="none"/>
          <w:lang w:val="en-US" w:eastAsia="zh-CN"/>
        </w:rPr>
      </w:pPr>
      <w:r>
        <w:rPr>
          <w:rFonts w:hint="eastAsia"/>
          <w:highlight w:val="none"/>
          <w:lang w:val="en-US" w:eastAsia="zh-CN"/>
        </w:rPr>
        <w:t>2.人口发展呈现新特征，住房需求结构面临深刻调整。</w:t>
      </w:r>
    </w:p>
    <w:p w14:paraId="3C4F1E16">
      <w:pPr>
        <w:spacing w:beforeLines="0" w:afterLines="0"/>
        <w:ind w:firstLine="640" w:firstLineChars="200"/>
        <w:rPr>
          <w:rFonts w:hint="eastAsia"/>
          <w:highlight w:val="none"/>
          <w:lang w:val="en-US" w:eastAsia="zh-CN"/>
        </w:rPr>
      </w:pPr>
      <w:r>
        <w:rPr>
          <w:rFonts w:hint="eastAsia"/>
          <w:highlight w:val="none"/>
          <w:lang w:val="en-US" w:eastAsia="zh-CN"/>
        </w:rPr>
        <w:t>2025年，湛江常住人口规模712.</w:t>
      </w:r>
      <w:r>
        <w:rPr>
          <w:rFonts w:hint="eastAsia" w:cs="Times New Roman"/>
          <w:highlight w:val="none"/>
          <w:lang w:val="en-US" w:eastAsia="zh-CN"/>
        </w:rPr>
        <w:t>29</w:t>
      </w:r>
      <w:r>
        <w:rPr>
          <w:rFonts w:hint="eastAsia"/>
          <w:highlight w:val="none"/>
          <w:lang w:val="en-US" w:eastAsia="zh-CN"/>
        </w:rPr>
        <w:t>万人，位居全省第五，户籍人口规模871.89万人，位居全省第二，人口总量为住房需求提供了基础支撑，但人力资本外流问题仍需破解，一定程度上影响了住房需求的释放与住房市场的良性循环。同时，2025年，湛江城镇化率（49.63%）虽较全省平均水平（</w:t>
      </w:r>
      <w:r>
        <w:rPr>
          <w:rFonts w:hint="eastAsia"/>
          <w:highlight w:val="none"/>
        </w:rPr>
        <w:t>76.58</w:t>
      </w:r>
      <w:r>
        <w:rPr>
          <w:rFonts w:hint="eastAsia"/>
          <w:highlight w:val="none"/>
          <w:lang w:val="en-US" w:eastAsia="zh-CN"/>
        </w:rPr>
        <w:t>%）仍有较大差距，但随着</w:t>
      </w:r>
      <w:r>
        <w:rPr>
          <w:rFonts w:hint="eastAsia" w:ascii="仿宋_GB2312" w:hAnsi="仿宋_GB2312"/>
          <w:highlight w:val="none"/>
          <w:lang w:val="en-US" w:eastAsia="zh-CN"/>
        </w:rPr>
        <w:t>“</w:t>
      </w:r>
      <w:r>
        <w:rPr>
          <w:rFonts w:hint="eastAsia"/>
          <w:highlight w:val="none"/>
          <w:lang w:val="en-US" w:eastAsia="zh-CN"/>
        </w:rPr>
        <w:t>百县千镇万村高质量发展工程</w:t>
      </w:r>
      <w:r>
        <w:rPr>
          <w:rFonts w:hint="eastAsia" w:ascii="仿宋_GB2312" w:hAnsi="仿宋_GB2312"/>
          <w:highlight w:val="none"/>
          <w:lang w:val="en-US" w:eastAsia="zh-CN"/>
        </w:rPr>
        <w:t>”</w:t>
      </w:r>
      <w:r>
        <w:rPr>
          <w:rFonts w:hint="eastAsia"/>
          <w:highlight w:val="none"/>
          <w:lang w:val="en-US" w:eastAsia="zh-CN"/>
        </w:rPr>
        <w:t>深入实施，以县城为重要载体的城镇化建设提速，农业转移人口市民化潜力持续释放，县域成为人口集聚和住房需求的重要阵地。此外，湛江</w:t>
      </w:r>
      <w:r>
        <w:rPr>
          <w:rFonts w:hint="eastAsia" w:ascii="仿宋_GB2312" w:hAnsi="仿宋_GB2312"/>
          <w:highlight w:val="none"/>
          <w:lang w:val="en-US" w:eastAsia="zh-CN"/>
        </w:rPr>
        <w:t>“</w:t>
      </w:r>
      <w:r>
        <w:rPr>
          <w:rFonts w:hint="eastAsia"/>
          <w:highlight w:val="none"/>
          <w:lang w:val="en-US" w:eastAsia="zh-CN"/>
        </w:rPr>
        <w:t>一老一小</w:t>
      </w:r>
      <w:r>
        <w:rPr>
          <w:rFonts w:hint="eastAsia" w:ascii="仿宋_GB2312" w:hAnsi="仿宋_GB2312"/>
          <w:highlight w:val="none"/>
          <w:lang w:val="en-US" w:eastAsia="zh-CN"/>
        </w:rPr>
        <w:t>”</w:t>
      </w:r>
      <w:r>
        <w:rPr>
          <w:rFonts w:hint="eastAsia"/>
          <w:highlight w:val="none"/>
          <w:lang w:val="en-US" w:eastAsia="zh-CN"/>
        </w:rPr>
        <w:t>占比提高，对全龄友好型、适老化住房的需求日益凸显；随着湛江产业升级，技术型、服务型人才导入增多，对职住平衡、品质住房的需求持续提升。这些人口特征的变化，将推动住房需求向</w:t>
      </w:r>
      <w:r>
        <w:rPr>
          <w:rFonts w:hint="eastAsia" w:ascii="仿宋_GB2312" w:hAnsi="仿宋_GB2312"/>
          <w:highlight w:val="none"/>
          <w:lang w:val="en-US" w:eastAsia="zh-CN"/>
        </w:rPr>
        <w:t>“</w:t>
      </w:r>
      <w:r>
        <w:rPr>
          <w:rFonts w:hint="eastAsia"/>
          <w:highlight w:val="none"/>
          <w:lang w:val="en-US" w:eastAsia="zh-CN"/>
        </w:rPr>
        <w:t>品质改善</w:t>
      </w:r>
      <w:r>
        <w:rPr>
          <w:rFonts w:hint="eastAsia" w:ascii="仿宋_GB2312" w:hAnsi="仿宋_GB2312"/>
          <w:highlight w:val="none"/>
          <w:lang w:val="en-US" w:eastAsia="zh-CN"/>
        </w:rPr>
        <w:t>”</w:t>
      </w:r>
      <w:r>
        <w:rPr>
          <w:rFonts w:hint="eastAsia"/>
          <w:highlight w:val="none"/>
          <w:lang w:val="en-US" w:eastAsia="zh-CN"/>
        </w:rPr>
        <w:t>转型，从中心城区向县域延伸，对住房供给结构、配套水平提出更高要求。</w:t>
      </w:r>
    </w:p>
    <w:p w14:paraId="4B3EF8D4">
      <w:pPr>
        <w:pStyle w:val="4"/>
        <w:spacing w:before="0" w:beforeLines="0" w:after="0" w:afterLines="0"/>
        <w:rPr>
          <w:rFonts w:hint="eastAsia"/>
          <w:highlight w:val="none"/>
          <w:lang w:val="en-US" w:eastAsia="zh-CN"/>
        </w:rPr>
      </w:pPr>
      <w:r>
        <w:rPr>
          <w:rFonts w:hint="eastAsia"/>
          <w:highlight w:val="none"/>
          <w:lang w:val="en-US" w:eastAsia="zh-CN"/>
        </w:rPr>
        <w:t>3.国家住房顶层设计持续深化，要求湛江住房加快转型升级。</w:t>
      </w:r>
    </w:p>
    <w:p w14:paraId="0944D43C">
      <w:pPr>
        <w:spacing w:beforeLines="0" w:afterLines="0"/>
        <w:rPr>
          <w:rFonts w:hint="default"/>
          <w:highlight w:val="none"/>
          <w:lang w:val="en-US" w:eastAsia="zh-CN"/>
        </w:rPr>
      </w:pPr>
      <w:r>
        <w:rPr>
          <w:rFonts w:hint="eastAsia"/>
          <w:highlight w:val="none"/>
          <w:lang w:val="en-US" w:eastAsia="zh-CN"/>
        </w:rPr>
        <w:t>房地产市场供求关系发生深刻改变背景下，住房需求从</w:t>
      </w:r>
      <w:r>
        <w:rPr>
          <w:rFonts w:hint="eastAsia" w:ascii="仿宋_GB2312" w:hAnsi="仿宋_GB2312"/>
          <w:highlight w:val="none"/>
          <w:lang w:val="en-US" w:eastAsia="zh-CN"/>
        </w:rPr>
        <w:t>“</w:t>
      </w:r>
      <w:r>
        <w:rPr>
          <w:rFonts w:hint="eastAsia"/>
          <w:highlight w:val="none"/>
          <w:lang w:val="en-US" w:eastAsia="zh-CN"/>
        </w:rPr>
        <w:t>有没有</w:t>
      </w:r>
      <w:r>
        <w:rPr>
          <w:rFonts w:hint="eastAsia" w:ascii="仿宋_GB2312" w:hAnsi="仿宋_GB2312"/>
          <w:highlight w:val="none"/>
          <w:lang w:val="en-US" w:eastAsia="zh-CN"/>
        </w:rPr>
        <w:t>”</w:t>
      </w:r>
      <w:r>
        <w:rPr>
          <w:rFonts w:hint="eastAsia"/>
          <w:highlight w:val="none"/>
          <w:lang w:val="en-US" w:eastAsia="zh-CN"/>
        </w:rPr>
        <w:t>迈向</w:t>
      </w:r>
      <w:r>
        <w:rPr>
          <w:rFonts w:hint="eastAsia" w:ascii="仿宋_GB2312" w:hAnsi="仿宋_GB2312"/>
          <w:highlight w:val="none"/>
          <w:lang w:val="en-US" w:eastAsia="zh-CN"/>
        </w:rPr>
        <w:t>“</w:t>
      </w:r>
      <w:r>
        <w:rPr>
          <w:rFonts w:hint="eastAsia"/>
          <w:highlight w:val="none"/>
          <w:lang w:val="en-US" w:eastAsia="zh-CN"/>
        </w:rPr>
        <w:t>好不好</w:t>
      </w:r>
      <w:r>
        <w:rPr>
          <w:rFonts w:hint="eastAsia" w:ascii="仿宋_GB2312" w:hAnsi="仿宋_GB2312"/>
          <w:highlight w:val="none"/>
          <w:lang w:val="en-US" w:eastAsia="zh-CN"/>
        </w:rPr>
        <w:t>”</w:t>
      </w:r>
      <w:r>
        <w:rPr>
          <w:rFonts w:hint="eastAsia"/>
          <w:highlight w:val="none"/>
          <w:lang w:val="en-US" w:eastAsia="zh-CN"/>
        </w:rPr>
        <w:t>，国家聚焦房地产高质量发展，要求加快构建房地产发展新模式，防范化解房地产市场风险，有序推动安全舒适绿色智慧的</w:t>
      </w:r>
      <w:r>
        <w:rPr>
          <w:rFonts w:hint="eastAsia" w:ascii="仿宋_GB2312" w:hAnsi="仿宋_GB2312"/>
          <w:highlight w:val="none"/>
          <w:lang w:val="en-US" w:eastAsia="zh-CN"/>
        </w:rPr>
        <w:t>“</w:t>
      </w:r>
      <w:r>
        <w:rPr>
          <w:rFonts w:hint="eastAsia"/>
          <w:highlight w:val="none"/>
          <w:lang w:val="en-US" w:eastAsia="zh-CN"/>
        </w:rPr>
        <w:t>好房子</w:t>
      </w:r>
      <w:r>
        <w:rPr>
          <w:rFonts w:hint="eastAsia" w:ascii="仿宋_GB2312" w:hAnsi="仿宋_GB2312"/>
          <w:highlight w:val="none"/>
          <w:lang w:val="en-US" w:eastAsia="zh-CN"/>
        </w:rPr>
        <w:t>”</w:t>
      </w:r>
      <w:r>
        <w:rPr>
          <w:rFonts w:hint="eastAsia"/>
          <w:highlight w:val="none"/>
          <w:lang w:val="en-US" w:eastAsia="zh-CN"/>
        </w:rPr>
        <w:t>建设，完善住房保障体系，深化住房公积金制度改革，推进城市更新和住区品质提升，强化住房数字化监管与全生命周期管理。</w:t>
      </w:r>
      <w:r>
        <w:rPr>
          <w:rFonts w:hint="eastAsia" w:ascii="仿宋_GB2312" w:hAnsi="仿宋_GB2312"/>
          <w:highlight w:val="none"/>
          <w:lang w:val="en-US" w:eastAsia="zh-CN"/>
        </w:rPr>
        <w:t>“</w:t>
      </w:r>
      <w:r>
        <w:rPr>
          <w:rFonts w:hint="eastAsia"/>
          <w:highlight w:val="none"/>
          <w:lang w:val="en-US" w:eastAsia="zh-CN"/>
        </w:rPr>
        <w:t>十五五</w:t>
      </w:r>
      <w:r>
        <w:rPr>
          <w:rFonts w:hint="eastAsia" w:ascii="仿宋_GB2312" w:hAnsi="仿宋_GB2312"/>
          <w:highlight w:val="none"/>
          <w:lang w:val="en-US" w:eastAsia="zh-CN"/>
        </w:rPr>
        <w:t>”</w:t>
      </w:r>
      <w:r>
        <w:rPr>
          <w:rFonts w:hint="eastAsia"/>
          <w:highlight w:val="none"/>
          <w:lang w:val="en-US" w:eastAsia="zh-CN"/>
        </w:rPr>
        <w:t>时期，湛江必须严格贯彻落实国家和省住房工作最新部署，立足本地实际，统筹推进房地产市场平稳健康发展、住房保障提质、住区品质升级，推动住房领域高质量发展，助力省域副中心城市建设。</w:t>
      </w:r>
    </w:p>
    <w:p w14:paraId="1F1453E9">
      <w:pPr>
        <w:pStyle w:val="4"/>
        <w:spacing w:before="0" w:beforeLines="0" w:after="0" w:afterLines="0"/>
        <w:rPr>
          <w:rFonts w:hint="eastAsia"/>
          <w:highlight w:val="none"/>
          <w:lang w:val="en-US" w:eastAsia="zh-CN"/>
        </w:rPr>
      </w:pPr>
      <w:r>
        <w:rPr>
          <w:rFonts w:hint="eastAsia"/>
          <w:highlight w:val="none"/>
          <w:lang w:val="en-US" w:eastAsia="zh-CN"/>
        </w:rPr>
        <w:t>4.房地产市场风险与机遇并存，去库存与品质提升双重任务艰巨。</w:t>
      </w:r>
    </w:p>
    <w:p w14:paraId="042F53E1">
      <w:pPr>
        <w:spacing w:beforeLines="0" w:afterLines="0"/>
        <w:rPr>
          <w:rFonts w:hint="eastAsia"/>
          <w:highlight w:val="none"/>
          <w:lang w:val="en-US" w:eastAsia="zh-CN"/>
        </w:rPr>
      </w:pPr>
      <w:r>
        <w:rPr>
          <w:rFonts w:hint="eastAsia"/>
          <w:highlight w:val="none"/>
          <w:lang w:val="en-US" w:eastAsia="zh-CN"/>
        </w:rPr>
        <w:t>当前，湛江房地产去库存形势依然严峻，</w:t>
      </w:r>
      <w:r>
        <w:rPr>
          <w:rFonts w:hint="eastAsia" w:ascii="仿宋_GB2312" w:hAnsi="仿宋_GB2312"/>
          <w:highlight w:val="none"/>
          <w:lang w:val="en-US" w:eastAsia="zh-CN"/>
        </w:rPr>
        <w:t>“</w:t>
      </w:r>
      <w:r>
        <w:rPr>
          <w:rFonts w:hint="eastAsia"/>
          <w:highlight w:val="none"/>
          <w:lang w:val="en-US" w:eastAsia="zh-CN"/>
        </w:rPr>
        <w:t>十五五</w:t>
      </w:r>
      <w:r>
        <w:rPr>
          <w:rFonts w:hint="eastAsia" w:ascii="仿宋_GB2312" w:hAnsi="仿宋_GB2312"/>
          <w:highlight w:val="none"/>
          <w:lang w:val="en-US" w:eastAsia="zh-CN"/>
        </w:rPr>
        <w:t>”</w:t>
      </w:r>
      <w:r>
        <w:rPr>
          <w:rFonts w:hint="eastAsia"/>
          <w:highlight w:val="none"/>
          <w:lang w:val="en-US" w:eastAsia="zh-CN"/>
        </w:rPr>
        <w:t>时期化解存量、稳定市场仍是重要任务。受房地产行业整体调整影响，</w:t>
      </w:r>
      <w:r>
        <w:rPr>
          <w:rFonts w:hint="eastAsia"/>
          <w:highlight w:val="none"/>
        </w:rPr>
        <w:t>房地产企业投资意愿偏弱，市场信心修复仍需时日</w:t>
      </w:r>
      <w:r>
        <w:rPr>
          <w:rFonts w:hint="eastAsia"/>
          <w:highlight w:val="none"/>
          <w:lang w:eastAsia="zh-CN"/>
        </w:rPr>
        <w:t>，</w:t>
      </w:r>
      <w:r>
        <w:rPr>
          <w:rFonts w:hint="eastAsia"/>
          <w:highlight w:val="none"/>
          <w:lang w:val="en-US" w:eastAsia="zh-CN"/>
        </w:rPr>
        <w:t>融资环境收紧、回款周期延长等问题仍将制约行业发展。但同时，随着湛江城市价值提升、人口集聚和需求升级，房地产市场也迎来新的发展机遇，改善性住房、收购存量商品房等细分领域需求潜力较大。</w:t>
      </w:r>
      <w:r>
        <w:rPr>
          <w:rFonts w:hint="eastAsia" w:ascii="仿宋_GB2312" w:hAnsi="仿宋_GB2312"/>
          <w:highlight w:val="none"/>
          <w:lang w:val="en-US" w:eastAsia="zh-CN"/>
        </w:rPr>
        <w:t>“</w:t>
      </w:r>
      <w:r>
        <w:rPr>
          <w:rFonts w:hint="eastAsia"/>
          <w:highlight w:val="none"/>
          <w:lang w:val="en-US" w:eastAsia="zh-CN"/>
        </w:rPr>
        <w:t>十五五</w:t>
      </w:r>
      <w:r>
        <w:rPr>
          <w:rFonts w:hint="eastAsia" w:ascii="仿宋_GB2312" w:hAnsi="仿宋_GB2312"/>
          <w:highlight w:val="none"/>
          <w:lang w:val="en-US" w:eastAsia="zh-CN"/>
        </w:rPr>
        <w:t>”</w:t>
      </w:r>
      <w:r>
        <w:rPr>
          <w:rFonts w:hint="eastAsia"/>
          <w:highlight w:val="none"/>
          <w:lang w:val="en-US" w:eastAsia="zh-CN"/>
        </w:rPr>
        <w:t>时期，湛江既要强化市场调控，创新去库存举措，防范化解房地产领域风险，也要引导开发企业聚焦品质提升和产品迭代，以需定供优化住房供给结构，实现房地产市场平稳健康发展。</w:t>
      </w:r>
    </w:p>
    <w:p w14:paraId="7D927EF4">
      <w:pPr>
        <w:pStyle w:val="4"/>
        <w:spacing w:before="0" w:beforeLines="0" w:after="0" w:afterLines="0"/>
        <w:rPr>
          <w:rFonts w:hint="eastAsia"/>
          <w:highlight w:val="none"/>
          <w:lang w:val="en-US" w:eastAsia="zh-CN"/>
        </w:rPr>
      </w:pPr>
      <w:r>
        <w:rPr>
          <w:rFonts w:hint="eastAsia"/>
          <w:highlight w:val="none"/>
          <w:lang w:val="en-US" w:eastAsia="zh-CN"/>
        </w:rPr>
        <w:t>5.旅居经济蓬勃发展，催生住房供给多元化新需求。</w:t>
      </w:r>
    </w:p>
    <w:p w14:paraId="37C19FB8">
      <w:pPr>
        <w:spacing w:beforeLines="0" w:afterLines="0"/>
        <w:rPr>
          <w:rFonts w:hint="eastAsia"/>
          <w:highlight w:val="none"/>
          <w:lang w:val="en-US" w:eastAsia="zh-CN"/>
        </w:rPr>
      </w:pPr>
      <w:r>
        <w:rPr>
          <w:rFonts w:hint="eastAsia"/>
          <w:highlight w:val="none"/>
          <w:lang w:val="en-US" w:eastAsia="zh-CN"/>
        </w:rPr>
        <w:t>依托优越的热带滨海生态资源，</w:t>
      </w:r>
      <w:r>
        <w:rPr>
          <w:rFonts w:hint="eastAsia"/>
          <w:highlight w:val="none"/>
        </w:rPr>
        <w:t>到2030年，湛江将全力打造成为国际北热带滨海旅游目的地</w:t>
      </w:r>
      <w:r>
        <w:rPr>
          <w:rFonts w:hint="eastAsia"/>
          <w:highlight w:val="none"/>
          <w:lang w:val="en-US" w:eastAsia="zh-CN"/>
        </w:rPr>
        <w:t>，加强与海南在旅游、健康、医养等领域的深度合作，推动全域旅游高质量发展。随着旅居经济的蓬勃发展，房地产与旅游、度假、养老产业的融合度将持续提升，滨海旅居、康养度假、近郊休闲等多元化住房产品需求日益旺盛，客源辐射范围不断扩大。这要求湛江立足旅居资源优势，抓住琼州海峡南北两岸协同高质量发展机遇，优化旅居住房供给，完善旅居配套设施，推动旅居住房与本地住房需求协同发展，探索</w:t>
      </w:r>
      <w:r>
        <w:rPr>
          <w:rFonts w:hint="eastAsia" w:ascii="仿宋_GB2312" w:hAnsi="仿宋_GB2312"/>
          <w:highlight w:val="none"/>
          <w:lang w:val="en-US" w:eastAsia="zh-CN"/>
        </w:rPr>
        <w:t>“</w:t>
      </w:r>
      <w:r>
        <w:rPr>
          <w:rFonts w:hint="eastAsia"/>
          <w:highlight w:val="none"/>
          <w:lang w:val="en-US" w:eastAsia="zh-CN"/>
        </w:rPr>
        <w:t>湛江居住、海南度假</w:t>
      </w:r>
      <w:r>
        <w:rPr>
          <w:rFonts w:hint="eastAsia" w:ascii="仿宋_GB2312" w:hAnsi="仿宋_GB2312"/>
          <w:highlight w:val="none"/>
          <w:lang w:val="en-US" w:eastAsia="zh-CN"/>
        </w:rPr>
        <w:t>”</w:t>
      </w:r>
      <w:r>
        <w:rPr>
          <w:rFonts w:hint="eastAsia"/>
          <w:highlight w:val="none"/>
          <w:lang w:val="en-US" w:eastAsia="zh-CN"/>
        </w:rPr>
        <w:t>模式，打造具有湛江滨海特色的住房产品体系，助力文旅产业升级和城市品牌提升。</w:t>
      </w:r>
    </w:p>
    <w:p w14:paraId="64BB9B9B">
      <w:pPr>
        <w:pStyle w:val="2"/>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default"/>
          <w:highlight w:val="none"/>
          <w:lang w:val="en-US" w:eastAsia="zh-CN"/>
        </w:rPr>
      </w:pPr>
      <w:bookmarkStart w:id="77" w:name="_Toc12507"/>
      <w:bookmarkStart w:id="78" w:name="_Toc30049"/>
      <w:bookmarkStart w:id="79" w:name="_Toc29572"/>
      <w:bookmarkStart w:id="80" w:name="_Toc2104886069"/>
      <w:bookmarkStart w:id="81" w:name="_Toc10785"/>
      <w:bookmarkStart w:id="82" w:name="_Toc29482"/>
      <w:bookmarkStart w:id="83" w:name="_Toc28706"/>
      <w:bookmarkStart w:id="84" w:name="_Toc23812"/>
      <w:bookmarkStart w:id="85" w:name="_Toc17264"/>
      <w:bookmarkStart w:id="86" w:name="_Toc1657944198"/>
      <w:bookmarkStart w:id="87" w:name="_Toc18262"/>
      <w:bookmarkStart w:id="88" w:name="_Toc3844"/>
      <w:bookmarkStart w:id="89" w:name="_Toc155059083"/>
      <w:bookmarkStart w:id="90" w:name="_Toc12613"/>
      <w:bookmarkStart w:id="91" w:name="_Toc2267"/>
      <w:bookmarkStart w:id="92" w:name="_Toc28653"/>
      <w:bookmarkStart w:id="93" w:name="_Toc27137"/>
      <w:bookmarkStart w:id="94" w:name="_Toc14893"/>
      <w:bookmarkStart w:id="95" w:name="_Toc2481"/>
      <w:r>
        <w:rPr>
          <w:rFonts w:hint="eastAsia"/>
          <w:highlight w:val="none"/>
          <w:lang w:val="en-US" w:eastAsia="zh-CN"/>
        </w:rPr>
        <w:t>二</w:t>
      </w:r>
      <w:r>
        <w:rPr>
          <w:highlight w:val="none"/>
          <w:lang w:val="en-US" w:eastAsia="zh-CN"/>
        </w:rPr>
        <w:t>、总体要求</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922C3DA">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highlight w:val="none"/>
          <w:lang w:val="en-US" w:eastAsia="zh-CN"/>
        </w:rPr>
      </w:pPr>
      <w:bookmarkStart w:id="96" w:name="_Toc13943"/>
      <w:bookmarkStart w:id="97" w:name="_Toc13151"/>
      <w:bookmarkStart w:id="98" w:name="_Toc3188"/>
      <w:bookmarkStart w:id="99" w:name="_Toc1180344170"/>
      <w:bookmarkStart w:id="100" w:name="_Toc21388"/>
      <w:bookmarkStart w:id="101" w:name="_Toc1367"/>
      <w:bookmarkStart w:id="102" w:name="_Toc1322044652"/>
      <w:bookmarkStart w:id="103" w:name="_Toc2825"/>
      <w:bookmarkStart w:id="104" w:name="_Toc31984"/>
      <w:bookmarkStart w:id="105" w:name="_Toc11529"/>
      <w:bookmarkStart w:id="106" w:name="_Toc1467815961"/>
      <w:bookmarkStart w:id="107" w:name="_Toc32383"/>
      <w:bookmarkStart w:id="108" w:name="_Toc21142"/>
      <w:bookmarkStart w:id="109" w:name="_Toc29553"/>
      <w:bookmarkStart w:id="110" w:name="_Toc196259734"/>
      <w:bookmarkStart w:id="111" w:name="_Toc18517"/>
      <w:bookmarkStart w:id="112" w:name="_Toc252"/>
      <w:bookmarkStart w:id="113" w:name="_Toc22570"/>
      <w:bookmarkStart w:id="114" w:name="_Toc8348"/>
      <w:bookmarkStart w:id="115" w:name="_Toc27782"/>
      <w:bookmarkStart w:id="116" w:name="_Toc12452"/>
      <w:bookmarkStart w:id="117" w:name="_Toc9055"/>
      <w:bookmarkStart w:id="118" w:name="_Toc4986"/>
      <w:bookmarkStart w:id="119" w:name="_Toc7091"/>
      <w:r>
        <w:rPr>
          <w:highlight w:val="none"/>
          <w:lang w:val="en-US" w:eastAsia="zh-CN"/>
        </w:rPr>
        <w:t>（一）指导思想</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630D5E4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highlight w:val="none"/>
          <w:lang w:val="en-US" w:eastAsia="zh-CN"/>
        </w:rPr>
      </w:pPr>
      <w:r>
        <w:rPr>
          <w:rFonts w:hint="eastAsia"/>
          <w:highlight w:val="none"/>
          <w:lang w:val="en-US" w:eastAsia="zh-CN"/>
        </w:rPr>
        <w:t>坚持以习近平新时代中国特色社会主义思想为指导，深入贯彻党的二十大</w:t>
      </w:r>
      <w:r>
        <w:rPr>
          <w:rFonts w:ascii="Times New Roman" w:hAnsi="Times New Roman" w:cs="Times New Roman"/>
          <w:highlight w:val="none"/>
        </w:rPr>
        <w:t>和二十届历次全会精神</w:t>
      </w:r>
      <w:r>
        <w:rPr>
          <w:rFonts w:hint="eastAsia" w:cs="Times New Roman"/>
          <w:highlight w:val="none"/>
          <w:lang w:eastAsia="zh-CN"/>
        </w:rPr>
        <w:t>，</w:t>
      </w:r>
      <w:r>
        <w:rPr>
          <w:rFonts w:hint="eastAsia" w:cs="Times New Roman"/>
          <w:highlight w:val="none"/>
          <w:lang w:val="en-US" w:eastAsia="zh-CN"/>
        </w:rPr>
        <w:t>贯彻落实中央经济工作会议、</w:t>
      </w:r>
      <w:r>
        <w:rPr>
          <w:rFonts w:ascii="Times New Roman" w:hAnsi="Times New Roman" w:cs="Times New Roman"/>
          <w:highlight w:val="none"/>
        </w:rPr>
        <w:t>中央城市工作会议精神，</w:t>
      </w:r>
      <w:r>
        <w:rPr>
          <w:rFonts w:hint="eastAsia" w:ascii="Times New Roman" w:hAnsi="Times New Roman" w:cs="Times New Roman"/>
          <w:highlight w:val="none"/>
          <w:lang w:val="en-US" w:eastAsia="zh-CN"/>
        </w:rPr>
        <w:t>深入学习</w:t>
      </w:r>
      <w:r>
        <w:rPr>
          <w:rFonts w:ascii="Times New Roman" w:hAnsi="Times New Roman" w:cs="Times New Roman"/>
          <w:highlight w:val="none"/>
        </w:rPr>
        <w:t>贯彻习近平总书记对广东系列重要讲话和</w:t>
      </w:r>
      <w:r>
        <w:rPr>
          <w:rFonts w:hint="eastAsia"/>
          <w:highlight w:val="none"/>
          <w:lang w:val="en-US" w:eastAsia="zh-CN"/>
        </w:rPr>
        <w:t>视察湛江重要讲话重要指示精神，认真落实省委</w:t>
      </w:r>
      <w:r>
        <w:rPr>
          <w:rFonts w:hint="eastAsia" w:ascii="仿宋_GB2312" w:hAnsi="仿宋_GB2312"/>
          <w:highlight w:val="none"/>
          <w:lang w:val="en-US" w:eastAsia="zh-CN"/>
        </w:rPr>
        <w:t>“</w:t>
      </w:r>
      <w:r>
        <w:rPr>
          <w:rFonts w:hint="eastAsia"/>
          <w:highlight w:val="none"/>
          <w:lang w:val="en-US" w:eastAsia="zh-CN"/>
        </w:rPr>
        <w:t>1310</w:t>
      </w:r>
      <w:r>
        <w:rPr>
          <w:rFonts w:hint="eastAsia" w:ascii="仿宋_GB2312" w:hAnsi="仿宋_GB2312"/>
          <w:highlight w:val="none"/>
          <w:lang w:val="en-US" w:eastAsia="zh-CN"/>
        </w:rPr>
        <w:t>”</w:t>
      </w:r>
      <w:r>
        <w:rPr>
          <w:rFonts w:hint="eastAsia"/>
          <w:highlight w:val="none"/>
          <w:lang w:val="en-US" w:eastAsia="zh-CN"/>
        </w:rPr>
        <w:t>具体部署、省委常委会在湛江调研时的工作要求和省委常委会会议精神，完整准确全面贯彻新发展理念，践行人民城市理念，积极适应房地产市场供求关系发生重大变化的新形势，着力稳定房地产市场，加快构建房地产发展新模式，建立更好满足刚性和改善性住房需求的住房供应体系，</w:t>
      </w:r>
      <w:r>
        <w:rPr>
          <w:rFonts w:ascii="Times New Roman" w:hAnsi="Times New Roman" w:cs="Times New Roman"/>
          <w:highlight w:val="none"/>
        </w:rPr>
        <w:t>健全多主体供给、多渠道保障、租购并举的住房制度，全面加强监管，防范化解风险，</w:t>
      </w:r>
      <w:r>
        <w:rPr>
          <w:rFonts w:hint="eastAsia"/>
          <w:highlight w:val="none"/>
          <w:lang w:val="en-US" w:eastAsia="zh-CN"/>
        </w:rPr>
        <w:t>推动房地产高质量发展，为加快打造现代化沿海经济带重要发展极、高标准建设省域副中心城市提供有力支撑和保障。</w:t>
      </w:r>
    </w:p>
    <w:p w14:paraId="3ABF72DD">
      <w:pPr>
        <w:pStyle w:val="3"/>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600" w:lineRule="exact"/>
        <w:textAlignment w:val="auto"/>
        <w:rPr>
          <w:highlight w:val="none"/>
          <w:lang w:val="en-US" w:eastAsia="zh-CN"/>
        </w:rPr>
      </w:pPr>
      <w:bookmarkStart w:id="120" w:name="_Toc1738654302"/>
      <w:bookmarkStart w:id="121" w:name="_Toc14993"/>
      <w:bookmarkStart w:id="122" w:name="_Toc184"/>
      <w:bookmarkStart w:id="123" w:name="_Toc8720"/>
      <w:bookmarkStart w:id="124" w:name="_Toc18727"/>
      <w:bookmarkStart w:id="125" w:name="_Toc22927"/>
      <w:bookmarkStart w:id="126" w:name="_Toc31022"/>
      <w:bookmarkStart w:id="127" w:name="_Toc6467"/>
      <w:bookmarkStart w:id="128" w:name="_Toc1738017851"/>
      <w:bookmarkStart w:id="129" w:name="_Toc19468"/>
      <w:bookmarkStart w:id="130" w:name="_Toc10654"/>
      <w:bookmarkStart w:id="131" w:name="_Toc20260"/>
      <w:bookmarkStart w:id="132" w:name="_Toc1438203438"/>
      <w:bookmarkStart w:id="133" w:name="_Toc29587"/>
      <w:r>
        <w:rPr>
          <w:highlight w:val="none"/>
          <w:lang w:val="en-US" w:eastAsia="zh-CN"/>
        </w:rPr>
        <w:t>基本原则</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3CD45A79">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r>
        <w:rPr>
          <w:rFonts w:hint="eastAsia"/>
          <w:highlight w:val="none"/>
          <w:lang w:val="en-US" w:eastAsia="zh-CN"/>
        </w:rPr>
        <w:t>1.坚持要素联动，优化供需关系。</w:t>
      </w:r>
    </w:p>
    <w:p w14:paraId="1B794A4A">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highlight w:val="none"/>
          <w:lang w:val="en-US" w:eastAsia="zh-CN"/>
        </w:rPr>
      </w:pPr>
      <w:r>
        <w:rPr>
          <w:rFonts w:hint="eastAsia"/>
          <w:highlight w:val="none"/>
          <w:lang w:val="en-US" w:eastAsia="zh-CN"/>
        </w:rPr>
        <w:t>建立健全</w:t>
      </w:r>
      <w:r>
        <w:rPr>
          <w:rFonts w:hint="eastAsia" w:ascii="仿宋_GB2312" w:hAnsi="仿宋_GB2312"/>
          <w:highlight w:val="none"/>
          <w:lang w:val="en-US" w:eastAsia="zh-CN"/>
        </w:rPr>
        <w:t>“</w:t>
      </w:r>
      <w:r>
        <w:rPr>
          <w:rFonts w:hint="eastAsia"/>
          <w:highlight w:val="none"/>
          <w:lang w:val="en-US" w:eastAsia="zh-CN"/>
        </w:rPr>
        <w:t>人、房、地、钱</w:t>
      </w:r>
      <w:r>
        <w:rPr>
          <w:rFonts w:hint="eastAsia" w:ascii="仿宋_GB2312" w:hAnsi="仿宋_GB2312"/>
          <w:highlight w:val="none"/>
          <w:lang w:val="en-US" w:eastAsia="zh-CN"/>
        </w:rPr>
        <w:t>”</w:t>
      </w:r>
      <w:r>
        <w:rPr>
          <w:rFonts w:hint="eastAsia"/>
          <w:highlight w:val="none"/>
          <w:lang w:val="en-US" w:eastAsia="zh-CN"/>
        </w:rPr>
        <w:t>要素联动机制，坚持以人定房，以房定地，以房定钱，根据人口变化研判住房需求，根据住房需求统筹土地供应、引导金融资源配置，为构建房地产发展新模式奠定坚实基础。</w:t>
      </w:r>
    </w:p>
    <w:p w14:paraId="6AE4507F">
      <w:pPr>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br w:type="page"/>
      </w:r>
    </w:p>
    <w:p w14:paraId="1C773BBD">
      <w:pPr>
        <w:pStyle w:val="4"/>
        <w:keepNext w:val="0"/>
        <w:keepLines w:val="0"/>
        <w:pageBreakBefore w:val="0"/>
        <w:widowControl w:val="0"/>
        <w:kinsoku/>
        <w:wordWrap/>
        <w:overflowPunct/>
        <w:topLinePunct w:val="0"/>
        <w:autoSpaceDE/>
        <w:autoSpaceDN/>
        <w:bidi w:val="0"/>
        <w:adjustRightInd/>
        <w:snapToGrid/>
        <w:spacing w:before="0" w:beforeLines="0" w:after="0" w:afterLines="0"/>
        <w:ind w:left="0" w:leftChars="0"/>
        <w:textAlignment w:val="auto"/>
        <w:rPr>
          <w:rFonts w:hint="eastAsia"/>
          <w:highlight w:val="none"/>
          <w:lang w:val="en-US" w:eastAsia="zh-CN"/>
        </w:rPr>
      </w:pPr>
      <w:r>
        <w:rPr>
          <w:rFonts w:hint="eastAsia"/>
          <w:highlight w:val="none"/>
          <w:lang w:val="en-US" w:eastAsia="zh-CN"/>
        </w:rPr>
        <w:t>2.坚持品质导向，创造美好生活。</w:t>
      </w:r>
    </w:p>
    <w:p w14:paraId="28BD0D02">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ascii="Times New Roman" w:hAnsi="Times New Roman" w:cs="Times New Roman"/>
          <w:b w:val="0"/>
          <w:bCs/>
          <w:color w:val="auto"/>
          <w:highlight w:val="none"/>
          <w:lang w:val="en-US" w:eastAsia="zh-CN"/>
        </w:rPr>
      </w:pPr>
      <w:r>
        <w:rPr>
          <w:rFonts w:hint="eastAsia"/>
          <w:highlight w:val="none"/>
        </w:rPr>
        <w:t>顺应群众住房需求从</w:t>
      </w:r>
      <w:r>
        <w:rPr>
          <w:rFonts w:hint="eastAsia" w:ascii="仿宋_GB2312" w:hAnsi="仿宋_GB2312"/>
          <w:highlight w:val="none"/>
          <w:lang w:eastAsia="zh-CN"/>
        </w:rPr>
        <w:t>“</w:t>
      </w:r>
      <w:r>
        <w:rPr>
          <w:rFonts w:hint="eastAsia"/>
          <w:highlight w:val="none"/>
        </w:rPr>
        <w:t>有没有</w:t>
      </w:r>
      <w:r>
        <w:rPr>
          <w:rFonts w:hint="eastAsia" w:ascii="仿宋_GB2312" w:hAnsi="仿宋_GB2312"/>
          <w:highlight w:val="none"/>
          <w:lang w:eastAsia="zh-CN"/>
        </w:rPr>
        <w:t>”</w:t>
      </w:r>
      <w:r>
        <w:rPr>
          <w:rFonts w:hint="eastAsia"/>
          <w:highlight w:val="none"/>
        </w:rPr>
        <w:t>向</w:t>
      </w:r>
      <w:r>
        <w:rPr>
          <w:rFonts w:hint="eastAsia" w:ascii="仿宋_GB2312" w:hAnsi="仿宋_GB2312"/>
          <w:highlight w:val="none"/>
          <w:lang w:eastAsia="zh-CN"/>
        </w:rPr>
        <w:t>“</w:t>
      </w:r>
      <w:r>
        <w:rPr>
          <w:rFonts w:hint="eastAsia"/>
          <w:highlight w:val="none"/>
        </w:rPr>
        <w:t>好不好</w:t>
      </w:r>
      <w:r>
        <w:rPr>
          <w:rFonts w:hint="eastAsia" w:ascii="仿宋_GB2312" w:hAnsi="仿宋_GB2312"/>
          <w:highlight w:val="none"/>
          <w:lang w:eastAsia="zh-CN"/>
        </w:rPr>
        <w:t>”</w:t>
      </w:r>
      <w:r>
        <w:rPr>
          <w:rFonts w:hint="eastAsia"/>
          <w:highlight w:val="none"/>
          <w:lang w:val="en-US" w:eastAsia="zh-CN"/>
        </w:rPr>
        <w:t>的</w:t>
      </w:r>
      <w:r>
        <w:rPr>
          <w:rFonts w:hint="eastAsia"/>
          <w:highlight w:val="none"/>
        </w:rPr>
        <w:t>转向</w:t>
      </w:r>
      <w:r>
        <w:rPr>
          <w:rFonts w:hint="eastAsia"/>
          <w:highlight w:val="none"/>
          <w:lang w:eastAsia="zh-CN"/>
        </w:rPr>
        <w:t>，</w:t>
      </w:r>
      <w:r>
        <w:rPr>
          <w:rFonts w:hint="eastAsia"/>
          <w:highlight w:val="none"/>
          <w:lang w:val="en-US" w:eastAsia="zh-CN"/>
        </w:rPr>
        <w:t>建设适应</w:t>
      </w:r>
      <w:r>
        <w:rPr>
          <w:rFonts w:hint="default"/>
          <w:highlight w:val="none"/>
          <w:lang w:val="en-US" w:eastAsia="zh-CN"/>
        </w:rPr>
        <w:t>人民群众美好生活期待的</w:t>
      </w:r>
      <w:r>
        <w:rPr>
          <w:rFonts w:hint="eastAsia" w:ascii="仿宋_GB2312" w:hAnsi="仿宋_GB2312"/>
          <w:highlight w:val="none"/>
          <w:lang w:val="en-US" w:eastAsia="zh-CN"/>
        </w:rPr>
        <w:t>“</w:t>
      </w:r>
      <w:r>
        <w:rPr>
          <w:rFonts w:hint="default"/>
          <w:highlight w:val="none"/>
          <w:lang w:val="en-US" w:eastAsia="zh-CN"/>
        </w:rPr>
        <w:t>好房子</w:t>
      </w:r>
      <w:r>
        <w:rPr>
          <w:rFonts w:hint="eastAsia" w:ascii="仿宋_GB2312" w:hAnsi="仿宋_GB2312"/>
          <w:highlight w:val="none"/>
          <w:lang w:val="en-US" w:eastAsia="zh-CN"/>
        </w:rPr>
        <w:t>”</w:t>
      </w:r>
      <w:r>
        <w:rPr>
          <w:rFonts w:hint="eastAsia"/>
          <w:highlight w:val="none"/>
          <w:lang w:val="en-US" w:eastAsia="zh-CN"/>
        </w:rPr>
        <w:t>。不断提升住房品质，</w:t>
      </w:r>
      <w:r>
        <w:rPr>
          <w:rFonts w:ascii="Times New Roman" w:hAnsi="Times New Roman" w:cs="Times New Roman"/>
          <w:b w:val="0"/>
          <w:bCs/>
          <w:color w:val="auto"/>
          <w:highlight w:val="none"/>
          <w:lang w:val="en-US"/>
        </w:rPr>
        <w:t>从</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量</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到</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质</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w:t>
      </w:r>
      <w:r>
        <w:rPr>
          <w:rFonts w:hint="eastAsia" w:ascii="Times New Roman" w:hAnsi="Times New Roman" w:cs="Times New Roman"/>
          <w:b w:val="0"/>
          <w:bCs/>
          <w:color w:val="auto"/>
          <w:highlight w:val="none"/>
          <w:lang w:val="en-US" w:eastAsia="zh-CN"/>
        </w:rPr>
        <w:t>从</w:t>
      </w:r>
      <w:r>
        <w:rPr>
          <w:rFonts w:hint="eastAsia" w:ascii="仿宋_GB2312" w:hAnsi="仿宋_GB2312" w:cs="Times New Roman"/>
          <w:b w:val="0"/>
          <w:bCs/>
          <w:color w:val="auto"/>
          <w:highlight w:val="none"/>
          <w:lang w:val="en-US" w:eastAsia="zh-CN"/>
        </w:rPr>
        <w:t>“</w:t>
      </w:r>
      <w:r>
        <w:rPr>
          <w:rFonts w:hint="eastAsia" w:ascii="Times New Roman" w:hAnsi="Times New Roman" w:cs="Times New Roman"/>
          <w:b w:val="0"/>
          <w:bCs/>
          <w:color w:val="auto"/>
          <w:highlight w:val="none"/>
          <w:lang w:val="en-US" w:eastAsia="zh-CN"/>
        </w:rPr>
        <w:t>建</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到</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建</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管</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服</w:t>
      </w:r>
      <w:r>
        <w:rPr>
          <w:rFonts w:hint="eastAsia" w:ascii="仿宋_GB2312" w:hAnsi="仿宋_GB2312" w:cs="Times New Roman"/>
          <w:b w:val="0"/>
          <w:bCs/>
          <w:color w:val="auto"/>
          <w:highlight w:val="none"/>
          <w:lang w:val="en-US" w:eastAsia="zh-CN"/>
        </w:rPr>
        <w:t>”</w:t>
      </w:r>
      <w:r>
        <w:rPr>
          <w:rFonts w:ascii="Times New Roman" w:hAnsi="Times New Roman" w:cs="Times New Roman"/>
          <w:b w:val="0"/>
          <w:bCs/>
          <w:color w:val="auto"/>
          <w:highlight w:val="none"/>
          <w:lang w:val="en-US"/>
        </w:rPr>
        <w:t>，推动住房高质量发展</w:t>
      </w:r>
      <w:r>
        <w:rPr>
          <w:rFonts w:hint="eastAsia" w:ascii="Times New Roman" w:hAnsi="Times New Roman" w:cs="Times New Roman"/>
          <w:b w:val="0"/>
          <w:bCs/>
          <w:color w:val="auto"/>
          <w:highlight w:val="none"/>
          <w:lang w:val="en-US" w:eastAsia="zh-CN"/>
        </w:rPr>
        <w:t>。</w:t>
      </w:r>
      <w:r>
        <w:rPr>
          <w:rFonts w:hint="eastAsia"/>
          <w:highlight w:val="none"/>
          <w:lang w:val="en-US" w:eastAsia="zh-CN"/>
        </w:rPr>
        <w:t>全链条提升住房标准、设计、材料、建造、运维水平，统筹推进好房子、好小区、好社区、好城区</w:t>
      </w:r>
      <w:r>
        <w:rPr>
          <w:rFonts w:hint="eastAsia" w:ascii="仿宋_GB2312" w:hAnsi="仿宋_GB2312"/>
          <w:highlight w:val="none"/>
          <w:lang w:val="en-US" w:eastAsia="zh-CN"/>
        </w:rPr>
        <w:t>“</w:t>
      </w:r>
      <w:r>
        <w:rPr>
          <w:rFonts w:hint="eastAsia"/>
          <w:highlight w:val="none"/>
          <w:lang w:val="en-US" w:eastAsia="zh-CN"/>
        </w:rPr>
        <w:t>四好</w:t>
      </w:r>
      <w:r>
        <w:rPr>
          <w:rFonts w:hint="eastAsia" w:ascii="仿宋_GB2312" w:hAnsi="仿宋_GB2312"/>
          <w:highlight w:val="none"/>
          <w:lang w:val="en-US" w:eastAsia="zh-CN"/>
        </w:rPr>
        <w:t>”</w:t>
      </w:r>
      <w:r>
        <w:rPr>
          <w:rFonts w:hint="eastAsia"/>
          <w:highlight w:val="none"/>
          <w:lang w:val="en-US" w:eastAsia="zh-CN"/>
        </w:rPr>
        <w:t>建设</w:t>
      </w:r>
      <w:r>
        <w:rPr>
          <w:rFonts w:hint="eastAsia"/>
          <w:highlight w:val="none"/>
          <w:lang w:eastAsia="zh-CN"/>
        </w:rPr>
        <w:t>。</w:t>
      </w:r>
    </w:p>
    <w:p w14:paraId="3ECC0AD6">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textAlignment w:val="auto"/>
        <w:rPr>
          <w:rFonts w:hint="eastAsia"/>
          <w:highlight w:val="none"/>
          <w:lang w:val="en-US" w:eastAsia="zh-CN"/>
        </w:rPr>
      </w:pPr>
      <w:r>
        <w:rPr>
          <w:rFonts w:hint="eastAsia"/>
          <w:highlight w:val="none"/>
          <w:lang w:val="en-US" w:eastAsia="zh-CN"/>
        </w:rPr>
        <w:t>3.坚持改革创新，加速转型升级。</w:t>
      </w:r>
    </w:p>
    <w:p w14:paraId="19043F38">
      <w:pPr>
        <w:keepNext w:val="0"/>
        <w:keepLines w:val="0"/>
        <w:pageBreakBefore w:val="0"/>
        <w:widowControl/>
        <w:kinsoku/>
        <w:wordWrap/>
        <w:overflowPunct/>
        <w:topLinePunct w:val="0"/>
        <w:autoSpaceDE/>
        <w:autoSpaceDN/>
        <w:bidi w:val="0"/>
        <w:adjustRightInd/>
        <w:snapToGrid/>
        <w:spacing w:beforeLines="0" w:afterLines="0" w:line="600" w:lineRule="exact"/>
        <w:jc w:val="both"/>
        <w:textAlignment w:val="auto"/>
        <w:rPr>
          <w:rFonts w:hint="eastAsia"/>
          <w:highlight w:val="none"/>
          <w:lang w:val="en-US" w:eastAsia="zh-CN"/>
        </w:rPr>
      </w:pPr>
      <w:r>
        <w:rPr>
          <w:rFonts w:hint="eastAsia"/>
          <w:highlight w:val="none"/>
          <w:lang w:val="en-US" w:eastAsia="zh-CN"/>
        </w:rPr>
        <w:t>以构建房地产新模式为导向，着力建立与之相配套的制度体系。加快推进住房发展方式转变，持续优化结构布局，转换增长动能，</w:t>
      </w:r>
      <w:r>
        <w:rPr>
          <w:rFonts w:hint="eastAsia" w:ascii="Times New Roman" w:hAnsi="Times New Roman" w:eastAsia="FangSong_GB2312" w:cs="Times New Roman"/>
          <w:i w:val="0"/>
          <w:iCs w:val="0"/>
          <w:caps w:val="0"/>
          <w:color w:val="auto"/>
          <w:spacing w:val="0"/>
          <w:kern w:val="2"/>
          <w:sz w:val="32"/>
          <w:szCs w:val="36"/>
          <w:highlight w:val="none"/>
          <w:u w:val="none"/>
          <w:shd w:val="clear" w:fill="auto"/>
          <w:lang w:val="en-US" w:eastAsia="zh-CN" w:bidi="ar"/>
        </w:rPr>
        <w:t>健全</w:t>
      </w:r>
      <w:r>
        <w:rPr>
          <w:rFonts w:hint="eastAsia"/>
          <w:highlight w:val="none"/>
          <w:lang w:val="en-US" w:eastAsia="zh-CN"/>
        </w:rPr>
        <w:t>房地产市场平稳健康发展的长效机制</w:t>
      </w:r>
      <w:r>
        <w:rPr>
          <w:rFonts w:hint="default"/>
          <w:highlight w:val="none"/>
          <w:lang w:val="en-US" w:eastAsia="zh-CN"/>
        </w:rPr>
        <w:t>，实现住房高质量发展与城市宜居性提升的协同共进</w:t>
      </w:r>
      <w:r>
        <w:rPr>
          <w:rFonts w:hint="eastAsia"/>
          <w:highlight w:val="none"/>
          <w:lang w:val="en-US" w:eastAsia="zh-CN"/>
        </w:rPr>
        <w:t>。</w:t>
      </w:r>
    </w:p>
    <w:p w14:paraId="48CC690D">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textAlignment w:val="auto"/>
        <w:rPr>
          <w:rFonts w:hint="default"/>
          <w:highlight w:val="none"/>
          <w:lang w:val="en-US" w:eastAsia="zh-CN"/>
        </w:rPr>
      </w:pPr>
      <w:r>
        <w:rPr>
          <w:rFonts w:hint="eastAsia"/>
          <w:highlight w:val="none"/>
          <w:lang w:val="en-US" w:eastAsia="zh-CN"/>
        </w:rPr>
        <w:t>4.坚持协同治理，凝聚多元合力。</w:t>
      </w:r>
    </w:p>
    <w:p w14:paraId="378CCAB8">
      <w:pPr>
        <w:keepNext w:val="0"/>
        <w:keepLines w:val="0"/>
        <w:pageBreakBefore w:val="0"/>
        <w:widowControl/>
        <w:kinsoku/>
        <w:wordWrap/>
        <w:overflowPunct/>
        <w:topLinePunct w:val="0"/>
        <w:autoSpaceDE/>
        <w:autoSpaceDN/>
        <w:bidi w:val="0"/>
        <w:adjustRightInd/>
        <w:snapToGrid/>
        <w:spacing w:beforeLines="0" w:afterLines="0" w:line="600" w:lineRule="exact"/>
        <w:ind w:firstLine="0"/>
        <w:textAlignment w:val="auto"/>
        <w:rPr>
          <w:rFonts w:hint="eastAsia"/>
          <w:highlight w:val="none"/>
          <w:lang w:val="en-US" w:eastAsia="zh-CN"/>
        </w:rPr>
      </w:pPr>
      <w:r>
        <w:rPr>
          <w:rFonts w:hint="default"/>
          <w:highlight w:val="none"/>
        </w:rPr>
        <w:t>健全政府、市场、社会协同治理机制，</w:t>
      </w:r>
      <w:r>
        <w:rPr>
          <w:rFonts w:hint="eastAsia"/>
          <w:highlight w:val="none"/>
          <w:lang w:val="en-US" w:eastAsia="zh-CN"/>
        </w:rPr>
        <w:t>坚持各级政府在规划统筹、</w:t>
      </w:r>
      <w:r>
        <w:rPr>
          <w:rFonts w:hint="default"/>
          <w:highlight w:val="none"/>
        </w:rPr>
        <w:t>政策协同</w:t>
      </w:r>
      <w:r>
        <w:rPr>
          <w:rFonts w:hint="eastAsia"/>
          <w:highlight w:val="none"/>
          <w:lang w:val="en-US" w:eastAsia="zh-CN"/>
        </w:rPr>
        <w:t>的主导地位</w:t>
      </w:r>
      <w:r>
        <w:rPr>
          <w:rFonts w:hint="default"/>
          <w:highlight w:val="none"/>
        </w:rPr>
        <w:t>，激发市场主体在供给提质与模式创新中的骨干作用</w:t>
      </w:r>
      <w:r>
        <w:rPr>
          <w:rFonts w:hint="eastAsia"/>
          <w:highlight w:val="none"/>
          <w:lang w:eastAsia="zh-CN"/>
        </w:rPr>
        <w:t>。</w:t>
      </w:r>
      <w:r>
        <w:rPr>
          <w:rFonts w:hint="eastAsia"/>
          <w:highlight w:val="none"/>
          <w:lang w:val="en-US" w:eastAsia="zh-CN"/>
        </w:rPr>
        <w:t>坚持</w:t>
      </w:r>
      <w:r>
        <w:rPr>
          <w:rFonts w:hint="default"/>
          <w:highlight w:val="none"/>
        </w:rPr>
        <w:t>引导社会组织、社区居民在共建共治共享中积极参与</w:t>
      </w:r>
      <w:r>
        <w:rPr>
          <w:rFonts w:hint="eastAsia"/>
          <w:highlight w:val="none"/>
          <w:lang w:eastAsia="zh-CN"/>
        </w:rPr>
        <w:t>，</w:t>
      </w:r>
      <w:r>
        <w:rPr>
          <w:rFonts w:hint="eastAsia"/>
          <w:highlight w:val="none"/>
        </w:rPr>
        <w:t>形成纵向联动、横向协同、良性互动的住房治理新格局</w:t>
      </w:r>
      <w:r>
        <w:rPr>
          <w:rFonts w:hint="eastAsia"/>
          <w:highlight w:val="none"/>
          <w:lang w:val="en-US" w:eastAsia="zh-CN"/>
        </w:rPr>
        <w:t>。</w:t>
      </w:r>
    </w:p>
    <w:p w14:paraId="6B6B6C23">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highlight w:val="none"/>
          <w:lang w:val="en-US" w:eastAsia="zh-CN"/>
        </w:rPr>
      </w:pPr>
      <w:bookmarkStart w:id="134" w:name="_Toc752868985"/>
      <w:bookmarkStart w:id="135" w:name="_Toc945"/>
      <w:bookmarkStart w:id="136" w:name="_Toc6254"/>
      <w:bookmarkStart w:id="137" w:name="_Toc7304"/>
      <w:bookmarkStart w:id="138" w:name="_Toc3090"/>
      <w:bookmarkStart w:id="139" w:name="_Toc16801"/>
      <w:bookmarkStart w:id="140" w:name="_Toc1956735481"/>
      <w:bookmarkStart w:id="141" w:name="_Toc23271"/>
      <w:bookmarkStart w:id="142" w:name="_Toc9838"/>
      <w:bookmarkStart w:id="143" w:name="_Toc23219"/>
      <w:bookmarkStart w:id="144" w:name="_Toc793455263"/>
      <w:bookmarkStart w:id="145" w:name="_Toc31975"/>
      <w:bookmarkStart w:id="146" w:name="_Toc19840"/>
      <w:bookmarkStart w:id="147" w:name="_Toc26999"/>
      <w:r>
        <w:rPr>
          <w:highlight w:val="none"/>
          <w:lang w:val="en-US" w:eastAsia="zh-CN"/>
        </w:rPr>
        <w:t>（</w:t>
      </w:r>
      <w:r>
        <w:rPr>
          <w:rFonts w:hint="eastAsia"/>
          <w:highlight w:val="none"/>
          <w:lang w:val="en-US" w:eastAsia="zh-CN"/>
        </w:rPr>
        <w:t>三</w:t>
      </w:r>
      <w:r>
        <w:rPr>
          <w:highlight w:val="none"/>
          <w:lang w:val="en-US" w:eastAsia="zh-CN"/>
        </w:rPr>
        <w:t>）发展目标</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1FED6A0A">
      <w:pPr>
        <w:keepNext w:val="0"/>
        <w:keepLines w:val="0"/>
        <w:pageBreakBefore w:val="0"/>
        <w:widowControl w:val="0"/>
        <w:numPr>
          <w:ilvl w:val="-1"/>
          <w:numId w:val="0"/>
        </w:numPr>
        <w:kinsoku/>
        <w:wordWrap/>
        <w:overflowPunct/>
        <w:topLinePunct w:val="0"/>
        <w:autoSpaceDE/>
        <w:autoSpaceDN/>
        <w:bidi w:val="0"/>
        <w:adjustRightInd/>
        <w:snapToGrid/>
        <w:spacing w:beforeLines="0" w:afterLines="0"/>
        <w:ind w:left="0" w:leftChars="0" w:firstLine="640" w:firstLineChars="200"/>
        <w:textAlignment w:val="auto"/>
        <w:outlineLvl w:val="9"/>
        <w:rPr>
          <w:rFonts w:hint="default" w:eastAsia="仿宋_GB2312"/>
          <w:highlight w:val="none"/>
          <w:lang w:val="en-US" w:eastAsia="zh-CN"/>
        </w:rPr>
      </w:pPr>
      <w:r>
        <w:rPr>
          <w:rFonts w:hint="eastAsia" w:ascii="仿宋_GB2312" w:hAnsi="仿宋_GB2312"/>
          <w:highlight w:val="none"/>
          <w:lang w:eastAsia="zh-CN"/>
        </w:rPr>
        <w:t>“</w:t>
      </w:r>
      <w:r>
        <w:rPr>
          <w:rFonts w:hint="eastAsia"/>
          <w:highlight w:val="none"/>
        </w:rPr>
        <w:t>十五五</w:t>
      </w:r>
      <w:r>
        <w:rPr>
          <w:rFonts w:hint="eastAsia" w:ascii="仿宋_GB2312" w:hAnsi="仿宋_GB2312"/>
          <w:highlight w:val="none"/>
          <w:lang w:eastAsia="zh-CN"/>
        </w:rPr>
        <w:t>”</w:t>
      </w:r>
      <w:r>
        <w:rPr>
          <w:rFonts w:hint="eastAsia"/>
          <w:highlight w:val="none"/>
        </w:rPr>
        <w:t>期间，</w:t>
      </w:r>
      <w:r>
        <w:rPr>
          <w:rFonts w:hint="eastAsia"/>
          <w:highlight w:val="none"/>
          <w:lang w:val="en-US" w:eastAsia="zh-CN"/>
        </w:rPr>
        <w:t>湛江要推动房地产向高质量发展平稳转型，</w:t>
      </w:r>
      <w:r>
        <w:rPr>
          <w:rFonts w:hint="eastAsia"/>
          <w:highlight w:val="none"/>
        </w:rPr>
        <w:t>着力打造现代化宜居海湾城市典范</w:t>
      </w:r>
      <w:r>
        <w:rPr>
          <w:rFonts w:hint="eastAsia"/>
          <w:highlight w:val="none"/>
          <w:lang w:eastAsia="zh-CN"/>
        </w:rPr>
        <w:t>，</w:t>
      </w:r>
      <w:r>
        <w:rPr>
          <w:rFonts w:hint="eastAsia"/>
          <w:highlight w:val="none"/>
          <w:lang w:val="en-US" w:eastAsia="zh-CN"/>
        </w:rPr>
        <w:t>努力实现以下发展目标：</w:t>
      </w:r>
    </w:p>
    <w:p w14:paraId="41E166D9">
      <w:pPr>
        <w:keepNext w:val="0"/>
        <w:keepLines w:val="0"/>
        <w:pageBreakBefore w:val="0"/>
        <w:widowControl w:val="0"/>
        <w:numPr>
          <w:ilvl w:val="-1"/>
          <w:numId w:val="0"/>
        </w:numPr>
        <w:kinsoku/>
        <w:wordWrap/>
        <w:overflowPunct/>
        <w:topLinePunct w:val="0"/>
        <w:autoSpaceDE/>
        <w:autoSpaceDN/>
        <w:bidi w:val="0"/>
        <w:adjustRightInd/>
        <w:snapToGrid/>
        <w:spacing w:beforeLines="0" w:afterLines="0"/>
        <w:ind w:left="0" w:leftChars="0" w:firstLine="643" w:firstLineChars="200"/>
        <w:textAlignment w:val="auto"/>
        <w:outlineLvl w:val="9"/>
        <w:rPr>
          <w:rFonts w:hint="eastAsia" w:eastAsia="仿宋_GB2312"/>
          <w:highlight w:val="none"/>
          <w:lang w:eastAsia="zh-CN"/>
        </w:rPr>
      </w:pPr>
      <w:r>
        <w:rPr>
          <w:rFonts w:hint="eastAsia"/>
          <w:b/>
          <w:bCs/>
          <w:highlight w:val="none"/>
          <w:lang w:eastAsia="zh-CN"/>
        </w:rPr>
        <w:t>——</w:t>
      </w:r>
      <w:r>
        <w:rPr>
          <w:rFonts w:hint="eastAsia"/>
          <w:b/>
          <w:bCs/>
          <w:highlight w:val="none"/>
        </w:rPr>
        <w:t>推动商品住房市场平稳健康发展</w:t>
      </w:r>
      <w:r>
        <w:rPr>
          <w:rFonts w:hint="eastAsia"/>
          <w:b/>
          <w:bCs/>
          <w:highlight w:val="none"/>
          <w:lang w:eastAsia="zh-CN"/>
        </w:rPr>
        <w:t>。</w:t>
      </w:r>
      <w:r>
        <w:rPr>
          <w:rFonts w:hint="eastAsia"/>
          <w:highlight w:val="none"/>
          <w:lang w:val="en-US" w:eastAsia="zh-CN"/>
        </w:rPr>
        <w:t>着力稳定房地产市场</w:t>
      </w:r>
      <w:r>
        <w:rPr>
          <w:rFonts w:hint="eastAsia"/>
          <w:highlight w:val="none"/>
        </w:rPr>
        <w:t>，实现供需动态平衡、价格稳定可控。规划期内，全市</w:t>
      </w:r>
      <w:r>
        <w:rPr>
          <w:rFonts w:hint="eastAsia"/>
          <w:highlight w:val="none"/>
          <w:lang w:val="en-US" w:eastAsia="zh-CN"/>
        </w:rPr>
        <w:t>继续大力推动库存去化，新建商品房和二手房交易总规模2500万平方米，</w:t>
      </w:r>
      <w:r>
        <w:rPr>
          <w:rFonts w:hint="eastAsia"/>
          <w:highlight w:val="none"/>
        </w:rPr>
        <w:t>新建商品住房供应目标为</w:t>
      </w:r>
      <w:r>
        <w:rPr>
          <w:rFonts w:hint="eastAsia"/>
          <w:highlight w:val="none"/>
          <w:lang w:val="en-US" w:eastAsia="zh-CN"/>
        </w:rPr>
        <w:t>8</w:t>
      </w:r>
      <w:r>
        <w:rPr>
          <w:rFonts w:hint="eastAsia"/>
          <w:highlight w:val="none"/>
        </w:rPr>
        <w:t>.</w:t>
      </w:r>
      <w:r>
        <w:rPr>
          <w:rFonts w:hint="eastAsia"/>
          <w:highlight w:val="none"/>
          <w:lang w:val="en-US" w:eastAsia="zh-CN"/>
        </w:rPr>
        <w:t>68</w:t>
      </w:r>
      <w:r>
        <w:rPr>
          <w:rFonts w:hint="eastAsia"/>
          <w:highlight w:val="none"/>
        </w:rPr>
        <w:t>万套</w:t>
      </w:r>
      <w:r>
        <w:rPr>
          <w:rFonts w:hint="eastAsia"/>
          <w:highlight w:val="none"/>
          <w:lang w:eastAsia="zh-CN"/>
        </w:rPr>
        <w:t>。优化住宅用地供应，</w:t>
      </w:r>
      <w:r>
        <w:rPr>
          <w:rFonts w:hint="eastAsia"/>
          <w:highlight w:val="none"/>
        </w:rPr>
        <w:t>推动商品住房供应与人口布局、产业布局、城市发展布局精准匹配，规划期内，全市</w:t>
      </w:r>
      <w:r>
        <w:rPr>
          <w:rFonts w:hint="eastAsia"/>
          <w:highlight w:val="none"/>
          <w:lang w:eastAsia="zh-CN"/>
        </w:rPr>
        <w:t>盘活</w:t>
      </w:r>
      <w:r>
        <w:rPr>
          <w:rFonts w:hint="eastAsia"/>
          <w:highlight w:val="none"/>
          <w:lang w:val="en-US" w:eastAsia="zh-CN"/>
        </w:rPr>
        <w:t>存量城镇住宅</w:t>
      </w:r>
      <w:r>
        <w:rPr>
          <w:rFonts w:hint="eastAsia"/>
          <w:highlight w:val="none"/>
          <w:lang w:eastAsia="zh-CN"/>
        </w:rPr>
        <w:t>用地</w:t>
      </w:r>
      <w:r>
        <w:rPr>
          <w:rFonts w:hint="eastAsia"/>
          <w:highlight w:val="none"/>
          <w:lang w:val="en-US" w:eastAsia="zh-CN"/>
        </w:rPr>
        <w:t>113.01公顷</w:t>
      </w:r>
      <w:r>
        <w:rPr>
          <w:rFonts w:hint="eastAsia"/>
          <w:highlight w:val="none"/>
          <w:lang w:eastAsia="zh-CN"/>
        </w:rPr>
        <w:t>，</w:t>
      </w:r>
      <w:r>
        <w:rPr>
          <w:rFonts w:hint="eastAsia"/>
          <w:highlight w:val="none"/>
        </w:rPr>
        <w:t>新增出让</w:t>
      </w:r>
      <w:r>
        <w:rPr>
          <w:rFonts w:hint="eastAsia"/>
          <w:highlight w:val="none"/>
          <w:lang w:val="en-US" w:eastAsia="zh-CN"/>
        </w:rPr>
        <w:t>城镇</w:t>
      </w:r>
      <w:r>
        <w:rPr>
          <w:rFonts w:hint="eastAsia"/>
          <w:highlight w:val="none"/>
        </w:rPr>
        <w:t>住宅用地</w:t>
      </w:r>
      <w:r>
        <w:rPr>
          <w:rFonts w:hint="eastAsia"/>
          <w:highlight w:val="none"/>
          <w:lang w:eastAsia="zh-CN"/>
        </w:rPr>
        <w:t>1</w:t>
      </w:r>
      <w:r>
        <w:rPr>
          <w:rFonts w:hint="eastAsia"/>
          <w:highlight w:val="none"/>
          <w:lang w:val="en-US" w:eastAsia="zh-CN"/>
        </w:rPr>
        <w:t>07.71</w:t>
      </w:r>
      <w:r>
        <w:rPr>
          <w:rFonts w:hint="eastAsia"/>
          <w:highlight w:val="none"/>
        </w:rPr>
        <w:t>公顷</w:t>
      </w:r>
      <w:r>
        <w:rPr>
          <w:rFonts w:hint="eastAsia"/>
          <w:highlight w:val="none"/>
          <w:lang w:eastAsia="zh-CN"/>
        </w:rPr>
        <w:t>。</w:t>
      </w:r>
    </w:p>
    <w:p w14:paraId="5953D0F4">
      <w:pPr>
        <w:keepNext w:val="0"/>
        <w:keepLines w:val="0"/>
        <w:pageBreakBefore w:val="0"/>
        <w:widowControl w:val="0"/>
        <w:numPr>
          <w:ilvl w:val="-1"/>
          <w:numId w:val="0"/>
        </w:numPr>
        <w:kinsoku/>
        <w:wordWrap/>
        <w:overflowPunct/>
        <w:topLinePunct w:val="0"/>
        <w:autoSpaceDE/>
        <w:autoSpaceDN/>
        <w:bidi w:val="0"/>
        <w:adjustRightInd/>
        <w:snapToGrid/>
        <w:spacing w:beforeLines="0" w:afterLines="0"/>
        <w:ind w:left="0" w:leftChars="0" w:firstLine="643" w:firstLineChars="200"/>
        <w:textAlignment w:val="auto"/>
        <w:outlineLvl w:val="9"/>
        <w:rPr>
          <w:rFonts w:hint="eastAsia"/>
          <w:highlight w:val="none"/>
        </w:rPr>
      </w:pPr>
      <w:r>
        <w:rPr>
          <w:rFonts w:hint="eastAsia"/>
          <w:b/>
          <w:bCs/>
          <w:highlight w:val="none"/>
          <w:lang w:val="en-US" w:eastAsia="zh-CN"/>
        </w:rPr>
        <w:t>——着力</w:t>
      </w:r>
      <w:r>
        <w:rPr>
          <w:rFonts w:hint="eastAsia"/>
          <w:b/>
          <w:bCs/>
          <w:highlight w:val="none"/>
        </w:rPr>
        <w:t>提升住房品质和居住服务水平</w:t>
      </w:r>
      <w:r>
        <w:rPr>
          <w:rFonts w:hint="eastAsia"/>
          <w:b/>
          <w:bCs/>
          <w:strike w:val="0"/>
          <w:highlight w:val="none"/>
          <w:lang w:eastAsia="zh-CN"/>
        </w:rPr>
        <w:t>。</w:t>
      </w:r>
      <w:r>
        <w:rPr>
          <w:rFonts w:hint="eastAsia"/>
          <w:highlight w:val="none"/>
          <w:lang w:val="en-US" w:eastAsia="zh-CN"/>
        </w:rPr>
        <w:t>推进</w:t>
      </w:r>
      <w:r>
        <w:rPr>
          <w:rFonts w:hint="eastAsia"/>
          <w:highlight w:val="none"/>
        </w:rPr>
        <w:t>高品质住房</w:t>
      </w:r>
      <w:r>
        <w:rPr>
          <w:rFonts w:hint="eastAsia"/>
          <w:highlight w:val="none"/>
          <w:lang w:val="en-US" w:eastAsia="zh-CN"/>
        </w:rPr>
        <w:t>建设</w:t>
      </w:r>
      <w:r>
        <w:rPr>
          <w:rFonts w:hint="eastAsia"/>
          <w:highlight w:val="none"/>
        </w:rPr>
        <w:t>，落实绿色建筑标准，</w:t>
      </w:r>
      <w:r>
        <w:rPr>
          <w:rFonts w:hint="eastAsia"/>
          <w:highlight w:val="none"/>
          <w:lang w:val="en-US" w:eastAsia="zh-CN"/>
        </w:rPr>
        <w:t>因地制宜</w:t>
      </w:r>
      <w:r>
        <w:rPr>
          <w:rFonts w:hint="eastAsia"/>
          <w:highlight w:val="none"/>
        </w:rPr>
        <w:t>推广</w:t>
      </w:r>
      <w:r>
        <w:rPr>
          <w:rFonts w:hint="eastAsia"/>
          <w:highlight w:val="none"/>
          <w:lang w:eastAsia="zh-CN"/>
        </w:rPr>
        <w:t>智能建造</w:t>
      </w:r>
      <w:r>
        <w:rPr>
          <w:rFonts w:hint="eastAsia"/>
          <w:highlight w:val="none"/>
          <w:lang w:val="en-US" w:eastAsia="zh-CN"/>
        </w:rPr>
        <w:t>和</w:t>
      </w:r>
      <w:r>
        <w:rPr>
          <w:rFonts w:hint="eastAsia"/>
          <w:highlight w:val="none"/>
        </w:rPr>
        <w:t>超低能耗建筑，</w:t>
      </w:r>
      <w:r>
        <w:rPr>
          <w:rFonts w:hint="eastAsia"/>
          <w:highlight w:val="none"/>
          <w:lang w:val="en-US" w:eastAsia="zh-CN"/>
        </w:rPr>
        <w:t>强化</w:t>
      </w:r>
      <w:r>
        <w:rPr>
          <w:rFonts w:hint="eastAsia"/>
          <w:highlight w:val="none"/>
        </w:rPr>
        <w:t>通风采光、遮阳隔热、防潮防霉</w:t>
      </w:r>
      <w:r>
        <w:rPr>
          <w:rFonts w:hint="eastAsia"/>
          <w:highlight w:val="none"/>
          <w:lang w:eastAsia="zh-CN"/>
        </w:rPr>
        <w:t>、</w:t>
      </w:r>
      <w:r>
        <w:rPr>
          <w:rFonts w:hint="eastAsia"/>
          <w:highlight w:val="none"/>
          <w:lang w:val="en-US" w:eastAsia="zh-CN"/>
        </w:rPr>
        <w:t>抗风抗水</w:t>
      </w:r>
      <w:r>
        <w:rPr>
          <w:rFonts w:hint="eastAsia"/>
          <w:highlight w:val="none"/>
        </w:rPr>
        <w:t>等气候</w:t>
      </w:r>
      <w:r>
        <w:rPr>
          <w:rFonts w:hint="eastAsia"/>
          <w:highlight w:val="none"/>
          <w:lang w:val="en-US" w:eastAsia="zh-CN"/>
        </w:rPr>
        <w:t>适应性</w:t>
      </w:r>
      <w:r>
        <w:rPr>
          <w:rFonts w:hint="eastAsia"/>
          <w:highlight w:val="none"/>
        </w:rPr>
        <w:t>设计要求。推动物业服务扩面提质，拓展“物业服务+生活服务”</w:t>
      </w:r>
      <w:r>
        <w:rPr>
          <w:rFonts w:hint="eastAsia"/>
          <w:highlight w:val="none"/>
          <w:lang w:eastAsia="zh-CN"/>
        </w:rPr>
        <w:t>。</w:t>
      </w:r>
      <w:r>
        <w:rPr>
          <w:rFonts w:hint="eastAsia"/>
          <w:highlight w:val="none"/>
        </w:rPr>
        <w:t>统筹推进未来社区（完整社区）建设，完善全龄友好配套设施和公共活动空间。规划期内，全市星级绿色建筑占新建居住建筑</w:t>
      </w:r>
      <w:r>
        <w:rPr>
          <w:rFonts w:hint="eastAsia"/>
          <w:highlight w:val="none"/>
          <w:lang w:val="en-US" w:eastAsia="zh-CN"/>
        </w:rPr>
        <w:t>比例达到</w:t>
      </w:r>
      <w:r>
        <w:rPr>
          <w:rFonts w:hint="eastAsia"/>
          <w:highlight w:val="none"/>
        </w:rPr>
        <w:t>40%</w:t>
      </w:r>
      <w:r>
        <w:rPr>
          <w:rFonts w:hint="eastAsia"/>
          <w:highlight w:val="none"/>
          <w:lang w:eastAsia="zh-CN"/>
        </w:rPr>
        <w:t>，</w:t>
      </w:r>
      <w:r>
        <w:rPr>
          <w:rFonts w:hint="eastAsia"/>
          <w:highlight w:val="none"/>
        </w:rPr>
        <w:t>新增</w:t>
      </w:r>
      <w:r>
        <w:rPr>
          <w:rFonts w:hint="eastAsia"/>
          <w:highlight w:val="none"/>
          <w:lang w:val="en-US" w:eastAsia="zh-CN"/>
        </w:rPr>
        <w:t>100个住宅小区</w:t>
      </w:r>
      <w:r>
        <w:rPr>
          <w:rFonts w:hint="eastAsia"/>
          <w:highlight w:val="none"/>
        </w:rPr>
        <w:t>实施专业化物业服务，</w:t>
      </w:r>
      <w:r>
        <w:rPr>
          <w:rFonts w:hint="eastAsia"/>
          <w:b w:val="0"/>
          <w:bCs w:val="0"/>
          <w:highlight w:val="none"/>
          <w:lang w:val="en-US" w:eastAsia="zh-CN"/>
        </w:rPr>
        <w:t>开展未来社区（完整社区）建设试点项目19个</w:t>
      </w:r>
      <w:r>
        <w:rPr>
          <w:rFonts w:hint="eastAsia"/>
          <w:highlight w:val="none"/>
        </w:rPr>
        <w:t>。</w:t>
      </w:r>
    </w:p>
    <w:p w14:paraId="083E7728">
      <w:pPr>
        <w:keepNext w:val="0"/>
        <w:keepLines w:val="0"/>
        <w:pageBreakBefore w:val="0"/>
        <w:widowControl/>
        <w:numPr>
          <w:ilvl w:val="-1"/>
          <w:numId w:val="0"/>
        </w:numPr>
        <w:kinsoku/>
        <w:wordWrap/>
        <w:overflowPunct/>
        <w:topLinePunct w:val="0"/>
        <w:autoSpaceDE/>
        <w:autoSpaceDN/>
        <w:bidi w:val="0"/>
        <w:adjustRightInd/>
        <w:snapToGrid/>
        <w:spacing w:beforeLines="0" w:afterLines="0"/>
        <w:ind w:left="0" w:leftChars="0" w:firstLine="643" w:firstLineChars="200"/>
        <w:textAlignment w:val="auto"/>
        <w:outlineLvl w:val="9"/>
        <w:rPr>
          <w:rFonts w:hint="eastAsia" w:eastAsia="仿宋_GB2312"/>
          <w:highlight w:val="none"/>
          <w:lang w:eastAsia="zh-CN"/>
        </w:rPr>
      </w:pPr>
      <w:r>
        <w:rPr>
          <w:rFonts w:hint="eastAsia"/>
          <w:b/>
          <w:bCs/>
          <w:highlight w:val="none"/>
          <w:lang w:eastAsia="zh-CN"/>
        </w:rPr>
        <w:t>——</w:t>
      </w:r>
      <w:r>
        <w:rPr>
          <w:rFonts w:hint="eastAsia"/>
          <w:b/>
          <w:bCs/>
          <w:highlight w:val="none"/>
        </w:rPr>
        <w:t>精准保障重点群体安居需求</w:t>
      </w:r>
      <w:r>
        <w:rPr>
          <w:rFonts w:hint="eastAsia"/>
          <w:b/>
          <w:bCs/>
          <w:highlight w:val="none"/>
          <w:lang w:eastAsia="zh-CN"/>
        </w:rPr>
        <w:t>。</w:t>
      </w:r>
      <w:r>
        <w:rPr>
          <w:rFonts w:hint="eastAsia"/>
          <w:highlight w:val="none"/>
        </w:rPr>
        <w:t>构建多层次、精准化的住房保障体系，聚焦重点群体安居需求，实现保障力度持续加大、保障范围不断拓宽、保障服务稳步提升。规划期内，全市保障性住房筹建目标</w:t>
      </w:r>
      <w:r>
        <w:rPr>
          <w:rFonts w:hint="eastAsia"/>
          <w:highlight w:val="none"/>
          <w:lang w:val="en-US" w:eastAsia="zh-CN"/>
        </w:rPr>
        <w:t>为56</w:t>
      </w:r>
      <w:r>
        <w:rPr>
          <w:rFonts w:hint="eastAsia"/>
          <w:highlight w:val="none"/>
        </w:rPr>
        <w:t>0套，租赁补贴发放目标</w:t>
      </w:r>
      <w:r>
        <w:rPr>
          <w:rFonts w:hint="eastAsia"/>
          <w:highlight w:val="none"/>
          <w:lang w:val="en-US" w:eastAsia="zh-CN"/>
        </w:rPr>
        <w:t>为11</w:t>
      </w:r>
      <w:r>
        <w:rPr>
          <w:rFonts w:hint="eastAsia"/>
          <w:highlight w:val="none"/>
        </w:rPr>
        <w:t>00户，重点保障城镇住房、收入困难家庭基本居住需求，进一步解决新市民、青年人、产业人员等群体“</w:t>
      </w:r>
      <w:r>
        <w:rPr>
          <w:rFonts w:hint="eastAsia"/>
          <w:highlight w:val="none"/>
          <w:lang w:val="en-US" w:eastAsia="zh-CN"/>
        </w:rPr>
        <w:t>买不起、租不好</w:t>
      </w:r>
      <w:r>
        <w:rPr>
          <w:rFonts w:hint="eastAsia"/>
          <w:highlight w:val="none"/>
        </w:rPr>
        <w:t>”问题。</w:t>
      </w:r>
    </w:p>
    <w:p w14:paraId="45AA7C44">
      <w:pPr>
        <w:keepNext w:val="0"/>
        <w:keepLines w:val="0"/>
        <w:pageBreakBefore w:val="0"/>
        <w:widowControl/>
        <w:numPr>
          <w:ilvl w:val="-1"/>
          <w:numId w:val="0"/>
        </w:numPr>
        <w:kinsoku/>
        <w:wordWrap/>
        <w:overflowPunct/>
        <w:topLinePunct w:val="0"/>
        <w:autoSpaceDE/>
        <w:autoSpaceDN/>
        <w:bidi w:val="0"/>
        <w:adjustRightInd/>
        <w:snapToGrid/>
        <w:spacing w:beforeLines="0" w:afterLines="0"/>
        <w:ind w:left="0" w:leftChars="0" w:firstLine="643" w:firstLineChars="200"/>
        <w:textAlignment w:val="auto"/>
        <w:outlineLvl w:val="9"/>
        <w:rPr>
          <w:rFonts w:hint="eastAsia"/>
          <w:b w:val="0"/>
          <w:bCs w:val="0"/>
          <w:highlight w:val="none"/>
          <w:lang w:val="en-US" w:eastAsia="zh-CN"/>
        </w:rPr>
      </w:pPr>
      <w:r>
        <w:rPr>
          <w:rFonts w:hint="eastAsia"/>
          <w:b/>
          <w:bCs/>
          <w:highlight w:val="none"/>
          <w:lang w:val="en-US" w:eastAsia="zh-CN"/>
        </w:rPr>
        <w:t>——深化住区更新改善居住环境。</w:t>
      </w:r>
      <w:r>
        <w:rPr>
          <w:rFonts w:hint="eastAsia"/>
          <w:b w:val="0"/>
          <w:bCs w:val="0"/>
          <w:highlight w:val="none"/>
          <w:lang w:val="en-US" w:eastAsia="zh-CN"/>
        </w:rPr>
        <w:t>有序推进城中村、危旧房、城镇老旧小区改造，补齐市政基础设施和公共服务设施短板，优化老城居住环境。规划期内，完成中心城区城中村改造项目28个，完成城市危旧房改造1250套（间），新开工城镇老旧小区改造155个。</w:t>
      </w:r>
    </w:p>
    <w:bookmarkEnd w:id="110"/>
    <w:bookmarkEnd w:id="111"/>
    <w:bookmarkEnd w:id="112"/>
    <w:bookmarkEnd w:id="113"/>
    <w:bookmarkEnd w:id="114"/>
    <w:bookmarkEnd w:id="115"/>
    <w:bookmarkEnd w:id="116"/>
    <w:bookmarkEnd w:id="117"/>
    <w:bookmarkEnd w:id="118"/>
    <w:bookmarkEnd w:id="119"/>
    <w:p w14:paraId="4FB76761">
      <w:pPr>
        <w:pStyle w:val="2"/>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highlight w:val="none"/>
          <w:lang w:val="en-US" w:eastAsia="zh-CN"/>
        </w:rPr>
      </w:pPr>
      <w:bookmarkStart w:id="148" w:name="_Toc4493"/>
      <w:bookmarkStart w:id="149" w:name="_Toc3266"/>
      <w:bookmarkStart w:id="150" w:name="_Toc12323"/>
      <w:bookmarkStart w:id="151" w:name="_Toc12936"/>
      <w:bookmarkStart w:id="152" w:name="_Toc3678"/>
      <w:bookmarkStart w:id="153" w:name="_Toc24826"/>
      <w:bookmarkStart w:id="154" w:name="_Toc288659009"/>
      <w:bookmarkStart w:id="155" w:name="_Toc27771"/>
      <w:bookmarkStart w:id="156" w:name="_Toc495382771"/>
      <w:bookmarkStart w:id="157" w:name="_Toc14164"/>
      <w:bookmarkStart w:id="158" w:name="_Toc22484"/>
      <w:bookmarkStart w:id="159" w:name="_Toc533"/>
      <w:bookmarkStart w:id="160" w:name="_Toc1073621556"/>
      <w:bookmarkStart w:id="161" w:name="_Toc18162"/>
      <w:bookmarkStart w:id="162" w:name="_Toc27165"/>
      <w:bookmarkStart w:id="163" w:name="_Toc19122"/>
      <w:bookmarkStart w:id="164" w:name="_Toc18541"/>
      <w:bookmarkStart w:id="165" w:name="_Toc625612157"/>
      <w:bookmarkStart w:id="166" w:name="_Toc108029487"/>
      <w:bookmarkStart w:id="167" w:name="_Toc10115"/>
      <w:bookmarkStart w:id="168" w:name="_Toc172"/>
      <w:bookmarkStart w:id="169" w:name="_Toc12558"/>
      <w:bookmarkStart w:id="170" w:name="_Toc27123"/>
      <w:bookmarkStart w:id="171" w:name="_Toc26680"/>
      <w:bookmarkStart w:id="172" w:name="_Toc25945"/>
      <w:bookmarkStart w:id="173" w:name="_Toc21086"/>
      <w:r>
        <w:rPr>
          <w:rFonts w:hint="eastAsia"/>
          <w:highlight w:val="none"/>
          <w:lang w:val="en-US" w:eastAsia="zh-CN"/>
        </w:rPr>
        <w:t>三、空间指引</w:t>
      </w:r>
      <w:bookmarkEnd w:id="148"/>
      <w:bookmarkEnd w:id="149"/>
      <w:bookmarkEnd w:id="150"/>
      <w:bookmarkEnd w:id="151"/>
      <w:bookmarkEnd w:id="152"/>
      <w:bookmarkEnd w:id="153"/>
      <w:bookmarkEnd w:id="154"/>
      <w:bookmarkEnd w:id="155"/>
      <w:bookmarkEnd w:id="156"/>
      <w:bookmarkEnd w:id="157"/>
      <w:bookmarkEnd w:id="158"/>
      <w:bookmarkEnd w:id="159"/>
    </w:p>
    <w:p w14:paraId="577E6040">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default"/>
          <w:highlight w:val="none"/>
          <w:lang w:val="en-US" w:eastAsia="zh-CN"/>
        </w:rPr>
      </w:pPr>
      <w:bookmarkStart w:id="174" w:name="_Toc29030"/>
      <w:bookmarkStart w:id="175" w:name="_Toc32464"/>
      <w:bookmarkStart w:id="176" w:name="_Toc5635"/>
      <w:bookmarkStart w:id="177" w:name="_Toc15519"/>
      <w:bookmarkStart w:id="178" w:name="_Toc326405690"/>
      <w:bookmarkStart w:id="179" w:name="_Toc912"/>
      <w:bookmarkStart w:id="180" w:name="_Toc22521"/>
      <w:bookmarkStart w:id="181" w:name="_Toc5363"/>
      <w:bookmarkStart w:id="182" w:name="_Toc11813"/>
      <w:bookmarkStart w:id="183" w:name="_Toc7512"/>
      <w:bookmarkStart w:id="184" w:name="_Toc104132778"/>
      <w:bookmarkStart w:id="185" w:name="_Toc18654"/>
      <w:bookmarkStart w:id="186" w:name="_Toc15635"/>
      <w:bookmarkStart w:id="187" w:name="_Toc17290"/>
      <w:bookmarkStart w:id="188" w:name="_Toc613266037"/>
      <w:bookmarkStart w:id="189" w:name="_Toc10081"/>
      <w:r>
        <w:rPr>
          <w:rFonts w:hint="eastAsia"/>
          <w:highlight w:val="none"/>
          <w:lang w:val="en-US" w:eastAsia="zh-CN"/>
        </w:rPr>
        <w:t>（一）市区指引</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599DB4F4">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1.赤坎区</w:t>
      </w:r>
    </w:p>
    <w:p w14:paraId="5AC48536">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ascii="Times New Roman" w:hAnsi="Times New Roman"/>
          <w:highlight w:val="none"/>
          <w:lang w:val="en-US" w:eastAsia="zh-CN"/>
        </w:rPr>
      </w:pPr>
      <w:r>
        <w:rPr>
          <w:rFonts w:hint="eastAsia" w:ascii="Times New Roman" w:hAnsi="Times New Roman"/>
          <w:b w:val="0"/>
          <w:bCs w:val="0"/>
          <w:highlight w:val="none"/>
        </w:rPr>
        <w:t>以打造</w:t>
      </w:r>
      <w:r>
        <w:rPr>
          <w:rFonts w:hint="eastAsia" w:ascii="仿宋_GB2312" w:hAnsi="仿宋_GB2312"/>
          <w:b w:val="0"/>
          <w:bCs w:val="0"/>
          <w:highlight w:val="none"/>
          <w:lang w:eastAsia="zh-CN"/>
        </w:rPr>
        <w:t>“</w:t>
      </w:r>
      <w:r>
        <w:rPr>
          <w:rFonts w:hint="eastAsia" w:ascii="Times New Roman" w:hAnsi="Times New Roman"/>
          <w:b w:val="0"/>
          <w:bCs w:val="0"/>
          <w:highlight w:val="none"/>
        </w:rPr>
        <w:t>现代化湛江首善之区</w:t>
      </w:r>
      <w:r>
        <w:rPr>
          <w:rFonts w:hint="eastAsia" w:ascii="仿宋_GB2312" w:hAnsi="仿宋_GB2312"/>
          <w:b w:val="0"/>
          <w:bCs w:val="0"/>
          <w:highlight w:val="none"/>
          <w:lang w:eastAsia="zh-CN"/>
        </w:rPr>
        <w:t>”</w:t>
      </w:r>
      <w:r>
        <w:rPr>
          <w:rFonts w:hint="eastAsia" w:ascii="Times New Roman" w:hAnsi="Times New Roman"/>
          <w:b w:val="0"/>
          <w:bCs w:val="0"/>
          <w:highlight w:val="none"/>
        </w:rPr>
        <w:t>为引领，聚焦城市更新与品质提升，构建老城焕新与新城提质并重的住房发展体系。</w:t>
      </w:r>
      <w:r>
        <w:rPr>
          <w:rFonts w:hint="eastAsia" w:ascii="Times New Roman" w:hAnsi="Times New Roman"/>
          <w:highlight w:val="none"/>
          <w:lang w:val="en-US" w:eastAsia="zh-CN"/>
        </w:rPr>
        <w:t>积极盘活存量资源，</w:t>
      </w:r>
      <w:r>
        <w:rPr>
          <w:rFonts w:hint="eastAsia"/>
          <w:highlight w:val="none"/>
          <w:lang w:val="en-US" w:eastAsia="zh-CN"/>
        </w:rPr>
        <w:t>采用微改造、拆除重建、拆整结合等多种方式，</w:t>
      </w:r>
      <w:r>
        <w:rPr>
          <w:rFonts w:hint="eastAsia" w:ascii="Times New Roman" w:hAnsi="Times New Roman"/>
          <w:highlight w:val="none"/>
          <w:lang w:val="en-US" w:eastAsia="zh-CN"/>
        </w:rPr>
        <w:t>有序</w:t>
      </w:r>
      <w:r>
        <w:rPr>
          <w:rFonts w:hint="eastAsia"/>
          <w:highlight w:val="none"/>
          <w:lang w:val="en-US" w:eastAsia="zh-CN"/>
        </w:rPr>
        <w:t>推进海田、旧大—金沙湾</w:t>
      </w:r>
      <w:r>
        <w:rPr>
          <w:rFonts w:hint="eastAsia" w:ascii="Times New Roman" w:hAnsi="Times New Roman"/>
          <w:highlight w:val="none"/>
          <w:lang w:val="en-US" w:eastAsia="zh-CN"/>
        </w:rPr>
        <w:t>等片区</w:t>
      </w:r>
      <w:r>
        <w:rPr>
          <w:rFonts w:hint="eastAsia"/>
          <w:highlight w:val="none"/>
          <w:lang w:val="en-US" w:eastAsia="zh-CN"/>
        </w:rPr>
        <w:t>城市更新工作</w:t>
      </w:r>
      <w:r>
        <w:rPr>
          <w:rFonts w:hint="eastAsia" w:ascii="Times New Roman" w:hAnsi="Times New Roman"/>
          <w:highlight w:val="none"/>
          <w:lang w:val="en-US" w:eastAsia="zh-CN"/>
        </w:rPr>
        <w:t>。加快推进赤坎老城区老旧小区改造工作，从老旧电梯更新、物管费规范等入手推动小区治理，着力补齐老城区基础设施和公共服务短板，改善人居环境质量。</w:t>
      </w:r>
      <w:r>
        <w:rPr>
          <w:rFonts w:hint="eastAsia"/>
          <w:highlight w:val="none"/>
        </w:rPr>
        <w:t>推广</w:t>
      </w:r>
      <w:r>
        <w:rPr>
          <w:rFonts w:hint="eastAsia" w:ascii="仿宋_GB2312" w:hAnsi="仿宋_GB2312"/>
          <w:highlight w:val="none"/>
          <w:lang w:eastAsia="zh-CN"/>
        </w:rPr>
        <w:t>“</w:t>
      </w:r>
      <w:r>
        <w:rPr>
          <w:rFonts w:hint="eastAsia"/>
          <w:highlight w:val="none"/>
        </w:rPr>
        <w:t>两社三中心</w:t>
      </w:r>
      <w:r>
        <w:rPr>
          <w:rFonts w:hint="eastAsia" w:ascii="仿宋_GB2312" w:hAnsi="仿宋_GB2312"/>
          <w:highlight w:val="none"/>
          <w:lang w:eastAsia="zh-CN"/>
        </w:rPr>
        <w:t>”</w:t>
      </w:r>
      <w:r>
        <w:rPr>
          <w:rFonts w:hint="eastAsia"/>
          <w:highlight w:val="none"/>
        </w:rPr>
        <w:t>试点，开展百园社区</w:t>
      </w:r>
      <w:r>
        <w:rPr>
          <w:rFonts w:hint="eastAsia"/>
          <w:highlight w:val="none"/>
          <w:lang w:val="en-US" w:eastAsia="zh-CN"/>
        </w:rPr>
        <w:t>等</w:t>
      </w:r>
      <w:r>
        <w:rPr>
          <w:rFonts w:hint="eastAsia"/>
          <w:highlight w:val="none"/>
        </w:rPr>
        <w:t>未来社区（完整社区）试点建设。</w:t>
      </w:r>
      <w:r>
        <w:rPr>
          <w:rFonts w:hint="eastAsia" w:ascii="Times New Roman" w:hAnsi="Times New Roman"/>
          <w:highlight w:val="none"/>
          <w:lang w:val="en-US" w:eastAsia="zh-CN"/>
        </w:rPr>
        <w:t>建设发展高品质商品住房，在</w:t>
      </w:r>
      <w:r>
        <w:rPr>
          <w:rFonts w:hint="eastAsia" w:ascii="Times New Roman" w:hAnsi="Times New Roman"/>
          <w:highlight w:val="none"/>
        </w:rPr>
        <w:t>金沙湾—万达商圈、调顺岛片区等核心区域，打造高端居住标杆</w:t>
      </w:r>
      <w:r>
        <w:rPr>
          <w:rFonts w:hint="eastAsia" w:ascii="Times New Roman" w:hAnsi="Times New Roman"/>
          <w:highlight w:val="none"/>
          <w:lang w:val="en-US" w:eastAsia="zh-CN"/>
        </w:rPr>
        <w:t>。</w:t>
      </w:r>
      <w:r>
        <w:rPr>
          <w:rFonts w:hint="eastAsia" w:ascii="Times New Roman" w:hAnsi="Times New Roman"/>
          <w:highlight w:val="none"/>
        </w:rPr>
        <w:t>结合</w:t>
      </w:r>
      <w:r>
        <w:rPr>
          <w:rFonts w:hint="eastAsia"/>
          <w:highlight w:val="none"/>
          <w:lang w:val="en-US" w:eastAsia="zh-CN"/>
        </w:rPr>
        <w:t>都市产业园</w:t>
      </w:r>
      <w:r>
        <w:rPr>
          <w:rFonts w:hint="eastAsia" w:ascii="Times New Roman" w:hAnsi="Times New Roman"/>
          <w:highlight w:val="none"/>
        </w:rPr>
        <w:t>、中央商务区建设，统筹布局保障性租赁住房和人才住房，就近保障</w:t>
      </w:r>
      <w:r>
        <w:rPr>
          <w:rFonts w:hint="eastAsia"/>
          <w:highlight w:val="none"/>
          <w:lang w:val="en-US" w:eastAsia="zh-CN"/>
        </w:rPr>
        <w:t>企业职工</w:t>
      </w:r>
      <w:r>
        <w:rPr>
          <w:rFonts w:hint="eastAsia" w:ascii="Times New Roman" w:hAnsi="Times New Roman"/>
          <w:highlight w:val="none"/>
        </w:rPr>
        <w:t>、技术人才、白领等群体安居需求。依托金沙湾滨海景观资源，布局高端旅居、康养居住产品，联动金沙湾观海长廊、调顺岛文化旅游项目，完善旅游配套服务，提升区域旅居品质与品牌影响力。</w:t>
      </w:r>
    </w:p>
    <w:p w14:paraId="589898B0">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2.霞山区</w:t>
      </w:r>
    </w:p>
    <w:p w14:paraId="78D11141">
      <w:pPr>
        <w:keepNext w:val="0"/>
        <w:keepLines w:val="0"/>
        <w:pageBreakBefore w:val="0"/>
        <w:widowControl w:val="0"/>
        <w:kinsoku/>
        <w:wordWrap/>
        <w:overflowPunct/>
        <w:topLinePunct w:val="0"/>
        <w:autoSpaceDE/>
        <w:autoSpaceDN/>
        <w:bidi w:val="0"/>
        <w:adjustRightInd/>
        <w:snapToGrid/>
        <w:spacing w:beforeLines="0" w:afterLines="0"/>
        <w:textAlignment w:val="auto"/>
        <w:rPr>
          <w:rFonts w:hint="default" w:ascii="Times New Roman" w:hAnsi="Times New Roman"/>
          <w:highlight w:val="none"/>
          <w:lang w:val="en-US" w:eastAsia="zh-CN"/>
        </w:rPr>
      </w:pPr>
      <w:r>
        <w:rPr>
          <w:rFonts w:hint="eastAsia" w:ascii="Times New Roman" w:hAnsi="Times New Roman"/>
          <w:b w:val="0"/>
          <w:bCs w:val="0"/>
          <w:highlight w:val="none"/>
        </w:rPr>
        <w:t>霞山区以打造</w:t>
      </w:r>
      <w:r>
        <w:rPr>
          <w:rFonts w:hint="eastAsia" w:ascii="仿宋_GB2312" w:hAnsi="仿宋_GB2312"/>
          <w:b w:val="0"/>
          <w:bCs w:val="0"/>
          <w:highlight w:val="none"/>
          <w:lang w:eastAsia="zh-CN"/>
        </w:rPr>
        <w:t>“</w:t>
      </w:r>
      <w:r>
        <w:rPr>
          <w:rFonts w:hint="eastAsia" w:ascii="Times New Roman" w:hAnsi="Times New Roman"/>
          <w:b w:val="0"/>
          <w:bCs w:val="0"/>
          <w:highlight w:val="none"/>
        </w:rPr>
        <w:t>现代化滨海魅力中心城区</w:t>
      </w:r>
      <w:r>
        <w:rPr>
          <w:rFonts w:hint="eastAsia" w:ascii="仿宋_GB2312" w:hAnsi="仿宋_GB2312"/>
          <w:b w:val="0"/>
          <w:bCs w:val="0"/>
          <w:highlight w:val="none"/>
          <w:lang w:eastAsia="zh-CN"/>
        </w:rPr>
        <w:t>”</w:t>
      </w:r>
      <w:r>
        <w:rPr>
          <w:rFonts w:hint="eastAsia" w:ascii="Times New Roman" w:hAnsi="Times New Roman"/>
          <w:b w:val="0"/>
          <w:bCs w:val="0"/>
          <w:highlight w:val="none"/>
        </w:rPr>
        <w:t>为引领，以港产城</w:t>
      </w:r>
      <w:r>
        <w:rPr>
          <w:rFonts w:hint="eastAsia" w:ascii="Times New Roman" w:hAnsi="Times New Roman"/>
          <w:b w:val="0"/>
          <w:bCs w:val="0"/>
          <w:highlight w:val="none"/>
          <w:lang w:val="en-US" w:eastAsia="zh-CN"/>
        </w:rPr>
        <w:t>旅</w:t>
      </w:r>
      <w:r>
        <w:rPr>
          <w:rFonts w:hint="eastAsia" w:ascii="Times New Roman" w:hAnsi="Times New Roman"/>
          <w:b w:val="0"/>
          <w:bCs w:val="0"/>
          <w:highlight w:val="none"/>
        </w:rPr>
        <w:t>融合为主线，推动城市更新</w:t>
      </w:r>
      <w:r>
        <w:rPr>
          <w:rFonts w:hint="eastAsia" w:ascii="Times New Roman" w:hAnsi="Times New Roman"/>
          <w:b w:val="0"/>
          <w:bCs w:val="0"/>
          <w:highlight w:val="none"/>
          <w:lang w:eastAsia="zh-CN"/>
        </w:rPr>
        <w:t>、</w:t>
      </w:r>
      <w:r>
        <w:rPr>
          <w:rFonts w:hint="eastAsia"/>
          <w:b w:val="0"/>
          <w:bCs w:val="0"/>
          <w:highlight w:val="none"/>
          <w:lang w:val="en-US" w:eastAsia="zh-CN"/>
        </w:rPr>
        <w:t>新城开发、</w:t>
      </w:r>
      <w:r>
        <w:rPr>
          <w:rFonts w:hint="eastAsia" w:ascii="Times New Roman" w:hAnsi="Times New Roman"/>
          <w:b w:val="0"/>
          <w:bCs w:val="0"/>
          <w:highlight w:val="none"/>
        </w:rPr>
        <w:t>产居协同</w:t>
      </w:r>
      <w:r>
        <w:rPr>
          <w:rFonts w:hint="eastAsia" w:ascii="Times New Roman" w:hAnsi="Times New Roman"/>
          <w:highlight w:val="none"/>
        </w:rPr>
        <w:t>与旅居品质提升</w:t>
      </w:r>
      <w:r>
        <w:rPr>
          <w:rFonts w:hint="eastAsia" w:ascii="Times New Roman" w:hAnsi="Times New Roman"/>
          <w:b w:val="0"/>
          <w:bCs w:val="0"/>
          <w:highlight w:val="none"/>
        </w:rPr>
        <w:t>并进。加力实施</w:t>
      </w:r>
      <w:r>
        <w:rPr>
          <w:rFonts w:hint="eastAsia" w:ascii="仿宋_GB2312" w:hAnsi="仿宋_GB2312"/>
          <w:b w:val="0"/>
          <w:bCs w:val="0"/>
          <w:highlight w:val="none"/>
          <w:lang w:val="en-US" w:eastAsia="zh-CN"/>
        </w:rPr>
        <w:t>城市更新行动</w:t>
      </w:r>
      <w:r>
        <w:rPr>
          <w:rFonts w:hint="eastAsia" w:ascii="Times New Roman" w:hAnsi="Times New Roman"/>
          <w:b w:val="0"/>
          <w:bCs w:val="0"/>
          <w:highlight w:val="none"/>
        </w:rPr>
        <w:t>，以城乡结合部为切入口，加快低效用地收储改造，改造更新</w:t>
      </w:r>
      <w:r>
        <w:rPr>
          <w:rFonts w:hint="eastAsia"/>
          <w:b w:val="0"/>
          <w:bCs w:val="0"/>
          <w:highlight w:val="none"/>
          <w:lang w:val="en-US" w:eastAsia="zh-CN"/>
        </w:rPr>
        <w:t>临港、</w:t>
      </w:r>
      <w:r>
        <w:rPr>
          <w:rFonts w:hint="eastAsia" w:ascii="Times New Roman" w:hAnsi="Times New Roman"/>
          <w:b w:val="0"/>
          <w:bCs w:val="0"/>
          <w:highlight w:val="none"/>
        </w:rPr>
        <w:t>火车南站等片区</w:t>
      </w:r>
      <w:r>
        <w:rPr>
          <w:rFonts w:hint="eastAsia"/>
          <w:b w:val="0"/>
          <w:bCs w:val="0"/>
          <w:highlight w:val="none"/>
          <w:lang w:eastAsia="zh-CN"/>
        </w:rPr>
        <w:t>。</w:t>
      </w:r>
      <w:r>
        <w:rPr>
          <w:rFonts w:hint="eastAsia"/>
          <w:highlight w:val="none"/>
        </w:rPr>
        <w:t>积极探索居民自主更新、原拆原建等改造模式，以工农街道等老城区为先行试点，支持产权人自筹资金改善居住条件，形成可复制推广的自主更新经验</w:t>
      </w:r>
      <w:r>
        <w:rPr>
          <w:rFonts w:hint="eastAsia"/>
          <w:highlight w:val="none"/>
          <w:lang w:eastAsia="zh-CN"/>
        </w:rPr>
        <w:t>。</w:t>
      </w:r>
      <w:r>
        <w:rPr>
          <w:rFonts w:hint="default"/>
          <w:highlight w:val="none"/>
        </w:rPr>
        <w:t>推进</w:t>
      </w:r>
      <w:r>
        <w:rPr>
          <w:rFonts w:hint="eastAsia"/>
          <w:highlight w:val="none"/>
          <w:lang w:val="en-US" w:eastAsia="zh-CN"/>
        </w:rPr>
        <w:t>实施</w:t>
      </w:r>
      <w:r>
        <w:rPr>
          <w:rFonts w:hint="default"/>
          <w:highlight w:val="none"/>
        </w:rPr>
        <w:t>老旧小区小巷片区化改造，</w:t>
      </w:r>
      <w:r>
        <w:rPr>
          <w:rFonts w:hint="eastAsia" w:ascii="Times New Roman" w:hAnsi="Times New Roman"/>
          <w:highlight w:val="none"/>
          <w:lang w:val="en-US" w:eastAsia="zh-CN"/>
        </w:rPr>
        <w:t>推动老旧小区加装电梯，系统提升老旧小区居住环境、综合功能</w:t>
      </w:r>
      <w:r>
        <w:rPr>
          <w:rFonts w:hint="eastAsia"/>
          <w:highlight w:val="none"/>
          <w:lang w:val="en-US" w:eastAsia="zh-CN"/>
        </w:rPr>
        <w:t>。</w:t>
      </w:r>
      <w:r>
        <w:rPr>
          <w:rFonts w:hint="eastAsia"/>
          <w:highlight w:val="none"/>
        </w:rPr>
        <w:t>试点建设未来社区（完整社区），将文体社区打造为未来社区省级标杆</w:t>
      </w:r>
      <w:r>
        <w:rPr>
          <w:rFonts w:hint="eastAsia"/>
          <w:highlight w:val="none"/>
          <w:lang w:eastAsia="zh-CN"/>
        </w:rPr>
        <w:t>。</w:t>
      </w:r>
      <w:r>
        <w:rPr>
          <w:rFonts w:hint="default" w:ascii="Times New Roman" w:hAnsi="Times New Roman"/>
          <w:highlight w:val="none"/>
          <w:lang w:val="en-US" w:eastAsia="zh-CN"/>
        </w:rPr>
        <w:t>有序推进东堤</w:t>
      </w:r>
      <w:r>
        <w:rPr>
          <w:rFonts w:hint="eastAsia"/>
          <w:highlight w:val="none"/>
          <w:lang w:val="en-US" w:eastAsia="zh-CN"/>
        </w:rPr>
        <w:t>历史文化</w:t>
      </w:r>
      <w:r>
        <w:rPr>
          <w:rFonts w:hint="default" w:ascii="Times New Roman" w:hAnsi="Times New Roman"/>
          <w:highlight w:val="none"/>
          <w:lang w:val="en-US" w:eastAsia="zh-CN"/>
        </w:rPr>
        <w:t>街区、</w:t>
      </w:r>
      <w:r>
        <w:rPr>
          <w:rFonts w:hint="eastAsia"/>
          <w:highlight w:val="none"/>
          <w:lang w:val="en-US" w:eastAsia="zh-CN"/>
        </w:rPr>
        <w:t>商业</w:t>
      </w:r>
      <w:r>
        <w:rPr>
          <w:rFonts w:hint="default" w:ascii="Times New Roman" w:hAnsi="Times New Roman"/>
          <w:highlight w:val="none"/>
          <w:lang w:val="en-US" w:eastAsia="zh-CN"/>
        </w:rPr>
        <w:t>步行街等重要节点沿街建筑立面改造与风貌提升。</w:t>
      </w:r>
      <w:r>
        <w:rPr>
          <w:rFonts w:hint="eastAsia"/>
          <w:highlight w:val="none"/>
          <w:lang w:val="en-US" w:eastAsia="zh-CN"/>
        </w:rPr>
        <w:t>有序推进</w:t>
      </w:r>
      <w:r>
        <w:rPr>
          <w:rFonts w:hint="default" w:ascii="Times New Roman" w:hAnsi="Times New Roman"/>
          <w:highlight w:val="none"/>
          <w:lang w:val="en-US" w:eastAsia="zh-CN"/>
        </w:rPr>
        <w:t>高铁新城片区开发建设，</w:t>
      </w:r>
      <w:r>
        <w:rPr>
          <w:rFonts w:hint="default"/>
          <w:highlight w:val="none"/>
        </w:rPr>
        <w:t>根据产业导入进度和人口流入规模动态调整住宅用地供应</w:t>
      </w:r>
      <w:r>
        <w:rPr>
          <w:rFonts w:hint="eastAsia"/>
          <w:highlight w:val="none"/>
          <w:lang w:val="en-US" w:eastAsia="zh-CN"/>
        </w:rPr>
        <w:t>节奏，同步完善公共服务设施配套，着力打造全市“好房子”标杆项目。</w:t>
      </w:r>
      <w:r>
        <w:rPr>
          <w:rFonts w:hint="eastAsia" w:ascii="Times New Roman" w:hAnsi="Times New Roman"/>
          <w:highlight w:val="none"/>
          <w:lang w:val="en-US" w:eastAsia="zh-CN"/>
        </w:rPr>
        <w:t>强化</w:t>
      </w:r>
      <w:r>
        <w:rPr>
          <w:rFonts w:hint="default" w:ascii="Times New Roman" w:hAnsi="Times New Roman"/>
          <w:highlight w:val="none"/>
          <w:lang w:val="en-US" w:eastAsia="zh-CN"/>
        </w:rPr>
        <w:t>宝满港区、临港工业园</w:t>
      </w:r>
      <w:r>
        <w:rPr>
          <w:rFonts w:hint="eastAsia" w:ascii="Times New Roman" w:hAnsi="Times New Roman"/>
          <w:highlight w:val="none"/>
          <w:lang w:val="en-US" w:eastAsia="zh-CN"/>
        </w:rPr>
        <w:t>等产业园区</w:t>
      </w:r>
      <w:r>
        <w:rPr>
          <w:rFonts w:hint="default" w:ascii="Times New Roman" w:hAnsi="Times New Roman"/>
          <w:highlight w:val="none"/>
          <w:lang w:val="en-US" w:eastAsia="zh-CN"/>
        </w:rPr>
        <w:t>周边公共服务设施配套</w:t>
      </w:r>
      <w:r>
        <w:rPr>
          <w:rFonts w:hint="eastAsia" w:ascii="Times New Roman" w:hAnsi="Times New Roman"/>
          <w:highlight w:val="none"/>
          <w:lang w:val="en-US" w:eastAsia="zh-CN"/>
        </w:rPr>
        <w:t>建设</w:t>
      </w:r>
      <w:r>
        <w:rPr>
          <w:rFonts w:hint="eastAsia" w:ascii="Times New Roman" w:hAnsi="Times New Roman" w:eastAsia="仿宋_GB2312" w:cs="Times New Roman"/>
          <w:b w:val="0"/>
          <w:bCs w:val="0"/>
          <w:sz w:val="32"/>
          <w:highlight w:val="none"/>
          <w:lang w:val="en-US" w:eastAsia="zh-CN"/>
          <w14:ligatures w14:val="none"/>
        </w:rPr>
        <w:t>，</w:t>
      </w:r>
      <w:r>
        <w:rPr>
          <w:rFonts w:hint="eastAsia" w:ascii="Times New Roman" w:hAnsi="Times New Roman" w:cs="Times New Roman"/>
          <w:b w:val="0"/>
          <w:bCs w:val="0"/>
          <w:sz w:val="32"/>
          <w:highlight w:val="none"/>
          <w:lang w:val="en-US" w:eastAsia="zh-CN"/>
          <w14:ligatures w14:val="none"/>
        </w:rPr>
        <w:t>提升</w:t>
      </w:r>
      <w:r>
        <w:rPr>
          <w:rFonts w:hint="eastAsia" w:ascii="Times New Roman" w:hAnsi="Times New Roman" w:eastAsia="仿宋_GB2312" w:cs="Times New Roman"/>
          <w:b w:val="0"/>
          <w:bCs w:val="0"/>
          <w:sz w:val="32"/>
          <w:highlight w:val="none"/>
          <w:lang w:val="en-US" w:eastAsia="zh-CN"/>
          <w14:ligatures w14:val="none"/>
        </w:rPr>
        <w:t>产业人才和技术工人的住房保障</w:t>
      </w:r>
      <w:r>
        <w:rPr>
          <w:rFonts w:hint="eastAsia" w:ascii="Times New Roman" w:hAnsi="Times New Roman" w:cs="Times New Roman"/>
          <w:b w:val="0"/>
          <w:bCs w:val="0"/>
          <w:sz w:val="32"/>
          <w:highlight w:val="none"/>
          <w:lang w:val="en-US" w:eastAsia="zh-CN"/>
          <w14:ligatures w14:val="none"/>
        </w:rPr>
        <w:t>水平</w:t>
      </w:r>
      <w:r>
        <w:rPr>
          <w:rFonts w:hint="default" w:ascii="Times New Roman" w:hAnsi="Times New Roman"/>
          <w:highlight w:val="none"/>
          <w:lang w:val="en-US" w:eastAsia="zh-CN"/>
        </w:rPr>
        <w:t>。沿海滨大道布局多样化旅游居住产品，强化与特呈岛旅游功能的联动与互补，整体提升区域旅游服务能力与品牌形象。</w:t>
      </w:r>
    </w:p>
    <w:p w14:paraId="361DA8AE">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3.坡头区</w:t>
      </w:r>
    </w:p>
    <w:p w14:paraId="54B80E4F">
      <w:pPr>
        <w:tabs>
          <w:tab w:val="left" w:pos="3840"/>
        </w:tabs>
        <w:spacing w:beforeLines="0" w:afterLines="0"/>
        <w:rPr>
          <w:rFonts w:hint="default" w:ascii="Times New Roman" w:hAnsi="Times New Roman" w:cs="Times New Roman"/>
          <w:highlight w:val="none"/>
          <w:lang w:val="en-US" w:eastAsia="zh-CN"/>
        </w:rPr>
      </w:pPr>
      <w:r>
        <w:rPr>
          <w:rFonts w:hint="eastAsia" w:ascii="Times New Roman" w:hAnsi="Times New Roman"/>
          <w:b w:val="0"/>
          <w:bCs w:val="0"/>
          <w:highlight w:val="none"/>
        </w:rPr>
        <w:t>打造以海洋经济为特色的</w:t>
      </w:r>
      <w:r>
        <w:rPr>
          <w:rFonts w:hint="eastAsia" w:ascii="仿宋_GB2312" w:hAnsi="仿宋_GB2312"/>
          <w:b w:val="0"/>
          <w:bCs w:val="0"/>
          <w:highlight w:val="none"/>
          <w:lang w:eastAsia="zh-CN"/>
        </w:rPr>
        <w:t>“</w:t>
      </w:r>
      <w:r>
        <w:rPr>
          <w:rFonts w:hint="eastAsia" w:ascii="Times New Roman" w:hAnsi="Times New Roman"/>
          <w:b w:val="0"/>
          <w:bCs w:val="0"/>
          <w:highlight w:val="none"/>
        </w:rPr>
        <w:t>宜居宜业宜创宜游</w:t>
      </w:r>
      <w:r>
        <w:rPr>
          <w:rFonts w:hint="eastAsia" w:ascii="仿宋_GB2312" w:hAnsi="仿宋_GB2312"/>
          <w:b w:val="0"/>
          <w:bCs w:val="0"/>
          <w:highlight w:val="none"/>
          <w:lang w:eastAsia="zh-CN"/>
        </w:rPr>
        <w:t>”</w:t>
      </w:r>
      <w:r>
        <w:rPr>
          <w:rFonts w:hint="eastAsia" w:ascii="Times New Roman" w:hAnsi="Times New Roman"/>
          <w:b w:val="0"/>
          <w:bCs w:val="0"/>
          <w:highlight w:val="none"/>
        </w:rPr>
        <w:t>魅力新城，</w:t>
      </w:r>
      <w:r>
        <w:rPr>
          <w:rFonts w:hint="eastAsia" w:ascii="Times New Roman" w:hAnsi="Times New Roman"/>
          <w:highlight w:val="none"/>
        </w:rPr>
        <w:t>构建产城融合、滨海特色鲜明的高品质住房发展体系</w:t>
      </w:r>
      <w:r>
        <w:rPr>
          <w:rFonts w:hint="eastAsia" w:ascii="Times New Roman" w:hAnsi="Times New Roman"/>
          <w:b w:val="0"/>
          <w:bCs w:val="0"/>
          <w:highlight w:val="none"/>
        </w:rPr>
        <w:t>。加快完善</w:t>
      </w:r>
      <w:r>
        <w:rPr>
          <w:rFonts w:hint="default" w:ascii="Times New Roman" w:hAnsi="Times New Roman" w:cs="Times New Roman"/>
          <w:highlight w:val="none"/>
          <w:lang w:val="en-US" w:eastAsia="zh-CN"/>
        </w:rPr>
        <w:t>海东新区</w:t>
      </w:r>
      <w:r>
        <w:rPr>
          <w:rFonts w:hint="eastAsia" w:ascii="Times New Roman" w:hAnsi="Times New Roman"/>
          <w:b w:val="0"/>
          <w:bCs w:val="0"/>
          <w:highlight w:val="none"/>
        </w:rPr>
        <w:t>教育、医疗、商业等公共服务设施配套，推进</w:t>
      </w:r>
      <w:r>
        <w:rPr>
          <w:rFonts w:hint="eastAsia" w:ascii="仿宋_GB2312" w:hAnsi="仿宋_GB2312"/>
          <w:b w:val="0"/>
          <w:bCs w:val="0"/>
          <w:highlight w:val="none"/>
          <w:lang w:eastAsia="zh-CN"/>
        </w:rPr>
        <w:t>“</w:t>
      </w:r>
      <w:r>
        <w:rPr>
          <w:rFonts w:hint="eastAsia" w:ascii="Times New Roman" w:hAnsi="Times New Roman"/>
          <w:b w:val="0"/>
          <w:bCs w:val="0"/>
          <w:highlight w:val="none"/>
        </w:rPr>
        <w:t>活力海东</w:t>
      </w:r>
      <w:r>
        <w:rPr>
          <w:rFonts w:hint="eastAsia" w:ascii="仿宋_GB2312" w:hAnsi="仿宋_GB2312"/>
          <w:b w:val="0"/>
          <w:bCs w:val="0"/>
          <w:highlight w:val="none"/>
          <w:lang w:eastAsia="zh-CN"/>
        </w:rPr>
        <w:t>”</w:t>
      </w:r>
      <w:r>
        <w:rPr>
          <w:rFonts w:hint="eastAsia" w:ascii="Times New Roman" w:hAnsi="Times New Roman"/>
          <w:b w:val="0"/>
          <w:bCs w:val="0"/>
          <w:highlight w:val="none"/>
        </w:rPr>
        <w:t>基础设施建设，提升区域综合承载力和宜居品</w:t>
      </w:r>
      <w:r>
        <w:rPr>
          <w:rFonts w:hint="default" w:ascii="Times New Roman" w:hAnsi="Times New Roman" w:cs="Times New Roman"/>
          <w:b w:val="0"/>
          <w:bCs w:val="0"/>
          <w:highlight w:val="none"/>
        </w:rPr>
        <w:t>质。</w:t>
      </w:r>
      <w:r>
        <w:rPr>
          <w:rFonts w:hint="eastAsia" w:cs="Times New Roman"/>
          <w:highlight w:val="none"/>
          <w:lang w:val="en-US" w:eastAsia="zh-CN"/>
        </w:rPr>
        <w:t>结合</w:t>
      </w:r>
      <w:r>
        <w:rPr>
          <w:rFonts w:hint="eastAsia" w:ascii="仿宋_GB2312" w:hAnsi="仿宋_GB2312" w:cs="Times New Roman"/>
          <w:highlight w:val="none"/>
          <w:lang w:val="en-US" w:eastAsia="zh-CN"/>
        </w:rPr>
        <w:t>“</w:t>
      </w:r>
      <w:r>
        <w:rPr>
          <w:rFonts w:hint="eastAsia" w:ascii="Times New Roman" w:hAnsi="Times New Roman" w:cs="Times New Roman"/>
          <w:highlight w:val="none"/>
          <w:lang w:val="en-US" w:eastAsia="zh-CN"/>
        </w:rPr>
        <w:t>百千万工程</w:t>
      </w:r>
      <w:r>
        <w:rPr>
          <w:rFonts w:hint="eastAsia" w:ascii="仿宋_GB2312" w:hAnsi="仿宋_GB2312" w:cs="Times New Roman"/>
          <w:highlight w:val="none"/>
          <w:lang w:val="en-US" w:eastAsia="zh-CN"/>
        </w:rPr>
        <w:t>”</w:t>
      </w:r>
      <w:r>
        <w:rPr>
          <w:rFonts w:hint="eastAsia" w:cs="Times New Roman"/>
          <w:highlight w:val="none"/>
          <w:lang w:val="en-US" w:eastAsia="zh-CN"/>
        </w:rPr>
        <w:t>纵深推进</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推动</w:t>
      </w:r>
      <w:r>
        <w:rPr>
          <w:rFonts w:hint="default" w:ascii="Times New Roman" w:hAnsi="Times New Roman" w:cs="Times New Roman"/>
          <w:highlight w:val="none"/>
          <w:lang w:val="en-US" w:eastAsia="zh-CN"/>
        </w:rPr>
        <w:t>坡头镇、龙头镇等典型镇</w:t>
      </w:r>
      <w:r>
        <w:rPr>
          <w:rFonts w:hint="eastAsia" w:ascii="Times New Roman" w:hAnsi="Times New Roman" w:cs="Times New Roman"/>
          <w:highlight w:val="none"/>
          <w:lang w:val="en-US" w:eastAsia="zh-CN"/>
        </w:rPr>
        <w:t>建设优质生活区</w:t>
      </w:r>
      <w:r>
        <w:rPr>
          <w:rFonts w:hint="default" w:ascii="Times New Roman" w:hAnsi="Times New Roman" w:cs="Times New Roman"/>
          <w:highlight w:val="none"/>
          <w:lang w:val="en-US" w:eastAsia="zh-CN"/>
        </w:rPr>
        <w:t>，</w:t>
      </w:r>
      <w:r>
        <w:rPr>
          <w:rFonts w:hint="eastAsia" w:cs="Times New Roman"/>
          <w:highlight w:val="none"/>
          <w:lang w:val="en-US" w:eastAsia="zh-CN"/>
        </w:rPr>
        <w:t>满足</w:t>
      </w:r>
      <w:r>
        <w:rPr>
          <w:rFonts w:hint="default" w:ascii="Times New Roman" w:hAnsi="Times New Roman"/>
          <w:highlight w:val="none"/>
          <w:lang w:val="en-US" w:eastAsia="zh-CN"/>
        </w:rPr>
        <w:t>本地居民对于住房品质改善</w:t>
      </w:r>
      <w:r>
        <w:rPr>
          <w:rFonts w:hint="eastAsia" w:ascii="Times New Roman" w:hAnsi="Times New Roman"/>
          <w:highlight w:val="none"/>
          <w:lang w:val="en-US" w:eastAsia="zh-CN"/>
        </w:rPr>
        <w:t>的</w:t>
      </w:r>
      <w:r>
        <w:rPr>
          <w:rFonts w:hint="default" w:ascii="Times New Roman" w:hAnsi="Times New Roman"/>
          <w:highlight w:val="none"/>
          <w:lang w:val="en-US" w:eastAsia="zh-CN"/>
        </w:rPr>
        <w:t>升级需要</w:t>
      </w:r>
      <w:r>
        <w:rPr>
          <w:rFonts w:hint="default" w:ascii="Times New Roman" w:hAnsi="Times New Roman" w:cs="Times New Roman"/>
          <w:highlight w:val="none"/>
          <w:lang w:val="en-US" w:eastAsia="zh-CN"/>
        </w:rPr>
        <w:t>。</w:t>
      </w:r>
      <w:r>
        <w:rPr>
          <w:rFonts w:hint="default" w:cs="Times New Roman"/>
          <w:highlight w:val="none"/>
        </w:rPr>
        <w:t>深度挖掘滨海特色、军港文化、南油历史等资源禀赋，统筹推进南调河</w:t>
      </w:r>
      <w:r>
        <w:rPr>
          <w:rFonts w:hint="eastAsia" w:cs="Times New Roman"/>
          <w:highlight w:val="none"/>
          <w:lang w:eastAsia="zh-CN"/>
        </w:rPr>
        <w:t>—</w:t>
      </w:r>
      <w:r>
        <w:rPr>
          <w:rFonts w:hint="default" w:cs="Times New Roman"/>
          <w:highlight w:val="none"/>
        </w:rPr>
        <w:t>南油港</w:t>
      </w:r>
      <w:r>
        <w:rPr>
          <w:rFonts w:hint="eastAsia" w:cs="Times New Roman"/>
          <w:highlight w:val="none"/>
          <w:lang w:eastAsia="zh-CN"/>
        </w:rPr>
        <w:t>、</w:t>
      </w:r>
      <w:r>
        <w:rPr>
          <w:rFonts w:hint="eastAsia" w:cs="Times New Roman"/>
          <w:highlight w:val="none"/>
          <w:lang w:val="en-US" w:eastAsia="zh-CN"/>
        </w:rPr>
        <w:t>军港湾等片区</w:t>
      </w:r>
      <w:r>
        <w:rPr>
          <w:rFonts w:hint="default" w:cs="Times New Roman"/>
          <w:highlight w:val="none"/>
        </w:rPr>
        <w:t>城市更新，塑造辨识度鲜明的城市形象。</w:t>
      </w:r>
      <w:r>
        <w:rPr>
          <w:rFonts w:hint="default" w:ascii="Times New Roman" w:hAnsi="Times New Roman" w:cs="Times New Roman"/>
          <w:highlight w:val="none"/>
          <w:lang w:val="en-US" w:eastAsia="zh-CN"/>
        </w:rPr>
        <w:t>加快</w:t>
      </w:r>
      <w:r>
        <w:rPr>
          <w:rFonts w:hint="eastAsia" w:cs="Times New Roman"/>
          <w:highlight w:val="none"/>
          <w:lang w:val="en-US" w:eastAsia="zh-CN"/>
        </w:rPr>
        <w:t>推进南油宜居城区更新片区闲置资产盘活利用及城中村拆整结合</w:t>
      </w:r>
      <w:r>
        <w:rPr>
          <w:rFonts w:hint="default" w:ascii="Times New Roman" w:hAnsi="Times New Roman" w:cs="Times New Roman"/>
          <w:highlight w:val="none"/>
          <w:lang w:val="en-US" w:eastAsia="zh-CN"/>
        </w:rPr>
        <w:t>，推动</w:t>
      </w:r>
      <w:r>
        <w:rPr>
          <w:rFonts w:hint="eastAsia" w:cs="Times New Roman"/>
          <w:highlight w:val="none"/>
          <w:lang w:val="en-US" w:eastAsia="zh-CN"/>
        </w:rPr>
        <w:t>城镇</w:t>
      </w:r>
      <w:r>
        <w:rPr>
          <w:rFonts w:hint="default" w:ascii="Times New Roman" w:hAnsi="Times New Roman" w:cs="Times New Roman"/>
          <w:highlight w:val="none"/>
          <w:lang w:val="en-US" w:eastAsia="zh-CN"/>
        </w:rPr>
        <w:t>老旧小区</w:t>
      </w:r>
      <w:r>
        <w:rPr>
          <w:rFonts w:hint="eastAsia" w:cs="Times New Roman"/>
          <w:highlight w:val="none"/>
          <w:lang w:val="en-US" w:eastAsia="zh-CN"/>
        </w:rPr>
        <w:t>整治</w:t>
      </w:r>
      <w:r>
        <w:rPr>
          <w:rFonts w:hint="default" w:ascii="Times New Roman" w:hAnsi="Times New Roman" w:cs="Times New Roman"/>
          <w:highlight w:val="none"/>
          <w:lang w:val="en-US" w:eastAsia="zh-CN"/>
        </w:rPr>
        <w:t>改造，探索建设未来社区（完整社区），全面改善群众居住品质。</w:t>
      </w:r>
      <w:r>
        <w:rPr>
          <w:rFonts w:hint="default" w:cs="Times New Roman"/>
          <w:highlight w:val="none"/>
        </w:rPr>
        <w:t>依托东海岸和南三岛滨海资源，积极发展旅居、康养社区等多元化居住产品，打造滨海旅游与康养居住深度融合的旅居目的地</w:t>
      </w:r>
      <w:r>
        <w:rPr>
          <w:rFonts w:hint="default" w:ascii="Times New Roman" w:hAnsi="Times New Roman" w:cs="Times New Roman"/>
          <w:highlight w:val="none"/>
          <w:lang w:val="en-US" w:eastAsia="zh-CN"/>
        </w:rPr>
        <w:t>。</w:t>
      </w:r>
    </w:p>
    <w:p w14:paraId="50DA7F0F">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4.麻章区</w:t>
      </w:r>
    </w:p>
    <w:p w14:paraId="70051881">
      <w:pPr>
        <w:keepNext w:val="0"/>
        <w:keepLines w:val="0"/>
        <w:pageBreakBefore w:val="0"/>
        <w:widowControl/>
        <w:kinsoku/>
        <w:wordWrap/>
        <w:overflowPunct/>
        <w:topLinePunct w:val="0"/>
        <w:autoSpaceDE/>
        <w:autoSpaceDN/>
        <w:bidi w:val="0"/>
        <w:adjustRightInd/>
        <w:snapToGrid/>
        <w:spacing w:beforeLines="0" w:afterLines="0"/>
        <w:textAlignment w:val="auto"/>
        <w:rPr>
          <w:rFonts w:hint="default" w:ascii="Times New Roman" w:hAnsi="Times New Roman"/>
          <w:highlight w:val="none"/>
          <w:lang w:val="en-US" w:eastAsia="zh-CN"/>
        </w:rPr>
      </w:pPr>
      <w:r>
        <w:rPr>
          <w:rFonts w:hint="eastAsia" w:ascii="Times New Roman" w:hAnsi="Times New Roman"/>
          <w:b w:val="0"/>
          <w:bCs w:val="0"/>
          <w:highlight w:val="none"/>
        </w:rPr>
        <w:t>以打造</w:t>
      </w:r>
      <w:r>
        <w:rPr>
          <w:rFonts w:hint="eastAsia" w:ascii="仿宋_GB2312" w:hAnsi="仿宋_GB2312"/>
          <w:b w:val="0"/>
          <w:bCs w:val="0"/>
          <w:highlight w:val="none"/>
          <w:lang w:eastAsia="zh-CN"/>
        </w:rPr>
        <w:t>“</w:t>
      </w:r>
      <w:r>
        <w:rPr>
          <w:rFonts w:hint="eastAsia" w:ascii="Times New Roman" w:hAnsi="Times New Roman"/>
          <w:b w:val="0"/>
          <w:bCs w:val="0"/>
          <w:highlight w:val="none"/>
        </w:rPr>
        <w:t>六个麻章</w:t>
      </w:r>
      <w:r>
        <w:rPr>
          <w:rFonts w:hint="eastAsia" w:ascii="仿宋_GB2312" w:hAnsi="仿宋_GB2312"/>
          <w:b w:val="0"/>
          <w:bCs w:val="0"/>
          <w:highlight w:val="none"/>
          <w:lang w:eastAsia="zh-CN"/>
        </w:rPr>
        <w:t>”</w:t>
      </w:r>
      <w:r>
        <w:rPr>
          <w:rFonts w:hint="eastAsia" w:ascii="Times New Roman" w:hAnsi="Times New Roman"/>
          <w:b w:val="0"/>
          <w:bCs w:val="0"/>
          <w:highlight w:val="none"/>
        </w:rPr>
        <w:t>为引领，依托高铁新城枢纽建设，构建产城融合、职住平衡的住房发展格局。</w:t>
      </w:r>
      <w:r>
        <w:rPr>
          <w:rFonts w:hint="default" w:ascii="Times New Roman" w:hAnsi="Times New Roman" w:cs="Times New Roman"/>
          <w:highlight w:val="none"/>
          <w:lang w:val="en-US" w:eastAsia="zh-CN"/>
        </w:rPr>
        <w:t>依托湛江西站综合交通枢纽，加快推进</w:t>
      </w:r>
      <w:r>
        <w:rPr>
          <w:rFonts w:hint="eastAsia" w:cs="Times New Roman"/>
          <w:highlight w:val="none"/>
          <w:lang w:val="en-US" w:eastAsia="zh-CN"/>
        </w:rPr>
        <w:t>西城</w:t>
      </w:r>
      <w:r>
        <w:rPr>
          <w:rFonts w:hint="default" w:ascii="Times New Roman" w:hAnsi="Times New Roman" w:cs="Times New Roman"/>
          <w:highlight w:val="none"/>
          <w:lang w:val="en-US" w:eastAsia="zh-CN"/>
        </w:rPr>
        <w:t>片区</w:t>
      </w:r>
      <w:r>
        <w:rPr>
          <w:rFonts w:hint="eastAsia" w:ascii="Times New Roman" w:hAnsi="Times New Roman" w:cs="Times New Roman"/>
          <w:highlight w:val="none"/>
          <w:lang w:val="en-US" w:eastAsia="zh-CN"/>
        </w:rPr>
        <w:t>房地产开发建设，充分发挥高铁枢纽的要素集聚效应，</w:t>
      </w:r>
      <w:r>
        <w:rPr>
          <w:rFonts w:hint="default" w:ascii="Times New Roman" w:hAnsi="Times New Roman"/>
          <w:highlight w:val="none"/>
          <w:lang w:val="en-US" w:eastAsia="zh-CN"/>
        </w:rPr>
        <w:t>吸引更多创新、资本、人才等要素</w:t>
      </w:r>
      <w:r>
        <w:rPr>
          <w:rFonts w:hint="eastAsia"/>
          <w:highlight w:val="none"/>
          <w:lang w:val="en-US" w:eastAsia="zh-CN"/>
        </w:rPr>
        <w:t>集聚</w:t>
      </w:r>
      <w:r>
        <w:rPr>
          <w:rFonts w:hint="default" w:ascii="Times New Roman" w:hAnsi="Times New Roman" w:cs="Times New Roman"/>
          <w:highlight w:val="none"/>
          <w:lang w:val="en-US" w:eastAsia="zh-CN"/>
        </w:rPr>
        <w:t>。</w:t>
      </w:r>
      <w:r>
        <w:rPr>
          <w:rFonts w:hint="default" w:ascii="Times New Roman" w:hAnsi="Times New Roman" w:cs="Times New Roman"/>
          <w:highlight w:val="none"/>
        </w:rPr>
        <w:t>盘活园区闲置土地、农村集体土地，推进西城片区、产业园区等重点片区新增用地土地收储。</w:t>
      </w:r>
      <w:r>
        <w:rPr>
          <w:rFonts w:hint="default" w:ascii="Times New Roman" w:hAnsi="Times New Roman" w:cs="Times New Roman"/>
          <w:highlight w:val="none"/>
          <w:lang w:val="en-US" w:eastAsia="zh-CN"/>
        </w:rPr>
        <w:t>推进西城保障性住房建设</w:t>
      </w:r>
      <w:r>
        <w:rPr>
          <w:rFonts w:hint="eastAsia" w:cs="Times New Roman"/>
          <w:highlight w:val="none"/>
          <w:lang w:val="en-US" w:eastAsia="zh-CN"/>
        </w:rPr>
        <w:t>，</w:t>
      </w:r>
      <w:r>
        <w:rPr>
          <w:rFonts w:hint="default" w:ascii="Times New Roman" w:hAnsi="Times New Roman" w:cs="Times New Roman"/>
          <w:highlight w:val="none"/>
          <w:lang w:val="en-US" w:eastAsia="zh-CN"/>
        </w:rPr>
        <w:t>优化森工产业园、太和工业园</w:t>
      </w:r>
      <w:r>
        <w:rPr>
          <w:rFonts w:hint="eastAsia" w:ascii="Times New Roman" w:hAnsi="Times New Roman" w:cs="Times New Roman"/>
          <w:highlight w:val="none"/>
          <w:lang w:val="en-US" w:eastAsia="zh-CN"/>
        </w:rPr>
        <w:t>、三佰洋工业园</w:t>
      </w:r>
      <w:r>
        <w:rPr>
          <w:rFonts w:hint="default" w:ascii="Times New Roman" w:hAnsi="Times New Roman" w:cs="Times New Roman"/>
          <w:highlight w:val="none"/>
          <w:lang w:val="en-US" w:eastAsia="zh-CN"/>
        </w:rPr>
        <w:t>等产业集聚区的居住与服务配套，</w:t>
      </w:r>
      <w:r>
        <w:rPr>
          <w:rFonts w:hint="eastAsia" w:ascii="仿宋_GB2312" w:hAnsi="仿宋_GB2312" w:cs="仿宋_GB2312"/>
          <w:highlight w:val="none"/>
          <w:lang w:val="en-US" w:eastAsia="zh-CN"/>
        </w:rPr>
        <w:t>促进职住平衡与园区提质增效。</w:t>
      </w:r>
      <w:r>
        <w:rPr>
          <w:rFonts w:hint="eastAsia" w:ascii="仿宋_GB2312" w:hAnsi="仿宋_GB2312" w:cs="仿宋_GB2312"/>
          <w:highlight w:val="none"/>
        </w:rPr>
        <w:t>加快城市更新步伐，推进麻章镇政府片区老旧小区改造。</w:t>
      </w:r>
      <w:r>
        <w:rPr>
          <w:rFonts w:hint="eastAsia" w:ascii="仿宋_GB2312" w:hAnsi="仿宋_GB2312" w:cs="仿宋_GB2312"/>
          <w:highlight w:val="none"/>
          <w:lang w:val="en-US" w:eastAsia="zh-CN"/>
        </w:rPr>
        <w:t>围绕那柳“贰拾叁都”、金牛岛红树林、铁耙县遗址、湖光岩、南亚热带植物园等旅游示</w:t>
      </w:r>
      <w:r>
        <w:rPr>
          <w:rFonts w:hint="default" w:ascii="Times New Roman" w:hAnsi="Times New Roman" w:cs="Times New Roman"/>
          <w:highlight w:val="none"/>
          <w:lang w:val="en-US" w:eastAsia="zh-CN"/>
        </w:rPr>
        <w:t>范带</w:t>
      </w:r>
      <w:r>
        <w:rPr>
          <w:rFonts w:hint="eastAsia" w:cs="Times New Roman"/>
          <w:highlight w:val="none"/>
          <w:lang w:val="en-US" w:eastAsia="zh-CN"/>
        </w:rPr>
        <w:t>建设</w:t>
      </w:r>
      <w:r>
        <w:rPr>
          <w:rFonts w:hint="default" w:ascii="Times New Roman" w:hAnsi="Times New Roman" w:cs="Times New Roman"/>
          <w:highlight w:val="none"/>
          <w:lang w:val="en-US" w:eastAsia="zh-CN"/>
        </w:rPr>
        <w:t>，</w:t>
      </w:r>
      <w:r>
        <w:rPr>
          <w:rFonts w:hint="eastAsia" w:ascii="Times New Roman" w:hAnsi="Times New Roman" w:eastAsia="仿宋_GB2312" w:cs="Times New Roman"/>
          <w:sz w:val="32"/>
          <w:highlight w:val="none"/>
          <w14:ligatures w14:val="none"/>
        </w:rPr>
        <w:t>推动房地产开发企业完善休闲度假地产配套设施，强化设施共享</w:t>
      </w:r>
      <w:r>
        <w:rPr>
          <w:rFonts w:hint="default" w:ascii="Times New Roman" w:hAnsi="Times New Roman" w:cs="Times New Roman"/>
          <w:highlight w:val="none"/>
          <w:lang w:val="en-US" w:eastAsia="zh-CN"/>
        </w:rPr>
        <w:t>。</w:t>
      </w:r>
    </w:p>
    <w:p w14:paraId="3CC6B960">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5.经开区</w:t>
      </w:r>
    </w:p>
    <w:p w14:paraId="21B597BF">
      <w:pPr>
        <w:widowControl/>
        <w:spacing w:beforeLines="-2147483648" w:afterLines="-2147483648"/>
        <w:jc w:val="left"/>
        <w:rPr>
          <w:rFonts w:hint="eastAsia"/>
          <w:highlight w:val="none"/>
          <w:lang w:eastAsia="zh-CN"/>
        </w:rPr>
      </w:pPr>
      <w:r>
        <w:rPr>
          <w:rFonts w:hint="eastAsia" w:ascii="Times New Roman" w:hAnsi="Times New Roman"/>
          <w:b w:val="0"/>
          <w:bCs w:val="0"/>
          <w:highlight w:val="none"/>
        </w:rPr>
        <w:t>以打造</w:t>
      </w:r>
      <w:r>
        <w:rPr>
          <w:rFonts w:hint="eastAsia" w:ascii="仿宋_GB2312" w:hAnsi="仿宋_GB2312"/>
          <w:b w:val="0"/>
          <w:bCs w:val="0"/>
          <w:highlight w:val="none"/>
          <w:lang w:eastAsia="zh-CN"/>
        </w:rPr>
        <w:t>“</w:t>
      </w:r>
      <w:r>
        <w:rPr>
          <w:rFonts w:hint="eastAsia" w:ascii="Times New Roman" w:hAnsi="Times New Roman"/>
          <w:b w:val="0"/>
          <w:bCs w:val="0"/>
          <w:highlight w:val="none"/>
        </w:rPr>
        <w:t>三区一基地</w:t>
      </w:r>
      <w:r>
        <w:rPr>
          <w:rFonts w:hint="eastAsia" w:ascii="仿宋_GB2312" w:hAnsi="仿宋_GB2312"/>
          <w:b w:val="0"/>
          <w:bCs w:val="0"/>
          <w:highlight w:val="none"/>
          <w:lang w:eastAsia="zh-CN"/>
        </w:rPr>
        <w:t>”</w:t>
      </w:r>
      <w:r>
        <w:rPr>
          <w:rFonts w:hint="eastAsia" w:ascii="Times New Roman" w:hAnsi="Times New Roman"/>
          <w:b w:val="0"/>
          <w:bCs w:val="0"/>
          <w:highlight w:val="none"/>
        </w:rPr>
        <w:t>为引领，聚焦中央商务区与东海岛产业新城双核驱动，构建以产业人才安居为核心的多元化住房保障体系，推动区域向现代化滨海工业新城转型。推进高品质中央商务区和现代商贸中心建设，统筹布局高品质商品住房和人才公寓，完善周边商业、医疗、教育等公共服务设施，持续提升居住品质和服务能级，打造宜居宜业的高端人才集聚区。聚焦东海岛产业园区建设，统筹布局人才公寓</w:t>
      </w:r>
      <w:r>
        <w:rPr>
          <w:rFonts w:hint="eastAsia"/>
          <w:b w:val="0"/>
          <w:bCs w:val="0"/>
          <w:highlight w:val="none"/>
          <w:lang w:val="en-US" w:eastAsia="zh-CN"/>
        </w:rPr>
        <w:t>及</w:t>
      </w:r>
      <w:r>
        <w:rPr>
          <w:rFonts w:hint="eastAsia" w:ascii="Times New Roman" w:hAnsi="Times New Roman"/>
          <w:b w:val="0"/>
          <w:bCs w:val="0"/>
          <w:highlight w:val="none"/>
        </w:rPr>
        <w:t>保障性住房，完善园区商业、生活、公共服务功能，加快酒店、商业综合体、职业教育中心等配套设施建设，有效支持和吸引各类产业人才落户发展。</w:t>
      </w:r>
      <w:r>
        <w:rPr>
          <w:rFonts w:hint="eastAsia"/>
          <w:b w:val="0"/>
          <w:bCs w:val="0"/>
          <w:highlight w:val="none"/>
          <w:lang w:val="en-US" w:eastAsia="zh-CN"/>
        </w:rPr>
        <w:t>采取拆整结合、综合整治等改造方式，统筹推进万达滨海、滨水等片区城市更新，切实改善人居环境品质。</w:t>
      </w:r>
      <w:r>
        <w:rPr>
          <w:rFonts w:hint="eastAsia"/>
          <w:highlight w:val="none"/>
        </w:rPr>
        <w:t>依托东海岛滨海资源优势，统筹推进滨海休闲旅游区建设与多元化旅居产品布局，完善高端度假酒店、海水温泉康养等配套设施</w:t>
      </w:r>
      <w:r>
        <w:rPr>
          <w:rFonts w:hint="eastAsia"/>
          <w:highlight w:val="none"/>
          <w:lang w:eastAsia="zh-CN"/>
        </w:rPr>
        <w:t>。</w:t>
      </w:r>
    </w:p>
    <w:p w14:paraId="16140CD1">
      <w:pPr>
        <w:pStyle w:val="3"/>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bookmarkStart w:id="190" w:name="_Toc8505"/>
      <w:bookmarkStart w:id="191" w:name="_Toc16125"/>
      <w:bookmarkStart w:id="192" w:name="_Toc1388261906"/>
      <w:bookmarkStart w:id="193" w:name="_Toc22154"/>
      <w:bookmarkStart w:id="194" w:name="_Toc14497"/>
      <w:bookmarkStart w:id="195" w:name="_Toc18911"/>
      <w:bookmarkStart w:id="196" w:name="_Toc22490"/>
      <w:bookmarkStart w:id="197" w:name="_Toc2107911188"/>
      <w:bookmarkStart w:id="198" w:name="_Toc1227197392"/>
      <w:bookmarkStart w:id="199" w:name="_Toc16516"/>
      <w:bookmarkStart w:id="200" w:name="_Toc693"/>
      <w:bookmarkStart w:id="201" w:name="_Toc25201"/>
      <w:bookmarkStart w:id="202" w:name="_Toc11918"/>
      <w:bookmarkStart w:id="203" w:name="_Toc27958"/>
      <w:bookmarkStart w:id="204" w:name="_Toc31098"/>
      <w:bookmarkStart w:id="205" w:name="_Toc26382"/>
      <w:r>
        <w:rPr>
          <w:rFonts w:hint="eastAsia"/>
          <w:highlight w:val="none"/>
          <w:lang w:val="en-US" w:eastAsia="zh-CN"/>
        </w:rPr>
        <w:t>（二）县市指引</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0798B028">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default"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1.廉江市</w:t>
      </w:r>
    </w:p>
    <w:p w14:paraId="07C6444D">
      <w:pPr>
        <w:spacing w:beforeLines="0" w:afterLines="0"/>
        <w:ind w:firstLine="640" w:firstLineChars="200"/>
        <w:rPr>
          <w:rFonts w:hint="eastAsia" w:ascii="Times New Roman" w:hAnsi="Times New Roman"/>
          <w:color w:val="auto"/>
          <w:highlight w:val="none"/>
        </w:rPr>
      </w:pPr>
      <w:r>
        <w:rPr>
          <w:rFonts w:hint="eastAsia" w:ascii="Times New Roman" w:hAnsi="Times New Roman" w:cs="仿宋_GB2312"/>
          <w:b w:val="0"/>
          <w:bCs w:val="0"/>
          <w:color w:val="auto"/>
          <w:highlight w:val="none"/>
          <w:u w:val="none"/>
          <w:shd w:val="clear" w:fill="FFFFFF"/>
          <w:lang w:eastAsia="zh-CN"/>
        </w:rPr>
        <w:t>以</w:t>
      </w:r>
      <w:r>
        <w:rPr>
          <w:rFonts w:hint="eastAsia" w:ascii="仿宋_GB2312" w:hAnsi="仿宋_GB2312" w:cs="仿宋_GB2312"/>
          <w:color w:val="auto"/>
          <w:highlight w:val="none"/>
          <w:u w:val="none"/>
          <w:shd w:val="clear" w:fill="FFFFFF"/>
          <w:lang w:eastAsia="zh-CN"/>
        </w:rPr>
        <w:t>“</w:t>
      </w:r>
      <w:r>
        <w:rPr>
          <w:rFonts w:hint="eastAsia" w:ascii="仿宋_GB2312" w:hAnsi="仿宋_GB2312" w:cs="仿宋_GB2312"/>
          <w:color w:val="auto"/>
          <w:highlight w:val="none"/>
          <w:u w:val="none"/>
          <w:shd w:val="clear" w:fill="FFFFFF"/>
        </w:rPr>
        <w:t>打造跨越式高质量发展先行市</w:t>
      </w:r>
      <w:r>
        <w:rPr>
          <w:rFonts w:hint="eastAsia" w:ascii="仿宋_GB2312" w:hAnsi="仿宋_GB2312" w:cs="仿宋_GB2312"/>
          <w:color w:val="auto"/>
          <w:highlight w:val="none"/>
          <w:u w:val="none"/>
          <w:shd w:val="clear" w:fill="FFFFFF"/>
          <w:lang w:eastAsia="zh-CN"/>
        </w:rPr>
        <w:t>”</w:t>
      </w:r>
      <w:r>
        <w:rPr>
          <w:rFonts w:hint="eastAsia" w:ascii="Times New Roman" w:hAnsi="Times New Roman" w:cs="仿宋_GB2312"/>
          <w:b w:val="0"/>
          <w:bCs w:val="0"/>
          <w:color w:val="auto"/>
          <w:highlight w:val="none"/>
          <w:u w:val="none"/>
          <w:shd w:val="clear" w:fill="FFFFFF"/>
          <w:lang w:eastAsia="zh-CN"/>
        </w:rPr>
        <w:t>为引领，实施</w:t>
      </w:r>
      <w:r>
        <w:rPr>
          <w:rFonts w:hint="eastAsia" w:ascii="仿宋_GB2312" w:hAnsi="仿宋_GB2312" w:cs="仿宋_GB2312"/>
          <w:b w:val="0"/>
          <w:bCs w:val="0"/>
          <w:color w:val="auto"/>
          <w:highlight w:val="none"/>
          <w:u w:val="none"/>
          <w:shd w:val="clear" w:fill="FFFFFF"/>
          <w:lang w:eastAsia="zh-CN"/>
        </w:rPr>
        <w:t>“</w:t>
      </w:r>
      <w:r>
        <w:rPr>
          <w:rFonts w:hint="eastAsia" w:ascii="Times New Roman" w:hAnsi="Times New Roman" w:cs="仿宋_GB2312"/>
          <w:b w:val="0"/>
          <w:bCs w:val="0"/>
          <w:color w:val="auto"/>
          <w:highlight w:val="none"/>
          <w:u w:val="none"/>
          <w:shd w:val="clear" w:fill="FFFFFF"/>
          <w:lang w:eastAsia="zh-CN"/>
        </w:rPr>
        <w:t>一主两副四轴带</w:t>
      </w:r>
      <w:r>
        <w:rPr>
          <w:rFonts w:hint="eastAsia" w:ascii="仿宋_GB2312" w:hAnsi="仿宋_GB2312" w:cs="仿宋_GB2312"/>
          <w:b w:val="0"/>
          <w:bCs w:val="0"/>
          <w:color w:val="auto"/>
          <w:highlight w:val="none"/>
          <w:u w:val="none"/>
          <w:shd w:val="clear" w:fill="FFFFFF"/>
          <w:lang w:eastAsia="zh-CN"/>
        </w:rPr>
        <w:t>”</w:t>
      </w:r>
      <w:r>
        <w:rPr>
          <w:rFonts w:hint="eastAsia" w:ascii="Times New Roman" w:hAnsi="Times New Roman" w:cs="仿宋_GB2312"/>
          <w:b w:val="0"/>
          <w:bCs w:val="0"/>
          <w:color w:val="auto"/>
          <w:highlight w:val="none"/>
          <w:u w:val="none"/>
          <w:shd w:val="clear" w:fill="FFFFFF"/>
          <w:lang w:eastAsia="zh-CN"/>
        </w:rPr>
        <w:t>城镇空间布局，构建以县城为龙头、重点镇为支撑的住房供给体系。</w:t>
      </w:r>
      <w:r>
        <w:rPr>
          <w:rFonts w:hint="default" w:ascii="Times New Roman" w:hAnsi="Times New Roman" w:cs="Times New Roman"/>
          <w:highlight w:val="none"/>
          <w:lang w:val="en-US" w:eastAsia="zh-CN"/>
        </w:rPr>
        <w:t>稳步增加</w:t>
      </w:r>
      <w:r>
        <w:rPr>
          <w:rFonts w:hint="default" w:ascii="Times New Roman" w:hAnsi="Times New Roman" w:cs="Times New Roman"/>
          <w:highlight w:val="none"/>
        </w:rPr>
        <w:t>横山</w:t>
      </w:r>
      <w:r>
        <w:rPr>
          <w:rFonts w:hint="eastAsia" w:cs="Times New Roman"/>
          <w:highlight w:val="none"/>
          <w:lang w:eastAsia="zh-CN"/>
        </w:rPr>
        <w:t>—</w:t>
      </w:r>
      <w:r>
        <w:rPr>
          <w:rFonts w:hint="default" w:ascii="Times New Roman" w:hAnsi="Times New Roman" w:cs="Times New Roman"/>
          <w:highlight w:val="none"/>
        </w:rPr>
        <w:t>安铺、石岭两大副中心</w:t>
      </w:r>
      <w:r>
        <w:rPr>
          <w:rFonts w:hint="default" w:ascii="Times New Roman" w:hAnsi="Times New Roman" w:cs="Times New Roman"/>
          <w:highlight w:val="none"/>
          <w:lang w:val="en-US" w:eastAsia="zh-CN"/>
        </w:rPr>
        <w:t>住房供给，提升</w:t>
      </w:r>
      <w:r>
        <w:rPr>
          <w:rFonts w:hint="eastAsia" w:ascii="Times New Roman" w:hAnsi="Times New Roman" w:cs="Times New Roman"/>
          <w:highlight w:val="none"/>
          <w:lang w:val="en-US" w:eastAsia="zh-CN"/>
        </w:rPr>
        <w:t>区域内</w:t>
      </w:r>
      <w:r>
        <w:rPr>
          <w:rFonts w:hint="default" w:ascii="Times New Roman" w:hAnsi="Times New Roman" w:cs="Times New Roman"/>
          <w:highlight w:val="none"/>
          <w:lang w:val="en-US" w:eastAsia="zh-CN"/>
        </w:rPr>
        <w:t>教育医疗服务水平，优化城市公共服务配套</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发挥好房地产开发对城镇建设的带动作用。</w:t>
      </w:r>
      <w:r>
        <w:rPr>
          <w:rFonts w:hint="default" w:cs="Times New Roman"/>
          <w:highlight w:val="none"/>
        </w:rPr>
        <w:t>盘活存量建设用地，加快批而未供和闲置土地处置</w:t>
      </w:r>
      <w:r>
        <w:rPr>
          <w:rFonts w:hint="default" w:ascii="Times New Roman" w:hAnsi="Times New Roman" w:cs="Times New Roman"/>
          <w:highlight w:val="none"/>
          <w:lang w:val="en-US" w:eastAsia="zh-CN"/>
        </w:rPr>
        <w:t>，推进老旧城区新型城镇化提升改造项目，高标准推进红花岭、万亩植物园核心片区规划落地。完善</w:t>
      </w:r>
      <w:r>
        <w:rPr>
          <w:rFonts w:hint="eastAsia" w:ascii="Times New Roman" w:hAnsi="Times New Roman" w:cs="Times New Roman"/>
          <w:highlight w:val="none"/>
          <w:lang w:val="en-US" w:eastAsia="zh-CN"/>
        </w:rPr>
        <w:t>高新技术产业园</w:t>
      </w:r>
      <w:r>
        <w:rPr>
          <w:rFonts w:hint="default" w:ascii="Times New Roman" w:hAnsi="Times New Roman" w:cs="Times New Roman"/>
          <w:highlight w:val="none"/>
          <w:lang w:val="en-US" w:eastAsia="zh-CN"/>
        </w:rPr>
        <w:t>、</w:t>
      </w:r>
      <w:r>
        <w:rPr>
          <w:rFonts w:hint="default" w:ascii="Times New Roman" w:hAnsi="Times New Roman" w:cs="Times New Roman"/>
          <w:highlight w:val="none"/>
        </w:rPr>
        <w:t>廉江核电配套产业园</w:t>
      </w:r>
      <w:r>
        <w:rPr>
          <w:rFonts w:hint="default" w:ascii="Times New Roman" w:hAnsi="Times New Roman" w:cs="Times New Roman"/>
          <w:highlight w:val="none"/>
          <w:lang w:val="en-US" w:eastAsia="zh-CN"/>
        </w:rPr>
        <w:t>等产业集聚区的居住生活配套，</w:t>
      </w:r>
      <w:r>
        <w:rPr>
          <w:rFonts w:hint="eastAsia" w:ascii="Times New Roman" w:hAnsi="Times New Roman"/>
          <w:color w:val="auto"/>
          <w:highlight w:val="none"/>
          <w:lang w:val="en-US" w:eastAsia="zh-CN"/>
        </w:rPr>
        <w:t>加强</w:t>
      </w:r>
      <w:r>
        <w:rPr>
          <w:rFonts w:hint="eastAsia" w:ascii="Times New Roman" w:hAnsi="Times New Roman"/>
          <w:color w:val="auto"/>
          <w:highlight w:val="none"/>
        </w:rPr>
        <w:t>保障性住房</w:t>
      </w:r>
      <w:r>
        <w:rPr>
          <w:rFonts w:hint="eastAsia" w:ascii="Times New Roman" w:hAnsi="Times New Roman"/>
          <w:color w:val="auto"/>
          <w:highlight w:val="none"/>
          <w:lang w:val="en-US" w:eastAsia="zh-CN"/>
        </w:rPr>
        <w:t>运营管理</w:t>
      </w:r>
      <w:r>
        <w:rPr>
          <w:rFonts w:hint="eastAsia" w:ascii="Times New Roman" w:hAnsi="Times New Roman"/>
          <w:color w:val="auto"/>
          <w:highlight w:val="none"/>
        </w:rPr>
        <w:t>。</w:t>
      </w:r>
    </w:p>
    <w:p w14:paraId="42BE7ED2">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2.雷州市</w:t>
      </w:r>
    </w:p>
    <w:p w14:paraId="05C87918">
      <w:pPr>
        <w:spacing w:beforeLines="0" w:afterLines="0"/>
        <w:ind w:firstLine="640" w:firstLineChars="200"/>
        <w:rPr>
          <w:rFonts w:hint="default" w:ascii="Times New Roman" w:hAnsi="Times New Roman" w:cs="Times New Roman"/>
          <w:highlight w:val="none"/>
          <w:lang w:val="en-US" w:eastAsia="zh-CN"/>
        </w:rPr>
      </w:pPr>
      <w:r>
        <w:rPr>
          <w:rFonts w:hint="eastAsia" w:ascii="仿宋_GB2312" w:hAnsi="仿宋_GB2312" w:cs="仿宋_GB2312"/>
          <w:b w:val="0"/>
          <w:bCs w:val="0"/>
          <w:color w:val="auto"/>
          <w:highlight w:val="none"/>
          <w:u w:val="none"/>
          <w:shd w:val="clear" w:fill="FFFFFF"/>
          <w:lang w:eastAsia="zh-CN"/>
        </w:rPr>
        <w:t>以加快临港经济区建设和雷州新城区建设为双轮驱动，构建增量提质与存量更新并举、产城融合与住房保障协同推进的住房发展体系。</w:t>
      </w:r>
      <w:r>
        <w:rPr>
          <w:rFonts w:hint="eastAsia" w:ascii="Times New Roman" w:hAnsi="Times New Roman" w:cs="Times New Roman"/>
          <w:highlight w:val="none"/>
          <w:lang w:val="en-US" w:eastAsia="zh-CN"/>
        </w:rPr>
        <w:t>围绕</w:t>
      </w:r>
      <w:r>
        <w:rPr>
          <w:rFonts w:hint="default" w:ascii="Times New Roman" w:hAnsi="Times New Roman" w:cs="Times New Roman"/>
          <w:highlight w:val="none"/>
          <w:lang w:val="en-US" w:eastAsia="zh-CN"/>
        </w:rPr>
        <w:t>龙门镇、</w:t>
      </w:r>
      <w:r>
        <w:rPr>
          <w:rFonts w:hint="eastAsia" w:ascii="Times New Roman" w:hAnsi="Times New Roman" w:cs="Times New Roman"/>
          <w:highlight w:val="none"/>
          <w:lang w:val="en-US" w:eastAsia="zh-CN"/>
        </w:rPr>
        <w:t>乌石镇</w:t>
      </w:r>
      <w:r>
        <w:rPr>
          <w:rFonts w:hint="eastAsia" w:cs="Times New Roman"/>
          <w:highlight w:val="none"/>
          <w:lang w:val="en-US" w:eastAsia="zh-CN"/>
        </w:rPr>
        <w:t>和</w:t>
      </w:r>
      <w:r>
        <w:rPr>
          <w:rFonts w:hint="default" w:ascii="Times New Roman" w:hAnsi="Times New Roman" w:cs="Times New Roman"/>
          <w:highlight w:val="none"/>
          <w:lang w:val="en-US" w:eastAsia="zh-CN"/>
        </w:rPr>
        <w:t>客路镇</w:t>
      </w:r>
      <w:r>
        <w:rPr>
          <w:rFonts w:hint="eastAsia" w:ascii="Times New Roman" w:hAnsi="Times New Roman" w:cs="Times New Roman"/>
          <w:highlight w:val="none"/>
          <w:lang w:val="en-US" w:eastAsia="zh-CN"/>
        </w:rPr>
        <w:t>等重点城镇</w:t>
      </w:r>
      <w:r>
        <w:rPr>
          <w:rFonts w:hint="default" w:ascii="Times New Roman" w:hAnsi="Times New Roman" w:cs="Times New Roman"/>
          <w:highlight w:val="none"/>
          <w:lang w:val="en-US" w:eastAsia="zh-CN"/>
        </w:rPr>
        <w:t>建设</w:t>
      </w:r>
      <w:r>
        <w:rPr>
          <w:rFonts w:hint="eastAsia" w:ascii="Times New Roman" w:hAnsi="Times New Roman" w:cs="Times New Roman"/>
          <w:highlight w:val="none"/>
          <w:lang w:val="en-US" w:eastAsia="zh-CN"/>
        </w:rPr>
        <w:t>，</w:t>
      </w:r>
      <w:r>
        <w:rPr>
          <w:rFonts w:hint="eastAsia" w:ascii="Times New Roman" w:hAnsi="Times New Roman" w:cs="Times New Roman"/>
          <w:sz w:val="32"/>
          <w:highlight w:val="none"/>
          <w:lang w:val="en-US" w:eastAsia="zh-CN"/>
          <w14:ligatures w14:val="none"/>
        </w:rPr>
        <w:t>引导新增住房向重点城镇集中布局</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有序</w:t>
      </w:r>
      <w:r>
        <w:rPr>
          <w:rFonts w:hint="eastAsia" w:ascii="Times New Roman" w:hAnsi="Times New Roman" w:cs="Times New Roman"/>
          <w:highlight w:val="none"/>
        </w:rPr>
        <w:t>推进雷城</w:t>
      </w:r>
      <w:r>
        <w:rPr>
          <w:rFonts w:hint="eastAsia" w:cs="Times New Roman"/>
          <w:highlight w:val="none"/>
          <w:lang w:val="en-US" w:eastAsia="zh-CN"/>
        </w:rPr>
        <w:t>街道</w:t>
      </w:r>
      <w:r>
        <w:rPr>
          <w:rFonts w:hint="eastAsia" w:ascii="Times New Roman" w:hAnsi="Times New Roman" w:cs="Times New Roman"/>
          <w:highlight w:val="none"/>
        </w:rPr>
        <w:t>、西湖</w:t>
      </w:r>
      <w:r>
        <w:rPr>
          <w:rFonts w:hint="eastAsia" w:cs="Times New Roman"/>
          <w:highlight w:val="none"/>
          <w:lang w:val="en-US" w:eastAsia="zh-CN"/>
        </w:rPr>
        <w:t>街道</w:t>
      </w:r>
      <w:r>
        <w:rPr>
          <w:rFonts w:hint="eastAsia" w:ascii="Times New Roman" w:hAnsi="Times New Roman" w:cs="Times New Roman"/>
          <w:highlight w:val="none"/>
          <w:lang w:val="en-US" w:eastAsia="zh-CN"/>
        </w:rPr>
        <w:t>等区域老旧小区改造工作，</w:t>
      </w:r>
      <w:r>
        <w:rPr>
          <w:rFonts w:hint="eastAsia" w:ascii="Times New Roman" w:hAnsi="Times New Roman" w:cs="Times New Roman"/>
          <w:highlight w:val="none"/>
        </w:rPr>
        <w:t>完善</w:t>
      </w:r>
      <w:r>
        <w:rPr>
          <w:rFonts w:hint="eastAsia" w:ascii="Times New Roman" w:hAnsi="Times New Roman" w:cs="Times New Roman"/>
          <w:highlight w:val="none"/>
          <w:lang w:val="en-US" w:eastAsia="zh-CN"/>
        </w:rPr>
        <w:t>服务</w:t>
      </w:r>
      <w:r>
        <w:rPr>
          <w:rFonts w:hint="eastAsia" w:ascii="Times New Roman" w:hAnsi="Times New Roman" w:cs="Times New Roman"/>
          <w:highlight w:val="none"/>
        </w:rPr>
        <w:t>设施配套</w:t>
      </w:r>
      <w:r>
        <w:rPr>
          <w:rFonts w:hint="eastAsia" w:ascii="Times New Roman" w:hAnsi="Times New Roman" w:cs="Times New Roman"/>
          <w:highlight w:val="none"/>
          <w:lang w:val="en-US" w:eastAsia="zh-CN"/>
        </w:rPr>
        <w:t>，改</w:t>
      </w:r>
      <w:r>
        <w:rPr>
          <w:rFonts w:hint="eastAsia" w:ascii="Times New Roman" w:hAnsi="Times New Roman" w:cs="Times New Roman"/>
          <w:highlight w:val="none"/>
        </w:rPr>
        <w:t>善老城区人居环境</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加快推进雷州</w:t>
      </w:r>
      <w:r>
        <w:rPr>
          <w:rFonts w:hint="eastAsia" w:cs="Times New Roman"/>
          <w:highlight w:val="none"/>
          <w:lang w:val="en-US" w:eastAsia="zh-CN"/>
        </w:rPr>
        <w:t>新城教育、医疗和商业等高质量配套设施落地，</w:t>
      </w:r>
      <w:r>
        <w:rPr>
          <w:rFonts w:hint="eastAsia" w:ascii="Times New Roman" w:hAnsi="Times New Roman" w:cs="Times New Roman"/>
          <w:highlight w:val="none"/>
          <w:lang w:val="en-US" w:eastAsia="zh-CN"/>
        </w:rPr>
        <w:t>重点</w:t>
      </w:r>
      <w:r>
        <w:rPr>
          <w:rFonts w:hint="eastAsia" w:cs="Times New Roman"/>
          <w:highlight w:val="none"/>
          <w:lang w:val="en-US" w:eastAsia="zh-CN"/>
        </w:rPr>
        <w:t>建设</w:t>
      </w:r>
      <w:r>
        <w:rPr>
          <w:rFonts w:hint="eastAsia" w:ascii="Times New Roman" w:hAnsi="Times New Roman" w:cs="Times New Roman"/>
          <w:highlight w:val="none"/>
          <w:lang w:val="en-US" w:eastAsia="zh-CN"/>
        </w:rPr>
        <w:t>高品质居住区</w:t>
      </w:r>
      <w:r>
        <w:rPr>
          <w:rFonts w:hint="eastAsia" w:cs="Times New Roman"/>
          <w:highlight w:val="none"/>
          <w:lang w:val="en-US" w:eastAsia="zh-CN"/>
        </w:rPr>
        <w:t>，打造</w:t>
      </w:r>
      <w:r>
        <w:rPr>
          <w:rFonts w:hint="eastAsia" w:cs="Times New Roman"/>
          <w:highlight w:val="none"/>
        </w:rPr>
        <w:t>站产城人融合发展的活力新城</w:t>
      </w:r>
      <w:r>
        <w:rPr>
          <w:rFonts w:hint="eastAsia" w:ascii="Times New Roman" w:hAnsi="Times New Roman" w:cs="Times New Roman"/>
          <w:highlight w:val="none"/>
          <w:lang w:val="en-US" w:eastAsia="zh-CN"/>
        </w:rPr>
        <w:t>。</w:t>
      </w:r>
      <w:r>
        <w:rPr>
          <w:rFonts w:hint="eastAsia" w:ascii="Times New Roman" w:hAnsi="Times New Roman" w:cs="Times New Roman"/>
          <w:highlight w:val="none"/>
          <w:lang w:eastAsia="zh-CN"/>
        </w:rPr>
        <w:t>依托</w:t>
      </w:r>
      <w:r>
        <w:rPr>
          <w:rFonts w:hint="eastAsia" w:ascii="仿宋_GB2312" w:hAnsi="仿宋_GB2312" w:cs="仿宋_GB2312"/>
          <w:b w:val="0"/>
          <w:bCs w:val="0"/>
          <w:color w:val="auto"/>
          <w:highlight w:val="none"/>
          <w:u w:val="none"/>
          <w:shd w:val="clear" w:fill="FFFFFF"/>
          <w:lang w:eastAsia="zh-CN"/>
        </w:rPr>
        <w:t>临港经济区</w:t>
      </w:r>
      <w:r>
        <w:rPr>
          <w:rFonts w:hint="eastAsia" w:ascii="Times New Roman" w:hAnsi="Times New Roman" w:cs="Times New Roman"/>
          <w:highlight w:val="none"/>
          <w:lang w:eastAsia="zh-CN"/>
        </w:rPr>
        <w:t>重大项目产业带动效应，统筹布局宿舍型保障性租赁住房和人才住房，加快完善园区生活配套，促进职住平衡。</w:t>
      </w:r>
    </w:p>
    <w:p w14:paraId="673B68E0">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3.遂溪县</w:t>
      </w:r>
    </w:p>
    <w:p w14:paraId="2C2CB9C7">
      <w:pPr>
        <w:spacing w:beforeLines="0" w:afterLines="0"/>
        <w:ind w:firstLine="640" w:firstLineChars="200"/>
        <w:rPr>
          <w:rFonts w:hint="eastAsia" w:ascii="Times New Roman" w:hAnsi="Times New Roman" w:eastAsia="仿宋_GB2312" w:cs="Times New Roman"/>
          <w:highlight w:val="none"/>
          <w:lang w:val="en-US" w:eastAsia="zh-CN"/>
        </w:rPr>
      </w:pPr>
      <w:r>
        <w:rPr>
          <w:rFonts w:hint="eastAsia" w:ascii="Times New Roman" w:hAnsi="Times New Roman"/>
          <w:b w:val="0"/>
          <w:bCs w:val="0"/>
          <w:highlight w:val="none"/>
          <w:lang w:val="en-US" w:eastAsia="zh-CN"/>
        </w:rPr>
        <w:t>以</w:t>
      </w:r>
      <w:r>
        <w:rPr>
          <w:rFonts w:hint="eastAsia" w:ascii="仿宋_GB2312" w:hAnsi="仿宋_GB2312"/>
          <w:b w:val="0"/>
          <w:bCs w:val="0"/>
          <w:highlight w:val="none"/>
          <w:lang w:eastAsia="zh-CN"/>
        </w:rPr>
        <w:t>“</w:t>
      </w:r>
      <w:r>
        <w:rPr>
          <w:rFonts w:hint="eastAsia" w:ascii="Times New Roman" w:hAnsi="Times New Roman"/>
          <w:b w:val="0"/>
          <w:bCs w:val="0"/>
          <w:highlight w:val="none"/>
        </w:rPr>
        <w:t>加快打造现代化沿海经济带重要发展极、高标准建设省域副中心城市</w:t>
      </w:r>
      <w:r>
        <w:rPr>
          <w:rFonts w:hint="eastAsia" w:ascii="仿宋_GB2312" w:hAnsi="仿宋_GB2312"/>
          <w:b w:val="0"/>
          <w:bCs w:val="0"/>
          <w:highlight w:val="none"/>
          <w:lang w:eastAsia="zh-CN"/>
        </w:rPr>
        <w:t>”</w:t>
      </w:r>
      <w:r>
        <w:rPr>
          <w:rFonts w:hint="eastAsia" w:ascii="Times New Roman" w:hAnsi="Times New Roman"/>
          <w:b w:val="0"/>
          <w:bCs w:val="0"/>
          <w:highlight w:val="none"/>
          <w:lang w:val="en-US" w:eastAsia="zh-CN"/>
        </w:rPr>
        <w:t>为引领</w:t>
      </w:r>
      <w:r>
        <w:rPr>
          <w:rFonts w:hint="eastAsia" w:ascii="Times New Roman" w:hAnsi="Times New Roman"/>
          <w:b w:val="0"/>
          <w:bCs w:val="0"/>
          <w:highlight w:val="none"/>
          <w:lang w:eastAsia="zh-CN"/>
        </w:rPr>
        <w:t>，</w:t>
      </w:r>
      <w:r>
        <w:rPr>
          <w:rFonts w:hint="eastAsia" w:ascii="Times New Roman" w:hAnsi="Times New Roman"/>
          <w:highlight w:val="none"/>
        </w:rPr>
        <w:t>构建以县城集聚、产业配套、文旅康养为特色的多元化住房供给体系</w:t>
      </w:r>
      <w:r>
        <w:rPr>
          <w:rFonts w:hint="eastAsia" w:ascii="Times New Roman" w:hAnsi="Times New Roman" w:cs="仿宋_GB2312"/>
          <w:b w:val="0"/>
          <w:bCs w:val="0"/>
          <w:color w:val="auto"/>
          <w:highlight w:val="none"/>
          <w:u w:val="none"/>
          <w:shd w:val="clear" w:fill="FFFFFF"/>
          <w:lang w:eastAsia="zh-CN"/>
        </w:rPr>
        <w:t>。</w:t>
      </w:r>
      <w:r>
        <w:rPr>
          <w:rFonts w:hint="eastAsia" w:ascii="Times New Roman" w:hAnsi="Times New Roman" w:cs="Times New Roman"/>
          <w:highlight w:val="none"/>
        </w:rPr>
        <w:t>推动</w:t>
      </w:r>
      <w:r>
        <w:rPr>
          <w:rFonts w:hint="eastAsia" w:ascii="Times New Roman" w:hAnsi="Times New Roman" w:cs="Times New Roman"/>
          <w:highlight w:val="none"/>
          <w:lang w:val="en-US" w:eastAsia="zh-CN"/>
        </w:rPr>
        <w:t>中心城区和北坡镇、城月镇等副中心的</w:t>
      </w:r>
      <w:r>
        <w:rPr>
          <w:rFonts w:hint="eastAsia" w:ascii="Times New Roman" w:hAnsi="Times New Roman" w:cs="Times New Roman"/>
          <w:highlight w:val="none"/>
        </w:rPr>
        <w:t>商业设施改造提升</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激发消费潜力，加快</w:t>
      </w:r>
      <w:r>
        <w:rPr>
          <w:rFonts w:hint="eastAsia" w:ascii="Times New Roman" w:hAnsi="Times New Roman" w:cs="Times New Roman"/>
          <w:highlight w:val="none"/>
        </w:rPr>
        <w:t>商品房库存消化</w:t>
      </w:r>
      <w:r>
        <w:rPr>
          <w:rFonts w:hint="eastAsia" w:ascii="Times New Roman" w:hAnsi="Times New Roman" w:cs="Times New Roman"/>
          <w:highlight w:val="none"/>
          <w:lang w:eastAsia="zh-CN"/>
        </w:rPr>
        <w:t>。</w:t>
      </w:r>
      <w:r>
        <w:rPr>
          <w:rFonts w:hint="eastAsia" w:cs="Times New Roman"/>
          <w:highlight w:val="none"/>
        </w:rPr>
        <w:t>聚焦滨河新区产城融合，系统完善教育、医疗到市政管网的全方位公共服务与基础设施配套，加快导入高品质居住功能。</w:t>
      </w:r>
      <w:r>
        <w:rPr>
          <w:rFonts w:hint="default" w:ascii="Times New Roman" w:hAnsi="Times New Roman" w:cs="Times New Roman"/>
          <w:highlight w:val="none"/>
          <w:lang w:val="en-US" w:eastAsia="zh-CN"/>
        </w:rPr>
        <w:t>完善岭北、白坭坡、洋青园区和黄略</w:t>
      </w:r>
      <w:r>
        <w:rPr>
          <w:rFonts w:hint="eastAsia" w:ascii="仿宋_GB2312" w:hAnsi="仿宋_GB2312" w:cs="仿宋_GB2312"/>
          <w:highlight w:val="none"/>
          <w:lang w:val="en-US" w:eastAsia="zh-CN"/>
        </w:rPr>
        <w:t>建材产业园的居住生活配套，促进产业集聚和升级。</w:t>
      </w:r>
      <w:r>
        <w:rPr>
          <w:rFonts w:hint="eastAsia" w:ascii="仿宋_GB2312" w:hAnsi="仿宋_GB2312" w:cs="仿宋_GB2312"/>
          <w:highlight w:val="none"/>
        </w:rPr>
        <w:t>依托</w:t>
      </w:r>
      <w:r>
        <w:rPr>
          <w:rFonts w:hint="eastAsia" w:ascii="仿宋_GB2312" w:hAnsi="仿宋_GB2312" w:cs="仿宋_GB2312"/>
          <w:highlight w:val="none"/>
          <w:lang w:eastAsia="zh-CN"/>
        </w:rPr>
        <w:t>“</w:t>
      </w:r>
      <w:r>
        <w:rPr>
          <w:rFonts w:hint="eastAsia" w:ascii="仿宋_GB2312" w:hAnsi="仿宋_GB2312" w:cs="仿宋_GB2312"/>
          <w:highlight w:val="none"/>
        </w:rPr>
        <w:t>全国科普示范县</w:t>
      </w:r>
      <w:r>
        <w:rPr>
          <w:rFonts w:hint="eastAsia" w:ascii="仿宋_GB2312" w:hAnsi="仿宋_GB2312" w:cs="仿宋_GB2312"/>
          <w:highlight w:val="none"/>
          <w:lang w:eastAsia="zh-CN"/>
        </w:rPr>
        <w:t>”“</w:t>
      </w:r>
      <w:r>
        <w:rPr>
          <w:rFonts w:hint="eastAsia" w:ascii="仿宋_GB2312" w:hAnsi="仿宋_GB2312" w:cs="仿宋_GB2312"/>
          <w:highlight w:val="none"/>
        </w:rPr>
        <w:t>国际长寿养生基地</w:t>
      </w:r>
      <w:r>
        <w:rPr>
          <w:rFonts w:hint="eastAsia" w:ascii="仿宋_GB2312" w:hAnsi="仿宋_GB2312" w:cs="仿宋_GB2312"/>
          <w:highlight w:val="none"/>
          <w:lang w:eastAsia="zh-CN"/>
        </w:rPr>
        <w:t>”</w:t>
      </w:r>
      <w:r>
        <w:rPr>
          <w:rFonts w:hint="eastAsia" w:ascii="仿宋_GB2312" w:hAnsi="仿宋_GB2312" w:cs="仿宋_GB2312"/>
          <w:highlight w:val="none"/>
        </w:rPr>
        <w:t>品牌和资源优势，持续深耕</w:t>
      </w:r>
      <w:r>
        <w:rPr>
          <w:rFonts w:hint="eastAsia" w:ascii="仿宋_GB2312" w:hAnsi="仿宋_GB2312" w:cs="仿宋_GB2312"/>
          <w:highlight w:val="none"/>
          <w:lang w:eastAsia="zh-CN"/>
        </w:rPr>
        <w:t>“</w:t>
      </w:r>
      <w:r>
        <w:rPr>
          <w:rFonts w:hint="eastAsia" w:ascii="仿宋_GB2312" w:hAnsi="仿宋_GB2312" w:cs="仿宋_GB2312"/>
          <w:highlight w:val="none"/>
        </w:rPr>
        <w:t>六色</w:t>
      </w:r>
      <w:r>
        <w:rPr>
          <w:rFonts w:hint="eastAsia" w:ascii="仿宋_GB2312" w:hAnsi="仿宋_GB2312" w:cs="仿宋_GB2312"/>
          <w:highlight w:val="none"/>
          <w:lang w:eastAsia="zh-CN"/>
        </w:rPr>
        <w:t>”</w:t>
      </w:r>
      <w:r>
        <w:rPr>
          <w:rFonts w:hint="eastAsia" w:ascii="仿宋_GB2312" w:hAnsi="仿宋_GB2312" w:cs="仿宋_GB2312"/>
          <w:highlight w:val="none"/>
        </w:rPr>
        <w:t>文旅品牌，</w:t>
      </w:r>
      <w:r>
        <w:rPr>
          <w:rFonts w:hint="eastAsia" w:ascii="Times New Roman" w:hAnsi="Times New Roman" w:cs="Times New Roman"/>
          <w:highlight w:val="none"/>
          <w:lang w:val="en-US" w:eastAsia="zh-CN"/>
        </w:rPr>
        <w:t>探索</w:t>
      </w:r>
      <w:r>
        <w:rPr>
          <w:rFonts w:hint="default" w:ascii="Times New Roman" w:hAnsi="Times New Roman" w:cs="Times New Roman"/>
          <w:highlight w:val="none"/>
        </w:rPr>
        <w:t>疗养式养老、田园式养老等旅居新业态，</w:t>
      </w:r>
      <w:r>
        <w:rPr>
          <w:rFonts w:hint="eastAsia" w:ascii="Times New Roman" w:hAnsi="Times New Roman" w:cs="Times New Roman"/>
          <w:highlight w:val="none"/>
          <w:lang w:val="en-US" w:eastAsia="zh-CN"/>
        </w:rPr>
        <w:t>打造</w:t>
      </w:r>
      <w:r>
        <w:rPr>
          <w:rFonts w:hint="default" w:ascii="Times New Roman" w:hAnsi="Times New Roman" w:cs="Times New Roman"/>
          <w:highlight w:val="none"/>
        </w:rPr>
        <w:t>宜居宜业宜游的长寿康养名县</w:t>
      </w:r>
      <w:r>
        <w:rPr>
          <w:rFonts w:hint="eastAsia" w:ascii="Times New Roman" w:hAnsi="Times New Roman" w:cs="Times New Roman"/>
          <w:highlight w:val="none"/>
          <w:lang w:eastAsia="zh-CN"/>
        </w:rPr>
        <w:t>。</w:t>
      </w:r>
    </w:p>
    <w:p w14:paraId="12E04E3E">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4.吴川市</w:t>
      </w:r>
    </w:p>
    <w:p w14:paraId="366E140C">
      <w:pPr>
        <w:keepNext w:val="0"/>
        <w:keepLines w:val="0"/>
        <w:pageBreakBefore w:val="0"/>
        <w:widowControl w:val="0"/>
        <w:kinsoku/>
        <w:wordWrap/>
        <w:overflowPunct/>
        <w:topLinePunct w:val="0"/>
        <w:autoSpaceDE/>
        <w:autoSpaceDN/>
        <w:bidi w:val="0"/>
        <w:adjustRightInd/>
        <w:snapToGrid/>
        <w:spacing w:beforeLines="0" w:afterLines="0"/>
        <w:textAlignment w:val="auto"/>
        <w:rPr>
          <w:rFonts w:hint="eastAsia" w:ascii="Times New Roman" w:hAnsi="Times New Roman" w:cs="Times New Roman"/>
          <w:highlight w:val="none"/>
          <w:lang w:val="en-US" w:eastAsia="zh-CN"/>
        </w:rPr>
      </w:pPr>
      <w:r>
        <w:rPr>
          <w:rFonts w:hint="eastAsia" w:ascii="Times New Roman" w:hAnsi="Times New Roman" w:cs="仿宋_GB2312"/>
          <w:b w:val="0"/>
          <w:bCs w:val="0"/>
          <w:color w:val="auto"/>
          <w:highlight w:val="none"/>
          <w:u w:val="none"/>
          <w:shd w:val="clear" w:fill="FFFFFF"/>
          <w:lang w:val="en-US" w:eastAsia="zh-CN"/>
        </w:rPr>
        <w:t>以</w:t>
      </w:r>
      <w:r>
        <w:rPr>
          <w:rFonts w:hint="eastAsia" w:ascii="仿宋_GB2312" w:hAnsi="仿宋_GB2312" w:cs="仿宋_GB2312"/>
          <w:b w:val="0"/>
          <w:bCs w:val="0"/>
          <w:color w:val="auto"/>
          <w:highlight w:val="none"/>
          <w:u w:val="none"/>
          <w:shd w:val="clear" w:fill="FFFFFF"/>
          <w:lang w:eastAsia="zh-CN"/>
        </w:rPr>
        <w:t>“</w:t>
      </w:r>
      <w:r>
        <w:rPr>
          <w:rFonts w:hint="eastAsia" w:ascii="Times New Roman" w:hAnsi="Times New Roman" w:cs="仿宋_GB2312"/>
          <w:b w:val="0"/>
          <w:bCs w:val="0"/>
          <w:color w:val="auto"/>
          <w:highlight w:val="none"/>
          <w:u w:val="none"/>
          <w:shd w:val="clear" w:fill="FFFFFF"/>
        </w:rPr>
        <w:t>打造湛江对接融入‘双区’建设的门户城市、建设宜居宜业宜游的现代化滨海城市</w:t>
      </w:r>
      <w:r>
        <w:rPr>
          <w:rFonts w:hint="eastAsia" w:ascii="仿宋_GB2312" w:hAnsi="仿宋_GB2312" w:cs="仿宋_GB2312"/>
          <w:b w:val="0"/>
          <w:bCs w:val="0"/>
          <w:color w:val="auto"/>
          <w:highlight w:val="none"/>
          <w:u w:val="none"/>
          <w:shd w:val="clear" w:fill="FFFFFF"/>
          <w:lang w:eastAsia="zh-CN"/>
        </w:rPr>
        <w:t>”</w:t>
      </w:r>
      <w:r>
        <w:rPr>
          <w:rFonts w:hint="eastAsia" w:ascii="Times New Roman" w:hAnsi="Times New Roman" w:cs="仿宋_GB2312"/>
          <w:b w:val="0"/>
          <w:bCs w:val="0"/>
          <w:color w:val="auto"/>
          <w:highlight w:val="none"/>
          <w:u w:val="none"/>
          <w:shd w:val="clear" w:fill="FFFFFF"/>
          <w:lang w:val="en-US" w:eastAsia="zh-CN"/>
        </w:rPr>
        <w:t>为引领，</w:t>
      </w:r>
      <w:r>
        <w:rPr>
          <w:rFonts w:hint="eastAsia" w:ascii="仿宋_GB2312" w:hAnsi="仿宋_GB2312" w:cs="仿宋_GB2312"/>
          <w:color w:val="auto"/>
          <w:highlight w:val="none"/>
          <w:u w:val="none"/>
          <w:shd w:val="clear" w:fill="FFFFFF"/>
        </w:rPr>
        <w:t>构建新型城镇化住房保障、老城更新提质、空港产业配套与滨海旅居康养协同发展的多层次住房体系</w:t>
      </w:r>
      <w:r>
        <w:rPr>
          <w:rFonts w:hint="eastAsia" w:ascii="Times New Roman" w:hAnsi="Times New Roman" w:cs="仿宋_GB2312"/>
          <w:b w:val="0"/>
          <w:bCs w:val="0"/>
          <w:color w:val="auto"/>
          <w:highlight w:val="none"/>
          <w:u w:val="none"/>
          <w:shd w:val="clear" w:fill="FFFFFF"/>
        </w:rPr>
        <w:t>。</w:t>
      </w:r>
      <w:r>
        <w:rPr>
          <w:rFonts w:hint="default" w:cs="Times New Roman"/>
          <w:highlight w:val="none"/>
        </w:rPr>
        <w:t>有序推进滨海新区建设，构建青年友好型城市，增加宿舍型、小户型青年公寓，提高农业转移人口经济可承受的小户型保障性住房供给，满足农业转移人口市民化住房需求</w:t>
      </w:r>
      <w:r>
        <w:rPr>
          <w:rFonts w:hint="eastAsia" w:cs="Times New Roman"/>
          <w:highlight w:val="none"/>
          <w:lang w:eastAsia="zh-CN"/>
        </w:rPr>
        <w:t>。</w:t>
      </w:r>
      <w:r>
        <w:rPr>
          <w:rFonts w:hint="default" w:ascii="Times New Roman" w:hAnsi="Times New Roman" w:cs="Times New Roman"/>
          <w:highlight w:val="none"/>
          <w:lang w:val="en-US" w:eastAsia="zh-CN"/>
        </w:rPr>
        <w:t>加大</w:t>
      </w:r>
      <w:r>
        <w:rPr>
          <w:rFonts w:hint="eastAsia" w:ascii="Times New Roman" w:hAnsi="Times New Roman" w:cs="Times New Roman"/>
          <w:highlight w:val="none"/>
          <w:lang w:val="en-US" w:eastAsia="zh-CN"/>
        </w:rPr>
        <w:t>梅</w:t>
      </w:r>
      <w:r>
        <w:rPr>
          <w:rFonts w:hint="eastAsia" w:ascii="仿宋" w:hAnsi="仿宋" w:eastAsia="仿宋" w:cs="仿宋"/>
          <w:highlight w:val="none"/>
          <w:lang w:val="en-US" w:eastAsia="zh-CN"/>
        </w:rPr>
        <w:t>菉</w:t>
      </w:r>
      <w:r>
        <w:rPr>
          <w:rFonts w:hint="eastAsia" w:cs="Times New Roman"/>
          <w:highlight w:val="none"/>
          <w:lang w:val="en-US" w:eastAsia="zh-CN"/>
        </w:rPr>
        <w:t>街道</w:t>
      </w:r>
      <w:r>
        <w:rPr>
          <w:rFonts w:hint="default" w:ascii="Times New Roman" w:hAnsi="Times New Roman" w:cs="Times New Roman"/>
          <w:highlight w:val="none"/>
          <w:lang w:val="en-US" w:eastAsia="zh-CN"/>
        </w:rPr>
        <w:t>老城</w:t>
      </w:r>
      <w:r>
        <w:rPr>
          <w:rFonts w:hint="eastAsia" w:ascii="Times New Roman" w:hAnsi="Times New Roman" w:cs="Times New Roman"/>
          <w:highlight w:val="none"/>
          <w:lang w:val="en-US" w:eastAsia="zh-CN"/>
        </w:rPr>
        <w:t>更新</w:t>
      </w:r>
      <w:r>
        <w:rPr>
          <w:rFonts w:hint="default" w:ascii="Times New Roman" w:hAnsi="Times New Roman" w:cs="Times New Roman"/>
          <w:highlight w:val="none"/>
          <w:lang w:val="en-US" w:eastAsia="zh-CN"/>
        </w:rPr>
        <w:t>改造力度，</w:t>
      </w:r>
      <w:r>
        <w:rPr>
          <w:rFonts w:hint="default" w:cs="Times New Roman"/>
          <w:highlight w:val="none"/>
        </w:rPr>
        <w:t>加快</w:t>
      </w:r>
      <w:r>
        <w:rPr>
          <w:rFonts w:hint="eastAsia" w:cs="Times New Roman"/>
          <w:highlight w:val="none"/>
          <w:lang w:val="en-US" w:eastAsia="zh-CN"/>
        </w:rPr>
        <w:t>推进</w:t>
      </w:r>
      <w:r>
        <w:rPr>
          <w:rFonts w:hint="default" w:cs="Times New Roman"/>
          <w:highlight w:val="none"/>
        </w:rPr>
        <w:t>老旧小区改造，扩大适老化、适儿化和无障碍改造，全面提升居住环境、设施条件和服务功能。</w:t>
      </w:r>
      <w:r>
        <w:rPr>
          <w:rFonts w:hint="default" w:ascii="Times New Roman" w:hAnsi="Times New Roman" w:cs="Times New Roman"/>
          <w:highlight w:val="none"/>
          <w:lang w:val="en-US" w:eastAsia="zh-CN"/>
        </w:rPr>
        <w:t>保障临港工业园区、空港经济区内重大产业项目的落地和发展，</w:t>
      </w:r>
      <w:r>
        <w:rPr>
          <w:rFonts w:hint="default" w:ascii="Times New Roman" w:hAnsi="Times New Roman" w:cs="Times New Roman"/>
          <w:highlight w:val="none"/>
        </w:rPr>
        <w:t>增加宿舍、人才住房等产业配套住房</w:t>
      </w:r>
      <w:r>
        <w:rPr>
          <w:rFonts w:hint="default" w:ascii="Times New Roman" w:hAnsi="Times New Roman" w:cs="Times New Roman"/>
          <w:highlight w:val="none"/>
          <w:lang w:val="en-US" w:eastAsia="zh-CN"/>
        </w:rPr>
        <w:t>。依托鼎龙湾、吉兆湾等滨海资源优势和旅游发展基础，探索推动符合条件的存量商品房转化为旅居用房</w:t>
      </w:r>
      <w:r>
        <w:rPr>
          <w:rFonts w:hint="eastAsia" w:cs="Times New Roman"/>
          <w:highlight w:val="none"/>
          <w:lang w:val="en-US" w:eastAsia="zh-CN"/>
        </w:rPr>
        <w:t>，补齐医疗、教育、商业等公共服务短板，提升旅居生活便利性，</w:t>
      </w:r>
      <w:r>
        <w:rPr>
          <w:rFonts w:hint="eastAsia" w:cs="Times New Roman"/>
          <w:highlight w:val="none"/>
        </w:rPr>
        <w:t>构建“居住+生活服务”服务体系</w:t>
      </w:r>
      <w:r>
        <w:rPr>
          <w:rFonts w:hint="eastAsia" w:cs="Times New Roman"/>
          <w:highlight w:val="none"/>
          <w:lang w:eastAsia="zh-CN"/>
        </w:rPr>
        <w:t>，</w:t>
      </w:r>
      <w:r>
        <w:rPr>
          <w:rFonts w:hint="eastAsia" w:cs="Times New Roman"/>
          <w:highlight w:val="none"/>
          <w:lang w:val="en-US" w:eastAsia="zh-CN"/>
        </w:rPr>
        <w:t>擦亮湛江滨海旅居品牌</w:t>
      </w:r>
      <w:r>
        <w:rPr>
          <w:rFonts w:hint="eastAsia" w:ascii="Times New Roman" w:hAnsi="Times New Roman" w:cs="Times New Roman"/>
          <w:highlight w:val="none"/>
          <w:lang w:val="en-US" w:eastAsia="zh-CN"/>
        </w:rPr>
        <w:t>。</w:t>
      </w:r>
    </w:p>
    <w:p w14:paraId="5680ED97">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ind w:firstLine="0" w:firstLineChars="0"/>
        <w:jc w:val="left"/>
        <w:textAlignment w:val="auto"/>
        <w:outlineLvl w:val="9"/>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br w:type="page"/>
      </w:r>
    </w:p>
    <w:p w14:paraId="65369FE3">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both"/>
        <w:textAlignment w:val="auto"/>
        <w:outlineLvl w:val="2"/>
        <w:rPr>
          <w:rFonts w:hint="eastAsia" w:ascii="Times New Roman" w:hAnsi="Times New Roman" w:eastAsia="仿宋_GB2312" w:cstheme="minorBidi"/>
          <w:b/>
          <w:bCs/>
          <w:kern w:val="2"/>
          <w:sz w:val="32"/>
          <w:szCs w:val="32"/>
          <w:highlight w:val="none"/>
          <w:lang w:val="en-US" w:eastAsia="zh-CN" w:bidi="ar-SA"/>
        </w:rPr>
      </w:pPr>
      <w:r>
        <w:rPr>
          <w:rFonts w:hint="eastAsia" w:ascii="Times New Roman" w:hAnsi="Times New Roman" w:eastAsia="仿宋_GB2312" w:cstheme="minorBidi"/>
          <w:b/>
          <w:bCs/>
          <w:kern w:val="2"/>
          <w:sz w:val="32"/>
          <w:szCs w:val="32"/>
          <w:highlight w:val="none"/>
          <w:lang w:val="en-US" w:eastAsia="zh-CN" w:bidi="ar-SA"/>
        </w:rPr>
        <w:t>5.徐闻县</w:t>
      </w:r>
    </w:p>
    <w:p w14:paraId="6E64C671">
      <w:pPr>
        <w:bidi w:val="0"/>
        <w:spacing w:beforeLines="0" w:afterLines="0"/>
        <w:ind w:firstLine="640" w:firstLineChars="200"/>
        <w:rPr>
          <w:rFonts w:hint="eastAsia"/>
          <w:highlight w:val="none"/>
          <w:lang w:val="en-US" w:eastAsia="zh-CN"/>
        </w:rPr>
      </w:pPr>
      <w:r>
        <w:rPr>
          <w:rFonts w:hint="eastAsia"/>
          <w:highlight w:val="none"/>
        </w:rPr>
        <w:t>围绕</w:t>
      </w:r>
      <w:r>
        <w:rPr>
          <w:rFonts w:hint="eastAsia" w:ascii="仿宋_GB2312" w:hAnsi="仿宋_GB2312"/>
          <w:highlight w:val="none"/>
          <w:lang w:eastAsia="zh-CN"/>
        </w:rPr>
        <w:t>“</w:t>
      </w:r>
      <w:r>
        <w:rPr>
          <w:rFonts w:hint="eastAsia"/>
          <w:highlight w:val="none"/>
        </w:rPr>
        <w:t>高标准建设广东对接服务海南自贸港的南门户城市，全力打造湛江与海南联动发展的先行区</w:t>
      </w:r>
      <w:r>
        <w:rPr>
          <w:rFonts w:hint="eastAsia" w:ascii="仿宋_GB2312" w:hAnsi="仿宋_GB2312"/>
          <w:highlight w:val="none"/>
          <w:lang w:eastAsia="zh-CN"/>
        </w:rPr>
        <w:t>”</w:t>
      </w:r>
      <w:r>
        <w:rPr>
          <w:rFonts w:hint="eastAsia"/>
          <w:highlight w:val="none"/>
        </w:rPr>
        <w:t>战略定位</w:t>
      </w:r>
      <w:r>
        <w:rPr>
          <w:rFonts w:hint="eastAsia"/>
          <w:highlight w:val="none"/>
          <w:lang w:eastAsia="zh-CN"/>
        </w:rPr>
        <w:t>，</w:t>
      </w:r>
      <w:r>
        <w:rPr>
          <w:rFonts w:hint="eastAsia"/>
          <w:highlight w:val="none"/>
        </w:rPr>
        <w:t>构建与海南自贸港协同联动的特色住房发展体系</w:t>
      </w:r>
      <w:r>
        <w:rPr>
          <w:rFonts w:hint="eastAsia"/>
          <w:highlight w:val="none"/>
          <w:lang w:eastAsia="zh-CN"/>
        </w:rPr>
        <w:t>。</w:t>
      </w:r>
      <w:r>
        <w:rPr>
          <w:rFonts w:hint="eastAsia"/>
          <w:highlight w:val="none"/>
        </w:rPr>
        <w:t>全面深化与海南自贸港全方位对接协作，立足候鸟式旅居、康养度假、跨城通勤等多元需求，合理布局高端滨海度假住宅、康养社区、旅居综合体等产品。高标准规划建设徐闻新城</w:t>
      </w:r>
      <w:r>
        <w:rPr>
          <w:rFonts w:hint="eastAsia"/>
          <w:highlight w:val="none"/>
          <w:lang w:eastAsia="zh-CN"/>
        </w:rPr>
        <w:t>，统筹布局保障性租赁住房和人才住房，满足产业人口和引进人才的居住需求。</w:t>
      </w:r>
      <w:r>
        <w:rPr>
          <w:rFonts w:hint="eastAsia"/>
          <w:highlight w:val="none"/>
          <w:lang w:val="en-US" w:eastAsia="zh-CN"/>
        </w:rPr>
        <w:t>依托下桥镇、迈陈镇和曲界镇等重点城镇的建设，加大公共服务设施建设力度，提升社区服务水平。以</w:t>
      </w:r>
      <w:r>
        <w:rPr>
          <w:rFonts w:hint="eastAsia" w:ascii="仿宋_GB2312" w:hAnsi="仿宋_GB2312"/>
          <w:highlight w:val="none"/>
          <w:lang w:val="en-US" w:eastAsia="zh-CN"/>
        </w:rPr>
        <w:t>“</w:t>
      </w:r>
      <w:r>
        <w:rPr>
          <w:rFonts w:hint="eastAsia"/>
          <w:highlight w:val="none"/>
          <w:lang w:val="en-US" w:eastAsia="zh-CN"/>
        </w:rPr>
        <w:t>1海2角2区2滩1湖</w:t>
      </w:r>
      <w:r>
        <w:rPr>
          <w:rFonts w:hint="eastAsia" w:ascii="仿宋_GB2312" w:hAnsi="仿宋_GB2312"/>
          <w:highlight w:val="none"/>
          <w:lang w:val="en-US" w:eastAsia="zh-CN"/>
        </w:rPr>
        <w:t>”</w:t>
      </w:r>
      <w:r>
        <w:rPr>
          <w:rFonts w:hint="eastAsia"/>
          <w:highlight w:val="none"/>
          <w:lang w:val="en-US" w:eastAsia="zh-CN"/>
        </w:rPr>
        <w:t>八大核心景点为支撑，有序发展特色小镇旅居、康养等住房产品。</w:t>
      </w:r>
    </w:p>
    <w:p w14:paraId="34A24656">
      <w:pPr>
        <w:pStyle w:val="2"/>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bookmarkStart w:id="206" w:name="_Toc10997"/>
      <w:bookmarkStart w:id="207" w:name="_Toc4261"/>
      <w:bookmarkStart w:id="208" w:name="_Toc551"/>
      <w:r>
        <w:rPr>
          <w:rFonts w:hint="eastAsia"/>
          <w:highlight w:val="none"/>
          <w:lang w:val="en-US" w:eastAsia="zh-CN"/>
        </w:rPr>
        <w:t>四、主要任务</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206"/>
      <w:bookmarkEnd w:id="207"/>
      <w:bookmarkEnd w:id="208"/>
      <w:bookmarkStart w:id="209" w:name="_Toc15750"/>
      <w:bookmarkStart w:id="210" w:name="_Toc1027906294"/>
      <w:bookmarkStart w:id="211" w:name="_Toc583586987"/>
      <w:bookmarkStart w:id="212" w:name="_Toc3486"/>
      <w:bookmarkStart w:id="213" w:name="_Toc5358"/>
      <w:bookmarkStart w:id="214" w:name="_Toc28254"/>
    </w:p>
    <w:p w14:paraId="3EE26FA7">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bookmarkStart w:id="215" w:name="_Toc874"/>
      <w:bookmarkStart w:id="216" w:name="_Toc31698"/>
      <w:bookmarkStart w:id="217" w:name="_Toc210"/>
      <w:bookmarkStart w:id="218" w:name="_Toc14981"/>
      <w:bookmarkStart w:id="219" w:name="_Toc10083"/>
      <w:bookmarkStart w:id="220" w:name="_Toc1199889598"/>
      <w:bookmarkStart w:id="221" w:name="_Toc18303"/>
      <w:bookmarkStart w:id="222" w:name="_Toc10930"/>
      <w:bookmarkStart w:id="223" w:name="_Toc32064"/>
      <w:bookmarkStart w:id="224" w:name="_Toc20195"/>
      <w:bookmarkStart w:id="225" w:name="_Toc23178"/>
      <w:r>
        <w:rPr>
          <w:rFonts w:hint="eastAsia"/>
          <w:highlight w:val="none"/>
          <w:lang w:val="en-US" w:eastAsia="zh-CN"/>
        </w:rPr>
        <w:t>（一）优化供需关系，多措并举稳定市场</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24B0EFDD">
      <w:pPr>
        <w:pStyle w:val="4"/>
        <w:keepNext w:val="0"/>
        <w:keepLines w:val="0"/>
        <w:pageBreakBefore w:val="0"/>
        <w:widowControl w:val="0"/>
        <w:kinsoku/>
        <w:wordWrap/>
        <w:overflowPunct/>
        <w:topLinePunct w:val="0"/>
        <w:autoSpaceDE/>
        <w:autoSpaceDN/>
        <w:bidi w:val="0"/>
        <w:adjustRightInd/>
        <w:snapToGrid/>
        <w:spacing w:before="0" w:beforeLines="0" w:after="0" w:afterLines="0"/>
        <w:ind w:firstLineChars="200"/>
        <w:textAlignment w:val="auto"/>
        <w:rPr>
          <w:rFonts w:hint="eastAsia" w:cs="Times New Roman"/>
          <w:szCs w:val="24"/>
          <w:highlight w:val="none"/>
          <w:lang w:val="en-US" w:eastAsia="zh-CN"/>
        </w:rPr>
      </w:pPr>
      <w:r>
        <w:rPr>
          <w:rFonts w:hint="eastAsia"/>
          <w:highlight w:val="none"/>
          <w:lang w:val="en-US" w:eastAsia="zh-CN"/>
        </w:rPr>
        <w:t>1.</w:t>
      </w:r>
      <w:r>
        <w:rPr>
          <w:rFonts w:hint="eastAsia"/>
          <w:highlight w:val="none"/>
        </w:rPr>
        <w:t>有力有序</w:t>
      </w:r>
      <w:r>
        <w:rPr>
          <w:rFonts w:hint="eastAsia"/>
          <w:highlight w:val="none"/>
          <w:lang w:val="en-US" w:eastAsia="zh-CN"/>
        </w:rPr>
        <w:t>防范化解市场风险。</w:t>
      </w:r>
    </w:p>
    <w:p w14:paraId="44CC605E">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szCs w:val="22"/>
          <w:highlight w:val="none"/>
          <w:lang w:eastAsia="zh-CN"/>
        </w:rPr>
      </w:pPr>
      <w:r>
        <w:rPr>
          <w:rFonts w:hint="eastAsia" w:cs="Times New Roman"/>
          <w:bCs w:val="0"/>
          <w:szCs w:val="32"/>
          <w:highlight w:val="none"/>
          <w:lang w:val="en-US" w:eastAsia="zh-CN"/>
        </w:rPr>
        <w:t>健全</w:t>
      </w:r>
      <w:r>
        <w:rPr>
          <w:rFonts w:hint="eastAsia" w:cs="Times New Roman"/>
          <w:highlight w:val="none"/>
          <w:lang w:eastAsia="zh-CN"/>
        </w:rPr>
        <w:t>房地产项目融资</w:t>
      </w:r>
      <w:r>
        <w:rPr>
          <w:rFonts w:hint="eastAsia" w:cs="Times New Roman"/>
          <w:highlight w:val="none"/>
          <w:lang w:val="en-US" w:eastAsia="zh-CN"/>
        </w:rPr>
        <w:t>协调机制，加大</w:t>
      </w:r>
      <w:r>
        <w:rPr>
          <w:rFonts w:hint="eastAsia" w:ascii="仿宋_GB2312" w:hAnsi="仿宋_GB2312" w:cs="Times New Roman"/>
          <w:highlight w:val="none"/>
          <w:lang w:val="en-US" w:eastAsia="zh-CN"/>
        </w:rPr>
        <w:t>“</w:t>
      </w:r>
      <w:r>
        <w:rPr>
          <w:rFonts w:hint="eastAsia" w:cs="Times New Roman"/>
          <w:highlight w:val="none"/>
          <w:lang w:val="en-US" w:eastAsia="zh-CN"/>
        </w:rPr>
        <w:t>白名单</w:t>
      </w:r>
      <w:r>
        <w:rPr>
          <w:rFonts w:hint="eastAsia" w:ascii="仿宋_GB2312" w:hAnsi="仿宋_GB2312" w:cs="Times New Roman"/>
          <w:highlight w:val="none"/>
          <w:lang w:val="en-US" w:eastAsia="zh-CN"/>
        </w:rPr>
        <w:t>”</w:t>
      </w:r>
      <w:r>
        <w:rPr>
          <w:rFonts w:hint="eastAsia" w:cs="Times New Roman"/>
          <w:highlight w:val="none"/>
          <w:lang w:val="en-US" w:eastAsia="zh-CN"/>
        </w:rPr>
        <w:t>项目贷款投放力度，推进合规项目</w:t>
      </w:r>
      <w:r>
        <w:rPr>
          <w:rFonts w:hint="eastAsia" w:ascii="仿宋_GB2312" w:hAnsi="仿宋_GB2312" w:cs="Times New Roman"/>
          <w:highlight w:val="none"/>
          <w:lang w:val="en-US" w:eastAsia="zh-CN"/>
        </w:rPr>
        <w:t>“</w:t>
      </w:r>
      <w:r>
        <w:rPr>
          <w:rFonts w:hint="eastAsia" w:cs="Times New Roman"/>
          <w:highlight w:val="none"/>
          <w:lang w:val="en-US" w:eastAsia="zh-CN"/>
        </w:rPr>
        <w:t>应进尽进</w:t>
      </w:r>
      <w:r>
        <w:rPr>
          <w:rFonts w:hint="eastAsia" w:ascii="仿宋_GB2312" w:hAnsi="仿宋_GB2312" w:cs="Times New Roman"/>
          <w:highlight w:val="none"/>
          <w:lang w:val="en-US" w:eastAsia="zh-CN"/>
        </w:rPr>
        <w:t>”</w:t>
      </w:r>
      <w:r>
        <w:rPr>
          <w:rFonts w:hint="eastAsia" w:cs="Times New Roman"/>
          <w:highlight w:val="none"/>
          <w:lang w:val="en-US" w:eastAsia="zh-CN"/>
        </w:rPr>
        <w:t>、已审贷款</w:t>
      </w:r>
      <w:r>
        <w:rPr>
          <w:rFonts w:hint="eastAsia" w:ascii="仿宋_GB2312" w:hAnsi="仿宋_GB2312" w:cs="Times New Roman"/>
          <w:highlight w:val="none"/>
          <w:lang w:val="en-US" w:eastAsia="zh-CN"/>
        </w:rPr>
        <w:t>“</w:t>
      </w:r>
      <w:r>
        <w:rPr>
          <w:rFonts w:hint="eastAsia" w:cs="Times New Roman"/>
          <w:highlight w:val="none"/>
          <w:lang w:val="en-US" w:eastAsia="zh-CN"/>
        </w:rPr>
        <w:t>应贷尽贷</w:t>
      </w:r>
      <w:r>
        <w:rPr>
          <w:rFonts w:hint="eastAsia" w:ascii="仿宋_GB2312" w:hAnsi="仿宋_GB2312" w:cs="Times New Roman"/>
          <w:highlight w:val="none"/>
          <w:lang w:val="en-US" w:eastAsia="zh-CN"/>
        </w:rPr>
        <w:t>”</w:t>
      </w:r>
      <w:r>
        <w:rPr>
          <w:rFonts w:hint="eastAsia" w:cs="Times New Roman"/>
          <w:highlight w:val="none"/>
          <w:lang w:val="en-US" w:eastAsia="zh-CN"/>
        </w:rPr>
        <w:t>、资金拨付</w:t>
      </w:r>
      <w:r>
        <w:rPr>
          <w:rFonts w:hint="eastAsia" w:ascii="仿宋_GB2312" w:hAnsi="仿宋_GB2312" w:cs="Times New Roman"/>
          <w:highlight w:val="none"/>
          <w:lang w:val="en-US" w:eastAsia="zh-CN"/>
        </w:rPr>
        <w:t>“</w:t>
      </w:r>
      <w:r>
        <w:rPr>
          <w:rFonts w:hint="eastAsia" w:cs="Times New Roman"/>
          <w:highlight w:val="none"/>
          <w:lang w:val="en-US" w:eastAsia="zh-CN"/>
        </w:rPr>
        <w:t>能早尽早</w:t>
      </w:r>
      <w:r>
        <w:rPr>
          <w:rFonts w:hint="eastAsia" w:ascii="仿宋_GB2312" w:hAnsi="仿宋_GB2312" w:cs="Times New Roman"/>
          <w:highlight w:val="none"/>
          <w:lang w:val="en-US" w:eastAsia="zh-CN"/>
        </w:rPr>
        <w:t>”</w:t>
      </w:r>
      <w:r>
        <w:rPr>
          <w:rFonts w:hint="eastAsia" w:cs="Times New Roman"/>
          <w:highlight w:val="none"/>
          <w:lang w:val="en-US" w:eastAsia="zh-CN"/>
        </w:rPr>
        <w:t>，满足房地产项目合理融资需求</w:t>
      </w:r>
      <w:r>
        <w:rPr>
          <w:rFonts w:hint="default" w:ascii="Times New Roman" w:hAnsi="Times New Roman" w:cs="Times New Roman"/>
          <w:highlight w:val="none"/>
        </w:rPr>
        <w:t>。</w:t>
      </w:r>
      <w:r>
        <w:rPr>
          <w:rFonts w:hint="default" w:cs="Times New Roman"/>
          <w:szCs w:val="32"/>
          <w:highlight w:val="none"/>
        </w:rPr>
        <w:t>加</w:t>
      </w:r>
      <w:r>
        <w:rPr>
          <w:rFonts w:hint="eastAsia" w:cstheme="minorBidi"/>
          <w:szCs w:val="22"/>
          <w:highlight w:val="none"/>
        </w:rPr>
        <w:t>强预售资金监督管理，</w:t>
      </w:r>
      <w:r>
        <w:rPr>
          <w:rFonts w:hint="eastAsia" w:cstheme="minorBidi"/>
          <w:szCs w:val="22"/>
          <w:highlight w:val="none"/>
          <w:lang w:val="en-US" w:eastAsia="zh-CN"/>
        </w:rPr>
        <w:t>进一步优化</w:t>
      </w:r>
      <w:r>
        <w:rPr>
          <w:rFonts w:hint="eastAsia" w:cstheme="minorBidi"/>
          <w:szCs w:val="22"/>
          <w:highlight w:val="none"/>
        </w:rPr>
        <w:t>预售资金拨付节点和比例，优化提取和使用流程，提升预售资金使用效率</w:t>
      </w:r>
      <w:r>
        <w:rPr>
          <w:rFonts w:hint="eastAsia" w:cstheme="minorBidi"/>
          <w:szCs w:val="22"/>
          <w:highlight w:val="none"/>
          <w:lang w:eastAsia="zh-CN"/>
        </w:rPr>
        <w:t>。</w:t>
      </w:r>
      <w:r>
        <w:rPr>
          <w:rFonts w:hint="eastAsia" w:ascii="Times New Roman" w:hAnsi="Times New Roman" w:cstheme="minorBidi"/>
          <w:szCs w:val="22"/>
          <w:highlight w:val="none"/>
          <w:lang w:val="en-US" w:eastAsia="zh-CN"/>
        </w:rPr>
        <w:t>健全</w:t>
      </w:r>
      <w:r>
        <w:rPr>
          <w:rFonts w:hint="eastAsia"/>
          <w:szCs w:val="22"/>
          <w:highlight w:val="none"/>
        </w:rPr>
        <w:t>房地产开发全周期监管体系，</w:t>
      </w:r>
      <w:r>
        <w:rPr>
          <w:rFonts w:hint="eastAsia" w:ascii="Times New Roman" w:hAnsi="Times New Roman"/>
          <w:szCs w:val="22"/>
          <w:highlight w:val="none"/>
          <w:lang w:val="en-US" w:eastAsia="zh-CN"/>
        </w:rPr>
        <w:t>完善</w:t>
      </w:r>
      <w:r>
        <w:rPr>
          <w:rFonts w:hint="eastAsia"/>
          <w:szCs w:val="22"/>
          <w:highlight w:val="none"/>
        </w:rPr>
        <w:t>房地产项目开发手册制度</w:t>
      </w:r>
      <w:r>
        <w:rPr>
          <w:rFonts w:hint="eastAsia"/>
          <w:szCs w:val="22"/>
          <w:highlight w:val="none"/>
          <w:lang w:eastAsia="zh-CN"/>
        </w:rPr>
        <w:t>，</w:t>
      </w:r>
      <w:r>
        <w:rPr>
          <w:rFonts w:hint="eastAsia"/>
          <w:szCs w:val="22"/>
          <w:highlight w:val="none"/>
        </w:rPr>
        <w:t>建立系统预警机制，防范项目风险隐患</w:t>
      </w:r>
      <w:r>
        <w:rPr>
          <w:rFonts w:hint="eastAsia" w:ascii="Times New Roman" w:hAnsi="Times New Roman"/>
          <w:szCs w:val="22"/>
          <w:highlight w:val="none"/>
          <w:lang w:eastAsia="zh-CN"/>
        </w:rPr>
        <w:t>。</w:t>
      </w:r>
      <w:r>
        <w:rPr>
          <w:rFonts w:hint="eastAsia" w:ascii="Times New Roman" w:hAnsi="Times New Roman"/>
          <w:szCs w:val="22"/>
          <w:highlight w:val="none"/>
          <w:lang w:val="en-US" w:eastAsia="zh-CN"/>
        </w:rPr>
        <w:t>深化</w:t>
      </w:r>
      <w:r>
        <w:rPr>
          <w:rFonts w:hint="eastAsia"/>
          <w:szCs w:val="22"/>
          <w:highlight w:val="none"/>
        </w:rPr>
        <w:t>行业信用体系建设，</w:t>
      </w:r>
      <w:r>
        <w:rPr>
          <w:rFonts w:hint="eastAsia" w:ascii="Times New Roman" w:hAnsi="Times New Roman"/>
          <w:szCs w:val="22"/>
          <w:highlight w:val="none"/>
          <w:lang w:val="en-US" w:eastAsia="zh-CN"/>
        </w:rPr>
        <w:t>建立</w:t>
      </w:r>
      <w:r>
        <w:rPr>
          <w:rFonts w:hint="eastAsia"/>
          <w:szCs w:val="22"/>
          <w:highlight w:val="none"/>
        </w:rPr>
        <w:t>联合惩戒机制与风险防控长效机制</w:t>
      </w:r>
      <w:r>
        <w:rPr>
          <w:rFonts w:hint="eastAsia" w:ascii="Times New Roman" w:hAnsi="Times New Roman"/>
          <w:szCs w:val="22"/>
          <w:highlight w:val="none"/>
          <w:lang w:eastAsia="zh-CN"/>
        </w:rPr>
        <w:t>。完善房地产领域舆情监测、信息核实、会商研判、分级响应和跟踪反馈</w:t>
      </w:r>
      <w:r>
        <w:rPr>
          <w:rFonts w:hint="eastAsia"/>
          <w:szCs w:val="22"/>
          <w:highlight w:val="none"/>
          <w:lang w:val="en-US" w:eastAsia="zh-CN"/>
        </w:rPr>
        <w:t>全链条</w:t>
      </w:r>
      <w:r>
        <w:rPr>
          <w:rFonts w:hint="eastAsia" w:ascii="Times New Roman" w:hAnsi="Times New Roman"/>
          <w:szCs w:val="22"/>
          <w:highlight w:val="none"/>
          <w:lang w:eastAsia="zh-CN"/>
        </w:rPr>
        <w:t>机制，做好政策解读和群众关切回应，推动舆情应对与项目风险处置、信访矛盾化解相衔接，防止风险积聚扩散。</w:t>
      </w:r>
    </w:p>
    <w:p w14:paraId="52EB89A5">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eastAsia="仿宋_GB2312" w:cstheme="minorBidi"/>
          <w:sz w:val="32"/>
          <w:szCs w:val="32"/>
          <w:highlight w:val="none"/>
          <w:lang w:eastAsia="zh-CN"/>
        </w:rPr>
      </w:pPr>
      <w:r>
        <w:rPr>
          <w:rFonts w:hint="eastAsia"/>
          <w:highlight w:val="none"/>
          <w:lang w:val="en-US" w:eastAsia="zh-CN"/>
        </w:rPr>
        <w:t>2.</w:t>
      </w:r>
      <w:r>
        <w:rPr>
          <w:rFonts w:hint="eastAsia" w:ascii="Times New Roman" w:hAnsi="Times New Roman" w:eastAsia="仿宋_GB2312" w:cstheme="minorBidi"/>
          <w:sz w:val="32"/>
          <w:szCs w:val="32"/>
          <w:highlight w:val="none"/>
        </w:rPr>
        <w:t>多措并举</w:t>
      </w:r>
      <w:r>
        <w:rPr>
          <w:rFonts w:hint="eastAsia" w:cstheme="minorBidi"/>
          <w:sz w:val="32"/>
          <w:szCs w:val="32"/>
          <w:highlight w:val="none"/>
          <w:lang w:val="en-US" w:eastAsia="zh-CN"/>
        </w:rPr>
        <w:t>释放合理</w:t>
      </w:r>
      <w:r>
        <w:rPr>
          <w:rFonts w:hint="eastAsia" w:ascii="Times New Roman" w:hAnsi="Times New Roman" w:eastAsia="仿宋_GB2312" w:cstheme="minorBidi"/>
          <w:sz w:val="32"/>
          <w:szCs w:val="32"/>
          <w:highlight w:val="none"/>
        </w:rPr>
        <w:t>住房需求</w:t>
      </w:r>
      <w:r>
        <w:rPr>
          <w:rFonts w:hint="eastAsia" w:ascii="Times New Roman" w:hAnsi="Times New Roman" w:eastAsia="仿宋_GB2312" w:cstheme="minorBidi"/>
          <w:sz w:val="32"/>
          <w:szCs w:val="32"/>
          <w:highlight w:val="none"/>
          <w:lang w:eastAsia="zh-CN"/>
        </w:rPr>
        <w:t>。</w:t>
      </w:r>
    </w:p>
    <w:p w14:paraId="28FAD9AE">
      <w:pPr>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rPr>
          <w:rFonts w:hint="default" w:ascii="Times New Roman" w:hAnsi="Times New Roman" w:eastAsia="仿宋_GB2312" w:cstheme="minorBidi"/>
          <w:sz w:val="32"/>
          <w:szCs w:val="32"/>
          <w:highlight w:val="none"/>
          <w:lang w:eastAsia="zh-CN"/>
        </w:rPr>
      </w:pPr>
      <w:r>
        <w:rPr>
          <w:rFonts w:ascii="Times New Roman" w:hAnsi="Times New Roman" w:eastAsia="仿宋_GB2312" w:cstheme="minorBidi"/>
          <w:sz w:val="32"/>
          <w:szCs w:val="32"/>
          <w:highlight w:val="none"/>
        </w:rPr>
        <w:t>加</w:t>
      </w:r>
      <w:r>
        <w:rPr>
          <w:rFonts w:hint="default" w:ascii="Times New Roman" w:hAnsi="Times New Roman" w:eastAsia="仿宋_GB2312" w:cstheme="minorBidi"/>
          <w:sz w:val="32"/>
          <w:szCs w:val="32"/>
          <w:highlight w:val="none"/>
          <w:lang w:val="en-US" w:eastAsia="zh-CN"/>
        </w:rPr>
        <w:t>大居民</w:t>
      </w:r>
      <w:r>
        <w:rPr>
          <w:rFonts w:ascii="Times New Roman" w:hAnsi="Times New Roman" w:eastAsia="仿宋_GB2312" w:cstheme="minorBidi"/>
          <w:sz w:val="32"/>
          <w:szCs w:val="32"/>
          <w:highlight w:val="none"/>
        </w:rPr>
        <w:t>住房需求支持力度</w:t>
      </w:r>
      <w:r>
        <w:rPr>
          <w:rFonts w:hint="default"/>
          <w:highlight w:val="none"/>
          <w:lang w:val="en-US" w:eastAsia="zh-CN"/>
        </w:rPr>
        <w:t>，</w:t>
      </w:r>
      <w:r>
        <w:rPr>
          <w:rFonts w:hint="eastAsia"/>
          <w:highlight w:val="none"/>
          <w:lang w:val="en-US" w:eastAsia="zh-CN"/>
        </w:rPr>
        <w:t>重点</w:t>
      </w:r>
      <w:r>
        <w:rPr>
          <w:rFonts w:ascii="Times New Roman" w:hAnsi="Times New Roman" w:eastAsia="仿宋_GB2312" w:cstheme="minorBidi"/>
          <w:sz w:val="32"/>
          <w:szCs w:val="32"/>
          <w:highlight w:val="none"/>
        </w:rPr>
        <w:t>保障进城</w:t>
      </w:r>
      <w:r>
        <w:rPr>
          <w:rFonts w:hint="eastAsia" w:cstheme="minorBidi"/>
          <w:sz w:val="32"/>
          <w:szCs w:val="32"/>
          <w:highlight w:val="none"/>
          <w:lang w:val="en-US" w:eastAsia="zh-CN"/>
        </w:rPr>
        <w:t>农民</w:t>
      </w:r>
      <w:r>
        <w:rPr>
          <w:rFonts w:ascii="Times New Roman" w:hAnsi="Times New Roman" w:eastAsia="仿宋_GB2312" w:cstheme="minorBidi"/>
          <w:sz w:val="32"/>
          <w:szCs w:val="32"/>
          <w:highlight w:val="none"/>
        </w:rPr>
        <w:t>、</w:t>
      </w:r>
      <w:r>
        <w:rPr>
          <w:rFonts w:hint="eastAsia" w:cstheme="minorBidi"/>
          <w:sz w:val="32"/>
          <w:szCs w:val="32"/>
          <w:highlight w:val="none"/>
          <w:lang w:val="en-US" w:eastAsia="zh-CN"/>
        </w:rPr>
        <w:t>多子女家庭、军人家庭、</w:t>
      </w:r>
      <w:r>
        <w:rPr>
          <w:rFonts w:ascii="Times New Roman" w:hAnsi="Times New Roman" w:eastAsia="仿宋_GB2312" w:cstheme="minorBidi"/>
          <w:sz w:val="32"/>
          <w:szCs w:val="32"/>
          <w:highlight w:val="none"/>
        </w:rPr>
        <w:t>外来务工人员</w:t>
      </w:r>
      <w:r>
        <w:rPr>
          <w:rFonts w:hint="eastAsia" w:cstheme="minorBidi"/>
          <w:sz w:val="32"/>
          <w:szCs w:val="32"/>
          <w:highlight w:val="none"/>
          <w:lang w:eastAsia="zh-CN"/>
        </w:rPr>
        <w:t>、</w:t>
      </w:r>
      <w:r>
        <w:rPr>
          <w:rFonts w:ascii="Times New Roman" w:hAnsi="Times New Roman" w:eastAsia="仿宋_GB2312" w:cstheme="minorBidi"/>
          <w:sz w:val="32"/>
          <w:szCs w:val="32"/>
          <w:highlight w:val="none"/>
        </w:rPr>
        <w:t>返乡就业创业人员等</w:t>
      </w:r>
      <w:r>
        <w:rPr>
          <w:rFonts w:hint="eastAsia" w:cstheme="minorBidi"/>
          <w:sz w:val="32"/>
          <w:szCs w:val="32"/>
          <w:highlight w:val="none"/>
          <w:lang w:val="en-US" w:eastAsia="zh-CN"/>
        </w:rPr>
        <w:t>群体</w:t>
      </w:r>
      <w:r>
        <w:rPr>
          <w:rFonts w:ascii="Times New Roman" w:hAnsi="Times New Roman" w:eastAsia="仿宋_GB2312" w:cstheme="minorBidi"/>
          <w:sz w:val="32"/>
          <w:szCs w:val="32"/>
          <w:highlight w:val="none"/>
        </w:rPr>
        <w:t>购房需求，探索推出专项购房补贴，从公积金</w:t>
      </w:r>
      <w:r>
        <w:rPr>
          <w:rFonts w:hint="eastAsia" w:cstheme="minorBidi"/>
          <w:sz w:val="32"/>
          <w:szCs w:val="32"/>
          <w:highlight w:val="none"/>
          <w:lang w:val="en-US" w:eastAsia="zh-CN"/>
        </w:rPr>
        <w:t>贷款</w:t>
      </w:r>
      <w:r>
        <w:rPr>
          <w:rFonts w:ascii="Times New Roman" w:hAnsi="Times New Roman" w:eastAsia="仿宋_GB2312" w:cstheme="minorBidi"/>
          <w:sz w:val="32"/>
          <w:szCs w:val="32"/>
          <w:highlight w:val="none"/>
        </w:rPr>
        <w:t>额度提高、银行贷款优惠</w:t>
      </w:r>
      <w:r>
        <w:rPr>
          <w:rFonts w:hint="eastAsia" w:cstheme="minorBidi"/>
          <w:sz w:val="32"/>
          <w:szCs w:val="32"/>
          <w:highlight w:val="none"/>
          <w:lang w:eastAsia="zh-CN"/>
        </w:rPr>
        <w:t>、</w:t>
      </w:r>
      <w:r>
        <w:rPr>
          <w:rFonts w:hint="eastAsia" w:cstheme="minorBidi"/>
          <w:sz w:val="32"/>
          <w:szCs w:val="32"/>
          <w:highlight w:val="none"/>
          <w:lang w:val="en-US" w:eastAsia="zh-CN"/>
        </w:rPr>
        <w:t>优化首套贷款认定规则</w:t>
      </w:r>
      <w:r>
        <w:rPr>
          <w:rFonts w:ascii="Times New Roman" w:hAnsi="Times New Roman" w:eastAsia="仿宋_GB2312" w:cstheme="minorBidi"/>
          <w:sz w:val="32"/>
          <w:szCs w:val="32"/>
          <w:highlight w:val="none"/>
        </w:rPr>
        <w:t>等方面强化政策支撑，同步完善教育、医疗等公共服务保障，夯实安居</w:t>
      </w:r>
      <w:r>
        <w:rPr>
          <w:rFonts w:hint="eastAsia" w:cstheme="minorBidi"/>
          <w:sz w:val="32"/>
          <w:szCs w:val="32"/>
          <w:highlight w:val="none"/>
          <w:lang w:val="en-US" w:eastAsia="zh-CN"/>
        </w:rPr>
        <w:t>保障</w:t>
      </w:r>
      <w:r>
        <w:rPr>
          <w:rFonts w:ascii="Times New Roman" w:hAnsi="Times New Roman" w:eastAsia="仿宋_GB2312" w:cstheme="minorBidi"/>
          <w:sz w:val="32"/>
          <w:szCs w:val="32"/>
          <w:highlight w:val="none"/>
        </w:rPr>
        <w:t>基础。</w:t>
      </w:r>
      <w:r>
        <w:rPr>
          <w:rFonts w:hint="default"/>
          <w:highlight w:val="none"/>
          <w:lang w:val="en-US" w:eastAsia="zh-CN"/>
        </w:rPr>
        <w:t>加快满足居民</w:t>
      </w:r>
      <w:r>
        <w:rPr>
          <w:rFonts w:hint="eastAsia" w:ascii="仿宋_GB2312" w:hAnsi="仿宋_GB2312" w:cstheme="minorBidi"/>
          <w:i w:val="0"/>
          <w:iCs w:val="0"/>
          <w:caps w:val="0"/>
          <w:color w:val="auto"/>
          <w:spacing w:val="0"/>
          <w:sz w:val="32"/>
          <w:szCs w:val="32"/>
          <w:highlight w:val="none"/>
          <w:shd w:val="clear" w:fill="auto"/>
          <w:lang w:eastAsia="zh-CN"/>
        </w:rPr>
        <w:t>“</w:t>
      </w:r>
      <w:r>
        <w:rPr>
          <w:rFonts w:hint="eastAsia" w:ascii="Times New Roman" w:hAnsi="Times New Roman" w:eastAsia="仿宋_GB2312" w:cstheme="minorBidi"/>
          <w:i w:val="0"/>
          <w:iCs w:val="0"/>
          <w:caps w:val="0"/>
          <w:color w:val="auto"/>
          <w:spacing w:val="0"/>
          <w:sz w:val="32"/>
          <w:szCs w:val="32"/>
          <w:highlight w:val="none"/>
          <w:shd w:val="clear" w:fill="auto"/>
        </w:rPr>
        <w:t>以旧换新</w:t>
      </w:r>
      <w:r>
        <w:rPr>
          <w:rFonts w:hint="eastAsia" w:ascii="仿宋_GB2312" w:hAnsi="仿宋_GB2312" w:cstheme="minorBidi"/>
          <w:i w:val="0"/>
          <w:iCs w:val="0"/>
          <w:caps w:val="0"/>
          <w:color w:val="auto"/>
          <w:spacing w:val="0"/>
          <w:sz w:val="32"/>
          <w:szCs w:val="32"/>
          <w:highlight w:val="none"/>
          <w:shd w:val="clear" w:fill="auto"/>
          <w:lang w:eastAsia="zh-CN"/>
        </w:rPr>
        <w:t>”</w:t>
      </w:r>
      <w:r>
        <w:rPr>
          <w:rFonts w:hint="eastAsia" w:ascii="Times New Roman" w:hAnsi="Times New Roman" w:eastAsia="仿宋_GB2312" w:cstheme="minorBidi"/>
          <w:i w:val="0"/>
          <w:iCs w:val="0"/>
          <w:caps w:val="0"/>
          <w:color w:val="auto"/>
          <w:spacing w:val="0"/>
          <w:sz w:val="32"/>
          <w:szCs w:val="32"/>
          <w:highlight w:val="none"/>
          <w:shd w:val="clear" w:fill="auto"/>
        </w:rPr>
        <w:t>等改善性住房需求</w:t>
      </w:r>
      <w:r>
        <w:rPr>
          <w:rFonts w:hint="default" w:ascii="Times New Roman" w:hAnsi="Times New Roman" w:eastAsia="仿宋_GB2312" w:cstheme="minorBidi"/>
          <w:highlight w:val="none"/>
        </w:rPr>
        <w:t>，落实</w:t>
      </w:r>
      <w:r>
        <w:rPr>
          <w:rFonts w:hint="eastAsia" w:cstheme="minorBidi"/>
          <w:i w:val="0"/>
          <w:iCs w:val="0"/>
          <w:caps w:val="0"/>
          <w:color w:val="auto"/>
          <w:spacing w:val="0"/>
          <w:sz w:val="32"/>
          <w:szCs w:val="32"/>
          <w:highlight w:val="none"/>
          <w:shd w:val="clear" w:fill="auto"/>
          <w:lang w:val="en-US" w:eastAsia="zh-CN"/>
        </w:rPr>
        <w:t>税费减免</w:t>
      </w:r>
      <w:r>
        <w:rPr>
          <w:rFonts w:hint="default" w:ascii="Times New Roman" w:hAnsi="Times New Roman" w:eastAsia="仿宋_GB2312" w:cstheme="minorBidi"/>
          <w:i w:val="0"/>
          <w:iCs w:val="0"/>
          <w:caps w:val="0"/>
          <w:color w:val="auto"/>
          <w:spacing w:val="0"/>
          <w:sz w:val="32"/>
          <w:szCs w:val="32"/>
          <w:highlight w:val="none"/>
          <w:shd w:val="clear" w:fill="auto"/>
        </w:rPr>
        <w:t>、</w:t>
      </w:r>
      <w:r>
        <w:rPr>
          <w:rFonts w:hint="eastAsia" w:cstheme="minorBidi"/>
          <w:i w:val="0"/>
          <w:iCs w:val="0"/>
          <w:caps w:val="0"/>
          <w:color w:val="auto"/>
          <w:spacing w:val="0"/>
          <w:sz w:val="32"/>
          <w:szCs w:val="32"/>
          <w:highlight w:val="none"/>
          <w:shd w:val="clear" w:fill="auto"/>
          <w:lang w:val="en-US" w:eastAsia="zh-CN"/>
        </w:rPr>
        <w:t>跨行“带押过户”等政策</w:t>
      </w:r>
      <w:r>
        <w:rPr>
          <w:rFonts w:hint="default"/>
          <w:highlight w:val="none"/>
          <w:lang w:val="en-US" w:eastAsia="zh-CN"/>
        </w:rPr>
        <w:t>支持</w:t>
      </w:r>
      <w:r>
        <w:rPr>
          <w:rFonts w:hint="eastAsia" w:cstheme="minorBidi"/>
          <w:i w:val="0"/>
          <w:iCs w:val="0"/>
          <w:caps w:val="0"/>
          <w:color w:val="auto"/>
          <w:spacing w:val="0"/>
          <w:sz w:val="32"/>
          <w:szCs w:val="32"/>
          <w:highlight w:val="none"/>
          <w:shd w:val="clear" w:fill="auto"/>
          <w:lang w:eastAsia="zh-CN"/>
        </w:rPr>
        <w:t>，</w:t>
      </w:r>
      <w:r>
        <w:rPr>
          <w:rFonts w:hint="eastAsia"/>
          <w:color w:val="auto"/>
          <w:highlight w:val="none"/>
          <w:shd w:val="clear" w:fill="auto"/>
        </w:rPr>
        <w:t>探索放开二手住房公积金首付提取限制，存量房买卖合同备案后即可预提公积金支付购房首付款</w:t>
      </w:r>
      <w:r>
        <w:rPr>
          <w:rFonts w:hint="eastAsia"/>
          <w:color w:val="auto"/>
          <w:highlight w:val="none"/>
          <w:shd w:val="clear" w:fill="auto"/>
          <w:lang w:eastAsia="zh-CN"/>
        </w:rPr>
        <w:t>，</w:t>
      </w:r>
      <w:r>
        <w:rPr>
          <w:rFonts w:hint="eastAsia"/>
          <w:color w:val="auto"/>
          <w:highlight w:val="none"/>
          <w:shd w:val="clear" w:fill="auto"/>
        </w:rPr>
        <w:t>探索将住宅适老化、无障碍改造及装配式内装提质纳入公积金提取支持范围，</w:t>
      </w:r>
      <w:r>
        <w:rPr>
          <w:rFonts w:hint="eastAsia" w:cstheme="minorBidi"/>
          <w:i w:val="0"/>
          <w:iCs w:val="0"/>
          <w:caps w:val="0"/>
          <w:color w:val="auto"/>
          <w:spacing w:val="0"/>
          <w:sz w:val="32"/>
          <w:szCs w:val="32"/>
          <w:highlight w:val="none"/>
          <w:shd w:val="clear" w:fill="auto"/>
          <w:lang w:val="en-US" w:eastAsia="zh-CN"/>
        </w:rPr>
        <w:t>引导</w:t>
      </w:r>
      <w:r>
        <w:rPr>
          <w:rFonts w:hint="default"/>
          <w:highlight w:val="none"/>
        </w:rPr>
        <w:t>房企、经纪机构开展专项推介活动</w:t>
      </w:r>
      <w:r>
        <w:rPr>
          <w:rFonts w:hint="default"/>
          <w:highlight w:val="none"/>
          <w:lang w:eastAsia="zh-CN"/>
        </w:rPr>
        <w:t>，</w:t>
      </w:r>
      <w:r>
        <w:rPr>
          <w:rFonts w:hint="default"/>
          <w:highlight w:val="none"/>
          <w:lang w:val="en-US" w:eastAsia="zh-CN"/>
        </w:rPr>
        <w:t>逐步形成</w:t>
      </w:r>
      <w:r>
        <w:rPr>
          <w:rFonts w:hint="default"/>
          <w:highlight w:val="none"/>
        </w:rPr>
        <w:t>住房一、二级市场联动</w:t>
      </w:r>
      <w:r>
        <w:rPr>
          <w:rFonts w:hint="default"/>
          <w:highlight w:val="none"/>
          <w:lang w:val="en-US" w:eastAsia="zh-CN"/>
        </w:rPr>
        <w:t>发展格局</w:t>
      </w:r>
      <w:r>
        <w:rPr>
          <w:rFonts w:hint="default"/>
          <w:highlight w:val="none"/>
        </w:rPr>
        <w:t>。</w:t>
      </w:r>
      <w:r>
        <w:rPr>
          <w:highlight w:val="none"/>
        </w:rPr>
        <w:t>鼓励开展商品住房团购活动</w:t>
      </w:r>
      <w:r>
        <w:rPr>
          <w:rFonts w:hint="default"/>
          <w:highlight w:val="none"/>
          <w:lang w:eastAsia="zh-CN"/>
        </w:rPr>
        <w:t>，</w:t>
      </w:r>
      <w:r>
        <w:rPr>
          <w:rFonts w:hint="eastAsia"/>
          <w:highlight w:val="none"/>
          <w:lang w:val="en-US" w:eastAsia="zh-CN"/>
        </w:rPr>
        <w:t>支持房地产开发企业与产业园区、机关单位、国有企事业单位、高等院校等深化合作，拓宽住房销售渠道</w:t>
      </w:r>
      <w:r>
        <w:rPr>
          <w:rFonts w:hint="default" w:ascii="Times New Roman" w:hAnsi="Times New Roman" w:eastAsia="仿宋_GB2312" w:cstheme="minorBidi"/>
          <w:sz w:val="32"/>
          <w:szCs w:val="32"/>
          <w:highlight w:val="none"/>
          <w:lang w:eastAsia="zh-CN"/>
        </w:rPr>
        <w: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4BE5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6" w:type="dxa"/>
            <w:vAlign w:val="center"/>
          </w:tcPr>
          <w:p w14:paraId="2AD54D1F">
            <w:pPr>
              <w:widowControl w:val="0"/>
              <w:adjustRightInd w:val="0"/>
              <w:snapToGrid w:val="0"/>
              <w:spacing w:beforeLines="0" w:afterLines="0" w:line="240" w:lineRule="auto"/>
              <w:ind w:firstLine="0" w:firstLineChars="0"/>
              <w:jc w:val="center"/>
              <w:rPr>
                <w:rFonts w:hint="default" w:ascii="仿宋_GB2312" w:hAnsi="仿宋_GB2312" w:cs="仿宋_GB2312"/>
                <w:color w:val="auto"/>
                <w:sz w:val="28"/>
                <w:highlight w:val="none"/>
                <w:vertAlign w:val="baseline"/>
                <w:lang w:val="en-US" w:eastAsia="zh-CN"/>
              </w:rPr>
            </w:pPr>
            <w:r>
              <w:rPr>
                <w:rFonts w:hint="eastAsia" w:ascii="Times New Roman" w:hAnsi="Times New Roman" w:cs="仿宋_GB2312"/>
                <w:b/>
                <w:bCs/>
                <w:color w:val="auto"/>
                <w:sz w:val="28"/>
                <w:highlight w:val="none"/>
                <w:vertAlign w:val="baseline"/>
                <w:lang w:val="en-US" w:eastAsia="zh-CN"/>
              </w:rPr>
              <w:t>专栏1 住房消费提振工程</w:t>
            </w:r>
          </w:p>
        </w:tc>
      </w:tr>
      <w:tr w14:paraId="73CC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6" w:type="dxa"/>
            <w:vAlign w:val="center"/>
          </w:tcPr>
          <w:p w14:paraId="26DC6DA2">
            <w:pPr>
              <w:keepNext w:val="0"/>
              <w:keepLines w:val="0"/>
              <w:widowControl/>
              <w:suppressLineNumbers w:val="0"/>
              <w:adjustRightInd/>
              <w:snapToGrid/>
              <w:spacing w:beforeLines="-2147483648" w:afterLines="-2147483648" w:line="240" w:lineRule="auto"/>
              <w:ind w:firstLine="0"/>
              <w:jc w:val="left"/>
              <w:rPr>
                <w:rFonts w:ascii="Times New Roman" w:hAnsi="Times New Roman"/>
                <w:sz w:val="28"/>
                <w:szCs w:val="28"/>
                <w:highlight w:val="none"/>
              </w:rPr>
            </w:pPr>
            <w:r>
              <w:rPr>
                <w:rFonts w:hint="eastAsia" w:cs="Times New Roman"/>
                <w:b/>
                <w:bCs/>
                <w:sz w:val="28"/>
                <w:szCs w:val="28"/>
                <w:highlight w:val="none"/>
                <w:vertAlign w:val="baseline"/>
                <w:lang w:val="en-US" w:eastAsia="zh-CN"/>
              </w:rPr>
              <w:t>1</w:t>
            </w:r>
            <w:r>
              <w:rPr>
                <w:rFonts w:hint="eastAsia" w:ascii="Times New Roman" w:hAnsi="Times New Roman" w:cs="Times New Roman"/>
                <w:b/>
                <w:bCs/>
                <w:sz w:val="28"/>
                <w:szCs w:val="28"/>
                <w:highlight w:val="none"/>
                <w:vertAlign w:val="baseline"/>
                <w:lang w:val="en-US" w:eastAsia="zh-CN"/>
              </w:rPr>
              <w:t>.</w:t>
            </w:r>
            <w:r>
              <w:rPr>
                <w:rFonts w:hint="eastAsia" w:cs="Times New Roman"/>
                <w:b/>
                <w:bCs/>
                <w:sz w:val="28"/>
                <w:szCs w:val="32"/>
                <w:highlight w:val="none"/>
                <w:vertAlign w:val="baseline"/>
                <w:lang w:val="en-US" w:eastAsia="zh-CN"/>
              </w:rPr>
              <w:t>支持刚性购房需求，</w:t>
            </w:r>
            <w:r>
              <w:rPr>
                <w:rFonts w:hint="eastAsia" w:ascii="Times New Roman" w:hAnsi="Times New Roman" w:cs="Times New Roman"/>
                <w:b/>
                <w:bCs/>
                <w:sz w:val="28"/>
                <w:szCs w:val="32"/>
                <w:highlight w:val="none"/>
                <w:vertAlign w:val="baseline"/>
                <w:lang w:val="en-US" w:eastAsia="zh-CN"/>
              </w:rPr>
              <w:t>打通刚需改善置换链。</w:t>
            </w:r>
            <w:r>
              <w:rPr>
                <w:rFonts w:hint="eastAsia" w:ascii="仿宋_GB2312" w:hAnsi="仿宋_GB2312" w:cs="仿宋_GB2312"/>
                <w:color w:val="auto"/>
                <w:sz w:val="28"/>
                <w:szCs w:val="28"/>
                <w:highlight w:val="none"/>
                <w:lang w:val="en-US" w:eastAsia="zh-CN"/>
              </w:rPr>
              <w:t>探索</w:t>
            </w:r>
            <w:r>
              <w:rPr>
                <w:rFonts w:hint="eastAsia" w:ascii="仿宋_GB2312" w:hAnsi="仿宋_GB2312" w:eastAsia="仿宋_GB2312" w:cs="仿宋_GB2312"/>
                <w:sz w:val="28"/>
                <w:szCs w:val="28"/>
                <w:highlight w:val="none"/>
              </w:rPr>
              <w:t>对</w:t>
            </w:r>
            <w:r>
              <w:rPr>
                <w:rFonts w:hint="eastAsia" w:ascii="仿宋_GB2312" w:hAnsi="仿宋_GB2312" w:cs="仿宋_GB2312"/>
                <w:sz w:val="28"/>
                <w:szCs w:val="28"/>
                <w:highlight w:val="none"/>
                <w:lang w:val="en-US" w:eastAsia="zh-CN"/>
              </w:rPr>
              <w:t>初婚初育的无房家庭</w:t>
            </w:r>
            <w:r>
              <w:rPr>
                <w:rFonts w:hint="eastAsia" w:ascii="仿宋_GB2312" w:hAnsi="仿宋_GB2312" w:eastAsia="仿宋_GB2312" w:cs="仿宋_GB2312"/>
                <w:sz w:val="28"/>
                <w:szCs w:val="28"/>
                <w:highlight w:val="none"/>
              </w:rPr>
              <w:t>购买首套住房</w:t>
            </w:r>
            <w:r>
              <w:rPr>
                <w:rFonts w:hint="eastAsia" w:ascii="仿宋_GB2312" w:hAnsi="仿宋_GB2312" w:cs="仿宋_GB2312"/>
                <w:sz w:val="28"/>
                <w:szCs w:val="28"/>
                <w:highlight w:val="none"/>
                <w:lang w:val="en-US" w:eastAsia="zh-CN"/>
              </w:rPr>
              <w:t>提供发放</w:t>
            </w:r>
            <w:r>
              <w:rPr>
                <w:rFonts w:hint="eastAsia" w:ascii="仿宋_GB2312" w:hAnsi="仿宋_GB2312" w:eastAsia="仿宋_GB2312" w:cs="仿宋_GB2312"/>
                <w:sz w:val="28"/>
                <w:szCs w:val="28"/>
                <w:highlight w:val="none"/>
              </w:rPr>
              <w:t>专项</w:t>
            </w:r>
            <w:r>
              <w:rPr>
                <w:rFonts w:hint="eastAsia" w:ascii="仿宋_GB2312" w:hAnsi="仿宋_GB2312" w:cs="仿宋_GB2312"/>
                <w:sz w:val="28"/>
                <w:szCs w:val="28"/>
                <w:highlight w:val="none"/>
                <w:lang w:val="en-US" w:eastAsia="zh-CN"/>
              </w:rPr>
              <w:t>购房消费券、上浮公积金贷款额度等政策</w:t>
            </w:r>
            <w:r>
              <w:rPr>
                <w:rFonts w:hint="eastAsia" w:ascii="仿宋_GB2312" w:hAnsi="仿宋_GB2312" w:eastAsia="仿宋_GB2312" w:cs="仿宋_GB2312"/>
                <w:sz w:val="28"/>
                <w:szCs w:val="28"/>
                <w:highlight w:val="none"/>
              </w:rPr>
              <w:t>支持</w:t>
            </w:r>
            <w:r>
              <w:rPr>
                <w:rFonts w:hint="eastAsia" w:ascii="仿宋_GB2312" w:hAnsi="仿宋_GB2312" w:cs="仿宋_GB2312"/>
                <w:sz w:val="28"/>
                <w:szCs w:val="28"/>
                <w:highlight w:val="none"/>
                <w:lang w:eastAsia="zh-CN"/>
              </w:rPr>
              <w:t>。</w:t>
            </w:r>
            <w:r>
              <w:rPr>
                <w:rFonts w:hint="eastAsia" w:ascii="Times New Roman" w:hAnsi="Times New Roman" w:cs="Times New Roman"/>
                <w:b w:val="0"/>
                <w:bCs w:val="0"/>
                <w:sz w:val="28"/>
                <w:szCs w:val="28"/>
                <w:highlight w:val="none"/>
              </w:rPr>
              <w:t>健全住房</w:t>
            </w:r>
            <w:r>
              <w:rPr>
                <w:rFonts w:hint="eastAsia" w:ascii="仿宋_GB2312" w:hAnsi="仿宋_GB2312" w:cs="Times New Roman"/>
                <w:b w:val="0"/>
                <w:bCs w:val="0"/>
                <w:sz w:val="28"/>
                <w:szCs w:val="28"/>
                <w:highlight w:val="none"/>
                <w:lang w:eastAsia="zh-CN"/>
              </w:rPr>
              <w:t>“</w:t>
            </w:r>
            <w:r>
              <w:rPr>
                <w:rFonts w:hint="eastAsia" w:ascii="Times New Roman" w:hAnsi="Times New Roman" w:cs="Times New Roman"/>
                <w:b w:val="0"/>
                <w:bCs w:val="0"/>
                <w:sz w:val="28"/>
                <w:szCs w:val="28"/>
                <w:highlight w:val="none"/>
              </w:rPr>
              <w:t>以旧换新</w:t>
            </w:r>
            <w:r>
              <w:rPr>
                <w:rFonts w:hint="eastAsia" w:ascii="仿宋_GB2312" w:hAnsi="仿宋_GB2312" w:cs="Times New Roman"/>
                <w:b w:val="0"/>
                <w:bCs w:val="0"/>
                <w:sz w:val="28"/>
                <w:szCs w:val="28"/>
                <w:highlight w:val="none"/>
                <w:lang w:eastAsia="zh-CN"/>
              </w:rPr>
              <w:t>”</w:t>
            </w:r>
            <w:r>
              <w:rPr>
                <w:rFonts w:hint="eastAsia" w:ascii="Times New Roman" w:hAnsi="Times New Roman" w:cs="Times New Roman"/>
                <w:b w:val="0"/>
                <w:bCs w:val="0"/>
                <w:sz w:val="28"/>
                <w:szCs w:val="28"/>
                <w:highlight w:val="none"/>
              </w:rPr>
              <w:t>工作机制，打通房源收储、贷款衔接、旧房处置等关键环节堵点，提升</w:t>
            </w:r>
            <w:r>
              <w:rPr>
                <w:rFonts w:hint="eastAsia" w:ascii="Times New Roman" w:hAnsi="Times New Roman" w:cs="Times New Roman"/>
                <w:b w:val="0"/>
                <w:bCs w:val="0"/>
                <w:sz w:val="28"/>
                <w:szCs w:val="28"/>
                <w:highlight w:val="none"/>
                <w:lang w:val="en-US" w:eastAsia="zh-CN"/>
              </w:rPr>
              <w:t>房源置换服务</w:t>
            </w:r>
            <w:r>
              <w:rPr>
                <w:rFonts w:hint="eastAsia" w:ascii="Times New Roman" w:hAnsi="Times New Roman" w:cs="Times New Roman"/>
                <w:b w:val="0"/>
                <w:bCs w:val="0"/>
                <w:sz w:val="28"/>
                <w:szCs w:val="28"/>
                <w:highlight w:val="none"/>
              </w:rPr>
              <w:t>效率。</w:t>
            </w:r>
            <w:r>
              <w:rPr>
                <w:rFonts w:hint="eastAsia" w:cs="Times New Roman"/>
                <w:b w:val="0"/>
                <w:bCs w:val="0"/>
                <w:sz w:val="28"/>
                <w:szCs w:val="28"/>
                <w:highlight w:val="none"/>
                <w:lang w:val="en-US" w:eastAsia="zh-CN"/>
              </w:rPr>
              <w:t>定期开展房地产营销活动，</w:t>
            </w:r>
            <w:r>
              <w:rPr>
                <w:rFonts w:hint="eastAsia" w:ascii="Times New Roman" w:hAnsi="Times New Roman" w:cs="Times New Roman"/>
                <w:b w:val="0"/>
                <w:bCs w:val="0"/>
                <w:sz w:val="28"/>
                <w:szCs w:val="28"/>
                <w:highlight w:val="none"/>
              </w:rPr>
              <w:t>鼓励更多优质房企参与活动，</w:t>
            </w:r>
            <w:r>
              <w:rPr>
                <w:rFonts w:hint="eastAsia" w:ascii="Times New Roman" w:hAnsi="Times New Roman" w:cs="Times New Roman"/>
                <w:sz w:val="28"/>
                <w:szCs w:val="28"/>
                <w:highlight w:val="none"/>
              </w:rPr>
              <w:t>联动房地产中介机构、装饰装修公司、家电家具公司、银行等主体，</w:t>
            </w:r>
            <w:r>
              <w:rPr>
                <w:rFonts w:hint="eastAsia" w:ascii="Times New Roman" w:hAnsi="Times New Roman" w:cs="Times New Roman"/>
                <w:sz w:val="28"/>
                <w:szCs w:val="28"/>
                <w:highlight w:val="none"/>
                <w:lang w:val="en-US" w:eastAsia="zh-CN"/>
              </w:rPr>
              <w:t>整合</w:t>
            </w:r>
            <w:r>
              <w:rPr>
                <w:rFonts w:hint="eastAsia" w:ascii="Times New Roman" w:hAnsi="Times New Roman" w:cs="Times New Roman"/>
                <w:sz w:val="28"/>
                <w:szCs w:val="28"/>
                <w:highlight w:val="none"/>
              </w:rPr>
              <w:t>房企优惠卖房、中介优惠佣金、装饰装修公司优惠家装、银行优惠贷款等</w:t>
            </w:r>
            <w:r>
              <w:rPr>
                <w:rFonts w:hint="eastAsia" w:ascii="Times New Roman" w:hAnsi="Times New Roman" w:cs="Times New Roman"/>
                <w:sz w:val="28"/>
                <w:szCs w:val="28"/>
                <w:highlight w:val="none"/>
                <w:lang w:val="en-US" w:eastAsia="zh-CN"/>
              </w:rPr>
              <w:t>资源</w:t>
            </w:r>
            <w:r>
              <w:rPr>
                <w:rFonts w:hint="eastAsia" w:ascii="Times New Roman" w:hAnsi="Times New Roman" w:cs="Times New Roman"/>
                <w:sz w:val="28"/>
                <w:szCs w:val="28"/>
                <w:highlight w:val="none"/>
              </w:rPr>
              <w:t>，</w:t>
            </w:r>
            <w:r>
              <w:rPr>
                <w:rFonts w:hint="eastAsia" w:ascii="Times New Roman" w:hAnsi="Times New Roman" w:cs="Times New Roman"/>
                <w:sz w:val="28"/>
                <w:szCs w:val="28"/>
                <w:highlight w:val="none"/>
                <w:lang w:val="en-US" w:eastAsia="zh-CN"/>
              </w:rPr>
              <w:t>叠加</w:t>
            </w:r>
            <w:r>
              <w:rPr>
                <w:rFonts w:hint="eastAsia" w:cs="Times New Roman"/>
                <w:b w:val="0"/>
                <w:bCs w:val="0"/>
                <w:sz w:val="28"/>
                <w:szCs w:val="28"/>
                <w:highlight w:val="none"/>
                <w:lang w:val="en-US" w:eastAsia="zh-CN"/>
              </w:rPr>
              <w:t>购房</w:t>
            </w:r>
            <w:r>
              <w:rPr>
                <w:rFonts w:hint="eastAsia" w:ascii="Times New Roman" w:hAnsi="Times New Roman" w:cs="Times New Roman"/>
                <w:b w:val="0"/>
                <w:bCs w:val="0"/>
                <w:sz w:val="28"/>
                <w:szCs w:val="28"/>
                <w:highlight w:val="none"/>
              </w:rPr>
              <w:t>补贴等</w:t>
            </w:r>
            <w:r>
              <w:rPr>
                <w:rFonts w:hint="eastAsia" w:ascii="Times New Roman" w:hAnsi="Times New Roman" w:cs="Times New Roman"/>
                <w:b w:val="0"/>
                <w:bCs w:val="0"/>
                <w:sz w:val="28"/>
                <w:szCs w:val="28"/>
                <w:highlight w:val="none"/>
                <w:lang w:val="en-US" w:eastAsia="zh-CN"/>
              </w:rPr>
              <w:t>激励</w:t>
            </w:r>
            <w:r>
              <w:rPr>
                <w:rFonts w:hint="eastAsia" w:ascii="Times New Roman" w:hAnsi="Times New Roman" w:cs="Times New Roman"/>
                <w:b w:val="0"/>
                <w:bCs w:val="0"/>
                <w:sz w:val="28"/>
                <w:szCs w:val="28"/>
                <w:highlight w:val="none"/>
              </w:rPr>
              <w:t>措施，</w:t>
            </w:r>
            <w:r>
              <w:rPr>
                <w:rFonts w:hint="eastAsia" w:cs="Times New Roman"/>
                <w:b w:val="0"/>
                <w:bCs w:val="0"/>
                <w:sz w:val="28"/>
                <w:szCs w:val="28"/>
                <w:highlight w:val="none"/>
                <w:lang w:val="en-US" w:eastAsia="zh-CN"/>
              </w:rPr>
              <w:t>支持居民刚性和改善性住房需求</w:t>
            </w:r>
            <w:r>
              <w:rPr>
                <w:rFonts w:hint="eastAsia" w:ascii="Times New Roman" w:hAnsi="Times New Roman" w:cs="Times New Roman"/>
                <w:b w:val="0"/>
                <w:bCs w:val="0"/>
                <w:sz w:val="28"/>
                <w:szCs w:val="28"/>
                <w:highlight w:val="none"/>
              </w:rPr>
              <w:t>。</w:t>
            </w:r>
          </w:p>
          <w:p w14:paraId="4095DAA2">
            <w:pPr>
              <w:widowControl w:val="0"/>
              <w:adjustRightInd w:val="0"/>
              <w:snapToGrid w:val="0"/>
              <w:spacing w:beforeLines="0" w:afterLines="0" w:line="600" w:lineRule="exact"/>
              <w:ind w:firstLine="562"/>
              <w:rPr>
                <w:rFonts w:hint="eastAsia" w:ascii="仿宋_GB2312" w:hAnsi="仿宋_GB2312" w:cs="仿宋_GB2312"/>
                <w:color w:val="auto"/>
                <w:sz w:val="28"/>
                <w:szCs w:val="28"/>
                <w:highlight w:val="none"/>
                <w:lang w:eastAsia="zh-CN"/>
              </w:rPr>
            </w:pPr>
            <w:r>
              <w:rPr>
                <w:rFonts w:hint="eastAsia" w:ascii="Times New Roman" w:hAnsi="Times New Roman" w:cs="Times New Roman"/>
                <w:b/>
                <w:bCs/>
                <w:sz w:val="28"/>
                <w:highlight w:val="none"/>
                <w:lang w:val="en-US" w:eastAsia="zh-CN"/>
              </w:rPr>
              <w:t>2</w:t>
            </w:r>
            <w:r>
              <w:rPr>
                <w:rFonts w:hint="eastAsia" w:ascii="Times New Roman" w:hAnsi="Times New Roman"/>
                <w:highlight w:val="none"/>
                <w:lang w:val="en-US" w:eastAsia="zh-CN"/>
              </w:rPr>
              <w:t>.</w:t>
            </w:r>
            <w:r>
              <w:rPr>
                <w:rFonts w:hint="eastAsia" w:ascii="仿宋_GB2312" w:hAnsi="仿宋_GB2312" w:eastAsia="仿宋_GB2312" w:cs="仿宋_GB2312"/>
                <w:b/>
                <w:bCs/>
                <w:color w:val="auto"/>
                <w:sz w:val="28"/>
                <w:szCs w:val="28"/>
                <w:highlight w:val="none"/>
                <w:lang w:bidi="ar"/>
              </w:rPr>
              <w:t>加快完善城镇化配套支撑，激活农业转移人口刚性购房</w:t>
            </w:r>
            <w:r>
              <w:rPr>
                <w:rFonts w:hint="eastAsia" w:ascii="仿宋_GB2312" w:hAnsi="仿宋_GB2312" w:eastAsia="仿宋_GB2312" w:cs="仿宋_GB2312"/>
                <w:b/>
                <w:bCs/>
                <w:color w:val="auto"/>
                <w:sz w:val="28"/>
                <w:szCs w:val="28"/>
                <w:highlight w:val="none"/>
                <w:lang w:val="en-US" w:eastAsia="zh-CN" w:bidi="ar"/>
              </w:rPr>
              <w:t>潜力。</w:t>
            </w:r>
            <w:r>
              <w:rPr>
                <w:rFonts w:hint="eastAsia" w:ascii="Times New Roman" w:hAnsi="Times New Roman" w:cs="仿宋_GB2312"/>
                <w:color w:val="auto"/>
                <w:sz w:val="28"/>
                <w:szCs w:val="28"/>
                <w:highlight w:val="none"/>
              </w:rPr>
              <w:t>深入实施</w:t>
            </w:r>
            <w:r>
              <w:rPr>
                <w:rFonts w:hint="eastAsia" w:ascii="仿宋_GB2312" w:hAnsi="仿宋_GB2312" w:cs="仿宋_GB2312"/>
                <w:color w:val="auto"/>
                <w:sz w:val="28"/>
                <w:szCs w:val="28"/>
                <w:highlight w:val="none"/>
                <w:lang w:eastAsia="zh-CN"/>
              </w:rPr>
              <w:t>“</w:t>
            </w:r>
            <w:r>
              <w:rPr>
                <w:rFonts w:hint="eastAsia" w:ascii="Times New Roman" w:hAnsi="Times New Roman" w:cs="仿宋_GB2312"/>
                <w:color w:val="auto"/>
                <w:sz w:val="28"/>
                <w:szCs w:val="28"/>
                <w:highlight w:val="none"/>
              </w:rPr>
              <w:t>百县千镇万村高质量发展工程</w:t>
            </w:r>
            <w:r>
              <w:rPr>
                <w:rFonts w:hint="eastAsia" w:ascii="仿宋_GB2312" w:hAnsi="仿宋_GB2312" w:cs="仿宋_GB2312"/>
                <w:color w:val="auto"/>
                <w:sz w:val="28"/>
                <w:szCs w:val="28"/>
                <w:highlight w:val="none"/>
                <w:lang w:eastAsia="zh-CN"/>
              </w:rPr>
              <w:t>”</w:t>
            </w:r>
            <w:r>
              <w:rPr>
                <w:rFonts w:hint="eastAsia" w:cs="仿宋_GB2312"/>
                <w:color w:val="auto"/>
                <w:sz w:val="28"/>
                <w:szCs w:val="28"/>
                <w:highlight w:val="none"/>
                <w:lang w:eastAsia="zh-CN"/>
              </w:rPr>
              <w:t>，</w:t>
            </w:r>
            <w:r>
              <w:rPr>
                <w:rFonts w:hint="eastAsia" w:ascii="仿宋_GB2312" w:hAnsi="仿宋_GB2312" w:eastAsia="仿宋_GB2312" w:cs="仿宋_GB2312"/>
                <w:sz w:val="28"/>
                <w:szCs w:val="28"/>
                <w:highlight w:val="none"/>
              </w:rPr>
              <w:t>优化教育资源</w:t>
            </w:r>
            <w:r>
              <w:rPr>
                <w:rFonts w:hint="eastAsia" w:ascii="仿宋_GB2312" w:hAnsi="仿宋_GB2312" w:cs="仿宋_GB2312"/>
                <w:sz w:val="28"/>
                <w:szCs w:val="28"/>
                <w:highlight w:val="none"/>
                <w:lang w:eastAsia="zh-CN"/>
              </w:rPr>
              <w:t>、</w:t>
            </w:r>
            <w:r>
              <w:rPr>
                <w:rFonts w:hint="eastAsia" w:ascii="仿宋_GB2312" w:hAnsi="仿宋_GB2312" w:cs="仿宋_GB2312"/>
                <w:color w:val="auto"/>
                <w:sz w:val="28"/>
                <w:szCs w:val="28"/>
                <w:highlight w:val="none"/>
                <w:lang w:val="en-US" w:eastAsia="zh-CN"/>
              </w:rPr>
              <w:t>医疗、商业等公服配套设施。着力</w:t>
            </w:r>
            <w:r>
              <w:rPr>
                <w:rFonts w:hint="eastAsia" w:ascii="仿宋_GB2312" w:hAnsi="仿宋_GB2312" w:cs="仿宋_GB2312"/>
                <w:color w:val="auto"/>
                <w:sz w:val="28"/>
                <w:szCs w:val="28"/>
                <w:highlight w:val="none"/>
              </w:rPr>
              <w:t>推动教育公共服务政策与住房市场发展深度衔接、协同发力，切实解决农业转移人口进城就学的核心关切。推动优质教育资源全域均衡布局，加快老城区优质学校集团化办学及分校扩容建设，</w:t>
            </w:r>
            <w:r>
              <w:rPr>
                <w:rFonts w:hint="eastAsia" w:ascii="仿宋_GB2312" w:hAnsi="仿宋_GB2312" w:cs="仿宋_GB2312"/>
                <w:color w:val="auto"/>
                <w:sz w:val="28"/>
                <w:szCs w:val="28"/>
                <w:highlight w:val="none"/>
                <w:lang w:val="en-US" w:eastAsia="zh-CN"/>
              </w:rPr>
              <w:t>引导优质教育配套加快</w:t>
            </w:r>
            <w:r>
              <w:rPr>
                <w:rFonts w:hint="eastAsia" w:ascii="仿宋_GB2312" w:hAnsi="仿宋_GB2312" w:cs="仿宋_GB2312"/>
                <w:color w:val="auto"/>
                <w:sz w:val="28"/>
                <w:szCs w:val="28"/>
                <w:highlight w:val="none"/>
              </w:rPr>
              <w:t>向麻章、坡头、高铁新城及产业园区周边</w:t>
            </w:r>
            <w:r>
              <w:rPr>
                <w:rFonts w:hint="eastAsia" w:ascii="仿宋_GB2312" w:hAnsi="仿宋_GB2312" w:cs="仿宋_GB2312"/>
                <w:color w:val="auto"/>
                <w:sz w:val="28"/>
                <w:szCs w:val="28"/>
                <w:highlight w:val="none"/>
                <w:lang w:val="en-US" w:eastAsia="zh-CN"/>
              </w:rPr>
              <w:t>居住板块覆盖</w:t>
            </w:r>
            <w:r>
              <w:rPr>
                <w:rFonts w:hint="eastAsia" w:ascii="仿宋_GB2312" w:hAnsi="仿宋_GB2312" w:cs="仿宋_GB2312"/>
                <w:color w:val="auto"/>
                <w:sz w:val="28"/>
                <w:szCs w:val="28"/>
                <w:highlight w:val="none"/>
              </w:rPr>
              <w:t>，同步补齐县城、中心镇教育配套短板，新建</w:t>
            </w: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lang w:val="en-US" w:eastAsia="zh-CN"/>
              </w:rPr>
              <w:t>改扩建</w:t>
            </w:r>
            <w:r>
              <w:rPr>
                <w:rFonts w:hint="eastAsia" w:ascii="仿宋_GB2312" w:hAnsi="仿宋_GB2312" w:cs="仿宋_GB2312"/>
                <w:color w:val="auto"/>
                <w:sz w:val="28"/>
                <w:szCs w:val="28"/>
                <w:highlight w:val="none"/>
              </w:rPr>
              <w:t>一批标准化公办中小学、幼儿园，大幅扩大优质公办学位普惠供给，</w:t>
            </w:r>
            <w:r>
              <w:rPr>
                <w:rFonts w:hint="eastAsia" w:ascii="仿宋_GB2312" w:hAnsi="仿宋_GB2312" w:cs="仿宋_GB2312"/>
                <w:color w:val="auto"/>
                <w:sz w:val="28"/>
                <w:szCs w:val="28"/>
                <w:highlight w:val="none"/>
                <w:lang w:val="en-US" w:eastAsia="zh-CN"/>
              </w:rPr>
              <w:t>重点打造“优质教育+全龄生活”一体化宜居片区。</w:t>
            </w:r>
          </w:p>
          <w:p w14:paraId="344795B8">
            <w:pPr>
              <w:adjustRightInd w:val="0"/>
              <w:snapToGrid w:val="0"/>
              <w:spacing w:beforeLines="0" w:afterLines="0" w:line="600" w:lineRule="exact"/>
              <w:ind w:firstLine="562"/>
              <w:rPr>
                <w:highlight w:val="none"/>
              </w:rPr>
            </w:pPr>
            <w:r>
              <w:rPr>
                <w:rFonts w:hint="eastAsia" w:cs="Times New Roman"/>
                <w:b/>
                <w:bCs/>
                <w:color w:val="auto"/>
                <w:sz w:val="28"/>
                <w:szCs w:val="32"/>
                <w:highlight w:val="none"/>
                <w:lang w:val="en-US" w:eastAsia="zh-CN"/>
              </w:rPr>
              <w:t>3</w:t>
            </w:r>
            <w:r>
              <w:rPr>
                <w:rFonts w:hint="eastAsia" w:ascii="Times New Roman" w:hAnsi="Times New Roman" w:cs="仿宋_GB2312"/>
                <w:b/>
                <w:bCs/>
                <w:color w:val="auto"/>
                <w:sz w:val="28"/>
                <w:szCs w:val="28"/>
                <w:highlight w:val="none"/>
                <w:lang w:val="en-US" w:eastAsia="zh-CN"/>
              </w:rPr>
              <w:t>.</w:t>
            </w:r>
            <w:r>
              <w:rPr>
                <w:rFonts w:hint="eastAsia" w:cs="仿宋_GB2312"/>
                <w:b/>
                <w:bCs/>
                <w:color w:val="auto"/>
                <w:sz w:val="28"/>
                <w:szCs w:val="28"/>
                <w:highlight w:val="none"/>
                <w:lang w:val="en-US" w:eastAsia="zh-CN"/>
              </w:rPr>
              <w:t>围绕重点企业和园区，加大产业人才住房消费支持</w:t>
            </w:r>
            <w:r>
              <w:rPr>
                <w:rFonts w:hint="eastAsia" w:ascii="Times New Roman" w:hAnsi="Times New Roman" w:cs="仿宋_GB2312"/>
                <w:b/>
                <w:bCs/>
                <w:color w:val="auto"/>
                <w:sz w:val="28"/>
                <w:szCs w:val="28"/>
                <w:highlight w:val="none"/>
                <w:lang w:val="en-US" w:eastAsia="zh-CN"/>
              </w:rPr>
              <w:t>。</w:t>
            </w:r>
            <w:r>
              <w:rPr>
                <w:rFonts w:hint="eastAsia" w:ascii="Times New Roman" w:hAnsi="Times New Roman" w:eastAsia="仿宋_GB2312" w:cs="仿宋_GB2312"/>
                <w:color w:val="auto"/>
                <w:sz w:val="28"/>
                <w:szCs w:val="28"/>
                <w:highlight w:val="none"/>
              </w:rPr>
              <w:t>鼓励政府搭台、企业联动，</w:t>
            </w:r>
            <w:r>
              <w:rPr>
                <w:rFonts w:hint="eastAsia" w:cs="仿宋_GB2312"/>
                <w:color w:val="auto"/>
                <w:sz w:val="28"/>
                <w:szCs w:val="28"/>
                <w:highlight w:val="none"/>
                <w:lang w:val="en-US" w:eastAsia="zh-CN"/>
              </w:rPr>
              <w:t>建立需求对接机制，</w:t>
            </w:r>
            <w:r>
              <w:rPr>
                <w:rFonts w:hint="eastAsia" w:ascii="Times New Roman" w:hAnsi="Times New Roman" w:eastAsia="仿宋_GB2312" w:cs="仿宋_GB2312"/>
                <w:color w:val="auto"/>
                <w:sz w:val="28"/>
                <w:szCs w:val="28"/>
                <w:highlight w:val="none"/>
              </w:rPr>
              <w:t>面向各类产业园区及入驻企业组织开展定向</w:t>
            </w:r>
            <w:r>
              <w:rPr>
                <w:rFonts w:hint="eastAsia" w:cs="仿宋_GB2312"/>
                <w:color w:val="auto"/>
                <w:sz w:val="28"/>
                <w:szCs w:val="28"/>
                <w:highlight w:val="none"/>
                <w:lang w:val="en-US" w:eastAsia="zh-CN"/>
              </w:rPr>
              <w:t>房地产</w:t>
            </w:r>
            <w:r>
              <w:rPr>
                <w:rFonts w:hint="eastAsia" w:ascii="Times New Roman" w:hAnsi="Times New Roman" w:eastAsia="仿宋_GB2312" w:cs="仿宋_GB2312"/>
                <w:color w:val="auto"/>
                <w:sz w:val="28"/>
                <w:szCs w:val="28"/>
                <w:highlight w:val="none"/>
              </w:rPr>
              <w:t>团购活动，通过</w:t>
            </w:r>
            <w:r>
              <w:rPr>
                <w:rStyle w:val="24"/>
                <w:rFonts w:hint="eastAsia" w:ascii="Times New Roman" w:hAnsi="Times New Roman" w:eastAsia="仿宋_GB2312" w:cs="仿宋_GB2312"/>
                <w:b w:val="0"/>
                <w:bCs w:val="0"/>
                <w:color w:val="auto"/>
                <w:sz w:val="28"/>
                <w:szCs w:val="28"/>
                <w:highlight w:val="none"/>
              </w:rPr>
              <w:t>团购优惠</w:t>
            </w:r>
            <w:r>
              <w:rPr>
                <w:rFonts w:hint="eastAsia" w:ascii="Times New Roman" w:hAnsi="Times New Roman" w:eastAsia="仿宋_GB2312" w:cs="仿宋_GB2312"/>
                <w:color w:val="auto"/>
                <w:sz w:val="28"/>
                <w:szCs w:val="28"/>
                <w:highlight w:val="none"/>
              </w:rPr>
              <w:t>等</w:t>
            </w:r>
            <w:r>
              <w:rPr>
                <w:rFonts w:hint="eastAsia" w:ascii="Times New Roman" w:hAnsi="Times New Roman" w:eastAsia="仿宋_GB2312" w:cs="仿宋_GB2312"/>
                <w:color w:val="auto"/>
                <w:sz w:val="28"/>
                <w:szCs w:val="28"/>
                <w:highlight w:val="none"/>
                <w:lang w:val="en-US" w:eastAsia="zh-CN"/>
              </w:rPr>
              <w:t>激励</w:t>
            </w:r>
            <w:r>
              <w:rPr>
                <w:rFonts w:hint="eastAsia" w:ascii="Times New Roman" w:hAnsi="Times New Roman" w:eastAsia="仿宋_GB2312" w:cs="仿宋_GB2312"/>
                <w:color w:val="auto"/>
                <w:sz w:val="28"/>
                <w:szCs w:val="28"/>
                <w:highlight w:val="none"/>
              </w:rPr>
              <w:t>举措，降低产业人口购房成本。</w:t>
            </w:r>
          </w:p>
          <w:p w14:paraId="6F9AD49F">
            <w:pPr>
              <w:widowControl w:val="0"/>
              <w:adjustRightInd w:val="0"/>
              <w:snapToGrid w:val="0"/>
              <w:spacing w:beforeLines="0" w:afterLines="0" w:line="600" w:lineRule="exact"/>
              <w:ind w:firstLine="562" w:firstLineChars="200"/>
              <w:jc w:val="both"/>
              <w:rPr>
                <w:rFonts w:hint="eastAsia" w:ascii="Times New Roman" w:hAnsi="Times New Roman" w:eastAsia="仿宋_GB2312"/>
                <w:b w:val="0"/>
                <w:bCs w:val="0"/>
                <w:color w:val="auto"/>
                <w:sz w:val="28"/>
                <w:highlight w:val="none"/>
                <w:lang w:val="en-US" w:eastAsia="zh-CN"/>
              </w:rPr>
            </w:pPr>
            <w:r>
              <w:rPr>
                <w:rFonts w:hint="eastAsia" w:ascii="Times New Roman" w:hAnsi="Times New Roman"/>
                <w:b/>
                <w:bCs/>
                <w:color w:val="auto"/>
                <w:sz w:val="28"/>
                <w:highlight w:val="none"/>
                <w:lang w:val="en-US" w:eastAsia="zh-CN"/>
              </w:rPr>
              <w:t>4.立足资源禀赋发展特色地产，</w:t>
            </w:r>
            <w:r>
              <w:rPr>
                <w:rFonts w:hint="eastAsia" w:ascii="Times New Roman" w:hAnsi="Times New Roman"/>
                <w:b/>
                <w:bCs/>
                <w:color w:val="auto"/>
                <w:sz w:val="28"/>
                <w:highlight w:val="none"/>
              </w:rPr>
              <w:t>积极拓展</w:t>
            </w:r>
            <w:r>
              <w:rPr>
                <w:rFonts w:hint="eastAsia" w:ascii="Times New Roman" w:hAnsi="Times New Roman"/>
                <w:b/>
                <w:bCs/>
                <w:color w:val="auto"/>
                <w:sz w:val="28"/>
                <w:highlight w:val="none"/>
                <w:lang w:val="en-US" w:eastAsia="zh-CN"/>
              </w:rPr>
              <w:t>市外</w:t>
            </w:r>
            <w:r>
              <w:rPr>
                <w:rFonts w:hint="eastAsia" w:ascii="Times New Roman" w:hAnsi="Times New Roman"/>
                <w:b/>
                <w:bCs/>
                <w:color w:val="auto"/>
                <w:sz w:val="28"/>
                <w:highlight w:val="none"/>
              </w:rPr>
              <w:t>市场</w:t>
            </w:r>
            <w:r>
              <w:rPr>
                <w:rFonts w:hint="eastAsia" w:ascii="Times New Roman" w:hAnsi="Times New Roman"/>
                <w:b/>
                <w:bCs/>
                <w:color w:val="auto"/>
                <w:sz w:val="28"/>
                <w:highlight w:val="none"/>
                <w:lang w:eastAsia="zh-CN"/>
              </w:rPr>
              <w:t>。</w:t>
            </w:r>
            <w:r>
              <w:rPr>
                <w:rFonts w:hint="eastAsia" w:ascii="Times New Roman" w:hAnsi="Times New Roman"/>
                <w:color w:val="auto"/>
                <w:sz w:val="28"/>
                <w:highlight w:val="none"/>
              </w:rPr>
              <w:t>将景观资源</w:t>
            </w:r>
            <w:r>
              <w:rPr>
                <w:rFonts w:hint="eastAsia"/>
                <w:color w:val="auto"/>
                <w:sz w:val="28"/>
                <w:highlight w:val="none"/>
                <w:lang w:eastAsia="zh-CN"/>
              </w:rPr>
              <w:t>、</w:t>
            </w:r>
            <w:r>
              <w:rPr>
                <w:rFonts w:hint="eastAsia"/>
                <w:color w:val="auto"/>
                <w:sz w:val="28"/>
                <w:highlight w:val="none"/>
                <w:lang w:val="en-US" w:eastAsia="zh-CN"/>
              </w:rPr>
              <w:t>滨海资源</w:t>
            </w:r>
            <w:r>
              <w:rPr>
                <w:rFonts w:hint="eastAsia" w:ascii="Times New Roman" w:hAnsi="Times New Roman"/>
                <w:color w:val="auto"/>
                <w:sz w:val="28"/>
                <w:highlight w:val="none"/>
              </w:rPr>
              <w:t>转化为宜居优势和住房产品竞争力</w:t>
            </w:r>
            <w:r>
              <w:rPr>
                <w:rFonts w:hint="eastAsia" w:ascii="Times New Roman" w:hAnsi="Times New Roman"/>
                <w:b w:val="0"/>
                <w:bCs w:val="0"/>
                <w:color w:val="auto"/>
                <w:sz w:val="28"/>
                <w:highlight w:val="none"/>
                <w:lang w:val="en-US" w:eastAsia="zh-CN"/>
              </w:rPr>
              <w:t>，</w:t>
            </w:r>
            <w:r>
              <w:rPr>
                <w:rFonts w:hint="eastAsia"/>
                <w:b w:val="0"/>
                <w:bCs w:val="0"/>
                <w:color w:val="auto"/>
                <w:sz w:val="28"/>
                <w:highlight w:val="none"/>
                <w:lang w:val="en-US" w:eastAsia="zh-CN"/>
              </w:rPr>
              <w:t>提升存量旅居项目住房品质，支持滨海项目将旅居需求纳入项目规划设计和管理服务中统筹考虑，将旅居特色作为发展全域旅游的重要支撑</w:t>
            </w:r>
            <w:r>
              <w:rPr>
                <w:rFonts w:hint="eastAsia" w:ascii="Times New Roman" w:hAnsi="Times New Roman"/>
                <w:b w:val="0"/>
                <w:bCs w:val="0"/>
                <w:color w:val="auto"/>
                <w:sz w:val="28"/>
                <w:highlight w:val="none"/>
                <w:lang w:val="en-US" w:eastAsia="zh-CN"/>
              </w:rPr>
              <w:t>。积极组织跨城推介活动，借鉴前期在南京、长春、西安等城市的推介经验</w:t>
            </w:r>
            <w:r>
              <w:rPr>
                <w:rFonts w:hint="eastAsia" w:ascii="Times New Roman" w:hAnsi="Times New Roman"/>
                <w:color w:val="auto"/>
                <w:sz w:val="28"/>
                <w:highlight w:val="none"/>
              </w:rPr>
              <w:t>，</w:t>
            </w:r>
            <w:r>
              <w:rPr>
                <w:rFonts w:hint="eastAsia" w:ascii="Times New Roman" w:hAnsi="Times New Roman"/>
                <w:b w:val="0"/>
                <w:bCs w:val="0"/>
                <w:color w:val="auto"/>
                <w:sz w:val="28"/>
                <w:highlight w:val="none"/>
                <w:lang w:val="en-US" w:eastAsia="zh-CN"/>
              </w:rPr>
              <w:t>整合全市优质房源、购房优惠政策及教育、医疗、交通等配套资源，提升推介质效。精准对接北方地区避寒、康养旅居需求，发挥徐闻、吴川等片区旅居优势，</w:t>
            </w:r>
            <w:r>
              <w:rPr>
                <w:rFonts w:hint="eastAsia"/>
                <w:color w:val="auto"/>
                <w:sz w:val="28"/>
                <w:highlight w:val="none"/>
              </w:rPr>
              <w:t>加快开通湛江至重点客源地的直飞航线，优化高铁线路衔接</w:t>
            </w:r>
            <w:r>
              <w:rPr>
                <w:rFonts w:hint="eastAsia" w:ascii="Times New Roman" w:hAnsi="Times New Roman"/>
                <w:b w:val="0"/>
                <w:bCs w:val="0"/>
                <w:color w:val="auto"/>
                <w:sz w:val="28"/>
                <w:highlight w:val="none"/>
                <w:lang w:val="en-US" w:eastAsia="zh-CN"/>
              </w:rPr>
              <w:t>，制定面向老年群体的旅居康养产品，以旅居引流带动住房消费。</w:t>
            </w:r>
            <w:r>
              <w:rPr>
                <w:rFonts w:hint="eastAsia"/>
                <w:color w:val="auto"/>
                <w:sz w:val="28"/>
                <w:highlight w:val="none"/>
              </w:rPr>
              <w:t>推进网签备案、住房公积金贷款和不动产登记等事项全程网办，实现</w:t>
            </w:r>
            <w:r>
              <w:rPr>
                <w:rFonts w:hint="eastAsia" w:ascii="仿宋_GB2312" w:hAnsi="仿宋_GB2312"/>
                <w:color w:val="auto"/>
                <w:sz w:val="28"/>
                <w:highlight w:val="none"/>
                <w:lang w:eastAsia="zh-CN"/>
              </w:rPr>
              <w:t>“</w:t>
            </w:r>
            <w:r>
              <w:rPr>
                <w:rFonts w:hint="eastAsia"/>
                <w:color w:val="auto"/>
                <w:sz w:val="28"/>
                <w:highlight w:val="none"/>
              </w:rPr>
              <w:t>零跑腿</w:t>
            </w:r>
            <w:r>
              <w:rPr>
                <w:rFonts w:hint="eastAsia" w:ascii="仿宋_GB2312" w:hAnsi="仿宋_GB2312"/>
                <w:color w:val="auto"/>
                <w:sz w:val="28"/>
                <w:highlight w:val="none"/>
                <w:lang w:eastAsia="zh-CN"/>
              </w:rPr>
              <w:t>”</w:t>
            </w:r>
            <w:r>
              <w:rPr>
                <w:rFonts w:hint="eastAsia"/>
                <w:color w:val="auto"/>
                <w:sz w:val="28"/>
                <w:highlight w:val="none"/>
              </w:rPr>
              <w:t>、</w:t>
            </w:r>
            <w:r>
              <w:rPr>
                <w:rFonts w:hint="eastAsia" w:ascii="仿宋_GB2312" w:hAnsi="仿宋_GB2312"/>
                <w:color w:val="auto"/>
                <w:sz w:val="28"/>
                <w:highlight w:val="none"/>
                <w:lang w:eastAsia="zh-CN"/>
              </w:rPr>
              <w:t>“</w:t>
            </w:r>
            <w:r>
              <w:rPr>
                <w:rFonts w:hint="eastAsia"/>
                <w:color w:val="auto"/>
                <w:sz w:val="28"/>
                <w:highlight w:val="none"/>
              </w:rPr>
              <w:t>跨市办</w:t>
            </w:r>
            <w:r>
              <w:rPr>
                <w:rFonts w:hint="eastAsia" w:ascii="仿宋_GB2312" w:hAnsi="仿宋_GB2312"/>
                <w:color w:val="auto"/>
                <w:sz w:val="28"/>
                <w:highlight w:val="none"/>
                <w:lang w:eastAsia="zh-CN"/>
              </w:rPr>
              <w:t>”</w:t>
            </w:r>
            <w:r>
              <w:rPr>
                <w:rFonts w:hint="eastAsia"/>
                <w:color w:val="auto"/>
                <w:sz w:val="28"/>
                <w:highlight w:val="none"/>
              </w:rPr>
              <w:t>、</w:t>
            </w:r>
            <w:r>
              <w:rPr>
                <w:rFonts w:hint="eastAsia" w:ascii="仿宋_GB2312" w:hAnsi="仿宋_GB2312"/>
                <w:color w:val="auto"/>
                <w:sz w:val="28"/>
                <w:highlight w:val="none"/>
                <w:lang w:eastAsia="zh-CN"/>
              </w:rPr>
              <w:t>“</w:t>
            </w:r>
            <w:r>
              <w:rPr>
                <w:rFonts w:hint="eastAsia"/>
                <w:color w:val="auto"/>
                <w:sz w:val="28"/>
                <w:highlight w:val="none"/>
              </w:rPr>
              <w:t>跨省办</w:t>
            </w:r>
            <w:r>
              <w:rPr>
                <w:rFonts w:hint="eastAsia" w:ascii="仿宋_GB2312" w:hAnsi="仿宋_GB2312"/>
                <w:color w:val="auto"/>
                <w:sz w:val="28"/>
                <w:highlight w:val="none"/>
                <w:lang w:eastAsia="zh-CN"/>
              </w:rPr>
              <w:t>”</w:t>
            </w:r>
            <w:r>
              <w:rPr>
                <w:rFonts w:hint="eastAsia"/>
                <w:color w:val="auto"/>
                <w:sz w:val="28"/>
                <w:highlight w:val="none"/>
                <w:lang w:eastAsia="zh-CN"/>
              </w:rPr>
              <w:t>。</w:t>
            </w:r>
          </w:p>
        </w:tc>
      </w:tr>
    </w:tbl>
    <w:p w14:paraId="65D71D3B">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3.</w:t>
      </w:r>
      <w:r>
        <w:rPr>
          <w:rFonts w:hint="eastAsia" w:ascii="Times New Roman" w:hAnsi="Times New Roman" w:eastAsia="仿宋_GB2312" w:cstheme="minorBidi"/>
          <w:szCs w:val="32"/>
          <w:highlight w:val="none"/>
        </w:rPr>
        <w:t>加快推进商品房库存去化</w:t>
      </w:r>
      <w:r>
        <w:rPr>
          <w:rFonts w:hint="eastAsia" w:ascii="Times New Roman" w:hAnsi="Times New Roman" w:cstheme="minorBidi"/>
          <w:szCs w:val="32"/>
          <w:highlight w:val="none"/>
          <w:lang w:eastAsia="zh-CN"/>
        </w:rPr>
        <w:t>。</w:t>
      </w:r>
    </w:p>
    <w:p w14:paraId="2B82B194">
      <w:pPr>
        <w:spacing w:beforeLines="0" w:afterLines="0"/>
        <w:rPr>
          <w:rFonts w:hint="eastAsia"/>
          <w:highlight w:val="none"/>
          <w:lang w:eastAsia="zh-CN"/>
        </w:rPr>
      </w:pPr>
      <w:r>
        <w:rPr>
          <w:rFonts w:hint="default" w:ascii="Times New Roman" w:hAnsi="Times New Roman" w:eastAsia="仿宋_GB2312" w:cs="Times New Roman"/>
          <w:color w:val="auto"/>
          <w:sz w:val="32"/>
          <w:szCs w:val="32"/>
          <w:highlight w:val="none"/>
          <w:lang w:val="en-US" w:eastAsia="zh-CN"/>
        </w:rPr>
        <w:t>加强存量项目监管，</w:t>
      </w:r>
      <w:r>
        <w:rPr>
          <w:rFonts w:hint="eastAsia" w:cs="Times New Roman"/>
          <w:color w:val="auto"/>
          <w:sz w:val="32"/>
          <w:szCs w:val="32"/>
          <w:highlight w:val="none"/>
          <w:lang w:val="en-US" w:eastAsia="zh-CN"/>
        </w:rPr>
        <w:t>用好房地信息采集系统</w:t>
      </w:r>
      <w:r>
        <w:rPr>
          <w:rFonts w:hint="default" w:ascii="Times New Roman" w:hAnsi="Times New Roman" w:eastAsia="仿宋_GB2312" w:cs="Times New Roman"/>
          <w:color w:val="auto"/>
          <w:sz w:val="32"/>
          <w:szCs w:val="32"/>
          <w:highlight w:val="none"/>
          <w:lang w:val="en-US" w:eastAsia="zh-CN"/>
        </w:rPr>
        <w:t>，动态监测项目</w:t>
      </w:r>
      <w:r>
        <w:rPr>
          <w:rFonts w:hint="eastAsia" w:cs="Times New Roman"/>
          <w:color w:val="auto"/>
          <w:sz w:val="32"/>
          <w:szCs w:val="32"/>
          <w:highlight w:val="none"/>
          <w:lang w:val="en-US" w:eastAsia="zh-CN"/>
        </w:rPr>
        <w:t>开发销售</w:t>
      </w:r>
      <w:r>
        <w:rPr>
          <w:rFonts w:hint="default" w:ascii="Times New Roman" w:hAnsi="Times New Roman" w:eastAsia="仿宋_GB2312" w:cs="Times New Roman"/>
          <w:color w:val="auto"/>
          <w:sz w:val="32"/>
          <w:szCs w:val="32"/>
          <w:highlight w:val="none"/>
          <w:lang w:val="en-US" w:eastAsia="zh-CN"/>
        </w:rPr>
        <w:t>进展</w:t>
      </w:r>
      <w:r>
        <w:rPr>
          <w:rFonts w:hint="eastAsia" w:cs="Times New Roman"/>
          <w:color w:val="auto"/>
          <w:sz w:val="32"/>
          <w:szCs w:val="32"/>
          <w:highlight w:val="none"/>
          <w:lang w:val="en-US" w:eastAsia="zh-CN"/>
        </w:rPr>
        <w:t>。压实属地管理主体责任，</w:t>
      </w:r>
      <w:r>
        <w:rPr>
          <w:rFonts w:hint="default" w:ascii="Times New Roman" w:hAnsi="Times New Roman" w:eastAsia="仿宋_GB2312" w:cs="Times New Roman"/>
          <w:color w:val="auto"/>
          <w:sz w:val="32"/>
          <w:szCs w:val="32"/>
          <w:highlight w:val="none"/>
          <w:lang w:val="en-US" w:eastAsia="zh-CN"/>
        </w:rPr>
        <w:t>指导</w:t>
      </w:r>
      <w:r>
        <w:rPr>
          <w:rFonts w:hint="eastAsia" w:cs="Times New Roman"/>
          <w:color w:val="auto"/>
          <w:sz w:val="32"/>
          <w:szCs w:val="32"/>
          <w:highlight w:val="none"/>
          <w:lang w:val="en-US" w:eastAsia="zh-CN"/>
        </w:rPr>
        <w:t>去化周期偏长、库存压力较大的县（市、</w:t>
      </w:r>
      <w:r>
        <w:rPr>
          <w:rFonts w:hint="default" w:ascii="Times New Roman" w:hAnsi="Times New Roman" w:eastAsia="仿宋_GB2312" w:cs="Times New Roman"/>
          <w:color w:val="auto"/>
          <w:sz w:val="32"/>
          <w:szCs w:val="32"/>
          <w:highlight w:val="none"/>
          <w:lang w:val="en-US" w:eastAsia="zh-CN"/>
        </w:rPr>
        <w:t>区</w:t>
      </w:r>
      <w:r>
        <w:rPr>
          <w:rFonts w:hint="eastAsia" w:cs="Times New Roman"/>
          <w:color w:val="auto"/>
          <w:sz w:val="32"/>
          <w:szCs w:val="32"/>
          <w:highlight w:val="none"/>
          <w:lang w:val="en-US" w:eastAsia="zh-CN"/>
        </w:rPr>
        <w:t>）因地制宜、分类施策推动存量房源去化。</w:t>
      </w:r>
      <w:r>
        <w:rPr>
          <w:rFonts w:hint="eastAsia" w:cs="Times New Roman"/>
          <w:color w:val="auto"/>
          <w:highlight w:val="none"/>
        </w:rPr>
        <w:t>严格落实住宅用地供应与商品住宅去化周期、存量住宅用地盘活相挂钩的调节机制，合理安排新增住宅用地供应规模、结构</w:t>
      </w:r>
      <w:r>
        <w:rPr>
          <w:rFonts w:hint="eastAsia" w:cs="Times New Roman"/>
          <w:color w:val="auto"/>
          <w:highlight w:val="none"/>
          <w:lang w:eastAsia="zh-CN"/>
        </w:rPr>
        <w:t>、</w:t>
      </w:r>
      <w:r>
        <w:rPr>
          <w:rFonts w:hint="eastAsia" w:cs="Times New Roman"/>
          <w:color w:val="auto"/>
          <w:highlight w:val="none"/>
          <w:lang w:val="en-US" w:eastAsia="zh-CN"/>
        </w:rPr>
        <w:t>布局</w:t>
      </w:r>
      <w:r>
        <w:rPr>
          <w:rFonts w:hint="eastAsia" w:cs="Times New Roman"/>
          <w:color w:val="auto"/>
          <w:highlight w:val="none"/>
        </w:rPr>
        <w:t>和时序。</w:t>
      </w:r>
      <w:r>
        <w:rPr>
          <w:rFonts w:hint="eastAsia" w:cs="Times New Roman"/>
          <w:color w:val="auto"/>
          <w:highlight w:val="none"/>
          <w:lang w:val="en-US" w:eastAsia="zh-CN"/>
        </w:rPr>
        <w:t>优化库存高企片区房地产项目开发时序，集中推介存量房源，鼓励房地产开发企业顺应市场需求调整产品定位与销售策略。强化住建、自然资源、财政、金融、税务、教育等部门协同联动，建立常态化工作机制，统筹政策制定、资源调配和工作推进，形成去库存工作合力，协同破解库存去化堵点难点问题。</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2776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6" w:type="dxa"/>
            <w:vAlign w:val="center"/>
          </w:tcPr>
          <w:p w14:paraId="2EE302BA">
            <w:pPr>
              <w:widowControl w:val="0"/>
              <w:adjustRightInd w:val="0"/>
              <w:snapToGrid w:val="0"/>
              <w:spacing w:beforeLines="0" w:afterLines="0" w:line="240" w:lineRule="auto"/>
              <w:ind w:firstLine="0" w:firstLineChars="0"/>
              <w:jc w:val="center"/>
              <w:rPr>
                <w:rFonts w:hint="default" w:ascii="仿宋_GB2312" w:hAnsi="仿宋_GB2312" w:cs="仿宋_GB2312"/>
                <w:color w:val="auto"/>
                <w:sz w:val="28"/>
                <w:highlight w:val="none"/>
                <w:vertAlign w:val="baseline"/>
                <w:lang w:val="en-US" w:eastAsia="zh-CN"/>
              </w:rPr>
            </w:pPr>
            <w:r>
              <w:rPr>
                <w:rFonts w:hint="eastAsia" w:cs="仿宋_GB2312"/>
                <w:b/>
                <w:bCs/>
                <w:color w:val="auto"/>
                <w:sz w:val="28"/>
                <w:highlight w:val="none"/>
                <w:vertAlign w:val="baseline"/>
                <w:lang w:val="en-US" w:eastAsia="zh-CN"/>
              </w:rPr>
              <w:t>专栏2 住房库存去化工程</w:t>
            </w:r>
          </w:p>
        </w:tc>
      </w:tr>
      <w:tr w14:paraId="39F0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6" w:type="dxa"/>
            <w:vAlign w:val="center"/>
          </w:tcPr>
          <w:p w14:paraId="43489DF4">
            <w:pPr>
              <w:widowControl/>
              <w:adjustRightInd/>
              <w:snapToGrid/>
              <w:spacing w:beforeLines="0" w:afterLines="0" w:line="600" w:lineRule="exact"/>
              <w:ind w:firstLine="562" w:firstLineChars="200"/>
              <w:jc w:val="both"/>
              <w:rPr>
                <w:rFonts w:hint="eastAsia" w:ascii="仿宋_GB2312" w:hAnsi="仿宋_GB2312" w:eastAsia="仿宋_GB2312" w:cs="仿宋_GB2312"/>
                <w:kern w:val="2"/>
                <w:sz w:val="28"/>
                <w:szCs w:val="32"/>
                <w:highlight w:val="none"/>
                <w:lang w:val="en-US" w:eastAsia="zh-CN" w:bidi="ar"/>
              </w:rPr>
            </w:pPr>
            <w:r>
              <w:rPr>
                <w:rFonts w:hint="default" w:ascii="Times New Roman Bold" w:hAnsi="Times New Roman Bold" w:cs="Times New Roman Bold"/>
                <w:b/>
                <w:bCs w:val="0"/>
                <w:color w:val="auto"/>
                <w:sz w:val="28"/>
                <w:highlight w:val="none"/>
                <w:lang w:val="en-US" w:eastAsia="zh-CN"/>
              </w:rPr>
              <w:t>1.</w:t>
            </w:r>
            <w:r>
              <w:rPr>
                <w:rFonts w:hint="eastAsia" w:ascii="仿宋_GB2312" w:hAnsi="仿宋_GB2312" w:eastAsia="仿宋_GB2312" w:cs="仿宋_GB2312"/>
                <w:b/>
                <w:bCs/>
                <w:kern w:val="2"/>
                <w:sz w:val="28"/>
                <w:szCs w:val="32"/>
                <w:highlight w:val="none"/>
                <w:lang w:val="en-US" w:eastAsia="zh-CN" w:bidi="ar"/>
              </w:rPr>
              <w:t>健全</w:t>
            </w:r>
            <w:r>
              <w:rPr>
                <w:rFonts w:hint="eastAsia" w:ascii="仿宋_GB2312" w:hAnsi="仿宋_GB2312" w:cs="仿宋_GB2312"/>
                <w:b/>
                <w:bCs/>
                <w:kern w:val="2"/>
                <w:sz w:val="28"/>
                <w:szCs w:val="32"/>
                <w:highlight w:val="none"/>
                <w:lang w:val="en-US" w:eastAsia="zh-CN" w:bidi="ar"/>
              </w:rPr>
              <w:t>房地产</w:t>
            </w:r>
            <w:r>
              <w:rPr>
                <w:rFonts w:hint="eastAsia" w:ascii="仿宋_GB2312" w:hAnsi="仿宋_GB2312" w:eastAsia="仿宋_GB2312" w:cs="仿宋_GB2312"/>
                <w:b/>
                <w:bCs/>
                <w:kern w:val="2"/>
                <w:sz w:val="28"/>
                <w:szCs w:val="32"/>
                <w:highlight w:val="none"/>
                <w:lang w:val="en-US" w:eastAsia="zh-CN" w:bidi="ar"/>
              </w:rPr>
              <w:t>库存动态</w:t>
            </w:r>
            <w:r>
              <w:rPr>
                <w:rFonts w:hint="eastAsia" w:ascii="仿宋_GB2312" w:hAnsi="仿宋_GB2312" w:cs="仿宋_GB2312"/>
                <w:b/>
                <w:bCs/>
                <w:kern w:val="2"/>
                <w:sz w:val="28"/>
                <w:szCs w:val="32"/>
                <w:highlight w:val="none"/>
                <w:lang w:val="en-US" w:eastAsia="zh-CN" w:bidi="ar"/>
              </w:rPr>
              <w:t>监测机制</w:t>
            </w:r>
            <w:r>
              <w:rPr>
                <w:rFonts w:hint="eastAsia" w:ascii="仿宋_GB2312" w:hAnsi="仿宋_GB2312" w:cs="仿宋_GB2312"/>
                <w:b/>
                <w:bCs/>
                <w:sz w:val="28"/>
                <w:highlight w:val="none"/>
                <w:lang w:val="en-US" w:eastAsia="zh-CN"/>
              </w:rPr>
              <w:t>。</w:t>
            </w:r>
            <w:r>
              <w:rPr>
                <w:rFonts w:hint="eastAsia" w:ascii="仿宋_GB2312" w:hAnsi="仿宋_GB2312" w:cs="仿宋_GB2312"/>
                <w:sz w:val="28"/>
                <w:highlight w:val="none"/>
                <w:lang w:val="en-US" w:eastAsia="zh-CN"/>
              </w:rPr>
              <w:t>常态化开展</w:t>
            </w:r>
            <w:r>
              <w:rPr>
                <w:rFonts w:hint="eastAsia" w:ascii="仿宋_GB2312" w:hAnsi="仿宋_GB2312" w:cs="仿宋_GB2312"/>
                <w:sz w:val="28"/>
                <w:highlight w:val="none"/>
              </w:rPr>
              <w:t>库存</w:t>
            </w:r>
            <w:r>
              <w:rPr>
                <w:rFonts w:hint="eastAsia" w:ascii="仿宋_GB2312" w:hAnsi="仿宋_GB2312" w:cs="仿宋_GB2312"/>
                <w:sz w:val="28"/>
                <w:highlight w:val="none"/>
                <w:lang w:val="en-US" w:eastAsia="zh-CN"/>
              </w:rPr>
              <w:t>规模、</w:t>
            </w:r>
            <w:r>
              <w:rPr>
                <w:rFonts w:hint="eastAsia" w:ascii="仿宋_GB2312" w:hAnsi="仿宋_GB2312" w:cs="仿宋_GB2312"/>
                <w:sz w:val="28"/>
                <w:highlight w:val="none"/>
              </w:rPr>
              <w:t>结构</w:t>
            </w:r>
            <w:r>
              <w:rPr>
                <w:rFonts w:hint="eastAsia" w:ascii="仿宋_GB2312" w:hAnsi="仿宋_GB2312" w:cs="仿宋_GB2312"/>
                <w:sz w:val="28"/>
                <w:highlight w:val="none"/>
                <w:lang w:val="en-US" w:eastAsia="zh-CN"/>
              </w:rPr>
              <w:t>分析研判，加强各县（市、区）</w:t>
            </w:r>
            <w:r>
              <w:rPr>
                <w:rFonts w:hint="eastAsia" w:ascii="仿宋_GB2312" w:hAnsi="仿宋_GB2312" w:cs="仿宋_GB2312"/>
                <w:sz w:val="28"/>
                <w:highlight w:val="none"/>
              </w:rPr>
              <w:t>短</w:t>
            </w:r>
            <w:r>
              <w:rPr>
                <w:rFonts w:hint="eastAsia" w:ascii="仿宋_GB2312" w:hAnsi="仿宋_GB2312" w:cs="仿宋_GB2312"/>
                <w:sz w:val="28"/>
                <w:highlight w:val="none"/>
                <w:lang w:val="en-US" w:eastAsia="zh-CN"/>
              </w:rPr>
              <w:t>期</w:t>
            </w:r>
            <w:r>
              <w:rPr>
                <w:rFonts w:hint="eastAsia" w:ascii="仿宋_GB2312" w:hAnsi="仿宋_GB2312" w:cs="仿宋_GB2312"/>
                <w:sz w:val="28"/>
                <w:highlight w:val="none"/>
                <w:lang w:eastAsia="zh-CN"/>
              </w:rPr>
              <w:t>、</w:t>
            </w:r>
            <w:r>
              <w:rPr>
                <w:rFonts w:hint="eastAsia" w:ascii="仿宋_GB2312" w:hAnsi="仿宋_GB2312" w:cs="仿宋_GB2312"/>
                <w:sz w:val="28"/>
                <w:highlight w:val="none"/>
                <w:lang w:val="en-US" w:eastAsia="zh-CN"/>
              </w:rPr>
              <w:t>中期、长期</w:t>
            </w:r>
            <w:r>
              <w:rPr>
                <w:rFonts w:hint="eastAsia" w:ascii="仿宋_GB2312" w:hAnsi="仿宋_GB2312" w:cs="仿宋_GB2312"/>
                <w:sz w:val="28"/>
                <w:highlight w:val="none"/>
              </w:rPr>
              <w:t>库存规模及去化周期</w:t>
            </w:r>
            <w:r>
              <w:rPr>
                <w:rFonts w:hint="eastAsia" w:ascii="仿宋_GB2312" w:hAnsi="仿宋_GB2312" w:cs="仿宋_GB2312"/>
                <w:sz w:val="28"/>
                <w:highlight w:val="none"/>
                <w:lang w:val="en-US" w:eastAsia="zh-CN"/>
              </w:rPr>
              <w:t>等数据监测，建立库存项目台账，精准区分可快速去化</w:t>
            </w:r>
            <w:r>
              <w:rPr>
                <w:rFonts w:hint="eastAsia" w:ascii="仿宋_GB2312" w:hAnsi="仿宋_GB2312" w:cs="仿宋_GB2312"/>
                <w:sz w:val="28"/>
                <w:highlight w:val="none"/>
              </w:rPr>
              <w:t>库存</w:t>
            </w:r>
            <w:r>
              <w:rPr>
                <w:rFonts w:hint="eastAsia" w:ascii="仿宋_GB2312" w:hAnsi="仿宋_GB2312" w:cs="仿宋_GB2312"/>
                <w:sz w:val="28"/>
                <w:highlight w:val="none"/>
                <w:lang w:val="en-US" w:eastAsia="zh-CN"/>
              </w:rPr>
              <w:t>与去化压力较大的</w:t>
            </w:r>
            <w:r>
              <w:rPr>
                <w:rFonts w:hint="eastAsia" w:ascii="仿宋_GB2312" w:hAnsi="仿宋_GB2312" w:cs="仿宋_GB2312"/>
                <w:sz w:val="28"/>
                <w:highlight w:val="none"/>
              </w:rPr>
              <w:t>库存</w:t>
            </w:r>
            <w:r>
              <w:rPr>
                <w:rFonts w:hint="eastAsia" w:ascii="仿宋_GB2312" w:hAnsi="仿宋_GB2312" w:cs="仿宋_GB2312"/>
                <w:sz w:val="28"/>
                <w:highlight w:val="none"/>
                <w:lang w:eastAsia="zh-CN"/>
              </w:rPr>
              <w:t>。</w:t>
            </w:r>
            <w:r>
              <w:rPr>
                <w:rFonts w:hint="eastAsia" w:ascii="仿宋_GB2312" w:hAnsi="仿宋_GB2312" w:cs="仿宋_GB2312"/>
                <w:sz w:val="28"/>
                <w:highlight w:val="none"/>
                <w:lang w:val="en-US" w:eastAsia="zh-CN"/>
              </w:rPr>
              <w:t>指导各县（市、区）因地制宜推进去库存工作，研究探索市场化</w:t>
            </w:r>
            <w:r>
              <w:rPr>
                <w:rFonts w:hint="eastAsia" w:ascii="仿宋_GB2312" w:hAnsi="仿宋_GB2312" w:cs="仿宋_GB2312"/>
                <w:sz w:val="28"/>
                <w:highlight w:val="none"/>
              </w:rPr>
              <w:t>促销、企业自持</w:t>
            </w:r>
            <w:r>
              <w:rPr>
                <w:rFonts w:hint="eastAsia" w:ascii="仿宋_GB2312" w:hAnsi="仿宋_GB2312" w:cs="仿宋_GB2312"/>
                <w:sz w:val="28"/>
                <w:highlight w:val="none"/>
                <w:lang w:val="en-US" w:eastAsia="zh-CN"/>
              </w:rPr>
              <w:t>运营</w:t>
            </w:r>
            <w:r>
              <w:rPr>
                <w:rFonts w:hint="eastAsia" w:ascii="仿宋_GB2312" w:hAnsi="仿宋_GB2312" w:cs="仿宋_GB2312"/>
                <w:sz w:val="28"/>
                <w:highlight w:val="none"/>
              </w:rPr>
              <w:t>、</w:t>
            </w:r>
            <w:r>
              <w:rPr>
                <w:rFonts w:hint="eastAsia" w:ascii="仿宋_GB2312" w:hAnsi="仿宋_GB2312" w:cs="仿宋_GB2312"/>
                <w:sz w:val="28"/>
                <w:highlight w:val="none"/>
                <w:lang w:val="en-US" w:eastAsia="zh-CN"/>
              </w:rPr>
              <w:t>规划调整、政府或国企收购</w:t>
            </w:r>
            <w:r>
              <w:rPr>
                <w:rFonts w:hint="eastAsia" w:ascii="仿宋_GB2312" w:hAnsi="仿宋_GB2312" w:cs="仿宋_GB2312"/>
                <w:sz w:val="28"/>
                <w:highlight w:val="none"/>
              </w:rPr>
              <w:t>等</w:t>
            </w:r>
            <w:r>
              <w:rPr>
                <w:rFonts w:hint="eastAsia" w:ascii="仿宋_GB2312" w:hAnsi="仿宋_GB2312" w:cs="仿宋_GB2312"/>
                <w:sz w:val="28"/>
                <w:highlight w:val="none"/>
                <w:lang w:val="en-US" w:eastAsia="zh-CN"/>
              </w:rPr>
              <w:t>盘活</w:t>
            </w:r>
            <w:r>
              <w:rPr>
                <w:rFonts w:hint="eastAsia" w:ascii="仿宋_GB2312" w:hAnsi="仿宋_GB2312" w:cs="仿宋_GB2312"/>
                <w:sz w:val="28"/>
                <w:highlight w:val="none"/>
              </w:rPr>
              <w:t>路径及配套政策</w:t>
            </w:r>
            <w:r>
              <w:rPr>
                <w:rFonts w:hint="eastAsia" w:ascii="仿宋_GB2312" w:hAnsi="仿宋_GB2312" w:cs="仿宋_GB2312"/>
                <w:sz w:val="28"/>
                <w:highlight w:val="none"/>
                <w:lang w:eastAsia="zh-CN"/>
              </w:rPr>
              <w:t>，</w:t>
            </w:r>
            <w:r>
              <w:rPr>
                <w:rFonts w:hint="eastAsia" w:ascii="仿宋_GB2312" w:hAnsi="仿宋_GB2312" w:cs="仿宋_GB2312"/>
                <w:sz w:val="28"/>
                <w:highlight w:val="none"/>
                <w:lang w:val="en-US" w:eastAsia="zh-CN"/>
              </w:rPr>
              <w:t>推动存量房源</w:t>
            </w:r>
            <w:r>
              <w:rPr>
                <w:rFonts w:hint="eastAsia" w:ascii="仿宋_GB2312" w:hAnsi="仿宋_GB2312" w:cs="仿宋_GB2312"/>
                <w:sz w:val="28"/>
                <w:highlight w:val="none"/>
              </w:rPr>
              <w:t>转化</w:t>
            </w:r>
            <w:r>
              <w:rPr>
                <w:rFonts w:hint="eastAsia" w:ascii="仿宋_GB2312" w:hAnsi="仿宋_GB2312" w:cs="仿宋_GB2312"/>
                <w:sz w:val="28"/>
                <w:highlight w:val="none"/>
                <w:lang w:val="en-US" w:eastAsia="zh-CN"/>
              </w:rPr>
              <w:t>利用</w:t>
            </w:r>
            <w:r>
              <w:rPr>
                <w:rFonts w:hint="eastAsia" w:ascii="仿宋_GB2312" w:hAnsi="仿宋_GB2312" w:cs="仿宋_GB2312"/>
                <w:sz w:val="28"/>
                <w:highlight w:val="none"/>
              </w:rPr>
              <w:t>。</w:t>
            </w:r>
          </w:p>
          <w:p w14:paraId="74F68131">
            <w:pPr>
              <w:widowControl/>
              <w:adjustRightInd/>
              <w:snapToGrid/>
              <w:spacing w:beforeLines="0" w:afterLines="0" w:line="600" w:lineRule="exact"/>
              <w:ind w:firstLine="0"/>
              <w:jc w:val="both"/>
              <w:rPr>
                <w:rFonts w:hint="eastAsia" w:ascii="仿宋_GB2312" w:hAnsi="仿宋_GB2312" w:cs="仿宋_GB2312"/>
                <w:sz w:val="28"/>
                <w:highlight w:val="none"/>
                <w:lang w:eastAsia="zh-CN"/>
              </w:rPr>
            </w:pPr>
            <w:r>
              <w:rPr>
                <w:rFonts w:hint="eastAsia" w:ascii="Times New Roman Bold" w:hAnsi="Times New Roman Bold" w:cs="Times New Roman Bold"/>
                <w:b/>
                <w:bCs w:val="0"/>
                <w:color w:val="auto"/>
                <w:sz w:val="28"/>
                <w:highlight w:val="none"/>
                <w:lang w:val="en-US" w:eastAsia="zh-CN"/>
              </w:rPr>
              <w:t>2</w:t>
            </w:r>
            <w:r>
              <w:rPr>
                <w:rFonts w:hint="default" w:ascii="Times New Roman Bold" w:hAnsi="Times New Roman Bold" w:cs="Times New Roman Bold"/>
                <w:b/>
                <w:bCs w:val="0"/>
                <w:color w:val="auto"/>
                <w:sz w:val="28"/>
                <w:highlight w:val="none"/>
                <w:lang w:val="en-US" w:eastAsia="zh-CN"/>
              </w:rPr>
              <w:t>.</w:t>
            </w:r>
            <w:r>
              <w:rPr>
                <w:rFonts w:hint="eastAsia" w:ascii="仿宋_GB2312" w:hAnsi="仿宋_GB2312" w:cs="仿宋_GB2312"/>
                <w:b/>
                <w:bCs/>
                <w:sz w:val="28"/>
                <w:highlight w:val="none"/>
                <w:lang w:val="en-US" w:eastAsia="zh-CN"/>
              </w:rPr>
              <w:t>适当控制新增住房供应。</w:t>
            </w:r>
            <w:r>
              <w:rPr>
                <w:rFonts w:hint="eastAsia" w:ascii="仿宋_GB2312" w:hAnsi="仿宋_GB2312" w:cs="仿宋_GB2312"/>
                <w:b w:val="0"/>
                <w:bCs w:val="0"/>
                <w:sz w:val="28"/>
                <w:highlight w:val="none"/>
              </w:rPr>
              <w:t>依托房地产库存动态监测成果，实施区域差异化供给调控。</w:t>
            </w:r>
            <w:r>
              <w:rPr>
                <w:rFonts w:hint="eastAsia" w:ascii="仿宋_GB2312" w:hAnsi="仿宋_GB2312" w:cs="仿宋_GB2312"/>
                <w:sz w:val="28"/>
                <w:highlight w:val="none"/>
              </w:rPr>
              <w:t>对短期</w:t>
            </w:r>
            <w:r>
              <w:rPr>
                <w:rFonts w:hint="eastAsia" w:ascii="仿宋_GB2312" w:hAnsi="仿宋_GB2312" w:cs="仿宋_GB2312"/>
                <w:sz w:val="28"/>
                <w:highlight w:val="none"/>
                <w:lang w:val="en-US" w:eastAsia="zh-CN"/>
              </w:rPr>
              <w:t>库存去化周期偏长</w:t>
            </w:r>
            <w:r>
              <w:rPr>
                <w:rFonts w:hint="eastAsia" w:ascii="仿宋_GB2312" w:hAnsi="仿宋_GB2312" w:cs="仿宋_GB2312"/>
                <w:sz w:val="28"/>
                <w:highlight w:val="none"/>
              </w:rPr>
              <w:t>的区域，</w:t>
            </w:r>
            <w:r>
              <w:rPr>
                <w:rFonts w:hint="eastAsia" w:ascii="仿宋_GB2312" w:hAnsi="仿宋_GB2312" w:cs="仿宋_GB2312"/>
                <w:sz w:val="28"/>
                <w:highlight w:val="none"/>
                <w:lang w:val="en-US" w:eastAsia="zh-CN"/>
              </w:rPr>
              <w:t>要严控增量、合理</w:t>
            </w:r>
            <w:r>
              <w:rPr>
                <w:rFonts w:hint="eastAsia" w:ascii="仿宋_GB2312" w:hAnsi="仿宋_GB2312" w:cs="仿宋_GB2312"/>
                <w:sz w:val="28"/>
                <w:highlight w:val="none"/>
              </w:rPr>
              <w:t>调节</w:t>
            </w:r>
            <w:r>
              <w:rPr>
                <w:rFonts w:hint="eastAsia" w:ascii="仿宋_GB2312" w:hAnsi="仿宋_GB2312" w:cs="仿宋_GB2312"/>
                <w:sz w:val="28"/>
                <w:highlight w:val="none"/>
                <w:lang w:val="en-US" w:eastAsia="zh-CN"/>
              </w:rPr>
              <w:t>供地、</w:t>
            </w:r>
            <w:r>
              <w:rPr>
                <w:rFonts w:hint="eastAsia" w:ascii="仿宋_GB2312" w:hAnsi="仿宋_GB2312" w:cs="仿宋_GB2312"/>
                <w:sz w:val="28"/>
                <w:highlight w:val="none"/>
              </w:rPr>
              <w:t>开工和批准预售节奏。</w:t>
            </w:r>
            <w:r>
              <w:rPr>
                <w:rFonts w:hint="eastAsia" w:ascii="仿宋_GB2312" w:hAnsi="仿宋_GB2312" w:cs="仿宋_GB2312"/>
                <w:sz w:val="28"/>
                <w:highlight w:val="none"/>
                <w:lang w:val="en-US" w:eastAsia="zh-CN"/>
              </w:rPr>
              <w:t>对中长期库存承压明显的区域，</w:t>
            </w:r>
            <w:r>
              <w:rPr>
                <w:rFonts w:hint="eastAsia" w:ascii="仿宋_GB2312" w:hAnsi="仿宋_GB2312" w:cs="仿宋_GB2312"/>
                <w:sz w:val="28"/>
                <w:highlight w:val="none"/>
              </w:rPr>
              <w:t>紧密跟踪市场需求演变，前瞻性优化规划指标、物业用途与功能布局，提升存量房源去化工作主动性</w:t>
            </w:r>
            <w:r>
              <w:rPr>
                <w:rFonts w:hint="eastAsia" w:ascii="仿宋_GB2312" w:hAnsi="仿宋_GB2312" w:cs="仿宋_GB2312"/>
                <w:sz w:val="28"/>
                <w:highlight w:val="none"/>
                <w:lang w:eastAsia="zh-CN"/>
              </w:rPr>
              <w:t>。</w:t>
            </w:r>
          </w:p>
          <w:p w14:paraId="1E42288A">
            <w:pPr>
              <w:widowControl/>
              <w:adjustRightInd/>
              <w:snapToGrid/>
              <w:spacing w:beforeLines="0" w:afterLines="0" w:line="600" w:lineRule="exact"/>
              <w:ind w:firstLine="562" w:firstLineChars="200"/>
              <w:jc w:val="both"/>
              <w:rPr>
                <w:rFonts w:hint="default" w:ascii="仿宋_GB2312" w:hAnsi="仿宋_GB2312" w:eastAsia="仿宋_GB2312" w:cs="仿宋_GB2312"/>
                <w:kern w:val="2"/>
                <w:sz w:val="28"/>
                <w:szCs w:val="32"/>
                <w:highlight w:val="none"/>
                <w:lang w:val="en-US" w:eastAsia="zh-CN" w:bidi="ar"/>
              </w:rPr>
            </w:pPr>
            <w:r>
              <w:rPr>
                <w:rFonts w:hint="eastAsia" w:ascii="Times New Roman Bold" w:hAnsi="Times New Roman Bold" w:cs="Times New Roman Bold"/>
                <w:b/>
                <w:bCs w:val="0"/>
                <w:color w:val="auto"/>
                <w:sz w:val="28"/>
                <w:highlight w:val="none"/>
                <w:lang w:val="en-US" w:eastAsia="zh-CN"/>
              </w:rPr>
              <w:t>3.</w:t>
            </w:r>
            <w:r>
              <w:rPr>
                <w:rFonts w:hint="eastAsia" w:cs="Times New Roman"/>
                <w:b/>
                <w:bCs/>
                <w:sz w:val="28"/>
                <w:szCs w:val="32"/>
                <w:highlight w:val="none"/>
                <w:vertAlign w:val="baseline"/>
                <w:lang w:val="en-US" w:eastAsia="zh-CN"/>
              </w:rPr>
              <w:t>持续推进存量商品房收购工作。</w:t>
            </w:r>
            <w:r>
              <w:rPr>
                <w:rFonts w:hint="eastAsia" w:cs="Times New Roman"/>
                <w:b w:val="0"/>
                <w:bCs w:val="0"/>
                <w:sz w:val="28"/>
                <w:szCs w:val="32"/>
                <w:highlight w:val="none"/>
                <w:vertAlign w:val="baseline"/>
                <w:lang w:val="en-US" w:eastAsia="zh-CN"/>
              </w:rPr>
              <w:t>加快完善存量房收购工作机制，</w:t>
            </w:r>
            <w:r>
              <w:rPr>
                <w:rFonts w:hint="eastAsia" w:ascii="仿宋_GB2312" w:hAnsi="仿宋_GB2312" w:cs="仿宋_GB2312"/>
                <w:sz w:val="28"/>
                <w:highlight w:val="none"/>
                <w:lang w:val="en-US" w:eastAsia="zh-CN"/>
              </w:rPr>
              <w:t>支持住房租赁企业、用人单位收购存量商品房用作员工宿舍、</w:t>
            </w:r>
            <w:r>
              <w:rPr>
                <w:rFonts w:hint="eastAsia" w:ascii="仿宋_GB2312" w:hAnsi="仿宋_GB2312" w:cs="仿宋_GB2312"/>
                <w:sz w:val="28"/>
                <w:highlight w:val="none"/>
              </w:rPr>
              <w:t>人才房、青年公寓等</w:t>
            </w:r>
            <w:r>
              <w:rPr>
                <w:rFonts w:hint="eastAsia" w:ascii="仿宋_GB2312" w:hAnsi="仿宋_GB2312" w:cs="仿宋_GB2312"/>
                <w:sz w:val="28"/>
                <w:highlight w:val="none"/>
                <w:lang w:val="en-US" w:eastAsia="zh-CN"/>
              </w:rPr>
              <w:t>，重点支持产业园区企业通过购买存量商品房解决园区员工居住需求。探索商业等非住宅存量房源盘活路径，支持</w:t>
            </w:r>
            <w:r>
              <w:rPr>
                <w:rFonts w:hint="eastAsia" w:cs="Times New Roman"/>
                <w:sz w:val="28"/>
                <w:highlight w:val="none"/>
              </w:rPr>
              <w:t>符合条件的闲置商业、办公用房改建为保障性租赁住房、</w:t>
            </w:r>
            <w:r>
              <w:rPr>
                <w:rFonts w:hint="eastAsia" w:cs="Times New Roman"/>
                <w:sz w:val="28"/>
                <w:highlight w:val="none"/>
                <w:lang w:val="en-US" w:eastAsia="zh-CN"/>
              </w:rPr>
              <w:t>人才公寓、</w:t>
            </w:r>
            <w:r>
              <w:rPr>
                <w:rFonts w:hint="eastAsia" w:cs="Times New Roman"/>
                <w:sz w:val="28"/>
                <w:highlight w:val="none"/>
              </w:rPr>
              <w:t>长租公寓、</w:t>
            </w:r>
            <w:r>
              <w:rPr>
                <w:rFonts w:hint="eastAsia" w:cs="Times New Roman"/>
                <w:sz w:val="28"/>
                <w:highlight w:val="none"/>
                <w:lang w:val="en-US" w:eastAsia="zh-CN"/>
              </w:rPr>
              <w:t>宿舍等</w:t>
            </w:r>
            <w:r>
              <w:rPr>
                <w:rFonts w:hint="eastAsia" w:cs="Times New Roman"/>
                <w:sz w:val="28"/>
                <w:highlight w:val="none"/>
              </w:rPr>
              <w:t>。</w:t>
            </w:r>
          </w:p>
        </w:tc>
      </w:tr>
    </w:tbl>
    <w:p w14:paraId="085A6766">
      <w:pPr>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highlight w:val="none"/>
          <w:lang w:val="en-US" w:eastAsia="zh-CN"/>
        </w:rPr>
      </w:pPr>
      <w:r>
        <w:rPr>
          <w:rFonts w:hint="eastAsia" w:ascii="Times New Roman" w:hAnsi="Times New Roman"/>
          <w:highlight w:val="none"/>
          <w:lang w:val="en-US" w:eastAsia="zh-CN"/>
        </w:rPr>
        <w:br w:type="page"/>
      </w:r>
    </w:p>
    <w:p w14:paraId="6490BFA5">
      <w:pPr>
        <w:pStyle w:val="4"/>
        <w:keepNext w:val="0"/>
        <w:keepLines w:val="0"/>
        <w:pageBreakBefore w:val="0"/>
        <w:widowControl w:val="0"/>
        <w:kinsoku/>
        <w:wordWrap/>
        <w:overflowPunct/>
        <w:topLinePunct w:val="0"/>
        <w:autoSpaceDE/>
        <w:autoSpaceDN/>
        <w:bidi w:val="0"/>
        <w:adjustRightInd/>
        <w:snapToGrid/>
        <w:spacing w:before="0" w:beforeLines="0" w:after="0" w:afterLines="0"/>
        <w:ind w:firstLine="0"/>
        <w:jc w:val="left"/>
        <w:textAlignment w:val="auto"/>
        <w:rPr>
          <w:rFonts w:hint="eastAsia" w:ascii="Times New Roman" w:hAnsi="Times New Roman" w:cstheme="minorBidi"/>
          <w:bCs/>
          <w:color w:val="auto"/>
          <w:highlight w:val="none"/>
        </w:rPr>
      </w:pPr>
      <w:r>
        <w:rPr>
          <w:rFonts w:hint="eastAsia" w:ascii="Times New Roman" w:hAnsi="Times New Roman"/>
          <w:highlight w:val="none"/>
          <w:lang w:val="en-US" w:eastAsia="zh-CN"/>
        </w:rPr>
        <w:t>4.</w:t>
      </w:r>
      <w:r>
        <w:rPr>
          <w:rFonts w:hint="eastAsia"/>
          <w:highlight w:val="none"/>
          <w:lang w:val="en-US" w:eastAsia="zh-CN"/>
        </w:rPr>
        <w:t>积极</w:t>
      </w:r>
      <w:r>
        <w:rPr>
          <w:rFonts w:hint="eastAsia" w:ascii="Times New Roman" w:hAnsi="Times New Roman" w:cstheme="minorBidi"/>
          <w:bCs/>
          <w:color w:val="auto"/>
          <w:highlight w:val="none"/>
        </w:rPr>
        <w:t>培育和</w:t>
      </w:r>
      <w:r>
        <w:rPr>
          <w:rFonts w:hint="eastAsia" w:ascii="Times New Roman" w:hAnsi="Times New Roman" w:cstheme="minorBidi"/>
          <w:bCs/>
          <w:color w:val="auto"/>
          <w:highlight w:val="none"/>
          <w:lang w:val="en-US"/>
        </w:rPr>
        <w:t>发展</w:t>
      </w:r>
      <w:r>
        <w:rPr>
          <w:rFonts w:hint="eastAsia" w:ascii="Times New Roman" w:hAnsi="Times New Roman" w:cstheme="minorBidi"/>
          <w:bCs/>
          <w:color w:val="auto"/>
          <w:highlight w:val="none"/>
        </w:rPr>
        <w:t>住房租赁市场。</w:t>
      </w:r>
    </w:p>
    <w:p w14:paraId="42505020">
      <w:pPr>
        <w:keepNext w:val="0"/>
        <w:keepLines w:val="0"/>
        <w:pageBreakBefore w:val="0"/>
        <w:widowControl/>
        <w:kinsoku/>
        <w:wordWrap/>
        <w:overflowPunct/>
        <w:topLinePunct w:val="0"/>
        <w:autoSpaceDE/>
        <w:autoSpaceDN/>
        <w:bidi w:val="0"/>
        <w:adjustRightInd/>
        <w:snapToGrid/>
        <w:spacing w:before="0" w:beforeLines="0" w:after="0" w:afterLines="0"/>
        <w:textAlignment w:val="auto"/>
        <w:rPr>
          <w:rFonts w:hint="default" w:ascii="仿宋_GB2312" w:hAnsi="仿宋_GB2312" w:eastAsia="仿宋_GB2312" w:cs="仿宋_GB2312"/>
          <w:highlight w:val="none"/>
          <w:lang w:val="en-US" w:eastAsia="zh-CN"/>
        </w:rPr>
      </w:pPr>
      <w:r>
        <w:rPr>
          <w:rFonts w:hint="eastAsia" w:ascii="仿宋_GB2312" w:hAnsi="仿宋_GB2312" w:eastAsia="仿宋_GB2312" w:cs="仿宋_GB2312"/>
          <w:sz w:val="32"/>
          <w:szCs w:val="32"/>
          <w:highlight w:val="none"/>
        </w:rPr>
        <w:t>贯彻实施《住房租赁条例》，</w:t>
      </w:r>
      <w:r>
        <w:rPr>
          <w:rFonts w:hint="eastAsia" w:ascii="仿宋_GB2312" w:hAnsi="仿宋_GB2312" w:eastAsia="仿宋_GB2312" w:cs="仿宋_GB2312"/>
          <w:sz w:val="32"/>
          <w:szCs w:val="32"/>
          <w:highlight w:val="none"/>
          <w:lang w:val="en-US"/>
        </w:rPr>
        <w:t>加快建立</w:t>
      </w:r>
      <w:r>
        <w:rPr>
          <w:rFonts w:hint="eastAsia" w:ascii="仿宋_GB2312" w:hAnsi="仿宋_GB2312" w:eastAsia="仿宋_GB2312" w:cs="仿宋_GB2312"/>
          <w:sz w:val="32"/>
          <w:szCs w:val="32"/>
          <w:highlight w:val="none"/>
        </w:rPr>
        <w:t>网络信息平台租赁房源挂牌核验机制，推行标准化住房租赁合同示范文本，全面落实租赁合同网签备案制度，鼓励建立房屋租赁资金监管制度</w:t>
      </w:r>
      <w:r>
        <w:rPr>
          <w:rFonts w:hint="eastAsia" w:ascii="仿宋_GB2312" w:hAnsi="仿宋_GB2312" w:cs="仿宋_GB2312"/>
          <w:sz w:val="32"/>
          <w:szCs w:val="32"/>
          <w:highlight w:val="none"/>
          <w:lang w:eastAsia="zh-CN"/>
        </w:rPr>
        <w:t>，</w:t>
      </w:r>
      <w:r>
        <w:rPr>
          <w:rFonts w:hint="eastAsia" w:ascii="仿宋_GB2312" w:hAnsi="仿宋_GB2312" w:eastAsia="仿宋_GB2312" w:cs="仿宋_GB2312"/>
          <w:sz w:val="32"/>
          <w:szCs w:val="32"/>
          <w:highlight w:val="none"/>
        </w:rPr>
        <w:t>切实保障租赁双方合法权益。</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引导</w:t>
      </w:r>
      <w:r>
        <w:rPr>
          <w:rFonts w:hint="eastAsia" w:ascii="仿宋_GB2312" w:hAnsi="仿宋_GB2312" w:eastAsia="仿宋_GB2312" w:cs="仿宋_GB2312"/>
          <w:i w:val="0"/>
          <w:iCs w:val="0"/>
          <w:caps w:val="0"/>
          <w:color w:val="auto"/>
          <w:spacing w:val="0"/>
          <w:sz w:val="32"/>
          <w:szCs w:val="32"/>
          <w:highlight w:val="none"/>
          <w:shd w:val="clear" w:fill="auto"/>
        </w:rPr>
        <w:t>房地产开发企业从单一的开发销售向租售并举模式转变</w:t>
      </w:r>
      <w:r>
        <w:rPr>
          <w:rFonts w:hint="eastAsia" w:ascii="仿宋_GB2312" w:hAnsi="仿宋_GB2312" w:cs="仿宋_GB2312"/>
          <w:i w:val="0"/>
          <w:iCs w:val="0"/>
          <w:caps w:val="0"/>
          <w:color w:val="auto"/>
          <w:spacing w:val="0"/>
          <w:sz w:val="32"/>
          <w:szCs w:val="32"/>
          <w:highlight w:val="none"/>
          <w:shd w:val="clear" w:fill="auto"/>
          <w:lang w:eastAsia="zh-CN"/>
        </w:rPr>
        <w:t>，</w:t>
      </w:r>
      <w:r>
        <w:rPr>
          <w:rFonts w:hint="eastAsia"/>
          <w:highlight w:val="none"/>
        </w:rPr>
        <w:t>重点培育本土房企品牌</w:t>
      </w:r>
      <w:r>
        <w:rPr>
          <w:rFonts w:hint="eastAsia"/>
          <w:highlight w:val="none"/>
          <w:lang w:eastAsia="zh-CN"/>
        </w:rPr>
        <w:t>，</w:t>
      </w:r>
      <w:r>
        <w:rPr>
          <w:rFonts w:hint="eastAsia" w:ascii="仿宋_GB2312" w:hAnsi="仿宋_GB2312" w:eastAsia="仿宋_GB2312" w:cs="仿宋_GB2312"/>
          <w:i w:val="0"/>
          <w:iCs w:val="0"/>
          <w:caps w:val="0"/>
          <w:color w:val="auto"/>
          <w:spacing w:val="0"/>
          <w:sz w:val="32"/>
          <w:szCs w:val="32"/>
          <w:highlight w:val="none"/>
          <w:shd w:val="clear" w:fill="auto"/>
          <w:lang w:val="en-US" w:eastAsia="zh-CN"/>
        </w:rPr>
        <w:t>加快</w:t>
      </w:r>
      <w:r>
        <w:rPr>
          <w:rFonts w:hint="eastAsia" w:ascii="仿宋_GB2312" w:hAnsi="仿宋_GB2312" w:cs="仿宋_GB2312"/>
          <w:i w:val="0"/>
          <w:iCs w:val="0"/>
          <w:caps w:val="0"/>
          <w:color w:val="auto"/>
          <w:spacing w:val="0"/>
          <w:sz w:val="32"/>
          <w:szCs w:val="32"/>
          <w:highlight w:val="none"/>
          <w:shd w:val="clear" w:fill="auto"/>
          <w:lang w:val="en-US" w:eastAsia="zh-CN"/>
        </w:rPr>
        <w:t>发展</w:t>
      </w:r>
      <w:r>
        <w:rPr>
          <w:rFonts w:hint="eastAsia" w:ascii="仿宋_GB2312" w:hAnsi="仿宋_GB2312" w:eastAsia="仿宋_GB2312" w:cs="仿宋_GB2312"/>
          <w:i w:val="0"/>
          <w:iCs w:val="0"/>
          <w:caps w:val="0"/>
          <w:color w:val="auto"/>
          <w:spacing w:val="0"/>
          <w:sz w:val="32"/>
          <w:szCs w:val="32"/>
          <w:highlight w:val="none"/>
          <w:shd w:val="clear" w:fill="auto"/>
        </w:rPr>
        <w:t>专业化</w:t>
      </w:r>
      <w:r>
        <w:rPr>
          <w:rFonts w:hint="eastAsia" w:ascii="仿宋_GB2312" w:hAnsi="仿宋_GB2312" w:cs="仿宋_GB2312"/>
          <w:i w:val="0"/>
          <w:iCs w:val="0"/>
          <w:caps w:val="0"/>
          <w:spacing w:val="0"/>
          <w:sz w:val="32"/>
          <w:szCs w:val="32"/>
          <w:highlight w:val="none"/>
          <w:shd w:val="clear"/>
          <w:lang w:val="en-US" w:eastAsia="zh-CN"/>
        </w:rPr>
        <w:t>规模化</w:t>
      </w:r>
      <w:r>
        <w:rPr>
          <w:rFonts w:hint="eastAsia" w:ascii="仿宋_GB2312" w:hAnsi="仿宋_GB2312" w:eastAsia="仿宋_GB2312" w:cs="仿宋_GB2312"/>
          <w:i w:val="0"/>
          <w:iCs w:val="0"/>
          <w:caps w:val="0"/>
          <w:color w:val="auto"/>
          <w:spacing w:val="0"/>
          <w:sz w:val="32"/>
          <w:szCs w:val="32"/>
          <w:highlight w:val="none"/>
          <w:shd w:val="clear" w:fill="auto"/>
        </w:rPr>
        <w:t>住房租赁企业</w:t>
      </w:r>
      <w:r>
        <w:rPr>
          <w:rFonts w:hint="eastAsia" w:ascii="仿宋_GB2312" w:hAnsi="仿宋_GB2312" w:cs="仿宋_GB2312"/>
          <w:highlight w:val="none"/>
          <w:lang w:eastAsia="zh-CN"/>
        </w:rPr>
        <w:t>。</w:t>
      </w:r>
      <w:r>
        <w:rPr>
          <w:rFonts w:hint="eastAsia" w:ascii="仿宋_GB2312" w:hAnsi="仿宋_GB2312" w:eastAsia="仿宋_GB2312" w:cs="仿宋_GB2312"/>
          <w:sz w:val="32"/>
          <w:szCs w:val="32"/>
          <w:highlight w:val="none"/>
        </w:rPr>
        <w:t>健全信用监管体系，完善住房租赁企业、中介机构及从业人员信用评价机制，建立覆盖全行业的信用档案，</w:t>
      </w:r>
      <w:r>
        <w:rPr>
          <w:rFonts w:hint="eastAsia" w:ascii="仿宋_GB2312" w:hAnsi="仿宋_GB2312" w:eastAsia="仿宋_GB2312" w:cs="仿宋_GB2312"/>
          <w:sz w:val="32"/>
          <w:szCs w:val="32"/>
          <w:highlight w:val="none"/>
          <w:lang w:val="en-US" w:eastAsia="zh-CN"/>
        </w:rPr>
        <w:t>持续</w:t>
      </w:r>
      <w:r>
        <w:rPr>
          <w:rFonts w:hint="eastAsia" w:ascii="仿宋_GB2312" w:hAnsi="仿宋_GB2312" w:cs="仿宋_GB2312"/>
          <w:highlight w:val="none"/>
        </w:rPr>
        <w:t>规范住房租赁市场秩序</w:t>
      </w:r>
      <w:r>
        <w:rPr>
          <w:rFonts w:hint="eastAsia" w:ascii="仿宋_GB2312" w:hAnsi="仿宋_GB2312" w:cs="仿宋_GB2312"/>
          <w:highlight w:val="none"/>
          <w:lang w:eastAsia="zh-CN"/>
        </w:rPr>
        <w:t>。</w:t>
      </w:r>
      <w:r>
        <w:rPr>
          <w:rFonts w:hint="eastAsia" w:ascii="仿宋_GB2312" w:hAnsi="仿宋_GB2312" w:eastAsia="仿宋_GB2312" w:cs="仿宋_GB2312"/>
          <w:sz w:val="32"/>
          <w:szCs w:val="32"/>
          <w:highlight w:val="none"/>
        </w:rPr>
        <w:t>拓宽金融服务渠道，鼓励商业银行为租赁住房建设和运营提供期限匹配、利率适当、风险可控、商业可持续的信贷产品和服务</w:t>
      </w:r>
      <w:r>
        <w:rPr>
          <w:rFonts w:hint="eastAsia" w:ascii="仿宋_GB2312" w:hAnsi="仿宋_GB2312" w:cs="仿宋_GB2312"/>
          <w:sz w:val="32"/>
          <w:szCs w:val="32"/>
          <w:highlight w:val="none"/>
          <w:lang w:eastAsia="zh-CN"/>
        </w:rPr>
        <w:t>，</w:t>
      </w:r>
      <w:r>
        <w:rPr>
          <w:rFonts w:hint="eastAsia" w:ascii="仿宋_GB2312" w:hAnsi="仿宋_GB2312" w:cs="仿宋_GB2312"/>
          <w:sz w:val="32"/>
          <w:szCs w:val="32"/>
          <w:highlight w:val="none"/>
          <w:lang w:val="en-US" w:eastAsia="zh-CN"/>
        </w:rPr>
        <w:t>支持</w:t>
      </w:r>
      <w:r>
        <w:rPr>
          <w:rFonts w:hint="eastAsia" w:ascii="仿宋_GB2312" w:hAnsi="仿宋_GB2312" w:cs="仿宋_GB2312"/>
          <w:highlight w:val="none"/>
        </w:rPr>
        <w:t>住房租赁企业发行住房租赁担保债券，稳妥推进基础设施不动产投资信托基金（</w:t>
      </w:r>
      <w:r>
        <w:rPr>
          <w:rFonts w:hint="default" w:ascii="Times New Roman" w:hAnsi="Times New Roman" w:cs="Times New Roman"/>
          <w:highlight w:val="none"/>
        </w:rPr>
        <w:t>REITs</w:t>
      </w:r>
      <w:r>
        <w:rPr>
          <w:rFonts w:hint="eastAsia" w:ascii="仿宋_GB2312" w:hAnsi="仿宋_GB2312" w:cs="仿宋_GB2312"/>
          <w:highlight w:val="none"/>
        </w:rPr>
        <w:t>）试点，鼓励租赁当事人投保租赁住房财产保险和人身意外保险，引导各类社会资金有序投入住房租赁领域。</w:t>
      </w:r>
      <w:r>
        <w:rPr>
          <w:rFonts w:hint="eastAsia" w:ascii="仿宋_GB2312" w:hAnsi="仿宋_GB2312" w:eastAsia="仿宋_GB2312" w:cs="仿宋_GB2312"/>
          <w:sz w:val="32"/>
          <w:szCs w:val="32"/>
          <w:highlight w:val="none"/>
        </w:rPr>
        <w:t>落实住房公积金租房提取政策，优化提取流程与额度，加大住房租赁消费支持。</w:t>
      </w:r>
    </w:p>
    <w:p w14:paraId="7C936C03">
      <w:pPr>
        <w:pStyle w:val="4"/>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highlight w:val="none"/>
          <w:lang w:val="en-US" w:eastAsia="zh-CN"/>
        </w:rPr>
      </w:pPr>
      <w:r>
        <w:rPr>
          <w:rFonts w:hint="eastAsia"/>
          <w:highlight w:val="none"/>
          <w:lang w:val="en-US" w:eastAsia="zh-CN"/>
        </w:rPr>
        <w:t>5.因地制宜发展康养旅居住房。</w:t>
      </w:r>
    </w:p>
    <w:p w14:paraId="2D51806E">
      <w:pPr>
        <w:keepNext w:val="0"/>
        <w:keepLines w:val="0"/>
        <w:pageBreakBefore w:val="0"/>
        <w:widowControl/>
        <w:kinsoku/>
        <w:wordWrap/>
        <w:overflowPunct/>
        <w:topLinePunct w:val="0"/>
        <w:autoSpaceDE/>
        <w:autoSpaceDN/>
        <w:bidi w:val="0"/>
        <w:adjustRightInd/>
        <w:snapToGrid/>
        <w:spacing w:beforeLines="0" w:afterLines="0"/>
        <w:textAlignment w:val="auto"/>
        <w:rPr>
          <w:rFonts w:hint="eastAsia" w:ascii="仿宋_GB2312" w:hAnsi="仿宋_GB2312" w:cs="仿宋_GB2312"/>
          <w:sz w:val="32"/>
          <w:szCs w:val="32"/>
          <w:highlight w:val="none"/>
          <w:lang w:val="en-US" w:eastAsia="zh-CN"/>
        </w:rPr>
      </w:pPr>
      <w:r>
        <w:rPr>
          <w:rFonts w:hint="eastAsia" w:ascii="仿宋_GB2312" w:hAnsi="仿宋_GB2312" w:cs="仿宋_GB2312"/>
          <w:highlight w:val="none"/>
        </w:rPr>
        <w:t>鼓励各类市场主体设立专业住房租赁运营机构，盘活存量海景住宅资源，发展季节性租赁、分时度假及康养旅居托管运营产品。支持市场主体通过自持、收购或长期租赁闲置商办、公寓物业，在依法履行相关审批程序</w:t>
      </w:r>
      <w:r>
        <w:rPr>
          <w:rFonts w:hint="eastAsia" w:ascii="仿宋_GB2312" w:hAnsi="仿宋_GB2312" w:cs="仿宋_GB2312"/>
          <w:highlight w:val="none"/>
          <w:lang w:val="en-US" w:eastAsia="zh-CN"/>
        </w:rPr>
        <w:t>的</w:t>
      </w:r>
      <w:r>
        <w:rPr>
          <w:rFonts w:hint="eastAsia" w:ascii="仿宋_GB2312" w:hAnsi="仿宋_GB2312" w:cs="仿宋_GB2312"/>
          <w:highlight w:val="none"/>
        </w:rPr>
        <w:t>基础上统一改造，发展市场化旅居、康养租赁业态</w:t>
      </w:r>
      <w:r>
        <w:rPr>
          <w:rFonts w:hint="eastAsia" w:ascii="仿宋_GB2312" w:hAnsi="仿宋_GB2312" w:eastAsia="仿宋_GB2312" w:cs="仿宋_GB2312"/>
          <w:highlight w:val="none"/>
          <w:lang w:val="en-US" w:eastAsia="zh-CN"/>
        </w:rPr>
        <w:t>。紧扣</w:t>
      </w:r>
      <w:r>
        <w:rPr>
          <w:rFonts w:hint="eastAsia" w:ascii="仿宋_GB2312" w:hAnsi="仿宋_GB2312" w:cs="仿宋_GB2312"/>
          <w:highlight w:val="none"/>
          <w:lang w:val="en-US" w:eastAsia="zh-CN"/>
        </w:rPr>
        <w:t>“</w:t>
      </w:r>
      <w:r>
        <w:rPr>
          <w:rFonts w:hint="eastAsia" w:ascii="仿宋_GB2312" w:hAnsi="仿宋_GB2312" w:eastAsia="仿宋_GB2312" w:cs="仿宋_GB2312"/>
          <w:highlight w:val="none"/>
          <w:lang w:val="en-US" w:eastAsia="zh-CN"/>
        </w:rPr>
        <w:t>好房子</w:t>
      </w:r>
      <w:r>
        <w:rPr>
          <w:rFonts w:hint="eastAsia" w:ascii="仿宋_GB2312" w:hAnsi="仿宋_GB2312" w:cs="仿宋_GB2312"/>
          <w:highlight w:val="none"/>
          <w:lang w:val="en-US" w:eastAsia="zh-CN"/>
        </w:rPr>
        <w:t>”</w:t>
      </w:r>
      <w:r>
        <w:rPr>
          <w:rFonts w:hint="eastAsia" w:ascii="仿宋_GB2312" w:hAnsi="仿宋_GB2312" w:eastAsia="仿宋_GB2312" w:cs="仿宋_GB2312"/>
          <w:highlight w:val="none"/>
          <w:lang w:val="en-US" w:eastAsia="zh-CN"/>
        </w:rPr>
        <w:t>建设</w:t>
      </w:r>
      <w:r>
        <w:rPr>
          <w:rFonts w:hint="eastAsia" w:ascii="仿宋_GB2312" w:hAnsi="仿宋_GB2312" w:cs="仿宋_GB2312"/>
          <w:highlight w:val="none"/>
          <w:lang w:val="en-US" w:eastAsia="zh-CN"/>
        </w:rPr>
        <w:t>要求</w:t>
      </w:r>
      <w:r>
        <w:rPr>
          <w:rFonts w:hint="eastAsia" w:ascii="仿宋_GB2312" w:hAnsi="仿宋_GB2312" w:eastAsia="仿宋_GB2312" w:cs="仿宋_GB2312"/>
          <w:highlight w:val="none"/>
          <w:lang w:val="en-US" w:eastAsia="zh-CN"/>
        </w:rPr>
        <w:t>，聚焦度假、康养、养老、旅居等文旅业态发展需求，开发多样化高品质康养、休闲居住产品。加快完善旅游公路、慢行步道、通信网络等基础设施建设，优化购物商超、医疗康养、文体休闲等公共服务设施布局。</w:t>
      </w:r>
      <w:r>
        <w:rPr>
          <w:rFonts w:hint="eastAsia" w:ascii="仿宋_GB2312" w:hAnsi="仿宋_GB2312" w:eastAsia="仿宋_GB2312" w:cs="仿宋_GB2312"/>
          <w:sz w:val="32"/>
          <w:szCs w:val="32"/>
          <w:highlight w:val="none"/>
        </w:rPr>
        <w:t>加大</w:t>
      </w:r>
      <w:r>
        <w:rPr>
          <w:rFonts w:hint="eastAsia" w:ascii="仿宋_GB2312" w:hAnsi="仿宋_GB2312" w:cs="仿宋_GB2312"/>
          <w:sz w:val="32"/>
          <w:szCs w:val="32"/>
          <w:highlight w:val="none"/>
          <w:lang w:val="en-US" w:eastAsia="zh-CN"/>
        </w:rPr>
        <w:t>特色地产</w:t>
      </w:r>
      <w:r>
        <w:rPr>
          <w:rFonts w:hint="eastAsia" w:ascii="仿宋_GB2312" w:hAnsi="仿宋_GB2312" w:eastAsia="仿宋_GB2312" w:cs="仿宋_GB2312"/>
          <w:sz w:val="32"/>
          <w:szCs w:val="32"/>
          <w:highlight w:val="none"/>
        </w:rPr>
        <w:t>项目宣传与品牌打造力度</w:t>
      </w:r>
      <w:r>
        <w:rPr>
          <w:rFonts w:hint="eastAsia" w:ascii="仿宋_GB2312" w:hAnsi="仿宋_GB2312" w:cs="仿宋_GB2312"/>
          <w:sz w:val="32"/>
          <w:szCs w:val="32"/>
          <w:highlight w:val="none"/>
          <w:lang w:eastAsia="zh-CN"/>
        </w:rPr>
        <w:t>，</w:t>
      </w:r>
      <w:r>
        <w:rPr>
          <w:rFonts w:hint="eastAsia" w:ascii="仿宋_GB2312" w:hAnsi="仿宋_GB2312" w:cs="仿宋_GB2312"/>
          <w:highlight w:val="none"/>
        </w:rPr>
        <w:t>依托</w:t>
      </w:r>
      <w:r>
        <w:rPr>
          <w:rFonts w:hint="eastAsia" w:ascii="仿宋_GB2312" w:hAnsi="仿宋_GB2312" w:cs="仿宋_GB2312"/>
          <w:highlight w:val="none"/>
          <w:lang w:val="en-US" w:eastAsia="zh-CN"/>
        </w:rPr>
        <w:t>旅游旺季常态化举办促销活动，积极赴</w:t>
      </w:r>
      <w:r>
        <w:rPr>
          <w:rFonts w:hint="eastAsia" w:ascii="仿宋_GB2312" w:hAnsi="仿宋_GB2312" w:eastAsia="仿宋_GB2312" w:cs="仿宋_GB2312"/>
          <w:highlight w:val="none"/>
          <w:lang w:val="en-US" w:eastAsia="zh-CN"/>
        </w:rPr>
        <w:t>省</w:t>
      </w:r>
      <w:r>
        <w:rPr>
          <w:rFonts w:hint="eastAsia" w:ascii="仿宋_GB2312" w:hAnsi="仿宋_GB2312" w:cs="仿宋_GB2312"/>
          <w:highlight w:val="none"/>
          <w:lang w:val="en-US" w:eastAsia="zh-CN"/>
        </w:rPr>
        <w:t>内</w:t>
      </w:r>
      <w:r>
        <w:rPr>
          <w:rFonts w:hint="eastAsia" w:ascii="仿宋_GB2312" w:hAnsi="仿宋_GB2312" w:eastAsia="仿宋_GB2312" w:cs="仿宋_GB2312"/>
          <w:highlight w:val="none"/>
          <w:lang w:val="en-US" w:eastAsia="zh-CN"/>
        </w:rPr>
        <w:t>外</w:t>
      </w:r>
      <w:r>
        <w:rPr>
          <w:rFonts w:hint="eastAsia" w:ascii="仿宋_GB2312" w:hAnsi="仿宋_GB2312" w:cs="仿宋_GB2312"/>
          <w:highlight w:val="none"/>
          <w:lang w:val="en-US" w:eastAsia="zh-CN"/>
        </w:rPr>
        <w:t>精准</w:t>
      </w:r>
      <w:r>
        <w:rPr>
          <w:rFonts w:hint="eastAsia" w:ascii="仿宋_GB2312" w:hAnsi="仿宋_GB2312" w:eastAsia="仿宋_GB2312" w:cs="仿宋_GB2312"/>
          <w:highlight w:val="none"/>
          <w:lang w:val="en-US" w:eastAsia="zh-CN"/>
        </w:rPr>
        <w:t>推介</w:t>
      </w:r>
      <w:r>
        <w:rPr>
          <w:rFonts w:hint="eastAsia" w:ascii="仿宋_GB2312" w:hAnsi="仿宋_GB2312" w:cs="仿宋_GB2312"/>
          <w:highlight w:val="none"/>
          <w:lang w:val="en-US" w:eastAsia="zh-CN"/>
        </w:rPr>
        <w:t>优质房源</w:t>
      </w:r>
      <w:r>
        <w:rPr>
          <w:rFonts w:hint="eastAsia" w:ascii="仿宋_GB2312" w:hAnsi="仿宋_GB2312" w:cs="仿宋_GB2312"/>
          <w:sz w:val="32"/>
          <w:szCs w:val="32"/>
          <w:highlight w:val="none"/>
          <w:lang w:eastAsia="zh-CN"/>
        </w:rPr>
        <w:t>。</w:t>
      </w:r>
      <w:r>
        <w:rPr>
          <w:rFonts w:hint="eastAsia" w:ascii="仿宋_GB2312" w:hAnsi="仿宋_GB2312" w:cs="仿宋_GB2312"/>
          <w:highlight w:val="none"/>
          <w:lang w:val="en-US" w:eastAsia="zh-CN"/>
        </w:rPr>
        <w:t>加快构建完善“网上购房超市”平台</w:t>
      </w: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val="en-US" w:eastAsia="zh-CN"/>
        </w:rPr>
        <w:t>促进线上线下联动、供需精准对接、资源高效整合，提升住房营销服务便捷化水平。</w:t>
      </w:r>
    </w:p>
    <w:p w14:paraId="61FA57B3">
      <w:pPr>
        <w:pStyle w:val="3"/>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ighlight w:val="none"/>
          <w:lang w:val="en-US" w:eastAsia="zh-CN"/>
        </w:rPr>
      </w:pPr>
      <w:bookmarkStart w:id="226" w:name="_Toc14064"/>
      <w:bookmarkStart w:id="227" w:name="_Toc14313"/>
      <w:bookmarkStart w:id="228" w:name="_Toc17516"/>
      <w:bookmarkStart w:id="229" w:name="_Toc5243"/>
      <w:bookmarkStart w:id="230" w:name="_Toc18082"/>
      <w:bookmarkStart w:id="231" w:name="_Toc8332"/>
      <w:bookmarkStart w:id="232" w:name="_Toc28396"/>
      <w:bookmarkStart w:id="233" w:name="_Toc1673028256"/>
      <w:bookmarkStart w:id="234" w:name="_Toc9047"/>
      <w:bookmarkStart w:id="235" w:name="_Toc14345"/>
      <w:bookmarkStart w:id="236" w:name="_Toc1662626790"/>
      <w:bookmarkStart w:id="237" w:name="_Toc17554"/>
      <w:bookmarkStart w:id="238" w:name="_Toc11855"/>
      <w:bookmarkStart w:id="239" w:name="_Toc19302"/>
      <w:bookmarkStart w:id="240" w:name="_Toc21611"/>
      <w:bookmarkStart w:id="241" w:name="_Toc788674660"/>
      <w:bookmarkStart w:id="242" w:name="_Toc31802"/>
      <w:r>
        <w:rPr>
          <w:rFonts w:hint="eastAsia"/>
          <w:highlight w:val="none"/>
          <w:lang w:val="en-US" w:eastAsia="zh-CN"/>
        </w:rPr>
        <w:t>（二）强化住房品质，服务“四好”建设</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178C8380">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highlight w:val="none"/>
          <w:lang w:val="en-US" w:eastAsia="zh-CN"/>
        </w:rPr>
      </w:pPr>
      <w:r>
        <w:rPr>
          <w:rFonts w:hint="eastAsia"/>
          <w:highlight w:val="none"/>
          <w:lang w:val="en-US" w:eastAsia="zh-CN"/>
        </w:rPr>
        <w:t>1.加快完善</w:t>
      </w:r>
      <w:r>
        <w:rPr>
          <w:rFonts w:hint="eastAsia" w:ascii="仿宋_GB2312" w:hAnsi="仿宋_GB2312"/>
          <w:highlight w:val="none"/>
          <w:lang w:val="en-US" w:eastAsia="zh-CN"/>
        </w:rPr>
        <w:t>“</w:t>
      </w:r>
      <w:r>
        <w:rPr>
          <w:rFonts w:hint="eastAsia"/>
          <w:highlight w:val="none"/>
          <w:lang w:val="en-US" w:eastAsia="zh-CN"/>
        </w:rPr>
        <w:t>好房子</w:t>
      </w:r>
      <w:r>
        <w:rPr>
          <w:rFonts w:hint="eastAsia" w:ascii="仿宋_GB2312" w:hAnsi="仿宋_GB2312"/>
          <w:highlight w:val="none"/>
          <w:lang w:val="en-US" w:eastAsia="zh-CN"/>
        </w:rPr>
        <w:t>”</w:t>
      </w:r>
      <w:r>
        <w:rPr>
          <w:rFonts w:hint="eastAsia"/>
          <w:highlight w:val="none"/>
          <w:lang w:val="en-US" w:eastAsia="zh-CN"/>
        </w:rPr>
        <w:t>建设体系。</w:t>
      </w:r>
    </w:p>
    <w:p w14:paraId="463818A0">
      <w:pPr>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color w:val="auto"/>
          <w:highlight w:val="none"/>
          <w:lang w:val="en-US" w:eastAsia="zh-CN"/>
        </w:rPr>
      </w:pPr>
      <w:r>
        <w:rPr>
          <w:rFonts w:hint="eastAsia"/>
          <w:highlight w:val="none"/>
          <w:lang w:val="en-US" w:eastAsia="zh-CN"/>
        </w:rPr>
        <w:t>围绕规划设计、施工建造、查验交付、物业运维等全流程，持续健全</w:t>
      </w:r>
      <w:r>
        <w:rPr>
          <w:rFonts w:hint="eastAsia" w:ascii="仿宋_GB2312" w:hAnsi="仿宋_GB2312"/>
          <w:highlight w:val="none"/>
          <w:lang w:val="en-US" w:eastAsia="zh-CN"/>
        </w:rPr>
        <w:t>“</w:t>
      </w:r>
      <w:r>
        <w:rPr>
          <w:rFonts w:hint="eastAsia"/>
          <w:highlight w:val="none"/>
          <w:lang w:val="en-US" w:eastAsia="zh-CN"/>
        </w:rPr>
        <w:t>好房子</w:t>
      </w:r>
      <w:r>
        <w:rPr>
          <w:rFonts w:hint="eastAsia" w:ascii="仿宋_GB2312" w:hAnsi="仿宋_GB2312"/>
          <w:highlight w:val="none"/>
          <w:lang w:val="en-US" w:eastAsia="zh-CN"/>
        </w:rPr>
        <w:t>”</w:t>
      </w:r>
      <w:r>
        <w:rPr>
          <w:rFonts w:hint="eastAsia"/>
          <w:highlight w:val="none"/>
          <w:lang w:val="en-US" w:eastAsia="zh-CN"/>
        </w:rPr>
        <w:t>建设配套政策。</w:t>
      </w:r>
      <w:r>
        <w:rPr>
          <w:rFonts w:hint="eastAsia"/>
          <w:color w:val="auto"/>
          <w:highlight w:val="none"/>
          <w:lang w:val="en-US" w:eastAsia="zh-CN"/>
        </w:rPr>
        <w:t>推行土地带方案出让等供应新模式，</w:t>
      </w:r>
      <w:r>
        <w:rPr>
          <w:rFonts w:ascii="Times New Roman" w:hAnsi="Times New Roman"/>
          <w:color w:val="auto"/>
          <w:highlight w:val="none"/>
        </w:rPr>
        <w:t>将</w:t>
      </w:r>
      <w:r>
        <w:rPr>
          <w:rFonts w:hint="eastAsia" w:ascii="仿宋_GB2312" w:hAnsi="仿宋_GB2312"/>
          <w:color w:val="auto"/>
          <w:highlight w:val="none"/>
          <w:lang w:eastAsia="zh-CN"/>
        </w:rPr>
        <w:t>“</w:t>
      </w:r>
      <w:r>
        <w:rPr>
          <w:rFonts w:ascii="Times New Roman" w:hAnsi="Times New Roman"/>
          <w:color w:val="auto"/>
          <w:highlight w:val="none"/>
        </w:rPr>
        <w:t>好房子</w:t>
      </w:r>
      <w:r>
        <w:rPr>
          <w:rFonts w:hint="eastAsia" w:ascii="仿宋_GB2312" w:hAnsi="仿宋_GB2312"/>
          <w:color w:val="auto"/>
          <w:highlight w:val="none"/>
          <w:lang w:eastAsia="zh-CN"/>
        </w:rPr>
        <w:t>”</w:t>
      </w:r>
      <w:r>
        <w:rPr>
          <w:rFonts w:ascii="Times New Roman" w:hAnsi="Times New Roman"/>
          <w:color w:val="auto"/>
          <w:highlight w:val="none"/>
        </w:rPr>
        <w:t>建设要求纳入土地出让</w:t>
      </w:r>
      <w:r>
        <w:rPr>
          <w:rFonts w:hint="eastAsia" w:ascii="Times New Roman" w:hAnsi="Times New Roman"/>
          <w:color w:val="auto"/>
          <w:highlight w:val="none"/>
          <w:lang w:eastAsia="zh-CN"/>
        </w:rPr>
        <w:t>条件，</w:t>
      </w:r>
      <w:r>
        <w:rPr>
          <w:rFonts w:hint="eastAsia" w:ascii="Times New Roman" w:hAnsi="Times New Roman"/>
          <w:color w:val="auto"/>
          <w:highlight w:val="none"/>
        </w:rPr>
        <w:t>引导企业</w:t>
      </w:r>
      <w:r>
        <w:rPr>
          <w:rFonts w:hint="eastAsia"/>
          <w:color w:val="auto"/>
          <w:highlight w:val="none"/>
          <w:lang w:val="en-US" w:eastAsia="zh-CN"/>
        </w:rPr>
        <w:t>开发建设</w:t>
      </w:r>
      <w:r>
        <w:rPr>
          <w:rFonts w:hint="eastAsia" w:ascii="仿宋_GB2312" w:hAnsi="仿宋_GB2312"/>
          <w:color w:val="auto"/>
          <w:highlight w:val="none"/>
          <w:lang w:val="en-US" w:eastAsia="zh-CN"/>
        </w:rPr>
        <w:t>“</w:t>
      </w:r>
      <w:r>
        <w:rPr>
          <w:rFonts w:hint="eastAsia"/>
          <w:color w:val="auto"/>
          <w:highlight w:val="none"/>
          <w:lang w:val="en-US" w:eastAsia="zh-CN"/>
        </w:rPr>
        <w:t>好房子</w:t>
      </w:r>
      <w:r>
        <w:rPr>
          <w:rFonts w:hint="eastAsia" w:ascii="仿宋_GB2312" w:hAnsi="仿宋_GB2312"/>
          <w:color w:val="auto"/>
          <w:highlight w:val="none"/>
          <w:lang w:val="en-US" w:eastAsia="zh-CN"/>
        </w:rPr>
        <w:t>”</w:t>
      </w:r>
      <w:r>
        <w:rPr>
          <w:rFonts w:hint="eastAsia" w:ascii="Times New Roman" w:hAnsi="Times New Roman"/>
          <w:color w:val="auto"/>
          <w:highlight w:val="none"/>
          <w:lang w:eastAsia="zh-CN"/>
        </w:rPr>
        <w:t>。</w:t>
      </w:r>
      <w:r>
        <w:rPr>
          <w:rFonts w:hint="eastAsia" w:cstheme="minorBidi"/>
          <w:color w:val="auto"/>
          <w:sz w:val="32"/>
          <w:szCs w:val="32"/>
          <w:highlight w:val="none"/>
          <w:lang w:val="en-US" w:eastAsia="zh-CN"/>
        </w:rPr>
        <w:t>落实</w:t>
      </w:r>
      <w:r>
        <w:rPr>
          <w:rFonts w:hint="eastAsia" w:ascii="Times New Roman" w:hAnsi="Times New Roman" w:eastAsia="仿宋_GB2312" w:cstheme="minorBidi"/>
          <w:color w:val="auto"/>
          <w:sz w:val="32"/>
          <w:szCs w:val="32"/>
          <w:highlight w:val="none"/>
        </w:rPr>
        <w:t>容积率</w:t>
      </w:r>
      <w:r>
        <w:rPr>
          <w:rFonts w:hint="eastAsia" w:cstheme="minorBidi"/>
          <w:color w:val="auto"/>
          <w:sz w:val="32"/>
          <w:szCs w:val="32"/>
          <w:highlight w:val="none"/>
          <w:lang w:val="en-US" w:eastAsia="zh-CN"/>
        </w:rPr>
        <w:t>减计优惠</w:t>
      </w:r>
      <w:r>
        <w:rPr>
          <w:rFonts w:hint="eastAsia" w:ascii="Times New Roman" w:hAnsi="Times New Roman" w:eastAsia="仿宋_GB2312" w:cstheme="minorBidi"/>
          <w:color w:val="auto"/>
          <w:sz w:val="32"/>
          <w:szCs w:val="32"/>
          <w:highlight w:val="none"/>
        </w:rPr>
        <w:t>、绿色建筑激励等</w:t>
      </w:r>
      <w:r>
        <w:rPr>
          <w:rFonts w:hint="eastAsia" w:cstheme="minorBidi"/>
          <w:color w:val="auto"/>
          <w:sz w:val="32"/>
          <w:szCs w:val="32"/>
          <w:highlight w:val="none"/>
          <w:lang w:val="en-US" w:eastAsia="zh-CN"/>
        </w:rPr>
        <w:t>支持</w:t>
      </w:r>
      <w:r>
        <w:rPr>
          <w:rFonts w:hint="default" w:ascii="Times New Roman" w:hAnsi="Times New Roman" w:cstheme="minorBidi"/>
          <w:color w:val="auto"/>
          <w:sz w:val="32"/>
          <w:szCs w:val="32"/>
          <w:highlight w:val="none"/>
          <w:lang w:val="en-US" w:eastAsia="zh-CN"/>
        </w:rPr>
        <w:t>政策</w:t>
      </w:r>
      <w:r>
        <w:rPr>
          <w:rFonts w:hint="eastAsia" w:ascii="Times New Roman" w:hAnsi="Times New Roman"/>
          <w:color w:val="auto"/>
          <w:highlight w:val="none"/>
          <w:lang w:eastAsia="zh-CN"/>
        </w:rPr>
        <w:t>，</w:t>
      </w:r>
      <w:r>
        <w:rPr>
          <w:rFonts w:hint="eastAsia" w:ascii="Times New Roman" w:hAnsi="Times New Roman"/>
          <w:color w:val="auto"/>
          <w:highlight w:val="none"/>
        </w:rPr>
        <w:t>加大金融支持力度</w:t>
      </w:r>
      <w:r>
        <w:rPr>
          <w:rFonts w:hint="eastAsia" w:ascii="Times New Roman" w:hAnsi="Times New Roman"/>
          <w:color w:val="auto"/>
          <w:highlight w:val="none"/>
          <w:lang w:eastAsia="zh-CN"/>
        </w:rPr>
        <w:t>，</w:t>
      </w:r>
      <w:r>
        <w:rPr>
          <w:rFonts w:hint="eastAsia" w:ascii="仿宋_GB2312" w:hAnsi="仿宋_GB2312" w:eastAsia="仿宋_GB2312" w:cs="仿宋_GB2312"/>
          <w:color w:val="auto"/>
          <w:highlight w:val="none"/>
          <w:lang w:val="en-US" w:eastAsia="zh-CN"/>
        </w:rPr>
        <w:t>优化规划报建验收手续</w:t>
      </w:r>
      <w:r>
        <w:rPr>
          <w:rFonts w:hint="eastAsia" w:ascii="仿宋_GB2312" w:hAnsi="仿宋_GB2312" w:cs="仿宋_GB2312"/>
          <w:color w:val="auto"/>
          <w:highlight w:val="none"/>
          <w:lang w:val="en-US" w:eastAsia="zh-CN"/>
        </w:rPr>
        <w:t>，</w:t>
      </w:r>
      <w:r>
        <w:rPr>
          <w:rFonts w:hint="eastAsia" w:ascii="Times New Roman" w:hAnsi="Times New Roman" w:eastAsia="仿宋_GB2312" w:cstheme="minorBidi"/>
          <w:color w:val="auto"/>
          <w:sz w:val="32"/>
          <w:szCs w:val="32"/>
          <w:highlight w:val="none"/>
        </w:rPr>
        <w:t>保障</w:t>
      </w:r>
      <w:r>
        <w:rPr>
          <w:rFonts w:hint="eastAsia" w:cstheme="minorBidi"/>
          <w:color w:val="auto"/>
          <w:sz w:val="32"/>
          <w:szCs w:val="32"/>
          <w:highlight w:val="none"/>
          <w:lang w:val="en-US" w:eastAsia="zh-CN"/>
        </w:rPr>
        <w:t>项目高效</w:t>
      </w:r>
      <w:r>
        <w:rPr>
          <w:rFonts w:hint="eastAsia" w:ascii="Times New Roman" w:hAnsi="Times New Roman" w:eastAsia="仿宋_GB2312" w:cstheme="minorBidi"/>
          <w:color w:val="auto"/>
          <w:sz w:val="32"/>
          <w:szCs w:val="32"/>
          <w:highlight w:val="none"/>
        </w:rPr>
        <w:t>落地</w:t>
      </w:r>
      <w:r>
        <w:rPr>
          <w:rFonts w:hint="eastAsia"/>
          <w:color w:val="auto"/>
          <w:highlight w:val="none"/>
          <w:lang w:val="en-US" w:eastAsia="zh-CN"/>
        </w:rPr>
        <w:t>。</w:t>
      </w:r>
      <w:r>
        <w:rPr>
          <w:rFonts w:hint="eastAsia" w:ascii="Times New Roman" w:hAnsi="Times New Roman" w:eastAsia="仿宋_GB2312" w:cstheme="minorBidi"/>
          <w:color w:val="auto"/>
          <w:sz w:val="32"/>
          <w:szCs w:val="32"/>
          <w:highlight w:val="none"/>
        </w:rPr>
        <w:t>提升</w:t>
      </w:r>
      <w:r>
        <w:rPr>
          <w:rFonts w:hint="eastAsia" w:ascii="仿宋_GB2312" w:hAnsi="仿宋_GB2312" w:cstheme="minorBidi"/>
          <w:color w:val="auto"/>
          <w:sz w:val="32"/>
          <w:szCs w:val="32"/>
          <w:highlight w:val="none"/>
          <w:lang w:eastAsia="zh-CN"/>
        </w:rPr>
        <w:t>“</w:t>
      </w:r>
      <w:r>
        <w:rPr>
          <w:rFonts w:hint="eastAsia" w:ascii="Times New Roman" w:hAnsi="Times New Roman" w:cstheme="minorBidi"/>
          <w:color w:val="auto"/>
          <w:sz w:val="32"/>
          <w:szCs w:val="32"/>
          <w:highlight w:val="none"/>
          <w:lang w:val="en-US" w:eastAsia="zh-CN"/>
        </w:rPr>
        <w:t>好房子</w:t>
      </w:r>
      <w:r>
        <w:rPr>
          <w:rFonts w:hint="eastAsia" w:ascii="仿宋_GB2312" w:hAnsi="仿宋_GB2312" w:cstheme="minorBidi"/>
          <w:color w:val="auto"/>
          <w:sz w:val="32"/>
          <w:szCs w:val="32"/>
          <w:highlight w:val="none"/>
          <w:lang w:eastAsia="zh-CN"/>
        </w:rPr>
        <w:t>”</w:t>
      </w:r>
      <w:r>
        <w:rPr>
          <w:rFonts w:hint="eastAsia" w:ascii="Times New Roman" w:hAnsi="Times New Roman" w:cstheme="minorBidi"/>
          <w:color w:val="auto"/>
          <w:sz w:val="32"/>
          <w:szCs w:val="32"/>
          <w:highlight w:val="none"/>
          <w:lang w:val="en-US" w:eastAsia="zh-CN"/>
        </w:rPr>
        <w:t>建设</w:t>
      </w:r>
      <w:r>
        <w:rPr>
          <w:rFonts w:hint="eastAsia" w:ascii="Times New Roman" w:hAnsi="Times New Roman" w:eastAsia="仿宋_GB2312" w:cstheme="minorBidi"/>
          <w:color w:val="auto"/>
          <w:sz w:val="32"/>
          <w:szCs w:val="32"/>
          <w:highlight w:val="none"/>
        </w:rPr>
        <w:t>工程质量</w:t>
      </w:r>
      <w:r>
        <w:rPr>
          <w:rFonts w:hint="eastAsia" w:ascii="Times New Roman" w:hAnsi="Times New Roman" w:cstheme="minorBidi"/>
          <w:color w:val="auto"/>
          <w:sz w:val="32"/>
          <w:szCs w:val="32"/>
          <w:highlight w:val="none"/>
          <w:lang w:eastAsia="zh-CN"/>
        </w:rPr>
        <w:t>，</w:t>
      </w:r>
      <w:r>
        <w:rPr>
          <w:rFonts w:hint="eastAsia" w:ascii="仿宋_GB2312" w:hAnsi="仿宋_GB2312" w:eastAsia="仿宋_GB2312" w:cs="仿宋_GB2312"/>
          <w:color w:val="auto"/>
          <w:highlight w:val="none"/>
          <w:lang w:val="en-US" w:eastAsia="zh-CN"/>
        </w:rPr>
        <w:t>重点厘清绿色建筑、</w:t>
      </w:r>
      <w:r>
        <w:rPr>
          <w:rFonts w:hint="eastAsia" w:ascii="仿宋_GB2312" w:hAnsi="仿宋_GB2312" w:cs="仿宋_GB2312"/>
          <w:color w:val="auto"/>
          <w:highlight w:val="none"/>
          <w:lang w:val="en-US" w:eastAsia="zh-CN"/>
        </w:rPr>
        <w:t>智能</w:t>
      </w:r>
      <w:r>
        <w:rPr>
          <w:rFonts w:hint="eastAsia" w:ascii="仿宋_GB2312" w:hAnsi="仿宋_GB2312" w:eastAsia="仿宋_GB2312" w:cs="仿宋_GB2312"/>
          <w:color w:val="auto"/>
          <w:highlight w:val="none"/>
          <w:lang w:val="en-US" w:eastAsia="zh-CN"/>
        </w:rPr>
        <w:t>建造、无障碍设计等交叉领域的技术规范边界，明确各环节责任主体</w:t>
      </w:r>
      <w:r>
        <w:rPr>
          <w:rFonts w:hint="eastAsia" w:ascii="仿宋_GB2312" w:hAnsi="仿宋_GB2312" w:cs="仿宋_GB2312"/>
          <w:color w:val="auto"/>
          <w:highlight w:val="none"/>
          <w:lang w:val="en-US" w:eastAsia="zh-CN"/>
        </w:rPr>
        <w:t>；</w:t>
      </w:r>
      <w:r>
        <w:rPr>
          <w:rFonts w:hint="default"/>
          <w:color w:val="auto"/>
          <w:highlight w:val="none"/>
          <w:lang w:val="en-US" w:eastAsia="zh-CN"/>
        </w:rPr>
        <w:t>发挥好行业协会桥梁纽带作用，支持建筑设计、装饰装修等环节前置，建立</w:t>
      </w:r>
      <w:r>
        <w:rPr>
          <w:rFonts w:hint="eastAsia" w:ascii="仿宋_GB2312" w:hAnsi="仿宋_GB2312"/>
          <w:color w:val="auto"/>
          <w:highlight w:val="none"/>
          <w:lang w:val="en-US" w:eastAsia="zh-CN"/>
        </w:rPr>
        <w:t>“</w:t>
      </w:r>
      <w:r>
        <w:rPr>
          <w:rFonts w:hint="default"/>
          <w:color w:val="auto"/>
          <w:highlight w:val="none"/>
          <w:lang w:val="en-US" w:eastAsia="zh-CN"/>
        </w:rPr>
        <w:t>好房子+好建造</w:t>
      </w:r>
      <w:r>
        <w:rPr>
          <w:rFonts w:hint="eastAsia" w:ascii="仿宋_GB2312" w:hAnsi="仿宋_GB2312"/>
          <w:color w:val="auto"/>
          <w:highlight w:val="none"/>
          <w:lang w:val="en-US" w:eastAsia="zh-CN"/>
        </w:rPr>
        <w:t>”</w:t>
      </w:r>
      <w:r>
        <w:rPr>
          <w:rFonts w:hint="default"/>
          <w:color w:val="auto"/>
          <w:highlight w:val="none"/>
          <w:lang w:val="en-US" w:eastAsia="zh-CN"/>
        </w:rPr>
        <w:t>的良性对接</w:t>
      </w:r>
      <w:r>
        <w:rPr>
          <w:rFonts w:hint="eastAsia"/>
          <w:color w:val="auto"/>
          <w:highlight w:val="none"/>
          <w:lang w:val="en-US" w:eastAsia="zh-CN"/>
        </w:rPr>
        <w:t>。</w:t>
      </w:r>
      <w:r>
        <w:rPr>
          <w:rFonts w:hint="eastAsia" w:ascii="仿宋_GB2312" w:hAnsi="仿宋_GB2312" w:cs="仿宋_GB2312"/>
          <w:color w:val="auto"/>
          <w:sz w:val="32"/>
          <w:szCs w:val="32"/>
          <w:highlight w:val="none"/>
          <w:lang w:val="en-US" w:eastAsia="zh-CN"/>
        </w:rPr>
        <w:t>持</w:t>
      </w:r>
      <w:r>
        <w:rPr>
          <w:rFonts w:hint="eastAsia" w:ascii="Times New Roman" w:hAnsi="Times New Roman" w:cstheme="minorBidi"/>
          <w:color w:val="auto"/>
          <w:sz w:val="32"/>
          <w:szCs w:val="32"/>
          <w:highlight w:val="none"/>
          <w:lang w:val="en-US" w:eastAsia="zh-CN"/>
        </w:rPr>
        <w:t>续提升住房标准、</w:t>
      </w:r>
      <w:r>
        <w:rPr>
          <w:rFonts w:hint="default"/>
          <w:color w:val="auto"/>
          <w:highlight w:val="none"/>
          <w:lang w:val="en-US" w:eastAsia="zh-CN"/>
        </w:rPr>
        <w:t>设</w:t>
      </w:r>
      <w:r>
        <w:rPr>
          <w:rFonts w:hint="eastAsia"/>
          <w:color w:val="auto"/>
          <w:highlight w:val="none"/>
          <w:lang w:val="en-US" w:eastAsia="zh-CN"/>
        </w:rPr>
        <w:t>计、材料、建造、运维水平，</w:t>
      </w:r>
      <w:r>
        <w:rPr>
          <w:rFonts w:hint="eastAsia" w:ascii="Times New Roman" w:hAnsi="Times New Roman" w:cstheme="minorBidi"/>
          <w:i w:val="0"/>
          <w:iCs w:val="0"/>
          <w:caps w:val="0"/>
          <w:color w:val="auto"/>
          <w:spacing w:val="0"/>
          <w:sz w:val="32"/>
          <w:szCs w:val="32"/>
          <w:highlight w:val="none"/>
          <w:shd w:val="clear"/>
          <w:lang w:val="en-US" w:eastAsia="zh-CN"/>
        </w:rPr>
        <w:t>打造湛江</w:t>
      </w:r>
      <w:r>
        <w:rPr>
          <w:rFonts w:hint="eastAsia" w:ascii="仿宋_GB2312" w:hAnsi="仿宋_GB2312" w:cstheme="minorBidi"/>
          <w:i w:val="0"/>
          <w:iCs w:val="0"/>
          <w:caps w:val="0"/>
          <w:color w:val="auto"/>
          <w:spacing w:val="0"/>
          <w:sz w:val="32"/>
          <w:szCs w:val="32"/>
          <w:highlight w:val="none"/>
          <w:shd w:val="clear"/>
          <w:lang w:val="en-US" w:eastAsia="zh-CN"/>
        </w:rPr>
        <w:t>“</w:t>
      </w:r>
      <w:r>
        <w:rPr>
          <w:rFonts w:hint="eastAsia" w:ascii="Times New Roman" w:hAnsi="Times New Roman" w:cstheme="minorBidi"/>
          <w:i w:val="0"/>
          <w:iCs w:val="0"/>
          <w:caps w:val="0"/>
          <w:color w:val="auto"/>
          <w:spacing w:val="0"/>
          <w:sz w:val="32"/>
          <w:szCs w:val="32"/>
          <w:highlight w:val="none"/>
          <w:shd w:val="clear"/>
          <w:lang w:val="en-US" w:eastAsia="zh-CN"/>
        </w:rPr>
        <w:t>好房子</w:t>
      </w:r>
      <w:r>
        <w:rPr>
          <w:rFonts w:hint="eastAsia" w:ascii="仿宋_GB2312" w:hAnsi="仿宋_GB2312" w:cstheme="minorBidi"/>
          <w:i w:val="0"/>
          <w:iCs w:val="0"/>
          <w:caps w:val="0"/>
          <w:color w:val="auto"/>
          <w:spacing w:val="0"/>
          <w:sz w:val="32"/>
          <w:szCs w:val="32"/>
          <w:highlight w:val="none"/>
          <w:shd w:val="clear"/>
          <w:lang w:val="en-US" w:eastAsia="zh-CN"/>
        </w:rPr>
        <w:t>”</w:t>
      </w:r>
      <w:r>
        <w:rPr>
          <w:rFonts w:ascii="Times New Roman" w:hAnsi="Times New Roman" w:eastAsia="仿宋_GB2312" w:cstheme="minorBidi"/>
          <w:i w:val="0"/>
          <w:iCs w:val="0"/>
          <w:caps w:val="0"/>
          <w:color w:val="auto"/>
          <w:spacing w:val="0"/>
          <w:sz w:val="32"/>
          <w:szCs w:val="32"/>
          <w:highlight w:val="none"/>
          <w:shd w:val="clear" w:fill="FFFFFF"/>
        </w:rPr>
        <w:t>样板</w:t>
      </w:r>
      <w:r>
        <w:rPr>
          <w:rFonts w:hint="eastAsia" w:ascii="Times New Roman" w:hAnsi="Times New Roman" w:cstheme="minorBidi"/>
          <w:i w:val="0"/>
          <w:iCs w:val="0"/>
          <w:caps w:val="0"/>
          <w:color w:val="auto"/>
          <w:spacing w:val="0"/>
          <w:sz w:val="32"/>
          <w:szCs w:val="32"/>
          <w:highlight w:val="none"/>
          <w:shd w:val="clear" w:fill="FFFFFF"/>
          <w:lang w:eastAsia="zh-CN"/>
        </w:rPr>
        <w:t>，</w:t>
      </w:r>
      <w:r>
        <w:rPr>
          <w:rFonts w:hint="eastAsia" w:ascii="Times New Roman" w:hAnsi="Times New Roman" w:eastAsia="仿宋_GB2312" w:cs="Times New Roman"/>
          <w:color w:val="auto"/>
          <w:sz w:val="32"/>
          <w:szCs w:val="36"/>
          <w:highlight w:val="none"/>
          <w:lang w:eastAsia="zh-CN"/>
        </w:rPr>
        <w:t>形成良好示范效</w:t>
      </w:r>
      <w:r>
        <w:rPr>
          <w:rFonts w:hint="default" w:ascii="Times New Roman" w:hAnsi="Times New Roman" w:eastAsia="仿宋_GB2312" w:cstheme="minorBidi"/>
          <w:color w:val="auto"/>
          <w:sz w:val="32"/>
          <w:szCs w:val="32"/>
          <w:highlight w:val="none"/>
          <w:lang w:eastAsia="zh-CN"/>
        </w:rPr>
        <w:t>应</w:t>
      </w:r>
      <w:r>
        <w:rPr>
          <w:rFonts w:hint="default" w:cstheme="minorBidi"/>
          <w:i w:val="0"/>
          <w:iCs w:val="0"/>
          <w:caps w:val="0"/>
          <w:color w:val="auto"/>
          <w:spacing w:val="0"/>
          <w:sz w:val="32"/>
          <w:szCs w:val="32"/>
          <w:highlight w:val="none"/>
          <w:shd w:val="clear" w:fill="auto"/>
          <w:lang w:eastAsia="zh-CN"/>
        </w:rPr>
        <w:t>。</w:t>
      </w:r>
      <w:r>
        <w:rPr>
          <w:rFonts w:hint="default"/>
          <w:color w:val="auto"/>
          <w:highlight w:val="none"/>
          <w:shd w:val="clear" w:fill="auto"/>
        </w:rPr>
        <w:t>推动</w:t>
      </w:r>
      <w:r>
        <w:rPr>
          <w:rFonts w:hint="eastAsia" w:ascii="仿宋_GB2312" w:hAnsi="仿宋_GB2312" w:cs="仿宋_GB2312"/>
          <w:color w:val="auto"/>
          <w:highlight w:val="none"/>
          <w:shd w:val="clear" w:fill="auto"/>
        </w:rPr>
        <w:t>“好房子”</w:t>
      </w:r>
      <w:r>
        <w:rPr>
          <w:rFonts w:hint="default"/>
          <w:color w:val="auto"/>
          <w:highlight w:val="none"/>
          <w:shd w:val="clear" w:fill="auto"/>
        </w:rPr>
        <w:t>建设由增量建设向存量提质延伸，</w:t>
      </w:r>
      <w:r>
        <w:rPr>
          <w:rFonts w:hint="default" w:cstheme="minorBidi"/>
          <w:color w:val="auto"/>
          <w:sz w:val="32"/>
          <w:szCs w:val="32"/>
          <w:highlight w:val="none"/>
          <w:lang w:val="en-US" w:eastAsia="zh-CN"/>
        </w:rPr>
        <w:t>支持</w:t>
      </w:r>
      <w:r>
        <w:rPr>
          <w:rFonts w:hint="default" w:ascii="Times New Roman" w:hAnsi="Times New Roman" w:eastAsia="仿宋_GB2312" w:cstheme="minorBidi"/>
          <w:color w:val="auto"/>
          <w:sz w:val="32"/>
          <w:szCs w:val="32"/>
          <w:highlight w:val="none"/>
        </w:rPr>
        <w:t>居民自主开展既有住房装修、局部功能升级，</w:t>
      </w:r>
      <w:r>
        <w:rPr>
          <w:rFonts w:hint="default" w:cstheme="minorBidi"/>
          <w:color w:val="auto"/>
          <w:sz w:val="32"/>
          <w:szCs w:val="32"/>
          <w:highlight w:val="none"/>
          <w:lang w:val="en-US" w:eastAsia="zh-CN"/>
        </w:rPr>
        <w:t>积极</w:t>
      </w:r>
      <w:r>
        <w:rPr>
          <w:rFonts w:hint="default" w:ascii="Times New Roman" w:hAnsi="Times New Roman" w:eastAsia="仿宋_GB2312" w:cstheme="minorBidi"/>
          <w:color w:val="auto"/>
          <w:sz w:val="32"/>
          <w:szCs w:val="32"/>
          <w:highlight w:val="none"/>
          <w:lang w:val="en-US" w:eastAsia="zh-CN"/>
        </w:rPr>
        <w:t>推</w:t>
      </w:r>
      <w:r>
        <w:rPr>
          <w:rFonts w:hint="default" w:cstheme="minorBidi"/>
          <w:color w:val="auto"/>
          <w:sz w:val="32"/>
          <w:szCs w:val="32"/>
          <w:highlight w:val="none"/>
          <w:lang w:val="en-US" w:eastAsia="zh-CN"/>
        </w:rPr>
        <w:t>广</w:t>
      </w:r>
      <w:r>
        <w:rPr>
          <w:rFonts w:hint="default" w:ascii="Times New Roman" w:hAnsi="Times New Roman" w:eastAsia="仿宋_GB2312" w:cstheme="minorBidi"/>
          <w:i w:val="0"/>
          <w:iCs w:val="0"/>
          <w:caps w:val="0"/>
          <w:color w:val="auto"/>
          <w:spacing w:val="0"/>
          <w:sz w:val="32"/>
          <w:szCs w:val="32"/>
          <w:highlight w:val="none"/>
          <w:shd w:val="clear"/>
        </w:rPr>
        <w:t>装配式装修和适老化、无障碍改造</w:t>
      </w:r>
      <w:r>
        <w:rPr>
          <w:rFonts w:hint="eastAsia" w:cstheme="minorBidi"/>
          <w:i w:val="0"/>
          <w:iCs w:val="0"/>
          <w:caps w:val="0"/>
          <w:color w:val="auto"/>
          <w:spacing w:val="0"/>
          <w:sz w:val="32"/>
          <w:szCs w:val="32"/>
          <w:highlight w:val="none"/>
          <w:shd w:val="clear"/>
          <w:lang w:eastAsia="zh-CN"/>
        </w:rPr>
        <w:t>。</w:t>
      </w:r>
      <w:r>
        <w:rPr>
          <w:rFonts w:hint="eastAsia"/>
          <w:color w:val="auto"/>
          <w:highlight w:val="none"/>
        </w:rPr>
        <w:t>在新建、改造住宅项目中开展数字家庭建设</w:t>
      </w:r>
      <w:r>
        <w:rPr>
          <w:rFonts w:hint="eastAsia"/>
          <w:color w:val="auto"/>
          <w:highlight w:val="none"/>
          <w:lang w:eastAsia="zh-CN"/>
        </w:rPr>
        <w:t>，</w:t>
      </w:r>
      <w:r>
        <w:rPr>
          <w:rFonts w:hint="eastAsia"/>
          <w:color w:val="auto"/>
          <w:highlight w:val="none"/>
          <w:lang w:val="en-US" w:eastAsia="zh-CN"/>
        </w:rPr>
        <w:t>鼓励配置智能家居产品，对传统家居产品进行数字化改造。</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2E16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6" w:type="dxa"/>
            <w:vAlign w:val="center"/>
          </w:tcPr>
          <w:p w14:paraId="0F3F85E5">
            <w:pPr>
              <w:widowControl w:val="0"/>
              <w:adjustRightInd w:val="0"/>
              <w:snapToGrid w:val="0"/>
              <w:spacing w:beforeLines="0" w:afterLines="0" w:line="240" w:lineRule="auto"/>
              <w:ind w:firstLine="0" w:firstLineChars="0"/>
              <w:jc w:val="center"/>
              <w:rPr>
                <w:rFonts w:hint="default" w:ascii="仿宋_GB2312" w:hAnsi="仿宋_GB2312" w:cs="仿宋_GB2312"/>
                <w:color w:val="auto"/>
                <w:sz w:val="28"/>
                <w:highlight w:val="none"/>
                <w:vertAlign w:val="baseline"/>
                <w:lang w:val="en-US" w:eastAsia="zh-CN"/>
              </w:rPr>
            </w:pPr>
            <w:r>
              <w:rPr>
                <w:rFonts w:hint="eastAsia" w:cs="仿宋_GB2312"/>
                <w:b/>
                <w:bCs/>
                <w:color w:val="auto"/>
                <w:sz w:val="28"/>
                <w:highlight w:val="none"/>
                <w:vertAlign w:val="baseline"/>
                <w:lang w:val="en-US" w:eastAsia="zh-CN"/>
              </w:rPr>
              <w:t>专栏</w:t>
            </w:r>
            <w:r>
              <w:rPr>
                <w:rFonts w:hint="default" w:ascii="Times New Roman" w:hAnsi="Times New Roman" w:cs="Times New Roman"/>
                <w:b/>
                <w:bCs/>
                <w:color w:val="auto"/>
                <w:sz w:val="28"/>
                <w:highlight w:val="none"/>
                <w:vertAlign w:val="baseline"/>
                <w:lang w:val="en-US" w:eastAsia="zh-CN"/>
              </w:rPr>
              <w:t>3</w:t>
            </w:r>
            <w:r>
              <w:rPr>
                <w:rFonts w:hint="eastAsia" w:cs="仿宋_GB2312"/>
                <w:b/>
                <w:bCs/>
                <w:color w:val="auto"/>
                <w:sz w:val="28"/>
                <w:highlight w:val="none"/>
                <w:vertAlign w:val="baseline"/>
                <w:lang w:val="en-US" w:eastAsia="zh-CN"/>
              </w:rPr>
              <w:t xml:space="preserve"> 高品质住宅样板打造工程</w:t>
            </w:r>
          </w:p>
        </w:tc>
      </w:tr>
      <w:tr w14:paraId="7E89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6" w:type="dxa"/>
            <w:vAlign w:val="center"/>
          </w:tcPr>
          <w:p w14:paraId="77F02D0C">
            <w:pPr>
              <w:widowControl/>
              <w:numPr>
                <w:ilvl w:val="0"/>
                <w:numId w:val="0"/>
              </w:numPr>
              <w:adjustRightInd/>
              <w:snapToGrid/>
              <w:spacing w:beforeLines="0" w:afterLines="0" w:line="600" w:lineRule="exact"/>
              <w:ind w:firstLine="640"/>
              <w:jc w:val="both"/>
              <w:rPr>
                <w:rFonts w:hint="eastAsia" w:ascii="仿宋_GB2312" w:hAnsi="仿宋_GB2312" w:cs="仿宋_GB2312"/>
                <w:color w:val="auto"/>
                <w:sz w:val="28"/>
                <w:szCs w:val="28"/>
                <w:highlight w:val="none"/>
              </w:rPr>
            </w:pPr>
            <w:r>
              <w:rPr>
                <w:rFonts w:hint="default" w:ascii="Times New Roman Bold" w:hAnsi="Times New Roman Bold" w:cs="Times New Roman Bold"/>
                <w:b/>
                <w:bCs w:val="0"/>
                <w:color w:val="auto"/>
                <w:sz w:val="28"/>
                <w:szCs w:val="32"/>
                <w:highlight w:val="none"/>
                <w:vertAlign w:val="baseline"/>
                <w:lang w:val="en-US" w:eastAsia="zh-CN"/>
              </w:rPr>
              <w:t>1.</w:t>
            </w:r>
            <w:r>
              <w:rPr>
                <w:rFonts w:hint="eastAsia" w:ascii="仿宋_GB2312" w:hAnsi="仿宋_GB2312" w:cs="仿宋_GB2312"/>
                <w:b/>
                <w:bCs/>
                <w:color w:val="auto"/>
                <w:sz w:val="28"/>
                <w:szCs w:val="28"/>
                <w:highlight w:val="none"/>
                <w:vertAlign w:val="baseline"/>
                <w:lang w:val="en-US" w:eastAsia="zh-CN"/>
              </w:rPr>
              <w:t>完善高品质住宅建设配套政策。</w:t>
            </w:r>
            <w:r>
              <w:rPr>
                <w:rFonts w:hint="eastAsia" w:ascii="仿宋_GB2312" w:hAnsi="仿宋_GB2312" w:cs="仿宋_GB2312"/>
                <w:color w:val="auto"/>
                <w:sz w:val="28"/>
                <w:szCs w:val="28"/>
                <w:highlight w:val="none"/>
                <w:lang w:val="en-US" w:eastAsia="zh-CN"/>
              </w:rPr>
              <w:t>联合</w:t>
            </w:r>
            <w:r>
              <w:rPr>
                <w:rFonts w:hint="eastAsia" w:ascii="仿宋_GB2312" w:hAnsi="仿宋_GB2312" w:cs="仿宋_GB2312"/>
                <w:color w:val="auto"/>
                <w:sz w:val="28"/>
                <w:szCs w:val="28"/>
                <w:highlight w:val="none"/>
              </w:rPr>
              <w:t>自然资源等部门制定湛江市</w:t>
            </w:r>
            <w:r>
              <w:rPr>
                <w:rFonts w:hint="eastAsia" w:ascii="仿宋_GB2312" w:hAnsi="仿宋_GB2312" w:cs="仿宋_GB2312"/>
                <w:color w:val="auto"/>
                <w:sz w:val="28"/>
                <w:szCs w:val="28"/>
                <w:highlight w:val="none"/>
                <w:lang w:val="en-US" w:eastAsia="zh-CN"/>
              </w:rPr>
              <w:t>高品质住宅规划建设相关政策</w:t>
            </w:r>
            <w:r>
              <w:rPr>
                <w:rFonts w:hint="eastAsia" w:ascii="仿宋_GB2312" w:hAnsi="仿宋_GB2312" w:cs="仿宋_GB2312"/>
                <w:b w:val="0"/>
                <w:bCs w:val="0"/>
                <w:color w:val="auto"/>
                <w:sz w:val="28"/>
                <w:szCs w:val="28"/>
                <w:highlight w:val="none"/>
                <w:vertAlign w:val="baseline"/>
                <w:lang w:val="en-US" w:eastAsia="zh-CN"/>
              </w:rPr>
              <w:t>。</w:t>
            </w:r>
            <w:r>
              <w:rPr>
                <w:rFonts w:hint="eastAsia" w:ascii="仿宋_GB2312" w:hAnsi="仿宋_GB2312" w:cs="仿宋_GB2312"/>
                <w:color w:val="auto"/>
                <w:sz w:val="28"/>
                <w:szCs w:val="28"/>
                <w:highlight w:val="none"/>
              </w:rPr>
              <w:t>聚焦</w:t>
            </w:r>
            <w:r>
              <w:rPr>
                <w:rFonts w:hint="eastAsia" w:ascii="仿宋_GB2312" w:hAnsi="仿宋_GB2312" w:cs="仿宋_GB2312"/>
                <w:color w:val="auto"/>
                <w:sz w:val="28"/>
                <w:szCs w:val="28"/>
                <w:highlight w:val="none"/>
                <w:lang w:val="en-US" w:eastAsia="zh-CN"/>
              </w:rPr>
              <w:t>安全、舒适、绿色、智慧</w:t>
            </w:r>
            <w:r>
              <w:rPr>
                <w:rFonts w:hint="eastAsia" w:ascii="仿宋_GB2312" w:hAnsi="仿宋_GB2312" w:cs="仿宋_GB2312"/>
                <w:color w:val="auto"/>
                <w:sz w:val="28"/>
                <w:szCs w:val="28"/>
                <w:highlight w:val="none"/>
              </w:rPr>
              <w:t>，落实绿色建筑星级、海绵城市建设等绿色建造要求</w:t>
            </w: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rPr>
              <w:t>优化住宅户型通风采光、动静分区布局，推广套内灵活可变户型，满足不同家庭人口结构全生命周期使用需求</w:t>
            </w: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lang w:val="en-US" w:eastAsia="zh-CN"/>
              </w:rPr>
              <w:t>结合</w:t>
            </w:r>
            <w:r>
              <w:rPr>
                <w:rFonts w:hint="eastAsia" w:ascii="仿宋_GB2312" w:hAnsi="仿宋_GB2312" w:cs="仿宋_GB2312"/>
                <w:color w:val="auto"/>
                <w:sz w:val="28"/>
                <w:szCs w:val="28"/>
                <w:highlight w:val="none"/>
              </w:rPr>
              <w:t>湛江高温高湿、台风多发、强降雨集中的气候特点，强化建筑遮阳隔热、墙体防潮防霉、外立面抗风防水等专项构造设计</w:t>
            </w: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rPr>
              <w:t>同步</w:t>
            </w:r>
            <w:r>
              <w:rPr>
                <w:rFonts w:hint="eastAsia" w:ascii="仿宋_GB2312" w:hAnsi="仿宋_GB2312" w:cs="仿宋_GB2312"/>
                <w:color w:val="auto"/>
                <w:sz w:val="28"/>
                <w:szCs w:val="28"/>
                <w:highlight w:val="none"/>
                <w:lang w:val="en-US" w:eastAsia="zh-CN"/>
              </w:rPr>
              <w:t>明确</w:t>
            </w:r>
            <w:r>
              <w:rPr>
                <w:rFonts w:hint="eastAsia" w:ascii="仿宋_GB2312" w:hAnsi="仿宋_GB2312" w:cs="仿宋_GB2312"/>
                <w:color w:val="auto"/>
                <w:sz w:val="28"/>
                <w:szCs w:val="28"/>
                <w:highlight w:val="none"/>
              </w:rPr>
              <w:t>社区配套服务用房、全龄活动场地、便民服务驿站等公共空间建设标准，对小区基础智慧安防、公共区域能耗监测等基础设施统一配置指引。</w:t>
            </w:r>
          </w:p>
          <w:p w14:paraId="0A3B71DB">
            <w:pPr>
              <w:widowControl/>
              <w:numPr>
                <w:ilvl w:val="0"/>
                <w:numId w:val="0"/>
              </w:numPr>
              <w:adjustRightInd/>
              <w:snapToGrid/>
              <w:spacing w:beforeLines="0" w:afterLines="0" w:line="600" w:lineRule="exact"/>
              <w:ind w:firstLine="640"/>
              <w:jc w:val="both"/>
              <w:rPr>
                <w:rFonts w:hint="eastAsia" w:ascii="仿宋_GB2312" w:hAnsi="仿宋_GB2312" w:cs="仿宋_GB2312"/>
                <w:color w:val="auto"/>
                <w:sz w:val="28"/>
                <w:szCs w:val="28"/>
                <w:highlight w:val="none"/>
              </w:rPr>
            </w:pPr>
            <w:r>
              <w:rPr>
                <w:rFonts w:hint="default" w:ascii="Times New Roman Bold" w:hAnsi="Times New Roman Bold" w:cs="Times New Roman Bold"/>
                <w:b/>
                <w:bCs w:val="0"/>
                <w:color w:val="auto"/>
                <w:sz w:val="28"/>
                <w:szCs w:val="32"/>
                <w:highlight w:val="none"/>
                <w:vertAlign w:val="baseline"/>
                <w:lang w:val="en-US" w:eastAsia="zh-CN"/>
              </w:rPr>
              <w:t>2.</w:t>
            </w:r>
            <w:r>
              <w:rPr>
                <w:rFonts w:hint="eastAsia" w:ascii="仿宋_GB2312" w:hAnsi="仿宋_GB2312" w:cs="仿宋_GB2312"/>
                <w:b/>
                <w:bCs/>
                <w:color w:val="auto"/>
                <w:sz w:val="28"/>
                <w:szCs w:val="28"/>
                <w:highlight w:val="none"/>
                <w:vertAlign w:val="baseline"/>
                <w:lang w:val="en-US" w:eastAsia="zh-CN"/>
              </w:rPr>
              <w:t>建设一批“好房子”项目。</w:t>
            </w:r>
            <w:r>
              <w:rPr>
                <w:rFonts w:hint="eastAsia" w:ascii="仿宋_GB2312" w:hAnsi="仿宋_GB2312" w:cs="仿宋_GB2312"/>
                <w:b w:val="0"/>
                <w:bCs w:val="0"/>
                <w:color w:val="auto"/>
                <w:sz w:val="28"/>
                <w:szCs w:val="28"/>
                <w:highlight w:val="none"/>
                <w:lang w:val="en-US" w:eastAsia="zh-CN"/>
              </w:rPr>
              <w:t>鼓励有条件的县（市、区）开展试点，遴选</w:t>
            </w:r>
            <w:r>
              <w:rPr>
                <w:rFonts w:hint="eastAsia" w:ascii="仿宋_GB2312" w:hAnsi="仿宋_GB2312" w:cs="仿宋_GB2312"/>
                <w:color w:val="auto"/>
                <w:sz w:val="28"/>
                <w:szCs w:val="28"/>
                <w:highlight w:val="none"/>
              </w:rPr>
              <w:t>一批</w:t>
            </w: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lang w:val="en-US" w:eastAsia="zh-CN"/>
              </w:rPr>
              <w:t>好房子</w:t>
            </w: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rPr>
              <w:t>示范项目，建立项目申报遴选、技术指导、过程监管、交付评估和成果总结机制，推动示范项目在规划设计、建筑性能、材料设备、施工质量、交付查验和物业运维等方面形成全过程示范。综合运用规划支持、审批服务、技术指导、行业评价和案例展示等方式，调动企业参与积极性。及时总结示范项目的技术做法、成本投入、居住体验和运维效果，形成可复制、可推广的建设模式，推动不同面积、不同价位、不同类型住房品质普遍提升。</w:t>
            </w:r>
          </w:p>
          <w:p w14:paraId="1ADA57D8">
            <w:pPr>
              <w:widowControl/>
              <w:numPr>
                <w:ilvl w:val="0"/>
                <w:numId w:val="0"/>
              </w:numPr>
              <w:adjustRightInd/>
              <w:snapToGrid/>
              <w:spacing w:beforeLines="0" w:afterLines="0" w:line="600" w:lineRule="exact"/>
              <w:ind w:firstLine="640"/>
              <w:jc w:val="both"/>
              <w:rPr>
                <w:rFonts w:hint="eastAsia" w:ascii="仿宋_GB2312" w:hAnsi="仿宋_GB2312" w:cs="仿宋_GB2312"/>
                <w:color w:val="auto"/>
                <w:sz w:val="28"/>
                <w:szCs w:val="28"/>
                <w:highlight w:val="none"/>
                <w:lang w:val="en-US" w:eastAsia="zh-CN"/>
              </w:rPr>
            </w:pPr>
            <w:r>
              <w:rPr>
                <w:rFonts w:hint="eastAsia" w:ascii="Times New Roman" w:hAnsi="Times New Roman" w:cs="Times New Roman"/>
                <w:b/>
                <w:bCs/>
                <w:color w:val="auto"/>
                <w:sz w:val="28"/>
                <w:szCs w:val="28"/>
                <w:highlight w:val="none"/>
                <w:lang w:val="en-US" w:eastAsia="zh-CN"/>
              </w:rPr>
              <w:t>3</w:t>
            </w:r>
            <w:r>
              <w:rPr>
                <w:rFonts w:hint="default" w:cs="Times New Roman"/>
                <w:b/>
                <w:bCs/>
                <w:color w:val="auto"/>
                <w:sz w:val="28"/>
                <w:szCs w:val="28"/>
                <w:highlight w:val="none"/>
              </w:rPr>
              <w:t>.</w:t>
            </w:r>
            <w:r>
              <w:rPr>
                <w:rFonts w:hint="eastAsia" w:ascii="仿宋_GB2312" w:hAnsi="仿宋_GB2312" w:cs="仿宋_GB2312"/>
                <w:b/>
                <w:bCs/>
                <w:color w:val="auto"/>
                <w:sz w:val="28"/>
                <w:szCs w:val="28"/>
                <w:highlight w:val="none"/>
              </w:rPr>
              <w:t>开展智慧住房技术应用示范。</w:t>
            </w:r>
            <w:r>
              <w:rPr>
                <w:rFonts w:hint="eastAsia" w:ascii="仿宋_GB2312" w:hAnsi="仿宋_GB2312" w:cs="仿宋_GB2312"/>
                <w:b w:val="0"/>
                <w:bCs w:val="0"/>
                <w:color w:val="auto"/>
                <w:sz w:val="28"/>
                <w:szCs w:val="28"/>
                <w:highlight w:val="none"/>
                <w:lang w:val="en-US" w:eastAsia="zh-CN"/>
              </w:rPr>
              <w:t>衔接</w:t>
            </w:r>
            <w:r>
              <w:rPr>
                <w:rFonts w:hint="eastAsia" w:ascii="仿宋_GB2312" w:hAnsi="仿宋_GB2312" w:cs="仿宋_GB2312"/>
                <w:b w:val="0"/>
                <w:bCs w:val="0"/>
                <w:color w:val="auto"/>
                <w:sz w:val="28"/>
                <w:szCs w:val="28"/>
                <w:highlight w:val="none"/>
              </w:rPr>
              <w:t>湛江市打造</w:t>
            </w:r>
            <w:r>
              <w:rPr>
                <w:rFonts w:hint="eastAsia" w:ascii="仿宋_GB2312" w:hAnsi="仿宋_GB2312" w:cs="仿宋_GB2312"/>
                <w:b w:val="0"/>
                <w:bCs w:val="0"/>
                <w:color w:val="auto"/>
                <w:sz w:val="28"/>
                <w:szCs w:val="28"/>
                <w:highlight w:val="none"/>
                <w:lang w:eastAsia="zh-CN"/>
              </w:rPr>
              <w:t>“</w:t>
            </w:r>
            <w:r>
              <w:rPr>
                <w:rFonts w:hint="default" w:ascii="Times New Roman" w:hAnsi="Times New Roman" w:cs="Times New Roman"/>
                <w:b w:val="0"/>
                <w:bCs w:val="0"/>
                <w:color w:val="auto"/>
                <w:sz w:val="28"/>
                <w:szCs w:val="28"/>
                <w:highlight w:val="none"/>
              </w:rPr>
              <w:t>AI</w:t>
            </w:r>
            <w:r>
              <w:rPr>
                <w:rFonts w:hint="eastAsia" w:ascii="仿宋_GB2312" w:hAnsi="仿宋_GB2312" w:cs="仿宋_GB2312"/>
                <w:b w:val="0"/>
                <w:bCs w:val="0"/>
                <w:color w:val="auto"/>
                <w:sz w:val="28"/>
                <w:szCs w:val="28"/>
                <w:highlight w:val="none"/>
              </w:rPr>
              <w:t xml:space="preserve"> 渗透之城</w:t>
            </w:r>
            <w:r>
              <w:rPr>
                <w:rFonts w:hint="eastAsia" w:ascii="仿宋_GB2312" w:hAnsi="仿宋_GB2312" w:cs="仿宋_GB2312"/>
                <w:b w:val="0"/>
                <w:bCs w:val="0"/>
                <w:color w:val="auto"/>
                <w:sz w:val="28"/>
                <w:szCs w:val="28"/>
                <w:highlight w:val="none"/>
                <w:lang w:eastAsia="zh-CN"/>
              </w:rPr>
              <w:t>”</w:t>
            </w:r>
            <w:r>
              <w:rPr>
                <w:rFonts w:hint="eastAsia" w:ascii="仿宋_GB2312" w:hAnsi="仿宋_GB2312" w:cs="仿宋_GB2312"/>
                <w:b w:val="0"/>
                <w:bCs w:val="0"/>
                <w:color w:val="auto"/>
                <w:sz w:val="28"/>
                <w:szCs w:val="28"/>
                <w:highlight w:val="none"/>
              </w:rPr>
              <w:t>工作部署，择优选取中心城区新建商品住房</w:t>
            </w:r>
            <w:r>
              <w:rPr>
                <w:rFonts w:hint="eastAsia" w:ascii="仿宋_GB2312" w:hAnsi="仿宋_GB2312" w:cs="仿宋_GB2312"/>
                <w:b w:val="0"/>
                <w:bCs w:val="0"/>
                <w:color w:val="auto"/>
                <w:sz w:val="28"/>
                <w:szCs w:val="28"/>
                <w:highlight w:val="none"/>
                <w:lang w:val="en-US" w:eastAsia="zh-CN"/>
              </w:rPr>
              <w:t>项目</w:t>
            </w:r>
            <w:r>
              <w:rPr>
                <w:rFonts w:hint="eastAsia" w:ascii="仿宋_GB2312" w:hAnsi="仿宋_GB2312" w:cs="仿宋_GB2312"/>
                <w:b w:val="0"/>
                <w:bCs w:val="0"/>
                <w:color w:val="auto"/>
                <w:sz w:val="28"/>
                <w:szCs w:val="28"/>
                <w:highlight w:val="none"/>
              </w:rPr>
              <w:t>打造智慧住宅技术</w:t>
            </w:r>
            <w:r>
              <w:rPr>
                <w:rFonts w:hint="eastAsia" w:ascii="仿宋_GB2312" w:hAnsi="仿宋_GB2312" w:cs="仿宋_GB2312"/>
                <w:b w:val="0"/>
                <w:bCs w:val="0"/>
                <w:color w:val="auto"/>
                <w:sz w:val="28"/>
                <w:szCs w:val="28"/>
                <w:highlight w:val="none"/>
                <w:lang w:val="en-US" w:eastAsia="zh-CN"/>
              </w:rPr>
              <w:t>应用示范</w:t>
            </w:r>
            <w:r>
              <w:rPr>
                <w:rFonts w:hint="eastAsia" w:ascii="仿宋_GB2312" w:hAnsi="仿宋_GB2312" w:cs="仿宋_GB2312"/>
                <w:b w:val="0"/>
                <w:bCs w:val="0"/>
                <w:color w:val="auto"/>
                <w:sz w:val="28"/>
                <w:szCs w:val="28"/>
                <w:highlight w:val="none"/>
              </w:rPr>
              <w:t>。</w:t>
            </w:r>
            <w:r>
              <w:rPr>
                <w:rFonts w:hint="eastAsia" w:ascii="仿宋_GB2312" w:hAnsi="仿宋_GB2312" w:cs="仿宋_GB2312"/>
                <w:b w:val="0"/>
                <w:bCs w:val="0"/>
                <w:color w:val="auto"/>
                <w:sz w:val="28"/>
                <w:szCs w:val="28"/>
                <w:highlight w:val="none"/>
                <w:lang w:val="en-US" w:eastAsia="zh-CN"/>
              </w:rPr>
              <w:t>探索</w:t>
            </w:r>
            <w:r>
              <w:rPr>
                <w:rFonts w:hint="default" w:ascii="Times New Roman" w:hAnsi="Times New Roman" w:cs="Times New Roman"/>
                <w:b w:val="0"/>
                <w:bCs w:val="0"/>
                <w:color w:val="auto"/>
                <w:sz w:val="28"/>
                <w:szCs w:val="28"/>
                <w:highlight w:val="none"/>
                <w:lang w:val="en-US" w:eastAsia="zh-CN"/>
              </w:rPr>
              <w:t>AI</w:t>
            </w:r>
            <w:r>
              <w:rPr>
                <w:rFonts w:hint="default" w:ascii="Times New Roman" w:hAnsi="Times New Roman" w:cs="Times New Roman"/>
                <w:b w:val="0"/>
                <w:bCs w:val="0"/>
                <w:color w:val="auto"/>
                <w:sz w:val="28"/>
                <w:szCs w:val="28"/>
                <w:highlight w:val="none"/>
              </w:rPr>
              <w:t>辅助方案</w:t>
            </w:r>
            <w:r>
              <w:rPr>
                <w:rFonts w:hint="default" w:ascii="Times New Roman" w:hAnsi="Times New Roman" w:cs="Times New Roman"/>
                <w:b w:val="0"/>
                <w:bCs w:val="0"/>
                <w:color w:val="auto"/>
                <w:sz w:val="28"/>
                <w:szCs w:val="28"/>
                <w:highlight w:val="none"/>
                <w:lang w:val="en-US" w:eastAsia="zh-CN"/>
              </w:rPr>
              <w:t>比选</w:t>
            </w:r>
            <w:r>
              <w:rPr>
                <w:rFonts w:hint="default" w:ascii="Times New Roman" w:hAnsi="Times New Roman" w:cs="Times New Roman"/>
                <w:b w:val="0"/>
                <w:bCs w:val="0"/>
                <w:color w:val="auto"/>
                <w:sz w:val="28"/>
                <w:szCs w:val="28"/>
                <w:highlight w:val="none"/>
              </w:rPr>
              <w:t>、</w:t>
            </w:r>
            <w:r>
              <w:rPr>
                <w:rFonts w:hint="default" w:ascii="Times New Roman" w:hAnsi="Times New Roman" w:cs="Times New Roman"/>
                <w:color w:val="auto"/>
                <w:sz w:val="28"/>
                <w:szCs w:val="28"/>
                <w:highlight w:val="none"/>
              </w:rPr>
              <w:t>建筑性能模拟和施工质量检查，推进BIM技术在</w:t>
            </w:r>
            <w:r>
              <w:rPr>
                <w:rFonts w:hint="eastAsia" w:ascii="仿宋_GB2312" w:hAnsi="仿宋_GB2312" w:cs="仿宋_GB2312"/>
                <w:color w:val="auto"/>
                <w:sz w:val="28"/>
                <w:szCs w:val="28"/>
                <w:highlight w:val="none"/>
              </w:rPr>
              <w:t>设计协同、施工管理、数字化交付和运营维护等环节应用。鼓励采用开放兼容的智能家居接口，按需配置室内温湿度智能调节、建筑能耗监测以及水、电、燃气、电梯、消防、充电设施故障预警等功能；结合湛江气候特点，探索台风暴雨预警、地下空间积水和排水设施运行监测等应用场景，为有需要的家庭预留或配置居家适老化安全监测设施。坚持成熟适用、经济合理、用户可选，开展示范项目应用效果和全生命周期成本评估，形成智慧住房应用场景清单和推广指引，成熟一项、推广一项。</w:t>
            </w:r>
          </w:p>
        </w:tc>
      </w:tr>
    </w:tbl>
    <w:p w14:paraId="2B3333DC">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2.不断提升物业管理服务水平。</w:t>
      </w:r>
    </w:p>
    <w:p w14:paraId="4836B35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3"/>
        <w:textAlignment w:val="auto"/>
        <w:rPr>
          <w:rFonts w:hint="eastAsia"/>
          <w:highlight w:val="none"/>
          <w:lang w:eastAsia="zh-CN"/>
        </w:rPr>
      </w:pPr>
      <w:r>
        <w:rPr>
          <w:rFonts w:hint="eastAsia" w:ascii="Times New Roman" w:hAnsi="Times New Roman"/>
          <w:highlight w:val="none"/>
          <w:lang w:val="en-US" w:eastAsia="zh-CN"/>
        </w:rPr>
        <w:t>贯彻实施《湛江市物业管理条例》，坚持</w:t>
      </w:r>
      <w:r>
        <w:rPr>
          <w:rFonts w:hint="eastAsia" w:ascii="Times New Roman" w:hAnsi="Times New Roman" w:eastAsia="仿宋_GB2312" w:cstheme="minorBidi"/>
          <w:i w:val="0"/>
          <w:iCs w:val="0"/>
          <w:caps w:val="0"/>
          <w:spacing w:val="0"/>
          <w:sz w:val="32"/>
          <w:szCs w:val="32"/>
          <w:highlight w:val="none"/>
          <w:shd w:val="clear"/>
        </w:rPr>
        <w:t>党建引领</w:t>
      </w:r>
      <w:r>
        <w:rPr>
          <w:rFonts w:hint="eastAsia" w:eastAsia="仿宋_GB2312"/>
          <w:highlight w:val="none"/>
          <w:lang w:eastAsia="zh-CN"/>
        </w:rPr>
        <w:t>，</w:t>
      </w:r>
      <w:r>
        <w:rPr>
          <w:rFonts w:hint="default"/>
          <w:highlight w:val="none"/>
          <w:lang w:val="en-US" w:eastAsia="zh-CN"/>
        </w:rPr>
        <w:t>将物业管理融入基层社会治理，健全基层党组织领导下居民委员会、业主委员会、物业服务人等多方主体协调运行机制</w:t>
      </w:r>
      <w:r>
        <w:rPr>
          <w:rFonts w:hint="default"/>
          <w:sz w:val="32"/>
          <w:szCs w:val="32"/>
          <w:highlight w:val="none"/>
          <w:lang w:val="en-US" w:eastAsia="zh-CN"/>
        </w:rPr>
        <w:t>，</w:t>
      </w:r>
      <w:r>
        <w:rPr>
          <w:rFonts w:hint="eastAsia"/>
          <w:sz w:val="32"/>
          <w:szCs w:val="32"/>
          <w:highlight w:val="none"/>
          <w:lang w:val="en-US" w:eastAsia="zh-CN"/>
        </w:rPr>
        <w:t>推动物业服务融入</w:t>
      </w:r>
      <w:r>
        <w:rPr>
          <w:rFonts w:hint="eastAsia" w:ascii="仿宋_GB2312" w:hAnsi="仿宋_GB2312"/>
          <w:sz w:val="32"/>
          <w:szCs w:val="32"/>
          <w:highlight w:val="none"/>
          <w:lang w:val="en-US" w:eastAsia="zh-CN"/>
        </w:rPr>
        <w:t>“</w:t>
      </w:r>
      <w:r>
        <w:rPr>
          <w:rFonts w:hint="default"/>
          <w:sz w:val="32"/>
          <w:szCs w:val="32"/>
          <w:highlight w:val="none"/>
          <w:lang w:val="en-US" w:eastAsia="zh-CN"/>
        </w:rPr>
        <w:t>两社三中心</w:t>
      </w:r>
      <w:r>
        <w:rPr>
          <w:rFonts w:hint="eastAsia" w:ascii="仿宋_GB2312" w:hAnsi="仿宋_GB2312"/>
          <w:sz w:val="32"/>
          <w:szCs w:val="32"/>
          <w:highlight w:val="none"/>
          <w:lang w:val="en-US" w:eastAsia="zh-CN"/>
        </w:rPr>
        <w:t>”</w:t>
      </w:r>
      <w:r>
        <w:rPr>
          <w:rFonts w:hint="default"/>
          <w:sz w:val="32"/>
          <w:szCs w:val="32"/>
          <w:highlight w:val="none"/>
          <w:lang w:val="en-US" w:eastAsia="zh-CN"/>
        </w:rPr>
        <w:t>建设</w:t>
      </w:r>
      <w:r>
        <w:rPr>
          <w:rStyle w:val="28"/>
          <w:rFonts w:hint="default"/>
          <w:sz w:val="32"/>
          <w:szCs w:val="32"/>
          <w:highlight w:val="none"/>
          <w:lang w:val="en-US" w:eastAsia="zh-CN"/>
        </w:rPr>
        <w:footnoteReference w:id="4"/>
      </w:r>
      <w:r>
        <w:rPr>
          <w:rFonts w:hint="eastAsia" w:ascii="Times New Roman" w:eastAsia="仿宋_GB2312"/>
          <w:sz w:val="32"/>
          <w:szCs w:val="32"/>
          <w:highlight w:val="none"/>
          <w:lang w:val="en-US" w:eastAsia="zh-CN"/>
        </w:rPr>
        <w:t>。</w:t>
      </w:r>
      <w:r>
        <w:rPr>
          <w:rFonts w:hint="eastAsia"/>
          <w:highlight w:val="none"/>
        </w:rPr>
        <w:t>持续整治物业服务领域突出问题，规范物业服务合同履行、收费公示、退出交接、业主共有资金和住宅专项维修资金管理</w:t>
      </w:r>
      <w:r>
        <w:rPr>
          <w:rFonts w:hint="eastAsia"/>
          <w:highlight w:val="none"/>
          <w:lang w:eastAsia="zh-CN"/>
        </w:rPr>
        <w:t>。</w:t>
      </w:r>
      <w:r>
        <w:rPr>
          <w:rFonts w:hint="eastAsia" w:hAnsi="宋体"/>
          <w:color w:val="000000"/>
          <w:kern w:val="0"/>
          <w:szCs w:val="32"/>
          <w:highlight w:val="none"/>
          <w:lang w:val="en-US" w:eastAsia="zh-CN" w:bidi="ar"/>
        </w:rPr>
        <w:t>鼓励引入专业化物业</w:t>
      </w:r>
      <w:r>
        <w:rPr>
          <w:rFonts w:hint="default" w:hAnsi="Times New Roman"/>
          <w:color w:val="auto"/>
          <w:kern w:val="2"/>
          <w:szCs w:val="32"/>
          <w:highlight w:val="none"/>
          <w:lang w:val="en-US" w:eastAsia="zh-CN" w:bidi="ar"/>
        </w:rPr>
        <w:t>服务，</w:t>
      </w:r>
      <w:r>
        <w:rPr>
          <w:rFonts w:hint="default" w:ascii="Times New Roman" w:hAnsi="Times New Roman" w:eastAsia="仿宋_GB2312" w:cstheme="minorBidi"/>
          <w:i w:val="0"/>
          <w:iCs w:val="0"/>
          <w:caps w:val="0"/>
          <w:color w:val="auto"/>
          <w:spacing w:val="0"/>
          <w:sz w:val="32"/>
          <w:szCs w:val="32"/>
          <w:highlight w:val="none"/>
          <w:shd w:val="clear" w:fill="auto"/>
        </w:rPr>
        <w:t>探索</w:t>
      </w:r>
      <w:r>
        <w:rPr>
          <w:rFonts w:hint="eastAsia" w:ascii="仿宋_GB2312" w:hAnsi="仿宋_GB2312" w:cstheme="minorBidi"/>
          <w:i w:val="0"/>
          <w:iCs w:val="0"/>
          <w:caps w:val="0"/>
          <w:color w:val="auto"/>
          <w:spacing w:val="0"/>
          <w:sz w:val="32"/>
          <w:szCs w:val="32"/>
          <w:highlight w:val="none"/>
          <w:shd w:val="clear" w:fill="auto"/>
          <w:lang w:eastAsia="zh-CN"/>
        </w:rPr>
        <w:t>“</w:t>
      </w:r>
      <w:r>
        <w:rPr>
          <w:rFonts w:hint="default" w:ascii="Times New Roman" w:hAnsi="Times New Roman" w:eastAsia="仿宋_GB2312" w:cstheme="minorBidi"/>
          <w:i w:val="0"/>
          <w:iCs w:val="0"/>
          <w:caps w:val="0"/>
          <w:color w:val="auto"/>
          <w:spacing w:val="0"/>
          <w:sz w:val="32"/>
          <w:szCs w:val="32"/>
          <w:highlight w:val="none"/>
          <w:shd w:val="clear" w:fill="auto"/>
        </w:rPr>
        <w:t>物业服务+生活服务</w:t>
      </w:r>
      <w:r>
        <w:rPr>
          <w:rFonts w:hint="eastAsia" w:ascii="仿宋_GB2312" w:hAnsi="仿宋_GB2312" w:cstheme="minorBidi"/>
          <w:i w:val="0"/>
          <w:iCs w:val="0"/>
          <w:caps w:val="0"/>
          <w:color w:val="auto"/>
          <w:spacing w:val="0"/>
          <w:sz w:val="32"/>
          <w:szCs w:val="32"/>
          <w:highlight w:val="none"/>
          <w:shd w:val="clear" w:fill="auto"/>
          <w:lang w:eastAsia="zh-CN"/>
        </w:rPr>
        <w:t>”</w:t>
      </w:r>
      <w:r>
        <w:rPr>
          <w:rFonts w:hint="default" w:ascii="Times New Roman" w:hAnsi="Times New Roman" w:eastAsia="仿宋_GB2312" w:cstheme="minorBidi"/>
          <w:i w:val="0"/>
          <w:iCs w:val="0"/>
          <w:caps w:val="0"/>
          <w:color w:val="auto"/>
          <w:spacing w:val="0"/>
          <w:sz w:val="32"/>
          <w:szCs w:val="32"/>
          <w:highlight w:val="none"/>
          <w:shd w:val="clear" w:fill="auto"/>
        </w:rPr>
        <w:t>模式</w:t>
      </w:r>
      <w:r>
        <w:rPr>
          <w:rFonts w:hint="default" w:cstheme="minorBidi"/>
          <w:i w:val="0"/>
          <w:iCs w:val="0"/>
          <w:caps w:val="0"/>
          <w:color w:val="auto"/>
          <w:spacing w:val="0"/>
          <w:sz w:val="32"/>
          <w:szCs w:val="32"/>
          <w:highlight w:val="none"/>
          <w:shd w:val="clear" w:fill="auto"/>
          <w:lang w:eastAsia="zh-CN"/>
        </w:rPr>
        <w:t>，</w:t>
      </w:r>
      <w:r>
        <w:rPr>
          <w:rFonts w:hint="default"/>
          <w:highlight w:val="none"/>
        </w:rPr>
        <w:t>将物业管理从基础的</w:t>
      </w:r>
      <w:r>
        <w:rPr>
          <w:rFonts w:hint="eastAsia" w:ascii="仿宋_GB2312" w:hAnsi="仿宋_GB2312"/>
          <w:highlight w:val="none"/>
          <w:lang w:eastAsia="zh-CN"/>
        </w:rPr>
        <w:t>“</w:t>
      </w:r>
      <w:r>
        <w:rPr>
          <w:rFonts w:hint="default"/>
          <w:highlight w:val="none"/>
        </w:rPr>
        <w:t>四保</w:t>
      </w:r>
      <w:r>
        <w:rPr>
          <w:rFonts w:hint="eastAsia" w:ascii="仿宋_GB2312" w:hAnsi="仿宋_GB2312"/>
          <w:highlight w:val="none"/>
          <w:lang w:eastAsia="zh-CN"/>
        </w:rPr>
        <w:t>”</w:t>
      </w:r>
      <w:r>
        <w:rPr>
          <w:rFonts w:hint="default"/>
          <w:highlight w:val="none"/>
        </w:rPr>
        <w:t>服务，延伸到社区养老、托幼、</w:t>
      </w:r>
      <w:r>
        <w:rPr>
          <w:rFonts w:hint="default"/>
          <w:color w:val="auto"/>
          <w:highlight w:val="none"/>
        </w:rPr>
        <w:t>家政、零售等多元</w:t>
      </w:r>
      <w:r>
        <w:rPr>
          <w:rFonts w:hint="default"/>
          <w:highlight w:val="none"/>
        </w:rPr>
        <w:t>化</w:t>
      </w:r>
      <w:r>
        <w:rPr>
          <w:rFonts w:hint="default"/>
          <w:highlight w:val="none"/>
          <w:lang w:bidi="ar"/>
        </w:rPr>
        <w:t>增值服务</w:t>
      </w:r>
      <w:r>
        <w:rPr>
          <w:rFonts w:hint="default"/>
          <w:highlight w:val="none"/>
          <w:lang w:eastAsia="zh-CN" w:bidi="ar"/>
        </w:rPr>
        <w:t>，</w:t>
      </w:r>
      <w:r>
        <w:rPr>
          <w:rFonts w:ascii="Times New Roman" w:hAnsi="Times New Roman" w:eastAsia="仿宋_GB2312" w:cstheme="minorBidi"/>
          <w:sz w:val="32"/>
          <w:szCs w:val="32"/>
          <w:highlight w:val="none"/>
        </w:rPr>
        <w:t>打造分层级、精细化的社区服务矩阵</w:t>
      </w:r>
      <w:r>
        <w:rPr>
          <w:rFonts w:hint="default"/>
          <w:highlight w:val="none"/>
          <w:lang w:eastAsia="zh-CN" w:bidi="ar"/>
        </w:rPr>
        <w:t>。</w:t>
      </w:r>
      <w:r>
        <w:rPr>
          <w:rFonts w:hint="eastAsia" w:ascii="Times New Roman" w:hAnsi="Times New Roman" w:eastAsia="仿宋_GB2312" w:cstheme="minorBidi"/>
          <w:sz w:val="32"/>
          <w:szCs w:val="32"/>
          <w:highlight w:val="none"/>
        </w:rPr>
        <w:t>对暂无法引入专业物业服务的</w:t>
      </w:r>
      <w:r>
        <w:rPr>
          <w:rFonts w:hint="default" w:hAnsi="Times New Roman"/>
          <w:color w:val="auto"/>
          <w:kern w:val="2"/>
          <w:szCs w:val="32"/>
          <w:highlight w:val="none"/>
          <w:lang w:val="en-US" w:eastAsia="zh-CN" w:bidi="ar"/>
        </w:rPr>
        <w:t>社区，引导</w:t>
      </w:r>
      <w:r>
        <w:rPr>
          <w:rFonts w:hint="eastAsia" w:hAnsi="宋体"/>
          <w:color w:val="000000"/>
          <w:kern w:val="0"/>
          <w:szCs w:val="32"/>
          <w:highlight w:val="none"/>
          <w:lang w:val="en-US" w:eastAsia="zh-CN" w:bidi="ar"/>
        </w:rPr>
        <w:t>采取社区托管、社会组织代管或居民自管等方式，提高物业管理覆盖率</w:t>
      </w:r>
      <w:r>
        <w:rPr>
          <w:rStyle w:val="28"/>
          <w:rFonts w:hint="eastAsia" w:hAnsi="宋体"/>
          <w:color w:val="000000"/>
          <w:kern w:val="0"/>
          <w:szCs w:val="32"/>
          <w:highlight w:val="none"/>
          <w:lang w:val="en-US" w:eastAsia="zh-CN" w:bidi="ar"/>
        </w:rPr>
        <w:footnoteReference w:id="5"/>
      </w:r>
      <w:r>
        <w:rPr>
          <w:rFonts w:hint="eastAsia" w:hAnsi="宋体"/>
          <w:color w:val="000000"/>
          <w:kern w:val="0"/>
          <w:szCs w:val="32"/>
          <w:highlight w:val="none"/>
          <w:lang w:val="en-US" w:eastAsia="zh-CN" w:bidi="ar"/>
        </w:rPr>
        <w:t>。</w:t>
      </w:r>
      <w:r>
        <w:rPr>
          <w:rFonts w:hint="eastAsia"/>
          <w:sz w:val="32"/>
          <w:szCs w:val="32"/>
          <w:highlight w:val="none"/>
          <w:lang w:val="en-US" w:eastAsia="zh-CN"/>
        </w:rPr>
        <w:t>完善</w:t>
      </w:r>
      <w:r>
        <w:rPr>
          <w:rFonts w:hint="eastAsia"/>
          <w:highlight w:val="none"/>
        </w:rPr>
        <w:t>全市智慧物业平台</w:t>
      </w:r>
      <w:r>
        <w:rPr>
          <w:rFonts w:hint="eastAsia"/>
          <w:highlight w:val="none"/>
          <w:lang w:val="en-US" w:eastAsia="zh-CN"/>
        </w:rPr>
        <w:t>功能</w:t>
      </w:r>
      <w:r>
        <w:rPr>
          <w:rFonts w:hint="eastAsia"/>
          <w:highlight w:val="none"/>
          <w:lang w:eastAsia="zh-CN"/>
        </w:rPr>
        <w:t>，</w:t>
      </w:r>
      <w:r>
        <w:rPr>
          <w:rFonts w:hint="eastAsia"/>
          <w:highlight w:val="none"/>
          <w:lang w:val="en-US" w:eastAsia="zh-CN"/>
        </w:rPr>
        <w:t>扩大平台应用覆盖</w:t>
      </w:r>
      <w:r>
        <w:rPr>
          <w:rFonts w:hint="eastAsia"/>
          <w:highlight w:val="none"/>
          <w:lang w:eastAsia="zh-CN"/>
        </w:rPr>
        <w:t>。</w:t>
      </w:r>
    </w:p>
    <w:p w14:paraId="054F32A0">
      <w:pPr>
        <w:keepNext w:val="0"/>
        <w:keepLines w:val="0"/>
        <w:pageBreakBefore w:val="0"/>
        <w:widowControl/>
        <w:kinsoku/>
        <w:wordWrap/>
        <w:overflowPunct/>
        <w:topLinePunct w:val="0"/>
        <w:autoSpaceDE/>
        <w:autoSpaceDN/>
        <w:bidi w:val="0"/>
        <w:adjustRightInd/>
        <w:snapToGrid/>
        <w:spacing w:beforeLines="-2147483648" w:afterLines="-2147483648" w:line="240" w:lineRule="auto"/>
        <w:ind w:firstLine="0"/>
        <w:textAlignment w:val="auto"/>
        <w:rPr>
          <w:rFonts w:hint="eastAsia"/>
          <w:highlight w:val="none"/>
          <w:lang w:eastAsia="zh-CN"/>
        </w:rPr>
      </w:pPr>
      <w:r>
        <w:rPr>
          <w:rFonts w:hint="eastAsia"/>
          <w:highlight w:val="none"/>
          <w:lang w:eastAsia="zh-CN"/>
        </w:rPr>
        <w:br w:type="page"/>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7363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tcPr>
          <w:p w14:paraId="2B12BAC2">
            <w:pPr>
              <w:suppressLineNumbers w:val="0"/>
              <w:spacing w:before="0" w:beforeLines="0" w:beforeAutospacing="0" w:after="0" w:afterLines="0" w:afterAutospacing="0" w:line="240" w:lineRule="auto"/>
              <w:ind w:right="0" w:firstLine="0" w:firstLineChars="0"/>
              <w:jc w:val="center"/>
              <w:rPr>
                <w:rFonts w:hint="default" w:ascii="Times New Roman" w:hAnsi="Times New Roman" w:eastAsia="黑体" w:cs="黑体"/>
                <w:highlight w:val="none"/>
                <w:lang w:val="en-US"/>
              </w:rPr>
            </w:pPr>
            <w:r>
              <w:rPr>
                <w:rFonts w:hint="eastAsia" w:ascii="Times New Roman" w:hAnsi="Times New Roman" w:cs="仿宋_GB2312"/>
                <w:b/>
                <w:bCs/>
                <w:color w:val="auto"/>
                <w:sz w:val="28"/>
                <w:highlight w:val="none"/>
                <w:vertAlign w:val="baseline"/>
                <w:lang w:val="en-US" w:eastAsia="zh-CN"/>
              </w:rPr>
              <w:t>专栏4：物业服务</w:t>
            </w:r>
            <w:r>
              <w:rPr>
                <w:rFonts w:hint="eastAsia" w:cs="仿宋_GB2312"/>
                <w:b/>
                <w:bCs/>
                <w:color w:val="auto"/>
                <w:sz w:val="28"/>
                <w:highlight w:val="none"/>
                <w:vertAlign w:val="baseline"/>
                <w:lang w:val="en-US" w:eastAsia="zh-CN"/>
              </w:rPr>
              <w:t>质量</w:t>
            </w:r>
            <w:r>
              <w:rPr>
                <w:rFonts w:hint="eastAsia" w:ascii="Times New Roman" w:hAnsi="Times New Roman" w:cs="仿宋_GB2312"/>
                <w:b/>
                <w:bCs/>
                <w:color w:val="auto"/>
                <w:sz w:val="28"/>
                <w:highlight w:val="none"/>
                <w:vertAlign w:val="baseline"/>
                <w:lang w:val="en-US" w:eastAsia="zh-CN"/>
              </w:rPr>
              <w:t>提升工程</w:t>
            </w:r>
          </w:p>
        </w:tc>
      </w:tr>
      <w:tr w14:paraId="04FC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shd w:val="clear" w:color="auto" w:fill="auto"/>
            <w:vAlign w:val="top"/>
          </w:tcPr>
          <w:p w14:paraId="0592AB20">
            <w:pPr>
              <w:numPr>
                <w:ilvl w:val="-1"/>
                <w:numId w:val="0"/>
              </w:numPr>
              <w:suppressLineNumbers w:val="0"/>
              <w:spacing w:before="0" w:beforeLines="0" w:beforeAutospacing="0" w:after="0" w:afterLines="0" w:afterAutospacing="0" w:line="600" w:lineRule="exact"/>
              <w:ind w:right="0" w:firstLine="640"/>
              <w:rPr>
                <w:rFonts w:ascii="宋体" w:hAnsi="宋体" w:eastAsia="宋体" w:cs="宋体"/>
                <w:sz w:val="24"/>
                <w:szCs w:val="24"/>
                <w:highlight w:val="none"/>
              </w:rPr>
            </w:pPr>
            <w:r>
              <w:rPr>
                <w:rFonts w:hint="default" w:ascii="Times New Roman Bold" w:hAnsi="Times New Roman Bold" w:cs="Times New Roman Bold"/>
                <w:b/>
                <w:bCs w:val="0"/>
                <w:color w:val="auto"/>
                <w:sz w:val="28"/>
                <w:szCs w:val="32"/>
                <w:highlight w:val="none"/>
                <w:lang w:val="en-US" w:eastAsia="zh-CN"/>
              </w:rPr>
              <w:t>1.</w:t>
            </w:r>
            <w:r>
              <w:rPr>
                <w:rFonts w:hint="eastAsia" w:ascii="仿宋_GB2312" w:hAnsi="仿宋_GB2312" w:cs="仿宋_GB2312"/>
                <w:b/>
                <w:bCs/>
                <w:color w:val="auto"/>
                <w:sz w:val="28"/>
                <w:szCs w:val="28"/>
                <w:highlight w:val="none"/>
              </w:rPr>
              <w:t>物业管理</w:t>
            </w:r>
            <w:r>
              <w:rPr>
                <w:rFonts w:hint="eastAsia" w:ascii="仿宋_GB2312" w:hAnsi="仿宋_GB2312" w:cs="仿宋_GB2312"/>
                <w:b/>
                <w:bCs/>
                <w:color w:val="auto"/>
                <w:sz w:val="28"/>
                <w:szCs w:val="28"/>
                <w:highlight w:val="none"/>
                <w:lang w:val="en-US" w:eastAsia="zh-CN"/>
              </w:rPr>
              <w:t>深度融入</w:t>
            </w:r>
            <w:r>
              <w:rPr>
                <w:rFonts w:hint="eastAsia" w:ascii="仿宋_GB2312" w:hAnsi="仿宋_GB2312" w:cs="仿宋_GB2312"/>
                <w:b/>
                <w:bCs/>
                <w:color w:val="auto"/>
                <w:sz w:val="28"/>
                <w:szCs w:val="28"/>
                <w:highlight w:val="none"/>
              </w:rPr>
              <w:t>基层社区治理</w:t>
            </w:r>
            <w:r>
              <w:rPr>
                <w:rFonts w:hint="eastAsia" w:ascii="仿宋_GB2312" w:hAnsi="仿宋_GB2312" w:cs="仿宋_GB2312"/>
                <w:b/>
                <w:bCs/>
                <w:color w:val="auto"/>
                <w:sz w:val="28"/>
                <w:szCs w:val="28"/>
                <w:highlight w:val="none"/>
                <w:lang w:eastAsia="zh-CN"/>
              </w:rPr>
              <w:t>。</w:t>
            </w:r>
            <w:r>
              <w:rPr>
                <w:rFonts w:hint="eastAsia" w:ascii="仿宋_GB2312" w:hAnsi="仿宋_GB2312" w:eastAsia="仿宋_GB2312" w:cs="仿宋_GB2312"/>
                <w:b w:val="0"/>
                <w:bCs w:val="0"/>
                <w:color w:val="auto"/>
                <w:sz w:val="28"/>
                <w:szCs w:val="28"/>
                <w:highlight w:val="none"/>
              </w:rPr>
              <w:t>加快推动业主委员会、物业服务企业应建尽建党组织</w:t>
            </w:r>
            <w:r>
              <w:rPr>
                <w:rFonts w:hint="eastAsia" w:ascii="仿宋_GB2312" w:hAnsi="仿宋_GB2312" w:eastAsia="仿宋_GB2312" w:cs="仿宋_GB2312"/>
                <w:color w:val="auto"/>
                <w:sz w:val="28"/>
                <w:szCs w:val="28"/>
                <w:highlight w:val="none"/>
              </w:rPr>
              <w:t>，探索</w:t>
            </w:r>
            <w:r>
              <w:rPr>
                <w:rFonts w:hint="eastAsia" w:ascii="仿宋_GB2312" w:hAnsi="仿宋_GB2312" w:eastAsia="仿宋_GB2312" w:cs="仿宋_GB2312"/>
                <w:b w:val="0"/>
                <w:bCs w:val="0"/>
                <w:color w:val="auto"/>
                <w:sz w:val="28"/>
                <w:szCs w:val="28"/>
                <w:highlight w:val="none"/>
              </w:rPr>
              <w:t>党建引领</w:t>
            </w:r>
            <w:r>
              <w:rPr>
                <w:rFonts w:hint="eastAsia" w:ascii="仿宋_GB2312" w:hAnsi="仿宋_GB2312" w:eastAsia="仿宋_GB2312" w:cs="仿宋_GB2312"/>
                <w:b w:val="0"/>
                <w:bCs w:val="0"/>
                <w:color w:val="auto"/>
                <w:sz w:val="28"/>
                <w:szCs w:val="28"/>
                <w:highlight w:val="none"/>
                <w:lang w:val="en-US" w:eastAsia="zh-CN"/>
              </w:rPr>
              <w:t>下</w:t>
            </w:r>
            <w:r>
              <w:rPr>
                <w:rFonts w:hint="eastAsia" w:ascii="仿宋_GB2312" w:hAnsi="仿宋_GB2312" w:eastAsia="仿宋_GB2312" w:cs="仿宋_GB2312"/>
                <w:b w:val="0"/>
                <w:bCs w:val="0"/>
                <w:color w:val="auto"/>
                <w:sz w:val="28"/>
                <w:szCs w:val="28"/>
                <w:highlight w:val="none"/>
              </w:rPr>
              <w:t>社区、物业、业委会三方协同共治机制</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eastAsia="仿宋_GB2312" w:cs="仿宋_GB2312"/>
                <w:color w:val="auto"/>
                <w:sz w:val="28"/>
                <w:szCs w:val="28"/>
                <w:highlight w:val="none"/>
              </w:rPr>
              <w:t>完善常态化议事协商、联合处置、问题督办工作流程</w:t>
            </w:r>
            <w:r>
              <w:rPr>
                <w:rFonts w:hint="eastAsia" w:ascii="仿宋_GB2312" w:hAnsi="仿宋_GB2312" w:eastAsia="仿宋_GB2312" w:cs="仿宋_GB2312"/>
                <w:b w:val="0"/>
                <w:bCs w:val="0"/>
                <w:color w:val="auto"/>
                <w:sz w:val="28"/>
                <w:szCs w:val="28"/>
                <w:highlight w:val="none"/>
                <w:lang w:eastAsia="zh-CN"/>
              </w:rPr>
              <w:t>。</w:t>
            </w:r>
            <w:r>
              <w:rPr>
                <w:rFonts w:hint="eastAsia" w:ascii="仿宋_GB2312" w:hAnsi="仿宋_GB2312" w:cs="仿宋_GB2312"/>
                <w:b w:val="0"/>
                <w:bCs w:val="0"/>
                <w:color w:val="auto"/>
                <w:sz w:val="28"/>
                <w:szCs w:val="28"/>
                <w:highlight w:val="none"/>
                <w:lang w:val="en-US" w:eastAsia="zh-CN"/>
              </w:rPr>
              <w:t>加快</w:t>
            </w:r>
            <w:r>
              <w:rPr>
                <w:rFonts w:hint="eastAsia" w:ascii="仿宋_GB2312" w:hAnsi="仿宋_GB2312" w:eastAsia="仿宋_GB2312" w:cs="仿宋_GB2312"/>
                <w:i w:val="0"/>
                <w:iCs w:val="0"/>
                <w:caps w:val="0"/>
                <w:color w:val="auto"/>
                <w:spacing w:val="0"/>
                <w:sz w:val="28"/>
                <w:szCs w:val="28"/>
                <w:highlight w:val="none"/>
                <w:shd w:val="clear"/>
              </w:rPr>
              <w:t>在物业领域建立</w:t>
            </w:r>
            <w:r>
              <w:rPr>
                <w:rFonts w:hint="eastAsia" w:ascii="仿宋_GB2312" w:hAnsi="仿宋_GB2312" w:cs="仿宋_GB2312"/>
                <w:i w:val="0"/>
                <w:iCs w:val="0"/>
                <w:caps w:val="0"/>
                <w:color w:val="auto"/>
                <w:spacing w:val="0"/>
                <w:sz w:val="28"/>
                <w:szCs w:val="28"/>
                <w:highlight w:val="none"/>
                <w:shd w:val="clear"/>
                <w:lang w:eastAsia="zh-CN"/>
              </w:rPr>
              <w:t>“</w:t>
            </w:r>
            <w:r>
              <w:rPr>
                <w:rFonts w:hint="eastAsia" w:ascii="仿宋_GB2312" w:hAnsi="仿宋_GB2312" w:eastAsia="仿宋_GB2312" w:cs="仿宋_GB2312"/>
                <w:i w:val="0"/>
                <w:iCs w:val="0"/>
                <w:caps w:val="0"/>
                <w:color w:val="auto"/>
                <w:spacing w:val="0"/>
                <w:sz w:val="28"/>
                <w:szCs w:val="28"/>
                <w:highlight w:val="none"/>
                <w:shd w:val="clear"/>
              </w:rPr>
              <w:t>红黑榜</w:t>
            </w:r>
            <w:r>
              <w:rPr>
                <w:rFonts w:hint="eastAsia" w:ascii="仿宋_GB2312" w:hAnsi="仿宋_GB2312" w:cs="仿宋_GB2312"/>
                <w:i w:val="0"/>
                <w:iCs w:val="0"/>
                <w:caps w:val="0"/>
                <w:color w:val="auto"/>
                <w:spacing w:val="0"/>
                <w:sz w:val="28"/>
                <w:szCs w:val="28"/>
                <w:highlight w:val="none"/>
                <w:shd w:val="clear"/>
                <w:lang w:eastAsia="zh-CN"/>
              </w:rPr>
              <w:t>”</w:t>
            </w:r>
            <w:r>
              <w:rPr>
                <w:rFonts w:hint="eastAsia" w:ascii="仿宋_GB2312" w:hAnsi="仿宋_GB2312" w:eastAsia="仿宋_GB2312" w:cs="仿宋_GB2312"/>
                <w:i w:val="0"/>
                <w:iCs w:val="0"/>
                <w:caps w:val="0"/>
                <w:color w:val="auto"/>
                <w:spacing w:val="0"/>
                <w:sz w:val="28"/>
                <w:szCs w:val="28"/>
                <w:highlight w:val="none"/>
                <w:shd w:val="clear"/>
              </w:rPr>
              <w:t>机制，指导小区制定《业主管理规约》，</w:t>
            </w:r>
            <w:r>
              <w:rPr>
                <w:rFonts w:hint="eastAsia" w:ascii="仿宋_GB2312" w:hAnsi="仿宋_GB2312" w:eastAsia="仿宋_GB2312" w:cs="仿宋_GB2312"/>
                <w:b w:val="0"/>
                <w:bCs w:val="0"/>
                <w:color w:val="auto"/>
                <w:sz w:val="28"/>
                <w:szCs w:val="28"/>
                <w:highlight w:val="none"/>
              </w:rPr>
              <w:t>通过行业自律和部门监管双向发力，切实提升物业领域治理水平。</w:t>
            </w:r>
            <w:r>
              <w:rPr>
                <w:rFonts w:hint="eastAsia" w:ascii="仿宋_GB2312" w:hAnsi="仿宋_GB2312" w:eastAsia="仿宋_GB2312" w:cs="仿宋_GB2312"/>
                <w:i w:val="0"/>
                <w:iCs w:val="0"/>
                <w:caps w:val="0"/>
                <w:color w:val="auto"/>
                <w:spacing w:val="0"/>
                <w:sz w:val="28"/>
                <w:szCs w:val="28"/>
                <w:highlight w:val="none"/>
                <w:shd w:val="clear"/>
              </w:rPr>
              <w:t>建立住宅小区最小纠纷调处单元工作机制，</w:t>
            </w:r>
            <w:r>
              <w:rPr>
                <w:rFonts w:hint="eastAsia" w:ascii="仿宋_GB2312" w:hAnsi="仿宋_GB2312" w:eastAsia="仿宋_GB2312" w:cs="仿宋_GB2312"/>
                <w:color w:val="auto"/>
                <w:sz w:val="28"/>
                <w:szCs w:val="28"/>
                <w:highlight w:val="none"/>
              </w:rPr>
              <w:t>推广廉江</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和家工作室</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、霞山</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红色港湾</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等本地经验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i w:val="0"/>
                <w:iCs w:val="0"/>
                <w:caps w:val="0"/>
                <w:color w:val="auto"/>
                <w:spacing w:val="0"/>
                <w:sz w:val="28"/>
                <w:szCs w:val="28"/>
                <w:highlight w:val="none"/>
                <w:shd w:val="clear"/>
              </w:rPr>
              <w:t>力争实现群众诉求早发现、早化解、早控制、早处理</w:t>
            </w:r>
            <w:r>
              <w:rPr>
                <w:rFonts w:hint="eastAsia" w:ascii="仿宋_GB2312" w:hAnsi="仿宋_GB2312" w:eastAsia="仿宋_GB2312" w:cs="仿宋_GB2312"/>
                <w:i w:val="0"/>
                <w:iCs w:val="0"/>
                <w:caps w:val="0"/>
                <w:color w:val="auto"/>
                <w:spacing w:val="0"/>
                <w:sz w:val="28"/>
                <w:szCs w:val="28"/>
                <w:highlight w:val="none"/>
                <w:shd w:val="clear"/>
                <w:lang w:eastAsia="zh-CN"/>
              </w:rPr>
              <w:t>。</w:t>
            </w:r>
          </w:p>
          <w:p w14:paraId="3A8E0261">
            <w:pPr>
              <w:numPr>
                <w:ilvl w:val="-1"/>
                <w:numId w:val="0"/>
              </w:numPr>
              <w:suppressLineNumbers w:val="0"/>
              <w:spacing w:before="0" w:beforeLines="0" w:beforeAutospacing="0" w:after="0" w:afterLines="0" w:afterAutospacing="0" w:line="600" w:lineRule="exact"/>
              <w:ind w:right="0" w:firstLine="640"/>
              <w:rPr>
                <w:rFonts w:hint="default" w:ascii="仿宋_GB2312" w:hAnsi="仿宋_GB2312" w:eastAsia="仿宋_GB2312" w:cs="仿宋_GB2312"/>
                <w:color w:val="auto"/>
                <w:sz w:val="28"/>
                <w:szCs w:val="28"/>
                <w:highlight w:val="none"/>
                <w:lang w:val="en-US" w:eastAsia="zh-CN"/>
              </w:rPr>
            </w:pPr>
            <w:r>
              <w:rPr>
                <w:rFonts w:hint="default" w:ascii="Times New Roman Bold" w:hAnsi="Times New Roman Bold" w:cs="Times New Roman Bold"/>
                <w:b/>
                <w:bCs w:val="0"/>
                <w:color w:val="auto"/>
                <w:sz w:val="28"/>
                <w:szCs w:val="32"/>
                <w:highlight w:val="none"/>
                <w:lang w:val="en-US" w:eastAsia="zh-CN"/>
              </w:rPr>
              <w:t>2.</w:t>
            </w:r>
            <w:r>
              <w:rPr>
                <w:rFonts w:hint="eastAsia" w:ascii="仿宋_GB2312" w:hAnsi="仿宋_GB2312" w:cs="仿宋_GB2312"/>
                <w:b/>
                <w:bCs/>
                <w:color w:val="auto"/>
                <w:sz w:val="28"/>
                <w:szCs w:val="28"/>
                <w:highlight w:val="none"/>
              </w:rPr>
              <w:t>推动物业服务提质扩容</w:t>
            </w:r>
            <w:r>
              <w:rPr>
                <w:rFonts w:hint="eastAsia" w:ascii="仿宋_GB2312" w:hAnsi="仿宋_GB2312" w:cs="仿宋_GB2312"/>
                <w:b/>
                <w:bCs/>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支持有条件的物业服务企业有序拓展养老、托幼、家政、文化、健康等生活服务，合理布局嵌入式公共服务设施</w:t>
            </w:r>
            <w:r>
              <w:rPr>
                <w:rFonts w:hint="eastAsia" w:ascii="仿宋_GB2312" w:hAnsi="仿宋_GB2312" w:cs="仿宋_GB2312"/>
                <w:color w:val="auto"/>
                <w:sz w:val="28"/>
                <w:szCs w:val="28"/>
                <w:highlight w:val="none"/>
                <w:lang w:eastAsia="zh-CN"/>
              </w:rPr>
              <w:t>。</w:t>
            </w:r>
            <w:r>
              <w:rPr>
                <w:rFonts w:hint="eastAsia" w:ascii="仿宋_GB2312" w:hAnsi="仿宋_GB2312" w:cs="仿宋_GB2312"/>
                <w:color w:val="auto"/>
                <w:sz w:val="28"/>
                <w:szCs w:val="28"/>
                <w:highlight w:val="none"/>
                <w:lang w:val="en-US" w:eastAsia="zh-CN"/>
              </w:rPr>
              <w:t>结合老旧小区品质提升工程，在赤坎、霞山等地进行试点，形成一批可复制、可推广的特色服务案例。</w:t>
            </w:r>
          </w:p>
          <w:p w14:paraId="741D276B">
            <w:pPr>
              <w:suppressLineNumbers w:val="0"/>
              <w:spacing w:before="0" w:beforeLines="0" w:beforeAutospacing="0" w:after="0" w:afterLines="0" w:afterAutospacing="0" w:line="600" w:lineRule="exact"/>
              <w:ind w:left="0" w:leftChars="0" w:right="0" w:rightChars="0" w:firstLine="640" w:firstLineChars="0"/>
              <w:rPr>
                <w:rFonts w:hint="default" w:ascii="Times New Roman" w:hAnsi="Times New Roman" w:eastAsia="仿宋_GB2312" w:cs="Times New Roman"/>
                <w:kern w:val="2"/>
                <w:sz w:val="28"/>
                <w:szCs w:val="32"/>
                <w:highlight w:val="none"/>
                <w:u w:val="none"/>
                <w:lang w:val="en-US" w:eastAsia="zh-CN" w:bidi="ar-SA"/>
              </w:rPr>
            </w:pPr>
            <w:r>
              <w:rPr>
                <w:rFonts w:hint="default" w:ascii="Times New Roman Bold" w:hAnsi="Times New Roman Bold" w:cs="Times New Roman Bold"/>
                <w:b/>
                <w:bCs w:val="0"/>
                <w:color w:val="auto"/>
                <w:sz w:val="28"/>
                <w:szCs w:val="32"/>
                <w:highlight w:val="none"/>
                <w:lang w:val="en-US" w:eastAsia="zh-CN"/>
              </w:rPr>
              <w:t>3.</w:t>
            </w:r>
            <w:r>
              <w:rPr>
                <w:rFonts w:hint="eastAsia" w:ascii="仿宋_GB2312" w:hAnsi="仿宋_GB2312" w:cs="仿宋_GB2312"/>
                <w:b/>
                <w:bCs/>
                <w:color w:val="auto"/>
                <w:sz w:val="28"/>
                <w:szCs w:val="28"/>
                <w:highlight w:val="none"/>
                <w:lang w:val="en-US" w:eastAsia="zh-CN"/>
              </w:rPr>
              <w:t>完善</w:t>
            </w:r>
            <w:r>
              <w:rPr>
                <w:rFonts w:hint="eastAsia" w:ascii="仿宋_GB2312" w:hAnsi="仿宋_GB2312" w:eastAsia="仿宋_GB2312" w:cs="仿宋_GB2312"/>
                <w:b/>
                <w:bCs/>
                <w:color w:val="auto"/>
                <w:sz w:val="28"/>
                <w:szCs w:val="28"/>
                <w:highlight w:val="none"/>
              </w:rPr>
              <w:t>智慧物业平台</w:t>
            </w:r>
            <w:r>
              <w:rPr>
                <w:rFonts w:hint="eastAsia" w:ascii="仿宋_GB2312" w:hAnsi="仿宋_GB2312" w:cs="仿宋_GB2312"/>
                <w:b/>
                <w:bCs/>
                <w:color w:val="auto"/>
                <w:sz w:val="28"/>
                <w:szCs w:val="28"/>
                <w:highlight w:val="none"/>
                <w:lang w:val="en-US" w:eastAsia="zh-CN"/>
              </w:rPr>
              <w:t>应用</w:t>
            </w: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color w:val="auto"/>
                <w:sz w:val="28"/>
                <w:szCs w:val="28"/>
                <w:highlight w:val="none"/>
              </w:rPr>
              <w:t>完善</w:t>
            </w:r>
            <w:r>
              <w:rPr>
                <w:rFonts w:hint="eastAsia" w:ascii="仿宋_GB2312" w:hAnsi="仿宋_GB2312" w:cs="仿宋_GB2312"/>
                <w:color w:val="auto"/>
                <w:sz w:val="28"/>
                <w:szCs w:val="28"/>
                <w:highlight w:val="none"/>
              </w:rPr>
              <w:t>全市智慧物业平台信用监管、共有资金和维修资金监管、业主议事、投诉报修、评价反馈等功能</w:t>
            </w:r>
            <w:r>
              <w:rPr>
                <w:rFonts w:hint="eastAsia" w:ascii="仿宋_GB2312" w:hAnsi="仿宋_GB2312" w:eastAsia="仿宋_GB2312" w:cs="仿宋_GB2312"/>
                <w:color w:val="auto"/>
                <w:sz w:val="28"/>
                <w:szCs w:val="28"/>
                <w:highlight w:val="none"/>
              </w:rPr>
              <w:t>，实现业务办理</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掌上办、一键办</w:t>
            </w:r>
            <w:r>
              <w:rPr>
                <w:rFonts w:hint="eastAsia" w:ascii="仿宋_GB2312" w:hAnsi="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w:t>
            </w:r>
            <w:r>
              <w:rPr>
                <w:rFonts w:hint="eastAsia" w:ascii="仿宋_GB2312" w:hAnsi="仿宋_GB2312" w:cs="仿宋_GB2312"/>
                <w:color w:val="auto"/>
                <w:sz w:val="28"/>
                <w:szCs w:val="28"/>
                <w:highlight w:val="none"/>
                <w:lang w:val="en-US" w:eastAsia="zh-CN"/>
              </w:rPr>
              <w:t>形成闭环处置机制，</w:t>
            </w:r>
            <w:r>
              <w:rPr>
                <w:rFonts w:hint="eastAsia" w:ascii="仿宋_GB2312" w:hAnsi="仿宋_GB2312" w:eastAsia="仿宋_GB2312" w:cs="仿宋_GB2312"/>
                <w:color w:val="auto"/>
                <w:sz w:val="28"/>
                <w:szCs w:val="28"/>
                <w:highlight w:val="none"/>
              </w:rPr>
              <w:t>提升物业服务透明度与响应处置效率。</w:t>
            </w:r>
          </w:p>
        </w:tc>
      </w:tr>
    </w:tbl>
    <w:p w14:paraId="3838796F">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Times New Roman" w:hAnsi="Times New Roman"/>
          <w:highlight w:val="none"/>
          <w:lang w:val="en-US" w:eastAsia="zh-CN"/>
        </w:rPr>
      </w:pPr>
      <w:r>
        <w:rPr>
          <w:rFonts w:hint="eastAsia"/>
          <w:highlight w:val="none"/>
          <w:lang w:val="en-US" w:eastAsia="zh-CN"/>
        </w:rPr>
        <w:t>3</w:t>
      </w:r>
      <w:r>
        <w:rPr>
          <w:rFonts w:hint="eastAsia" w:ascii="Times New Roman" w:hAnsi="Times New Roman"/>
          <w:highlight w:val="none"/>
          <w:lang w:val="en-US" w:eastAsia="zh-CN"/>
        </w:rPr>
        <w:t>.持续深化房屋安全管理工作。</w:t>
      </w:r>
    </w:p>
    <w:p w14:paraId="683B67CA">
      <w:pPr>
        <w:keepNext w:val="0"/>
        <w:keepLines w:val="0"/>
        <w:pageBreakBefore w:val="0"/>
        <w:widowControl/>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r>
        <w:rPr>
          <w:rFonts w:hint="eastAsia"/>
          <w:highlight w:val="none"/>
          <w:lang w:val="en-US" w:eastAsia="zh-CN"/>
        </w:rPr>
        <w:t>探索建立</w:t>
      </w:r>
      <w:r>
        <w:rPr>
          <w:rFonts w:hint="eastAsia"/>
          <w:highlight w:val="none"/>
        </w:rPr>
        <w:t>房屋体检、房屋</w:t>
      </w:r>
      <w:r>
        <w:rPr>
          <w:rFonts w:hint="eastAsia"/>
          <w:highlight w:val="none"/>
          <w:lang w:val="en-US" w:eastAsia="zh-CN"/>
        </w:rPr>
        <w:t>安全管理资金</w:t>
      </w:r>
      <w:r>
        <w:rPr>
          <w:rFonts w:hint="eastAsia"/>
          <w:highlight w:val="none"/>
          <w:lang w:eastAsia="zh-CN"/>
        </w:rPr>
        <w:t>、</w:t>
      </w:r>
      <w:r>
        <w:rPr>
          <w:rFonts w:hint="eastAsia"/>
          <w:highlight w:val="none"/>
        </w:rPr>
        <w:t>房屋</w:t>
      </w:r>
      <w:r>
        <w:rPr>
          <w:rFonts w:hint="eastAsia"/>
          <w:highlight w:val="none"/>
          <w:lang w:val="en-US" w:eastAsia="zh-CN"/>
        </w:rPr>
        <w:t>质量安全</w:t>
      </w:r>
      <w:r>
        <w:rPr>
          <w:rFonts w:hint="eastAsia"/>
          <w:highlight w:val="none"/>
        </w:rPr>
        <w:t>保险制度</w:t>
      </w:r>
      <w:r>
        <w:rPr>
          <w:rFonts w:hint="eastAsia"/>
          <w:highlight w:val="none"/>
          <w:lang w:val="en-US" w:eastAsia="zh-CN"/>
        </w:rPr>
        <w:t>。研究</w:t>
      </w:r>
      <w:r>
        <w:rPr>
          <w:rFonts w:hint="eastAsia" w:ascii="仿宋_GB2312" w:hAnsi="仿宋_GB2312" w:cs="仿宋_GB2312"/>
          <w:highlight w:val="none"/>
          <w:lang w:val="en-US" w:eastAsia="zh-CN"/>
        </w:rPr>
        <w:t>“日常巡查+定期体检+专项体检”</w:t>
      </w:r>
      <w:r>
        <w:rPr>
          <w:rFonts w:hint="eastAsia"/>
          <w:highlight w:val="none"/>
          <w:lang w:val="en-US" w:eastAsia="zh-CN"/>
        </w:rPr>
        <w:t>工作机制，建立房屋安全风险台账。整合房屋基础数据、巡查体检和隐患处置信息，完善城市房屋建筑安全管理平台。落实住宅专项维修资金管理制度，研究房屋安全管理资金的筹集、使用和监督机制。按照政府引导、市场运作、自愿投保原则，研究房屋质量安全保险的保障范围、风险减量服务和第三方技术服务机制，在具备条件的范围开展试点。</w:t>
      </w:r>
    </w:p>
    <w:p w14:paraId="318B70A1">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bookmarkStart w:id="243" w:name="_Toc32528"/>
      <w:bookmarkStart w:id="244" w:name="_Toc711244766"/>
      <w:bookmarkStart w:id="245" w:name="_Toc24052"/>
      <w:bookmarkStart w:id="246" w:name="_Toc9912"/>
      <w:bookmarkStart w:id="247" w:name="_Toc19931"/>
      <w:bookmarkStart w:id="248" w:name="_Toc16300"/>
      <w:bookmarkStart w:id="249" w:name="_Toc985941336"/>
      <w:r>
        <w:rPr>
          <w:rFonts w:hint="eastAsia"/>
          <w:highlight w:val="none"/>
          <w:lang w:val="en-US" w:eastAsia="zh-CN"/>
        </w:rPr>
        <w:t>4.全面提升居住配套水平。</w:t>
      </w:r>
    </w:p>
    <w:p w14:paraId="4CAE2080">
      <w:pPr>
        <w:keepNext w:val="0"/>
        <w:keepLines w:val="0"/>
        <w:widowControl/>
        <w:suppressLineNumbers w:val="0"/>
        <w:jc w:val="left"/>
      </w:pPr>
      <w:r>
        <w:rPr>
          <w:rFonts w:hint="eastAsia" w:ascii="仿宋_GB2312" w:hAnsi="仿宋_GB2312" w:eastAsia="仿宋_GB2312" w:cs="仿宋_GB2312"/>
          <w:sz w:val="32"/>
          <w:highlight w:val="none"/>
          <w14:ligatures w14:val="none"/>
        </w:rPr>
        <w:t>严格执行新建居住区配套公共服务设施与规划地块主体建设工程同步规划、设计、建设、验收、交付使用制度</w:t>
      </w:r>
      <w:r>
        <w:rPr>
          <w:rFonts w:hint="eastAsia" w:ascii="仿宋_GB2312" w:hAnsi="仿宋_GB2312" w:cs="仿宋_GB2312"/>
          <w:sz w:val="32"/>
          <w:highlight w:val="none"/>
          <w:lang w:eastAsia="zh-CN"/>
          <w14:ligatures w14:val="none"/>
        </w:rPr>
        <w:t>。</w:t>
      </w:r>
      <w:r>
        <w:rPr>
          <w:rFonts w:hint="eastAsia" w:ascii="仿宋_GB2312" w:hAnsi="仿宋_GB2312" w:cs="仿宋_GB2312"/>
          <w:sz w:val="32"/>
          <w:highlight w:val="none"/>
          <w:lang w:val="en-US" w:eastAsia="zh-CN"/>
          <w14:ligatures w14:val="none"/>
        </w:rPr>
        <w:t>加强</w:t>
      </w:r>
      <w:r>
        <w:rPr>
          <w:rFonts w:hint="eastAsia" w:ascii="仿宋_GB2312" w:hAnsi="仿宋_GB2312" w:cs="仿宋_GB2312"/>
          <w:highlight w:val="none"/>
          <w:lang w:val="en-US" w:eastAsia="zh-CN"/>
        </w:rPr>
        <w:t>在建在售项目配套情况巡查，对于未按规划要求建设公建配套、市政设施，存在滞后、缺失、不达标等问题的，督促限期整改补齐短板。</w:t>
      </w:r>
      <w:r>
        <w:rPr>
          <w:rFonts w:hint="eastAsia" w:ascii="仿宋_GB2312" w:hAnsi="仿宋_GB2312" w:eastAsia="仿宋_GB2312" w:cs="仿宋_GB2312"/>
          <w:i w:val="0"/>
          <w:iCs w:val="0"/>
          <w:caps w:val="0"/>
          <w:color w:val="auto"/>
          <w:spacing w:val="0"/>
          <w:sz w:val="32"/>
          <w:szCs w:val="32"/>
          <w:highlight w:val="none"/>
          <w:shd w:val="clear" w:fill="FFFFFF"/>
        </w:rPr>
        <w:t>聚焦</w:t>
      </w:r>
      <w:r>
        <w:rPr>
          <w:rFonts w:hint="eastAsia" w:ascii="仿宋_GB2312" w:hAnsi="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fill="FFFFFF"/>
        </w:rPr>
        <w:t>一老一小</w:t>
      </w:r>
      <w:r>
        <w:rPr>
          <w:rFonts w:hint="eastAsia" w:ascii="仿宋_GB2312" w:hAnsi="仿宋_GB2312" w:cs="仿宋_GB2312"/>
          <w:i w:val="0"/>
          <w:iCs w:val="0"/>
          <w:caps w:val="0"/>
          <w:color w:val="auto"/>
          <w:spacing w:val="0"/>
          <w:sz w:val="32"/>
          <w:szCs w:val="32"/>
          <w:highlight w:val="none"/>
          <w:shd w:val="clear" w:fill="FFFFFF"/>
          <w:lang w:eastAsia="zh-CN"/>
        </w:rPr>
        <w:t>”</w:t>
      </w:r>
      <w:r>
        <w:rPr>
          <w:rFonts w:hint="eastAsia" w:ascii="仿宋_GB2312" w:hAnsi="仿宋_GB2312" w:cs="仿宋_GB2312"/>
          <w:i w:val="0"/>
          <w:iCs w:val="0"/>
          <w:caps w:val="0"/>
          <w:color w:val="auto"/>
          <w:spacing w:val="0"/>
          <w:sz w:val="32"/>
          <w:szCs w:val="32"/>
          <w:highlight w:val="none"/>
          <w:shd w:val="clear" w:fill="FFFFFF"/>
          <w:lang w:val="en-US" w:eastAsia="zh-CN"/>
        </w:rPr>
        <w:t>群体</w:t>
      </w:r>
      <w:r>
        <w:rPr>
          <w:rFonts w:hint="eastAsia" w:ascii="仿宋_GB2312" w:hAnsi="仿宋_GB2312" w:eastAsia="仿宋_GB2312" w:cs="仿宋_GB2312"/>
          <w:i w:val="0"/>
          <w:iCs w:val="0"/>
          <w:caps w:val="0"/>
          <w:color w:val="auto"/>
          <w:spacing w:val="0"/>
          <w:sz w:val="32"/>
          <w:szCs w:val="32"/>
          <w:highlight w:val="none"/>
          <w:shd w:val="clear" w:fill="FFFFFF"/>
        </w:rPr>
        <w:t>需求，</w:t>
      </w:r>
      <w:r>
        <w:rPr>
          <w:rFonts w:hint="eastAsia" w:ascii="仿宋_GB2312" w:hAnsi="仿宋_GB2312" w:cs="仿宋_GB2312"/>
          <w:highlight w:val="none"/>
          <w:lang w:val="en-US" w:eastAsia="zh-CN"/>
        </w:rPr>
        <w:t>盘活</w:t>
      </w:r>
      <w:r>
        <w:rPr>
          <w:rFonts w:hint="eastAsia" w:ascii="仿宋_GB2312" w:hAnsi="仿宋_GB2312" w:cs="仿宋_GB2312"/>
          <w:highlight w:val="none"/>
        </w:rPr>
        <w:t>存量闲置房屋和低效用地，</w:t>
      </w:r>
      <w:r>
        <w:rPr>
          <w:rFonts w:hint="eastAsia" w:ascii="仿宋_GB2312" w:hAnsi="仿宋_GB2312" w:cs="仿宋_GB2312"/>
          <w:i w:val="0"/>
          <w:iCs w:val="0"/>
          <w:caps w:val="0"/>
          <w:color w:val="auto"/>
          <w:spacing w:val="0"/>
          <w:sz w:val="32"/>
          <w:szCs w:val="32"/>
          <w:highlight w:val="none"/>
          <w:shd w:val="clear"/>
          <w:lang w:val="en-US" w:eastAsia="zh-CN"/>
        </w:rPr>
        <w:t>加快</w:t>
      </w:r>
      <w:r>
        <w:rPr>
          <w:rFonts w:hint="eastAsia" w:ascii="仿宋_GB2312" w:hAnsi="仿宋_GB2312" w:cs="仿宋_GB2312"/>
          <w:highlight w:val="none"/>
          <w:lang w:val="en-US" w:eastAsia="zh-CN"/>
        </w:rPr>
        <w:t>完善社区基本公共服务设施和</w:t>
      </w:r>
      <w:r>
        <w:rPr>
          <w:rFonts w:hint="eastAsia" w:ascii="仿宋_GB2312" w:hAnsi="仿宋_GB2312" w:eastAsia="仿宋_GB2312" w:cs="仿宋_GB2312"/>
          <w:sz w:val="32"/>
          <w:szCs w:val="32"/>
          <w:highlight w:val="none"/>
        </w:rPr>
        <w:t>便民商业</w:t>
      </w:r>
      <w:r>
        <w:rPr>
          <w:rFonts w:hint="eastAsia" w:ascii="仿宋_GB2312" w:hAnsi="仿宋_GB2312" w:cs="仿宋_GB2312"/>
          <w:sz w:val="32"/>
          <w:szCs w:val="32"/>
          <w:highlight w:val="none"/>
          <w:lang w:val="en-US" w:eastAsia="zh-CN"/>
        </w:rPr>
        <w:t>服务设施，增补提升</w:t>
      </w:r>
      <w:r>
        <w:rPr>
          <w:rFonts w:hint="eastAsia" w:ascii="仿宋_GB2312" w:hAnsi="仿宋_GB2312" w:eastAsia="仿宋_GB2312" w:cs="仿宋_GB2312"/>
          <w:sz w:val="32"/>
          <w:szCs w:val="32"/>
          <w:highlight w:val="none"/>
        </w:rPr>
        <w:t>公共活动场地</w:t>
      </w:r>
      <w:r>
        <w:rPr>
          <w:rFonts w:hint="eastAsia" w:ascii="仿宋_GB2312" w:hAnsi="仿宋_GB2312" w:cs="仿宋_GB2312"/>
          <w:sz w:val="32"/>
          <w:szCs w:val="32"/>
          <w:highlight w:val="none"/>
          <w:lang w:val="en-US" w:eastAsia="zh-CN"/>
        </w:rPr>
        <w:t>和公共绿地</w:t>
      </w:r>
      <w:r>
        <w:rPr>
          <w:rFonts w:hint="eastAsia" w:ascii="仿宋_GB2312" w:hAnsi="仿宋_GB2312" w:cs="仿宋_GB2312"/>
          <w:sz w:val="32"/>
          <w:szCs w:val="32"/>
          <w:highlight w:val="none"/>
          <w:lang w:eastAsia="zh-CN"/>
        </w:rPr>
        <w:t>，</w:t>
      </w:r>
      <w:r>
        <w:rPr>
          <w:rFonts w:hint="eastAsia" w:ascii="仿宋_GB2312" w:hAnsi="仿宋_GB2312" w:cs="仿宋_GB2312"/>
          <w:sz w:val="32"/>
          <w:szCs w:val="32"/>
          <w:highlight w:val="none"/>
          <w:lang w:val="en-US" w:eastAsia="zh-CN"/>
        </w:rPr>
        <w:t>推进公共场所适老化、无障碍改造和</w:t>
      </w:r>
      <w:r>
        <w:rPr>
          <w:rFonts w:hint="eastAsia" w:ascii="仿宋_GB2312" w:hAnsi="仿宋_GB2312" w:eastAsia="仿宋_GB2312" w:cs="仿宋_GB2312"/>
          <w:sz w:val="32"/>
          <w:szCs w:val="32"/>
          <w:highlight w:val="none"/>
        </w:rPr>
        <w:t>儿童友好</w:t>
      </w:r>
      <w:r>
        <w:rPr>
          <w:rFonts w:hint="eastAsia" w:ascii="仿宋_GB2312" w:hAnsi="仿宋_GB2312" w:cs="仿宋_GB2312"/>
          <w:sz w:val="32"/>
          <w:szCs w:val="32"/>
          <w:highlight w:val="none"/>
          <w:lang w:val="en-US" w:eastAsia="zh-CN"/>
        </w:rPr>
        <w:t>空间建设</w:t>
      </w:r>
      <w:r>
        <w:rPr>
          <w:rFonts w:hint="eastAsia" w:ascii="仿宋_GB2312" w:hAnsi="仿宋_GB2312" w:eastAsia="仿宋_GB2312" w:cs="仿宋_GB2312"/>
          <w:sz w:val="32"/>
          <w:szCs w:val="32"/>
          <w:highlight w:val="none"/>
          <w:lang w:eastAsia="zh-CN"/>
        </w:rPr>
        <w:t>。</w:t>
      </w:r>
      <w:r>
        <w:rPr>
          <w:rFonts w:hint="eastAsia" w:ascii="仿宋_GB2312" w:hAnsi="仿宋_GB2312" w:cs="仿宋_GB2312"/>
          <w:sz w:val="32"/>
          <w:szCs w:val="32"/>
          <w:highlight w:val="none"/>
          <w:lang w:val="en-US" w:eastAsia="zh-CN"/>
        </w:rPr>
        <w:t>统筹推进完整社区建设和未来社区试点，明确建设项目、运营主体和后续管护责任，引导社会力量参与建设运营</w:t>
      </w:r>
      <w:r>
        <w:rPr>
          <w:rFonts w:hint="eastAsia" w:ascii="仿宋_GB2312" w:hAnsi="仿宋_GB2312" w:eastAsia="仿宋_GB2312" w:cs="仿宋_GB2312"/>
          <w:highlight w:val="none"/>
        </w:rPr>
        <w:t>。</w:t>
      </w:r>
    </w:p>
    <w:p w14:paraId="05087A0E">
      <w:pPr>
        <w:pStyle w:val="3"/>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bookmarkStart w:id="250" w:name="_Toc24844"/>
      <w:bookmarkStart w:id="251" w:name="_Toc22677"/>
      <w:bookmarkStart w:id="252" w:name="_Toc24090"/>
      <w:bookmarkStart w:id="253" w:name="_Toc7659"/>
      <w:bookmarkStart w:id="254" w:name="_Toc30827"/>
      <w:bookmarkStart w:id="255" w:name="_Toc27066"/>
      <w:bookmarkStart w:id="256" w:name="_Toc5702"/>
      <w:bookmarkStart w:id="257" w:name="_Toc1582508421"/>
      <w:r>
        <w:rPr>
          <w:rFonts w:hint="eastAsia"/>
          <w:highlight w:val="none"/>
          <w:lang w:val="en-US" w:eastAsia="zh-CN"/>
        </w:rPr>
        <w:t>细化住房保障，提升管理服务水平</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245D674A">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r>
        <w:rPr>
          <w:rFonts w:hint="eastAsia"/>
          <w:highlight w:val="none"/>
          <w:lang w:val="en-US" w:eastAsia="zh-CN"/>
        </w:rPr>
        <w:t>1.优化保障性住房筹建机制。</w:t>
      </w:r>
    </w:p>
    <w:p w14:paraId="2A2379A0">
      <w:pPr>
        <w:widowControl/>
        <w:pBdr>
          <w:top w:val="none" w:color="auto" w:sz="0" w:space="0"/>
          <w:left w:val="none" w:color="auto" w:sz="0" w:space="0"/>
          <w:bottom w:val="none" w:color="auto" w:sz="0" w:space="0"/>
          <w:right w:val="none" w:color="auto" w:sz="0" w:space="0"/>
        </w:pBdr>
        <w:spacing w:line="360" w:lineRule="atLeast"/>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坚持</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以需定</w:t>
      </w:r>
      <w:r>
        <w:rPr>
          <w:rFonts w:hint="eastAsia" w:ascii="仿宋_GB2312" w:hAnsi="仿宋_GB2312" w:cs="仿宋_GB2312"/>
          <w:sz w:val="32"/>
          <w:szCs w:val="32"/>
          <w:highlight w:val="none"/>
          <w:lang w:val="en-US" w:eastAsia="zh-CN"/>
        </w:rPr>
        <w:t>建、</w:t>
      </w:r>
      <w:r>
        <w:rPr>
          <w:rFonts w:hint="eastAsia" w:cs="Times New Roman"/>
          <w:highlight w:val="none"/>
          <w:lang w:val="en-US" w:eastAsia="zh-CN"/>
        </w:rPr>
        <w:t>以需定购</w:t>
      </w:r>
      <w:r>
        <w:rPr>
          <w:rFonts w:hint="eastAsia" w:ascii="仿宋_GB2312" w:hAnsi="仿宋_GB2312" w:cs="Times New Roman"/>
          <w:highlight w:val="none"/>
          <w:lang w:val="en-US" w:eastAsia="zh-CN"/>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cs="仿宋_GB2312"/>
          <w:highlight w:val="none"/>
        </w:rPr>
        <w:t>通过新建</w:t>
      </w:r>
      <w:r>
        <w:rPr>
          <w:rFonts w:hint="eastAsia" w:ascii="仿宋_GB2312" w:hAnsi="仿宋_GB2312" w:cs="仿宋_GB2312"/>
          <w:highlight w:val="none"/>
          <w:lang w:eastAsia="zh-CN"/>
        </w:rPr>
        <w:t>、</w:t>
      </w:r>
      <w:r>
        <w:rPr>
          <w:rFonts w:hint="eastAsia" w:ascii="仿宋_GB2312" w:hAnsi="仿宋_GB2312" w:cs="仿宋_GB2312"/>
          <w:highlight w:val="none"/>
          <w:lang w:val="en-US" w:eastAsia="zh-CN"/>
        </w:rPr>
        <w:t>改建、改造、转化</w:t>
      </w:r>
      <w:r>
        <w:rPr>
          <w:rFonts w:hint="eastAsia" w:ascii="仿宋_GB2312" w:hAnsi="仿宋_GB2312" w:cs="仿宋_GB2312"/>
          <w:highlight w:val="none"/>
        </w:rPr>
        <w:t>、收购等方式</w:t>
      </w:r>
      <w:r>
        <w:rPr>
          <w:rFonts w:hint="eastAsia" w:ascii="仿宋_GB2312" w:hAnsi="仿宋_GB2312" w:cs="仿宋_GB2312"/>
          <w:highlight w:val="none"/>
          <w:lang w:val="en-US" w:eastAsia="zh-CN"/>
        </w:rPr>
        <w:t>拓宽</w:t>
      </w:r>
      <w:r>
        <w:rPr>
          <w:rFonts w:hint="eastAsia" w:ascii="仿宋_GB2312" w:hAnsi="仿宋_GB2312" w:cs="仿宋_GB2312"/>
          <w:highlight w:val="none"/>
        </w:rPr>
        <w:t>保障性</w:t>
      </w:r>
      <w:r>
        <w:rPr>
          <w:rFonts w:hint="eastAsia" w:ascii="仿宋_GB2312" w:hAnsi="仿宋_GB2312" w:cs="仿宋_GB2312"/>
          <w:highlight w:val="none"/>
          <w:lang w:eastAsia="zh-CN"/>
        </w:rPr>
        <w:t>住房</w:t>
      </w:r>
      <w:r>
        <w:rPr>
          <w:rFonts w:hint="eastAsia" w:cstheme="minorBidi"/>
          <w:sz w:val="32"/>
          <w:szCs w:val="32"/>
          <w:highlight w:val="none"/>
          <w:lang w:val="en-US" w:eastAsia="zh-CN"/>
        </w:rPr>
        <w:t>房源供给渠道。</w:t>
      </w:r>
      <w:r>
        <w:rPr>
          <w:rFonts w:hint="eastAsia" w:ascii="仿宋_GB2312" w:hAnsi="仿宋_GB2312" w:cs="仿宋_GB2312"/>
          <w:sz w:val="32"/>
          <w:szCs w:val="32"/>
          <w:highlight w:val="none"/>
          <w:lang w:val="en-US" w:eastAsia="zh-CN"/>
        </w:rPr>
        <w:t>强化中心城区保障性住房供给，优先</w:t>
      </w:r>
      <w:r>
        <w:rPr>
          <w:rFonts w:hint="eastAsia" w:ascii="仿宋_GB2312" w:hAnsi="仿宋_GB2312" w:eastAsia="仿宋_GB2312" w:cs="仿宋_GB2312"/>
          <w:i w:val="0"/>
          <w:iCs w:val="0"/>
          <w:caps w:val="0"/>
          <w:color w:val="auto"/>
          <w:spacing w:val="0"/>
          <w:sz w:val="32"/>
          <w:szCs w:val="32"/>
          <w:highlight w:val="none"/>
          <w:shd w:val="clear" w:fill="auto"/>
        </w:rPr>
        <w:t>盘活</w:t>
      </w:r>
      <w:r>
        <w:rPr>
          <w:rStyle w:val="24"/>
          <w:rFonts w:hint="eastAsia" w:ascii="仿宋_GB2312" w:hAnsi="仿宋_GB2312" w:eastAsia="仿宋_GB2312" w:cs="仿宋_GB2312"/>
          <w:i w:val="0"/>
          <w:iCs w:val="0"/>
          <w:caps w:val="0"/>
          <w:color w:val="auto"/>
          <w:spacing w:val="0"/>
          <w:sz w:val="32"/>
          <w:szCs w:val="32"/>
          <w:highlight w:val="none"/>
          <w:shd w:val="clear" w:fill="FFFFFF"/>
        </w:rPr>
        <w:t>存量</w:t>
      </w:r>
      <w:r>
        <w:rPr>
          <w:rStyle w:val="24"/>
          <w:rFonts w:hint="eastAsia" w:ascii="仿宋_GB2312" w:hAnsi="仿宋_GB2312" w:cs="仿宋_GB2312"/>
          <w:i w:val="0"/>
          <w:iCs w:val="0"/>
          <w:caps w:val="0"/>
          <w:color w:val="auto"/>
          <w:spacing w:val="0"/>
          <w:sz w:val="32"/>
          <w:szCs w:val="32"/>
          <w:highlight w:val="none"/>
          <w:shd w:val="clear" w:fill="FFFFFF"/>
          <w:lang w:val="en-US" w:eastAsia="zh-CN"/>
        </w:rPr>
        <w:t>建设</w:t>
      </w:r>
      <w:r>
        <w:rPr>
          <w:rFonts w:hint="eastAsia" w:ascii="仿宋_GB2312" w:hAnsi="仿宋_GB2312" w:eastAsia="仿宋_GB2312" w:cs="仿宋_GB2312"/>
          <w:i w:val="0"/>
          <w:iCs w:val="0"/>
          <w:caps w:val="0"/>
          <w:color w:val="auto"/>
          <w:spacing w:val="0"/>
          <w:sz w:val="32"/>
          <w:szCs w:val="32"/>
          <w:highlight w:val="none"/>
          <w:shd w:val="clear" w:fill="auto"/>
        </w:rPr>
        <w:t>用地</w:t>
      </w:r>
      <w:r>
        <w:rPr>
          <w:rFonts w:hint="eastAsia" w:ascii="仿宋_GB2312" w:hAnsi="仿宋_GB2312" w:cs="仿宋_GB2312"/>
          <w:i w:val="0"/>
          <w:iCs w:val="0"/>
          <w:caps w:val="0"/>
          <w:color w:val="auto"/>
          <w:spacing w:val="0"/>
          <w:sz w:val="32"/>
          <w:szCs w:val="32"/>
          <w:highlight w:val="none"/>
          <w:shd w:val="clear" w:fill="auto"/>
          <w:lang w:val="en-US" w:eastAsia="zh-CN"/>
        </w:rPr>
        <w:t>建设保障性住房</w:t>
      </w:r>
      <w:r>
        <w:rPr>
          <w:rFonts w:hint="eastAsia" w:ascii="仿宋_GB2312" w:hAnsi="仿宋_GB2312" w:cs="仿宋_GB2312"/>
          <w:sz w:val="32"/>
          <w:szCs w:val="32"/>
          <w:highlight w:val="none"/>
          <w:lang w:val="en-US" w:eastAsia="zh-CN"/>
        </w:rPr>
        <w:t>。</w:t>
      </w:r>
      <w:r>
        <w:rPr>
          <w:rFonts w:hint="eastAsia" w:ascii="仿宋_GB2312" w:hAnsi="仿宋_GB2312" w:cs="仿宋_GB2312"/>
          <w:highlight w:val="none"/>
          <w:lang w:val="en-US" w:eastAsia="zh-CN"/>
        </w:rPr>
        <w:t>推动</w:t>
      </w:r>
      <w:r>
        <w:rPr>
          <w:rFonts w:hint="eastAsia"/>
          <w:highlight w:val="none"/>
          <w:lang w:val="en-US" w:eastAsia="zh-CN"/>
        </w:rPr>
        <w:t>住房保障需求与房地产去库存有机结合，</w:t>
      </w:r>
      <w:r>
        <w:rPr>
          <w:rFonts w:hint="eastAsia"/>
          <w:highlight w:val="none"/>
        </w:rPr>
        <w:t>依托财政、金融、土地等配套政策支撑，支持国企</w:t>
      </w:r>
      <w:r>
        <w:rPr>
          <w:rFonts w:hint="eastAsia"/>
          <w:highlight w:val="none"/>
          <w:lang w:val="en-US" w:eastAsia="zh-CN"/>
        </w:rPr>
        <w:t>等</w:t>
      </w:r>
      <w:r>
        <w:rPr>
          <w:rFonts w:hint="eastAsia"/>
          <w:highlight w:val="none"/>
        </w:rPr>
        <w:t>市场主体收购存量</w:t>
      </w:r>
      <w:r>
        <w:rPr>
          <w:rFonts w:hint="eastAsia"/>
          <w:highlight w:val="none"/>
          <w:lang w:val="en-US" w:eastAsia="zh-CN"/>
        </w:rPr>
        <w:t>商品</w:t>
      </w:r>
      <w:r>
        <w:rPr>
          <w:rFonts w:hint="eastAsia"/>
          <w:highlight w:val="none"/>
        </w:rPr>
        <w:t>房、改建低效非居住存量房屋，规模化转化为保障性住房，</w:t>
      </w:r>
      <w:r>
        <w:rPr>
          <w:rFonts w:hint="eastAsia"/>
          <w:highlight w:val="none"/>
          <w:lang w:val="en-US" w:eastAsia="zh-CN"/>
        </w:rPr>
        <w:t>稳步</w:t>
      </w:r>
      <w:r>
        <w:rPr>
          <w:rFonts w:hint="eastAsia"/>
          <w:highlight w:val="none"/>
        </w:rPr>
        <w:t>扩大“以购代建”实施覆盖面。</w:t>
      </w:r>
      <w:r>
        <w:rPr>
          <w:rFonts w:hint="eastAsia" w:cstheme="minorBidi"/>
          <w:sz w:val="32"/>
          <w:szCs w:val="32"/>
          <w:highlight w:val="none"/>
          <w:lang w:val="en-US" w:eastAsia="zh-CN"/>
        </w:rPr>
        <w:t>持续</w:t>
      </w:r>
      <w:r>
        <w:rPr>
          <w:rFonts w:hint="eastAsia"/>
          <w:highlight w:val="none"/>
        </w:rPr>
        <w:t>推进人才安居工程，多渠道筹措房源</w:t>
      </w:r>
      <w:r>
        <w:rPr>
          <w:rFonts w:hint="eastAsia"/>
          <w:highlight w:val="none"/>
          <w:lang w:eastAsia="zh-CN"/>
        </w:rPr>
        <w:t>，</w:t>
      </w:r>
      <w:r>
        <w:rPr>
          <w:rFonts w:hint="eastAsia"/>
          <w:highlight w:val="none"/>
          <w:lang w:val="en-US" w:eastAsia="zh-CN"/>
        </w:rPr>
        <w:t>扩大</w:t>
      </w:r>
      <w:r>
        <w:rPr>
          <w:rFonts w:hint="eastAsia"/>
          <w:highlight w:val="none"/>
        </w:rPr>
        <w:t>人才公寓供给</w:t>
      </w:r>
      <w:r>
        <w:rPr>
          <w:rFonts w:hint="eastAsia"/>
          <w:highlight w:val="none"/>
          <w:lang w:val="en-US" w:eastAsia="zh-CN"/>
        </w:rPr>
        <w:t>规模</w:t>
      </w:r>
      <w:r>
        <w:rPr>
          <w:rFonts w:hint="eastAsia"/>
          <w:highlight w:val="none"/>
          <w:lang w:eastAsia="zh-CN"/>
        </w:rPr>
        <w:t>。</w:t>
      </w:r>
      <w:r>
        <w:rPr>
          <w:rFonts w:hint="eastAsia"/>
          <w:highlight w:val="none"/>
          <w:lang w:val="en-US" w:eastAsia="zh-CN"/>
        </w:rPr>
        <w:t>有序</w:t>
      </w:r>
      <w:r>
        <w:rPr>
          <w:rFonts w:hint="eastAsia"/>
          <w:highlight w:val="none"/>
        </w:rPr>
        <w:t>开展配售型保障性住房试点，</w:t>
      </w:r>
      <w:r>
        <w:rPr>
          <w:rFonts w:hint="eastAsia"/>
          <w:highlight w:val="none"/>
          <w:lang w:val="en-US" w:eastAsia="zh-CN"/>
        </w:rPr>
        <w:t>健全</w:t>
      </w:r>
      <w:r>
        <w:rPr>
          <w:rFonts w:hint="eastAsia"/>
          <w:color w:val="auto"/>
          <w:highlight w:val="none"/>
          <w:shd w:val="clear" w:fill="auto"/>
        </w:rPr>
        <w:t>多层次住房保障供给体系</w:t>
      </w:r>
      <w:r>
        <w:rPr>
          <w:rFonts w:hint="eastAsia" w:ascii="Times New Roman" w:hAnsi="Times New Roman" w:eastAsia="仿宋_GB2312" w:cstheme="minorBidi"/>
          <w:i w:val="0"/>
          <w:iCs w:val="0"/>
          <w:caps w:val="0"/>
          <w:color w:val="auto"/>
          <w:spacing w:val="0"/>
          <w:sz w:val="32"/>
          <w:szCs w:val="32"/>
          <w:highlight w:val="none"/>
          <w:shd w:val="clear" w:fill="auto"/>
          <w:lang w:eastAsia="zh-CN"/>
        </w:rPr>
        <w:t>。</w:t>
      </w:r>
    </w:p>
    <w:p w14:paraId="23E1ED23">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2.</w:t>
      </w:r>
      <w:r>
        <w:rPr>
          <w:rFonts w:hint="eastAsia" w:ascii="Times New Roman" w:hAnsi="Times New Roman" w:eastAsia="仿宋_GB2312" w:cstheme="minorBidi"/>
          <w:sz w:val="32"/>
          <w:szCs w:val="32"/>
          <w:highlight w:val="none"/>
        </w:rPr>
        <w:t>强化</w:t>
      </w:r>
      <w:r>
        <w:rPr>
          <w:rFonts w:hint="eastAsia" w:ascii="Times New Roman" w:hAnsi="Times New Roman" w:cstheme="minorBidi"/>
          <w:sz w:val="32"/>
          <w:szCs w:val="32"/>
          <w:highlight w:val="none"/>
          <w:lang w:val="en-US" w:eastAsia="zh-CN"/>
        </w:rPr>
        <w:t>保障性住房</w:t>
      </w:r>
      <w:r>
        <w:rPr>
          <w:rFonts w:hint="eastAsia" w:ascii="Times New Roman" w:hAnsi="Times New Roman" w:eastAsia="仿宋_GB2312" w:cstheme="minorBidi"/>
          <w:sz w:val="32"/>
          <w:szCs w:val="32"/>
          <w:highlight w:val="none"/>
        </w:rPr>
        <w:t>管理效能</w:t>
      </w:r>
      <w:r>
        <w:rPr>
          <w:rFonts w:hint="eastAsia" w:ascii="Times New Roman" w:hAnsi="Times New Roman" w:cstheme="minorBidi"/>
          <w:sz w:val="32"/>
          <w:szCs w:val="32"/>
          <w:highlight w:val="none"/>
          <w:lang w:eastAsia="zh-CN"/>
        </w:rPr>
        <w:t>。</w:t>
      </w:r>
    </w:p>
    <w:p w14:paraId="17F46452">
      <w:pPr>
        <w:widowControl/>
        <w:ind w:firstLine="640" w:firstLineChars="200"/>
        <w:jc w:val="both"/>
        <w:rPr>
          <w:rFonts w:hint="eastAsia" w:cs="Times New Roman"/>
          <w:highlight w:val="none"/>
          <w:lang w:val="en-US" w:eastAsia="zh-CN"/>
        </w:rPr>
      </w:pPr>
      <w:r>
        <w:rPr>
          <w:rFonts w:hint="eastAsia"/>
          <w:color w:val="auto"/>
          <w:highlight w:val="none"/>
          <w:shd w:val="clear" w:fill="auto"/>
          <w:lang w:val="en-US" w:eastAsia="zh-CN"/>
        </w:rPr>
        <w:t>扩大保障性住房宣传力度，构建“线上+线下”联动的宣传体系，依托政务服务平台、官方新媒体、社区公示栏、基层服务点等多元载体，及时推送保障性住房房源信息、申请条件、办理流程等内容，强化住房保障政策解读。</w:t>
      </w:r>
      <w:r>
        <w:rPr>
          <w:rFonts w:hint="eastAsia"/>
          <w:color w:val="auto"/>
          <w:highlight w:val="none"/>
          <w:shd w:val="clear" w:fill="auto"/>
        </w:rPr>
        <w:t>加强保障性住房全流程管理</w:t>
      </w:r>
      <w:r>
        <w:rPr>
          <w:rFonts w:hint="eastAsia"/>
          <w:color w:val="auto"/>
          <w:highlight w:val="none"/>
          <w:shd w:val="clear" w:fill="auto"/>
          <w:lang w:eastAsia="zh-CN"/>
        </w:rPr>
        <w:t>，</w:t>
      </w:r>
      <w:r>
        <w:rPr>
          <w:rFonts w:hint="eastAsia"/>
          <w:color w:val="auto"/>
          <w:highlight w:val="none"/>
          <w:shd w:val="clear" w:fill="auto"/>
        </w:rPr>
        <w:t>优化标准化办事指南体系</w:t>
      </w:r>
      <w:r>
        <w:rPr>
          <w:rFonts w:hint="eastAsia"/>
          <w:color w:val="auto"/>
          <w:highlight w:val="none"/>
          <w:shd w:val="clear" w:fill="auto"/>
          <w:lang w:eastAsia="zh-CN"/>
        </w:rPr>
        <w:t>，</w:t>
      </w:r>
      <w:r>
        <w:rPr>
          <w:rFonts w:hint="eastAsia"/>
          <w:color w:val="auto"/>
          <w:highlight w:val="none"/>
          <w:shd w:val="clear" w:fill="auto"/>
          <w:lang w:val="en-US" w:eastAsia="zh-CN"/>
        </w:rPr>
        <w:t>健全保障性住房常态化受理机制，深化多部门联合审核机制，</w:t>
      </w:r>
      <w:r>
        <w:rPr>
          <w:rFonts w:hint="default" w:cs="Times New Roman"/>
          <w:highlight w:val="none"/>
          <w:lang w:val="en-US" w:eastAsia="zh-CN"/>
        </w:rPr>
        <w:t>大力推进</w:t>
      </w:r>
      <w:r>
        <w:rPr>
          <w:rFonts w:hint="eastAsia" w:cs="Times New Roman"/>
          <w:highlight w:val="none"/>
          <w:lang w:val="en-US" w:eastAsia="zh-CN"/>
        </w:rPr>
        <w:t>申请</w:t>
      </w:r>
      <w:r>
        <w:rPr>
          <w:rFonts w:hint="default" w:cs="Times New Roman"/>
          <w:highlight w:val="none"/>
          <w:lang w:eastAsia="zh-CN"/>
        </w:rPr>
        <w:t>公租房</w:t>
      </w:r>
      <w:r>
        <w:rPr>
          <w:rFonts w:hint="eastAsia" w:ascii="仿宋_GB2312" w:hAnsi="仿宋_GB2312" w:cs="Times New Roman"/>
          <w:highlight w:val="none"/>
          <w:lang w:eastAsia="zh-CN"/>
        </w:rPr>
        <w:t>“</w:t>
      </w:r>
      <w:r>
        <w:rPr>
          <w:rFonts w:hint="default" w:cs="Times New Roman"/>
          <w:highlight w:val="none"/>
          <w:lang w:val="en-US" w:eastAsia="zh-CN"/>
        </w:rPr>
        <w:t>高效办成</w:t>
      </w:r>
      <w:r>
        <w:rPr>
          <w:rFonts w:hint="default" w:cs="Times New Roman"/>
          <w:highlight w:val="none"/>
          <w:lang w:eastAsia="zh-CN"/>
        </w:rPr>
        <w:t>一件事</w:t>
      </w:r>
      <w:r>
        <w:rPr>
          <w:rFonts w:hint="eastAsia" w:ascii="仿宋_GB2312" w:hAnsi="仿宋_GB2312" w:cs="Times New Roman"/>
          <w:highlight w:val="none"/>
          <w:lang w:eastAsia="zh-CN"/>
        </w:rPr>
        <w:t>”</w:t>
      </w:r>
      <w:r>
        <w:rPr>
          <w:rFonts w:hint="default" w:cs="Times New Roman"/>
          <w:highlight w:val="none"/>
          <w:lang w:val="en-US" w:eastAsia="zh-CN"/>
        </w:rPr>
        <w:t>工作</w:t>
      </w:r>
      <w:r>
        <w:rPr>
          <w:rStyle w:val="28"/>
          <w:rFonts w:hint="default" w:cs="Times New Roman"/>
          <w:highlight w:val="none"/>
          <w:lang w:val="en-US" w:eastAsia="zh-CN"/>
        </w:rPr>
        <w:footnoteReference w:id="6"/>
      </w:r>
      <w:r>
        <w:rPr>
          <w:rFonts w:hint="eastAsia" w:cs="Times New Roman"/>
          <w:highlight w:val="none"/>
          <w:lang w:val="en-US" w:eastAsia="zh-CN"/>
        </w:rPr>
        <w:t>。</w:t>
      </w:r>
      <w:r>
        <w:rPr>
          <w:rFonts w:hint="eastAsia" w:cs="Times New Roman"/>
          <w:highlight w:val="none"/>
        </w:rPr>
        <w:t>推进存量公租房提质增效，分类实施安全隐患整治、基础设施和公共服务配套改造，</w:t>
      </w:r>
      <w:r>
        <w:rPr>
          <w:rFonts w:hint="eastAsia" w:cs="Times New Roman"/>
          <w:highlight w:val="none"/>
          <w:lang w:val="en-US" w:eastAsia="zh-CN"/>
        </w:rPr>
        <w:t>推行政府购买服务模式，</w:t>
      </w:r>
      <w:r>
        <w:rPr>
          <w:rFonts w:hint="eastAsia" w:cs="Times New Roman"/>
          <w:highlight w:val="none"/>
        </w:rPr>
        <w:t>委托专业机构</w:t>
      </w:r>
      <w:r>
        <w:rPr>
          <w:rFonts w:hint="eastAsia" w:cs="Times New Roman"/>
          <w:highlight w:val="none"/>
          <w:lang w:val="en-US" w:eastAsia="zh-CN"/>
        </w:rPr>
        <w:t>开展</w:t>
      </w:r>
      <w:r>
        <w:rPr>
          <w:rFonts w:hint="eastAsia" w:cs="Times New Roman"/>
          <w:highlight w:val="none"/>
        </w:rPr>
        <w:t>公租房运营管理</w:t>
      </w:r>
      <w:r>
        <w:rPr>
          <w:rFonts w:hint="eastAsia" w:cs="Times New Roman"/>
          <w:highlight w:val="none"/>
          <w:lang w:val="en-US" w:eastAsia="zh-CN"/>
        </w:rPr>
        <w:t>。</w:t>
      </w:r>
    </w:p>
    <w:p w14:paraId="1C9D4D8D">
      <w:pPr>
        <w:pStyle w:val="4"/>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default"/>
          <w:highlight w:val="none"/>
          <w:lang w:val="en-US" w:eastAsia="zh-CN"/>
        </w:rPr>
      </w:pPr>
      <w:r>
        <w:rPr>
          <w:rFonts w:hint="eastAsia"/>
          <w:highlight w:val="none"/>
          <w:lang w:val="en-US" w:eastAsia="zh-CN"/>
        </w:rPr>
        <w:t>3.加大住房保障资金支持力度。</w:t>
      </w:r>
    </w:p>
    <w:p w14:paraId="0284AE38">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highlight w:val="none"/>
          <w:lang w:val="en-US" w:eastAsia="zh-CN"/>
        </w:rPr>
      </w:pPr>
      <w:r>
        <w:rPr>
          <w:rFonts w:hint="eastAsia"/>
          <w:highlight w:val="none"/>
          <w:u w:val="none"/>
          <w:lang w:val="en-US" w:eastAsia="zh-CN"/>
        </w:rPr>
        <w:t>建立健全保障性住房资金保障机制，积极争取中央和省级保障性安居工程补助资金，支持符合条件的项目申报地方政府专项债券，</w:t>
      </w:r>
      <w:r>
        <w:rPr>
          <w:rFonts w:ascii="Times New Roman" w:hAnsi="Times New Roman"/>
          <w:highlight w:val="none"/>
        </w:rPr>
        <w:t>落实</w:t>
      </w:r>
      <w:r>
        <w:rPr>
          <w:rFonts w:hint="eastAsia"/>
          <w:highlight w:val="none"/>
          <w:lang w:val="en-US" w:eastAsia="zh-CN"/>
        </w:rPr>
        <w:t>保障性住房</w:t>
      </w:r>
      <w:r>
        <w:rPr>
          <w:rFonts w:ascii="Times New Roman" w:hAnsi="Times New Roman"/>
          <w:highlight w:val="none"/>
        </w:rPr>
        <w:t>金融、税费等支持政策。</w:t>
      </w:r>
      <w:r>
        <w:rPr>
          <w:rFonts w:hint="eastAsia"/>
          <w:highlight w:val="none"/>
        </w:rPr>
        <w:t>深化政银企对接，引导银行业金融机构加大对符合条件的保障性住房建设、收购等项目的融资支持。用好保障性住房再贷款等央行货币政策工具支持政策，</w:t>
      </w:r>
      <w:r>
        <w:rPr>
          <w:rFonts w:hint="eastAsia"/>
          <w:highlight w:val="none"/>
          <w:lang w:val="en-US" w:eastAsia="zh-CN"/>
        </w:rPr>
        <w:t>支持符合条件的收购主体</w:t>
      </w:r>
      <w:r>
        <w:rPr>
          <w:rFonts w:hint="eastAsia"/>
          <w:highlight w:val="none"/>
        </w:rPr>
        <w:t>收购存量商品房用作保障性住房。持续优化住房公积金政策，巩固</w:t>
      </w:r>
      <w:r>
        <w:rPr>
          <w:rFonts w:hint="eastAsia"/>
          <w:highlight w:val="none"/>
          <w:lang w:val="en-US" w:eastAsia="zh-CN"/>
        </w:rPr>
        <w:t>缴存人</w:t>
      </w:r>
      <w:r>
        <w:rPr>
          <w:rFonts w:hint="eastAsia"/>
          <w:highlight w:val="none"/>
        </w:rPr>
        <w:t>购买、租赁保障性住房提取</w:t>
      </w:r>
      <w:r>
        <w:rPr>
          <w:rFonts w:hint="eastAsia"/>
          <w:highlight w:val="none"/>
          <w:lang w:val="en-US" w:eastAsia="zh-CN"/>
        </w:rPr>
        <w:t>及</w:t>
      </w:r>
      <w:r>
        <w:rPr>
          <w:rFonts w:hint="eastAsia"/>
          <w:highlight w:val="none"/>
        </w:rPr>
        <w:t>贷款政策</w:t>
      </w:r>
      <w:r>
        <w:rPr>
          <w:rFonts w:hint="eastAsia"/>
          <w:highlight w:val="none"/>
          <w:lang w:val="en-US" w:eastAsia="zh-CN"/>
        </w:rPr>
        <w:t>实施</w:t>
      </w:r>
      <w:r>
        <w:rPr>
          <w:rFonts w:hint="eastAsia"/>
          <w:highlight w:val="none"/>
        </w:rPr>
        <w:t>成效</w:t>
      </w:r>
      <w:r>
        <w:rPr>
          <w:rFonts w:hint="eastAsia"/>
          <w:highlight w:val="none"/>
          <w:u w:val="none"/>
          <w:lang w:val="en-US" w:eastAsia="zh-CN"/>
        </w:rPr>
        <w:t>。</w:t>
      </w:r>
      <w:r>
        <w:rPr>
          <w:rFonts w:hint="eastAsia"/>
          <w:szCs w:val="22"/>
          <w:highlight w:val="none"/>
        </w:rPr>
        <w:t>加强资金使用全流程监管，</w:t>
      </w:r>
      <w:r>
        <w:rPr>
          <w:rFonts w:hint="eastAsia"/>
          <w:szCs w:val="22"/>
          <w:highlight w:val="none"/>
          <w:lang w:val="en-US" w:eastAsia="zh-CN"/>
        </w:rPr>
        <w:t>落实</w:t>
      </w:r>
      <w:r>
        <w:rPr>
          <w:rFonts w:hint="eastAsia"/>
          <w:szCs w:val="22"/>
          <w:highlight w:val="none"/>
        </w:rPr>
        <w:t>专款专用、封闭管理。</w:t>
      </w:r>
    </w:p>
    <w:p w14:paraId="42B61A68">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4.提升信息化管理水平。</w:t>
      </w:r>
    </w:p>
    <w:p w14:paraId="5E905A10">
      <w:pPr>
        <w:keepNext w:val="0"/>
        <w:keepLines w:val="0"/>
        <w:pageBreakBefore w:val="0"/>
        <w:widowControl w:val="0"/>
        <w:kinsoku/>
        <w:wordWrap/>
        <w:overflowPunct/>
        <w:topLinePunct w:val="0"/>
        <w:autoSpaceDE/>
        <w:autoSpaceDN/>
        <w:bidi w:val="0"/>
        <w:adjustRightInd/>
        <w:snapToGrid/>
        <w:spacing w:beforeLines="0" w:afterLines="0"/>
        <w:jc w:val="both"/>
        <w:textAlignment w:val="auto"/>
        <w:rPr>
          <w:rFonts w:hint="default" w:cs="Times New Roman"/>
          <w:highlight w:val="none"/>
          <w:shd w:val="clear" w:color="auto" w:fill="auto"/>
        </w:rPr>
      </w:pPr>
      <w:r>
        <w:rPr>
          <w:rFonts w:hint="default" w:ascii="Times New Roman" w:hAnsi="Times New Roman" w:cs="Times New Roman"/>
          <w:sz w:val="32"/>
          <w:szCs w:val="32"/>
          <w:highlight w:val="none"/>
          <w:lang w:val="en-US" w:eastAsia="zh-CN"/>
        </w:rPr>
        <w:t>持续完善</w:t>
      </w:r>
      <w:r>
        <w:rPr>
          <w:rFonts w:hint="default" w:cs="Times New Roman"/>
          <w:sz w:val="32"/>
          <w:szCs w:val="32"/>
          <w:highlight w:val="none"/>
          <w:lang w:val="en-US" w:eastAsia="zh-CN"/>
        </w:rPr>
        <w:t>信息化系统建设，推动</w:t>
      </w:r>
      <w:r>
        <w:rPr>
          <w:rFonts w:hint="default" w:cs="Times New Roman"/>
          <w:highlight w:val="none"/>
          <w:lang w:eastAsia="zh-CN"/>
        </w:rPr>
        <w:t>申请材料电子化共享，切实提升服务规范化水平与工作效率。</w:t>
      </w:r>
      <w:r>
        <w:rPr>
          <w:rFonts w:hint="default" w:cs="Times New Roman"/>
          <w:highlight w:val="none"/>
        </w:rPr>
        <w:t>做好配租型保障性住房</w:t>
      </w:r>
      <w:r>
        <w:rPr>
          <w:rFonts w:hint="default" w:cs="Times New Roman"/>
          <w:highlight w:val="none"/>
          <w:lang w:eastAsia="zh-CN"/>
        </w:rPr>
        <w:t>、</w:t>
      </w:r>
      <w:r>
        <w:rPr>
          <w:rFonts w:hint="default" w:cs="Times New Roman"/>
          <w:highlight w:val="none"/>
        </w:rPr>
        <w:t>配售型保障性住房信息化</w:t>
      </w:r>
      <w:r>
        <w:rPr>
          <w:rFonts w:hint="default" w:ascii="Times New Roman" w:hAnsi="Times New Roman" w:cs="Times New Roman"/>
          <w:b w:val="0"/>
          <w:bCs w:val="0"/>
          <w:highlight w:val="none"/>
        </w:rPr>
        <w:t>管理的衔接，</w:t>
      </w:r>
      <w:r>
        <w:rPr>
          <w:rFonts w:hint="default" w:cs="Times New Roman"/>
          <w:highlight w:val="none"/>
          <w:lang w:eastAsia="zh-CN"/>
        </w:rPr>
        <w:t>加快信息系统政务、</w:t>
      </w:r>
      <w:r>
        <w:rPr>
          <w:rFonts w:hint="default" w:cs="Times New Roman"/>
          <w:highlight w:val="none"/>
          <w:lang w:val="en-US" w:eastAsia="zh-CN"/>
        </w:rPr>
        <w:t>企业</w:t>
      </w:r>
      <w:r>
        <w:rPr>
          <w:rFonts w:hint="default" w:cs="Times New Roman"/>
          <w:highlight w:val="none"/>
          <w:lang w:eastAsia="zh-CN"/>
        </w:rPr>
        <w:t>管理端和居民使用端的</w:t>
      </w:r>
      <w:r>
        <w:rPr>
          <w:rFonts w:hint="default" w:cs="Times New Roman"/>
          <w:highlight w:val="none"/>
          <w:lang w:val="en-US" w:eastAsia="zh-CN"/>
        </w:rPr>
        <w:t>平台数据共享</w:t>
      </w:r>
      <w:r>
        <w:rPr>
          <w:rFonts w:hint="default" w:cs="Times New Roman"/>
          <w:highlight w:val="none"/>
          <w:lang w:eastAsia="zh-CN"/>
        </w:rPr>
        <w:t>，</w:t>
      </w:r>
      <w:r>
        <w:rPr>
          <w:rFonts w:hint="default" w:cs="Times New Roman"/>
          <w:highlight w:val="none"/>
          <w:lang w:val="en-US" w:eastAsia="zh-CN"/>
        </w:rPr>
        <w:t>完善</w:t>
      </w:r>
      <w:r>
        <w:rPr>
          <w:rFonts w:hint="default" w:cs="Times New Roman"/>
          <w:highlight w:val="none"/>
          <w:lang w:eastAsia="zh-CN"/>
        </w:rPr>
        <w:t>线上申请、审核等功能。</w:t>
      </w:r>
      <w:r>
        <w:rPr>
          <w:rFonts w:hint="default" w:ascii="Times New Roman" w:hAnsi="Times New Roman" w:eastAsia="仿宋_GB2312" w:cs="Times New Roman"/>
          <w:sz w:val="32"/>
          <w:szCs w:val="32"/>
          <w:highlight w:val="none"/>
        </w:rPr>
        <w:t>加快推进</w:t>
      </w:r>
      <w:r>
        <w:rPr>
          <w:rFonts w:hint="eastAsia" w:ascii="仿宋_GB2312" w:hAnsi="仿宋_GB2312" w:cs="Times New Roman"/>
          <w:sz w:val="32"/>
          <w:szCs w:val="32"/>
          <w:highlight w:val="none"/>
          <w:lang w:eastAsia="zh-CN"/>
        </w:rPr>
        <w:t>“</w:t>
      </w:r>
      <w:r>
        <w:rPr>
          <w:rFonts w:hint="default" w:ascii="Times New Roman" w:hAnsi="Times New Roman" w:eastAsia="仿宋_GB2312" w:cs="Times New Roman"/>
          <w:sz w:val="32"/>
          <w:szCs w:val="32"/>
          <w:highlight w:val="none"/>
        </w:rPr>
        <w:t>数字住保</w:t>
      </w:r>
      <w:r>
        <w:rPr>
          <w:rFonts w:hint="eastAsia" w:ascii="仿宋_GB2312" w:hAnsi="仿宋_GB2312" w:cs="Times New Roman"/>
          <w:sz w:val="32"/>
          <w:szCs w:val="32"/>
          <w:highlight w:val="none"/>
          <w:lang w:eastAsia="zh-CN"/>
        </w:rPr>
        <w:t>”</w:t>
      </w:r>
      <w:r>
        <w:rPr>
          <w:rFonts w:hint="default" w:ascii="Times New Roman" w:hAnsi="Times New Roman" w:eastAsia="仿宋_GB2312" w:cs="Times New Roman"/>
          <w:sz w:val="32"/>
          <w:szCs w:val="32"/>
          <w:highlight w:val="none"/>
        </w:rPr>
        <w:t>平台建设，通过持续优化业务板块、拓宽智能应用场景，稳步构建</w:t>
      </w:r>
      <w:r>
        <w:rPr>
          <w:rFonts w:hint="eastAsia" w:ascii="仿宋_GB2312" w:hAnsi="仿宋_GB2312" w:cs="Times New Roman"/>
          <w:sz w:val="32"/>
          <w:szCs w:val="32"/>
          <w:highlight w:val="none"/>
          <w:lang w:eastAsia="zh-CN"/>
        </w:rPr>
        <w:t>“</w:t>
      </w:r>
      <w:r>
        <w:rPr>
          <w:rFonts w:hint="default" w:ascii="Times New Roman" w:hAnsi="Times New Roman" w:eastAsia="仿宋_GB2312" w:cs="Times New Roman"/>
          <w:sz w:val="32"/>
          <w:szCs w:val="32"/>
          <w:highlight w:val="none"/>
        </w:rPr>
        <w:t>一平台、一张图、一张网</w:t>
      </w:r>
      <w:r>
        <w:rPr>
          <w:rFonts w:hint="eastAsia" w:ascii="仿宋_GB2312" w:hAnsi="仿宋_GB2312" w:cs="Times New Roman"/>
          <w:sz w:val="32"/>
          <w:szCs w:val="32"/>
          <w:highlight w:val="none"/>
          <w:lang w:eastAsia="zh-CN"/>
        </w:rPr>
        <w:t>”</w:t>
      </w:r>
      <w:r>
        <w:rPr>
          <w:rFonts w:hint="default" w:ascii="Times New Roman" w:hAnsi="Times New Roman" w:eastAsia="仿宋_GB2312" w:cs="Times New Roman"/>
          <w:sz w:val="32"/>
          <w:szCs w:val="32"/>
          <w:highlight w:val="none"/>
        </w:rPr>
        <w:t>一体化管理体系</w:t>
      </w:r>
      <w:r>
        <w:rPr>
          <w:rFonts w:hint="default" w:ascii="Times New Roman" w:hAnsi="Times New Roman" w:eastAsia="仿宋_GB2312" w:cs="Times New Roman"/>
          <w:sz w:val="32"/>
          <w:szCs w:val="32"/>
          <w:highlight w:val="none"/>
          <w:lang w:eastAsia="zh-CN"/>
        </w:rPr>
        <w:t>。</w:t>
      </w:r>
      <w:r>
        <w:rPr>
          <w:rFonts w:hint="default" w:cs="Times New Roman"/>
          <w:highlight w:val="none"/>
          <w:shd w:val="clear" w:color="auto" w:fill="auto"/>
          <w:lang w:val="en-US" w:eastAsia="zh-CN"/>
        </w:rPr>
        <w:t>探索</w:t>
      </w:r>
      <w:r>
        <w:rPr>
          <w:rFonts w:hint="default" w:cs="Times New Roman"/>
          <w:highlight w:val="none"/>
          <w:shd w:val="clear" w:color="auto" w:fill="auto"/>
        </w:rPr>
        <w:t>保障性住房</w:t>
      </w:r>
      <w:r>
        <w:rPr>
          <w:rFonts w:hint="eastAsia" w:ascii="仿宋_GB2312" w:hAnsi="仿宋_GB2312" w:cs="Times New Roman"/>
          <w:highlight w:val="none"/>
          <w:shd w:val="clear" w:color="auto" w:fill="auto"/>
          <w:lang w:eastAsia="zh-CN"/>
        </w:rPr>
        <w:t>“</w:t>
      </w:r>
      <w:r>
        <w:rPr>
          <w:rFonts w:hint="default" w:cs="Times New Roman"/>
          <w:highlight w:val="none"/>
          <w:shd w:val="clear" w:color="auto" w:fill="auto"/>
        </w:rPr>
        <w:t>数字身份证</w:t>
      </w:r>
      <w:r>
        <w:rPr>
          <w:rFonts w:hint="eastAsia" w:ascii="仿宋_GB2312" w:hAnsi="仿宋_GB2312" w:cs="Times New Roman"/>
          <w:highlight w:val="none"/>
          <w:shd w:val="clear" w:color="auto" w:fill="auto"/>
          <w:lang w:eastAsia="zh-CN"/>
        </w:rPr>
        <w:t>”</w:t>
      </w:r>
      <w:r>
        <w:rPr>
          <w:rFonts w:hint="default" w:cs="Times New Roman"/>
          <w:highlight w:val="none"/>
          <w:shd w:val="clear" w:color="auto" w:fill="auto"/>
        </w:rPr>
        <w:t>建设</w:t>
      </w:r>
      <w:r>
        <w:rPr>
          <w:rFonts w:hint="default" w:cs="Times New Roman"/>
          <w:highlight w:val="none"/>
          <w:shd w:val="clear" w:color="auto" w:fill="auto"/>
          <w:lang w:eastAsia="zh-CN"/>
        </w:rPr>
        <w:t>，</w:t>
      </w:r>
      <w:r>
        <w:rPr>
          <w:rFonts w:hint="eastAsia" w:cs="Times New Roman"/>
          <w:highlight w:val="none"/>
          <w:shd w:val="clear" w:color="auto" w:fill="auto"/>
          <w:lang w:val="en-US" w:eastAsia="zh-CN"/>
        </w:rPr>
        <w:t>大力</w:t>
      </w:r>
      <w:r>
        <w:rPr>
          <w:rFonts w:hint="default" w:cs="Times New Roman"/>
          <w:highlight w:val="none"/>
          <w:shd w:val="clear" w:color="auto" w:fill="auto"/>
        </w:rPr>
        <w:t>推广智慧门禁、人脸识别、水电表远程抄送等物联网设备</w:t>
      </w:r>
      <w:r>
        <w:rPr>
          <w:rFonts w:hint="default" w:cs="Times New Roman"/>
          <w:highlight w:val="none"/>
          <w:shd w:val="clear" w:color="auto" w:fill="auto"/>
          <w:lang w:val="en-US" w:eastAsia="zh-CN"/>
        </w:rPr>
        <w:t>应用</w:t>
      </w:r>
      <w:r>
        <w:rPr>
          <w:rFonts w:hint="default" w:cs="Times New Roman"/>
          <w:highlight w:val="none"/>
          <w:shd w:val="clear" w:color="auto" w:fill="auto"/>
        </w:rPr>
        <w:t>，</w:t>
      </w:r>
      <w:r>
        <w:rPr>
          <w:rFonts w:hint="default" w:ascii="Times New Roman" w:hAnsi="Times New Roman" w:eastAsia="仿宋_GB2312" w:cs="Times New Roman"/>
          <w:sz w:val="32"/>
          <w:szCs w:val="32"/>
          <w:highlight w:val="none"/>
        </w:rPr>
        <w:t>以数字化手段提升运营监管效能</w:t>
      </w:r>
      <w:r>
        <w:rPr>
          <w:rFonts w:hint="default" w:cs="Times New Roman"/>
          <w:highlight w:val="none"/>
          <w:shd w:val="clear" w:color="auto" w:fill="auto"/>
        </w:rPr>
        <w: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14:paraId="2E2C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6" w:type="dxa"/>
            <w:vAlign w:val="center"/>
          </w:tcPr>
          <w:p w14:paraId="365C42C4">
            <w:pPr>
              <w:widowControl w:val="0"/>
              <w:adjustRightInd w:val="0"/>
              <w:snapToGrid w:val="0"/>
              <w:spacing w:beforeLines="0" w:afterLines="0" w:line="240" w:lineRule="auto"/>
              <w:ind w:firstLine="0" w:firstLineChars="0"/>
              <w:jc w:val="center"/>
              <w:rPr>
                <w:rFonts w:hint="default" w:ascii="仿宋_GB2312" w:hAnsi="仿宋_GB2312" w:cs="仿宋_GB2312"/>
                <w:color w:val="auto"/>
                <w:sz w:val="28"/>
                <w:highlight w:val="none"/>
                <w:vertAlign w:val="baseline"/>
                <w:lang w:val="en-US" w:eastAsia="zh-CN"/>
              </w:rPr>
            </w:pPr>
            <w:r>
              <w:rPr>
                <w:rFonts w:hint="eastAsia" w:cs="仿宋_GB2312"/>
                <w:b/>
                <w:bCs/>
                <w:color w:val="auto"/>
                <w:sz w:val="28"/>
                <w:highlight w:val="none"/>
                <w:vertAlign w:val="baseline"/>
                <w:lang w:val="en-US" w:eastAsia="zh-CN"/>
              </w:rPr>
              <w:t>专栏5 住房保障提质增效工程</w:t>
            </w:r>
          </w:p>
        </w:tc>
      </w:tr>
      <w:tr w14:paraId="6E16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6" w:type="dxa"/>
            <w:vAlign w:val="center"/>
          </w:tcPr>
          <w:p w14:paraId="185B8B55">
            <w:pPr>
              <w:pStyle w:val="17"/>
              <w:spacing w:beforeLines="0" w:afterLines="0"/>
              <w:rPr>
                <w:rFonts w:hint="eastAsia" w:ascii="仿宋_GB2312" w:hAnsi="仿宋_GB2312" w:cs="仿宋_GB2312"/>
                <w:color w:val="auto"/>
                <w:sz w:val="28"/>
                <w:highlight w:val="none"/>
              </w:rPr>
            </w:pPr>
            <w:r>
              <w:rPr>
                <w:rFonts w:hint="default" w:ascii="Times New Roman Bold" w:hAnsi="Times New Roman Bold" w:cs="Times New Roman Bold"/>
                <w:b/>
                <w:bCs w:val="0"/>
                <w:color w:val="auto"/>
                <w:sz w:val="28"/>
                <w:highlight w:val="none"/>
                <w:lang w:val="en-US" w:eastAsia="zh-CN"/>
              </w:rPr>
              <w:t>1.</w:t>
            </w:r>
            <w:r>
              <w:rPr>
                <w:rFonts w:hint="eastAsia" w:ascii="仿宋_GB2312" w:hAnsi="仿宋_GB2312" w:cs="仿宋_GB2312"/>
                <w:b/>
                <w:bCs/>
                <w:color w:val="auto"/>
                <w:sz w:val="28"/>
                <w:highlight w:val="none"/>
                <w:lang w:val="en-US" w:eastAsia="zh-CN"/>
              </w:rPr>
              <w:t>拓宽保障性住房房源筹集渠道</w:t>
            </w:r>
            <w:r>
              <w:rPr>
                <w:rFonts w:hint="eastAsia" w:ascii="仿宋_GB2312" w:hAnsi="仿宋_GB2312" w:cs="仿宋_GB2312"/>
                <w:b/>
                <w:bCs/>
                <w:color w:val="auto"/>
                <w:sz w:val="28"/>
                <w:highlight w:val="none"/>
              </w:rPr>
              <w:t>。</w:t>
            </w:r>
            <w:r>
              <w:rPr>
                <w:rFonts w:hint="eastAsia" w:ascii="仿宋_GB2312" w:hAnsi="仿宋_GB2312" w:eastAsia="仿宋_GB2312" w:cs="仿宋_GB2312"/>
                <w:color w:val="auto"/>
                <w:sz w:val="28"/>
                <w:szCs w:val="32"/>
                <w:highlight w:val="none"/>
              </w:rPr>
              <w:t>采取</w:t>
            </w:r>
            <w:r>
              <w:rPr>
                <w:rFonts w:hint="eastAsia" w:ascii="仿宋_GB2312" w:hAnsi="仿宋_GB2312" w:eastAsia="仿宋_GB2312" w:cs="仿宋_GB2312"/>
                <w:b w:val="0"/>
                <w:bCs w:val="0"/>
                <w:color w:val="auto"/>
                <w:sz w:val="28"/>
                <w:szCs w:val="32"/>
                <w:highlight w:val="none"/>
              </w:rPr>
              <w:t>新建一批、收购一批、盘活一批、改建一批</w:t>
            </w:r>
            <w:r>
              <w:rPr>
                <w:rFonts w:hint="eastAsia" w:ascii="仿宋_GB2312" w:hAnsi="仿宋_GB2312" w:eastAsia="仿宋_GB2312" w:cs="仿宋_GB2312"/>
                <w:b w:val="0"/>
                <w:bCs w:val="0"/>
                <w:color w:val="auto"/>
                <w:sz w:val="28"/>
                <w:szCs w:val="32"/>
                <w:highlight w:val="none"/>
                <w:lang w:eastAsia="zh-CN"/>
              </w:rPr>
              <w:t>、</w:t>
            </w:r>
            <w:r>
              <w:rPr>
                <w:rFonts w:hint="eastAsia" w:ascii="仿宋_GB2312" w:hAnsi="仿宋_GB2312" w:eastAsia="仿宋_GB2312" w:cs="仿宋_GB2312"/>
                <w:b w:val="0"/>
                <w:bCs w:val="0"/>
                <w:color w:val="auto"/>
                <w:sz w:val="28"/>
                <w:szCs w:val="32"/>
                <w:highlight w:val="none"/>
                <w:lang w:val="en-US" w:eastAsia="zh-CN"/>
              </w:rPr>
              <w:t>配</w:t>
            </w:r>
            <w:r>
              <w:rPr>
                <w:rFonts w:hint="eastAsia" w:ascii="仿宋_GB2312" w:hAnsi="仿宋_GB2312" w:eastAsia="仿宋_GB2312" w:cs="仿宋_GB2312"/>
                <w:b w:val="0"/>
                <w:bCs w:val="0"/>
                <w:color w:val="auto"/>
                <w:sz w:val="28"/>
                <w:szCs w:val="32"/>
                <w:highlight w:val="none"/>
              </w:rPr>
              <w:t>建一批</w:t>
            </w:r>
            <w:r>
              <w:rPr>
                <w:rFonts w:hint="eastAsia" w:ascii="仿宋_GB2312" w:hAnsi="仿宋_GB2312" w:eastAsia="仿宋_GB2312" w:cs="仿宋_GB2312"/>
                <w:color w:val="auto"/>
                <w:sz w:val="28"/>
                <w:szCs w:val="32"/>
                <w:highlight w:val="none"/>
              </w:rPr>
              <w:t>的方式，多渠道增加保障性住房供给。</w:t>
            </w:r>
            <w:r>
              <w:rPr>
                <w:rFonts w:hint="eastAsia" w:ascii="仿宋_GB2312" w:hAnsi="仿宋_GB2312" w:cs="仿宋_GB2312"/>
                <w:color w:val="auto"/>
                <w:sz w:val="28"/>
                <w:szCs w:val="32"/>
                <w:highlight w:val="none"/>
                <w:lang w:val="en-US" w:eastAsia="zh-CN"/>
              </w:rPr>
              <w:t>统筹用好上级补助资金、</w:t>
            </w:r>
            <w:r>
              <w:rPr>
                <w:rFonts w:hint="eastAsia" w:ascii="仿宋_GB2312" w:hAnsi="仿宋_GB2312" w:cs="仿宋_GB2312"/>
                <w:color w:val="auto"/>
                <w:sz w:val="28"/>
                <w:highlight w:val="none"/>
              </w:rPr>
              <w:t>地方政府专项债、保障性住房再贷款等政策，鼓励市属国企</w:t>
            </w:r>
            <w:r>
              <w:rPr>
                <w:rFonts w:hint="eastAsia" w:ascii="仿宋_GB2312" w:hAnsi="仿宋_GB2312" w:cs="仿宋_GB2312"/>
                <w:color w:val="auto"/>
                <w:sz w:val="28"/>
                <w:highlight w:val="none"/>
                <w:lang w:eastAsia="zh-CN"/>
              </w:rPr>
              <w:t>、</w:t>
            </w:r>
            <w:r>
              <w:rPr>
                <w:rFonts w:hint="eastAsia" w:ascii="仿宋_GB2312" w:hAnsi="仿宋_GB2312" w:cs="仿宋_GB2312"/>
                <w:color w:val="auto"/>
                <w:sz w:val="28"/>
                <w:highlight w:val="none"/>
              </w:rPr>
              <w:t>各县（市、区）</w:t>
            </w:r>
            <w:r>
              <w:rPr>
                <w:rFonts w:hint="eastAsia" w:ascii="仿宋_GB2312" w:hAnsi="仿宋_GB2312" w:cs="仿宋_GB2312"/>
                <w:color w:val="auto"/>
                <w:sz w:val="28"/>
                <w:highlight w:val="none"/>
                <w:lang w:val="en-US" w:eastAsia="zh-CN"/>
              </w:rPr>
              <w:t>国企</w:t>
            </w:r>
            <w:r>
              <w:rPr>
                <w:rFonts w:hint="eastAsia" w:ascii="仿宋_GB2312" w:hAnsi="仿宋_GB2312" w:cs="仿宋_GB2312"/>
                <w:color w:val="auto"/>
                <w:sz w:val="28"/>
                <w:highlight w:val="none"/>
              </w:rPr>
              <w:t>通过</w:t>
            </w:r>
            <w:r>
              <w:rPr>
                <w:rFonts w:hint="eastAsia" w:ascii="仿宋_GB2312" w:hAnsi="仿宋_GB2312" w:cs="仿宋_GB2312"/>
                <w:color w:val="auto"/>
                <w:sz w:val="28"/>
                <w:highlight w:val="none"/>
                <w:lang w:val="en-US" w:eastAsia="zh-CN"/>
              </w:rPr>
              <w:t>收购</w:t>
            </w:r>
            <w:r>
              <w:rPr>
                <w:rFonts w:hint="eastAsia" w:ascii="仿宋_GB2312" w:hAnsi="仿宋_GB2312" w:cs="仿宋_GB2312"/>
                <w:color w:val="auto"/>
                <w:sz w:val="28"/>
                <w:highlight w:val="none"/>
              </w:rPr>
              <w:t>存量商品住房</w:t>
            </w:r>
            <w:r>
              <w:rPr>
                <w:rFonts w:hint="eastAsia" w:ascii="仿宋_GB2312" w:hAnsi="仿宋_GB2312" w:cs="仿宋_GB2312"/>
                <w:color w:val="auto"/>
                <w:sz w:val="28"/>
                <w:highlight w:val="none"/>
                <w:lang w:val="en-US" w:eastAsia="zh-CN"/>
              </w:rPr>
              <w:t>用作保障性住房</w:t>
            </w:r>
            <w:r>
              <w:rPr>
                <w:rFonts w:hint="eastAsia" w:ascii="仿宋_GB2312" w:hAnsi="仿宋_GB2312" w:cs="仿宋_GB2312"/>
                <w:b w:val="0"/>
                <w:bCs w:val="0"/>
                <w:color w:val="auto"/>
                <w:sz w:val="28"/>
                <w:highlight w:val="none"/>
                <w:lang w:val="en-US" w:eastAsia="zh-CN"/>
              </w:rPr>
              <w:t>。</w:t>
            </w:r>
            <w:r>
              <w:rPr>
                <w:rFonts w:hint="eastAsia" w:ascii="仿宋_GB2312" w:hAnsi="仿宋_GB2312" w:cs="仿宋_GB2312"/>
                <w:color w:val="auto"/>
                <w:sz w:val="28"/>
                <w:highlight w:val="none"/>
              </w:rPr>
              <w:t>对阶段性空置保障性住房，分类采取优化配租方案、跨区域调剂、完善配套、适度改造或者调整保障用途等措施</w:t>
            </w:r>
            <w:r>
              <w:rPr>
                <w:rFonts w:hint="eastAsia" w:ascii="仿宋_GB2312" w:hAnsi="仿宋_GB2312" w:cs="仿宋_GB2312"/>
                <w:color w:val="auto"/>
                <w:sz w:val="28"/>
                <w:highlight w:val="none"/>
                <w:lang w:eastAsia="zh-CN"/>
              </w:rPr>
              <w:t>，</w:t>
            </w:r>
            <w:r>
              <w:rPr>
                <w:rFonts w:hint="eastAsia" w:ascii="仿宋_GB2312" w:hAnsi="仿宋_GB2312" w:cs="仿宋_GB2312"/>
                <w:color w:val="auto"/>
                <w:sz w:val="28"/>
                <w:highlight w:val="none"/>
              </w:rPr>
              <w:t>鼓励引入专业化长租运营机构，提高保障性住房管理运营水平。</w:t>
            </w:r>
          </w:p>
          <w:p w14:paraId="3324D7A7">
            <w:pPr>
              <w:pStyle w:val="17"/>
              <w:widowControl w:val="0"/>
              <w:adjustRightInd w:val="0"/>
              <w:snapToGrid w:val="0"/>
              <w:spacing w:beforeLines="0" w:afterLines="0"/>
              <w:jc w:val="both"/>
              <w:rPr>
                <w:rFonts w:hint="eastAsia" w:ascii="仿宋_GB2312" w:hAnsi="仿宋_GB2312" w:cs="仿宋_GB2312"/>
                <w:color w:val="auto"/>
                <w:sz w:val="28"/>
                <w:highlight w:val="none"/>
                <w:vertAlign w:val="baseline"/>
                <w:lang w:val="en-US" w:eastAsia="zh-CN"/>
              </w:rPr>
            </w:pPr>
            <w:r>
              <w:rPr>
                <w:rFonts w:hint="default" w:ascii="Times New Roman Bold" w:hAnsi="Times New Roman Bold" w:cs="Times New Roman Bold"/>
                <w:b/>
                <w:bCs w:val="0"/>
                <w:color w:val="auto"/>
                <w:sz w:val="28"/>
                <w:highlight w:val="none"/>
                <w:lang w:val="en-US" w:eastAsia="zh-CN"/>
              </w:rPr>
              <w:t>2.</w:t>
            </w:r>
            <w:r>
              <w:rPr>
                <w:rFonts w:hint="eastAsia" w:ascii="仿宋_GB2312" w:hAnsi="仿宋_GB2312" w:cs="仿宋_GB2312"/>
                <w:b/>
                <w:bCs/>
                <w:color w:val="auto"/>
                <w:sz w:val="28"/>
                <w:highlight w:val="none"/>
                <w:lang w:val="en-US" w:eastAsia="zh-CN"/>
              </w:rPr>
              <w:t>提升保障性住房品质。</w:t>
            </w:r>
            <w:r>
              <w:rPr>
                <w:rFonts w:hint="eastAsia" w:cs="Times New Roman"/>
                <w:sz w:val="28"/>
                <w:highlight w:val="none"/>
                <w:lang w:val="en-US" w:eastAsia="zh-CN"/>
              </w:rPr>
              <w:t>探索建立符合湛江市实际的保障性住房</w:t>
            </w:r>
            <w:r>
              <w:rPr>
                <w:rFonts w:hint="eastAsia" w:ascii="仿宋_GB2312" w:hAnsi="仿宋_GB2312" w:cs="Times New Roman"/>
                <w:sz w:val="28"/>
                <w:highlight w:val="none"/>
                <w:lang w:val="en-US" w:eastAsia="zh-CN"/>
              </w:rPr>
              <w:t>“</w:t>
            </w:r>
            <w:r>
              <w:rPr>
                <w:rFonts w:hint="eastAsia" w:cs="Times New Roman"/>
                <w:sz w:val="28"/>
                <w:highlight w:val="none"/>
                <w:lang w:val="en-US" w:eastAsia="zh-CN"/>
              </w:rPr>
              <w:t>好房子</w:t>
            </w:r>
            <w:r>
              <w:rPr>
                <w:rFonts w:hint="eastAsia" w:ascii="仿宋_GB2312" w:hAnsi="仿宋_GB2312" w:cs="Times New Roman"/>
                <w:sz w:val="28"/>
                <w:highlight w:val="none"/>
                <w:lang w:val="en-US" w:eastAsia="zh-CN"/>
              </w:rPr>
              <w:t>”</w:t>
            </w:r>
            <w:r>
              <w:rPr>
                <w:rFonts w:hint="eastAsia" w:cs="Times New Roman"/>
                <w:sz w:val="28"/>
                <w:highlight w:val="none"/>
                <w:lang w:val="en-US" w:eastAsia="zh-CN"/>
              </w:rPr>
              <w:t>建设标准，重点消除保障性住房安全隐患，强化</w:t>
            </w:r>
            <w:r>
              <w:rPr>
                <w:rFonts w:hint="eastAsia" w:cs="Times New Roman"/>
                <w:sz w:val="28"/>
                <w:highlight w:val="none"/>
              </w:rPr>
              <w:t>无障碍、适老化、智能化等</w:t>
            </w:r>
            <w:r>
              <w:rPr>
                <w:rFonts w:hint="eastAsia" w:cs="Times New Roman"/>
                <w:sz w:val="28"/>
                <w:highlight w:val="none"/>
                <w:lang w:val="en-US" w:eastAsia="zh-CN"/>
              </w:rPr>
              <w:t>功能设计</w:t>
            </w:r>
            <w:r>
              <w:rPr>
                <w:rFonts w:hint="eastAsia" w:cs="Times New Roman"/>
                <w:sz w:val="28"/>
                <w:highlight w:val="none"/>
              </w:rPr>
              <w:t>。</w:t>
            </w:r>
            <w:r>
              <w:rPr>
                <w:rFonts w:hint="eastAsia" w:cs="Times New Roman"/>
                <w:sz w:val="28"/>
                <w:highlight w:val="none"/>
                <w:lang w:val="en-US" w:eastAsia="zh-CN"/>
              </w:rPr>
              <w:t>针对</w:t>
            </w:r>
            <w:r>
              <w:rPr>
                <w:rFonts w:hint="eastAsia" w:ascii="仿宋_GB2312" w:hAnsi="仿宋_GB2312" w:cs="Times New Roman"/>
                <w:kern w:val="2"/>
                <w:sz w:val="28"/>
                <w:szCs w:val="32"/>
                <w:highlight w:val="none"/>
                <w:vertAlign w:val="baseline"/>
                <w:lang w:val="en-US" w:eastAsia="zh-CN" w:bidi="ar-SA"/>
              </w:rPr>
              <w:t>“</w:t>
            </w:r>
            <w:r>
              <w:rPr>
                <w:rFonts w:hint="eastAsia" w:cs="Times New Roman"/>
                <w:kern w:val="2"/>
                <w:sz w:val="28"/>
                <w:szCs w:val="32"/>
                <w:highlight w:val="none"/>
                <w:vertAlign w:val="baseline"/>
                <w:lang w:val="en-US" w:eastAsia="zh-CN" w:bidi="ar-SA"/>
              </w:rPr>
              <w:t>一老一小</w:t>
            </w:r>
            <w:r>
              <w:rPr>
                <w:rFonts w:hint="eastAsia" w:ascii="仿宋_GB2312" w:hAnsi="仿宋_GB2312" w:cs="Times New Roman"/>
                <w:kern w:val="2"/>
                <w:sz w:val="28"/>
                <w:szCs w:val="32"/>
                <w:highlight w:val="none"/>
                <w:vertAlign w:val="baseline"/>
                <w:lang w:val="en-US" w:eastAsia="zh-CN" w:bidi="ar-SA"/>
              </w:rPr>
              <w:t>”</w:t>
            </w:r>
            <w:r>
              <w:rPr>
                <w:rFonts w:hint="eastAsia" w:cs="Times New Roman"/>
                <w:kern w:val="2"/>
                <w:sz w:val="28"/>
                <w:szCs w:val="32"/>
                <w:highlight w:val="none"/>
                <w:vertAlign w:val="baseline"/>
                <w:lang w:val="en-US" w:eastAsia="zh-CN" w:bidi="ar-SA"/>
              </w:rPr>
              <w:t>群体较为集中的保障性住房小区，结合政府财力对公共活动场地和闲置低效公共空间实施适老化、适儿化及无障碍改造提升</w:t>
            </w:r>
            <w:r>
              <w:rPr>
                <w:rFonts w:hint="eastAsia" w:cs="Times New Roman"/>
                <w:sz w:val="28"/>
                <w:highlight w:val="none"/>
                <w:lang w:eastAsia="zh-CN"/>
              </w:rPr>
              <w:t>。</w:t>
            </w:r>
            <w:r>
              <w:rPr>
                <w:rFonts w:hint="eastAsia" w:cs="Times New Roman"/>
                <w:sz w:val="28"/>
                <w:highlight w:val="none"/>
                <w:lang w:val="en-US" w:eastAsia="zh-CN"/>
              </w:rPr>
              <w:t>加强保障性住房运营管理和维修养护，</w:t>
            </w:r>
            <w:r>
              <w:rPr>
                <w:rFonts w:hint="eastAsia" w:cs="Times New Roman"/>
                <w:sz w:val="28"/>
                <w:highlight w:val="none"/>
              </w:rPr>
              <w:t>引入专业化物业管理</w:t>
            </w:r>
            <w:r>
              <w:rPr>
                <w:rFonts w:hint="eastAsia" w:cs="Times New Roman"/>
                <w:sz w:val="28"/>
                <w:highlight w:val="none"/>
                <w:lang w:val="en-US" w:eastAsia="zh-CN"/>
              </w:rPr>
              <w:t>市场主体</w:t>
            </w:r>
            <w:r>
              <w:rPr>
                <w:rFonts w:hint="eastAsia" w:cs="Times New Roman"/>
                <w:sz w:val="28"/>
                <w:highlight w:val="none"/>
              </w:rPr>
              <w:t>，</w:t>
            </w:r>
            <w:r>
              <w:rPr>
                <w:rFonts w:hint="eastAsia" w:cs="Times New Roman"/>
                <w:sz w:val="28"/>
                <w:highlight w:val="none"/>
                <w:lang w:val="en-US" w:eastAsia="zh-CN"/>
              </w:rPr>
              <w:t>参与</w:t>
            </w:r>
            <w:r>
              <w:rPr>
                <w:rFonts w:hint="eastAsia" w:cs="Times New Roman"/>
                <w:sz w:val="28"/>
                <w:highlight w:val="none"/>
              </w:rPr>
              <w:t>小区保洁、安保巡逻、绿化养护、公共设施维修养护、消防设施巡检等基础服务，推动管理服务规范化、精细化、长效化。</w:t>
            </w:r>
          </w:p>
        </w:tc>
      </w:tr>
    </w:tbl>
    <w:p w14:paraId="5C8F05D8">
      <w:pPr>
        <w:pStyle w:val="3"/>
        <w:numPr>
          <w:ilvl w:val="0"/>
          <w:numId w:val="2"/>
        </w:numPr>
        <w:spacing w:beforeLines="0" w:afterLines="0"/>
        <w:rPr>
          <w:rFonts w:hint="default"/>
          <w:lang w:val="en-US" w:eastAsia="zh-CN"/>
        </w:rPr>
      </w:pPr>
      <w:bookmarkStart w:id="258" w:name="_Toc732213900"/>
      <w:bookmarkStart w:id="259" w:name="_Toc996802960"/>
      <w:bookmarkStart w:id="260" w:name="_Toc1234"/>
      <w:bookmarkStart w:id="261" w:name="_Toc1878"/>
      <w:bookmarkStart w:id="262" w:name="_Toc1312"/>
      <w:bookmarkStart w:id="263" w:name="_Toc12253"/>
      <w:bookmarkStart w:id="264" w:name="_Toc3745"/>
      <w:bookmarkStart w:id="265" w:name="_Toc31897"/>
      <w:bookmarkStart w:id="266" w:name="_Toc12016"/>
      <w:bookmarkStart w:id="267" w:name="_Toc24513"/>
      <w:bookmarkStart w:id="268" w:name="_Toc23670"/>
      <w:bookmarkStart w:id="269" w:name="_Toc11223"/>
      <w:bookmarkStart w:id="270" w:name="_Toc27797"/>
      <w:bookmarkStart w:id="271" w:name="_Toc20520"/>
      <w:bookmarkStart w:id="272" w:name="_Toc634063652"/>
      <w:bookmarkStart w:id="273" w:name="_Toc7748"/>
      <w:bookmarkStart w:id="274" w:name="_Toc29399"/>
      <w:r>
        <w:rPr>
          <w:rFonts w:hint="eastAsia"/>
          <w:lang w:val="en-US" w:eastAsia="zh-CN"/>
        </w:rPr>
        <w:t>推进住区</w:t>
      </w:r>
      <w:bookmarkEnd w:id="258"/>
      <w:bookmarkEnd w:id="259"/>
      <w:bookmarkEnd w:id="260"/>
      <w:bookmarkEnd w:id="261"/>
      <w:bookmarkEnd w:id="262"/>
      <w:bookmarkEnd w:id="263"/>
      <w:bookmarkEnd w:id="264"/>
      <w:bookmarkEnd w:id="265"/>
      <w:r>
        <w:rPr>
          <w:rFonts w:hint="eastAsia"/>
          <w:lang w:val="en-US" w:eastAsia="zh-CN"/>
        </w:rPr>
        <w:t>更新，</w:t>
      </w:r>
      <w:bookmarkEnd w:id="266"/>
      <w:r>
        <w:rPr>
          <w:rFonts w:hint="eastAsia"/>
          <w:lang w:val="en-US" w:eastAsia="zh-CN"/>
        </w:rPr>
        <w:t>改善居民居住环境</w:t>
      </w:r>
      <w:bookmarkEnd w:id="267"/>
      <w:bookmarkEnd w:id="268"/>
      <w:bookmarkEnd w:id="269"/>
      <w:bookmarkEnd w:id="270"/>
      <w:bookmarkEnd w:id="271"/>
      <w:bookmarkEnd w:id="272"/>
      <w:bookmarkEnd w:id="273"/>
      <w:bookmarkEnd w:id="274"/>
      <w:bookmarkStart w:id="275" w:name="_Toc4200"/>
      <w:bookmarkEnd w:id="275"/>
      <w:bookmarkStart w:id="276" w:name="_Toc31886"/>
      <w:bookmarkEnd w:id="276"/>
    </w:p>
    <w:p w14:paraId="2D39EB78">
      <w:pPr>
        <w:pStyle w:val="4"/>
        <w:keepNext w:val="0"/>
        <w:keepLines w:val="0"/>
        <w:pageBreakBefore w:val="0"/>
        <w:widowControl/>
        <w:kinsoku/>
        <w:wordWrap/>
        <w:overflowPunct/>
        <w:topLinePunct w:val="0"/>
        <w:autoSpaceDE/>
        <w:autoSpaceDN/>
        <w:bidi w:val="0"/>
        <w:adjustRightInd/>
        <w:snapToGrid/>
        <w:spacing w:before="0" w:beforeLines="-2147483648" w:after="0" w:afterLines="-2147483648"/>
        <w:textAlignment w:val="auto"/>
        <w:rPr>
          <w:rFonts w:hint="eastAsia"/>
          <w:lang w:val="en-US" w:eastAsia="zh-CN"/>
        </w:rPr>
      </w:pPr>
      <w:r>
        <w:rPr>
          <w:rFonts w:hint="eastAsia"/>
          <w:lang w:val="en-US" w:eastAsia="zh-CN"/>
        </w:rPr>
        <w:t>1.加快推进危旧房改造。</w:t>
      </w:r>
    </w:p>
    <w:p w14:paraId="32B47FED">
      <w:pPr>
        <w:keepNext w:val="0"/>
        <w:keepLines w:val="0"/>
        <w:widowControl w:val="0"/>
        <w:suppressLineNumbers w:val="0"/>
        <w:ind w:firstLine="640" w:firstLineChars="200"/>
        <w:jc w:val="both"/>
        <w:rPr>
          <w:rFonts w:hint="eastAsia"/>
          <w:highlight w:val="none"/>
          <w:lang w:val="en-US" w:eastAsia="zh-CN"/>
        </w:rPr>
      </w:pPr>
      <w:r>
        <w:rPr>
          <w:rFonts w:hint="eastAsia" w:ascii="Times New Roman" w:hAnsi="Times New Roman" w:cs="Times New Roman"/>
          <w:b w:val="0"/>
          <w:bCs w:val="0"/>
          <w:highlight w:val="none"/>
          <w:lang w:val="en-US" w:eastAsia="zh-CN"/>
        </w:rPr>
        <w:t>全面开展</w:t>
      </w:r>
      <w:r>
        <w:rPr>
          <w:rFonts w:hint="eastAsia" w:cs="Times New Roman"/>
          <w:b w:val="0"/>
          <w:bCs w:val="0"/>
          <w:highlight w:val="none"/>
          <w:lang w:val="en-US" w:eastAsia="zh-CN"/>
        </w:rPr>
        <w:t>县</w:t>
      </w:r>
      <w:r>
        <w:rPr>
          <w:rFonts w:hint="eastAsia" w:ascii="Times New Roman" w:hAnsi="Times New Roman" w:cs="Times New Roman"/>
          <w:b w:val="0"/>
          <w:bCs w:val="0"/>
          <w:highlight w:val="none"/>
          <w:lang w:val="en-US" w:eastAsia="zh-CN"/>
        </w:rPr>
        <w:t>（</w:t>
      </w:r>
      <w:r>
        <w:rPr>
          <w:rFonts w:hint="eastAsia" w:cs="Times New Roman"/>
          <w:b w:val="0"/>
          <w:bCs w:val="0"/>
          <w:highlight w:val="none"/>
          <w:lang w:val="en-US" w:eastAsia="zh-CN"/>
        </w:rPr>
        <w:t>市</w:t>
      </w:r>
      <w:r>
        <w:rPr>
          <w:rFonts w:hint="eastAsia" w:ascii="Times New Roman" w:hAnsi="Times New Roman" w:cs="Times New Roman"/>
          <w:b w:val="0"/>
          <w:bCs w:val="0"/>
          <w:highlight w:val="none"/>
          <w:lang w:val="en-US" w:eastAsia="zh-CN"/>
        </w:rPr>
        <w:t>、区）范围内C、D级危险住房</w:t>
      </w:r>
      <w:r>
        <w:rPr>
          <w:rFonts w:hint="eastAsia" w:ascii="Times New Roman" w:hAnsi="Times New Roman" w:eastAsia="仿宋_GB2312" w:cs="Times New Roman"/>
          <w:i w:val="0"/>
          <w:iCs w:val="0"/>
          <w:caps w:val="0"/>
          <w:color w:val="auto"/>
          <w:spacing w:val="0"/>
          <w:sz w:val="32"/>
          <w:szCs w:val="32"/>
          <w:highlight w:val="none"/>
          <w:shd w:val="clear" w:fill="auto"/>
        </w:rPr>
        <w:t>和非成套住房</w:t>
      </w:r>
      <w:r>
        <w:rPr>
          <w:rFonts w:hint="eastAsia" w:ascii="Times New Roman" w:hAnsi="Times New Roman" w:cs="Times New Roman"/>
          <w:b w:val="0"/>
          <w:bCs w:val="0"/>
          <w:highlight w:val="none"/>
          <w:lang w:val="en-US" w:eastAsia="zh-CN"/>
        </w:rPr>
        <w:t>排查工作</w:t>
      </w:r>
      <w:r>
        <w:rPr>
          <w:rStyle w:val="28"/>
          <w:rFonts w:hint="eastAsia" w:ascii="Times New Roman" w:hAnsi="Times New Roman" w:cs="Times New Roman"/>
          <w:b w:val="0"/>
          <w:bCs w:val="0"/>
          <w:highlight w:val="none"/>
          <w:lang w:val="en-US" w:eastAsia="zh-CN"/>
        </w:rPr>
        <w:footnoteReference w:id="7"/>
      </w:r>
      <w:r>
        <w:rPr>
          <w:rFonts w:hint="eastAsia" w:ascii="Times New Roman" w:hAnsi="Times New Roman" w:cs="Times New Roman"/>
          <w:b w:val="0"/>
          <w:bCs w:val="0"/>
          <w:highlight w:val="none"/>
          <w:lang w:val="en-US" w:eastAsia="zh-CN"/>
        </w:rPr>
        <w:t>，科学分类处置，对D级危房</w:t>
      </w:r>
      <w:r>
        <w:rPr>
          <w:rFonts w:hint="eastAsia" w:cs="Times New Roman"/>
          <w:b w:val="0"/>
          <w:bCs w:val="0"/>
          <w:highlight w:val="none"/>
          <w:lang w:val="en-US" w:eastAsia="zh-CN"/>
        </w:rPr>
        <w:t>优先实施</w:t>
      </w:r>
      <w:r>
        <w:rPr>
          <w:rFonts w:hint="eastAsia" w:ascii="Times New Roman" w:hAnsi="Times New Roman" w:cs="Times New Roman"/>
          <w:b w:val="0"/>
          <w:bCs w:val="0"/>
          <w:highlight w:val="none"/>
          <w:lang w:val="en-US" w:eastAsia="zh-CN"/>
        </w:rPr>
        <w:t>拆除新建、改建</w:t>
      </w:r>
      <w:r>
        <w:rPr>
          <w:rFonts w:hint="eastAsia" w:cs="Times New Roman"/>
          <w:b w:val="0"/>
          <w:bCs w:val="0"/>
          <w:highlight w:val="none"/>
          <w:lang w:val="en-US" w:eastAsia="zh-CN"/>
        </w:rPr>
        <w:t>、原址</w:t>
      </w:r>
      <w:r>
        <w:rPr>
          <w:rFonts w:hint="eastAsia" w:ascii="Times New Roman" w:hAnsi="Times New Roman" w:cs="Times New Roman"/>
          <w:b w:val="0"/>
          <w:bCs w:val="0"/>
          <w:highlight w:val="none"/>
          <w:lang w:val="en-US" w:eastAsia="zh-CN"/>
        </w:rPr>
        <w:t>翻建等，对C级危房以加固维修、更新改造为主</w:t>
      </w:r>
      <w:r>
        <w:rPr>
          <w:rFonts w:hint="eastAsia" w:cs="Times New Roman"/>
          <w:b w:val="0"/>
          <w:bCs w:val="0"/>
          <w:highlight w:val="none"/>
          <w:lang w:val="en-US" w:eastAsia="zh-CN"/>
        </w:rPr>
        <w:t>，同步推进既有房屋抗震隐患整治</w:t>
      </w:r>
      <w:r>
        <w:rPr>
          <w:rFonts w:hint="eastAsia" w:ascii="Times New Roman" w:hAnsi="Times New Roman" w:cs="Times New Roman"/>
          <w:b w:val="0"/>
          <w:bCs w:val="0"/>
          <w:highlight w:val="none"/>
          <w:lang w:val="en-US" w:eastAsia="zh-CN"/>
        </w:rPr>
        <w:t>。完善危旧房常态化管理机制，常态化开展排查、检查、治理工作。</w:t>
      </w:r>
      <w:r>
        <w:rPr>
          <w:rFonts w:hint="eastAsia"/>
          <w:highlight w:val="none"/>
          <w:lang w:val="en-US" w:eastAsia="zh-CN"/>
        </w:rPr>
        <w:t>加强项目谋划，积极申报</w:t>
      </w:r>
      <w:r>
        <w:rPr>
          <w:rFonts w:hint="default" w:ascii="Nuosu SIL" w:hAnsi="Nuosu SIL" w:cs="Nuosu SIL"/>
          <w:color w:val="auto"/>
          <w:highlight w:val="none"/>
          <w:lang w:eastAsia="zh-CN"/>
        </w:rPr>
        <w:t>超长期特别国债</w:t>
      </w:r>
      <w:r>
        <w:rPr>
          <w:rFonts w:hint="eastAsia" w:ascii="Nuosu SIL" w:hAnsi="Nuosu SIL" w:cs="Nuosu SIL"/>
          <w:color w:val="auto"/>
          <w:highlight w:val="none"/>
          <w:lang w:eastAsia="zh-CN"/>
        </w:rPr>
        <w:t>、</w:t>
      </w:r>
      <w:r>
        <w:rPr>
          <w:rFonts w:hint="eastAsia" w:ascii="Nuosu SIL" w:hAnsi="Nuosu SIL" w:cs="Nuosu SIL"/>
          <w:color w:val="auto"/>
          <w:highlight w:val="none"/>
          <w:lang w:val="en-US" w:eastAsia="zh-CN"/>
        </w:rPr>
        <w:t>中央及省级专项补助资金</w:t>
      </w:r>
      <w:r>
        <w:rPr>
          <w:rFonts w:hint="default" w:ascii="Nuosu SIL" w:hAnsi="Nuosu SIL" w:cs="Nuosu SIL"/>
          <w:color w:val="auto"/>
          <w:highlight w:val="none"/>
          <w:lang w:eastAsia="zh-CN"/>
        </w:rPr>
        <w:t>。</w:t>
      </w:r>
      <w:r>
        <w:rPr>
          <w:rFonts w:hint="eastAsia" w:ascii="Times New Roman" w:hAnsi="Times New Roman" w:cs="Times New Roman"/>
          <w:b w:val="0"/>
          <w:bCs w:val="0"/>
          <w:highlight w:val="none"/>
          <w:lang w:val="en-US" w:eastAsia="zh-CN"/>
        </w:rPr>
        <w:t>健全</w:t>
      </w:r>
      <w:r>
        <w:rPr>
          <w:rFonts w:hint="eastAsia" w:ascii="仿宋_GB2312" w:hAnsi="仿宋_GB2312" w:cs="Times New Roman"/>
          <w:b w:val="0"/>
          <w:bCs w:val="0"/>
          <w:highlight w:val="none"/>
          <w:lang w:val="en-US" w:eastAsia="zh-CN"/>
        </w:rPr>
        <w:t>“</w:t>
      </w:r>
      <w:r>
        <w:rPr>
          <w:rFonts w:hint="eastAsia" w:ascii="Times New Roman" w:hAnsi="Times New Roman" w:cs="Times New Roman"/>
          <w:b w:val="0"/>
          <w:bCs w:val="0"/>
          <w:highlight w:val="none"/>
          <w:lang w:val="en-US" w:eastAsia="zh-CN"/>
        </w:rPr>
        <w:t>自主更新、原拆原建</w:t>
      </w:r>
      <w:r>
        <w:rPr>
          <w:rFonts w:hint="eastAsia" w:ascii="仿宋_GB2312" w:hAnsi="仿宋_GB2312" w:cs="Times New Roman"/>
          <w:b w:val="0"/>
          <w:bCs w:val="0"/>
          <w:highlight w:val="none"/>
          <w:lang w:val="en-US" w:eastAsia="zh-CN"/>
        </w:rPr>
        <w:t>”</w:t>
      </w:r>
      <w:r>
        <w:rPr>
          <w:rFonts w:hint="eastAsia" w:ascii="Times New Roman" w:hAnsi="Times New Roman" w:cs="Times New Roman"/>
          <w:b w:val="0"/>
          <w:bCs w:val="0"/>
          <w:highlight w:val="none"/>
          <w:lang w:val="en-US" w:eastAsia="zh-CN"/>
        </w:rPr>
        <w:t>危旧房改造更新模式，</w:t>
      </w:r>
      <w:r>
        <w:rPr>
          <w:rFonts w:hint="eastAsia"/>
          <w:highlight w:val="none"/>
          <w:lang w:val="en-US" w:eastAsia="zh-CN"/>
        </w:rPr>
        <w:t>拓宽资金保障渠道，支持提取和使用住房公积金贷款用于危旧住房自主更新、原拆原建。</w:t>
      </w:r>
    </w:p>
    <w:p w14:paraId="4FD64AD3">
      <w:pPr>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br w:type="page"/>
      </w:r>
    </w:p>
    <w:p w14:paraId="3F703319">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2.持续推进老旧小区改造。</w:t>
      </w:r>
    </w:p>
    <w:p w14:paraId="23E2966A">
      <w:pPr>
        <w:keepNext w:val="0"/>
        <w:keepLines w:val="0"/>
        <w:pageBreakBefore w:val="0"/>
        <w:widowControl w:val="0"/>
        <w:kinsoku/>
        <w:wordWrap/>
        <w:overflowPunct/>
        <w:topLinePunct w:val="0"/>
        <w:autoSpaceDE/>
        <w:autoSpaceDN/>
        <w:bidi w:val="0"/>
        <w:adjustRightInd/>
        <w:snapToGrid/>
        <w:spacing w:beforeLines="0" w:afterLines="0"/>
        <w:ind w:firstLine="640" w:firstLineChars="200"/>
        <w:textAlignment w:val="auto"/>
        <w:rPr>
          <w:rFonts w:hint="eastAsia"/>
          <w:highlight w:val="none"/>
          <w:lang w:val="en-US" w:eastAsia="zh-CN"/>
        </w:rPr>
      </w:pPr>
      <w:r>
        <w:rPr>
          <w:rFonts w:hint="eastAsia"/>
          <w:color w:val="auto"/>
          <w:highlight w:val="none"/>
          <w:lang w:val="en-US" w:eastAsia="zh-CN"/>
        </w:rPr>
        <w:t>坚持先体检、后更新，</w:t>
      </w:r>
      <w:r>
        <w:rPr>
          <w:rFonts w:hint="eastAsia"/>
          <w:color w:val="auto"/>
          <w:highlight w:val="none"/>
        </w:rPr>
        <w:t>重点对建成20年及以上的城镇住宅小区开展专项体检，</w:t>
      </w:r>
      <w:r>
        <w:rPr>
          <w:rFonts w:hint="eastAsia"/>
          <w:color w:val="auto"/>
          <w:highlight w:val="none"/>
          <w:lang w:val="en-US" w:eastAsia="zh-CN"/>
        </w:rPr>
        <w:t>建立项目储备库，实行滚动实施、分类推进</w:t>
      </w:r>
      <w:r>
        <w:rPr>
          <w:rFonts w:hint="eastAsia"/>
          <w:color w:val="auto"/>
          <w:highlight w:val="none"/>
          <w:lang w:eastAsia="zh-CN"/>
        </w:rPr>
        <w:t>。</w:t>
      </w:r>
      <w:r>
        <w:rPr>
          <w:rFonts w:hint="eastAsia"/>
          <w:color w:val="auto"/>
          <w:highlight w:val="none"/>
          <w:lang w:val="en-US" w:eastAsia="zh-CN"/>
        </w:rPr>
        <w:t>聚焦安全隐患整治，更新改造</w:t>
      </w:r>
      <w:r>
        <w:rPr>
          <w:rFonts w:hint="eastAsia"/>
          <w:highlight w:val="none"/>
          <w:lang w:val="en-US" w:eastAsia="zh-CN"/>
        </w:rPr>
        <w:t>小区燃气、供水、排水、供电、通信等老化管线，整治楼栋走道、烟道、通风井以及屋面、外墙等重点部位，</w:t>
      </w:r>
      <w:r>
        <w:rPr>
          <w:rFonts w:hint="eastAsia"/>
          <w:highlight w:val="none"/>
        </w:rPr>
        <w:t>推进屋面防水、外墙防脱落、雨污分流和积水点治理</w:t>
      </w:r>
      <w:r>
        <w:rPr>
          <w:rFonts w:hint="eastAsia"/>
          <w:highlight w:val="none"/>
          <w:lang w:eastAsia="zh-CN"/>
        </w:rPr>
        <w:t>，</w:t>
      </w:r>
      <w:r>
        <w:rPr>
          <w:rFonts w:hint="eastAsia"/>
          <w:highlight w:val="none"/>
        </w:rPr>
        <w:t>推动小区内部管线与城市市政管网有效衔接</w:t>
      </w:r>
      <w:r>
        <w:rPr>
          <w:rFonts w:hint="eastAsia"/>
          <w:highlight w:val="none"/>
          <w:lang w:val="en-US" w:eastAsia="zh-CN"/>
        </w:rPr>
        <w:t>。衔接未来社区（完整社区）建设，</w:t>
      </w:r>
      <w:r>
        <w:rPr>
          <w:rFonts w:hint="eastAsia"/>
          <w:highlight w:val="none"/>
        </w:rPr>
        <w:t>补齐片区市政基础设施短板，</w:t>
      </w:r>
      <w:r>
        <w:rPr>
          <w:rFonts w:hint="eastAsia"/>
          <w:highlight w:val="none"/>
          <w:lang w:val="en-US" w:eastAsia="zh-CN"/>
        </w:rPr>
        <w:t>盘活小区存量空间，完善嵌入式服务设施，按需增设托幼、助餐、家政、养老等便民设施。</w:t>
      </w:r>
      <w:r>
        <w:rPr>
          <w:rFonts w:hint="eastAsia"/>
          <w:highlight w:val="none"/>
        </w:rPr>
        <w:t>建立</w:t>
      </w:r>
      <w:r>
        <w:rPr>
          <w:rFonts w:hint="eastAsia"/>
          <w:highlight w:val="none"/>
          <w:lang w:val="en-US" w:eastAsia="zh-CN"/>
        </w:rPr>
        <w:t>多元资金</w:t>
      </w:r>
      <w:r>
        <w:rPr>
          <w:rFonts w:hint="eastAsia"/>
          <w:highlight w:val="none"/>
        </w:rPr>
        <w:t>共担机制，积极争取超长期特别国债以及中央、省级</w:t>
      </w:r>
      <w:r>
        <w:rPr>
          <w:rFonts w:hint="eastAsia"/>
          <w:highlight w:val="none"/>
          <w:lang w:val="en-US" w:eastAsia="zh-CN"/>
        </w:rPr>
        <w:t>专项</w:t>
      </w:r>
      <w:r>
        <w:rPr>
          <w:rFonts w:hint="eastAsia"/>
          <w:highlight w:val="none"/>
        </w:rPr>
        <w:t>补助资金，统筹地方财政、</w:t>
      </w:r>
      <w:r>
        <w:rPr>
          <w:rFonts w:hint="eastAsia"/>
          <w:highlight w:val="none"/>
          <w:lang w:val="en-US" w:eastAsia="zh-CN"/>
        </w:rPr>
        <w:t>专业经营</w:t>
      </w:r>
      <w:r>
        <w:rPr>
          <w:rFonts w:hint="eastAsia"/>
          <w:highlight w:val="none"/>
        </w:rPr>
        <w:t>单位投入、居民出资和社会</w:t>
      </w:r>
      <w:r>
        <w:rPr>
          <w:rFonts w:hint="eastAsia"/>
          <w:highlight w:val="none"/>
          <w:lang w:val="en-US" w:eastAsia="zh-CN"/>
        </w:rPr>
        <w:t>资本</w:t>
      </w:r>
      <w:r>
        <w:rPr>
          <w:rFonts w:hint="eastAsia"/>
          <w:highlight w:val="none"/>
        </w:rPr>
        <w:t>等</w:t>
      </w:r>
      <w:r>
        <w:rPr>
          <w:rFonts w:hint="eastAsia"/>
          <w:highlight w:val="none"/>
          <w:lang w:val="en-US" w:eastAsia="zh-CN"/>
        </w:rPr>
        <w:t>各类资金</w:t>
      </w:r>
      <w:r>
        <w:rPr>
          <w:rFonts w:hint="eastAsia"/>
          <w:highlight w:val="none"/>
        </w:rPr>
        <w:t>。按照“谁受益、谁出资”原则，引导居民通过直接出资、使用住宅专项维修资金、</w:t>
      </w:r>
      <w:r>
        <w:rPr>
          <w:rFonts w:hint="eastAsia"/>
          <w:highlight w:val="none"/>
          <w:lang w:val="en-US" w:eastAsia="zh-CN"/>
        </w:rPr>
        <w:t>使用</w:t>
      </w:r>
      <w:r>
        <w:rPr>
          <w:rFonts w:hint="eastAsia"/>
          <w:highlight w:val="none"/>
        </w:rPr>
        <w:t>小区公共收益等方式参与改造。落实住房公积金加装电梯</w:t>
      </w:r>
      <w:r>
        <w:rPr>
          <w:rFonts w:hint="eastAsia"/>
          <w:highlight w:val="none"/>
          <w:lang w:eastAsia="zh-CN"/>
        </w:rPr>
        <w:t>、</w:t>
      </w:r>
      <w:r>
        <w:rPr>
          <w:rFonts w:hint="eastAsia"/>
          <w:highlight w:val="none"/>
        </w:rPr>
        <w:t>老旧电梯更新</w:t>
      </w:r>
      <w:r>
        <w:rPr>
          <w:rFonts w:hint="eastAsia"/>
          <w:highlight w:val="none"/>
          <w:lang w:val="en-US" w:eastAsia="zh-CN"/>
        </w:rPr>
        <w:t>支持</w:t>
      </w:r>
      <w:r>
        <w:rPr>
          <w:rFonts w:hint="eastAsia"/>
          <w:highlight w:val="none"/>
        </w:rPr>
        <w:t>政策，</w:t>
      </w:r>
      <w:r>
        <w:rPr>
          <w:rFonts w:hint="eastAsia"/>
          <w:highlight w:val="none"/>
          <w:lang w:val="en-US" w:eastAsia="zh-CN"/>
        </w:rPr>
        <w:t>畅通</w:t>
      </w:r>
      <w:r>
        <w:rPr>
          <w:rFonts w:hint="eastAsia"/>
          <w:highlight w:val="none"/>
        </w:rPr>
        <w:t>居民全过程参与改造</w:t>
      </w:r>
      <w:r>
        <w:rPr>
          <w:rFonts w:hint="eastAsia"/>
          <w:highlight w:val="none"/>
          <w:lang w:val="en-US" w:eastAsia="zh-CN"/>
        </w:rPr>
        <w:t>决策</w:t>
      </w:r>
      <w:r>
        <w:rPr>
          <w:rFonts w:hint="eastAsia"/>
          <w:highlight w:val="none"/>
        </w:rPr>
        <w:t>、监督</w:t>
      </w:r>
      <w:r>
        <w:rPr>
          <w:rFonts w:hint="eastAsia"/>
          <w:highlight w:val="none"/>
          <w:lang w:eastAsia="zh-CN"/>
        </w:rPr>
        <w:t>、</w:t>
      </w:r>
      <w:r>
        <w:rPr>
          <w:rFonts w:hint="eastAsia"/>
          <w:highlight w:val="none"/>
        </w:rPr>
        <w:t>评价</w:t>
      </w:r>
      <w:r>
        <w:rPr>
          <w:rFonts w:hint="eastAsia"/>
          <w:highlight w:val="none"/>
          <w:lang w:val="en-US" w:eastAsia="zh-CN"/>
        </w:rPr>
        <w:t>渠道</w:t>
      </w:r>
      <w:r>
        <w:rPr>
          <w:rFonts w:hint="eastAsia"/>
          <w:highlight w:val="none"/>
        </w:rPr>
        <w:t>。</w:t>
      </w:r>
      <w:r>
        <w:rPr>
          <w:rFonts w:hint="eastAsia" w:ascii="仿宋_GB2312" w:hAnsi="仿宋_GB2312"/>
          <w:color w:val="auto"/>
          <w:highlight w:val="none"/>
        </w:rPr>
        <w:t>完善老旧小区长效管护机制，推动改造成果与物业服务无缝衔接，因地制宜保护老城风貌和历史文脉，持续打造安全宜居的城市居住空间。</w:t>
      </w:r>
    </w:p>
    <w:p w14:paraId="1D5AA9D5">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3.有序推进城中村改造。</w:t>
      </w:r>
    </w:p>
    <w:p w14:paraId="049E3315">
      <w:pPr>
        <w:keepNext w:val="0"/>
        <w:keepLines w:val="0"/>
        <w:pageBreakBefore w:val="0"/>
        <w:widowControl w:val="0"/>
        <w:kinsoku/>
        <w:wordWrap/>
        <w:overflowPunct/>
        <w:topLinePunct w:val="0"/>
        <w:autoSpaceDE/>
        <w:autoSpaceDN/>
        <w:bidi w:val="0"/>
        <w:adjustRightInd/>
        <w:snapToGrid/>
        <w:spacing w:beforeLines="0" w:afterLines="0"/>
        <w:textAlignment w:val="auto"/>
        <w:rPr>
          <w:rFonts w:hint="default" w:ascii="Times New Roman" w:hAnsi="Times New Roman"/>
          <w:highlight w:val="none"/>
          <w:lang w:val="en-US" w:eastAsia="zh-CN"/>
        </w:rPr>
      </w:pPr>
      <w:r>
        <w:rPr>
          <w:rFonts w:hint="eastAsia"/>
          <w:highlight w:val="none"/>
          <w:lang w:val="en-US" w:eastAsia="zh-CN"/>
        </w:rPr>
        <w:t>坚持</w:t>
      </w:r>
      <w:r>
        <w:rPr>
          <w:rFonts w:hint="eastAsia" w:ascii="仿宋_GB2312" w:hAnsi="仿宋_GB2312"/>
          <w:highlight w:val="none"/>
          <w:lang w:eastAsia="zh-CN"/>
        </w:rPr>
        <w:t>“</w:t>
      </w:r>
      <w:r>
        <w:rPr>
          <w:rFonts w:hint="default"/>
          <w:highlight w:val="none"/>
        </w:rPr>
        <w:t>一村一策</w:t>
      </w:r>
      <w:r>
        <w:rPr>
          <w:rFonts w:hint="eastAsia" w:ascii="仿宋_GB2312" w:hAnsi="仿宋_GB2312"/>
          <w:highlight w:val="none"/>
          <w:lang w:eastAsia="zh-CN"/>
        </w:rPr>
        <w:t>”</w:t>
      </w:r>
      <w:r>
        <w:rPr>
          <w:rFonts w:hint="default" w:ascii="Times New Roman" w:hAnsi="Times New Roman"/>
          <w:highlight w:val="none"/>
          <w:lang w:val="en-US" w:eastAsia="zh-CN"/>
        </w:rPr>
        <w:t>，</w:t>
      </w:r>
      <w:r>
        <w:rPr>
          <w:rFonts w:hint="default"/>
          <w:highlight w:val="none"/>
        </w:rPr>
        <w:t>采取拆除新建、整治提升、拆整结合等方式</w:t>
      </w:r>
      <w:r>
        <w:rPr>
          <w:rFonts w:hint="eastAsia"/>
          <w:highlight w:val="none"/>
          <w:lang w:eastAsia="zh-CN"/>
        </w:rPr>
        <w:t>，</w:t>
      </w:r>
      <w:r>
        <w:rPr>
          <w:rFonts w:hint="default" w:ascii="Times New Roman" w:hAnsi="Times New Roman"/>
          <w:highlight w:val="none"/>
          <w:lang w:val="en-US" w:eastAsia="zh-CN"/>
        </w:rPr>
        <w:t>加</w:t>
      </w:r>
      <w:r>
        <w:rPr>
          <w:rFonts w:hint="eastAsia"/>
          <w:highlight w:val="none"/>
          <w:lang w:val="en-US" w:eastAsia="zh-CN"/>
        </w:rPr>
        <w:t>快</w:t>
      </w:r>
      <w:r>
        <w:rPr>
          <w:rFonts w:hint="default" w:ascii="Times New Roman" w:hAnsi="Times New Roman"/>
          <w:highlight w:val="none"/>
          <w:lang w:val="en-US" w:eastAsia="zh-CN"/>
        </w:rPr>
        <w:t>推进城中村</w:t>
      </w:r>
      <w:r>
        <w:rPr>
          <w:rFonts w:hint="default"/>
          <w:highlight w:val="none"/>
        </w:rPr>
        <w:t>改造</w:t>
      </w:r>
      <w:r>
        <w:rPr>
          <w:rFonts w:hint="default" w:ascii="Times New Roman" w:hAnsi="Times New Roman"/>
          <w:highlight w:val="none"/>
          <w:lang w:val="en-US" w:eastAsia="zh-CN"/>
        </w:rPr>
        <w:t>项目</w:t>
      </w:r>
      <w:r>
        <w:rPr>
          <w:rFonts w:hint="default"/>
          <w:highlight w:val="none"/>
        </w:rPr>
        <w:t>实施。</w:t>
      </w:r>
      <w:r>
        <w:rPr>
          <w:rFonts w:hint="eastAsia"/>
          <w:highlight w:val="none"/>
          <w:lang w:val="en-US" w:eastAsia="zh-CN"/>
        </w:rPr>
        <w:t>优先对</w:t>
      </w:r>
      <w:r>
        <w:rPr>
          <w:rFonts w:hint="eastAsia" w:ascii="Times New Roman" w:hAnsi="Times New Roman"/>
          <w:highlight w:val="none"/>
        </w:rPr>
        <w:t>群众意愿强烈</w:t>
      </w:r>
      <w:r>
        <w:rPr>
          <w:rFonts w:hint="default" w:ascii="仿宋_GB2312" w:hAnsi="仿宋_GB2312"/>
          <w:highlight w:val="none"/>
        </w:rPr>
        <w:t>、</w:t>
      </w:r>
      <w:r>
        <w:rPr>
          <w:rFonts w:hint="default" w:ascii="仿宋_GB2312" w:hAnsi="仿宋_GB2312" w:eastAsia="仿宋_GB2312" w:cstheme="minorBidi"/>
          <w:i w:val="0"/>
          <w:iCs w:val="0"/>
          <w:caps w:val="0"/>
          <w:color w:val="auto"/>
          <w:spacing w:val="0"/>
          <w:sz w:val="32"/>
          <w:szCs w:val="32"/>
          <w:highlight w:val="none"/>
          <w:shd w:val="clear" w:fill="auto"/>
        </w:rPr>
        <w:t>城市安全和社会治理隐患多</w:t>
      </w:r>
      <w:r>
        <w:rPr>
          <w:rFonts w:hint="eastAsia" w:ascii="仿宋_GB2312" w:hAnsi="仿宋_GB2312" w:cstheme="minorBidi"/>
          <w:i w:val="0"/>
          <w:iCs w:val="0"/>
          <w:caps w:val="0"/>
          <w:spacing w:val="0"/>
          <w:sz w:val="32"/>
          <w:szCs w:val="32"/>
          <w:highlight w:val="none"/>
          <w:shd w:val="clear"/>
          <w:lang w:eastAsia="zh-CN"/>
        </w:rPr>
        <w:t>的</w:t>
      </w:r>
      <w:r>
        <w:rPr>
          <w:rFonts w:hint="default" w:ascii="仿宋_GB2312" w:hAnsi="仿宋_GB2312"/>
          <w:highlight w:val="none"/>
        </w:rPr>
        <w:t>城中村</w:t>
      </w:r>
      <w:r>
        <w:rPr>
          <w:rFonts w:hint="eastAsia" w:ascii="仿宋_GB2312" w:hAnsi="仿宋_GB2312"/>
          <w:highlight w:val="none"/>
          <w:lang w:val="en-US" w:eastAsia="zh-CN"/>
        </w:rPr>
        <w:t>进行</w:t>
      </w:r>
      <w:r>
        <w:rPr>
          <w:rFonts w:hint="default" w:ascii="仿宋_GB2312" w:hAnsi="仿宋_GB2312"/>
          <w:highlight w:val="none"/>
        </w:rPr>
        <w:t>改造</w:t>
      </w:r>
      <w:r>
        <w:rPr>
          <w:rFonts w:hint="default" w:ascii="仿宋_GB2312" w:hAnsi="仿宋_GB2312"/>
          <w:highlight w:val="none"/>
          <w:lang w:val="en-US" w:eastAsia="zh-CN"/>
        </w:rPr>
        <w:t>。</w:t>
      </w:r>
      <w:r>
        <w:rPr>
          <w:rFonts w:hint="eastAsia" w:ascii="仿宋_GB2312" w:hAnsi="仿宋_GB2312" w:eastAsia="仿宋_GB2312" w:cstheme="minorBidi"/>
          <w:i w:val="0"/>
          <w:iCs w:val="0"/>
          <w:caps w:val="0"/>
          <w:color w:val="auto"/>
          <w:spacing w:val="0"/>
          <w:sz w:val="32"/>
          <w:szCs w:val="32"/>
          <w:highlight w:val="none"/>
          <w:shd w:val="clear" w:fill="auto"/>
        </w:rPr>
        <w:t>严格落实“一项目两方案”</w:t>
      </w:r>
      <w:r>
        <w:rPr>
          <w:rFonts w:hint="eastAsia" w:ascii="仿宋_GB2312" w:hAnsi="仿宋_GB2312" w:eastAsia="仿宋_GB2312" w:cstheme="minorBidi"/>
          <w:i w:val="0"/>
          <w:iCs w:val="0"/>
          <w:caps w:val="0"/>
          <w:color w:val="auto"/>
          <w:spacing w:val="0"/>
          <w:sz w:val="32"/>
          <w:szCs w:val="32"/>
          <w:highlight w:val="none"/>
          <w:shd w:val="clear" w:fill="auto"/>
          <w:lang w:eastAsia="zh-CN"/>
        </w:rPr>
        <w:t>，</w:t>
      </w:r>
      <w:r>
        <w:rPr>
          <w:rFonts w:hint="eastAsia" w:ascii="仿宋_GB2312" w:hAnsi="仿宋_GB2312" w:eastAsia="仿宋_GB2312" w:cstheme="minorBidi"/>
          <w:sz w:val="32"/>
          <w:szCs w:val="32"/>
          <w:highlight w:val="none"/>
        </w:rPr>
        <w:t>科学统筹项目资金筹措，确保项目资金平衡、征收补偿方案稳妥可行。</w:t>
      </w:r>
      <w:r>
        <w:rPr>
          <w:rFonts w:hint="default" w:ascii="Times New Roman" w:hAnsi="Times New Roman"/>
          <w:highlight w:val="none"/>
          <w:lang w:val="en-US" w:eastAsia="zh-CN"/>
        </w:rPr>
        <w:t>建立</w:t>
      </w:r>
      <w:r>
        <w:rPr>
          <w:rFonts w:hint="eastAsia"/>
          <w:highlight w:val="none"/>
          <w:lang w:val="en-US" w:eastAsia="zh-CN"/>
        </w:rPr>
        <w:t>多</w:t>
      </w:r>
      <w:r>
        <w:rPr>
          <w:rFonts w:hint="default" w:ascii="Times New Roman" w:hAnsi="Times New Roman"/>
          <w:highlight w:val="none"/>
          <w:lang w:val="en-US" w:eastAsia="zh-CN"/>
        </w:rPr>
        <w:t>部门常态化协同工作机制，及时协调解决项目推进过程中遇到的历史遗留问题、产权纠纷等各类难点问题。</w:t>
      </w:r>
      <w:r>
        <w:rPr>
          <w:rFonts w:hint="eastAsia" w:ascii="Times New Roman" w:hAnsi="Times New Roman"/>
          <w:highlight w:val="none"/>
          <w:lang w:val="en-US" w:eastAsia="zh-CN"/>
        </w:rPr>
        <w:t>鼓励引导国企等市场主体参与改造</w:t>
      </w:r>
      <w:r>
        <w:rPr>
          <w:rFonts w:hint="eastAsia"/>
          <w:highlight w:val="none"/>
          <w:lang w:val="en-US" w:eastAsia="zh-CN"/>
        </w:rPr>
        <w:t>，</w:t>
      </w:r>
      <w:r>
        <w:rPr>
          <w:rFonts w:hint="eastAsia" w:ascii="Times New Roman" w:hAnsi="Times New Roman"/>
          <w:highlight w:val="none"/>
          <w:lang w:val="en-US" w:eastAsia="zh-CN"/>
        </w:rPr>
        <w:t>推动</w:t>
      </w:r>
      <w:r>
        <w:rPr>
          <w:rFonts w:hint="eastAsia" w:ascii="Times New Roman" w:hAnsi="Times New Roman"/>
          <w:highlight w:val="none"/>
        </w:rPr>
        <w:t>城中村成片连片改造</w:t>
      </w:r>
      <w:r>
        <w:rPr>
          <w:rFonts w:hint="eastAsia" w:ascii="Times New Roman" w:hAnsi="Times New Roman"/>
          <w:highlight w:val="none"/>
          <w:lang w:val="en-US" w:eastAsia="zh-CN"/>
        </w:rPr>
        <w:t>。鼓励在妥善做好原有租户安置搬迁、租金基本稳定的前提下</w:t>
      </w:r>
      <w:r>
        <w:rPr>
          <w:rFonts w:hint="eastAsia"/>
          <w:highlight w:val="none"/>
          <w:lang w:val="en-US" w:eastAsia="zh-CN"/>
        </w:rPr>
        <w:t>，</w:t>
      </w:r>
      <w:r>
        <w:rPr>
          <w:rFonts w:hint="eastAsia" w:ascii="Times New Roman" w:hAnsi="Times New Roman"/>
          <w:highlight w:val="none"/>
          <w:lang w:val="en-US" w:eastAsia="zh-CN"/>
        </w:rPr>
        <w:t>将城中村房屋整体长期租赁并改造提升</w:t>
      </w:r>
      <w:r>
        <w:rPr>
          <w:rFonts w:hint="eastAsia"/>
          <w:highlight w:val="none"/>
          <w:lang w:val="en-US" w:eastAsia="zh-CN"/>
        </w:rPr>
        <w:t>，</w:t>
      </w:r>
      <w:r>
        <w:rPr>
          <w:rFonts w:hint="eastAsia" w:ascii="Times New Roman" w:hAnsi="Times New Roman"/>
          <w:highlight w:val="none"/>
          <w:lang w:val="en-US" w:eastAsia="zh-CN"/>
        </w:rPr>
        <w:t>用作保障性租赁住房</w:t>
      </w:r>
      <w:r>
        <w:rPr>
          <w:rFonts w:hint="default" w:ascii="Times New Roman" w:hAnsi="Times New Roman"/>
          <w:highlight w:val="none"/>
          <w:lang w:val="en-US" w:eastAsia="zh-CN"/>
        </w:rPr>
        <w:t>。</w:t>
      </w:r>
    </w:p>
    <w:p w14:paraId="62CE0BFD">
      <w:pPr>
        <w:pStyle w:val="3"/>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bookmarkStart w:id="277" w:name="_Toc28807"/>
      <w:bookmarkStart w:id="278" w:name="_Toc6852"/>
      <w:bookmarkStart w:id="279" w:name="_Toc27503"/>
      <w:bookmarkStart w:id="280" w:name="_Toc747418473"/>
      <w:bookmarkStart w:id="281" w:name="_Toc22097"/>
      <w:bookmarkStart w:id="282" w:name="_Toc7855"/>
      <w:bookmarkStart w:id="283" w:name="_Toc16943"/>
      <w:bookmarkStart w:id="284" w:name="_Toc893942750"/>
      <w:bookmarkStart w:id="285" w:name="_Toc32227"/>
      <w:bookmarkStart w:id="286" w:name="_Toc22823"/>
      <w:bookmarkStart w:id="287" w:name="_Toc1237719990"/>
      <w:bookmarkStart w:id="288" w:name="_Toc4193"/>
      <w:bookmarkStart w:id="289" w:name="_Toc18814"/>
      <w:bookmarkStart w:id="290" w:name="_Toc25966"/>
      <w:bookmarkStart w:id="291" w:name="_Toc5676"/>
      <w:bookmarkStart w:id="292" w:name="_Toc12040"/>
      <w:bookmarkStart w:id="293" w:name="_Toc23318"/>
      <w:r>
        <w:rPr>
          <w:rFonts w:hint="eastAsia"/>
          <w:highlight w:val="none"/>
          <w:lang w:val="en-US" w:eastAsia="zh-CN"/>
        </w:rPr>
        <w:t>深化住房改革，加速产业转型升级</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2A04EB50">
      <w:pPr>
        <w:pStyle w:val="4"/>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highlight w:val="none"/>
          <w:lang w:val="en-US" w:eastAsia="zh-CN"/>
        </w:rPr>
        <w:t>1.建立</w:t>
      </w:r>
      <w:r>
        <w:rPr>
          <w:rFonts w:hint="eastAsia" w:ascii="仿宋_GB2312" w:hAnsi="仿宋_GB2312"/>
          <w:highlight w:val="none"/>
          <w:lang w:val="en-US" w:eastAsia="zh-CN"/>
        </w:rPr>
        <w:t>“</w:t>
      </w:r>
      <w:r>
        <w:rPr>
          <w:rFonts w:hint="eastAsia"/>
          <w:highlight w:val="none"/>
          <w:lang w:val="en-US" w:eastAsia="zh-CN"/>
        </w:rPr>
        <w:t>人、房、地、钱</w:t>
      </w:r>
      <w:r>
        <w:rPr>
          <w:rFonts w:hint="eastAsia" w:ascii="仿宋_GB2312" w:hAnsi="仿宋_GB2312"/>
          <w:highlight w:val="none"/>
          <w:lang w:val="en-US" w:eastAsia="zh-CN"/>
        </w:rPr>
        <w:t>”</w:t>
      </w:r>
      <w:r>
        <w:rPr>
          <w:rFonts w:hint="eastAsia"/>
          <w:highlight w:val="none"/>
          <w:lang w:val="en-US" w:eastAsia="zh-CN"/>
        </w:rPr>
        <w:t>要素联动机制。</w:t>
      </w:r>
    </w:p>
    <w:p w14:paraId="010603B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default" w:ascii="Times New Roman" w:hAnsi="Times New Roman" w:eastAsia="仿宋_GB2312" w:cs="Times New Roman"/>
          <w:sz w:val="32"/>
          <w:highlight w:val="none"/>
          <w:lang w:val="en-US" w:eastAsia="zh-CN"/>
          <w14:ligatures w14:val="none"/>
        </w:rPr>
      </w:pPr>
      <w:r>
        <w:rPr>
          <w:rFonts w:hint="eastAsia"/>
          <w:highlight w:val="none"/>
          <w:lang w:val="en-US" w:eastAsia="zh-CN"/>
        </w:rPr>
        <w:t>建立健全以住房需求为导向的住宅用地供应机制</w:t>
      </w:r>
      <w:r>
        <w:rPr>
          <w:rStyle w:val="28"/>
          <w:rFonts w:hint="eastAsia"/>
          <w:highlight w:val="none"/>
          <w:lang w:val="en-US" w:eastAsia="zh-CN"/>
        </w:rPr>
        <w:footnoteReference w:id="8"/>
      </w:r>
      <w:r>
        <w:rPr>
          <w:rFonts w:hint="eastAsia"/>
          <w:highlight w:val="none"/>
          <w:lang w:val="en-US" w:eastAsia="zh-CN"/>
        </w:rPr>
        <w:t>，</w:t>
      </w:r>
      <w:r>
        <w:rPr>
          <w:rFonts w:hint="eastAsia" w:ascii="Times New Roman" w:hAnsi="Times New Roman" w:eastAsia="仿宋_GB2312" w:cs="Times New Roman"/>
          <w:sz w:val="32"/>
          <w:highlight w:val="none"/>
          <w14:ligatures w14:val="none"/>
        </w:rPr>
        <w:t>依据</w:t>
      </w:r>
      <w:r>
        <w:rPr>
          <w:rFonts w:hint="eastAsia" w:cs="Times New Roman"/>
          <w:sz w:val="32"/>
          <w:highlight w:val="none"/>
          <w:lang w:val="en-US" w:eastAsia="zh-CN"/>
          <w14:ligatures w14:val="none"/>
        </w:rPr>
        <w:t>人、房、地、钱等要素情况深化商品住房全口径库存去化周期研究</w:t>
      </w:r>
      <w:r>
        <w:rPr>
          <w:rFonts w:hint="eastAsia" w:ascii="Times New Roman" w:hAnsi="Times New Roman" w:eastAsia="仿宋_GB2312" w:cs="Times New Roman"/>
          <w:sz w:val="32"/>
          <w:highlight w:val="none"/>
          <w14:ligatures w14:val="none"/>
        </w:rPr>
        <w:t>，</w:t>
      </w:r>
      <w:r>
        <w:rPr>
          <w:rFonts w:hint="eastAsia" w:cs="Times New Roman"/>
          <w:sz w:val="32"/>
          <w:highlight w:val="none"/>
          <w:lang w:val="en-US" w:eastAsia="zh-CN"/>
          <w14:ligatures w14:val="none"/>
        </w:rPr>
        <w:t>合理确定</w:t>
      </w:r>
      <w:r>
        <w:rPr>
          <w:rFonts w:hint="eastAsia" w:ascii="Times New Roman" w:hAnsi="Times New Roman" w:eastAsia="仿宋_GB2312" w:cs="Times New Roman"/>
          <w:sz w:val="32"/>
          <w:highlight w:val="none"/>
          <w14:ligatures w14:val="none"/>
        </w:rPr>
        <w:t>住宅用地</w:t>
      </w:r>
      <w:r>
        <w:rPr>
          <w:rFonts w:hint="eastAsia" w:cs="Times New Roman"/>
          <w:sz w:val="32"/>
          <w:highlight w:val="none"/>
          <w:lang w:val="en-US" w:eastAsia="zh-CN"/>
          <w14:ligatures w14:val="none"/>
        </w:rPr>
        <w:t>供应安排。</w:t>
      </w:r>
      <w:r>
        <w:rPr>
          <w:rFonts w:hint="eastAsia" w:cs="Times New Roman"/>
          <w:bCs/>
          <w:highlight w:val="none"/>
          <w:lang w:val="en-US" w:eastAsia="zh-CN"/>
        </w:rPr>
        <w:t>推进跨部门要素信息互通共享，打通土地供应、开发建设、投资融资、房屋交易数据链条，实现项目全链条统计研判与动态监管，覆盖新建商品住房、二手住房、住房租赁各类市场业态，提升住房供需调控精准性。</w:t>
      </w:r>
    </w:p>
    <w:p w14:paraId="778DC3F3">
      <w:pPr>
        <w:pStyle w:val="4"/>
        <w:keepNext w:val="0"/>
        <w:keepLines w:val="0"/>
        <w:pageBreakBefore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r>
        <w:rPr>
          <w:rFonts w:hint="eastAsia"/>
          <w:highlight w:val="none"/>
          <w:lang w:val="en-US" w:eastAsia="zh-CN"/>
        </w:rPr>
        <w:t>2.有序推进商品住房销售制度改革。</w:t>
      </w:r>
    </w:p>
    <w:p w14:paraId="5763BC75">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default" w:cs="Times New Roman"/>
          <w:b w:val="0"/>
          <w:bCs w:val="0"/>
          <w:highlight w:val="none"/>
          <w:lang w:val="en-US" w:eastAsia="zh-CN"/>
        </w:rPr>
      </w:pPr>
      <w:r>
        <w:rPr>
          <w:rFonts w:hint="default" w:cs="Times New Roman"/>
          <w:bCs/>
          <w:highlight w:val="none"/>
          <w:lang w:val="en-US" w:eastAsia="zh-CN"/>
        </w:rPr>
        <w:t>逐步提高预售门槛，</w:t>
      </w:r>
      <w:r>
        <w:rPr>
          <w:rFonts w:hint="default" w:cs="Times New Roman"/>
          <w:b w:val="0"/>
          <w:bCs w:val="0"/>
          <w:highlight w:val="none"/>
          <w:lang w:val="en-US" w:eastAsia="zh-CN"/>
        </w:rPr>
        <w:t>加强预售全链条监管，</w:t>
      </w:r>
      <w:r>
        <w:rPr>
          <w:rFonts w:hint="default" w:ascii="Times New Roman" w:hAnsi="Times New Roman" w:cs="Times New Roman"/>
          <w:bCs/>
          <w:highlight w:val="none"/>
          <w:lang w:val="en-US" w:eastAsia="zh-CN"/>
        </w:rPr>
        <w:t>探索实施</w:t>
      </w:r>
      <w:r>
        <w:rPr>
          <w:rFonts w:hint="eastAsia" w:ascii="仿宋_GB2312" w:hAnsi="仿宋_GB2312" w:cs="Times New Roman"/>
          <w:bCs/>
          <w:highlight w:val="none"/>
          <w:lang w:val="en-US" w:eastAsia="zh-CN"/>
        </w:rPr>
        <w:t>“</w:t>
      </w:r>
      <w:r>
        <w:rPr>
          <w:rFonts w:hint="default" w:ascii="Times New Roman" w:hAnsi="Times New Roman" w:cs="Times New Roman"/>
          <w:bCs/>
          <w:highlight w:val="none"/>
          <w:lang w:val="en-US" w:eastAsia="zh-CN"/>
        </w:rPr>
        <w:t>先验房、后交房</w:t>
      </w:r>
      <w:r>
        <w:rPr>
          <w:rFonts w:hint="eastAsia" w:ascii="仿宋_GB2312" w:hAnsi="仿宋_GB2312" w:cs="Times New Roman"/>
          <w:bCs/>
          <w:highlight w:val="none"/>
          <w:lang w:val="en-US" w:eastAsia="zh-CN"/>
        </w:rPr>
        <w:t>”</w:t>
      </w:r>
      <w:r>
        <w:rPr>
          <w:rFonts w:hint="default" w:ascii="Times New Roman" w:hAnsi="Times New Roman" w:cs="Times New Roman"/>
          <w:bCs/>
          <w:highlight w:val="none"/>
          <w:lang w:val="en-US" w:eastAsia="zh-CN"/>
        </w:rPr>
        <w:t>预验房制度，切实维护购房者的合法权益</w:t>
      </w:r>
      <w:r>
        <w:rPr>
          <w:rStyle w:val="28"/>
          <w:rFonts w:hint="default" w:ascii="Times New Roman" w:hAnsi="Times New Roman" w:eastAsia="微软雅黑" w:cs="Times New Roman"/>
          <w:i w:val="0"/>
          <w:iCs w:val="0"/>
          <w:caps w:val="0"/>
          <w:color w:val="222222"/>
          <w:spacing w:val="0"/>
          <w:sz w:val="32"/>
          <w:szCs w:val="32"/>
          <w:highlight w:val="none"/>
          <w:shd w:val="clear" w:fill="FFFFFF"/>
          <w:lang w:eastAsia="zh-CN"/>
        </w:rPr>
        <w:footnoteReference w:id="9"/>
      </w:r>
      <w:r>
        <w:rPr>
          <w:rFonts w:hint="default" w:cs="Times New Roman"/>
          <w:bCs/>
          <w:highlight w:val="none"/>
          <w:lang w:val="en-US" w:eastAsia="zh-CN"/>
        </w:rPr>
        <w:t>。</w:t>
      </w:r>
      <w:r>
        <w:rPr>
          <w:rFonts w:hint="default" w:ascii="Times New Roman" w:hAnsi="Times New Roman" w:cs="Times New Roman"/>
          <w:bCs/>
          <w:highlight w:val="none"/>
          <w:lang w:val="en-US" w:eastAsia="zh-CN"/>
        </w:rPr>
        <w:t>探索</w:t>
      </w:r>
      <w:r>
        <w:rPr>
          <w:rFonts w:hint="default" w:cs="Times New Roman"/>
          <w:b w:val="0"/>
          <w:bCs w:val="0"/>
          <w:highlight w:val="none"/>
          <w:lang w:val="en-US" w:eastAsia="zh-CN"/>
        </w:rPr>
        <w:t>建立</w:t>
      </w:r>
      <w:r>
        <w:rPr>
          <w:rFonts w:hint="default" w:cs="Times New Roman"/>
          <w:bCs/>
          <w:highlight w:val="none"/>
          <w:lang w:val="en-US" w:eastAsia="zh-CN"/>
        </w:rPr>
        <w:t>商品住房现房销售制度，</w:t>
      </w:r>
      <w:r>
        <w:rPr>
          <w:rFonts w:hint="default" w:cs="Times New Roman"/>
          <w:b w:val="0"/>
          <w:bCs w:val="0"/>
          <w:highlight w:val="none"/>
          <w:lang w:val="en-US" w:eastAsia="zh-CN"/>
        </w:rPr>
        <w:t>引导有实力的房地产开发企业进行现房</w:t>
      </w:r>
      <w:r>
        <w:rPr>
          <w:rFonts w:hint="eastAsia" w:cs="Times New Roman"/>
          <w:b w:val="0"/>
          <w:bCs w:val="0"/>
          <w:highlight w:val="none"/>
          <w:lang w:val="en-US" w:eastAsia="zh-CN"/>
        </w:rPr>
        <w:t>销售</w:t>
      </w:r>
      <w:r>
        <w:rPr>
          <w:rFonts w:hint="default" w:cs="Times New Roman"/>
          <w:highlight w:val="none"/>
        </w:rPr>
        <w:t>试点</w:t>
      </w:r>
      <w:r>
        <w:rPr>
          <w:rFonts w:hint="default" w:cs="Times New Roman"/>
          <w:b w:val="0"/>
          <w:bCs w:val="0"/>
          <w:highlight w:val="none"/>
          <w:lang w:val="en-US" w:eastAsia="zh-CN"/>
        </w:rPr>
        <w:t>，从税费</w:t>
      </w:r>
      <w:r>
        <w:rPr>
          <w:rFonts w:hint="eastAsia" w:cs="Times New Roman"/>
          <w:b w:val="0"/>
          <w:bCs w:val="0"/>
          <w:highlight w:val="none"/>
          <w:lang w:val="en-US" w:eastAsia="zh-CN"/>
        </w:rPr>
        <w:t>支持</w:t>
      </w:r>
      <w:r>
        <w:rPr>
          <w:rFonts w:hint="default" w:cs="Times New Roman"/>
          <w:b w:val="0"/>
          <w:bCs w:val="0"/>
          <w:highlight w:val="none"/>
          <w:lang w:val="en-US" w:eastAsia="zh-CN"/>
        </w:rPr>
        <w:t>、金融</w:t>
      </w:r>
      <w:r>
        <w:rPr>
          <w:rFonts w:hint="eastAsia" w:cs="Times New Roman"/>
          <w:b w:val="0"/>
          <w:bCs w:val="0"/>
          <w:highlight w:val="none"/>
          <w:lang w:val="en-US" w:eastAsia="zh-CN"/>
        </w:rPr>
        <w:t>服务</w:t>
      </w:r>
      <w:r>
        <w:rPr>
          <w:rFonts w:hint="default" w:cs="Times New Roman"/>
          <w:b w:val="0"/>
          <w:bCs w:val="0"/>
          <w:highlight w:val="none"/>
          <w:lang w:val="en-US" w:eastAsia="zh-CN"/>
        </w:rPr>
        <w:t>、</w:t>
      </w:r>
      <w:r>
        <w:rPr>
          <w:rFonts w:hint="eastAsia" w:cs="Times New Roman"/>
          <w:b w:val="0"/>
          <w:bCs w:val="0"/>
          <w:highlight w:val="none"/>
          <w:lang w:val="en-US" w:eastAsia="zh-CN"/>
        </w:rPr>
        <w:t>流程审批、</w:t>
      </w:r>
      <w:r>
        <w:rPr>
          <w:rFonts w:hint="default" w:cs="Times New Roman"/>
          <w:b w:val="0"/>
          <w:bCs w:val="0"/>
          <w:highlight w:val="none"/>
          <w:lang w:val="en-US" w:eastAsia="zh-CN"/>
        </w:rPr>
        <w:t>质量监管与激励等方面完善保障措施，逐步提升现房销售比例。</w:t>
      </w:r>
    </w:p>
    <w:p w14:paraId="62AF3830">
      <w:pPr>
        <w:pStyle w:val="4"/>
        <w:keepNext w:val="0"/>
        <w:keepLines w:val="0"/>
        <w:pageBreakBefore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r>
        <w:rPr>
          <w:rFonts w:hint="eastAsia"/>
          <w:highlight w:val="none"/>
          <w:lang w:val="en-US" w:eastAsia="zh-CN"/>
        </w:rPr>
        <w:t>3.扎实推进房地产项目公司制度。</w:t>
      </w:r>
    </w:p>
    <w:p w14:paraId="2A4C64D3">
      <w:pPr>
        <w:keepNext w:val="0"/>
        <w:keepLines w:val="0"/>
        <w:pageBreakBefore w:val="0"/>
        <w:kinsoku/>
        <w:wordWrap/>
        <w:overflowPunct/>
        <w:topLinePunct w:val="0"/>
        <w:autoSpaceDE/>
        <w:autoSpaceDN/>
        <w:bidi w:val="0"/>
        <w:adjustRightInd/>
        <w:snapToGrid/>
        <w:spacing w:beforeLines="0" w:afterLines="0" w:line="600" w:lineRule="exact"/>
        <w:textAlignment w:val="auto"/>
        <w:rPr>
          <w:rFonts w:hint="eastAsia" w:cs="Times New Roman"/>
          <w:b w:val="0"/>
          <w:bCs w:val="0"/>
          <w:highlight w:val="none"/>
          <w:lang w:val="en-US" w:eastAsia="zh-CN"/>
        </w:rPr>
      </w:pPr>
      <w:r>
        <w:rPr>
          <w:rFonts w:hint="eastAsia" w:cs="Times New Roman"/>
          <w:b w:val="0"/>
          <w:bCs w:val="0"/>
          <w:highlight w:val="none"/>
          <w:lang w:val="en-US" w:eastAsia="zh-CN"/>
        </w:rPr>
        <w:t>稳妥有序推进房地产项目公司制落地实施，推动实现房地产开发企业融资从依赖主体信用向基于项目情况转变。严格落实准入和退出监管，推动房地产开发企业资质审批工作</w:t>
      </w:r>
      <w:r>
        <w:rPr>
          <w:rStyle w:val="28"/>
          <w:rFonts w:hint="eastAsia" w:cs="Times New Roman"/>
          <w:b w:val="0"/>
          <w:bCs w:val="0"/>
          <w:highlight w:val="none"/>
          <w:lang w:val="en-US" w:eastAsia="zh-CN"/>
        </w:rPr>
        <w:footnoteReference w:id="10"/>
      </w:r>
      <w:r>
        <w:rPr>
          <w:rFonts w:hint="eastAsia" w:cs="Times New Roman"/>
          <w:b w:val="0"/>
          <w:bCs w:val="0"/>
          <w:highlight w:val="none"/>
          <w:lang w:val="en-US" w:eastAsia="zh-CN"/>
        </w:rPr>
        <w:t>。</w:t>
      </w:r>
      <w:r>
        <w:rPr>
          <w:rFonts w:hint="eastAsia" w:ascii="Times New Roman" w:hAnsi="Times New Roman"/>
          <w:b w:val="0"/>
          <w:bCs w:val="0"/>
          <w:color w:val="auto"/>
          <w:highlight w:val="none"/>
        </w:rPr>
        <w:t>将资金监管</w:t>
      </w:r>
      <w:r>
        <w:rPr>
          <w:rFonts w:hint="eastAsia"/>
          <w:b w:val="0"/>
          <w:bCs w:val="0"/>
          <w:color w:val="auto"/>
          <w:highlight w:val="none"/>
          <w:lang w:val="en-US" w:eastAsia="zh-CN"/>
        </w:rPr>
        <w:t>到</w:t>
      </w:r>
      <w:r>
        <w:rPr>
          <w:rFonts w:hint="eastAsia" w:ascii="Times New Roman" w:hAnsi="Times New Roman"/>
          <w:b w:val="0"/>
          <w:bCs w:val="0"/>
          <w:color w:val="auto"/>
          <w:highlight w:val="none"/>
        </w:rPr>
        <w:t>竣工验收等全过程监控落实到房地产开发项目，通过资金闭环管理、跨部门协同、信用约束和技术赋能，构建</w:t>
      </w:r>
      <w:r>
        <w:rPr>
          <w:rFonts w:hint="eastAsia" w:ascii="仿宋_GB2312" w:hAnsi="仿宋_GB2312"/>
          <w:b w:val="0"/>
          <w:bCs w:val="0"/>
          <w:color w:val="auto"/>
          <w:highlight w:val="none"/>
          <w:lang w:eastAsia="zh-CN"/>
        </w:rPr>
        <w:t>“</w:t>
      </w:r>
      <w:r>
        <w:rPr>
          <w:rFonts w:hint="eastAsia" w:ascii="Times New Roman" w:hAnsi="Times New Roman"/>
          <w:b w:val="0"/>
          <w:bCs w:val="0"/>
          <w:color w:val="auto"/>
          <w:highlight w:val="none"/>
        </w:rPr>
        <w:t>权责清晰</w:t>
      </w:r>
      <w:r>
        <w:rPr>
          <w:rFonts w:hint="eastAsia"/>
          <w:b w:val="0"/>
          <w:bCs w:val="0"/>
          <w:color w:val="auto"/>
          <w:highlight w:val="none"/>
          <w:lang w:eastAsia="zh-CN"/>
        </w:rPr>
        <w:t>—</w:t>
      </w:r>
      <w:r>
        <w:rPr>
          <w:rFonts w:hint="eastAsia" w:ascii="Times New Roman" w:hAnsi="Times New Roman"/>
          <w:b w:val="0"/>
          <w:bCs w:val="0"/>
          <w:color w:val="auto"/>
          <w:highlight w:val="none"/>
        </w:rPr>
        <w:t>风险可控</w:t>
      </w:r>
      <w:r>
        <w:rPr>
          <w:rFonts w:hint="eastAsia"/>
          <w:b w:val="0"/>
          <w:bCs w:val="0"/>
          <w:color w:val="auto"/>
          <w:highlight w:val="none"/>
          <w:lang w:eastAsia="zh-CN"/>
        </w:rPr>
        <w:t>—</w:t>
      </w:r>
      <w:r>
        <w:rPr>
          <w:rFonts w:hint="eastAsia" w:ascii="Times New Roman" w:hAnsi="Times New Roman"/>
          <w:b w:val="0"/>
          <w:bCs w:val="0"/>
          <w:color w:val="auto"/>
          <w:highlight w:val="none"/>
        </w:rPr>
        <w:t>市场有序</w:t>
      </w:r>
      <w:r>
        <w:rPr>
          <w:rFonts w:hint="eastAsia" w:ascii="仿宋_GB2312" w:hAnsi="仿宋_GB2312"/>
          <w:b w:val="0"/>
          <w:bCs w:val="0"/>
          <w:color w:val="auto"/>
          <w:highlight w:val="none"/>
          <w:lang w:eastAsia="zh-CN"/>
        </w:rPr>
        <w:t>”</w:t>
      </w:r>
      <w:r>
        <w:rPr>
          <w:rFonts w:hint="eastAsia" w:ascii="Times New Roman" w:hAnsi="Times New Roman"/>
          <w:b w:val="0"/>
          <w:bCs w:val="0"/>
          <w:color w:val="auto"/>
          <w:highlight w:val="none"/>
        </w:rPr>
        <w:t>的监管体系‌</w:t>
      </w:r>
      <w:r>
        <w:rPr>
          <w:rFonts w:hint="eastAsia" w:cs="Times New Roman"/>
          <w:b w:val="0"/>
          <w:bCs w:val="0"/>
          <w:highlight w:val="none"/>
          <w:lang w:val="en-US" w:eastAsia="zh-CN"/>
        </w:rPr>
        <w:t>。</w:t>
      </w:r>
    </w:p>
    <w:p w14:paraId="32C2A2DF">
      <w:pPr>
        <w:pStyle w:val="4"/>
        <w:keepNext w:val="0"/>
        <w:keepLines w:val="0"/>
        <w:pageBreakBefore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r>
        <w:rPr>
          <w:rFonts w:hint="eastAsia"/>
          <w:highlight w:val="none"/>
          <w:lang w:val="en-US" w:eastAsia="zh-CN"/>
        </w:rPr>
        <w:t>4.稳步实施主办银行制度。</w:t>
      </w:r>
    </w:p>
    <w:p w14:paraId="07C04CCB">
      <w:pPr>
        <w:keepNext w:val="0"/>
        <w:keepLines w:val="0"/>
        <w:pageBreakBefore w:val="0"/>
        <w:widowControl w:val="0"/>
        <w:numPr>
          <w:ilvl w:val="255"/>
          <w:numId w:val="0"/>
        </w:numPr>
        <w:kinsoku/>
        <w:wordWrap/>
        <w:overflowPunct/>
        <w:topLinePunct w:val="0"/>
        <w:autoSpaceDE/>
        <w:autoSpaceDN/>
        <w:bidi w:val="0"/>
        <w:adjustRightInd/>
        <w:snapToGrid/>
        <w:spacing w:beforeLines="0" w:afterLines="0" w:line="600" w:lineRule="exact"/>
        <w:ind w:firstLine="645"/>
        <w:jc w:val="both"/>
        <w:textAlignment w:val="auto"/>
        <w:rPr>
          <w:highlight w:val="none"/>
        </w:rPr>
      </w:pPr>
      <w:r>
        <w:rPr>
          <w:rFonts w:hint="eastAsia" w:cs="Times New Roman"/>
          <w:bCs/>
          <w:szCs w:val="36"/>
          <w:highlight w:val="none"/>
        </w:rPr>
        <w:t>探索主办银行制度，房地产开发贷款、现房销售资金等项目相关资金，须存入项目开发企业在主办银行开立的资金账户，实行封闭管理、专款专用。</w:t>
      </w:r>
      <w:r>
        <w:rPr>
          <w:rFonts w:hint="eastAsia" w:cs="Times New Roman"/>
          <w:bCs/>
          <w:szCs w:val="36"/>
          <w:highlight w:val="none"/>
          <w:lang w:val="en-US" w:eastAsia="zh-CN"/>
        </w:rPr>
        <w:t>协调主办银行按照</w:t>
      </w:r>
      <w:r>
        <w:rPr>
          <w:rFonts w:hint="eastAsia" w:ascii="Times New Roman" w:hAnsi="Times New Roman" w:eastAsia="仿宋_GB2312" w:cs="Times New Roman"/>
          <w:bCs/>
          <w:sz w:val="32"/>
          <w:szCs w:val="36"/>
          <w:highlight w:val="none"/>
        </w:rPr>
        <w:t>市场化、法治化原则，</w:t>
      </w:r>
      <w:r>
        <w:rPr>
          <w:rFonts w:hint="eastAsia" w:ascii="Times New Roman" w:hAnsi="Times New Roman" w:eastAsia="仿宋_GB2312" w:cs="Times New Roman"/>
          <w:bCs/>
          <w:sz w:val="32"/>
          <w:szCs w:val="36"/>
          <w:highlight w:val="none"/>
          <w:lang w:val="en-US" w:eastAsia="zh-CN"/>
        </w:rPr>
        <w:t>满足</w:t>
      </w:r>
      <w:r>
        <w:rPr>
          <w:rFonts w:hint="eastAsia" w:ascii="Times New Roman" w:hAnsi="Times New Roman" w:eastAsia="仿宋_GB2312" w:cs="Times New Roman"/>
          <w:bCs/>
          <w:sz w:val="32"/>
          <w:szCs w:val="36"/>
          <w:highlight w:val="none"/>
        </w:rPr>
        <w:t>房企项目开发全周期的合理融资需求，重点保障项目开发贷款投放、存量融资合理展期，以及并购融资、配套建设融资等需求落地。</w:t>
      </w:r>
    </w:p>
    <w:p w14:paraId="1DC86DBD">
      <w:pPr>
        <w:pStyle w:val="2"/>
        <w:keepNext w:val="0"/>
        <w:keepLines w:val="0"/>
        <w:pageBreakBefore w:val="0"/>
        <w:kinsoku/>
        <w:wordWrap/>
        <w:overflowPunct/>
        <w:topLinePunct w:val="0"/>
        <w:autoSpaceDE/>
        <w:autoSpaceDN/>
        <w:bidi w:val="0"/>
        <w:adjustRightInd/>
        <w:snapToGrid/>
        <w:spacing w:beforeLines="0" w:afterLines="0" w:line="600" w:lineRule="exact"/>
        <w:textAlignment w:val="auto"/>
        <w:rPr>
          <w:rFonts w:hint="eastAsia"/>
          <w:highlight w:val="none"/>
          <w:lang w:val="en-US" w:eastAsia="zh-CN"/>
        </w:rPr>
      </w:pPr>
      <w:bookmarkStart w:id="294" w:name="_Toc11962"/>
      <w:bookmarkStart w:id="295" w:name="_Toc1230424408"/>
      <w:bookmarkStart w:id="296" w:name="_Toc22631"/>
      <w:bookmarkStart w:id="297" w:name="_Toc23034"/>
      <w:bookmarkStart w:id="298" w:name="_Toc29932"/>
      <w:bookmarkStart w:id="299" w:name="_Toc26072"/>
      <w:bookmarkStart w:id="300" w:name="_Toc1031"/>
      <w:bookmarkStart w:id="301" w:name="_Toc25136"/>
      <w:bookmarkStart w:id="302" w:name="_Toc19102"/>
      <w:bookmarkStart w:id="303" w:name="_Toc27213"/>
      <w:bookmarkStart w:id="304" w:name="_Toc13797"/>
      <w:bookmarkStart w:id="305" w:name="_Toc32251"/>
      <w:bookmarkStart w:id="306" w:name="_Toc18017"/>
      <w:bookmarkStart w:id="307" w:name="_Toc13985"/>
      <w:bookmarkStart w:id="308" w:name="_Toc16143"/>
      <w:bookmarkStart w:id="309" w:name="_Toc1833267088"/>
      <w:bookmarkStart w:id="310" w:name="_Toc2611"/>
      <w:bookmarkStart w:id="311" w:name="_Toc700204838"/>
      <w:bookmarkStart w:id="312" w:name="_Toc6299"/>
      <w:bookmarkStart w:id="313" w:name="_Toc26219"/>
      <w:r>
        <w:rPr>
          <w:rFonts w:hint="eastAsia"/>
          <w:highlight w:val="none"/>
          <w:lang w:val="en-US" w:eastAsia="zh-CN"/>
        </w:rPr>
        <w:t>五</w:t>
      </w:r>
      <w:r>
        <w:rPr>
          <w:highlight w:val="none"/>
          <w:lang w:val="en-US" w:eastAsia="zh-CN"/>
        </w:rPr>
        <w:t>、</w:t>
      </w:r>
      <w:r>
        <w:rPr>
          <w:rFonts w:hint="eastAsia"/>
          <w:highlight w:val="none"/>
          <w:lang w:val="en-US" w:eastAsia="zh-CN"/>
        </w:rPr>
        <w:t>保障措施</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024E9914">
      <w:pPr>
        <w:pStyle w:val="3"/>
        <w:keepNext w:val="0"/>
        <w:keepLines w:val="0"/>
        <w:pageBreakBefore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bookmarkStart w:id="314" w:name="_Toc132326706"/>
      <w:bookmarkStart w:id="315" w:name="_Toc17007"/>
      <w:bookmarkStart w:id="316" w:name="_Toc8084"/>
      <w:bookmarkStart w:id="317" w:name="_Toc13880"/>
      <w:bookmarkStart w:id="318" w:name="_Toc20645"/>
      <w:bookmarkStart w:id="319" w:name="_Toc20663"/>
      <w:bookmarkStart w:id="320" w:name="_Toc18722"/>
      <w:bookmarkStart w:id="321" w:name="_Toc15217"/>
      <w:bookmarkStart w:id="322" w:name="_Toc12912"/>
      <w:bookmarkStart w:id="323" w:name="_Toc23801"/>
      <w:bookmarkStart w:id="324" w:name="_Toc1622988293"/>
      <w:bookmarkStart w:id="325" w:name="_Toc27885"/>
      <w:bookmarkStart w:id="326" w:name="_Toc1772064507"/>
      <w:bookmarkStart w:id="327" w:name="_Toc3825"/>
      <w:r>
        <w:rPr>
          <w:rFonts w:hint="eastAsia"/>
          <w:highlight w:val="none"/>
          <w:lang w:val="en-US" w:eastAsia="zh-CN"/>
        </w:rPr>
        <w:t>（一）组织保障</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2060D018">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ascii="Times New Roman" w:hAnsi="Times New Roman"/>
          <w:highlight w:val="none"/>
        </w:rPr>
      </w:pPr>
      <w:r>
        <w:rPr>
          <w:rFonts w:hint="default" w:ascii="Times New Roman" w:hAnsi="Times New Roman"/>
          <w:highlight w:val="none"/>
          <w:lang w:val="en-US" w:eastAsia="zh-CN"/>
        </w:rPr>
        <w:t>按照市级统筹、</w:t>
      </w:r>
      <w:r>
        <w:rPr>
          <w:rFonts w:hint="eastAsia"/>
          <w:highlight w:val="none"/>
          <w:lang w:val="en-US" w:eastAsia="zh-CN"/>
        </w:rPr>
        <w:t>县（市、区）</w:t>
      </w:r>
      <w:r>
        <w:rPr>
          <w:rFonts w:hint="default" w:ascii="Times New Roman" w:hAnsi="Times New Roman"/>
          <w:highlight w:val="none"/>
          <w:lang w:val="en-US" w:eastAsia="zh-CN"/>
        </w:rPr>
        <w:t>主责、部门协同的原则推进规划落实</w:t>
      </w:r>
      <w:r>
        <w:rPr>
          <w:rFonts w:hint="eastAsia" w:ascii="Times New Roman" w:hAnsi="Times New Roman"/>
          <w:highlight w:val="none"/>
          <w:lang w:val="en-US" w:eastAsia="zh-CN"/>
        </w:rPr>
        <w:t>。</w:t>
      </w:r>
      <w:r>
        <w:rPr>
          <w:rFonts w:hint="default" w:ascii="Times New Roman" w:hAnsi="Times New Roman"/>
          <w:highlight w:val="none"/>
          <w:lang w:val="en-US" w:eastAsia="zh-CN"/>
        </w:rPr>
        <w:t>市级层面负责顶层设计、组织协调，</w:t>
      </w:r>
      <w:r>
        <w:rPr>
          <w:rFonts w:hint="eastAsia" w:ascii="Times New Roman" w:hAnsi="Times New Roman"/>
          <w:highlight w:val="none"/>
          <w:lang w:val="en-US" w:eastAsia="zh-CN"/>
        </w:rPr>
        <w:t>明确</w:t>
      </w:r>
      <w:r>
        <w:rPr>
          <w:rFonts w:ascii="Times New Roman" w:hAnsi="Times New Roman"/>
          <w:highlight w:val="none"/>
        </w:rPr>
        <w:t>各</w:t>
      </w:r>
      <w:r>
        <w:rPr>
          <w:rFonts w:hint="eastAsia" w:ascii="Times New Roman" w:hAnsi="Times New Roman"/>
          <w:highlight w:val="none"/>
          <w:lang w:val="en-US" w:eastAsia="zh-CN"/>
        </w:rPr>
        <w:t>部门职能</w:t>
      </w:r>
      <w:r>
        <w:rPr>
          <w:rFonts w:ascii="Times New Roman" w:hAnsi="Times New Roman"/>
          <w:highlight w:val="none"/>
        </w:rPr>
        <w:t>，</w:t>
      </w:r>
      <w:r>
        <w:rPr>
          <w:rFonts w:hint="default" w:ascii="Times New Roman" w:hAnsi="Times New Roman"/>
          <w:highlight w:val="none"/>
          <w:lang w:val="en-US" w:eastAsia="zh-CN"/>
        </w:rPr>
        <w:t>各</w:t>
      </w:r>
      <w:r>
        <w:rPr>
          <w:rFonts w:hint="eastAsia" w:ascii="Times New Roman" w:hAnsi="Times New Roman" w:eastAsia="仿宋_GB2312" w:cs="Times New Roman"/>
          <w:sz w:val="32"/>
          <w:szCs w:val="36"/>
          <w:highlight w:val="none"/>
        </w:rPr>
        <w:t>县（市、区）</w:t>
      </w:r>
      <w:r>
        <w:rPr>
          <w:rFonts w:hint="eastAsia" w:ascii="Times New Roman" w:hAnsi="Times New Roman"/>
          <w:highlight w:val="none"/>
        </w:rPr>
        <w:t>结合实际细化落实本规划工作要求</w:t>
      </w:r>
      <w:r>
        <w:rPr>
          <w:rFonts w:hint="eastAsia"/>
          <w:highlight w:val="none"/>
          <w:lang w:eastAsia="zh-CN"/>
        </w:rPr>
        <w:t>，</w:t>
      </w:r>
      <w:r>
        <w:rPr>
          <w:rFonts w:hint="default" w:ascii="Times New Roman" w:hAnsi="Times New Roman"/>
          <w:highlight w:val="none"/>
          <w:lang w:val="en-US" w:eastAsia="zh-CN"/>
        </w:rPr>
        <w:t>强化</w:t>
      </w:r>
      <w:r>
        <w:rPr>
          <w:rFonts w:hint="eastAsia" w:ascii="Times New Roman" w:hAnsi="Times New Roman"/>
          <w:highlight w:val="none"/>
          <w:lang w:val="en-US" w:eastAsia="zh-CN"/>
        </w:rPr>
        <w:t>住建与自然资源、金融、财政</w:t>
      </w:r>
      <w:r>
        <w:rPr>
          <w:rFonts w:hint="eastAsia"/>
          <w:highlight w:val="none"/>
          <w:lang w:val="en-US" w:eastAsia="zh-CN"/>
        </w:rPr>
        <w:t>、税务、公积金</w:t>
      </w:r>
      <w:r>
        <w:rPr>
          <w:rFonts w:hint="eastAsia" w:ascii="Times New Roman" w:hAnsi="Times New Roman"/>
          <w:highlight w:val="none"/>
          <w:lang w:val="en-US" w:eastAsia="zh-CN"/>
        </w:rPr>
        <w:t>等部门的协作机制</w:t>
      </w:r>
      <w:r>
        <w:rPr>
          <w:rFonts w:hint="default" w:ascii="Times New Roman" w:hAnsi="Times New Roman"/>
          <w:highlight w:val="none"/>
          <w:lang w:val="en-US" w:eastAsia="zh-CN"/>
        </w:rPr>
        <w:t>，</w:t>
      </w:r>
      <w:r>
        <w:rPr>
          <w:rFonts w:hint="eastAsia" w:ascii="Times New Roman" w:hAnsi="Times New Roman" w:cs="Times New Roman"/>
          <w:highlight w:val="none"/>
          <w:lang w:val="en-US" w:eastAsia="zh-CN"/>
        </w:rPr>
        <w:t>研究</w:t>
      </w:r>
      <w:r>
        <w:rPr>
          <w:rFonts w:hint="default" w:ascii="Times New Roman" w:hAnsi="Times New Roman" w:cs="Times New Roman"/>
          <w:highlight w:val="none"/>
        </w:rPr>
        <w:t>解决住房发展过程中遇到的重大问题，</w:t>
      </w:r>
      <w:r>
        <w:rPr>
          <w:rFonts w:hint="default" w:ascii="Times New Roman" w:hAnsi="Times New Roman"/>
          <w:highlight w:val="none"/>
          <w:lang w:val="en-US" w:eastAsia="zh-CN"/>
        </w:rPr>
        <w:t>统筹协调规划实施的有关事宜</w:t>
      </w:r>
      <w:r>
        <w:rPr>
          <w:rFonts w:hint="eastAsia" w:ascii="Times New Roman" w:hAnsi="Times New Roman" w:cs="Times New Roman"/>
          <w:highlight w:val="none"/>
          <w:lang w:eastAsia="zh-CN"/>
        </w:rPr>
        <w:t>。</w:t>
      </w:r>
    </w:p>
    <w:p w14:paraId="193E56BB">
      <w:pPr>
        <w:pStyle w:val="3"/>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bookmarkStart w:id="328" w:name="_Toc10860"/>
      <w:bookmarkStart w:id="329" w:name="_Toc5095"/>
      <w:bookmarkStart w:id="330" w:name="_Toc14564"/>
      <w:bookmarkStart w:id="331" w:name="_Toc22329"/>
      <w:bookmarkStart w:id="332" w:name="_Toc28071"/>
      <w:bookmarkStart w:id="333" w:name="_Toc1681"/>
      <w:bookmarkStart w:id="334" w:name="_Toc226956257"/>
      <w:bookmarkStart w:id="335" w:name="_Toc12672"/>
      <w:bookmarkStart w:id="336" w:name="_Toc1784952553"/>
      <w:bookmarkStart w:id="337" w:name="_Toc1369373097"/>
      <w:bookmarkStart w:id="338" w:name="_Toc12269"/>
      <w:bookmarkStart w:id="339" w:name="_Toc22185"/>
      <w:bookmarkStart w:id="340" w:name="_Toc21145"/>
      <w:bookmarkStart w:id="341" w:name="_Toc8909"/>
      <w:r>
        <w:rPr>
          <w:rFonts w:hint="eastAsia"/>
          <w:highlight w:val="none"/>
          <w:lang w:val="en-US" w:eastAsia="zh-CN"/>
        </w:rPr>
        <w:t>（二）机制保障</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72851710">
      <w:pPr>
        <w:keepNext w:val="0"/>
        <w:keepLines w:val="0"/>
        <w:pageBreakBefore w:val="0"/>
        <w:widowControl w:val="0"/>
        <w:kinsoku/>
        <w:wordWrap/>
        <w:overflowPunct/>
        <w:topLinePunct w:val="0"/>
        <w:autoSpaceDE/>
        <w:autoSpaceDN/>
        <w:bidi w:val="0"/>
        <w:adjustRightInd/>
        <w:snapToGrid/>
        <w:spacing w:beforeLines="0" w:afterLines="0" w:line="600" w:lineRule="exact"/>
        <w:textAlignment w:val="auto"/>
        <w:rPr>
          <w:rFonts w:hint="eastAsia" w:ascii="Times New Roman" w:hAnsi="Times New Roman"/>
          <w:highlight w:val="none"/>
          <w:lang w:eastAsia="zh-CN"/>
        </w:rPr>
      </w:pPr>
      <w:r>
        <w:rPr>
          <w:rFonts w:ascii="Times New Roman" w:hAnsi="Times New Roman"/>
          <w:highlight w:val="none"/>
        </w:rPr>
        <w:t>贯彻落实规划制定的目标任务，</w:t>
      </w:r>
      <w:r>
        <w:rPr>
          <w:rFonts w:hint="eastAsia" w:ascii="Times New Roman" w:hAnsi="Times New Roman"/>
          <w:highlight w:val="none"/>
          <w:lang w:val="en-US" w:eastAsia="zh-CN"/>
        </w:rPr>
        <w:t>结合年度</w:t>
      </w:r>
      <w:r>
        <w:rPr>
          <w:rFonts w:hint="eastAsia" w:ascii="Times New Roman" w:hAnsi="Times New Roman"/>
          <w:highlight w:val="none"/>
          <w:lang w:val="en-US"/>
        </w:rPr>
        <w:t>经济社会发展实际，科学编制住房发展年度实施计划，合理确定年度住房发展目标任务</w:t>
      </w:r>
      <w:r>
        <w:rPr>
          <w:rFonts w:hint="eastAsia" w:ascii="Times New Roman" w:hAnsi="Times New Roman"/>
          <w:highlight w:val="none"/>
        </w:rPr>
        <w:t>。在规划中期开展规划实施评估工作，重点评估目标指标达成度、主要任务推进情况</w:t>
      </w:r>
      <w:r>
        <w:rPr>
          <w:rFonts w:hint="eastAsia" w:ascii="Times New Roman" w:hAnsi="Times New Roman"/>
          <w:highlight w:val="none"/>
          <w:lang w:eastAsia="zh-CN"/>
        </w:rPr>
        <w:t>，</w:t>
      </w:r>
      <w:r>
        <w:rPr>
          <w:rFonts w:hint="eastAsia" w:ascii="Times New Roman" w:hAnsi="Times New Roman"/>
          <w:highlight w:val="none"/>
        </w:rPr>
        <w:t>根据规划实施情况与最新发展形势，及时调整规划内容。</w:t>
      </w:r>
      <w:r>
        <w:rPr>
          <w:rFonts w:hint="eastAsia" w:ascii="Times New Roman" w:hAnsi="Times New Roman"/>
          <w:highlight w:val="none"/>
          <w:lang w:val="en-US" w:eastAsia="zh-CN"/>
        </w:rPr>
        <w:t>积极引导</w:t>
      </w:r>
      <w:r>
        <w:rPr>
          <w:rFonts w:hint="eastAsia" w:ascii="Times New Roman" w:hAnsi="Times New Roman"/>
          <w:highlight w:val="none"/>
        </w:rPr>
        <w:t>社会公众参与规划的编制与实施过程，主动征求专家和公众意见，</w:t>
      </w:r>
      <w:r>
        <w:rPr>
          <w:rFonts w:hint="eastAsia" w:ascii="Times New Roman" w:hAnsi="Times New Roman"/>
          <w:highlight w:val="none"/>
          <w:lang w:val="en-US" w:eastAsia="zh-CN"/>
        </w:rPr>
        <w:t>自觉</w:t>
      </w:r>
      <w:r>
        <w:rPr>
          <w:rFonts w:hint="eastAsia" w:ascii="Times New Roman" w:hAnsi="Times New Roman"/>
          <w:highlight w:val="none"/>
        </w:rPr>
        <w:t>接受社会监督</w:t>
      </w:r>
      <w:r>
        <w:rPr>
          <w:rFonts w:hint="eastAsia" w:ascii="Times New Roman" w:hAnsi="Times New Roman"/>
          <w:highlight w:val="none"/>
          <w:lang w:eastAsia="zh-CN"/>
        </w:rPr>
        <w:t>。</w:t>
      </w:r>
    </w:p>
    <w:p w14:paraId="6D9A7D91">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eastAsia"/>
          <w:highlight w:val="none"/>
          <w:lang w:val="en-US" w:eastAsia="zh-CN"/>
        </w:rPr>
      </w:pPr>
      <w:bookmarkStart w:id="342" w:name="_Toc15364"/>
      <w:bookmarkStart w:id="343" w:name="_Toc471396380"/>
      <w:bookmarkStart w:id="344" w:name="_Toc5781"/>
      <w:bookmarkStart w:id="345" w:name="_Toc21568"/>
      <w:bookmarkStart w:id="346" w:name="_Toc9933"/>
      <w:bookmarkStart w:id="347" w:name="_Toc23438"/>
      <w:bookmarkStart w:id="348" w:name="_Toc26181"/>
      <w:bookmarkStart w:id="349" w:name="_Toc15039"/>
      <w:bookmarkStart w:id="350" w:name="_Toc4148"/>
      <w:bookmarkStart w:id="351" w:name="_Toc2459"/>
      <w:bookmarkStart w:id="352" w:name="_Toc1498493328"/>
      <w:bookmarkStart w:id="353" w:name="_Toc20881"/>
      <w:bookmarkStart w:id="354" w:name="_Toc6496"/>
      <w:bookmarkStart w:id="355" w:name="_Toc522854327"/>
      <w:r>
        <w:rPr>
          <w:rFonts w:hint="eastAsia" w:ascii="楷体_GB2312" w:hAnsi="楷体_GB2312" w:eastAsia="楷体_GB2312" w:cs="楷体_GB2312"/>
          <w:kern w:val="2"/>
          <w:szCs w:val="32"/>
          <w:highlight w:val="none"/>
          <w:u w:val="none"/>
          <w:lang w:val="en-US" w:eastAsia="zh-CN" w:bidi="ar-SA"/>
        </w:rPr>
        <w:t>（三）用地</w:t>
      </w:r>
      <w:r>
        <w:rPr>
          <w:rFonts w:hint="eastAsia"/>
          <w:highlight w:val="none"/>
          <w:lang w:val="en-US" w:eastAsia="zh-CN"/>
        </w:rPr>
        <w:t>保障</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4A8F1F86">
      <w:pPr>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highlight w:val="none"/>
          <w:lang w:val="en-US" w:eastAsia="zh-CN"/>
        </w:rPr>
      </w:pPr>
      <w:r>
        <w:rPr>
          <w:rFonts w:hint="eastAsia" w:cs="Times New Roman"/>
          <w:sz w:val="32"/>
          <w:highlight w:val="none"/>
          <w:lang w:val="en-US" w:eastAsia="zh-CN"/>
          <w14:ligatures w14:val="none"/>
        </w:rPr>
        <w:t>依据住房发展规划和年度计划</w:t>
      </w:r>
      <w:r>
        <w:rPr>
          <w:rFonts w:hint="eastAsia" w:ascii="Times New Roman" w:hAnsi="Times New Roman" w:eastAsia="仿宋_GB2312" w:cs="Times New Roman"/>
          <w:sz w:val="32"/>
          <w:highlight w:val="none"/>
          <w14:ligatures w14:val="none"/>
        </w:rPr>
        <w:t>，科学编制住宅用地供应</w:t>
      </w:r>
      <w:r>
        <w:rPr>
          <w:rFonts w:hint="eastAsia" w:cs="Times New Roman"/>
          <w:sz w:val="32"/>
          <w:highlight w:val="none"/>
          <w:lang w:val="en-US" w:eastAsia="zh-CN"/>
          <w14:ligatures w14:val="none"/>
        </w:rPr>
        <w:t>年度</w:t>
      </w:r>
      <w:r>
        <w:rPr>
          <w:rFonts w:hint="eastAsia" w:ascii="Times New Roman" w:hAnsi="Times New Roman" w:eastAsia="仿宋_GB2312" w:cs="Times New Roman"/>
          <w:sz w:val="32"/>
          <w:highlight w:val="none"/>
          <w14:ligatures w14:val="none"/>
        </w:rPr>
        <w:t>计划，</w:t>
      </w:r>
      <w:r>
        <w:rPr>
          <w:rFonts w:hint="eastAsia" w:cs="Times New Roman"/>
          <w:sz w:val="32"/>
          <w:highlight w:val="none"/>
          <w:lang w:val="en-US" w:eastAsia="zh-CN"/>
          <w14:ligatures w14:val="none"/>
        </w:rPr>
        <w:t>合理确定</w:t>
      </w:r>
      <w:r>
        <w:rPr>
          <w:rFonts w:hint="eastAsia" w:ascii="Times New Roman" w:hAnsi="Times New Roman" w:eastAsia="仿宋_GB2312" w:cs="Times New Roman"/>
          <w:sz w:val="32"/>
          <w:highlight w:val="none"/>
          <w14:ligatures w14:val="none"/>
        </w:rPr>
        <w:t>住宅用地供应</w:t>
      </w:r>
      <w:r>
        <w:rPr>
          <w:rFonts w:hint="eastAsia" w:cs="Times New Roman"/>
          <w:sz w:val="32"/>
          <w:highlight w:val="none"/>
          <w:lang w:val="en-US" w:eastAsia="zh-CN"/>
          <w14:ligatures w14:val="none"/>
        </w:rPr>
        <w:t>规模</w:t>
      </w:r>
      <w:r>
        <w:rPr>
          <w:rFonts w:hint="eastAsia" w:ascii="Times New Roman" w:hAnsi="Times New Roman" w:eastAsia="仿宋_GB2312" w:cs="Times New Roman"/>
          <w:sz w:val="32"/>
          <w:highlight w:val="none"/>
          <w14:ligatures w14:val="none"/>
        </w:rPr>
        <w:t>、结构</w:t>
      </w:r>
      <w:r>
        <w:rPr>
          <w:rFonts w:hint="eastAsia" w:cs="Times New Roman"/>
          <w:sz w:val="32"/>
          <w:highlight w:val="none"/>
          <w:lang w:eastAsia="zh-CN"/>
          <w14:ligatures w14:val="none"/>
        </w:rPr>
        <w:t>、</w:t>
      </w:r>
      <w:r>
        <w:rPr>
          <w:rFonts w:hint="eastAsia" w:ascii="Times New Roman" w:hAnsi="Times New Roman" w:eastAsia="仿宋_GB2312" w:cs="Times New Roman"/>
          <w:sz w:val="32"/>
          <w:highlight w:val="none"/>
          <w14:ligatures w14:val="none"/>
        </w:rPr>
        <w:t>布局</w:t>
      </w:r>
      <w:r>
        <w:rPr>
          <w:rFonts w:hint="eastAsia" w:cs="Times New Roman"/>
          <w:sz w:val="32"/>
          <w:highlight w:val="none"/>
          <w:lang w:val="en-US" w:eastAsia="zh-CN"/>
          <w14:ligatures w14:val="none"/>
        </w:rPr>
        <w:t>与时序，</w:t>
      </w:r>
      <w:r>
        <w:rPr>
          <w:rFonts w:hint="eastAsia" w:cs="Times New Roman"/>
          <w:highlight w:val="none"/>
        </w:rPr>
        <w:t>推动土地供应与住房需求、人口布局、产业布局相匹配。优先安排保障性住房用地供应，确保应保尽保</w:t>
      </w:r>
      <w:r>
        <w:rPr>
          <w:rFonts w:hint="eastAsia" w:cs="Times New Roman"/>
          <w:highlight w:val="none"/>
          <w:lang w:eastAsia="zh-CN"/>
        </w:rPr>
        <w:t>。</w:t>
      </w:r>
      <w:r>
        <w:rPr>
          <w:rFonts w:hint="eastAsia" w:cs="Times New Roman"/>
          <w:highlight w:val="none"/>
          <w:lang w:val="en-US" w:eastAsia="zh-CN"/>
        </w:rPr>
        <w:t>严格落实净地出让要求，加大存量闲置用地盘活和重点片区用地收储力度，优先将区位优越、交通便捷、配套完善的优质地块用于住宅开发</w:t>
      </w:r>
      <w:r>
        <w:rPr>
          <w:rFonts w:hint="eastAsia" w:ascii="Times New Roman" w:hAnsi="Times New Roman" w:cs="Times New Roman"/>
          <w:sz w:val="32"/>
          <w:highlight w:val="none"/>
          <w:lang w:eastAsia="zh-CN"/>
          <w14:ligatures w14:val="none"/>
        </w:rPr>
        <w:t>。</w:t>
      </w:r>
      <w:bookmarkStart w:id="356" w:name="_Toc109590365"/>
      <w:bookmarkStart w:id="357" w:name="_Toc25754"/>
    </w:p>
    <w:p w14:paraId="5A386F23">
      <w:pPr>
        <w:pStyle w:val="3"/>
        <w:keepNext w:val="0"/>
        <w:keepLines w:val="0"/>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default" w:ascii="楷体_GB2312" w:hAnsi="楷体_GB2312" w:eastAsia="楷体_GB2312" w:cs="楷体_GB2312"/>
          <w:kern w:val="2"/>
          <w:szCs w:val="32"/>
          <w:highlight w:val="none"/>
          <w:u w:val="none"/>
          <w:lang w:val="en-US" w:eastAsia="zh-CN" w:bidi="ar-SA"/>
        </w:rPr>
      </w:pPr>
      <w:bookmarkStart w:id="358" w:name="_Toc14770"/>
      <w:bookmarkStart w:id="359" w:name="_Toc3144"/>
      <w:bookmarkStart w:id="360" w:name="_Toc22091"/>
      <w:bookmarkStart w:id="361" w:name="_Toc24741"/>
      <w:bookmarkStart w:id="362" w:name="_Toc19999"/>
      <w:bookmarkStart w:id="363" w:name="_Toc9518"/>
      <w:bookmarkStart w:id="364" w:name="_Toc691784877"/>
      <w:bookmarkStart w:id="365" w:name="_Toc408"/>
      <w:bookmarkStart w:id="366" w:name="_Toc11402"/>
      <w:bookmarkStart w:id="367" w:name="_Toc12074"/>
      <w:bookmarkStart w:id="368" w:name="_Toc22955"/>
      <w:bookmarkStart w:id="369" w:name="_Toc1636635327"/>
      <w:r>
        <w:rPr>
          <w:rFonts w:hint="eastAsia"/>
          <w:highlight w:val="none"/>
          <w:lang w:val="en-US" w:eastAsia="zh-CN"/>
        </w:rPr>
        <w:t>（四）资金</w:t>
      </w:r>
      <w:r>
        <w:rPr>
          <w:rFonts w:hint="eastAsia" w:ascii="楷体_GB2312" w:hAnsi="楷体_GB2312" w:eastAsia="楷体_GB2312" w:cs="楷体_GB2312"/>
          <w:kern w:val="2"/>
          <w:szCs w:val="32"/>
          <w:highlight w:val="none"/>
          <w:u w:val="none"/>
          <w:lang w:val="en-US" w:eastAsia="zh-CN" w:bidi="ar-SA"/>
        </w:rPr>
        <w:t>保障</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7394E5C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sz w:val="32"/>
          <w:highlight w:val="none"/>
          <w14:ligatures w14:val="none"/>
        </w:rPr>
      </w:pPr>
      <w:r>
        <w:rPr>
          <w:rFonts w:hint="eastAsia" w:ascii="Times New Roman" w:hAnsi="Times New Roman" w:cs="宋体"/>
          <w:szCs w:val="22"/>
          <w:highlight w:val="none"/>
        </w:rPr>
        <w:t>强化财政资金统筹调配，</w:t>
      </w:r>
      <w:r>
        <w:rPr>
          <w:rFonts w:ascii="Times New Roman" w:hAnsi="Times New Roman" w:cs="宋体"/>
          <w:szCs w:val="22"/>
          <w:highlight w:val="none"/>
        </w:rPr>
        <w:t>充分利用</w:t>
      </w:r>
      <w:r>
        <w:rPr>
          <w:rFonts w:hint="eastAsia" w:ascii="Times New Roman" w:hAnsi="Times New Roman" w:cs="宋体"/>
          <w:szCs w:val="22"/>
          <w:highlight w:val="none"/>
        </w:rPr>
        <w:t>中央、省</w:t>
      </w:r>
      <w:r>
        <w:rPr>
          <w:rFonts w:hint="eastAsia" w:cs="宋体"/>
          <w:szCs w:val="22"/>
          <w:highlight w:val="none"/>
          <w:lang w:val="en-US" w:eastAsia="zh-CN"/>
        </w:rPr>
        <w:t>级</w:t>
      </w:r>
      <w:r>
        <w:rPr>
          <w:rFonts w:hint="eastAsia" w:ascii="Times New Roman" w:hAnsi="Times New Roman" w:cs="宋体"/>
          <w:szCs w:val="22"/>
          <w:highlight w:val="none"/>
        </w:rPr>
        <w:t>保障性安居工程</w:t>
      </w:r>
      <w:r>
        <w:rPr>
          <w:rFonts w:hint="eastAsia" w:ascii="Times New Roman" w:hAnsi="Times New Roman"/>
          <w:highlight w:val="none"/>
        </w:rPr>
        <w:t>补助资金、地方政府专项债等资金推进保障性住房建设</w:t>
      </w:r>
      <w:r>
        <w:rPr>
          <w:rFonts w:hint="eastAsia" w:ascii="Times New Roman" w:hAnsi="Times New Roman"/>
          <w:highlight w:val="none"/>
          <w:lang w:eastAsia="zh-CN"/>
        </w:rPr>
        <w:t>，</w:t>
      </w:r>
      <w:r>
        <w:rPr>
          <w:rFonts w:hint="eastAsia" w:ascii="Times New Roman" w:hAnsi="Times New Roman"/>
          <w:highlight w:val="none"/>
        </w:rPr>
        <w:t>积极落实</w:t>
      </w:r>
      <w:r>
        <w:rPr>
          <w:rFonts w:ascii="Times New Roman" w:hAnsi="Times New Roman"/>
          <w:highlight w:val="none"/>
        </w:rPr>
        <w:t>保障性</w:t>
      </w:r>
      <w:r>
        <w:rPr>
          <w:rFonts w:hint="eastAsia" w:ascii="Times New Roman" w:hAnsi="Times New Roman"/>
          <w:highlight w:val="none"/>
        </w:rPr>
        <w:t>住房相关金融、税费等支持政策。鼓励引导社会资本参与保障性住房、人才住房的建设运营，提高住房保障和人才安居的居住品质。</w:t>
      </w:r>
      <w:r>
        <w:rPr>
          <w:rFonts w:hint="eastAsia" w:ascii="Times New Roman" w:hAnsi="Times New Roman" w:cs="宋体"/>
          <w:szCs w:val="22"/>
          <w:highlight w:val="none"/>
        </w:rPr>
        <w:t>加快完善房地产融资模式，</w:t>
      </w:r>
      <w:r>
        <w:rPr>
          <w:rFonts w:ascii="Times New Roman" w:hAnsi="Times New Roman"/>
          <w:color w:val="auto"/>
          <w:highlight w:val="none"/>
        </w:rPr>
        <w:t>加大</w:t>
      </w:r>
      <w:r>
        <w:rPr>
          <w:rFonts w:hint="eastAsia" w:ascii="仿宋_GB2312" w:hAnsi="仿宋_GB2312"/>
          <w:color w:val="auto"/>
          <w:highlight w:val="none"/>
          <w:lang w:eastAsia="zh-CN"/>
        </w:rPr>
        <w:t>“</w:t>
      </w:r>
      <w:r>
        <w:rPr>
          <w:rFonts w:ascii="Times New Roman" w:hAnsi="Times New Roman"/>
          <w:color w:val="auto"/>
          <w:highlight w:val="none"/>
        </w:rPr>
        <w:t>白名单</w:t>
      </w:r>
      <w:r>
        <w:rPr>
          <w:rFonts w:hint="eastAsia" w:ascii="仿宋_GB2312" w:hAnsi="仿宋_GB2312"/>
          <w:color w:val="auto"/>
          <w:highlight w:val="none"/>
          <w:lang w:eastAsia="zh-CN"/>
        </w:rPr>
        <w:t>”</w:t>
      </w:r>
      <w:r>
        <w:rPr>
          <w:rFonts w:ascii="Times New Roman" w:hAnsi="Times New Roman"/>
          <w:color w:val="auto"/>
          <w:highlight w:val="none"/>
        </w:rPr>
        <w:t>项目</w:t>
      </w:r>
      <w:r>
        <w:rPr>
          <w:rFonts w:hint="eastAsia" w:ascii="Times New Roman" w:hAnsi="Times New Roman"/>
          <w:color w:val="auto"/>
          <w:highlight w:val="none"/>
          <w:lang w:val="en-US" w:eastAsia="zh-CN"/>
        </w:rPr>
        <w:t>把关、推送</w:t>
      </w:r>
      <w:r>
        <w:rPr>
          <w:rFonts w:hint="eastAsia"/>
          <w:color w:val="auto"/>
          <w:highlight w:val="none"/>
          <w:lang w:val="en-US" w:eastAsia="zh-CN"/>
        </w:rPr>
        <w:t>及</w:t>
      </w:r>
      <w:r>
        <w:rPr>
          <w:rFonts w:ascii="Times New Roman" w:hAnsi="Times New Roman"/>
          <w:color w:val="auto"/>
          <w:highlight w:val="none"/>
        </w:rPr>
        <w:t>贷款投放力度</w:t>
      </w:r>
      <w:r>
        <w:rPr>
          <w:rFonts w:hint="eastAsia" w:ascii="Times New Roman" w:hAnsi="Times New Roman" w:cs="宋体"/>
          <w:szCs w:val="22"/>
          <w:highlight w:val="none"/>
          <w:lang w:eastAsia="zh-CN"/>
        </w:rPr>
        <w:t>。</w:t>
      </w:r>
    </w:p>
    <w:bookmarkEnd w:id="312"/>
    <w:bookmarkEnd w:id="313"/>
    <w:p w14:paraId="0BA76B22">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Times New Roman" w:hAnsi="Times New Roman" w:eastAsia="仿宋_GB2312" w:cs="Times New Roman"/>
          <w:sz w:val="32"/>
          <w:highlight w:val="none"/>
          <w14:ligatures w14:val="none"/>
        </w:rPr>
        <w:sectPr>
          <w:footerReference r:id="rId7"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C37FD20">
      <w:pPr>
        <w:pStyle w:val="2"/>
        <w:spacing w:beforeLines="0" w:afterLines="0" w:line="600" w:lineRule="exact"/>
        <w:rPr>
          <w:rFonts w:hint="eastAsia" w:ascii="Times New Roman" w:hAnsi="Times New Roman" w:eastAsia="黑体"/>
          <w:color w:val="auto"/>
          <w:highlight w:val="none"/>
          <w:lang w:eastAsia="zh-CN"/>
        </w:rPr>
      </w:pPr>
      <w:bookmarkStart w:id="370" w:name="_Toc31213"/>
      <w:bookmarkStart w:id="371" w:name="_Toc2360"/>
      <w:bookmarkStart w:id="372" w:name="_Toc31855"/>
      <w:bookmarkStart w:id="373" w:name="_Toc21681"/>
      <w:bookmarkStart w:id="374" w:name="_Toc28940"/>
      <w:bookmarkStart w:id="375" w:name="_Toc19687"/>
      <w:bookmarkStart w:id="376" w:name="_Toc15937"/>
      <w:bookmarkStart w:id="377" w:name="_Toc11535"/>
      <w:bookmarkStart w:id="378" w:name="_Toc32180"/>
      <w:bookmarkStart w:id="379" w:name="_Toc19427"/>
      <w:bookmarkStart w:id="380" w:name="_Toc443"/>
      <w:bookmarkStart w:id="381" w:name="_Toc22116"/>
      <w:bookmarkStart w:id="382" w:name="_Toc26324"/>
      <w:bookmarkStart w:id="383" w:name="_Toc24896"/>
      <w:bookmarkStart w:id="384" w:name="_Toc32577"/>
      <w:bookmarkStart w:id="385" w:name="_Toc3397"/>
      <w:bookmarkStart w:id="386" w:name="_Toc1959390113"/>
      <w:bookmarkStart w:id="387" w:name="_Toc17942"/>
      <w:bookmarkStart w:id="388" w:name="_Toc1491779076"/>
      <w:bookmarkStart w:id="389" w:name="_Toc30628"/>
      <w:bookmarkStart w:id="390" w:name="_Toc351962881"/>
      <w:bookmarkStart w:id="391" w:name="_Toc20010"/>
      <w:bookmarkStart w:id="392" w:name="_Toc29321"/>
      <w:bookmarkStart w:id="393" w:name="_Toc9162"/>
      <w:r>
        <w:rPr>
          <w:rFonts w:hint="eastAsia" w:ascii="Times New Roman" w:hAnsi="Times New Roman"/>
          <w:color w:val="auto"/>
          <w:highlight w:val="none"/>
        </w:rPr>
        <w:t>附表</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02142A3F">
      <w:pPr>
        <w:spacing w:beforeLines="0" w:afterLines="0"/>
        <w:ind w:firstLine="0" w:firstLineChars="0"/>
        <w:jc w:val="center"/>
        <w:outlineLvl w:val="9"/>
        <w:rPr>
          <w:rFonts w:ascii="Times New Roman" w:hAnsi="Times New Roman" w:eastAsia="黑体" w:cs="Times New Roman"/>
          <w:sz w:val="28"/>
          <w:szCs w:val="28"/>
          <w:highlight w:val="none"/>
        </w:rPr>
      </w:pPr>
      <w:bookmarkStart w:id="394" w:name="_Toc107777098"/>
      <w:r>
        <w:rPr>
          <w:rFonts w:ascii="Times New Roman" w:hAnsi="Times New Roman" w:eastAsia="黑体" w:cs="Times New Roman"/>
          <w:sz w:val="28"/>
          <w:szCs w:val="28"/>
          <w:highlight w:val="none"/>
        </w:rPr>
        <w:t xml:space="preserve">表1 </w:t>
      </w:r>
      <w:r>
        <w:rPr>
          <w:rFonts w:hint="eastAsia" w:ascii="仿宋_GB2312" w:hAnsi="仿宋_GB2312" w:eastAsia="仿宋_GB2312" w:cs="Times New Roman"/>
          <w:sz w:val="28"/>
          <w:szCs w:val="28"/>
          <w:highlight w:val="none"/>
          <w:lang w:eastAsia="zh-CN"/>
        </w:rPr>
        <w:t>“</w:t>
      </w:r>
      <w:r>
        <w:rPr>
          <w:rFonts w:ascii="Times New Roman" w:hAnsi="Times New Roman" w:eastAsia="黑体" w:cs="Times New Roman"/>
          <w:sz w:val="28"/>
          <w:szCs w:val="28"/>
          <w:highlight w:val="none"/>
        </w:rPr>
        <w:t>十四五</w:t>
      </w:r>
      <w:r>
        <w:rPr>
          <w:rFonts w:hint="eastAsia" w:ascii="仿宋_GB2312" w:hAnsi="仿宋_GB2312" w:eastAsia="仿宋_GB2312" w:cs="Times New Roman"/>
          <w:sz w:val="28"/>
          <w:szCs w:val="28"/>
          <w:highlight w:val="none"/>
          <w:lang w:eastAsia="zh-CN"/>
        </w:rPr>
        <w:t>”</w:t>
      </w:r>
      <w:r>
        <w:rPr>
          <w:rFonts w:ascii="Times New Roman" w:hAnsi="Times New Roman" w:eastAsia="黑体" w:cs="Times New Roman"/>
          <w:sz w:val="28"/>
          <w:szCs w:val="28"/>
          <w:highlight w:val="none"/>
        </w:rPr>
        <w:t>湛江市住房发展</w:t>
      </w:r>
      <w:r>
        <w:rPr>
          <w:rFonts w:hint="eastAsia" w:ascii="Times New Roman" w:hAnsi="Times New Roman" w:eastAsia="黑体" w:cs="Times New Roman"/>
          <w:sz w:val="28"/>
          <w:szCs w:val="28"/>
          <w:highlight w:val="none"/>
          <w:lang w:val="en-US" w:eastAsia="zh-CN"/>
        </w:rPr>
        <w:t>目标完成情况</w:t>
      </w:r>
      <w:r>
        <w:rPr>
          <w:rFonts w:ascii="Times New Roman" w:hAnsi="Times New Roman" w:eastAsia="黑体" w:cs="Times New Roman"/>
          <w:sz w:val="28"/>
          <w:szCs w:val="28"/>
          <w:highlight w:val="none"/>
        </w:rPr>
        <w:t>表</w:t>
      </w:r>
      <w:bookmarkEnd w:id="394"/>
    </w:p>
    <w:tbl>
      <w:tblPr>
        <w:tblStyle w:val="23"/>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2"/>
        <w:gridCol w:w="1019"/>
        <w:gridCol w:w="4362"/>
        <w:gridCol w:w="1674"/>
        <w:gridCol w:w="2213"/>
        <w:gridCol w:w="1772"/>
        <w:gridCol w:w="1772"/>
      </w:tblGrid>
      <w:tr w14:paraId="18B8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9"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AD076F6">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b/>
                <w:kern w:val="2"/>
                <w:sz w:val="24"/>
                <w:szCs w:val="24"/>
                <w:highlight w:val="none"/>
                <w:lang w:val="en-US" w:eastAsia="zh-CN" w:bidi="ar-SA"/>
              </w:rPr>
            </w:pPr>
            <w:r>
              <w:rPr>
                <w:rFonts w:ascii="Times New Roman" w:hAnsi="Times New Roman" w:eastAsia="仿宋_GB2312" w:cs="Times New Roman"/>
                <w:b/>
                <w:kern w:val="2"/>
                <w:sz w:val="24"/>
                <w:szCs w:val="24"/>
                <w:highlight w:val="none"/>
                <w:lang w:val="en-US" w:eastAsia="zh-CN" w:bidi="ar-SA"/>
              </w:rPr>
              <w:t>序号</w:t>
            </w:r>
          </w:p>
        </w:tc>
        <w:tc>
          <w:tcPr>
            <w:tcW w:w="1928" w:type="pct"/>
            <w:gridSpan w:val="2"/>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2410F09">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b/>
                <w:kern w:val="2"/>
                <w:sz w:val="24"/>
                <w:szCs w:val="24"/>
                <w:highlight w:val="none"/>
                <w:lang w:val="en-US" w:eastAsia="zh-CN" w:bidi="ar-SA"/>
              </w:rPr>
            </w:pPr>
            <w:r>
              <w:rPr>
                <w:rFonts w:ascii="Times New Roman" w:hAnsi="Times New Roman" w:eastAsia="仿宋_GB2312" w:cs="Times New Roman"/>
                <w:b/>
                <w:kern w:val="2"/>
                <w:sz w:val="24"/>
                <w:szCs w:val="24"/>
                <w:highlight w:val="none"/>
                <w:lang w:val="en-US" w:eastAsia="zh-CN" w:bidi="ar-SA"/>
              </w:rPr>
              <w:t>指标</w:t>
            </w:r>
          </w:p>
        </w:tc>
        <w:tc>
          <w:tcPr>
            <w:tcW w:w="599"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3E577B4">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b/>
                <w:kern w:val="2"/>
                <w:sz w:val="24"/>
                <w:szCs w:val="24"/>
                <w:highlight w:val="none"/>
                <w:lang w:val="en-US" w:eastAsia="zh-CN" w:bidi="ar-SA"/>
              </w:rPr>
            </w:pPr>
            <w:r>
              <w:rPr>
                <w:rFonts w:ascii="Times New Roman" w:hAnsi="Times New Roman" w:eastAsia="仿宋_GB2312" w:cs="Times New Roman"/>
                <w:b/>
                <w:kern w:val="2"/>
                <w:sz w:val="24"/>
                <w:szCs w:val="24"/>
                <w:highlight w:val="none"/>
                <w:lang w:val="en-US" w:eastAsia="zh-CN" w:bidi="ar-SA"/>
              </w:rPr>
              <w:t>单位</w:t>
            </w:r>
          </w:p>
        </w:tc>
        <w:tc>
          <w:tcPr>
            <w:tcW w:w="79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EDF98A6">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b/>
                <w:kern w:val="2"/>
                <w:sz w:val="24"/>
                <w:szCs w:val="24"/>
                <w:highlight w:val="none"/>
                <w:lang w:val="en-US" w:eastAsia="zh-CN" w:bidi="ar-SA"/>
              </w:rPr>
            </w:pPr>
            <w:r>
              <w:rPr>
                <w:rFonts w:ascii="Times New Roman" w:hAnsi="Times New Roman" w:eastAsia="仿宋_GB2312" w:cs="Times New Roman"/>
                <w:b/>
                <w:kern w:val="2"/>
                <w:sz w:val="24"/>
                <w:szCs w:val="24"/>
                <w:highlight w:val="none"/>
                <w:lang w:val="en-US" w:eastAsia="zh-CN" w:bidi="ar-SA"/>
              </w:rPr>
              <w:t>目标</w:t>
            </w:r>
          </w:p>
        </w:tc>
        <w:tc>
          <w:tcPr>
            <w:tcW w:w="634"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D220022">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b/>
                <w:kern w:val="2"/>
                <w:sz w:val="24"/>
                <w:szCs w:val="24"/>
                <w:highlight w:val="none"/>
                <w:lang w:val="en-US" w:eastAsia="zh-CN" w:bidi="ar-SA"/>
              </w:rPr>
            </w:pPr>
            <w:r>
              <w:rPr>
                <w:rFonts w:hint="eastAsia" w:ascii="Times New Roman" w:hAnsi="Times New Roman" w:eastAsia="仿宋_GB2312" w:cs="Times New Roman"/>
                <w:b/>
                <w:kern w:val="2"/>
                <w:sz w:val="24"/>
                <w:szCs w:val="24"/>
                <w:highlight w:val="none"/>
                <w:lang w:val="en-US" w:eastAsia="zh-CN" w:bidi="ar-SA"/>
              </w:rPr>
              <w:t>完成情况</w:t>
            </w:r>
          </w:p>
        </w:tc>
        <w:tc>
          <w:tcPr>
            <w:tcW w:w="63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EF6F64">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b/>
                <w:kern w:val="2"/>
                <w:sz w:val="24"/>
                <w:szCs w:val="24"/>
                <w:highlight w:val="none"/>
                <w:lang w:val="en-US" w:eastAsia="zh-CN" w:bidi="ar-SA"/>
              </w:rPr>
            </w:pPr>
            <w:r>
              <w:rPr>
                <w:rFonts w:ascii="Times New Roman" w:hAnsi="Times New Roman" w:eastAsia="仿宋_GB2312" w:cs="Times New Roman"/>
                <w:b/>
                <w:kern w:val="2"/>
                <w:sz w:val="24"/>
                <w:szCs w:val="24"/>
                <w:highlight w:val="none"/>
                <w:lang w:val="en-US" w:eastAsia="zh-CN" w:bidi="ar-SA"/>
              </w:rPr>
              <w:t>属性</w:t>
            </w:r>
          </w:p>
        </w:tc>
      </w:tr>
      <w:tr w14:paraId="62D9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9"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4599FD1">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1</w:t>
            </w:r>
          </w:p>
        </w:tc>
        <w:tc>
          <w:tcPr>
            <w:tcW w:w="1928" w:type="pct"/>
            <w:gridSpan w:val="2"/>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B551591">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新增供应新建商品住房</w:t>
            </w:r>
          </w:p>
        </w:tc>
        <w:tc>
          <w:tcPr>
            <w:tcW w:w="599"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EF9D107">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万套</w:t>
            </w:r>
          </w:p>
        </w:tc>
        <w:tc>
          <w:tcPr>
            <w:tcW w:w="79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E27AB4D">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[33.6-45.3]</w:t>
            </w:r>
          </w:p>
        </w:tc>
        <w:tc>
          <w:tcPr>
            <w:tcW w:w="634"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EB1BB39">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kern w:val="2"/>
                <w:sz w:val="24"/>
                <w:szCs w:val="24"/>
                <w:highlight w:val="none"/>
                <w:lang w:val="en-US" w:eastAsia="zh-CN" w:bidi="ar-SA"/>
              </w:rPr>
            </w:pPr>
            <w:r>
              <w:rPr>
                <w:rFonts w:hint="eastAsia" w:cs="Times New Roman"/>
                <w:kern w:val="2"/>
                <w:sz w:val="24"/>
                <w:szCs w:val="24"/>
                <w:highlight w:val="none"/>
                <w:lang w:val="en-US" w:eastAsia="zh-CN" w:bidi="ar-SA"/>
              </w:rPr>
              <w:t>[</w:t>
            </w:r>
            <w:r>
              <w:rPr>
                <w:rFonts w:hint="default" w:ascii="Times New Roman" w:hAnsi="Times New Roman" w:eastAsia="仿宋_GB2312" w:cs="Times New Roman"/>
                <w:kern w:val="2"/>
                <w:sz w:val="24"/>
                <w:szCs w:val="24"/>
                <w:highlight w:val="none"/>
                <w:lang w:val="en-US" w:eastAsia="zh-CN" w:bidi="ar-SA"/>
              </w:rPr>
              <w:t>15.33</w:t>
            </w:r>
            <w:r>
              <w:rPr>
                <w:rFonts w:hint="eastAsia" w:cs="Times New Roman"/>
                <w:kern w:val="2"/>
                <w:sz w:val="24"/>
                <w:szCs w:val="24"/>
                <w:highlight w:val="none"/>
                <w:lang w:val="en-US" w:eastAsia="zh-CN" w:bidi="ar-SA"/>
              </w:rPr>
              <w:t>]</w:t>
            </w:r>
          </w:p>
        </w:tc>
        <w:tc>
          <w:tcPr>
            <w:tcW w:w="63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C60C50">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预期性</w:t>
            </w:r>
          </w:p>
        </w:tc>
      </w:tr>
      <w:tr w14:paraId="2B7A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9" w:type="pct"/>
            <w:vMerge w:val="restart"/>
            <w:tcBorders>
              <w:top w:val="single" w:color="auto" w:sz="4" w:space="0"/>
              <w:left w:val="single" w:color="auto" w:sz="4" w:space="0"/>
              <w:right w:val="single" w:color="auto" w:sz="4" w:space="0"/>
            </w:tcBorders>
            <w:tcMar>
              <w:left w:w="108" w:type="dxa"/>
              <w:right w:w="108" w:type="dxa"/>
            </w:tcMar>
            <w:vAlign w:val="center"/>
          </w:tcPr>
          <w:p w14:paraId="3B5E2BD0">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2</w:t>
            </w:r>
          </w:p>
        </w:tc>
        <w:tc>
          <w:tcPr>
            <w:tcW w:w="1928" w:type="pct"/>
            <w:gridSpan w:val="2"/>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04F4ADD">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新增筹建保障性安居工程住房（含租赁补贴）</w:t>
            </w:r>
          </w:p>
        </w:tc>
        <w:tc>
          <w:tcPr>
            <w:tcW w:w="599"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4B996DD">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万套（户）</w:t>
            </w:r>
          </w:p>
        </w:tc>
        <w:tc>
          <w:tcPr>
            <w:tcW w:w="79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CB2203">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[1.25]</w:t>
            </w:r>
          </w:p>
        </w:tc>
        <w:tc>
          <w:tcPr>
            <w:tcW w:w="177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9883873">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kern w:val="2"/>
                <w:sz w:val="24"/>
                <w:szCs w:val="24"/>
                <w:highlight w:val="none"/>
                <w:lang w:val="en-US" w:eastAsia="zh-CN" w:bidi="ar-SA"/>
              </w:rPr>
            </w:pPr>
            <w:r>
              <w:rPr>
                <w:rFonts w:hint="eastAsia" w:cs="Times New Roman"/>
                <w:kern w:val="2"/>
                <w:sz w:val="24"/>
                <w:szCs w:val="24"/>
                <w:highlight w:val="none"/>
                <w:lang w:val="en-US" w:eastAsia="zh-CN" w:bidi="ar-SA"/>
              </w:rPr>
              <w:t>[1.30]</w:t>
            </w:r>
          </w:p>
        </w:tc>
        <w:tc>
          <w:tcPr>
            <w:tcW w:w="63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9A34D99">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预期性</w:t>
            </w:r>
          </w:p>
        </w:tc>
      </w:tr>
      <w:tr w14:paraId="1C26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9" w:type="pct"/>
            <w:vMerge w:val="continue"/>
            <w:tcBorders>
              <w:left w:val="single" w:color="auto" w:sz="4" w:space="0"/>
              <w:right w:val="single" w:color="auto" w:sz="4" w:space="0"/>
            </w:tcBorders>
            <w:tcMar>
              <w:left w:w="108" w:type="dxa"/>
              <w:right w:w="108" w:type="dxa"/>
            </w:tcMar>
            <w:vAlign w:val="center"/>
          </w:tcPr>
          <w:p w14:paraId="0086AB30">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p>
        </w:tc>
        <w:tc>
          <w:tcPr>
            <w:tcW w:w="365" w:type="pct"/>
            <w:vMerge w:val="restart"/>
            <w:tcBorders>
              <w:top w:val="single" w:color="auto" w:sz="4" w:space="0"/>
              <w:left w:val="single" w:color="auto" w:sz="4" w:space="0"/>
              <w:right w:val="single" w:color="auto" w:sz="4" w:space="0"/>
            </w:tcBorders>
            <w:tcMar>
              <w:left w:w="108" w:type="dxa"/>
              <w:right w:w="108" w:type="dxa"/>
            </w:tcMar>
            <w:vAlign w:val="center"/>
          </w:tcPr>
          <w:p w14:paraId="2B2A09B2">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其中：</w:t>
            </w:r>
          </w:p>
        </w:tc>
        <w:tc>
          <w:tcPr>
            <w:tcW w:w="156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0DC5A89">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新增筹建公共租赁住房</w:t>
            </w:r>
          </w:p>
        </w:tc>
        <w:tc>
          <w:tcPr>
            <w:tcW w:w="599"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89C6684">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万套</w:t>
            </w:r>
          </w:p>
        </w:tc>
        <w:tc>
          <w:tcPr>
            <w:tcW w:w="79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F3F5486">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[0.25]</w:t>
            </w:r>
          </w:p>
        </w:tc>
        <w:tc>
          <w:tcPr>
            <w:tcW w:w="177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AFD35AE">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kern w:val="2"/>
                <w:sz w:val="24"/>
                <w:szCs w:val="24"/>
                <w:highlight w:val="none"/>
                <w:lang w:val="en-US" w:eastAsia="zh-CN" w:bidi="ar-SA"/>
              </w:rPr>
            </w:pPr>
            <w:r>
              <w:rPr>
                <w:rFonts w:hint="eastAsia" w:cs="Times New Roman"/>
                <w:kern w:val="2"/>
                <w:sz w:val="24"/>
                <w:szCs w:val="24"/>
                <w:highlight w:val="none"/>
                <w:lang w:val="en-US" w:eastAsia="zh-CN" w:bidi="ar-SA"/>
              </w:rPr>
              <w:t>[</w:t>
            </w:r>
            <w:r>
              <w:rPr>
                <w:rFonts w:hint="default" w:ascii="Times New Roman" w:hAnsi="Times New Roman" w:eastAsia="仿宋_GB2312" w:cs="Times New Roman"/>
                <w:kern w:val="2"/>
                <w:sz w:val="24"/>
                <w:szCs w:val="24"/>
                <w:highlight w:val="none"/>
                <w:lang w:val="en-US" w:eastAsia="zh-CN" w:bidi="ar-SA"/>
              </w:rPr>
              <w:t>0.25</w:t>
            </w:r>
            <w:r>
              <w:rPr>
                <w:rFonts w:hint="eastAsia" w:cs="Times New Roman"/>
                <w:kern w:val="2"/>
                <w:sz w:val="24"/>
                <w:szCs w:val="24"/>
                <w:highlight w:val="none"/>
                <w:lang w:val="en-US" w:eastAsia="zh-CN" w:bidi="ar-SA"/>
              </w:rPr>
              <w:t>]</w:t>
            </w:r>
          </w:p>
        </w:tc>
        <w:tc>
          <w:tcPr>
            <w:tcW w:w="63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9BE804F">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hint="eastAsia" w:cs="Times New Roman"/>
                <w:kern w:val="2"/>
                <w:sz w:val="24"/>
                <w:szCs w:val="24"/>
                <w:highlight w:val="none"/>
                <w:lang w:val="en-US" w:eastAsia="zh-CN" w:bidi="ar-SA"/>
              </w:rPr>
              <w:t>约束</w:t>
            </w:r>
            <w:r>
              <w:rPr>
                <w:rFonts w:ascii="Times New Roman" w:hAnsi="Times New Roman" w:eastAsia="仿宋_GB2312" w:cs="Times New Roman"/>
                <w:kern w:val="2"/>
                <w:sz w:val="24"/>
                <w:szCs w:val="24"/>
                <w:highlight w:val="none"/>
                <w:lang w:val="en-US" w:eastAsia="zh-CN" w:bidi="ar-SA"/>
              </w:rPr>
              <w:t>性</w:t>
            </w:r>
          </w:p>
        </w:tc>
      </w:tr>
      <w:tr w14:paraId="493D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9" w:type="pct"/>
            <w:vMerge w:val="continue"/>
            <w:tcBorders>
              <w:left w:val="single" w:color="auto" w:sz="4" w:space="0"/>
              <w:right w:val="single" w:color="auto" w:sz="4" w:space="0"/>
            </w:tcBorders>
            <w:tcMar>
              <w:left w:w="108" w:type="dxa"/>
              <w:right w:w="108" w:type="dxa"/>
            </w:tcMar>
            <w:vAlign w:val="center"/>
          </w:tcPr>
          <w:p w14:paraId="0A0F21B8">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p>
        </w:tc>
        <w:tc>
          <w:tcPr>
            <w:tcW w:w="365" w:type="pct"/>
            <w:vMerge w:val="continue"/>
            <w:tcBorders>
              <w:left w:val="single" w:color="auto" w:sz="4" w:space="0"/>
              <w:right w:val="single" w:color="auto" w:sz="4" w:space="0"/>
            </w:tcBorders>
            <w:tcMar>
              <w:left w:w="108" w:type="dxa"/>
              <w:right w:w="108" w:type="dxa"/>
            </w:tcMar>
            <w:vAlign w:val="center"/>
          </w:tcPr>
          <w:p w14:paraId="14003F49">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p>
        </w:tc>
        <w:tc>
          <w:tcPr>
            <w:tcW w:w="156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19A7F18">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新增发放租赁补贴家庭</w:t>
            </w:r>
          </w:p>
        </w:tc>
        <w:tc>
          <w:tcPr>
            <w:tcW w:w="599"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B2D036C">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万户</w:t>
            </w:r>
          </w:p>
        </w:tc>
        <w:tc>
          <w:tcPr>
            <w:tcW w:w="79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083545">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[0.3]</w:t>
            </w:r>
          </w:p>
        </w:tc>
        <w:tc>
          <w:tcPr>
            <w:tcW w:w="177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B11EADE">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kern w:val="2"/>
                <w:sz w:val="24"/>
                <w:szCs w:val="24"/>
                <w:highlight w:val="none"/>
                <w:lang w:val="en-US" w:eastAsia="zh-CN" w:bidi="ar-SA"/>
              </w:rPr>
            </w:pPr>
            <w:r>
              <w:rPr>
                <w:rFonts w:hint="eastAsia" w:cs="Times New Roman"/>
                <w:kern w:val="2"/>
                <w:sz w:val="24"/>
                <w:szCs w:val="24"/>
                <w:highlight w:val="none"/>
                <w:lang w:val="en-US" w:eastAsia="zh-CN" w:bidi="ar-SA"/>
              </w:rPr>
              <w:t>[0.33]</w:t>
            </w:r>
          </w:p>
        </w:tc>
        <w:tc>
          <w:tcPr>
            <w:tcW w:w="63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38FB012">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hint="eastAsia" w:cs="Times New Roman"/>
                <w:kern w:val="2"/>
                <w:sz w:val="24"/>
                <w:szCs w:val="24"/>
                <w:highlight w:val="none"/>
                <w:lang w:val="en-US" w:eastAsia="zh-CN" w:bidi="ar-SA"/>
              </w:rPr>
              <w:t>约束</w:t>
            </w:r>
            <w:r>
              <w:rPr>
                <w:rFonts w:ascii="Times New Roman" w:hAnsi="Times New Roman" w:eastAsia="仿宋_GB2312" w:cs="Times New Roman"/>
                <w:kern w:val="2"/>
                <w:sz w:val="24"/>
                <w:szCs w:val="24"/>
                <w:highlight w:val="none"/>
                <w:lang w:val="en-US" w:eastAsia="zh-CN" w:bidi="ar-SA"/>
              </w:rPr>
              <w:t>性</w:t>
            </w:r>
          </w:p>
        </w:tc>
      </w:tr>
      <w:tr w14:paraId="77D3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9" w:type="pct"/>
            <w:vMerge w:val="continue"/>
            <w:tcBorders>
              <w:left w:val="single" w:color="auto" w:sz="4" w:space="0"/>
              <w:right w:val="single" w:color="auto" w:sz="4" w:space="0"/>
            </w:tcBorders>
            <w:tcMar>
              <w:left w:w="108" w:type="dxa"/>
              <w:right w:w="108" w:type="dxa"/>
            </w:tcMar>
            <w:vAlign w:val="center"/>
          </w:tcPr>
          <w:p w14:paraId="604DDA5F">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p>
        </w:tc>
        <w:tc>
          <w:tcPr>
            <w:tcW w:w="365" w:type="pct"/>
            <w:vMerge w:val="continue"/>
            <w:tcBorders>
              <w:left w:val="single" w:color="auto" w:sz="4" w:space="0"/>
              <w:right w:val="single" w:color="auto" w:sz="4" w:space="0"/>
            </w:tcBorders>
            <w:tcMar>
              <w:left w:w="108" w:type="dxa"/>
              <w:right w:w="108" w:type="dxa"/>
            </w:tcMar>
            <w:vAlign w:val="center"/>
          </w:tcPr>
          <w:p w14:paraId="02786DB9">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p>
        </w:tc>
        <w:tc>
          <w:tcPr>
            <w:tcW w:w="156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0E04B8F">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新增筹建保障性租赁住房</w:t>
            </w:r>
          </w:p>
        </w:tc>
        <w:tc>
          <w:tcPr>
            <w:tcW w:w="599"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0E13E50">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万套</w:t>
            </w:r>
          </w:p>
        </w:tc>
        <w:tc>
          <w:tcPr>
            <w:tcW w:w="792"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C2DDBA2">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[0.7]</w:t>
            </w:r>
          </w:p>
        </w:tc>
        <w:tc>
          <w:tcPr>
            <w:tcW w:w="634"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283A339">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仿宋_GB2312" w:cs="Times New Roman"/>
                <w:kern w:val="2"/>
                <w:sz w:val="24"/>
                <w:szCs w:val="24"/>
                <w:highlight w:val="none"/>
                <w:lang w:val="en-US" w:eastAsia="zh-CN" w:bidi="ar-SA"/>
              </w:rPr>
            </w:pPr>
            <w:r>
              <w:rPr>
                <w:rFonts w:hint="eastAsia" w:cs="Times New Roman"/>
                <w:kern w:val="2"/>
                <w:sz w:val="24"/>
                <w:szCs w:val="24"/>
                <w:highlight w:val="none"/>
                <w:lang w:val="en-US" w:eastAsia="zh-CN" w:bidi="ar-SA"/>
              </w:rPr>
              <w:t>[</w:t>
            </w:r>
            <w:r>
              <w:rPr>
                <w:rFonts w:hint="default" w:ascii="Times New Roman" w:hAnsi="Times New Roman" w:eastAsia="仿宋_GB2312" w:cs="Times New Roman"/>
                <w:kern w:val="2"/>
                <w:sz w:val="24"/>
                <w:szCs w:val="24"/>
                <w:highlight w:val="none"/>
                <w:lang w:val="en-US" w:eastAsia="zh-CN" w:bidi="ar-SA"/>
              </w:rPr>
              <w:t>0.72</w:t>
            </w:r>
            <w:r>
              <w:rPr>
                <w:rFonts w:hint="eastAsia" w:cs="Times New Roman"/>
                <w:kern w:val="2"/>
                <w:sz w:val="24"/>
                <w:szCs w:val="24"/>
                <w:highlight w:val="none"/>
                <w:lang w:val="en-US" w:eastAsia="zh-CN" w:bidi="ar-SA"/>
              </w:rPr>
              <w:t>]</w:t>
            </w:r>
          </w:p>
        </w:tc>
        <w:tc>
          <w:tcPr>
            <w:tcW w:w="634" w:type="pc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968517F">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2"/>
                <w:sz w:val="24"/>
                <w:szCs w:val="24"/>
                <w:highlight w:val="none"/>
                <w:lang w:val="en-US" w:eastAsia="zh-CN" w:bidi="ar-SA"/>
              </w:rPr>
              <w:t>预期性</w:t>
            </w:r>
          </w:p>
        </w:tc>
      </w:tr>
    </w:tbl>
    <w:p w14:paraId="31871D42">
      <w:pPr>
        <w:keepNext w:val="0"/>
        <w:keepLines w:val="0"/>
        <w:pageBreakBefore w:val="0"/>
        <w:widowControl/>
        <w:kinsoku/>
        <w:wordWrap/>
        <w:overflowPunct/>
        <w:topLinePunct w:val="0"/>
        <w:autoSpaceDE/>
        <w:autoSpaceDN/>
        <w:bidi w:val="0"/>
        <w:adjustRightInd/>
        <w:snapToGrid/>
        <w:spacing w:beforeLines="0" w:afterLines="0" w:line="600" w:lineRule="exact"/>
        <w:ind w:firstLine="0" w:firstLineChars="0"/>
        <w:textAlignment w:val="auto"/>
        <w:rPr>
          <w:rFonts w:hint="eastAsia" w:ascii="Times New Roman" w:hAnsi="Times New Roman" w:cs="宋体"/>
          <w:szCs w:val="22"/>
          <w:highlight w:val="none"/>
        </w:rPr>
      </w:pPr>
      <w:r>
        <w:rPr>
          <w:rFonts w:hint="eastAsia" w:eastAsia="仿宋_GB2312"/>
          <w:kern w:val="2"/>
          <w:sz w:val="22"/>
          <w:szCs w:val="22"/>
          <w:highlight w:val="none"/>
          <w:lang w:val="en-US" w:eastAsia="zh-CN" w:bidi="ar-SA"/>
        </w:rPr>
        <w:t>注：</w:t>
      </w:r>
      <w:r>
        <w:rPr>
          <w:rFonts w:hint="eastAsia"/>
          <w:kern w:val="2"/>
          <w:sz w:val="22"/>
          <w:szCs w:val="22"/>
          <w:highlight w:val="none"/>
          <w:lang w:val="en-US" w:eastAsia="zh-CN" w:bidi="ar-SA"/>
        </w:rPr>
        <w:t>[ ]为累计数。</w:t>
      </w:r>
    </w:p>
    <w:p w14:paraId="42854FBF">
      <w:pPr>
        <w:keepNext w:val="0"/>
        <w:keepLines w:val="0"/>
        <w:pageBreakBefore w:val="0"/>
        <w:widowControl/>
        <w:kinsoku/>
        <w:wordWrap/>
        <w:overflowPunct/>
        <w:topLinePunct w:val="0"/>
        <w:autoSpaceDE/>
        <w:autoSpaceDN/>
        <w:bidi w:val="0"/>
        <w:adjustRightInd/>
        <w:snapToGrid/>
        <w:spacing w:beforeLines="0" w:afterLines="0" w:line="600" w:lineRule="exact"/>
        <w:ind w:firstLine="0" w:firstLineChars="0"/>
        <w:textAlignment w:val="auto"/>
        <w:rPr>
          <w:rFonts w:hint="eastAsia" w:ascii="Times New Roman" w:hAnsi="Times New Roman" w:cs="宋体"/>
          <w:szCs w:val="22"/>
          <w:highlight w:val="none"/>
        </w:rPr>
      </w:pPr>
      <w:r>
        <w:rPr>
          <w:rFonts w:hint="eastAsia" w:ascii="Times New Roman" w:hAnsi="Times New Roman" w:cs="宋体"/>
          <w:szCs w:val="22"/>
          <w:highlight w:val="none"/>
        </w:rPr>
        <w:br w:type="page"/>
      </w:r>
    </w:p>
    <w:p w14:paraId="3CEBA04A">
      <w:pPr>
        <w:spacing w:beforeLines="0" w:afterLines="0" w:line="600" w:lineRule="exact"/>
        <w:jc w:val="center"/>
        <w:rPr>
          <w:rFonts w:ascii="Times New Roman" w:hAnsi="Times New Roman" w:eastAsia="黑体"/>
          <w:color w:val="auto"/>
          <w:sz w:val="28"/>
          <w:szCs w:val="21"/>
          <w:highlight w:val="none"/>
        </w:rPr>
      </w:pPr>
      <w:r>
        <w:rPr>
          <w:rFonts w:ascii="Times New Roman" w:hAnsi="Times New Roman" w:eastAsia="黑体"/>
          <w:color w:val="auto"/>
          <w:sz w:val="28"/>
          <w:szCs w:val="21"/>
          <w:highlight w:val="none"/>
        </w:rPr>
        <w:t>表</w:t>
      </w:r>
      <w:r>
        <w:rPr>
          <w:rFonts w:hint="eastAsia" w:ascii="Times New Roman" w:hAnsi="Times New Roman" w:eastAsia="黑体"/>
          <w:color w:val="auto"/>
          <w:sz w:val="28"/>
          <w:szCs w:val="21"/>
          <w:highlight w:val="none"/>
          <w:lang w:val="en-US" w:eastAsia="zh-CN"/>
        </w:rPr>
        <w:t>2</w:t>
      </w:r>
      <w:r>
        <w:rPr>
          <w:rFonts w:ascii="Times New Roman" w:hAnsi="Times New Roman" w:eastAsia="黑体"/>
          <w:color w:val="auto"/>
          <w:sz w:val="28"/>
          <w:szCs w:val="21"/>
          <w:highlight w:val="none"/>
        </w:rPr>
        <w:t xml:space="preserve"> </w:t>
      </w:r>
      <w:r>
        <w:rPr>
          <w:rFonts w:hint="eastAsia" w:ascii="Times New Roman" w:hAnsi="Times New Roman" w:eastAsia="黑体"/>
          <w:color w:val="auto"/>
          <w:sz w:val="28"/>
          <w:szCs w:val="21"/>
          <w:highlight w:val="none"/>
          <w:lang w:val="en-US" w:eastAsia="zh-CN"/>
        </w:rPr>
        <w:t>湛江</w:t>
      </w:r>
      <w:r>
        <w:rPr>
          <w:rFonts w:ascii="Times New Roman" w:hAnsi="Times New Roman" w:eastAsia="黑体"/>
          <w:color w:val="auto"/>
          <w:sz w:val="28"/>
          <w:szCs w:val="21"/>
          <w:highlight w:val="none"/>
        </w:rPr>
        <w:t>市住房发展</w:t>
      </w:r>
      <w:r>
        <w:rPr>
          <w:rFonts w:hint="eastAsia" w:ascii="仿宋_GB2312" w:hAnsi="仿宋_GB2312" w:eastAsia="仿宋_GB2312"/>
          <w:color w:val="auto"/>
          <w:sz w:val="28"/>
          <w:szCs w:val="21"/>
          <w:highlight w:val="none"/>
          <w:lang w:eastAsia="zh-CN"/>
        </w:rPr>
        <w:t>“</w:t>
      </w:r>
      <w:r>
        <w:rPr>
          <w:rFonts w:ascii="Times New Roman" w:hAnsi="Times New Roman" w:eastAsia="黑体"/>
          <w:color w:val="auto"/>
          <w:sz w:val="28"/>
          <w:szCs w:val="21"/>
          <w:highlight w:val="none"/>
        </w:rPr>
        <w:t>十五五</w:t>
      </w:r>
      <w:r>
        <w:rPr>
          <w:rFonts w:hint="eastAsia" w:ascii="仿宋_GB2312" w:hAnsi="仿宋_GB2312" w:eastAsia="仿宋_GB2312"/>
          <w:color w:val="auto"/>
          <w:sz w:val="28"/>
          <w:szCs w:val="21"/>
          <w:highlight w:val="none"/>
          <w:lang w:eastAsia="zh-CN"/>
        </w:rPr>
        <w:t>”</w:t>
      </w:r>
      <w:r>
        <w:rPr>
          <w:rFonts w:ascii="Times New Roman" w:hAnsi="Times New Roman" w:eastAsia="黑体"/>
          <w:color w:val="auto"/>
          <w:sz w:val="28"/>
          <w:szCs w:val="21"/>
          <w:highlight w:val="none"/>
        </w:rPr>
        <w:t>目标指标一览表</w:t>
      </w:r>
    </w:p>
    <w:tbl>
      <w:tblPr>
        <w:tblStyle w:val="2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6506"/>
        <w:gridCol w:w="2093"/>
        <w:gridCol w:w="2320"/>
        <w:gridCol w:w="2272"/>
      </w:tblGrid>
      <w:tr w14:paraId="42B0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46" w:type="pct"/>
            <w:shd w:val="clear" w:color="auto" w:fill="auto"/>
            <w:vAlign w:val="center"/>
          </w:tcPr>
          <w:p w14:paraId="2543B33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b/>
                <w:bCs/>
                <w:color w:val="auto"/>
                <w:kern w:val="0"/>
                <w:sz w:val="24"/>
                <w:szCs w:val="20"/>
                <w:highlight w:val="none"/>
                <w:lang w:val="en-US" w:eastAsia="zh-CN" w:bidi="ar-SA"/>
              </w:rPr>
            </w:pPr>
            <w:r>
              <w:rPr>
                <w:rFonts w:ascii="Times New Roman" w:hAnsi="Times New Roman" w:eastAsia="仿宋_GB2312" w:cstheme="minorBidi"/>
                <w:b/>
                <w:bCs/>
                <w:color w:val="auto"/>
                <w:kern w:val="0"/>
                <w:sz w:val="24"/>
                <w:szCs w:val="20"/>
                <w:highlight w:val="none"/>
                <w:lang w:val="en-US" w:eastAsia="zh-CN" w:bidi="ar-SA"/>
              </w:rPr>
              <w:t>序号</w:t>
            </w:r>
          </w:p>
        </w:tc>
        <w:tc>
          <w:tcPr>
            <w:tcW w:w="2294" w:type="pct"/>
            <w:shd w:val="clear" w:color="auto" w:fill="auto"/>
            <w:vAlign w:val="center"/>
          </w:tcPr>
          <w:p w14:paraId="2FD29DC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b/>
                <w:bCs/>
                <w:color w:val="auto"/>
                <w:kern w:val="0"/>
                <w:sz w:val="24"/>
                <w:szCs w:val="20"/>
                <w:highlight w:val="none"/>
                <w:lang w:val="en-US" w:eastAsia="zh-CN" w:bidi="ar-SA"/>
              </w:rPr>
            </w:pPr>
            <w:r>
              <w:rPr>
                <w:rFonts w:ascii="Times New Roman" w:hAnsi="Times New Roman" w:eastAsia="仿宋_GB2312" w:cstheme="minorBidi"/>
                <w:b/>
                <w:bCs/>
                <w:color w:val="auto"/>
                <w:kern w:val="0"/>
                <w:sz w:val="24"/>
                <w:szCs w:val="20"/>
                <w:highlight w:val="none"/>
                <w:lang w:val="en-US" w:eastAsia="zh-CN" w:bidi="ar-SA"/>
              </w:rPr>
              <w:t>指标</w:t>
            </w:r>
          </w:p>
        </w:tc>
        <w:tc>
          <w:tcPr>
            <w:tcW w:w="738" w:type="pct"/>
            <w:shd w:val="clear" w:color="auto" w:fill="auto"/>
            <w:vAlign w:val="center"/>
          </w:tcPr>
          <w:p w14:paraId="3F68AB77">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b/>
                <w:bCs/>
                <w:color w:val="auto"/>
                <w:kern w:val="0"/>
                <w:sz w:val="24"/>
                <w:szCs w:val="20"/>
                <w:highlight w:val="none"/>
                <w:lang w:val="en-US" w:eastAsia="zh-CN" w:bidi="ar-SA"/>
              </w:rPr>
            </w:pPr>
            <w:r>
              <w:rPr>
                <w:rFonts w:ascii="Times New Roman" w:hAnsi="Times New Roman" w:eastAsia="仿宋_GB2312" w:cstheme="minorBidi"/>
                <w:b/>
                <w:bCs/>
                <w:color w:val="auto"/>
                <w:kern w:val="0"/>
                <w:sz w:val="24"/>
                <w:szCs w:val="20"/>
                <w:highlight w:val="none"/>
                <w:lang w:val="en-US" w:eastAsia="zh-CN" w:bidi="ar-SA"/>
              </w:rPr>
              <w:t>单位</w:t>
            </w:r>
          </w:p>
        </w:tc>
        <w:tc>
          <w:tcPr>
            <w:tcW w:w="818" w:type="pct"/>
            <w:shd w:val="clear" w:color="auto" w:fill="auto"/>
            <w:vAlign w:val="center"/>
          </w:tcPr>
          <w:p w14:paraId="1D4D362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b/>
                <w:bCs/>
                <w:color w:val="auto"/>
                <w:kern w:val="0"/>
                <w:sz w:val="24"/>
                <w:szCs w:val="20"/>
                <w:highlight w:val="none"/>
                <w:lang w:val="en-US" w:eastAsia="zh-CN" w:bidi="ar-SA"/>
              </w:rPr>
            </w:pPr>
            <w:r>
              <w:rPr>
                <w:rFonts w:ascii="Times New Roman" w:hAnsi="Times New Roman" w:eastAsia="仿宋_GB2312" w:cstheme="minorBidi"/>
                <w:b/>
                <w:bCs/>
                <w:color w:val="auto"/>
                <w:kern w:val="0"/>
                <w:sz w:val="24"/>
                <w:szCs w:val="20"/>
                <w:highlight w:val="none"/>
                <w:lang w:val="en-US" w:eastAsia="zh-CN" w:bidi="ar-SA"/>
              </w:rPr>
              <w:t>规划目标</w:t>
            </w:r>
          </w:p>
        </w:tc>
        <w:tc>
          <w:tcPr>
            <w:tcW w:w="801" w:type="pct"/>
            <w:shd w:val="clear" w:color="auto" w:fill="auto"/>
            <w:vAlign w:val="center"/>
          </w:tcPr>
          <w:p w14:paraId="48A2B0F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b/>
                <w:bCs/>
                <w:color w:val="auto"/>
                <w:kern w:val="0"/>
                <w:sz w:val="24"/>
                <w:szCs w:val="20"/>
                <w:highlight w:val="none"/>
                <w:lang w:val="en-US" w:eastAsia="zh-CN" w:bidi="ar-SA"/>
              </w:rPr>
            </w:pPr>
            <w:r>
              <w:rPr>
                <w:rFonts w:ascii="Times New Roman" w:hAnsi="Times New Roman" w:eastAsia="仿宋_GB2312" w:cstheme="minorBidi"/>
                <w:b/>
                <w:bCs/>
                <w:color w:val="auto"/>
                <w:kern w:val="0"/>
                <w:sz w:val="24"/>
                <w:szCs w:val="20"/>
                <w:highlight w:val="none"/>
                <w:lang w:val="en-US" w:eastAsia="zh-CN" w:bidi="ar-SA"/>
              </w:rPr>
              <w:t>指标属性</w:t>
            </w:r>
          </w:p>
        </w:tc>
      </w:tr>
      <w:tr w14:paraId="6705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70896DC4">
            <w:pPr>
              <w:widowControl/>
              <w:spacing w:beforeLines="0" w:afterLines="0" w:line="240" w:lineRule="auto"/>
              <w:ind w:firstLine="0" w:firstLineChars="0"/>
              <w:jc w:val="center"/>
              <w:textAlignment w:val="bottom"/>
              <w:rPr>
                <w:rFonts w:hint="eastAsia" w:ascii="Times New Roman" w:hAnsi="Times New Roman" w:eastAsia="等线"/>
                <w:color w:val="auto"/>
                <w:kern w:val="0"/>
                <w:sz w:val="24"/>
                <w:szCs w:val="24"/>
                <w:highlight w:val="none"/>
                <w:lang w:val="en-US" w:eastAsia="zh-CN" w:bidi="ar"/>
              </w:rPr>
            </w:pPr>
            <w:r>
              <w:rPr>
                <w:rFonts w:hint="eastAsia" w:ascii="Times New Roman" w:hAnsi="Times New Roman" w:eastAsia="等线"/>
                <w:color w:val="auto"/>
                <w:kern w:val="0"/>
                <w:sz w:val="24"/>
                <w:szCs w:val="24"/>
                <w:highlight w:val="none"/>
                <w:lang w:val="en-US" w:eastAsia="zh-CN" w:bidi="ar"/>
              </w:rPr>
              <w:t>1</w:t>
            </w:r>
          </w:p>
        </w:tc>
        <w:tc>
          <w:tcPr>
            <w:tcW w:w="2294" w:type="pct"/>
            <w:shd w:val="clear" w:color="auto" w:fill="auto"/>
            <w:vAlign w:val="center"/>
          </w:tcPr>
          <w:p w14:paraId="0F23927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strike w:val="0"/>
                <w:color w:val="auto"/>
                <w:kern w:val="0"/>
                <w:sz w:val="24"/>
                <w:szCs w:val="20"/>
                <w:highlight w:val="none"/>
                <w:lang w:val="en-US" w:eastAsia="zh-CN" w:bidi="ar-SA"/>
              </w:rPr>
            </w:pPr>
            <w:r>
              <w:rPr>
                <w:rFonts w:hint="eastAsia" w:ascii="Times New Roman" w:hAnsi="Times New Roman" w:eastAsia="仿宋_GB2312" w:cs="仿宋_GB2312"/>
                <w:i w:val="0"/>
                <w:iCs w:val="0"/>
                <w:strike w:val="0"/>
                <w:color w:val="000000"/>
                <w:kern w:val="0"/>
                <w:sz w:val="24"/>
                <w:szCs w:val="24"/>
                <w:highlight w:val="none"/>
                <w:u w:val="none"/>
                <w:lang w:val="en-US" w:eastAsia="zh-CN" w:bidi="ar"/>
              </w:rPr>
              <w:t>新建商品房</w:t>
            </w:r>
            <w:r>
              <w:rPr>
                <w:rFonts w:hint="eastAsia" w:cs="仿宋_GB2312"/>
                <w:i w:val="0"/>
                <w:iCs w:val="0"/>
                <w:strike w:val="0"/>
                <w:color w:val="000000"/>
                <w:kern w:val="0"/>
                <w:sz w:val="24"/>
                <w:szCs w:val="24"/>
                <w:highlight w:val="none"/>
                <w:u w:val="none"/>
                <w:lang w:val="en-US" w:eastAsia="zh-CN" w:bidi="ar"/>
              </w:rPr>
              <w:t>和二手房交易总</w:t>
            </w:r>
            <w:r>
              <w:rPr>
                <w:rFonts w:hint="eastAsia" w:ascii="Times New Roman" w:hAnsi="Times New Roman" w:eastAsia="仿宋_GB2312" w:cs="仿宋_GB2312"/>
                <w:i w:val="0"/>
                <w:iCs w:val="0"/>
                <w:strike w:val="0"/>
                <w:color w:val="000000"/>
                <w:kern w:val="0"/>
                <w:sz w:val="24"/>
                <w:szCs w:val="24"/>
                <w:highlight w:val="none"/>
                <w:u w:val="none"/>
                <w:lang w:val="en-US" w:eastAsia="zh-CN" w:bidi="ar"/>
              </w:rPr>
              <w:t>规模</w:t>
            </w:r>
          </w:p>
        </w:tc>
        <w:tc>
          <w:tcPr>
            <w:tcW w:w="738" w:type="pct"/>
            <w:shd w:val="clear" w:color="auto" w:fill="auto"/>
            <w:vAlign w:val="center"/>
          </w:tcPr>
          <w:p w14:paraId="0E82BF6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strike w:val="0"/>
                <w:color w:val="auto"/>
                <w:kern w:val="0"/>
                <w:sz w:val="24"/>
                <w:szCs w:val="20"/>
                <w:highlight w:val="none"/>
                <w:lang w:val="en-US" w:eastAsia="zh-CN" w:bidi="ar-SA"/>
              </w:rPr>
            </w:pPr>
            <w:r>
              <w:rPr>
                <w:rFonts w:hint="eastAsia" w:ascii="Times New Roman" w:hAnsi="Times New Roman" w:eastAsia="仿宋_GB2312" w:cstheme="minorBidi"/>
                <w:strike w:val="0"/>
                <w:color w:val="auto"/>
                <w:kern w:val="0"/>
                <w:sz w:val="24"/>
                <w:szCs w:val="20"/>
                <w:highlight w:val="none"/>
                <w:lang w:val="en-US" w:eastAsia="zh-CN" w:bidi="ar-SA"/>
              </w:rPr>
              <w:t>万</w:t>
            </w:r>
            <w:r>
              <w:rPr>
                <w:rFonts w:hint="eastAsia" w:cstheme="minorBidi"/>
                <w:strike w:val="0"/>
                <w:color w:val="auto"/>
                <w:kern w:val="0"/>
                <w:sz w:val="24"/>
                <w:szCs w:val="20"/>
                <w:highlight w:val="none"/>
                <w:lang w:val="en-US" w:eastAsia="zh-CN" w:bidi="ar-SA"/>
              </w:rPr>
              <w:t>平方米</w:t>
            </w:r>
          </w:p>
        </w:tc>
        <w:tc>
          <w:tcPr>
            <w:tcW w:w="818" w:type="pct"/>
            <w:shd w:val="clear" w:color="auto" w:fill="auto"/>
            <w:vAlign w:val="center"/>
          </w:tcPr>
          <w:p w14:paraId="5195913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strike w:val="0"/>
                <w:color w:val="auto"/>
                <w:kern w:val="0"/>
                <w:sz w:val="24"/>
                <w:szCs w:val="20"/>
                <w:highlight w:val="none"/>
                <w:lang w:val="en-US" w:eastAsia="zh-CN" w:bidi="ar-SA"/>
              </w:rPr>
            </w:pPr>
            <w:r>
              <w:rPr>
                <w:rFonts w:hint="eastAsia" w:cstheme="minorBidi"/>
                <w:strike w:val="0"/>
                <w:color w:val="000000"/>
                <w:kern w:val="0"/>
                <w:sz w:val="24"/>
                <w:szCs w:val="20"/>
                <w:highlight w:val="none"/>
                <w:lang w:val="en-US" w:eastAsia="zh-CN" w:bidi="ar-SA"/>
              </w:rPr>
              <w:t>[2500]</w:t>
            </w:r>
          </w:p>
        </w:tc>
        <w:tc>
          <w:tcPr>
            <w:tcW w:w="801" w:type="pct"/>
            <w:shd w:val="clear" w:color="auto" w:fill="auto"/>
            <w:vAlign w:val="center"/>
          </w:tcPr>
          <w:p w14:paraId="1F26086F">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strike/>
                <w:color w:val="auto"/>
                <w:kern w:val="0"/>
                <w:sz w:val="24"/>
                <w:szCs w:val="20"/>
                <w:highlight w:val="none"/>
                <w:lang w:val="en-US" w:eastAsia="zh-CN" w:bidi="ar-SA"/>
              </w:rPr>
            </w:pPr>
            <w:r>
              <w:rPr>
                <w:rFonts w:ascii="Times New Roman" w:hAnsi="Times New Roman" w:eastAsia="仿宋_GB2312" w:cstheme="minorBidi"/>
                <w:strike w:val="0"/>
                <w:color w:val="auto"/>
                <w:kern w:val="0"/>
                <w:sz w:val="24"/>
                <w:szCs w:val="20"/>
                <w:highlight w:val="none"/>
                <w:lang w:val="en-US" w:eastAsia="zh-CN" w:bidi="ar-SA"/>
              </w:rPr>
              <w:t>预期性</w:t>
            </w:r>
          </w:p>
        </w:tc>
      </w:tr>
      <w:tr w14:paraId="161A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3A05ADF2">
            <w:pPr>
              <w:widowControl/>
              <w:spacing w:beforeLines="0" w:afterLines="0" w:line="240" w:lineRule="auto"/>
              <w:ind w:firstLine="0" w:firstLineChars="0"/>
              <w:jc w:val="center"/>
              <w:textAlignment w:val="bottom"/>
              <w:rPr>
                <w:rFonts w:hint="default" w:ascii="Times New Roman" w:hAnsi="Times New Roman" w:eastAsia="等线"/>
                <w:color w:val="auto"/>
                <w:kern w:val="0"/>
                <w:sz w:val="24"/>
                <w:szCs w:val="24"/>
                <w:highlight w:val="none"/>
                <w:lang w:val="en-US" w:eastAsia="zh-CN" w:bidi="ar"/>
              </w:rPr>
            </w:pPr>
            <w:r>
              <w:rPr>
                <w:rFonts w:hint="eastAsia" w:ascii="Times New Roman" w:hAnsi="Times New Roman" w:eastAsia="等线"/>
                <w:color w:val="auto"/>
                <w:kern w:val="0"/>
                <w:sz w:val="24"/>
                <w:szCs w:val="24"/>
                <w:highlight w:val="none"/>
                <w:lang w:val="en-US" w:eastAsia="zh-CN" w:bidi="ar"/>
              </w:rPr>
              <w:t>2</w:t>
            </w:r>
          </w:p>
        </w:tc>
        <w:tc>
          <w:tcPr>
            <w:tcW w:w="2294" w:type="pct"/>
            <w:shd w:val="clear" w:color="auto" w:fill="auto"/>
            <w:vAlign w:val="center"/>
          </w:tcPr>
          <w:p w14:paraId="006F02C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仿宋_GB2312"/>
                <w:i w:val="0"/>
                <w:iCs w:val="0"/>
                <w:color w:val="000000"/>
                <w:kern w:val="0"/>
                <w:sz w:val="24"/>
                <w:szCs w:val="24"/>
                <w:highlight w:val="none"/>
                <w:u w:val="none"/>
                <w:lang w:val="en-US" w:eastAsia="zh-CN" w:bidi="ar"/>
              </w:rPr>
              <w:t>新建商品住房供应规模</w:t>
            </w:r>
          </w:p>
        </w:tc>
        <w:tc>
          <w:tcPr>
            <w:tcW w:w="738" w:type="pct"/>
            <w:shd w:val="clear" w:color="auto" w:fill="auto"/>
            <w:vAlign w:val="center"/>
          </w:tcPr>
          <w:p w14:paraId="4CDB08B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万套</w:t>
            </w:r>
          </w:p>
        </w:tc>
        <w:tc>
          <w:tcPr>
            <w:tcW w:w="818" w:type="pct"/>
            <w:shd w:val="clear" w:color="auto" w:fill="auto"/>
            <w:vAlign w:val="center"/>
          </w:tcPr>
          <w:p w14:paraId="0C90F8D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000000"/>
                <w:kern w:val="0"/>
                <w:sz w:val="24"/>
                <w:szCs w:val="20"/>
                <w:highlight w:val="none"/>
                <w:lang w:val="en-US" w:eastAsia="zh-CN" w:bidi="ar-SA"/>
              </w:rPr>
              <w:t>[8</w:t>
            </w:r>
            <w:r>
              <w:rPr>
                <w:rFonts w:hint="eastAsia" w:ascii="Times New Roman" w:hAnsi="Times New Roman" w:eastAsia="仿宋_GB2312" w:cstheme="minorBidi"/>
                <w:color w:val="000000"/>
                <w:kern w:val="0"/>
                <w:sz w:val="24"/>
                <w:szCs w:val="20"/>
                <w:highlight w:val="none"/>
                <w:lang w:val="en-US" w:eastAsia="zh-CN" w:bidi="ar-SA"/>
              </w:rPr>
              <w:t>.</w:t>
            </w:r>
            <w:r>
              <w:rPr>
                <w:rFonts w:hint="eastAsia" w:cstheme="minorBidi"/>
                <w:color w:val="000000"/>
                <w:kern w:val="0"/>
                <w:sz w:val="24"/>
                <w:szCs w:val="20"/>
                <w:highlight w:val="none"/>
                <w:lang w:val="en-US" w:eastAsia="zh-CN" w:bidi="ar-SA"/>
              </w:rPr>
              <w:t>68]</w:t>
            </w:r>
          </w:p>
        </w:tc>
        <w:tc>
          <w:tcPr>
            <w:tcW w:w="801" w:type="pct"/>
            <w:shd w:val="clear" w:color="auto" w:fill="auto"/>
            <w:vAlign w:val="center"/>
          </w:tcPr>
          <w:p w14:paraId="2669CAA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3061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6F410F6F">
            <w:pPr>
              <w:widowControl/>
              <w:spacing w:beforeLines="0" w:afterLines="0" w:line="240" w:lineRule="auto"/>
              <w:ind w:firstLine="0" w:firstLineChars="0"/>
              <w:jc w:val="center"/>
              <w:textAlignment w:val="bottom"/>
              <w:rPr>
                <w:rFonts w:ascii="Times New Roman" w:hAnsi="Times New Roman"/>
                <w:color w:val="auto"/>
                <w:highlight w:val="none"/>
              </w:rPr>
            </w:pPr>
            <w:r>
              <w:rPr>
                <w:rFonts w:hint="eastAsia" w:eastAsia="等线"/>
                <w:color w:val="auto"/>
                <w:kern w:val="0"/>
                <w:sz w:val="24"/>
                <w:szCs w:val="24"/>
                <w:highlight w:val="none"/>
                <w:lang w:val="en-US" w:eastAsia="zh-CN" w:bidi="ar"/>
              </w:rPr>
              <w:t>3</w:t>
            </w:r>
          </w:p>
        </w:tc>
        <w:tc>
          <w:tcPr>
            <w:tcW w:w="2294" w:type="pct"/>
            <w:shd w:val="clear" w:color="auto" w:fill="auto"/>
            <w:vAlign w:val="center"/>
          </w:tcPr>
          <w:p w14:paraId="53CF0DF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default" w:ascii="Times New Roman" w:hAnsi="Times New Roman" w:eastAsia="仿宋_GB2312" w:cs="Times New Roman"/>
                <w:kern w:val="0"/>
                <w:sz w:val="24"/>
                <w:szCs w:val="24"/>
                <w:lang w:bidi="ar"/>
              </w:rPr>
              <w:t>盘活存量</w:t>
            </w:r>
            <w:r>
              <w:rPr>
                <w:rFonts w:hint="eastAsia" w:cs="Times New Roman"/>
                <w:kern w:val="0"/>
                <w:sz w:val="24"/>
                <w:szCs w:val="24"/>
                <w:lang w:val="en-US" w:eastAsia="zh-CN" w:bidi="ar"/>
              </w:rPr>
              <w:t>城镇住宅</w:t>
            </w:r>
            <w:r>
              <w:rPr>
                <w:rFonts w:hint="default" w:ascii="Times New Roman" w:hAnsi="Times New Roman" w:eastAsia="仿宋_GB2312" w:cs="Times New Roman"/>
                <w:kern w:val="0"/>
                <w:sz w:val="24"/>
                <w:szCs w:val="24"/>
                <w:lang w:bidi="ar"/>
              </w:rPr>
              <w:t>用地规模</w:t>
            </w:r>
          </w:p>
        </w:tc>
        <w:tc>
          <w:tcPr>
            <w:tcW w:w="738" w:type="pct"/>
            <w:shd w:val="clear" w:color="auto" w:fill="auto"/>
            <w:vAlign w:val="center"/>
          </w:tcPr>
          <w:p w14:paraId="1CF09BD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公顷</w:t>
            </w:r>
          </w:p>
        </w:tc>
        <w:tc>
          <w:tcPr>
            <w:tcW w:w="818" w:type="pct"/>
            <w:shd w:val="clear" w:color="auto" w:fill="auto"/>
            <w:vAlign w:val="center"/>
          </w:tcPr>
          <w:p w14:paraId="39E7816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w:t>
            </w: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113.01</w:t>
            </w:r>
            <w:r>
              <w:rPr>
                <w:rFonts w:hint="eastAsia" w:cstheme="minorBidi"/>
                <w:color w:val="auto"/>
                <w:kern w:val="0"/>
                <w:sz w:val="24"/>
                <w:szCs w:val="20"/>
                <w:highlight w:val="none"/>
                <w:lang w:val="en-US" w:eastAsia="zh-CN" w:bidi="ar-SA"/>
              </w:rPr>
              <w:t>]</w:t>
            </w:r>
          </w:p>
        </w:tc>
        <w:tc>
          <w:tcPr>
            <w:tcW w:w="801" w:type="pct"/>
            <w:shd w:val="clear" w:color="auto" w:fill="auto"/>
            <w:vAlign w:val="center"/>
          </w:tcPr>
          <w:p w14:paraId="166D006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568B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67D25D6B">
            <w:pPr>
              <w:widowControl/>
              <w:spacing w:beforeLines="0" w:afterLines="0" w:line="240" w:lineRule="auto"/>
              <w:ind w:firstLine="0" w:firstLineChars="0"/>
              <w:jc w:val="center"/>
              <w:textAlignment w:val="bottom"/>
              <w:rPr>
                <w:rFonts w:hint="default" w:ascii="Times New Roman" w:hAnsi="Times New Roman"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4</w:t>
            </w:r>
          </w:p>
        </w:tc>
        <w:tc>
          <w:tcPr>
            <w:tcW w:w="2294" w:type="pct"/>
            <w:shd w:val="clear" w:color="auto" w:fill="auto"/>
            <w:vAlign w:val="center"/>
          </w:tcPr>
          <w:p w14:paraId="557500B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color w:val="auto"/>
                <w:kern w:val="0"/>
                <w:sz w:val="24"/>
                <w:szCs w:val="20"/>
                <w:highlight w:val="none"/>
              </w:rPr>
              <w:t>新增出让城镇住宅用地</w:t>
            </w:r>
            <w:r>
              <w:rPr>
                <w:rFonts w:hint="eastAsia"/>
                <w:color w:val="auto"/>
                <w:kern w:val="0"/>
                <w:sz w:val="24"/>
                <w:szCs w:val="20"/>
                <w:highlight w:val="none"/>
                <w:lang w:val="en-US" w:eastAsia="zh-CN"/>
              </w:rPr>
              <w:t>规模</w:t>
            </w:r>
          </w:p>
        </w:tc>
        <w:tc>
          <w:tcPr>
            <w:tcW w:w="738" w:type="pct"/>
            <w:shd w:val="clear" w:color="auto" w:fill="auto"/>
            <w:vAlign w:val="center"/>
          </w:tcPr>
          <w:p w14:paraId="20E6D3C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公顷</w:t>
            </w:r>
          </w:p>
        </w:tc>
        <w:tc>
          <w:tcPr>
            <w:tcW w:w="818" w:type="pct"/>
            <w:shd w:val="clear" w:color="auto" w:fill="auto"/>
            <w:vAlign w:val="center"/>
          </w:tcPr>
          <w:p w14:paraId="41553B6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[107.71]</w:t>
            </w:r>
          </w:p>
        </w:tc>
        <w:tc>
          <w:tcPr>
            <w:tcW w:w="801" w:type="pct"/>
            <w:shd w:val="clear" w:color="auto" w:fill="auto"/>
            <w:vAlign w:val="center"/>
          </w:tcPr>
          <w:p w14:paraId="251B6ED0">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2DEB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170A2BFC">
            <w:pPr>
              <w:widowControl/>
              <w:spacing w:beforeLines="0" w:afterLines="0" w:line="240" w:lineRule="auto"/>
              <w:ind w:firstLine="0" w:firstLineChars="0"/>
              <w:jc w:val="center"/>
              <w:textAlignment w:val="bottom"/>
              <w:rPr>
                <w:rFonts w:hint="eastAsia"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5</w:t>
            </w:r>
          </w:p>
        </w:tc>
        <w:tc>
          <w:tcPr>
            <w:tcW w:w="2294" w:type="pct"/>
            <w:shd w:val="clear" w:color="auto" w:fill="auto"/>
            <w:vAlign w:val="center"/>
          </w:tcPr>
          <w:p w14:paraId="2BCE163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cstheme="minorBidi"/>
                <w:color w:val="auto"/>
                <w:kern w:val="0"/>
                <w:sz w:val="24"/>
                <w:szCs w:val="21"/>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住房公积金实缴人数</w:t>
            </w:r>
          </w:p>
        </w:tc>
        <w:tc>
          <w:tcPr>
            <w:tcW w:w="738" w:type="pct"/>
            <w:shd w:val="clear" w:color="auto" w:fill="auto"/>
            <w:vAlign w:val="center"/>
          </w:tcPr>
          <w:p w14:paraId="4FD9C507">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万</w:t>
            </w:r>
            <w:r>
              <w:rPr>
                <w:rFonts w:hint="eastAsia" w:ascii="Times New Roman" w:hAnsi="Times New Roman" w:eastAsia="仿宋_GB2312" w:cstheme="minorBidi"/>
                <w:color w:val="auto"/>
                <w:kern w:val="0"/>
                <w:sz w:val="24"/>
                <w:szCs w:val="20"/>
                <w:highlight w:val="none"/>
                <w:lang w:val="en-US" w:eastAsia="zh-CN" w:bidi="ar-SA"/>
              </w:rPr>
              <w:t>人</w:t>
            </w:r>
          </w:p>
        </w:tc>
        <w:tc>
          <w:tcPr>
            <w:tcW w:w="818" w:type="pct"/>
            <w:shd w:val="clear" w:color="auto" w:fill="auto"/>
            <w:vAlign w:val="center"/>
          </w:tcPr>
          <w:p w14:paraId="649E147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[42]</w:t>
            </w:r>
          </w:p>
        </w:tc>
        <w:tc>
          <w:tcPr>
            <w:tcW w:w="801" w:type="pct"/>
            <w:shd w:val="clear" w:color="auto" w:fill="auto"/>
            <w:vAlign w:val="center"/>
          </w:tcPr>
          <w:p w14:paraId="72F6E25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1D2C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1CE897C1">
            <w:pPr>
              <w:widowControl/>
              <w:spacing w:beforeLines="0" w:afterLines="0" w:line="240" w:lineRule="auto"/>
              <w:ind w:firstLine="0" w:firstLineChars="0"/>
              <w:jc w:val="center"/>
              <w:textAlignment w:val="bottom"/>
              <w:rPr>
                <w:rFonts w:ascii="Times New Roman" w:hAnsi="Times New Roman" w:eastAsia="等线"/>
                <w:color w:val="auto"/>
                <w:kern w:val="0"/>
                <w:sz w:val="24"/>
                <w:szCs w:val="24"/>
                <w:highlight w:val="none"/>
                <w:lang w:bidi="ar"/>
              </w:rPr>
            </w:pPr>
            <w:r>
              <w:rPr>
                <w:rFonts w:hint="eastAsia" w:eastAsia="等线"/>
                <w:color w:val="auto"/>
                <w:kern w:val="0"/>
                <w:sz w:val="24"/>
                <w:szCs w:val="24"/>
                <w:highlight w:val="none"/>
                <w:lang w:val="en-US" w:eastAsia="zh-CN" w:bidi="ar"/>
              </w:rPr>
              <w:t>6</w:t>
            </w:r>
          </w:p>
        </w:tc>
        <w:tc>
          <w:tcPr>
            <w:tcW w:w="2294" w:type="pct"/>
            <w:shd w:val="clear" w:color="auto" w:fill="auto"/>
            <w:vAlign w:val="center"/>
          </w:tcPr>
          <w:p w14:paraId="3480823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1"/>
                <w:highlight w:val="none"/>
                <w:lang w:val="en-US" w:eastAsia="zh-CN" w:bidi="ar-SA"/>
              </w:rPr>
              <w:t>建设筹集保障性住房</w:t>
            </w:r>
            <w:r>
              <w:rPr>
                <w:rFonts w:hint="eastAsia" w:ascii="Times New Roman" w:hAnsi="Times New Roman" w:eastAsia="仿宋_GB2312" w:cstheme="minorBidi"/>
                <w:color w:val="auto"/>
                <w:kern w:val="0"/>
                <w:sz w:val="24"/>
                <w:szCs w:val="21"/>
                <w:highlight w:val="none"/>
                <w:lang w:val="en-US" w:eastAsia="zh-CN" w:bidi="ar-SA"/>
              </w:rPr>
              <w:t>规模</w:t>
            </w:r>
          </w:p>
        </w:tc>
        <w:tc>
          <w:tcPr>
            <w:tcW w:w="738" w:type="pct"/>
            <w:shd w:val="clear" w:color="auto" w:fill="auto"/>
            <w:vAlign w:val="center"/>
          </w:tcPr>
          <w:p w14:paraId="709F2B6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套</w:t>
            </w:r>
          </w:p>
        </w:tc>
        <w:tc>
          <w:tcPr>
            <w:tcW w:w="818" w:type="pct"/>
            <w:shd w:val="clear" w:color="auto" w:fill="auto"/>
            <w:vAlign w:val="center"/>
          </w:tcPr>
          <w:p w14:paraId="533B9B72">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[560]</w:t>
            </w:r>
          </w:p>
        </w:tc>
        <w:tc>
          <w:tcPr>
            <w:tcW w:w="801" w:type="pct"/>
            <w:shd w:val="clear" w:color="auto" w:fill="auto"/>
            <w:vAlign w:val="center"/>
          </w:tcPr>
          <w:p w14:paraId="3F4B9BB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75EA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0AAD752B">
            <w:pPr>
              <w:widowControl/>
              <w:spacing w:beforeLines="0" w:afterLines="0" w:line="240" w:lineRule="auto"/>
              <w:ind w:firstLine="0" w:firstLineChars="0"/>
              <w:jc w:val="center"/>
              <w:textAlignment w:val="bottom"/>
              <w:rPr>
                <w:rFonts w:hint="eastAsia" w:ascii="Times New Roman" w:hAnsi="Times New Roman"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7</w:t>
            </w:r>
          </w:p>
        </w:tc>
        <w:tc>
          <w:tcPr>
            <w:tcW w:w="2294" w:type="pct"/>
            <w:shd w:val="clear" w:color="auto" w:fill="auto"/>
            <w:vAlign w:val="center"/>
          </w:tcPr>
          <w:p w14:paraId="07AC2FB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i w:val="0"/>
                <w:iCs w:val="0"/>
                <w:color w:val="000000"/>
                <w:kern w:val="0"/>
                <w:sz w:val="24"/>
                <w:szCs w:val="20"/>
                <w:highlight w:val="none"/>
                <w:u w:val="none"/>
                <w:lang w:val="en-US" w:eastAsia="zh-CN" w:bidi="ar-SA"/>
              </w:rPr>
              <w:t>公租房保障对象</w:t>
            </w:r>
            <w:r>
              <w:rPr>
                <w:rFonts w:hint="eastAsia" w:ascii="Times New Roman" w:hAnsi="Times New Roman" w:eastAsia="仿宋_GB2312" w:cstheme="minorBidi"/>
                <w:i w:val="0"/>
                <w:iCs w:val="0"/>
                <w:color w:val="000000"/>
                <w:kern w:val="0"/>
                <w:sz w:val="24"/>
                <w:szCs w:val="20"/>
                <w:highlight w:val="none"/>
                <w:u w:val="none"/>
                <w:lang w:val="en-US" w:eastAsia="zh-CN" w:bidi="ar-SA"/>
              </w:rPr>
              <w:t>轮候时间</w:t>
            </w:r>
          </w:p>
        </w:tc>
        <w:tc>
          <w:tcPr>
            <w:tcW w:w="738" w:type="pct"/>
            <w:shd w:val="clear" w:color="auto" w:fill="auto"/>
            <w:vAlign w:val="center"/>
          </w:tcPr>
          <w:p w14:paraId="70C5C2EF">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仿宋_GB2312"/>
                <w:i w:val="0"/>
                <w:iCs w:val="0"/>
                <w:color w:val="000000"/>
                <w:kern w:val="0"/>
                <w:sz w:val="24"/>
                <w:szCs w:val="24"/>
                <w:highlight w:val="none"/>
                <w:u w:val="none"/>
                <w:lang w:val="en-US" w:eastAsia="zh-CN" w:bidi="ar"/>
              </w:rPr>
              <w:t>月</w:t>
            </w:r>
          </w:p>
        </w:tc>
        <w:tc>
          <w:tcPr>
            <w:tcW w:w="818" w:type="pct"/>
            <w:shd w:val="clear" w:color="auto" w:fill="auto"/>
            <w:vAlign w:val="center"/>
          </w:tcPr>
          <w:p w14:paraId="4071C0B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仿宋_GB2312"/>
                <w:i w:val="0"/>
                <w:iCs w:val="0"/>
                <w:color w:val="000000"/>
                <w:kern w:val="0"/>
                <w:sz w:val="24"/>
                <w:szCs w:val="24"/>
                <w:highlight w:val="none"/>
                <w:u w:val="none"/>
                <w:lang w:val="en-US" w:eastAsia="zh-CN" w:bidi="ar"/>
              </w:rPr>
              <w:t>≤36</w:t>
            </w:r>
          </w:p>
        </w:tc>
        <w:tc>
          <w:tcPr>
            <w:tcW w:w="801" w:type="pct"/>
            <w:shd w:val="clear" w:color="auto" w:fill="auto"/>
            <w:vAlign w:val="center"/>
          </w:tcPr>
          <w:p w14:paraId="10C7F53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526D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609A46DD">
            <w:pPr>
              <w:widowControl/>
              <w:spacing w:beforeLines="0" w:afterLines="0" w:line="240" w:lineRule="auto"/>
              <w:ind w:firstLine="0" w:firstLineChars="0"/>
              <w:jc w:val="center"/>
              <w:textAlignment w:val="bottom"/>
              <w:rPr>
                <w:rFonts w:ascii="Times New Roman" w:hAnsi="Times New Roman" w:eastAsia="等线"/>
                <w:color w:val="auto"/>
                <w:kern w:val="0"/>
                <w:sz w:val="24"/>
                <w:szCs w:val="24"/>
                <w:highlight w:val="none"/>
                <w:lang w:bidi="ar"/>
              </w:rPr>
            </w:pPr>
            <w:r>
              <w:rPr>
                <w:rFonts w:hint="eastAsia" w:eastAsia="等线"/>
                <w:color w:val="auto"/>
                <w:kern w:val="0"/>
                <w:sz w:val="24"/>
                <w:szCs w:val="24"/>
                <w:highlight w:val="none"/>
                <w:lang w:val="en-US" w:eastAsia="zh-CN" w:bidi="ar"/>
              </w:rPr>
              <w:t>8</w:t>
            </w:r>
          </w:p>
        </w:tc>
        <w:tc>
          <w:tcPr>
            <w:tcW w:w="2294" w:type="pct"/>
            <w:shd w:val="clear" w:color="auto" w:fill="auto"/>
            <w:vAlign w:val="center"/>
          </w:tcPr>
          <w:p w14:paraId="34F8BD1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发放租赁补贴</w:t>
            </w:r>
            <w:r>
              <w:rPr>
                <w:rFonts w:hint="eastAsia" w:cstheme="minorBidi"/>
                <w:color w:val="auto"/>
                <w:kern w:val="0"/>
                <w:sz w:val="24"/>
                <w:szCs w:val="20"/>
                <w:highlight w:val="none"/>
                <w:lang w:val="en-US" w:eastAsia="zh-CN" w:bidi="ar-SA"/>
              </w:rPr>
              <w:t>规模</w:t>
            </w:r>
          </w:p>
        </w:tc>
        <w:tc>
          <w:tcPr>
            <w:tcW w:w="738" w:type="pct"/>
            <w:shd w:val="clear" w:color="auto" w:fill="auto"/>
            <w:vAlign w:val="center"/>
          </w:tcPr>
          <w:p w14:paraId="317B96A8">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户</w:t>
            </w:r>
            <w:bookmarkStart w:id="399" w:name="_GoBack"/>
            <w:bookmarkEnd w:id="399"/>
          </w:p>
        </w:tc>
        <w:tc>
          <w:tcPr>
            <w:tcW w:w="818" w:type="pct"/>
            <w:shd w:val="clear" w:color="auto" w:fill="auto"/>
            <w:vAlign w:val="center"/>
          </w:tcPr>
          <w:p w14:paraId="68B1814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[1100]</w:t>
            </w:r>
          </w:p>
        </w:tc>
        <w:tc>
          <w:tcPr>
            <w:tcW w:w="801" w:type="pct"/>
            <w:shd w:val="clear" w:color="auto" w:fill="auto"/>
            <w:vAlign w:val="center"/>
          </w:tcPr>
          <w:p w14:paraId="5087F96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0114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29FE8145">
            <w:pPr>
              <w:widowControl/>
              <w:spacing w:beforeLines="0" w:afterLines="0" w:line="240" w:lineRule="auto"/>
              <w:ind w:firstLine="0" w:firstLineChars="0"/>
              <w:jc w:val="center"/>
              <w:textAlignment w:val="bottom"/>
              <w:rPr>
                <w:rFonts w:hint="default" w:ascii="Times New Roman" w:hAnsi="Times New Roman"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9</w:t>
            </w:r>
          </w:p>
        </w:tc>
        <w:tc>
          <w:tcPr>
            <w:tcW w:w="2294" w:type="pct"/>
            <w:shd w:val="clear" w:color="auto" w:fill="auto"/>
            <w:vAlign w:val="center"/>
          </w:tcPr>
          <w:p w14:paraId="01CD81BF">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bottom"/>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中心城区</w:t>
            </w:r>
            <w:r>
              <w:rPr>
                <w:rFonts w:hint="eastAsia" w:ascii="Times New Roman" w:hAnsi="Times New Roman" w:eastAsia="仿宋_GB2312" w:cstheme="minorBidi"/>
                <w:color w:val="auto"/>
                <w:kern w:val="0"/>
                <w:sz w:val="24"/>
                <w:szCs w:val="20"/>
                <w:highlight w:val="none"/>
                <w:lang w:val="en-US" w:eastAsia="zh-CN" w:bidi="ar-SA"/>
              </w:rPr>
              <w:t>城中村改造</w:t>
            </w:r>
            <w:r>
              <w:rPr>
                <w:rFonts w:hint="eastAsia" w:cstheme="minorBidi"/>
                <w:color w:val="auto"/>
                <w:kern w:val="0"/>
                <w:sz w:val="24"/>
                <w:szCs w:val="20"/>
                <w:highlight w:val="none"/>
                <w:lang w:val="en-US" w:eastAsia="zh-CN" w:bidi="ar-SA"/>
              </w:rPr>
              <w:t>数量</w:t>
            </w:r>
          </w:p>
        </w:tc>
        <w:tc>
          <w:tcPr>
            <w:tcW w:w="738" w:type="pct"/>
            <w:shd w:val="clear" w:color="auto" w:fill="auto"/>
            <w:vAlign w:val="center"/>
          </w:tcPr>
          <w:p w14:paraId="0AA9EA0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个</w:t>
            </w:r>
          </w:p>
        </w:tc>
        <w:tc>
          <w:tcPr>
            <w:tcW w:w="818" w:type="pct"/>
            <w:shd w:val="clear" w:color="auto" w:fill="auto"/>
            <w:vAlign w:val="center"/>
          </w:tcPr>
          <w:p w14:paraId="324FA300">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default" w:cstheme="minorBidi"/>
                <w:color w:val="auto"/>
                <w:kern w:val="0"/>
                <w:sz w:val="24"/>
                <w:szCs w:val="20"/>
                <w:highlight w:val="none"/>
                <w:lang w:val="en-US" w:eastAsia="zh-CN" w:bidi="ar-SA"/>
              </w:rPr>
              <w:t>[</w:t>
            </w:r>
            <w:r>
              <w:rPr>
                <w:rFonts w:hint="eastAsia" w:cstheme="minorBidi"/>
                <w:color w:val="auto"/>
                <w:kern w:val="0"/>
                <w:sz w:val="24"/>
                <w:szCs w:val="20"/>
                <w:highlight w:val="none"/>
                <w:lang w:val="en-US" w:eastAsia="zh-CN" w:bidi="ar-SA"/>
              </w:rPr>
              <w:t>28</w:t>
            </w:r>
            <w:r>
              <w:rPr>
                <w:rFonts w:hint="default" w:cstheme="minorBidi"/>
                <w:color w:val="auto"/>
                <w:kern w:val="0"/>
                <w:sz w:val="24"/>
                <w:szCs w:val="20"/>
                <w:highlight w:val="none"/>
                <w:lang w:val="en-US" w:eastAsia="zh-CN" w:bidi="ar-SA"/>
              </w:rPr>
              <w:t>]</w:t>
            </w:r>
          </w:p>
        </w:tc>
        <w:tc>
          <w:tcPr>
            <w:tcW w:w="801" w:type="pct"/>
            <w:shd w:val="clear" w:color="auto" w:fill="auto"/>
            <w:vAlign w:val="center"/>
          </w:tcPr>
          <w:p w14:paraId="29516BA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2813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2798D59C">
            <w:pPr>
              <w:widowControl/>
              <w:spacing w:beforeLines="0" w:afterLines="0" w:line="240" w:lineRule="auto"/>
              <w:ind w:firstLine="0" w:firstLineChars="0"/>
              <w:jc w:val="center"/>
              <w:textAlignment w:val="bottom"/>
              <w:rPr>
                <w:rFonts w:hint="default" w:ascii="Times New Roman" w:hAnsi="Times New Roman"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10</w:t>
            </w:r>
          </w:p>
        </w:tc>
        <w:tc>
          <w:tcPr>
            <w:tcW w:w="2294" w:type="pct"/>
            <w:shd w:val="clear" w:color="auto" w:fill="auto"/>
            <w:vAlign w:val="center"/>
          </w:tcPr>
          <w:p w14:paraId="48A25B3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bottom"/>
              <w:rPr>
                <w:rFonts w:hint="default"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城市危旧房改造</w:t>
            </w:r>
            <w:r>
              <w:rPr>
                <w:rFonts w:hint="eastAsia" w:cstheme="minorBidi"/>
                <w:color w:val="auto"/>
                <w:kern w:val="0"/>
                <w:sz w:val="24"/>
                <w:szCs w:val="20"/>
                <w:highlight w:val="none"/>
                <w:lang w:val="en-US" w:eastAsia="zh-CN" w:bidi="ar-SA"/>
              </w:rPr>
              <w:t>规模</w:t>
            </w:r>
          </w:p>
        </w:tc>
        <w:tc>
          <w:tcPr>
            <w:tcW w:w="738" w:type="pct"/>
            <w:shd w:val="clear" w:color="auto" w:fill="auto"/>
            <w:vAlign w:val="center"/>
          </w:tcPr>
          <w:p w14:paraId="4311C2D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套（间）</w:t>
            </w:r>
          </w:p>
        </w:tc>
        <w:tc>
          <w:tcPr>
            <w:tcW w:w="818" w:type="pct"/>
            <w:shd w:val="clear" w:color="auto" w:fill="auto"/>
            <w:vAlign w:val="center"/>
          </w:tcPr>
          <w:p w14:paraId="7C4BDB1B">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default" w:cstheme="minorBidi"/>
                <w:color w:val="auto"/>
                <w:kern w:val="0"/>
                <w:sz w:val="24"/>
                <w:szCs w:val="20"/>
                <w:highlight w:val="none"/>
                <w:lang w:val="en-US" w:eastAsia="zh-CN" w:bidi="ar-SA"/>
              </w:rPr>
              <w:t>[</w:t>
            </w:r>
            <w:r>
              <w:rPr>
                <w:rFonts w:hint="eastAsia" w:cstheme="minorBidi"/>
                <w:color w:val="auto"/>
                <w:kern w:val="0"/>
                <w:sz w:val="24"/>
                <w:szCs w:val="20"/>
                <w:highlight w:val="none"/>
                <w:lang w:val="en-US" w:eastAsia="zh-CN" w:bidi="ar-SA"/>
              </w:rPr>
              <w:t>1250</w:t>
            </w:r>
            <w:r>
              <w:rPr>
                <w:rFonts w:hint="default" w:cstheme="minorBidi"/>
                <w:color w:val="auto"/>
                <w:kern w:val="0"/>
                <w:sz w:val="24"/>
                <w:szCs w:val="20"/>
                <w:highlight w:val="none"/>
                <w:lang w:val="en-US" w:eastAsia="zh-CN" w:bidi="ar-SA"/>
              </w:rPr>
              <w:t>]</w:t>
            </w:r>
          </w:p>
        </w:tc>
        <w:tc>
          <w:tcPr>
            <w:tcW w:w="801" w:type="pct"/>
            <w:shd w:val="clear" w:color="auto" w:fill="auto"/>
            <w:vAlign w:val="center"/>
          </w:tcPr>
          <w:p w14:paraId="7C1E52CA">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2475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44B03991">
            <w:pPr>
              <w:widowControl/>
              <w:spacing w:beforeLines="0" w:afterLines="0" w:line="240" w:lineRule="auto"/>
              <w:ind w:firstLine="0" w:firstLineChars="0"/>
              <w:jc w:val="center"/>
              <w:textAlignment w:val="bottom"/>
              <w:rPr>
                <w:rFonts w:hint="default" w:ascii="Times New Roman" w:hAnsi="Times New Roman"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11</w:t>
            </w:r>
          </w:p>
        </w:tc>
        <w:tc>
          <w:tcPr>
            <w:tcW w:w="2294" w:type="pct"/>
            <w:shd w:val="clear" w:color="auto" w:fill="auto"/>
            <w:vAlign w:val="center"/>
          </w:tcPr>
          <w:p w14:paraId="2484380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bottom"/>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新开工</w:t>
            </w:r>
            <w:r>
              <w:rPr>
                <w:rFonts w:hint="eastAsia" w:ascii="Times New Roman" w:hAnsi="Times New Roman" w:eastAsia="仿宋_GB2312" w:cstheme="minorBidi"/>
                <w:color w:val="auto"/>
                <w:kern w:val="0"/>
                <w:sz w:val="24"/>
                <w:szCs w:val="20"/>
                <w:highlight w:val="none"/>
                <w:lang w:val="en-US" w:eastAsia="zh-CN" w:bidi="ar-SA"/>
              </w:rPr>
              <w:t>城镇老旧小区改造</w:t>
            </w:r>
            <w:r>
              <w:rPr>
                <w:rFonts w:hint="eastAsia" w:cstheme="minorBidi"/>
                <w:color w:val="auto"/>
                <w:kern w:val="0"/>
                <w:sz w:val="24"/>
                <w:szCs w:val="20"/>
                <w:highlight w:val="none"/>
                <w:lang w:val="en-US" w:eastAsia="zh-CN" w:bidi="ar-SA"/>
              </w:rPr>
              <w:t>规模</w:t>
            </w:r>
          </w:p>
        </w:tc>
        <w:tc>
          <w:tcPr>
            <w:tcW w:w="738" w:type="pct"/>
            <w:shd w:val="clear" w:color="auto" w:fill="auto"/>
            <w:vAlign w:val="center"/>
          </w:tcPr>
          <w:p w14:paraId="24BB3B86">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个</w:t>
            </w:r>
          </w:p>
        </w:tc>
        <w:tc>
          <w:tcPr>
            <w:tcW w:w="818" w:type="pct"/>
            <w:shd w:val="clear" w:color="auto" w:fill="auto"/>
            <w:vAlign w:val="center"/>
          </w:tcPr>
          <w:p w14:paraId="3EAF854F">
            <w:pPr>
              <w:pStyle w:val="7"/>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default" w:cstheme="minorBidi"/>
                <w:color w:val="auto"/>
                <w:kern w:val="0"/>
                <w:sz w:val="24"/>
                <w:szCs w:val="20"/>
                <w:highlight w:val="none"/>
                <w:lang w:val="en-US" w:eastAsia="zh-CN" w:bidi="ar-SA"/>
              </w:rPr>
              <w:t>[</w:t>
            </w:r>
            <w:r>
              <w:rPr>
                <w:rFonts w:hint="eastAsia" w:cstheme="minorBidi"/>
                <w:color w:val="auto"/>
                <w:kern w:val="0"/>
                <w:sz w:val="24"/>
                <w:szCs w:val="20"/>
                <w:highlight w:val="none"/>
                <w:lang w:val="en-US" w:eastAsia="zh-CN" w:bidi="ar-SA"/>
              </w:rPr>
              <w:t>155</w:t>
            </w:r>
            <w:r>
              <w:rPr>
                <w:rFonts w:hint="default" w:cstheme="minorBidi"/>
                <w:color w:val="auto"/>
                <w:kern w:val="0"/>
                <w:sz w:val="24"/>
                <w:szCs w:val="20"/>
                <w:highlight w:val="none"/>
                <w:lang w:val="en-US" w:eastAsia="zh-CN" w:bidi="ar-SA"/>
              </w:rPr>
              <w:t>]</w:t>
            </w:r>
          </w:p>
        </w:tc>
        <w:tc>
          <w:tcPr>
            <w:tcW w:w="801" w:type="pct"/>
            <w:shd w:val="clear" w:color="auto" w:fill="auto"/>
            <w:vAlign w:val="center"/>
          </w:tcPr>
          <w:p w14:paraId="00666F1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33D7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0F98DB71">
            <w:pPr>
              <w:widowControl/>
              <w:spacing w:beforeLines="0" w:afterLines="0" w:line="240" w:lineRule="auto"/>
              <w:ind w:firstLine="0" w:firstLineChars="0"/>
              <w:jc w:val="center"/>
              <w:textAlignment w:val="bottom"/>
              <w:rPr>
                <w:rFonts w:hint="default" w:ascii="Times New Roman" w:hAnsi="Times New Roman"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12</w:t>
            </w:r>
          </w:p>
        </w:tc>
        <w:tc>
          <w:tcPr>
            <w:tcW w:w="2294" w:type="pct"/>
            <w:shd w:val="clear" w:color="auto" w:fill="auto"/>
            <w:vAlign w:val="center"/>
          </w:tcPr>
          <w:p w14:paraId="3522D694">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bottom"/>
              <w:rPr>
                <w:rFonts w:hint="eastAsia" w:ascii="Times New Roman" w:hAnsi="Times New Roman" w:eastAsia="仿宋_GB2312" w:cstheme="minorBidi"/>
                <w:color w:val="auto"/>
                <w:kern w:val="0"/>
                <w:sz w:val="24"/>
                <w:szCs w:val="20"/>
                <w:highlight w:val="none"/>
                <w:lang w:val="en-US" w:eastAsia="zh-CN" w:bidi="ar-SA"/>
              </w:rPr>
            </w:pPr>
            <w:r>
              <w:rPr>
                <w:rFonts w:hint="eastAsia"/>
                <w:color w:val="auto"/>
                <w:kern w:val="0"/>
                <w:sz w:val="24"/>
                <w:szCs w:val="20"/>
                <w:highlight w:val="none"/>
              </w:rPr>
              <w:t>新增实施专业化物业服务的住宅小区数量</w:t>
            </w:r>
          </w:p>
        </w:tc>
        <w:tc>
          <w:tcPr>
            <w:tcW w:w="738" w:type="pct"/>
            <w:shd w:val="clear" w:color="auto" w:fill="auto"/>
            <w:vAlign w:val="center"/>
          </w:tcPr>
          <w:p w14:paraId="4747F4D1">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eastAsia"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个</w:t>
            </w:r>
          </w:p>
        </w:tc>
        <w:tc>
          <w:tcPr>
            <w:tcW w:w="818" w:type="pct"/>
            <w:shd w:val="clear" w:color="auto" w:fill="auto"/>
            <w:vAlign w:val="center"/>
          </w:tcPr>
          <w:p w14:paraId="050331F5">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default" w:cstheme="minorBidi"/>
                <w:color w:val="auto"/>
                <w:kern w:val="0"/>
                <w:sz w:val="24"/>
                <w:szCs w:val="20"/>
                <w:highlight w:val="none"/>
                <w:lang w:val="en-US" w:eastAsia="zh-CN" w:bidi="ar-SA"/>
              </w:rPr>
              <w:t>[</w:t>
            </w:r>
            <w:r>
              <w:rPr>
                <w:rFonts w:hint="eastAsia" w:cstheme="minorBidi"/>
                <w:color w:val="auto"/>
                <w:kern w:val="0"/>
                <w:sz w:val="24"/>
                <w:szCs w:val="20"/>
                <w:highlight w:val="none"/>
                <w:lang w:val="en-US" w:eastAsia="zh-CN" w:bidi="ar-SA"/>
              </w:rPr>
              <w:t>100</w:t>
            </w:r>
            <w:r>
              <w:rPr>
                <w:rFonts w:hint="default" w:cstheme="minorBidi"/>
                <w:color w:val="auto"/>
                <w:kern w:val="0"/>
                <w:sz w:val="24"/>
                <w:szCs w:val="20"/>
                <w:highlight w:val="none"/>
                <w:lang w:val="en-US" w:eastAsia="zh-CN" w:bidi="ar-SA"/>
              </w:rPr>
              <w:t>]</w:t>
            </w:r>
          </w:p>
        </w:tc>
        <w:tc>
          <w:tcPr>
            <w:tcW w:w="801" w:type="pct"/>
            <w:shd w:val="clear" w:color="auto" w:fill="auto"/>
            <w:vAlign w:val="center"/>
          </w:tcPr>
          <w:p w14:paraId="7C6A731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3FCD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4112D6EB">
            <w:pPr>
              <w:widowControl/>
              <w:spacing w:beforeLines="0" w:afterLines="0" w:line="240" w:lineRule="auto"/>
              <w:ind w:firstLine="0" w:firstLineChars="0"/>
              <w:jc w:val="center"/>
              <w:textAlignment w:val="bottom"/>
              <w:rPr>
                <w:rFonts w:hint="default" w:ascii="Times New Roman" w:hAnsi="Times New Roman"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13</w:t>
            </w:r>
          </w:p>
        </w:tc>
        <w:tc>
          <w:tcPr>
            <w:tcW w:w="2294" w:type="pct"/>
            <w:shd w:val="clear" w:color="auto" w:fill="auto"/>
            <w:vAlign w:val="center"/>
          </w:tcPr>
          <w:p w14:paraId="49A1A92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bottom"/>
              <w:rPr>
                <w:rFonts w:hint="eastAsia" w:ascii="Times New Roman" w:hAnsi="Times New Roman" w:eastAsia="仿宋_GB2312" w:cstheme="minorBidi"/>
                <w:color w:val="auto"/>
                <w:kern w:val="0"/>
                <w:sz w:val="24"/>
                <w:szCs w:val="20"/>
                <w:highlight w:val="none"/>
                <w:lang w:val="en-US" w:eastAsia="zh-CN" w:bidi="ar-SA"/>
              </w:rPr>
            </w:pPr>
            <w:r>
              <w:rPr>
                <w:rFonts w:hint="eastAsia"/>
                <w:color w:val="auto"/>
                <w:kern w:val="0"/>
                <w:sz w:val="24"/>
                <w:szCs w:val="20"/>
                <w:highlight w:val="none"/>
              </w:rPr>
              <w:t>未来社区（完整社区）建设试点项目</w:t>
            </w:r>
            <w:r>
              <w:rPr>
                <w:rFonts w:hint="eastAsia" w:cstheme="minorBidi"/>
                <w:color w:val="auto"/>
                <w:kern w:val="0"/>
                <w:sz w:val="24"/>
                <w:szCs w:val="20"/>
                <w:highlight w:val="none"/>
                <w:lang w:val="en-US" w:eastAsia="zh-CN" w:bidi="ar-SA"/>
              </w:rPr>
              <w:t>数量</w:t>
            </w:r>
          </w:p>
        </w:tc>
        <w:tc>
          <w:tcPr>
            <w:tcW w:w="738" w:type="pct"/>
            <w:shd w:val="clear" w:color="auto" w:fill="auto"/>
            <w:vAlign w:val="center"/>
          </w:tcPr>
          <w:p w14:paraId="2EC188F1">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ascii="Times New Roman" w:hAnsi="Times New Roman" w:eastAsia="仿宋_GB2312" w:cstheme="minorBidi"/>
                <w:color w:val="auto"/>
                <w:kern w:val="0"/>
                <w:sz w:val="24"/>
                <w:szCs w:val="20"/>
                <w:highlight w:val="none"/>
                <w:lang w:val="en-US" w:eastAsia="zh-CN" w:bidi="ar-SA"/>
              </w:rPr>
              <w:t>个</w:t>
            </w:r>
          </w:p>
        </w:tc>
        <w:tc>
          <w:tcPr>
            <w:tcW w:w="818" w:type="pct"/>
            <w:shd w:val="clear" w:color="auto" w:fill="auto"/>
            <w:vAlign w:val="center"/>
          </w:tcPr>
          <w:p w14:paraId="0E35951E">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default" w:cstheme="minorBidi"/>
                <w:color w:val="auto"/>
                <w:kern w:val="0"/>
                <w:sz w:val="24"/>
                <w:szCs w:val="20"/>
                <w:highlight w:val="none"/>
                <w:lang w:val="en-US" w:eastAsia="zh-CN" w:bidi="ar-SA"/>
              </w:rPr>
              <w:t>[</w:t>
            </w:r>
            <w:r>
              <w:rPr>
                <w:rFonts w:hint="eastAsia" w:cstheme="minorBidi"/>
                <w:color w:val="auto"/>
                <w:kern w:val="0"/>
                <w:sz w:val="24"/>
                <w:szCs w:val="20"/>
                <w:highlight w:val="none"/>
                <w:lang w:val="en-US" w:eastAsia="zh-CN" w:bidi="ar-SA"/>
              </w:rPr>
              <w:t>19</w:t>
            </w:r>
            <w:r>
              <w:rPr>
                <w:rFonts w:hint="default" w:cstheme="minorBidi"/>
                <w:color w:val="auto"/>
                <w:kern w:val="0"/>
                <w:sz w:val="24"/>
                <w:szCs w:val="20"/>
                <w:highlight w:val="none"/>
                <w:lang w:val="en-US" w:eastAsia="zh-CN" w:bidi="ar-SA"/>
              </w:rPr>
              <w:t>]</w:t>
            </w:r>
          </w:p>
        </w:tc>
        <w:tc>
          <w:tcPr>
            <w:tcW w:w="801" w:type="pct"/>
            <w:shd w:val="clear" w:color="auto" w:fill="auto"/>
            <w:vAlign w:val="center"/>
          </w:tcPr>
          <w:p w14:paraId="5E1E848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r w14:paraId="0959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6" w:type="pct"/>
            <w:shd w:val="clear" w:color="auto" w:fill="auto"/>
            <w:vAlign w:val="center"/>
          </w:tcPr>
          <w:p w14:paraId="3A65E0BE">
            <w:pPr>
              <w:widowControl/>
              <w:spacing w:beforeLines="0" w:afterLines="0" w:line="240" w:lineRule="auto"/>
              <w:ind w:firstLine="0" w:firstLineChars="0"/>
              <w:jc w:val="center"/>
              <w:textAlignment w:val="bottom"/>
              <w:rPr>
                <w:rFonts w:hint="default" w:eastAsia="等线"/>
                <w:color w:val="auto"/>
                <w:kern w:val="0"/>
                <w:sz w:val="24"/>
                <w:szCs w:val="24"/>
                <w:highlight w:val="none"/>
                <w:lang w:val="en-US" w:eastAsia="zh-CN" w:bidi="ar"/>
              </w:rPr>
            </w:pPr>
            <w:r>
              <w:rPr>
                <w:rFonts w:hint="eastAsia" w:eastAsia="等线"/>
                <w:color w:val="auto"/>
                <w:kern w:val="0"/>
                <w:sz w:val="24"/>
                <w:szCs w:val="24"/>
                <w:highlight w:val="none"/>
                <w:lang w:val="en-US" w:eastAsia="zh-CN" w:bidi="ar"/>
              </w:rPr>
              <w:t>14</w:t>
            </w:r>
          </w:p>
        </w:tc>
        <w:tc>
          <w:tcPr>
            <w:tcW w:w="2294" w:type="pct"/>
            <w:shd w:val="clear" w:color="auto" w:fill="auto"/>
            <w:vAlign w:val="center"/>
          </w:tcPr>
          <w:p w14:paraId="475A412D">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bottom"/>
              <w:rPr>
                <w:rFonts w:hint="default" w:eastAsia="仿宋_GB2312"/>
                <w:color w:val="auto"/>
                <w:kern w:val="0"/>
                <w:sz w:val="24"/>
                <w:szCs w:val="20"/>
                <w:highlight w:val="none"/>
                <w:lang w:val="en-US" w:eastAsia="zh-CN"/>
              </w:rPr>
            </w:pPr>
            <w:r>
              <w:rPr>
                <w:rFonts w:hint="eastAsia"/>
                <w:color w:val="auto"/>
                <w:kern w:val="0"/>
                <w:sz w:val="24"/>
                <w:szCs w:val="20"/>
                <w:highlight w:val="none"/>
              </w:rPr>
              <w:t>新建居住建筑中星级绿色建筑占比</w:t>
            </w:r>
          </w:p>
        </w:tc>
        <w:tc>
          <w:tcPr>
            <w:tcW w:w="738" w:type="pct"/>
            <w:shd w:val="clear" w:color="auto" w:fill="auto"/>
            <w:vAlign w:val="center"/>
          </w:tcPr>
          <w:p w14:paraId="2FC97223">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ascii="Times New Roman" w:hAnsi="Times New Roman" w:eastAsia="仿宋_GB2312"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w:t>
            </w:r>
          </w:p>
        </w:tc>
        <w:tc>
          <w:tcPr>
            <w:tcW w:w="818" w:type="pct"/>
            <w:shd w:val="clear" w:color="auto" w:fill="auto"/>
            <w:vAlign w:val="center"/>
          </w:tcPr>
          <w:p w14:paraId="3FB48D6C">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hint="default" w:cstheme="minorBidi"/>
                <w:color w:val="auto"/>
                <w:kern w:val="0"/>
                <w:sz w:val="24"/>
                <w:szCs w:val="20"/>
                <w:highlight w:val="none"/>
                <w:lang w:val="en-US" w:eastAsia="zh-CN" w:bidi="ar-SA"/>
              </w:rPr>
            </w:pPr>
            <w:r>
              <w:rPr>
                <w:rFonts w:hint="eastAsia" w:cstheme="minorBidi"/>
                <w:color w:val="auto"/>
                <w:kern w:val="0"/>
                <w:sz w:val="24"/>
                <w:szCs w:val="20"/>
                <w:highlight w:val="none"/>
                <w:lang w:val="en-US" w:eastAsia="zh-CN" w:bidi="ar-SA"/>
              </w:rPr>
              <w:t>40</w:t>
            </w:r>
          </w:p>
        </w:tc>
        <w:tc>
          <w:tcPr>
            <w:tcW w:w="801" w:type="pct"/>
            <w:shd w:val="clear" w:color="auto" w:fill="auto"/>
            <w:vAlign w:val="center"/>
          </w:tcPr>
          <w:p w14:paraId="2554F709">
            <w:pPr>
              <w:keepNext w:val="0"/>
              <w:keepLines w:val="0"/>
              <w:pageBreakBefore w:val="0"/>
              <w:widowControl/>
              <w:kinsoku/>
              <w:wordWrap/>
              <w:overflowPunct/>
              <w:topLinePunct w:val="0"/>
              <w:autoSpaceDE/>
              <w:autoSpaceDN/>
              <w:bidi w:val="0"/>
              <w:adjustRightInd/>
              <w:snapToGrid/>
              <w:spacing w:beforeLines="0" w:afterLines="0" w:line="240" w:lineRule="auto"/>
              <w:ind w:firstLine="0" w:firstLineChars="0"/>
              <w:jc w:val="center"/>
              <w:textAlignment w:val="center"/>
              <w:rPr>
                <w:rFonts w:ascii="Times New Roman" w:hAnsi="Times New Roman" w:eastAsia="仿宋_GB2312" w:cstheme="minorBidi"/>
                <w:color w:val="auto"/>
                <w:kern w:val="0"/>
                <w:sz w:val="24"/>
                <w:szCs w:val="20"/>
                <w:highlight w:val="none"/>
                <w:lang w:val="en-US" w:eastAsia="zh-CN" w:bidi="ar-SA"/>
              </w:rPr>
            </w:pPr>
            <w:r>
              <w:rPr>
                <w:rFonts w:ascii="Times New Roman" w:hAnsi="Times New Roman" w:eastAsia="仿宋_GB2312" w:cstheme="minorBidi"/>
                <w:color w:val="auto"/>
                <w:kern w:val="0"/>
                <w:sz w:val="24"/>
                <w:szCs w:val="20"/>
                <w:highlight w:val="none"/>
                <w:lang w:val="en-US" w:eastAsia="zh-CN" w:bidi="ar-SA"/>
              </w:rPr>
              <w:t>预期性</w:t>
            </w:r>
          </w:p>
        </w:tc>
      </w:tr>
    </w:tbl>
    <w:p w14:paraId="2D050B85">
      <w:pPr>
        <w:keepNext w:val="0"/>
        <w:keepLines w:val="0"/>
        <w:pageBreakBefore w:val="0"/>
        <w:widowControl/>
        <w:kinsoku/>
        <w:wordWrap/>
        <w:overflowPunct/>
        <w:topLinePunct w:val="0"/>
        <w:autoSpaceDE/>
        <w:autoSpaceDN/>
        <w:bidi w:val="0"/>
        <w:adjustRightInd/>
        <w:snapToGrid/>
        <w:spacing w:beforeLines="0" w:afterLines="0" w:line="600" w:lineRule="exact"/>
        <w:ind w:firstLine="0" w:firstLineChars="0"/>
        <w:textAlignment w:val="auto"/>
        <w:rPr>
          <w:rFonts w:hint="eastAsia" w:ascii="Times New Roman" w:hAnsi="Times New Roman" w:cs="宋体"/>
          <w:szCs w:val="22"/>
          <w:highlight w:val="none"/>
        </w:rPr>
      </w:pPr>
      <w:r>
        <w:rPr>
          <w:rFonts w:hint="eastAsia" w:eastAsia="仿宋_GB2312"/>
          <w:kern w:val="2"/>
          <w:sz w:val="22"/>
          <w:szCs w:val="22"/>
          <w:highlight w:val="none"/>
          <w:lang w:val="en-US" w:eastAsia="zh-CN" w:bidi="ar-SA"/>
        </w:rPr>
        <w:t>注：</w:t>
      </w:r>
      <w:r>
        <w:rPr>
          <w:rFonts w:hint="eastAsia"/>
          <w:kern w:val="2"/>
          <w:sz w:val="22"/>
          <w:szCs w:val="22"/>
          <w:highlight w:val="none"/>
          <w:lang w:val="en-US" w:eastAsia="zh-CN" w:bidi="ar-SA"/>
        </w:rPr>
        <w:t>[ ]为累计数。</w:t>
      </w:r>
    </w:p>
    <w:p w14:paraId="7EEF398E">
      <w:pPr>
        <w:keepNext w:val="0"/>
        <w:keepLines w:val="0"/>
        <w:pageBreakBefore w:val="0"/>
        <w:widowControl/>
        <w:kinsoku/>
        <w:wordWrap/>
        <w:overflowPunct/>
        <w:topLinePunct w:val="0"/>
        <w:autoSpaceDE/>
        <w:autoSpaceDN/>
        <w:bidi w:val="0"/>
        <w:adjustRightInd/>
        <w:snapToGrid/>
        <w:spacing w:beforeLines="0" w:afterLines="0" w:line="600" w:lineRule="exact"/>
        <w:ind w:firstLine="0" w:firstLineChars="0"/>
        <w:textAlignment w:val="auto"/>
        <w:rPr>
          <w:rFonts w:hint="eastAsia" w:ascii="Times New Roman" w:hAnsi="Times New Roman" w:cs="宋体"/>
          <w:szCs w:val="22"/>
          <w:highlight w:val="none"/>
        </w:rPr>
      </w:pPr>
      <w:r>
        <w:rPr>
          <w:rFonts w:hint="eastAsia" w:ascii="Times New Roman" w:hAnsi="Times New Roman" w:cs="宋体"/>
          <w:szCs w:val="22"/>
          <w:highlight w:val="none"/>
        </w:rPr>
        <w:br w:type="page"/>
      </w:r>
    </w:p>
    <w:p w14:paraId="6F234DB9">
      <w:pPr>
        <w:spacing w:beforeLines="0" w:afterLines="0"/>
        <w:jc w:val="center"/>
        <w:rPr>
          <w:rFonts w:hint="eastAsia" w:ascii="黑体" w:hAnsi="黑体" w:eastAsia="黑体" w:cs="黑体"/>
          <w:b w:val="0"/>
          <w:bCs w:val="0"/>
          <w:kern w:val="0"/>
          <w:sz w:val="28"/>
          <w:szCs w:val="24"/>
          <w:highlight w:val="none"/>
          <w:lang w:val="en-US" w:eastAsia="zh-CN" w:bidi="en-US"/>
        </w:rPr>
      </w:pPr>
      <w:r>
        <w:rPr>
          <w:rFonts w:hint="eastAsia" w:ascii="黑体" w:hAnsi="黑体" w:eastAsia="黑体" w:cs="黑体"/>
          <w:b w:val="0"/>
          <w:bCs w:val="0"/>
          <w:kern w:val="0"/>
          <w:sz w:val="28"/>
          <w:szCs w:val="24"/>
          <w:highlight w:val="none"/>
          <w:lang w:val="en-US" w:eastAsia="zh-CN" w:bidi="en-US"/>
        </w:rPr>
        <w:t>表3 湛江市住房发展</w:t>
      </w:r>
      <w:r>
        <w:rPr>
          <w:rFonts w:hint="eastAsia" w:ascii="仿宋_GB2312" w:hAnsi="仿宋_GB2312" w:eastAsia="仿宋_GB2312" w:cs="黑体"/>
          <w:b w:val="0"/>
          <w:bCs w:val="0"/>
          <w:kern w:val="0"/>
          <w:sz w:val="28"/>
          <w:szCs w:val="24"/>
          <w:highlight w:val="none"/>
          <w:lang w:val="en-US" w:eastAsia="zh-CN" w:bidi="en-US"/>
        </w:rPr>
        <w:t>“</w:t>
      </w:r>
      <w:r>
        <w:rPr>
          <w:rFonts w:hint="eastAsia" w:ascii="黑体" w:hAnsi="黑体" w:eastAsia="黑体" w:cs="黑体"/>
          <w:b w:val="0"/>
          <w:bCs w:val="0"/>
          <w:kern w:val="0"/>
          <w:sz w:val="28"/>
          <w:szCs w:val="24"/>
          <w:highlight w:val="none"/>
          <w:lang w:val="en-US" w:eastAsia="zh-CN" w:bidi="en-US"/>
        </w:rPr>
        <w:t>十五五</w:t>
      </w:r>
      <w:r>
        <w:rPr>
          <w:rFonts w:hint="eastAsia" w:ascii="仿宋_GB2312" w:hAnsi="仿宋_GB2312" w:eastAsia="仿宋_GB2312" w:cs="黑体"/>
          <w:b w:val="0"/>
          <w:bCs w:val="0"/>
          <w:kern w:val="0"/>
          <w:sz w:val="28"/>
          <w:szCs w:val="24"/>
          <w:highlight w:val="none"/>
          <w:lang w:val="en-US" w:eastAsia="zh-CN" w:bidi="en-US"/>
        </w:rPr>
        <w:t>”</w:t>
      </w:r>
      <w:r>
        <w:rPr>
          <w:rFonts w:hint="eastAsia" w:ascii="黑体" w:hAnsi="黑体" w:eastAsia="黑体" w:cs="黑体"/>
          <w:b w:val="0"/>
          <w:bCs w:val="0"/>
          <w:kern w:val="0"/>
          <w:sz w:val="28"/>
          <w:szCs w:val="24"/>
          <w:highlight w:val="none"/>
          <w:lang w:val="en-US" w:eastAsia="zh-CN" w:bidi="en-US"/>
        </w:rPr>
        <w:t>分区目标表</w:t>
      </w:r>
    </w:p>
    <w:p w14:paraId="05A05B70">
      <w:pPr>
        <w:spacing w:beforeLines="0" w:afterLines="0"/>
        <w:jc w:val="right"/>
        <w:rPr>
          <w:rFonts w:hint="default" w:ascii="仿宋_GB2312" w:hAnsi="仿宋_GB2312" w:eastAsia="仿宋_GB2312" w:cs="仿宋_GB2312"/>
          <w:kern w:val="0"/>
          <w:sz w:val="24"/>
          <w:szCs w:val="22"/>
          <w:highlight w:val="none"/>
          <w:lang w:val="en-US" w:eastAsia="zh-CN" w:bidi="en-US"/>
        </w:rPr>
      </w:pPr>
      <w:r>
        <w:rPr>
          <w:rFonts w:hint="eastAsia" w:ascii="仿宋_GB2312" w:hAnsi="仿宋_GB2312" w:eastAsia="仿宋_GB2312" w:cs="仿宋_GB2312"/>
          <w:kern w:val="0"/>
          <w:sz w:val="24"/>
          <w:szCs w:val="22"/>
          <w:highlight w:val="none"/>
          <w:lang w:val="en-US" w:eastAsia="zh-CN" w:bidi="en-US"/>
        </w:rPr>
        <w:t>单位：套，套（间），户</w:t>
      </w:r>
    </w:p>
    <w:tbl>
      <w:tblPr>
        <w:tblStyle w:val="22"/>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69"/>
        <w:gridCol w:w="3055"/>
        <w:gridCol w:w="3146"/>
        <w:gridCol w:w="2959"/>
        <w:gridCol w:w="3336"/>
      </w:tblGrid>
      <w:tr w14:paraId="4E288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1092567">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b/>
                <w:bCs/>
                <w:i w:val="0"/>
                <w:iCs w:val="0"/>
                <w:color w:val="000000"/>
                <w:sz w:val="24"/>
                <w:szCs w:val="24"/>
                <w:highlight w:val="none"/>
                <w:u w:val="none"/>
              </w:rPr>
            </w:pPr>
            <w:r>
              <w:rPr>
                <w:rFonts w:hint="default" w:ascii="Times New Roman Regular" w:hAnsi="Times New Roman Regular" w:eastAsia="仿宋_GB2312" w:cs="Times New Roman Regular"/>
                <w:b/>
                <w:bCs/>
                <w:i w:val="0"/>
                <w:iCs w:val="0"/>
                <w:color w:val="000000"/>
                <w:kern w:val="0"/>
                <w:sz w:val="24"/>
                <w:szCs w:val="24"/>
                <w:highlight w:val="none"/>
                <w:u w:val="none"/>
                <w:lang w:val="en-US" w:eastAsia="zh-CN" w:bidi="ar"/>
              </w:rPr>
              <w:t>序号</w:t>
            </w:r>
          </w:p>
        </w:tc>
        <w:tc>
          <w:tcPr>
            <w:tcW w:w="1078"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53F3770">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b/>
                <w:bCs/>
                <w:i w:val="0"/>
                <w:iCs w:val="0"/>
                <w:color w:val="000000"/>
                <w:sz w:val="24"/>
                <w:szCs w:val="24"/>
                <w:highlight w:val="none"/>
                <w:u w:val="none"/>
              </w:rPr>
            </w:pPr>
            <w:r>
              <w:rPr>
                <w:rFonts w:hint="default" w:ascii="Times New Roman Regular" w:hAnsi="Times New Roman Regular" w:eastAsia="仿宋_GB2312" w:cs="Times New Roman Regular"/>
                <w:b/>
                <w:bCs/>
                <w:i w:val="0"/>
                <w:iCs w:val="0"/>
                <w:color w:val="000000"/>
                <w:kern w:val="0"/>
                <w:sz w:val="24"/>
                <w:szCs w:val="24"/>
                <w:highlight w:val="none"/>
                <w:u w:val="none"/>
                <w:lang w:val="en-US" w:eastAsia="zh-CN" w:bidi="ar"/>
              </w:rPr>
              <w:t>县（</w:t>
            </w:r>
            <w:r>
              <w:rPr>
                <w:rFonts w:hint="default" w:ascii="Times New Roman Regular" w:hAnsi="Times New Roman Regular" w:cs="Times New Roman Regular"/>
                <w:b/>
                <w:bCs/>
                <w:i w:val="0"/>
                <w:iCs w:val="0"/>
                <w:color w:val="000000"/>
                <w:kern w:val="0"/>
                <w:sz w:val="24"/>
                <w:szCs w:val="24"/>
                <w:highlight w:val="none"/>
                <w:u w:val="none"/>
                <w:lang w:val="en-US" w:eastAsia="zh-CN" w:bidi="ar"/>
              </w:rPr>
              <w:t>市、</w:t>
            </w:r>
            <w:r>
              <w:rPr>
                <w:rFonts w:hint="default" w:ascii="Times New Roman Regular" w:hAnsi="Times New Roman Regular" w:eastAsia="仿宋_GB2312" w:cs="Times New Roman Regular"/>
                <w:b/>
                <w:bCs/>
                <w:i w:val="0"/>
                <w:iCs w:val="0"/>
                <w:color w:val="000000"/>
                <w:kern w:val="0"/>
                <w:sz w:val="24"/>
                <w:szCs w:val="24"/>
                <w:highlight w:val="none"/>
                <w:u w:val="none"/>
                <w:lang w:val="en-US" w:eastAsia="zh-CN" w:bidi="ar"/>
              </w:rPr>
              <w:t>区）</w:t>
            </w:r>
          </w:p>
        </w:tc>
        <w:tc>
          <w:tcPr>
            <w:tcW w:w="1110"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C5B5C89">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b/>
                <w:bCs/>
                <w:i w:val="0"/>
                <w:iCs w:val="0"/>
                <w:color w:val="000000"/>
                <w:sz w:val="24"/>
                <w:szCs w:val="24"/>
                <w:highlight w:val="none"/>
                <w:u w:val="none"/>
                <w:lang w:val="en-US" w:eastAsia="zh-CN"/>
              </w:rPr>
            </w:pPr>
            <w:r>
              <w:rPr>
                <w:rFonts w:hint="default" w:ascii="Times New Roman Regular" w:hAnsi="Times New Roman Regular" w:cs="Times New Roman Regular"/>
                <w:b/>
                <w:bCs/>
                <w:color w:val="000000"/>
                <w:kern w:val="0"/>
                <w:sz w:val="24"/>
                <w:szCs w:val="24"/>
                <w:highlight w:val="none"/>
                <w:u w:val="none"/>
                <w:lang w:val="en-US" w:eastAsia="zh-CN" w:bidi="ar"/>
              </w:rPr>
              <w:t>新增供应</w:t>
            </w:r>
            <w:r>
              <w:rPr>
                <w:rFonts w:hint="default" w:ascii="Times New Roman Regular" w:hAnsi="Times New Roman Regular" w:cs="Times New Roman Regular"/>
                <w:b/>
                <w:bCs/>
                <w:color w:val="000000"/>
                <w:kern w:val="0"/>
                <w:sz w:val="24"/>
                <w:szCs w:val="24"/>
                <w:highlight w:val="none"/>
                <w:u w:val="none"/>
                <w:lang w:bidi="ar"/>
              </w:rPr>
              <w:t>新建商品住房</w:t>
            </w:r>
          </w:p>
        </w:tc>
        <w:tc>
          <w:tcPr>
            <w:tcW w:w="1044"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63167C2">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b/>
                <w:bCs/>
                <w:i w:val="0"/>
                <w:iCs w:val="0"/>
                <w:color w:val="000000"/>
                <w:sz w:val="24"/>
                <w:szCs w:val="24"/>
                <w:highlight w:val="none"/>
                <w:u w:val="none"/>
              </w:rPr>
            </w:pPr>
            <w:r>
              <w:rPr>
                <w:rFonts w:hint="eastAsia" w:ascii="Times New Roman Regular" w:hAnsi="Times New Roman Regular" w:cs="Times New Roman Regular"/>
                <w:b/>
                <w:bCs/>
                <w:color w:val="000000"/>
                <w:kern w:val="0"/>
                <w:sz w:val="24"/>
                <w:szCs w:val="24"/>
                <w:highlight w:val="none"/>
                <w:u w:val="none"/>
                <w:lang w:val="en-US" w:eastAsia="zh-CN" w:bidi="ar"/>
              </w:rPr>
              <w:t>筹建保障性住房</w:t>
            </w:r>
          </w:p>
        </w:tc>
        <w:tc>
          <w:tcPr>
            <w:tcW w:w="1177"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F6D3F7F">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b/>
                <w:bCs/>
                <w:i w:val="0"/>
                <w:iCs w:val="0"/>
                <w:color w:val="000000"/>
                <w:sz w:val="24"/>
                <w:szCs w:val="24"/>
                <w:highlight w:val="none"/>
                <w:u w:val="none"/>
                <w:lang w:val="en-US"/>
              </w:rPr>
            </w:pPr>
            <w:r>
              <w:rPr>
                <w:rFonts w:hint="default" w:ascii="Times New Roman Regular" w:hAnsi="Times New Roman Regular" w:cs="Times New Roman Regular"/>
                <w:b/>
                <w:bCs/>
                <w:i w:val="0"/>
                <w:iCs w:val="0"/>
                <w:color w:val="000000"/>
                <w:kern w:val="0"/>
                <w:sz w:val="24"/>
                <w:szCs w:val="24"/>
                <w:highlight w:val="none"/>
                <w:u w:val="none"/>
                <w:lang w:val="en-US" w:eastAsia="zh-CN" w:bidi="ar"/>
              </w:rPr>
              <w:t>发放租赁补贴</w:t>
            </w:r>
          </w:p>
        </w:tc>
      </w:tr>
      <w:tr w14:paraId="452E6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7CB6407">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t>1</w:t>
            </w:r>
          </w:p>
        </w:tc>
        <w:tc>
          <w:tcPr>
            <w:tcW w:w="1078"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58B23A9">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赤坎区</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E863E08">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13900</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32CA9C3">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80</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2CD1575">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120</w:t>
            </w:r>
          </w:p>
        </w:tc>
      </w:tr>
      <w:tr w14:paraId="053FE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13C1CE6">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t>2</w:t>
            </w:r>
          </w:p>
        </w:tc>
        <w:tc>
          <w:tcPr>
            <w:tcW w:w="1078"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B1500D9">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霞山区</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12DA52D">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16600</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FFAA612">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80</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D4AFCFD">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30</w:t>
            </w:r>
          </w:p>
        </w:tc>
      </w:tr>
      <w:tr w14:paraId="1C4BE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3F81B88">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t>3</w:t>
            </w:r>
          </w:p>
        </w:tc>
        <w:tc>
          <w:tcPr>
            <w:tcW w:w="1078"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D6BAEEF">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坡头区</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2A4E944">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4400</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6AFD7403">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140</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DC8316F">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0</w:t>
            </w:r>
          </w:p>
        </w:tc>
      </w:tr>
      <w:tr w14:paraId="34C9D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7C2573F">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t>4</w:t>
            </w:r>
          </w:p>
        </w:tc>
        <w:tc>
          <w:tcPr>
            <w:tcW w:w="1078"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053C84D">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麻章区</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F67E1B9">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11500</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273EF95">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10</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441067C">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10</w:t>
            </w:r>
          </w:p>
        </w:tc>
      </w:tr>
      <w:tr w14:paraId="2BCC1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2847E81">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t>5</w:t>
            </w:r>
          </w:p>
        </w:tc>
        <w:tc>
          <w:tcPr>
            <w:tcW w:w="1078"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355DA7FE">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经开区</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1E25121">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10000</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C43C197">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50</w:t>
            </w:r>
          </w:p>
        </w:tc>
        <w:tc>
          <w:tcPr>
            <w:tcW w:w="333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DBF18F8">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10</w:t>
            </w:r>
          </w:p>
        </w:tc>
      </w:tr>
      <w:tr w14:paraId="5B16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120D746">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t>6</w:t>
            </w:r>
          </w:p>
        </w:tc>
        <w:tc>
          <w:tcPr>
            <w:tcW w:w="1078"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E5B7555">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廉江市</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321661D">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9900</w:t>
            </w:r>
          </w:p>
        </w:tc>
        <w:tc>
          <w:tcPr>
            <w:tcW w:w="2959" w:type="dxa"/>
            <w:tcBorders>
              <w:top w:val="single" w:color="000000" w:sz="4" w:space="0"/>
              <w:left w:val="single" w:color="000000" w:sz="4" w:space="0"/>
              <w:bottom w:val="single" w:color="000000" w:sz="4" w:space="0"/>
              <w:right w:val="single" w:color="auto" w:sz="4" w:space="0"/>
            </w:tcBorders>
            <w:shd w:val="clear" w:color="auto" w:fill="auto"/>
            <w:noWrap/>
            <w:tcMar>
              <w:left w:w="108" w:type="dxa"/>
              <w:right w:w="108" w:type="dxa"/>
            </w:tcMar>
            <w:vAlign w:val="center"/>
          </w:tcPr>
          <w:p w14:paraId="1B6C81C1">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40</w:t>
            </w:r>
          </w:p>
        </w:tc>
        <w:tc>
          <w:tcPr>
            <w:tcW w:w="3336" w:type="dxa"/>
            <w:tcBorders>
              <w:top w:val="single" w:color="000000"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523DC01C">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360</w:t>
            </w:r>
          </w:p>
        </w:tc>
      </w:tr>
      <w:tr w14:paraId="69E33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0EA77564">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t>7</w:t>
            </w:r>
          </w:p>
        </w:tc>
        <w:tc>
          <w:tcPr>
            <w:tcW w:w="1078" w:type="pct"/>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2DB19E5">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雷州市</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789C90C7">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6000</w:t>
            </w:r>
          </w:p>
        </w:tc>
        <w:tc>
          <w:tcPr>
            <w:tcW w:w="2959" w:type="dxa"/>
            <w:tcBorders>
              <w:top w:val="single" w:color="000000" w:sz="4" w:space="0"/>
              <w:left w:val="single" w:color="000000" w:sz="4" w:space="0"/>
              <w:bottom w:val="single" w:color="000000" w:sz="4" w:space="0"/>
              <w:right w:val="single" w:color="auto" w:sz="4" w:space="0"/>
            </w:tcBorders>
            <w:shd w:val="clear" w:color="auto" w:fill="auto"/>
            <w:noWrap/>
            <w:tcMar>
              <w:left w:w="108" w:type="dxa"/>
              <w:right w:w="108" w:type="dxa"/>
            </w:tcMar>
            <w:vAlign w:val="center"/>
          </w:tcPr>
          <w:p w14:paraId="55DEF989">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80</w:t>
            </w:r>
          </w:p>
        </w:tc>
        <w:tc>
          <w:tcPr>
            <w:tcW w:w="3336"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43BCC648">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230</w:t>
            </w:r>
          </w:p>
        </w:tc>
      </w:tr>
      <w:tr w14:paraId="469C1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A1CC27">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sz w:val="24"/>
                <w:szCs w:val="24"/>
                <w:highlight w:val="none"/>
                <w:u w:val="none"/>
              </w:rPr>
            </w:pPr>
            <w:r>
              <w:rPr>
                <w:rFonts w:hint="default" w:ascii="Times New Roman Regular" w:hAnsi="Times New Roman Regular" w:cs="Times New Roman Regular"/>
                <w:i w:val="0"/>
                <w:iCs w:val="0"/>
                <w:color w:val="000000"/>
                <w:kern w:val="0"/>
                <w:sz w:val="24"/>
                <w:szCs w:val="24"/>
                <w:highlight w:val="none"/>
                <w:u w:val="none"/>
                <w:lang w:val="en-US" w:eastAsia="zh-CN" w:bidi="ar"/>
              </w:rPr>
              <w:t>8</w:t>
            </w:r>
          </w:p>
        </w:tc>
        <w:tc>
          <w:tcPr>
            <w:tcW w:w="1078"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7E989F">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遂溪县</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8EB978B">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5500</w:t>
            </w:r>
          </w:p>
        </w:tc>
        <w:tc>
          <w:tcPr>
            <w:tcW w:w="2959" w:type="dxa"/>
            <w:tcBorders>
              <w:top w:val="single" w:color="000000" w:sz="4" w:space="0"/>
              <w:left w:val="single" w:color="000000" w:sz="4" w:space="0"/>
              <w:bottom w:val="single" w:color="000000" w:sz="4" w:space="0"/>
              <w:right w:val="single" w:color="auto" w:sz="4" w:space="0"/>
            </w:tcBorders>
            <w:shd w:val="clear" w:color="auto" w:fill="auto"/>
            <w:noWrap/>
            <w:tcMar>
              <w:left w:w="108" w:type="dxa"/>
              <w:right w:w="108" w:type="dxa"/>
            </w:tcMar>
            <w:vAlign w:val="center"/>
          </w:tcPr>
          <w:p w14:paraId="0C7A1C48">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30</w:t>
            </w:r>
          </w:p>
        </w:tc>
        <w:tc>
          <w:tcPr>
            <w:tcW w:w="3336"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01CD7990">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140</w:t>
            </w:r>
          </w:p>
        </w:tc>
      </w:tr>
      <w:tr w14:paraId="65E1E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C4841D2">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cs="Times New Roman Regular"/>
                <w:i w:val="0"/>
                <w:iCs w:val="0"/>
                <w:color w:val="000000"/>
                <w:kern w:val="0"/>
                <w:sz w:val="24"/>
                <w:szCs w:val="24"/>
                <w:highlight w:val="none"/>
                <w:u w:val="none"/>
                <w:lang w:val="en-US" w:eastAsia="zh-CN" w:bidi="ar"/>
              </w:rPr>
            </w:pPr>
            <w:r>
              <w:rPr>
                <w:rFonts w:hint="default" w:ascii="Times New Roman Regular" w:hAnsi="Times New Roman Regular" w:cs="Times New Roman Regular"/>
                <w:i w:val="0"/>
                <w:iCs w:val="0"/>
                <w:color w:val="000000"/>
                <w:kern w:val="0"/>
                <w:sz w:val="24"/>
                <w:szCs w:val="24"/>
                <w:highlight w:val="none"/>
                <w:u w:val="none"/>
                <w:lang w:val="en-US" w:eastAsia="zh-CN" w:bidi="ar"/>
              </w:rPr>
              <w:t>9</w:t>
            </w:r>
          </w:p>
        </w:tc>
        <w:tc>
          <w:tcPr>
            <w:tcW w:w="1078"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7C2ABE9">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吴川市</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588A158E">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cyan"/>
                <w:u w:val="none"/>
                <w:lang w:bidi="ar"/>
              </w:rPr>
            </w:pPr>
            <w:r>
              <w:rPr>
                <w:rFonts w:hint="eastAsia" w:ascii="Times New Roman Regular" w:hAnsi="Times New Roman Regular" w:cs="Times New Roman Regular"/>
                <w:i w:val="0"/>
                <w:iCs w:val="0"/>
                <w:color w:val="auto"/>
                <w:kern w:val="0"/>
                <w:sz w:val="24"/>
                <w:szCs w:val="24"/>
                <w:highlight w:val="none"/>
                <w:u w:val="none"/>
                <w:lang w:val="en-US" w:eastAsia="zh-CN" w:bidi="ar"/>
              </w:rPr>
              <w:t>6000</w:t>
            </w:r>
          </w:p>
        </w:tc>
        <w:tc>
          <w:tcPr>
            <w:tcW w:w="2959" w:type="dxa"/>
            <w:tcBorders>
              <w:top w:val="single" w:color="000000" w:sz="4" w:space="0"/>
              <w:left w:val="single" w:color="000000" w:sz="4" w:space="0"/>
              <w:bottom w:val="single" w:color="000000" w:sz="4" w:space="0"/>
              <w:right w:val="single" w:color="auto" w:sz="4" w:space="0"/>
            </w:tcBorders>
            <w:shd w:val="clear" w:color="auto" w:fill="auto"/>
            <w:noWrap/>
            <w:tcMar>
              <w:left w:w="108" w:type="dxa"/>
              <w:right w:w="108" w:type="dxa"/>
            </w:tcMar>
            <w:vAlign w:val="center"/>
          </w:tcPr>
          <w:p w14:paraId="33B2D3FB">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30</w:t>
            </w:r>
          </w:p>
        </w:tc>
        <w:tc>
          <w:tcPr>
            <w:tcW w:w="3336"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7B69FF4E">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150</w:t>
            </w:r>
          </w:p>
        </w:tc>
      </w:tr>
      <w:tr w14:paraId="05ABE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589"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29DF5EA">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cs="Times New Roman Regular"/>
                <w:i w:val="0"/>
                <w:iCs w:val="0"/>
                <w:color w:val="000000"/>
                <w:kern w:val="0"/>
                <w:sz w:val="24"/>
                <w:szCs w:val="24"/>
                <w:highlight w:val="none"/>
                <w:u w:val="none"/>
                <w:lang w:val="en-US" w:eastAsia="zh-CN" w:bidi="ar"/>
              </w:rPr>
            </w:pPr>
            <w:r>
              <w:rPr>
                <w:rFonts w:hint="default" w:ascii="Times New Roman Regular" w:hAnsi="Times New Roman Regular" w:cs="Times New Roman Regular"/>
                <w:i w:val="0"/>
                <w:iCs w:val="0"/>
                <w:color w:val="000000"/>
                <w:kern w:val="0"/>
                <w:sz w:val="24"/>
                <w:szCs w:val="24"/>
                <w:highlight w:val="none"/>
                <w:u w:val="none"/>
                <w:lang w:val="en-US" w:eastAsia="zh-CN" w:bidi="ar"/>
              </w:rPr>
              <w:t>10</w:t>
            </w:r>
          </w:p>
        </w:tc>
        <w:tc>
          <w:tcPr>
            <w:tcW w:w="1078" w:type="pc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8E61E9D">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pPr>
            <w:r>
              <w:rPr>
                <w:rFonts w:hint="default" w:ascii="Times New Roman Regular" w:hAnsi="Times New Roman Regular" w:eastAsia="仿宋_GB2312" w:cs="Times New Roman Regular"/>
                <w:b w:val="0"/>
                <w:bCs w:val="0"/>
                <w:i w:val="0"/>
                <w:iCs w:val="0"/>
                <w:color w:val="auto"/>
                <w:kern w:val="0"/>
                <w:sz w:val="24"/>
                <w:szCs w:val="24"/>
                <w:highlight w:val="none"/>
                <w:u w:val="none"/>
                <w:lang w:val="en-US" w:eastAsia="zh-CN" w:bidi="ar"/>
              </w:rPr>
              <w:t>徐闻县</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CDE8ADC">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3000</w:t>
            </w:r>
          </w:p>
        </w:tc>
        <w:tc>
          <w:tcPr>
            <w:tcW w:w="2959" w:type="dxa"/>
            <w:tcBorders>
              <w:top w:val="single" w:color="000000" w:sz="4" w:space="0"/>
              <w:left w:val="single" w:color="000000" w:sz="4" w:space="0"/>
              <w:bottom w:val="single" w:color="000000" w:sz="4" w:space="0"/>
              <w:right w:val="single" w:color="auto" w:sz="4" w:space="0"/>
            </w:tcBorders>
            <w:shd w:val="clear" w:color="auto" w:fill="auto"/>
            <w:noWrap/>
            <w:tcMar>
              <w:left w:w="108" w:type="dxa"/>
              <w:right w:w="108" w:type="dxa"/>
            </w:tcMar>
            <w:vAlign w:val="center"/>
          </w:tcPr>
          <w:p w14:paraId="07A01609">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20</w:t>
            </w:r>
          </w:p>
        </w:tc>
        <w:tc>
          <w:tcPr>
            <w:tcW w:w="3336"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04198B77">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50</w:t>
            </w:r>
          </w:p>
        </w:tc>
      </w:tr>
      <w:tr w14:paraId="1F6BE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jc w:val="center"/>
        </w:trPr>
        <w:tc>
          <w:tcPr>
            <w:tcW w:w="1667" w:type="pct"/>
            <w:gridSpan w:val="2"/>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EA919E8">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000000"/>
                <w:kern w:val="0"/>
                <w:sz w:val="24"/>
                <w:szCs w:val="24"/>
                <w:highlight w:val="none"/>
                <w:u w:val="none"/>
                <w:lang w:val="en-US" w:eastAsia="zh-CN" w:bidi="ar"/>
              </w:rPr>
            </w:pPr>
            <w:r>
              <w:rPr>
                <w:rFonts w:hint="default" w:ascii="Times New Roman Regular" w:hAnsi="Times New Roman Regular" w:eastAsia="仿宋_GB2312" w:cs="Times New Roman Regular"/>
                <w:b w:val="0"/>
                <w:bCs w:val="0"/>
                <w:i w:val="0"/>
                <w:iCs w:val="0"/>
                <w:color w:val="000000"/>
                <w:kern w:val="0"/>
                <w:sz w:val="24"/>
                <w:szCs w:val="24"/>
                <w:highlight w:val="none"/>
                <w:u w:val="none"/>
                <w:lang w:val="en-US" w:eastAsia="zh-CN" w:bidi="ar"/>
              </w:rPr>
              <w:t>全市</w:t>
            </w:r>
          </w:p>
        </w:tc>
        <w:tc>
          <w:tcPr>
            <w:tcW w:w="3146"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4A476864">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bidi="ar"/>
              </w:rPr>
            </w:pPr>
            <w:r>
              <w:rPr>
                <w:rFonts w:hint="eastAsia" w:ascii="Times New Roman Regular" w:hAnsi="Times New Roman Regular" w:cs="Times New Roman Regular"/>
                <w:i w:val="0"/>
                <w:iCs w:val="0"/>
                <w:color w:val="auto"/>
                <w:kern w:val="0"/>
                <w:sz w:val="24"/>
                <w:szCs w:val="24"/>
                <w:highlight w:val="none"/>
                <w:u w:val="none"/>
                <w:lang w:val="en-US" w:eastAsia="zh-CN" w:bidi="ar"/>
              </w:rPr>
              <w:t>868</w:t>
            </w:r>
            <w: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t>00</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2DC74E2D">
            <w:pPr>
              <w:keepNext w:val="0"/>
              <w:keepLines w:val="0"/>
              <w:widowControl/>
              <w:suppressLineNumbers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bidi="ar"/>
              </w:rPr>
            </w:pPr>
            <w:r>
              <w:rPr>
                <w:rFonts w:hint="eastAsia" w:ascii="Times New Roman Regular" w:hAnsi="Times New Roman Regular" w:cs="Times New Roman Regular"/>
                <w:i w:val="0"/>
                <w:iCs w:val="0"/>
                <w:color w:val="auto"/>
                <w:kern w:val="0"/>
                <w:sz w:val="24"/>
                <w:szCs w:val="24"/>
                <w:highlight w:val="none"/>
                <w:u w:val="none"/>
                <w:lang w:val="en-US" w:eastAsia="zh-CN" w:bidi="ar"/>
              </w:rPr>
              <w:t>560</w:t>
            </w:r>
          </w:p>
        </w:tc>
        <w:tc>
          <w:tcPr>
            <w:tcW w:w="3336" w:type="dxa"/>
            <w:tcBorders>
              <w:top w:val="single" w:color="auto" w:sz="4" w:space="0"/>
              <w:left w:val="single" w:color="000000" w:sz="4" w:space="0"/>
              <w:bottom w:val="single" w:color="000000" w:sz="4" w:space="0"/>
              <w:right w:val="single" w:color="000000" w:sz="4" w:space="0"/>
            </w:tcBorders>
            <w:shd w:val="clear" w:color="auto" w:fill="auto"/>
            <w:noWrap/>
            <w:tcMar>
              <w:left w:w="108" w:type="dxa"/>
              <w:right w:w="108" w:type="dxa"/>
            </w:tcMar>
            <w:vAlign w:val="center"/>
          </w:tcPr>
          <w:p w14:paraId="1E5FB9CE">
            <w:pPr>
              <w:keepNext w:val="0"/>
              <w:keepLines w:val="0"/>
              <w:pageBreakBefore w:val="0"/>
              <w:widowControl/>
              <w:suppressLineNumbers w:val="0"/>
              <w:kinsoku/>
              <w:wordWrap/>
              <w:overflowPunct/>
              <w:topLinePunct w:val="0"/>
              <w:autoSpaceDE/>
              <w:autoSpaceDN/>
              <w:bidi w:val="0"/>
              <w:adjustRightInd w:val="0"/>
              <w:snapToGrid w:val="0"/>
              <w:spacing w:beforeLines="0" w:afterLines="0" w:line="240" w:lineRule="auto"/>
              <w:ind w:firstLine="0" w:firstLineChars="0"/>
              <w:jc w:val="center"/>
              <w:textAlignment w:val="center"/>
              <w:rPr>
                <w:rFonts w:hint="default" w:ascii="Times New Roman Regular" w:hAnsi="Times New Roman Regular" w:eastAsia="仿宋_GB2312" w:cs="Times New Roman Regular"/>
                <w:i w:val="0"/>
                <w:iCs w:val="0"/>
                <w:color w:val="auto"/>
                <w:kern w:val="0"/>
                <w:sz w:val="24"/>
                <w:szCs w:val="24"/>
                <w:highlight w:val="none"/>
                <w:u w:val="none"/>
                <w:lang w:val="en-US" w:eastAsia="zh-CN" w:bidi="ar"/>
              </w:rPr>
            </w:pPr>
            <w:r>
              <w:rPr>
                <w:rFonts w:hint="default" w:ascii="Times New Roman Regular" w:hAnsi="Times New Roman Regular" w:cs="Times New Roman Regular"/>
                <w:i w:val="0"/>
                <w:iCs w:val="0"/>
                <w:color w:val="auto"/>
                <w:kern w:val="0"/>
                <w:sz w:val="24"/>
                <w:szCs w:val="24"/>
                <w:highlight w:val="none"/>
                <w:u w:val="none"/>
                <w:lang w:val="en-US" w:eastAsia="zh-CN" w:bidi="ar"/>
              </w:rPr>
              <w:t>1100</w:t>
            </w:r>
          </w:p>
        </w:tc>
      </w:tr>
    </w:tbl>
    <w:p w14:paraId="4F0F5B24">
      <w:pPr>
        <w:spacing w:beforeLines="0" w:afterLines="0"/>
        <w:rPr>
          <w:highlight w:val="none"/>
        </w:rPr>
      </w:pPr>
    </w:p>
    <w:p w14:paraId="7DC427E9">
      <w:pPr>
        <w:ind w:firstLine="0" w:firstLineChars="0"/>
        <w:sectPr>
          <w:footerReference r:id="rId8" w:type="default"/>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1B181C9">
      <w:pPr>
        <w:spacing w:beforeLines="0" w:afterLines="0"/>
        <w:ind w:firstLine="0" w:firstLineChars="0"/>
        <w:jc w:val="center"/>
        <w:rPr>
          <w:rFonts w:hint="eastAsia" w:ascii="黑体" w:hAnsi="黑体" w:eastAsia="黑体" w:cs="黑体"/>
          <w:kern w:val="0"/>
          <w:sz w:val="28"/>
          <w:szCs w:val="24"/>
          <w:highlight w:val="none"/>
          <w:lang w:bidi="en-US"/>
        </w:rPr>
      </w:pPr>
      <w:bookmarkStart w:id="395" w:name="_Toc29389"/>
      <w:bookmarkStart w:id="396" w:name="_Toc2860"/>
      <w:r>
        <w:rPr>
          <w:rFonts w:hint="eastAsia" w:ascii="黑体" w:hAnsi="黑体" w:eastAsia="黑体" w:cs="黑体"/>
          <w:kern w:val="0"/>
          <w:sz w:val="28"/>
          <w:szCs w:val="24"/>
          <w:highlight w:val="none"/>
          <w:lang w:bidi="en-US"/>
        </w:rPr>
        <w:t>表4</w:t>
      </w:r>
      <w:bookmarkStart w:id="397" w:name="_Hlk153792239"/>
      <w:r>
        <w:rPr>
          <w:rFonts w:hint="eastAsia" w:ascii="黑体" w:hAnsi="黑体" w:eastAsia="黑体" w:cs="黑体"/>
          <w:kern w:val="0"/>
          <w:sz w:val="28"/>
          <w:szCs w:val="24"/>
          <w:highlight w:val="none"/>
          <w:lang w:val="en-US" w:eastAsia="zh-CN" w:bidi="en-US"/>
        </w:rPr>
        <w:t xml:space="preserve"> </w:t>
      </w:r>
      <w:r>
        <w:rPr>
          <w:rFonts w:hint="eastAsia" w:ascii="黑体" w:hAnsi="黑体" w:eastAsia="黑体" w:cs="黑体"/>
          <w:kern w:val="0"/>
          <w:sz w:val="28"/>
          <w:szCs w:val="24"/>
          <w:highlight w:val="none"/>
          <w:lang w:bidi="en-US"/>
        </w:rPr>
        <w:t>湛江市“十五五”住房发展规划</w:t>
      </w:r>
      <w:r>
        <w:rPr>
          <w:rFonts w:hint="eastAsia" w:ascii="黑体" w:hAnsi="黑体" w:eastAsia="黑体" w:cs="黑体"/>
          <w:kern w:val="0"/>
          <w:sz w:val="28"/>
          <w:szCs w:val="24"/>
          <w:highlight w:val="none"/>
          <w:lang w:val="en-US" w:eastAsia="zh-CN" w:bidi="en-US"/>
        </w:rPr>
        <w:t>工作</w:t>
      </w:r>
      <w:r>
        <w:rPr>
          <w:rFonts w:hint="eastAsia" w:ascii="黑体" w:hAnsi="黑体" w:eastAsia="黑体" w:cs="黑体"/>
          <w:kern w:val="0"/>
          <w:sz w:val="28"/>
          <w:szCs w:val="24"/>
          <w:highlight w:val="none"/>
          <w:lang w:bidi="en-US"/>
        </w:rPr>
        <w:t>任务分解表</w:t>
      </w:r>
      <w:bookmarkEnd w:id="395"/>
      <w:bookmarkEnd w:id="396"/>
      <w:bookmarkEnd w:id="397"/>
      <w:bookmarkStart w:id="398" w:name="_Hlk121166958"/>
    </w:p>
    <w:bookmarkEnd w:id="398"/>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76"/>
        <w:gridCol w:w="1164"/>
        <w:gridCol w:w="1192"/>
        <w:gridCol w:w="1178"/>
        <w:gridCol w:w="5510"/>
        <w:gridCol w:w="1685"/>
        <w:gridCol w:w="1167"/>
        <w:gridCol w:w="1778"/>
      </w:tblGrid>
      <w:tr w14:paraId="4CA7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Header/>
          <w:jc w:val="center"/>
        </w:trPr>
        <w:tc>
          <w:tcPr>
            <w:tcW w:w="168" w:type="pct"/>
            <w:shd w:val="clear" w:color="auto" w:fill="auto"/>
            <w:tcMar>
              <w:top w:w="80" w:type="dxa"/>
              <w:left w:w="100" w:type="dxa"/>
              <w:bottom w:w="80" w:type="dxa"/>
              <w:right w:w="100" w:type="dxa"/>
            </w:tcMar>
            <w:vAlign w:val="center"/>
          </w:tcPr>
          <w:p w14:paraId="32EEDD0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color w:val="auto"/>
                <w:kern w:val="0"/>
                <w:sz w:val="24"/>
                <w:szCs w:val="24"/>
                <w:lang w:eastAsia="en-US"/>
              </w:rPr>
              <w:t>序号</w:t>
            </w:r>
          </w:p>
        </w:tc>
        <w:tc>
          <w:tcPr>
            <w:tcW w:w="411" w:type="pct"/>
            <w:shd w:val="clear" w:color="auto" w:fill="auto"/>
            <w:tcMar>
              <w:top w:w="80" w:type="dxa"/>
              <w:left w:w="100" w:type="dxa"/>
              <w:bottom w:w="80" w:type="dxa"/>
              <w:right w:w="100" w:type="dxa"/>
            </w:tcMar>
            <w:vAlign w:val="center"/>
          </w:tcPr>
          <w:p w14:paraId="4475E5B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color w:val="auto"/>
                <w:kern w:val="0"/>
                <w:sz w:val="24"/>
                <w:szCs w:val="24"/>
                <w:lang w:eastAsia="en-US"/>
              </w:rPr>
              <w:t>五大任务</w:t>
            </w:r>
          </w:p>
        </w:tc>
        <w:tc>
          <w:tcPr>
            <w:tcW w:w="421" w:type="pct"/>
            <w:shd w:val="clear" w:color="auto" w:fill="auto"/>
            <w:tcMar>
              <w:top w:w="80" w:type="dxa"/>
              <w:left w:w="100" w:type="dxa"/>
              <w:bottom w:w="80" w:type="dxa"/>
              <w:right w:w="100" w:type="dxa"/>
            </w:tcMar>
            <w:vAlign w:val="center"/>
          </w:tcPr>
          <w:p w14:paraId="7CD2EB2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b/>
                <w:color w:val="auto"/>
                <w:kern w:val="0"/>
                <w:sz w:val="24"/>
                <w:szCs w:val="24"/>
                <w:lang w:val="en-US" w:eastAsia="zh-CN"/>
              </w:rPr>
              <w:t>细分任务</w:t>
            </w:r>
          </w:p>
        </w:tc>
        <w:tc>
          <w:tcPr>
            <w:tcW w:w="416" w:type="pct"/>
            <w:shd w:val="clear" w:color="auto" w:fill="auto"/>
            <w:tcMar>
              <w:top w:w="80" w:type="dxa"/>
              <w:left w:w="100" w:type="dxa"/>
              <w:bottom w:w="80" w:type="dxa"/>
              <w:right w:w="100" w:type="dxa"/>
            </w:tcMar>
            <w:vAlign w:val="center"/>
          </w:tcPr>
          <w:p w14:paraId="70A964D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仿宋_GB2312" w:hAnsi="仿宋_GB2312" w:eastAsia="仿宋_GB2312" w:cs="仿宋_GB2312"/>
                <w:b/>
                <w:color w:val="auto"/>
                <w:kern w:val="0"/>
                <w:sz w:val="24"/>
                <w:szCs w:val="24"/>
                <w:lang w:val="en-US" w:eastAsia="zh-CN"/>
              </w:rPr>
            </w:pPr>
            <w:r>
              <w:rPr>
                <w:rFonts w:hint="eastAsia" w:ascii="仿宋_GB2312" w:hAnsi="仿宋_GB2312" w:eastAsia="仿宋_GB2312" w:cs="仿宋_GB2312"/>
                <w:b/>
                <w:color w:val="auto"/>
                <w:kern w:val="0"/>
                <w:sz w:val="24"/>
                <w:szCs w:val="24"/>
                <w:lang w:val="en-US" w:eastAsia="zh-CN"/>
              </w:rPr>
              <w:t>工作举措</w:t>
            </w:r>
          </w:p>
        </w:tc>
        <w:tc>
          <w:tcPr>
            <w:tcW w:w="1946" w:type="pct"/>
            <w:shd w:val="clear" w:color="auto" w:fill="auto"/>
            <w:tcMar>
              <w:top w:w="80" w:type="dxa"/>
              <w:left w:w="100" w:type="dxa"/>
              <w:bottom w:w="80" w:type="dxa"/>
              <w:right w:w="100" w:type="dxa"/>
            </w:tcMar>
            <w:vAlign w:val="center"/>
          </w:tcPr>
          <w:p w14:paraId="7A14393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color w:val="auto"/>
                <w:kern w:val="0"/>
                <w:sz w:val="24"/>
                <w:szCs w:val="24"/>
                <w:lang w:eastAsia="en-US"/>
              </w:rPr>
              <w:t>主要内容</w:t>
            </w:r>
          </w:p>
        </w:tc>
        <w:tc>
          <w:tcPr>
            <w:tcW w:w="595" w:type="pct"/>
            <w:shd w:val="clear" w:color="auto" w:fill="auto"/>
            <w:tcMar>
              <w:top w:w="80" w:type="dxa"/>
              <w:left w:w="100" w:type="dxa"/>
              <w:bottom w:w="80" w:type="dxa"/>
              <w:right w:w="100" w:type="dxa"/>
            </w:tcMar>
            <w:vAlign w:val="center"/>
          </w:tcPr>
          <w:p w14:paraId="6457E30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color w:val="auto"/>
                <w:kern w:val="0"/>
                <w:sz w:val="24"/>
                <w:szCs w:val="24"/>
                <w:lang w:eastAsia="en-US"/>
              </w:rPr>
              <w:t>计划完成时间</w:t>
            </w:r>
          </w:p>
        </w:tc>
        <w:tc>
          <w:tcPr>
            <w:tcW w:w="412" w:type="pct"/>
            <w:shd w:val="clear" w:color="auto" w:fill="auto"/>
            <w:tcMar>
              <w:top w:w="80" w:type="dxa"/>
              <w:left w:w="100" w:type="dxa"/>
              <w:bottom w:w="80" w:type="dxa"/>
              <w:right w:w="100" w:type="dxa"/>
            </w:tcMar>
            <w:vAlign w:val="center"/>
          </w:tcPr>
          <w:p w14:paraId="5037F59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color w:val="auto"/>
                <w:kern w:val="0"/>
                <w:sz w:val="24"/>
                <w:szCs w:val="24"/>
                <w:lang w:eastAsia="en-US"/>
              </w:rPr>
              <w:t>牵头单位</w:t>
            </w:r>
          </w:p>
        </w:tc>
        <w:tc>
          <w:tcPr>
            <w:tcW w:w="628" w:type="pct"/>
            <w:shd w:val="clear" w:color="auto" w:fill="auto"/>
            <w:tcMar>
              <w:top w:w="80" w:type="dxa"/>
              <w:left w:w="100" w:type="dxa"/>
              <w:bottom w:w="80" w:type="dxa"/>
              <w:right w:w="100" w:type="dxa"/>
            </w:tcMar>
            <w:vAlign w:val="center"/>
          </w:tcPr>
          <w:p w14:paraId="6FC2003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color w:val="auto"/>
                <w:kern w:val="0"/>
                <w:sz w:val="24"/>
                <w:szCs w:val="24"/>
                <w:lang w:eastAsia="en-US"/>
              </w:rPr>
              <w:t>配合单位</w:t>
            </w:r>
          </w:p>
        </w:tc>
      </w:tr>
      <w:tr w14:paraId="030B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4B482F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Times New Roman" w:hAnsi="Times New Roman" w:eastAsia="仿宋_GB2312" w:cs="Times New Roman"/>
                <w:color w:val="auto"/>
                <w:kern w:val="0"/>
                <w:sz w:val="24"/>
                <w:szCs w:val="24"/>
                <w:lang w:eastAsia="zh-CN"/>
              </w:rPr>
            </w:pPr>
            <w:r>
              <w:rPr>
                <w:rFonts w:hint="eastAsia" w:cs="Times New Roman"/>
                <w:b w:val="0"/>
                <w:color w:val="auto"/>
                <w:kern w:val="0"/>
                <w:sz w:val="24"/>
                <w:szCs w:val="24"/>
                <w:lang w:eastAsia="zh-CN"/>
              </w:rPr>
              <w:t>1</w:t>
            </w:r>
          </w:p>
        </w:tc>
        <w:tc>
          <w:tcPr>
            <w:tcW w:w="411" w:type="pct"/>
            <w:vMerge w:val="restart"/>
            <w:shd w:val="clear" w:color="auto" w:fill="auto"/>
            <w:tcMar>
              <w:top w:w="85" w:type="dxa"/>
              <w:left w:w="110" w:type="dxa"/>
              <w:bottom w:w="85" w:type="dxa"/>
              <w:right w:w="110" w:type="dxa"/>
            </w:tcMar>
            <w:vAlign w:val="center"/>
          </w:tcPr>
          <w:p w14:paraId="1377318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（一）优化供需关系，多措并举稳定市场</w:t>
            </w:r>
          </w:p>
        </w:tc>
        <w:tc>
          <w:tcPr>
            <w:tcW w:w="421" w:type="pct"/>
            <w:vMerge w:val="restart"/>
            <w:shd w:val="clear" w:color="auto" w:fill="auto"/>
            <w:tcMar>
              <w:top w:w="85" w:type="dxa"/>
              <w:left w:w="110" w:type="dxa"/>
              <w:bottom w:w="85" w:type="dxa"/>
              <w:right w:w="110" w:type="dxa"/>
            </w:tcMar>
            <w:vAlign w:val="center"/>
          </w:tcPr>
          <w:p w14:paraId="71AA59F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有力有序防范化解市场风险</w:t>
            </w:r>
          </w:p>
        </w:tc>
        <w:tc>
          <w:tcPr>
            <w:tcW w:w="416" w:type="pct"/>
            <w:shd w:val="clear" w:color="auto" w:fill="auto"/>
            <w:tcMar>
              <w:top w:w="85" w:type="dxa"/>
              <w:left w:w="110" w:type="dxa"/>
              <w:bottom w:w="85" w:type="dxa"/>
              <w:right w:w="110" w:type="dxa"/>
            </w:tcMar>
            <w:vAlign w:val="center"/>
          </w:tcPr>
          <w:p w14:paraId="6862B11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房地产项目融资协调</w:t>
            </w:r>
          </w:p>
        </w:tc>
        <w:tc>
          <w:tcPr>
            <w:tcW w:w="1946" w:type="pct"/>
            <w:shd w:val="clear" w:color="auto" w:fill="auto"/>
            <w:tcMar>
              <w:top w:w="85" w:type="dxa"/>
              <w:left w:w="110" w:type="dxa"/>
              <w:bottom w:w="85" w:type="dxa"/>
              <w:right w:w="110" w:type="dxa"/>
            </w:tcMar>
            <w:vAlign w:val="center"/>
          </w:tcPr>
          <w:p w14:paraId="12ED43B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健全房地产项目融资协调机制，加大“白名单”项目贷款投放力度，推进合规项目“应进尽进”、已审贷款“应贷尽贷”、资金拨付“能早尽早”，满足房地产项目合理融资需求。</w:t>
            </w:r>
          </w:p>
        </w:tc>
        <w:tc>
          <w:tcPr>
            <w:tcW w:w="595" w:type="pct"/>
            <w:shd w:val="clear" w:color="auto" w:fill="auto"/>
            <w:tcMar>
              <w:top w:w="85" w:type="dxa"/>
              <w:left w:w="110" w:type="dxa"/>
              <w:bottom w:w="85" w:type="dxa"/>
              <w:right w:w="110" w:type="dxa"/>
            </w:tcMar>
            <w:vAlign w:val="center"/>
          </w:tcPr>
          <w:p w14:paraId="48DA2EF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年持续推进</w:t>
            </w:r>
          </w:p>
        </w:tc>
        <w:tc>
          <w:tcPr>
            <w:tcW w:w="412" w:type="pct"/>
            <w:shd w:val="clear" w:color="auto" w:fill="auto"/>
            <w:tcMar>
              <w:top w:w="85" w:type="dxa"/>
              <w:left w:w="110" w:type="dxa"/>
              <w:bottom w:w="85" w:type="dxa"/>
              <w:right w:w="110" w:type="dxa"/>
            </w:tcMar>
            <w:vAlign w:val="center"/>
          </w:tcPr>
          <w:p w14:paraId="13FB043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cs="仿宋_GB2312"/>
                <w:b w:val="0"/>
                <w:color w:val="auto"/>
                <w:kern w:val="0"/>
                <w:sz w:val="24"/>
                <w:szCs w:val="24"/>
                <w:lang w:val="en-US" w:eastAsia="zh-CN"/>
              </w:rPr>
              <w:t>市房地产融资协调机制领导小组</w:t>
            </w:r>
          </w:p>
        </w:tc>
        <w:tc>
          <w:tcPr>
            <w:tcW w:w="628" w:type="pct"/>
            <w:shd w:val="clear" w:color="auto" w:fill="auto"/>
            <w:tcMar>
              <w:top w:w="85" w:type="dxa"/>
              <w:left w:w="110" w:type="dxa"/>
              <w:bottom w:w="85" w:type="dxa"/>
              <w:right w:w="110" w:type="dxa"/>
            </w:tcMar>
            <w:vAlign w:val="center"/>
          </w:tcPr>
          <w:p w14:paraId="30863F8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r>
              <w:rPr>
                <w:rFonts w:hint="eastAsia" w:ascii="仿宋_GB2312" w:hAnsi="仿宋_GB2312" w:cs="仿宋_GB2312"/>
                <w:b w:val="0"/>
                <w:color w:val="auto"/>
                <w:kern w:val="0"/>
                <w:sz w:val="24"/>
                <w:szCs w:val="24"/>
                <w:lang w:eastAsia="zh-CN"/>
              </w:rPr>
              <w:t>、</w:t>
            </w:r>
            <w:r>
              <w:rPr>
                <w:rFonts w:hint="eastAsia" w:ascii="仿宋_GB2312" w:hAnsi="仿宋_GB2312" w:eastAsia="仿宋_GB2312" w:cs="仿宋_GB2312"/>
                <w:b w:val="0"/>
                <w:color w:val="auto"/>
                <w:kern w:val="0"/>
                <w:sz w:val="24"/>
                <w:szCs w:val="24"/>
                <w:lang w:eastAsia="en-US"/>
              </w:rPr>
              <w:t>国家金融监督管理总局湛江监管分局</w:t>
            </w:r>
          </w:p>
        </w:tc>
      </w:tr>
      <w:tr w14:paraId="225F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2B818D3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w:t>
            </w:r>
          </w:p>
        </w:tc>
        <w:tc>
          <w:tcPr>
            <w:tcW w:w="411" w:type="pct"/>
            <w:vMerge w:val="continue"/>
            <w:shd w:val="clear" w:color="auto" w:fill="auto"/>
            <w:tcMar>
              <w:top w:w="85" w:type="dxa"/>
              <w:left w:w="110" w:type="dxa"/>
              <w:bottom w:w="85" w:type="dxa"/>
              <w:right w:w="110" w:type="dxa"/>
            </w:tcMar>
            <w:vAlign w:val="center"/>
          </w:tcPr>
          <w:p w14:paraId="3923115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1A6DA71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44FA85D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项目全周期监管</w:t>
            </w:r>
          </w:p>
        </w:tc>
        <w:tc>
          <w:tcPr>
            <w:tcW w:w="1946" w:type="pct"/>
            <w:shd w:val="clear" w:color="auto" w:fill="auto"/>
            <w:tcMar>
              <w:top w:w="85" w:type="dxa"/>
              <w:left w:w="110" w:type="dxa"/>
              <w:bottom w:w="85" w:type="dxa"/>
              <w:right w:w="110" w:type="dxa"/>
            </w:tcMar>
            <w:vAlign w:val="center"/>
          </w:tcPr>
          <w:p w14:paraId="0ABDDFB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健全房地产开发全周期监管体系，完善房地产项目开发手册制度</w:t>
            </w:r>
            <w:r>
              <w:rPr>
                <w:rFonts w:hint="eastAsia" w:ascii="仿宋_GB2312" w:hAnsi="仿宋_GB2312" w:cs="仿宋_GB2312"/>
                <w:b w:val="0"/>
                <w:color w:val="auto"/>
                <w:kern w:val="0"/>
                <w:sz w:val="24"/>
                <w:szCs w:val="24"/>
                <w:lang w:eastAsia="zh-CN"/>
              </w:rPr>
              <w:t>，</w:t>
            </w:r>
            <w:r>
              <w:rPr>
                <w:rFonts w:hint="eastAsia" w:ascii="仿宋_GB2312" w:hAnsi="仿宋_GB2312" w:cs="仿宋_GB2312"/>
                <w:color w:val="auto"/>
                <w:kern w:val="0"/>
                <w:sz w:val="24"/>
                <w:szCs w:val="24"/>
              </w:rPr>
              <w:t>明确开发建设各环节监管要求</w:t>
            </w:r>
            <w:r>
              <w:rPr>
                <w:rFonts w:hint="eastAsia" w:ascii="仿宋_GB2312" w:hAnsi="仿宋_GB2312" w:eastAsia="仿宋_GB2312" w:cs="仿宋_GB2312"/>
                <w:b w:val="0"/>
                <w:color w:val="auto"/>
                <w:kern w:val="0"/>
                <w:sz w:val="24"/>
                <w:szCs w:val="24"/>
                <w:lang w:eastAsia="en-US"/>
              </w:rPr>
              <w:t>；深化行业信用体系建设，建立联合惩戒机制与风险防控长效机制。</w:t>
            </w:r>
          </w:p>
        </w:tc>
        <w:tc>
          <w:tcPr>
            <w:tcW w:w="595" w:type="pct"/>
            <w:shd w:val="clear" w:color="auto" w:fill="auto"/>
            <w:tcMar>
              <w:top w:w="85" w:type="dxa"/>
              <w:left w:w="110" w:type="dxa"/>
              <w:bottom w:w="85" w:type="dxa"/>
              <w:right w:w="110" w:type="dxa"/>
            </w:tcMar>
            <w:vAlign w:val="center"/>
          </w:tcPr>
          <w:p w14:paraId="6C6882D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年底前完善机制；</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年持续实施并评估优化</w:t>
            </w:r>
          </w:p>
        </w:tc>
        <w:tc>
          <w:tcPr>
            <w:tcW w:w="412" w:type="pct"/>
            <w:shd w:val="clear" w:color="auto" w:fill="auto"/>
            <w:tcMar>
              <w:top w:w="85" w:type="dxa"/>
              <w:left w:w="110" w:type="dxa"/>
              <w:bottom w:w="85" w:type="dxa"/>
              <w:right w:w="110" w:type="dxa"/>
            </w:tcMar>
            <w:vAlign w:val="center"/>
          </w:tcPr>
          <w:p w14:paraId="0EC5E36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429E730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w:t>
            </w:r>
            <w:r>
              <w:rPr>
                <w:rFonts w:hint="eastAsia" w:ascii="仿宋_GB2312" w:hAnsi="仿宋_GB2312" w:cs="仿宋_GB2312"/>
                <w:b w:val="0"/>
                <w:color w:val="auto"/>
                <w:kern w:val="0"/>
                <w:sz w:val="24"/>
                <w:szCs w:val="24"/>
                <w:lang w:val="en-US" w:eastAsia="zh-CN"/>
              </w:rPr>
              <w:t>发展改革</w:t>
            </w:r>
            <w:r>
              <w:rPr>
                <w:rFonts w:hint="eastAsia" w:ascii="仿宋_GB2312" w:hAnsi="仿宋_GB2312" w:eastAsia="仿宋_GB2312" w:cs="仿宋_GB2312"/>
                <w:b w:val="0"/>
                <w:color w:val="auto"/>
                <w:kern w:val="0"/>
                <w:sz w:val="24"/>
                <w:szCs w:val="24"/>
                <w:lang w:eastAsia="en-US"/>
              </w:rPr>
              <w:t>局，各县（市、区）政府（管委会）</w:t>
            </w:r>
          </w:p>
        </w:tc>
      </w:tr>
      <w:tr w14:paraId="70CE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38D9676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w:t>
            </w:r>
          </w:p>
        </w:tc>
        <w:tc>
          <w:tcPr>
            <w:tcW w:w="411" w:type="pct"/>
            <w:vMerge w:val="continue"/>
            <w:shd w:val="clear" w:color="auto" w:fill="auto"/>
            <w:tcMar>
              <w:top w:w="85" w:type="dxa"/>
              <w:left w:w="110" w:type="dxa"/>
              <w:bottom w:w="85" w:type="dxa"/>
              <w:right w:w="110" w:type="dxa"/>
            </w:tcMar>
            <w:vAlign w:val="center"/>
          </w:tcPr>
          <w:p w14:paraId="3A57344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4544944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44CC311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房地产领域舆情监测与应对</w:t>
            </w:r>
          </w:p>
        </w:tc>
        <w:tc>
          <w:tcPr>
            <w:tcW w:w="1946" w:type="pct"/>
            <w:shd w:val="clear" w:color="auto" w:fill="auto"/>
            <w:tcMar>
              <w:top w:w="85" w:type="dxa"/>
              <w:left w:w="110" w:type="dxa"/>
              <w:bottom w:w="85" w:type="dxa"/>
              <w:right w:w="110" w:type="dxa"/>
            </w:tcMar>
            <w:vAlign w:val="center"/>
          </w:tcPr>
          <w:p w14:paraId="65B78A0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完善房地产领域舆情监测、信息核实、会商研判、分级响应和跟踪反馈全链条机制，做好政策解读和群众关切回应，推动舆情应对与项目风险处置、信访矛盾化解相衔接。</w:t>
            </w:r>
          </w:p>
        </w:tc>
        <w:tc>
          <w:tcPr>
            <w:tcW w:w="595" w:type="pct"/>
            <w:shd w:val="clear" w:color="auto" w:fill="auto"/>
            <w:tcMar>
              <w:top w:w="85" w:type="dxa"/>
              <w:left w:w="110" w:type="dxa"/>
              <w:bottom w:w="85" w:type="dxa"/>
              <w:right w:w="110" w:type="dxa"/>
            </w:tcMar>
            <w:vAlign w:val="center"/>
          </w:tcPr>
          <w:p w14:paraId="4D15D6F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年底前完善工作机制；</w:t>
            </w: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年常态化实施</w:t>
            </w:r>
          </w:p>
        </w:tc>
        <w:tc>
          <w:tcPr>
            <w:tcW w:w="412" w:type="pct"/>
            <w:shd w:val="clear" w:color="auto" w:fill="auto"/>
            <w:tcMar>
              <w:top w:w="85" w:type="dxa"/>
              <w:left w:w="110" w:type="dxa"/>
              <w:bottom w:w="85" w:type="dxa"/>
              <w:right w:w="110" w:type="dxa"/>
            </w:tcMar>
            <w:vAlign w:val="center"/>
          </w:tcPr>
          <w:p w14:paraId="0E448DC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05A04AD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市委网信办</w:t>
            </w:r>
            <w:r>
              <w:rPr>
                <w:rFonts w:hint="eastAsia" w:ascii="仿宋_GB2312" w:hAnsi="仿宋_GB2312" w:cs="仿宋_GB2312"/>
                <w:b w:val="0"/>
                <w:color w:val="auto"/>
                <w:kern w:val="0"/>
                <w:sz w:val="24"/>
                <w:szCs w:val="24"/>
                <w:lang w:eastAsia="zh-CN"/>
              </w:rPr>
              <w:t>，</w:t>
            </w:r>
            <w:r>
              <w:rPr>
                <w:rFonts w:hint="eastAsia" w:ascii="仿宋_GB2312" w:hAnsi="仿宋_GB2312" w:eastAsia="仿宋_GB2312" w:cs="仿宋_GB2312"/>
                <w:b w:val="0"/>
                <w:color w:val="auto"/>
                <w:kern w:val="0"/>
                <w:sz w:val="24"/>
                <w:szCs w:val="24"/>
                <w:lang w:eastAsia="en-US"/>
              </w:rPr>
              <w:t>各县（市、区）政府（管委会）</w:t>
            </w:r>
          </w:p>
        </w:tc>
      </w:tr>
      <w:tr w14:paraId="54A5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DF5166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w:t>
            </w:r>
          </w:p>
        </w:tc>
        <w:tc>
          <w:tcPr>
            <w:tcW w:w="411" w:type="pct"/>
            <w:vMerge w:val="continue"/>
            <w:shd w:val="clear" w:color="auto" w:fill="auto"/>
            <w:tcMar>
              <w:top w:w="85" w:type="dxa"/>
              <w:left w:w="110" w:type="dxa"/>
              <w:bottom w:w="85" w:type="dxa"/>
              <w:right w:w="110" w:type="dxa"/>
            </w:tcMar>
            <w:vAlign w:val="center"/>
          </w:tcPr>
          <w:p w14:paraId="2E7D79B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341FCCC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多措并举释放合理住房需求</w:t>
            </w:r>
          </w:p>
        </w:tc>
        <w:tc>
          <w:tcPr>
            <w:tcW w:w="416" w:type="pct"/>
            <w:shd w:val="clear" w:color="auto" w:fill="auto"/>
            <w:tcMar>
              <w:top w:w="85" w:type="dxa"/>
              <w:left w:w="110" w:type="dxa"/>
              <w:bottom w:w="85" w:type="dxa"/>
              <w:right w:w="110" w:type="dxa"/>
            </w:tcMar>
            <w:vAlign w:val="center"/>
          </w:tcPr>
          <w:p w14:paraId="028465F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重点群体购房支持</w:t>
            </w:r>
          </w:p>
        </w:tc>
        <w:tc>
          <w:tcPr>
            <w:tcW w:w="1946" w:type="pct"/>
            <w:shd w:val="clear" w:color="auto" w:fill="auto"/>
            <w:tcMar>
              <w:top w:w="85" w:type="dxa"/>
              <w:left w:w="110" w:type="dxa"/>
              <w:bottom w:w="85" w:type="dxa"/>
              <w:right w:w="110" w:type="dxa"/>
            </w:tcMar>
            <w:vAlign w:val="center"/>
          </w:tcPr>
          <w:p w14:paraId="220C03C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重点保障进城农民、多子女家庭、军人家庭、外来务工人员、返乡就业创业人员等群体购房需求；探索推出专项购房补贴，从提高公积金贷款额度、银行贷款优惠、优化首套贷款认定规则等方面强化政策支撑；探索对初婚初育的无房家庭购买首套住房发放专项购房消费券、上浮公积金贷款额度等政策支持。</w:t>
            </w:r>
          </w:p>
        </w:tc>
        <w:tc>
          <w:tcPr>
            <w:tcW w:w="595" w:type="pct"/>
            <w:shd w:val="clear" w:color="auto" w:fill="auto"/>
            <w:tcMar>
              <w:top w:w="85" w:type="dxa"/>
              <w:left w:w="110" w:type="dxa"/>
              <w:bottom w:w="85" w:type="dxa"/>
              <w:right w:w="110" w:type="dxa"/>
            </w:tcMar>
            <w:vAlign w:val="center"/>
          </w:tcPr>
          <w:p w14:paraId="34F0C68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年底前完成政策研究；具备条件后于规划期内实施</w:t>
            </w:r>
          </w:p>
        </w:tc>
        <w:tc>
          <w:tcPr>
            <w:tcW w:w="412" w:type="pct"/>
            <w:shd w:val="clear" w:color="auto" w:fill="auto"/>
            <w:tcMar>
              <w:top w:w="85" w:type="dxa"/>
              <w:left w:w="110" w:type="dxa"/>
              <w:bottom w:w="85" w:type="dxa"/>
              <w:right w:w="110" w:type="dxa"/>
            </w:tcMar>
            <w:vAlign w:val="center"/>
          </w:tcPr>
          <w:p w14:paraId="35CB1B7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23DD003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市财政局、市住房公积金管理中心、人民银行湛江市分行</w:t>
            </w:r>
            <w:r>
              <w:rPr>
                <w:rFonts w:hint="eastAsia" w:ascii="仿宋_GB2312" w:hAnsi="仿宋_GB2312" w:cs="仿宋_GB2312"/>
                <w:b w:val="0"/>
                <w:color w:val="auto"/>
                <w:kern w:val="0"/>
                <w:sz w:val="24"/>
                <w:szCs w:val="24"/>
                <w:lang w:eastAsia="zh-CN"/>
              </w:rPr>
              <w:t>，</w:t>
            </w:r>
            <w:r>
              <w:rPr>
                <w:rFonts w:hint="eastAsia" w:ascii="仿宋_GB2312" w:hAnsi="仿宋_GB2312" w:eastAsia="仿宋_GB2312" w:cs="仿宋_GB2312"/>
                <w:b w:val="0"/>
                <w:color w:val="auto"/>
                <w:kern w:val="0"/>
                <w:sz w:val="24"/>
                <w:szCs w:val="24"/>
                <w:lang w:eastAsia="en-US"/>
              </w:rPr>
              <w:t>各县（市、区）政府（管委会）</w:t>
            </w:r>
          </w:p>
        </w:tc>
      </w:tr>
      <w:tr w14:paraId="556E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3C974C3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5</w:t>
            </w:r>
          </w:p>
        </w:tc>
        <w:tc>
          <w:tcPr>
            <w:tcW w:w="411" w:type="pct"/>
            <w:vMerge w:val="continue"/>
            <w:shd w:val="clear" w:color="auto" w:fill="auto"/>
            <w:tcMar>
              <w:top w:w="85" w:type="dxa"/>
              <w:left w:w="110" w:type="dxa"/>
              <w:bottom w:w="85" w:type="dxa"/>
              <w:right w:w="110" w:type="dxa"/>
            </w:tcMar>
            <w:vAlign w:val="center"/>
          </w:tcPr>
          <w:p w14:paraId="5023614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50112FA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183977E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城镇化公共服务配套支撑</w:t>
            </w:r>
          </w:p>
        </w:tc>
        <w:tc>
          <w:tcPr>
            <w:tcW w:w="1946" w:type="pct"/>
            <w:shd w:val="clear" w:color="auto" w:fill="auto"/>
            <w:tcMar>
              <w:top w:w="85" w:type="dxa"/>
              <w:left w:w="110" w:type="dxa"/>
              <w:bottom w:w="85" w:type="dxa"/>
              <w:right w:w="110" w:type="dxa"/>
            </w:tcMar>
            <w:vAlign w:val="center"/>
          </w:tcPr>
          <w:p w14:paraId="7CBD63E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深入实施“百县千镇万村高质量发展工程”，优化教育、医疗等公共服务配套；推动优质教育资源全域均衡布局，加快老城区优质学校集团化办学及分校扩容建设，</w:t>
            </w:r>
            <w:r>
              <w:rPr>
                <w:rFonts w:hint="eastAsia" w:ascii="仿宋_GB2312" w:hAnsi="仿宋_GB2312" w:cs="仿宋_GB2312"/>
                <w:b w:val="0"/>
                <w:color w:val="auto"/>
                <w:kern w:val="0"/>
                <w:sz w:val="24"/>
                <w:szCs w:val="24"/>
                <w:highlight w:val="none"/>
                <w:lang w:val="en-US" w:eastAsia="zh-CN"/>
              </w:rPr>
              <w:t>引导优质教育配套加快</w:t>
            </w:r>
            <w:r>
              <w:rPr>
                <w:rFonts w:hint="eastAsia" w:ascii="仿宋_GB2312" w:hAnsi="仿宋_GB2312" w:eastAsia="仿宋_GB2312" w:cs="仿宋_GB2312"/>
                <w:b w:val="0"/>
                <w:color w:val="auto"/>
                <w:kern w:val="0"/>
                <w:sz w:val="24"/>
                <w:szCs w:val="24"/>
                <w:highlight w:val="none"/>
                <w:lang w:eastAsia="en-US"/>
              </w:rPr>
              <w:t>向麻章、坡头、高铁新城及产业园区周边</w:t>
            </w:r>
            <w:r>
              <w:rPr>
                <w:rFonts w:hint="eastAsia" w:ascii="仿宋_GB2312" w:hAnsi="仿宋_GB2312" w:cs="仿宋_GB2312"/>
                <w:b w:val="0"/>
                <w:color w:val="auto"/>
                <w:kern w:val="0"/>
                <w:sz w:val="24"/>
                <w:szCs w:val="24"/>
                <w:highlight w:val="none"/>
                <w:lang w:val="en-US" w:eastAsia="zh-CN"/>
              </w:rPr>
              <w:t>居住板块覆盖</w:t>
            </w:r>
            <w:r>
              <w:rPr>
                <w:rFonts w:hint="eastAsia" w:ascii="仿宋_GB2312" w:hAnsi="仿宋_GB2312" w:eastAsia="仿宋_GB2312" w:cs="仿宋_GB2312"/>
                <w:b w:val="0"/>
                <w:color w:val="auto"/>
                <w:kern w:val="0"/>
                <w:sz w:val="24"/>
                <w:szCs w:val="24"/>
                <w:lang w:eastAsia="en-US"/>
              </w:rPr>
              <w:t>，同步补齐县城、中心镇教育配套短板，新建、改扩建一批标准化公办中小学、幼儿园。</w:t>
            </w:r>
          </w:p>
        </w:tc>
        <w:tc>
          <w:tcPr>
            <w:tcW w:w="595" w:type="pct"/>
            <w:shd w:val="clear" w:color="auto" w:fill="auto"/>
            <w:tcMar>
              <w:top w:w="85" w:type="dxa"/>
              <w:left w:w="110" w:type="dxa"/>
              <w:bottom w:w="85" w:type="dxa"/>
              <w:right w:w="110" w:type="dxa"/>
            </w:tcMar>
            <w:vAlign w:val="center"/>
          </w:tcPr>
          <w:p w14:paraId="605A5DE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年按年度教育、医疗和商业建设计划分步推进</w:t>
            </w:r>
          </w:p>
        </w:tc>
        <w:tc>
          <w:tcPr>
            <w:tcW w:w="412" w:type="pct"/>
            <w:shd w:val="clear" w:color="auto" w:fill="auto"/>
            <w:tcMar>
              <w:top w:w="85" w:type="dxa"/>
              <w:left w:w="110" w:type="dxa"/>
              <w:bottom w:w="85" w:type="dxa"/>
              <w:right w:w="110" w:type="dxa"/>
            </w:tcMar>
            <w:vAlign w:val="center"/>
          </w:tcPr>
          <w:p w14:paraId="7003151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b w:val="0"/>
                <w:color w:val="auto"/>
                <w:kern w:val="0"/>
                <w:sz w:val="24"/>
                <w:szCs w:val="24"/>
                <w:lang w:eastAsia="en-US"/>
              </w:rPr>
              <w:t>市教育局</w:t>
            </w:r>
            <w:r>
              <w:rPr>
                <w:rFonts w:hint="eastAsia" w:ascii="仿宋_GB2312" w:hAnsi="仿宋_GB2312" w:cs="仿宋_GB2312"/>
                <w:b w:val="0"/>
                <w:color w:val="auto"/>
                <w:kern w:val="0"/>
                <w:sz w:val="24"/>
                <w:szCs w:val="24"/>
                <w:lang w:eastAsia="zh-CN"/>
              </w:rPr>
              <w:t>、</w:t>
            </w:r>
            <w:r>
              <w:rPr>
                <w:rFonts w:hint="eastAsia" w:ascii="仿宋_GB2312" w:hAnsi="仿宋_GB2312" w:cs="仿宋_GB2312"/>
                <w:color w:val="auto"/>
                <w:kern w:val="0"/>
                <w:sz w:val="24"/>
                <w:szCs w:val="24"/>
              </w:rPr>
              <w:t>市卫生健康局</w:t>
            </w:r>
          </w:p>
        </w:tc>
        <w:tc>
          <w:tcPr>
            <w:tcW w:w="628" w:type="pct"/>
            <w:shd w:val="clear" w:color="auto" w:fill="auto"/>
            <w:tcMar>
              <w:top w:w="85" w:type="dxa"/>
              <w:left w:w="110" w:type="dxa"/>
              <w:bottom w:w="85" w:type="dxa"/>
              <w:right w:w="110" w:type="dxa"/>
            </w:tcMar>
            <w:vAlign w:val="center"/>
          </w:tcPr>
          <w:p w14:paraId="0DFF4F4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r>
              <w:rPr>
                <w:rFonts w:hint="eastAsia" w:ascii="仿宋_GB2312" w:hAnsi="仿宋_GB2312" w:cs="仿宋_GB2312"/>
                <w:b w:val="0"/>
                <w:color w:val="auto"/>
                <w:kern w:val="0"/>
                <w:sz w:val="24"/>
                <w:szCs w:val="24"/>
                <w:lang w:eastAsia="zh-CN"/>
              </w:rPr>
              <w:t>，</w:t>
            </w:r>
            <w:r>
              <w:rPr>
                <w:rFonts w:hint="eastAsia" w:ascii="仿宋_GB2312" w:hAnsi="仿宋_GB2312" w:eastAsia="仿宋_GB2312" w:cs="仿宋_GB2312"/>
                <w:b w:val="0"/>
                <w:color w:val="auto"/>
                <w:kern w:val="0"/>
                <w:sz w:val="24"/>
                <w:szCs w:val="24"/>
                <w:lang w:eastAsia="en-US"/>
              </w:rPr>
              <w:t>各县（市、区）政府（管委会）</w:t>
            </w:r>
          </w:p>
        </w:tc>
      </w:tr>
      <w:tr w14:paraId="6B27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63C20FE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6</w:t>
            </w:r>
          </w:p>
        </w:tc>
        <w:tc>
          <w:tcPr>
            <w:tcW w:w="411" w:type="pct"/>
            <w:vMerge w:val="continue"/>
            <w:shd w:val="clear" w:color="auto" w:fill="auto"/>
            <w:tcMar>
              <w:top w:w="85" w:type="dxa"/>
              <w:left w:w="110" w:type="dxa"/>
              <w:bottom w:w="85" w:type="dxa"/>
              <w:right w:w="110" w:type="dxa"/>
            </w:tcMar>
            <w:vAlign w:val="center"/>
          </w:tcPr>
          <w:p w14:paraId="1274AE8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6AC88A6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18A9159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住房“以旧换新”</w:t>
            </w:r>
          </w:p>
        </w:tc>
        <w:tc>
          <w:tcPr>
            <w:tcW w:w="1946" w:type="pct"/>
            <w:shd w:val="clear" w:color="auto" w:fill="auto"/>
            <w:tcMar>
              <w:top w:w="85" w:type="dxa"/>
              <w:left w:w="110" w:type="dxa"/>
              <w:bottom w:w="85" w:type="dxa"/>
              <w:right w:w="110" w:type="dxa"/>
            </w:tcMar>
            <w:vAlign w:val="center"/>
          </w:tcPr>
          <w:p w14:paraId="06DF2AC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落</w:t>
            </w:r>
            <w:r>
              <w:rPr>
                <w:rFonts w:hint="eastAsia" w:ascii="仿宋_GB2312" w:hAnsi="仿宋_GB2312" w:eastAsia="仿宋_GB2312" w:cs="仿宋_GB2312"/>
                <w:b w:val="0"/>
                <w:color w:val="auto"/>
                <w:kern w:val="0"/>
                <w:sz w:val="24"/>
                <w:szCs w:val="24"/>
                <w:highlight w:val="none"/>
                <w:lang w:eastAsia="en-US"/>
              </w:rPr>
              <w:t>实</w:t>
            </w:r>
            <w:r>
              <w:rPr>
                <w:rFonts w:hint="eastAsia" w:ascii="仿宋_GB2312" w:hAnsi="仿宋_GB2312" w:cs="仿宋_GB2312"/>
                <w:b w:val="0"/>
                <w:color w:val="auto"/>
                <w:kern w:val="0"/>
                <w:sz w:val="24"/>
                <w:szCs w:val="24"/>
                <w:highlight w:val="none"/>
                <w:lang w:val="en-US" w:eastAsia="zh-CN"/>
              </w:rPr>
              <w:t>换房</w:t>
            </w:r>
            <w:r>
              <w:rPr>
                <w:rFonts w:hint="eastAsia" w:ascii="仿宋_GB2312" w:hAnsi="仿宋_GB2312" w:eastAsia="仿宋_GB2312" w:cs="仿宋_GB2312"/>
                <w:b w:val="0"/>
                <w:color w:val="auto"/>
                <w:kern w:val="0"/>
                <w:sz w:val="24"/>
                <w:szCs w:val="24"/>
                <w:highlight w:val="none"/>
                <w:lang w:eastAsia="en-US"/>
              </w:rPr>
              <w:t>税费</w:t>
            </w:r>
            <w:r>
              <w:rPr>
                <w:rFonts w:hint="eastAsia" w:ascii="仿宋_GB2312" w:hAnsi="仿宋_GB2312" w:cs="仿宋_GB2312"/>
                <w:b w:val="0"/>
                <w:color w:val="auto"/>
                <w:kern w:val="0"/>
                <w:sz w:val="24"/>
                <w:szCs w:val="24"/>
                <w:highlight w:val="none"/>
                <w:lang w:val="en-US" w:eastAsia="zh-CN"/>
              </w:rPr>
              <w:t>优惠</w:t>
            </w:r>
            <w:r>
              <w:rPr>
                <w:rFonts w:hint="eastAsia" w:ascii="仿宋_GB2312" w:hAnsi="仿宋_GB2312" w:eastAsia="仿宋_GB2312" w:cs="仿宋_GB2312"/>
                <w:b w:val="0"/>
                <w:color w:val="auto"/>
                <w:kern w:val="0"/>
                <w:sz w:val="24"/>
                <w:szCs w:val="24"/>
                <w:highlight w:val="none"/>
                <w:lang w:eastAsia="en-US"/>
              </w:rPr>
              <w:t>、跨</w:t>
            </w:r>
            <w:r>
              <w:rPr>
                <w:rFonts w:hint="eastAsia" w:ascii="仿宋_GB2312" w:hAnsi="仿宋_GB2312" w:eastAsia="仿宋_GB2312" w:cs="仿宋_GB2312"/>
                <w:b w:val="0"/>
                <w:color w:val="auto"/>
                <w:kern w:val="0"/>
                <w:sz w:val="24"/>
                <w:szCs w:val="24"/>
                <w:lang w:eastAsia="en-US"/>
              </w:rPr>
              <w:t>行“带押过户”等政策支持；探索放开二手住房公积金首付提取限制，存量房买卖合同备案后预提公积金支付购房首付款；探索将住宅适老化、无障碍改造及装配式内装提质纳入公积金提取支持范围；健全住房“以旧换新”工作机制，打通房源收储、贷款衔接、旧房处置等关键环节堵点。</w:t>
            </w:r>
          </w:p>
        </w:tc>
        <w:tc>
          <w:tcPr>
            <w:tcW w:w="595" w:type="pct"/>
            <w:shd w:val="clear" w:color="auto" w:fill="auto"/>
            <w:tcMar>
              <w:top w:w="85" w:type="dxa"/>
              <w:left w:w="110" w:type="dxa"/>
              <w:bottom w:w="85" w:type="dxa"/>
              <w:right w:w="110" w:type="dxa"/>
            </w:tcMar>
            <w:vAlign w:val="center"/>
          </w:tcPr>
          <w:p w14:paraId="7641926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highlight w:val="none"/>
                <w:lang w:eastAsia="en-US"/>
              </w:rPr>
              <w:t>2027</w:t>
            </w:r>
            <w:r>
              <w:rPr>
                <w:rFonts w:hint="eastAsia" w:ascii="仿宋_GB2312" w:hAnsi="仿宋_GB2312" w:eastAsia="仿宋_GB2312" w:cs="仿宋_GB2312"/>
                <w:b w:val="0"/>
                <w:color w:val="auto"/>
                <w:kern w:val="0"/>
                <w:sz w:val="24"/>
                <w:szCs w:val="24"/>
                <w:highlight w:val="none"/>
                <w:lang w:eastAsia="en-US"/>
              </w:rPr>
              <w:t>年底前完善住房置换机制；</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年持续实施</w:t>
            </w:r>
          </w:p>
        </w:tc>
        <w:tc>
          <w:tcPr>
            <w:tcW w:w="412" w:type="pct"/>
            <w:shd w:val="clear" w:color="auto" w:fill="auto"/>
            <w:tcMar>
              <w:top w:w="85" w:type="dxa"/>
              <w:left w:w="110" w:type="dxa"/>
              <w:bottom w:w="85" w:type="dxa"/>
              <w:right w:w="110" w:type="dxa"/>
            </w:tcMar>
            <w:vAlign w:val="center"/>
          </w:tcPr>
          <w:p w14:paraId="59E0B34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63A924A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市财政局、</w:t>
            </w:r>
            <w:r>
              <w:rPr>
                <w:rFonts w:hint="eastAsia" w:ascii="仿宋_GB2312" w:hAnsi="仿宋_GB2312" w:eastAsia="仿宋_GB2312" w:cs="仿宋_GB2312"/>
                <w:b w:val="0"/>
                <w:color w:val="auto"/>
                <w:kern w:val="0"/>
                <w:sz w:val="24"/>
                <w:szCs w:val="24"/>
                <w:highlight w:val="none"/>
                <w:lang w:eastAsia="en-US"/>
              </w:rPr>
              <w:t>市税务局、</w:t>
            </w:r>
            <w:r>
              <w:rPr>
                <w:rFonts w:hint="eastAsia" w:ascii="仿宋_GB2312" w:hAnsi="仿宋_GB2312" w:eastAsia="仿宋_GB2312" w:cs="仿宋_GB2312"/>
                <w:b w:val="0"/>
                <w:color w:val="auto"/>
                <w:kern w:val="0"/>
                <w:sz w:val="24"/>
                <w:szCs w:val="24"/>
                <w:lang w:eastAsia="en-US"/>
              </w:rPr>
              <w:t>市自然资源局、市住房公积金管理中心</w:t>
            </w:r>
            <w:r>
              <w:rPr>
                <w:rFonts w:hint="eastAsia" w:ascii="仿宋_GB2312" w:hAnsi="仿宋_GB2312" w:cs="仿宋_GB2312"/>
                <w:b w:val="0"/>
                <w:color w:val="auto"/>
                <w:kern w:val="0"/>
                <w:sz w:val="24"/>
                <w:szCs w:val="24"/>
                <w:lang w:eastAsia="zh-CN"/>
              </w:rPr>
              <w:t>、</w:t>
            </w:r>
            <w:r>
              <w:rPr>
                <w:rFonts w:hint="eastAsia" w:ascii="仿宋_GB2312" w:hAnsi="仿宋_GB2312" w:eastAsia="仿宋_GB2312" w:cs="仿宋_GB2312"/>
                <w:b w:val="0"/>
                <w:color w:val="auto"/>
                <w:kern w:val="0"/>
                <w:sz w:val="24"/>
                <w:szCs w:val="24"/>
                <w:lang w:eastAsia="en-US"/>
              </w:rPr>
              <w:t>人民银行湛江市分行</w:t>
            </w:r>
            <w:r>
              <w:rPr>
                <w:rFonts w:hint="eastAsia" w:ascii="仿宋_GB2312" w:hAnsi="仿宋_GB2312" w:cs="仿宋_GB2312"/>
                <w:b w:val="0"/>
                <w:color w:val="auto"/>
                <w:kern w:val="0"/>
                <w:sz w:val="24"/>
                <w:szCs w:val="24"/>
                <w:lang w:eastAsia="zh-CN"/>
              </w:rPr>
              <w:t>，</w:t>
            </w:r>
            <w:r>
              <w:rPr>
                <w:rFonts w:hint="eastAsia" w:ascii="仿宋_GB2312" w:hAnsi="仿宋_GB2312" w:eastAsia="仿宋_GB2312" w:cs="仿宋_GB2312"/>
                <w:b w:val="0"/>
                <w:color w:val="auto"/>
                <w:kern w:val="0"/>
                <w:sz w:val="24"/>
                <w:szCs w:val="24"/>
                <w:lang w:eastAsia="en-US"/>
              </w:rPr>
              <w:t>各县（市、区）政府（管委会）</w:t>
            </w:r>
          </w:p>
        </w:tc>
      </w:tr>
      <w:tr w14:paraId="40A9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5C023AB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7</w:t>
            </w:r>
          </w:p>
        </w:tc>
        <w:tc>
          <w:tcPr>
            <w:tcW w:w="411" w:type="pct"/>
            <w:vMerge w:val="continue"/>
            <w:shd w:val="clear" w:color="auto" w:fill="auto"/>
            <w:tcMar>
              <w:top w:w="85" w:type="dxa"/>
              <w:left w:w="110" w:type="dxa"/>
              <w:bottom w:w="85" w:type="dxa"/>
              <w:right w:w="110" w:type="dxa"/>
            </w:tcMar>
            <w:vAlign w:val="center"/>
          </w:tcPr>
          <w:p w14:paraId="2BFB0E6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5AB3865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73A1363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仿宋_GB2312" w:hAnsi="仿宋_GB2312" w:eastAsia="仿宋_GB2312" w:cs="仿宋_GB2312"/>
                <w:b w:val="0"/>
                <w:color w:val="auto"/>
                <w:kern w:val="0"/>
                <w:sz w:val="24"/>
                <w:szCs w:val="24"/>
                <w:lang w:val="en-US" w:eastAsia="zh-CN"/>
              </w:rPr>
            </w:pPr>
            <w:r>
              <w:rPr>
                <w:rFonts w:hint="eastAsia" w:ascii="仿宋_GB2312" w:hAnsi="仿宋_GB2312" w:eastAsia="仿宋_GB2312" w:cs="仿宋_GB2312"/>
                <w:b w:val="0"/>
                <w:color w:val="000000"/>
                <w:kern w:val="0"/>
                <w:sz w:val="24"/>
                <w:szCs w:val="24"/>
                <w:lang w:eastAsia="en-US"/>
              </w:rPr>
              <w:t>住房</w:t>
            </w:r>
            <w:r>
              <w:rPr>
                <w:rFonts w:hint="eastAsia" w:ascii="仿宋_GB2312" w:hAnsi="仿宋_GB2312" w:cs="仿宋_GB2312"/>
                <w:b w:val="0"/>
                <w:color w:val="000000"/>
                <w:kern w:val="0"/>
                <w:sz w:val="24"/>
                <w:szCs w:val="24"/>
                <w:lang w:val="en-US" w:eastAsia="zh-CN"/>
              </w:rPr>
              <w:t>促消费活动</w:t>
            </w:r>
          </w:p>
        </w:tc>
        <w:tc>
          <w:tcPr>
            <w:tcW w:w="1946" w:type="pct"/>
            <w:shd w:val="clear" w:color="auto" w:fill="auto"/>
            <w:tcMar>
              <w:top w:w="85" w:type="dxa"/>
              <w:left w:w="110" w:type="dxa"/>
              <w:bottom w:w="85" w:type="dxa"/>
              <w:right w:w="110" w:type="dxa"/>
            </w:tcMar>
            <w:vAlign w:val="center"/>
          </w:tcPr>
          <w:p w14:paraId="0B1F133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highlight w:val="none"/>
                <w:lang w:eastAsia="en-US"/>
              </w:rPr>
            </w:pPr>
            <w:r>
              <w:rPr>
                <w:rFonts w:hint="eastAsia" w:ascii="仿宋_GB2312" w:hAnsi="仿宋_GB2312" w:eastAsia="仿宋_GB2312" w:cs="仿宋_GB2312"/>
                <w:b w:val="0"/>
                <w:color w:val="auto"/>
                <w:kern w:val="0"/>
                <w:sz w:val="24"/>
                <w:szCs w:val="24"/>
                <w:highlight w:val="none"/>
                <w:lang w:eastAsia="en-US"/>
              </w:rPr>
              <w:t>定期开展房地产营销活动，联动房地产开发企业、中介机构、装饰装修公司、家电家具公司、银行等主体整合优惠资源；面向</w:t>
            </w:r>
            <w:r>
              <w:rPr>
                <w:rFonts w:hint="eastAsia" w:ascii="仿宋_GB2312" w:hAnsi="仿宋_GB2312" w:cs="仿宋_GB2312"/>
                <w:color w:val="auto"/>
                <w:kern w:val="0"/>
                <w:sz w:val="24"/>
                <w:szCs w:val="24"/>
                <w:highlight w:val="none"/>
                <w:lang w:eastAsia="en-US"/>
              </w:rPr>
              <w:t>产业园区、机关单位、国有企事业单位、高等院校</w:t>
            </w:r>
            <w:r>
              <w:rPr>
                <w:rFonts w:hint="eastAsia" w:ascii="仿宋_GB2312" w:hAnsi="仿宋_GB2312" w:cs="仿宋_GB2312"/>
                <w:color w:val="auto"/>
                <w:kern w:val="0"/>
                <w:sz w:val="24"/>
                <w:szCs w:val="24"/>
                <w:highlight w:val="none"/>
                <w:lang w:val="en-US" w:eastAsia="zh-CN"/>
              </w:rPr>
              <w:t>等</w:t>
            </w:r>
            <w:r>
              <w:rPr>
                <w:rFonts w:hint="eastAsia" w:ascii="仿宋_GB2312" w:hAnsi="仿宋_GB2312" w:eastAsia="仿宋_GB2312" w:cs="仿宋_GB2312"/>
                <w:b w:val="0"/>
                <w:color w:val="auto"/>
                <w:kern w:val="0"/>
                <w:sz w:val="24"/>
                <w:szCs w:val="24"/>
                <w:highlight w:val="none"/>
                <w:lang w:eastAsia="en-US"/>
              </w:rPr>
              <w:t>开展定向房地产团购活动</w:t>
            </w:r>
            <w:r>
              <w:rPr>
                <w:rFonts w:hint="eastAsia" w:ascii="仿宋_GB2312" w:hAnsi="仿宋_GB2312" w:cs="仿宋_GB2312"/>
                <w:b w:val="0"/>
                <w:color w:val="auto"/>
                <w:kern w:val="0"/>
                <w:sz w:val="24"/>
                <w:szCs w:val="24"/>
                <w:highlight w:val="none"/>
                <w:lang w:eastAsia="zh-CN"/>
              </w:rPr>
              <w:t>。</w:t>
            </w:r>
          </w:p>
        </w:tc>
        <w:tc>
          <w:tcPr>
            <w:tcW w:w="595" w:type="pct"/>
            <w:shd w:val="clear" w:color="auto" w:fill="auto"/>
            <w:tcMar>
              <w:top w:w="85" w:type="dxa"/>
              <w:left w:w="110" w:type="dxa"/>
              <w:bottom w:w="85" w:type="dxa"/>
              <w:right w:w="110" w:type="dxa"/>
            </w:tcMar>
            <w:vAlign w:val="center"/>
          </w:tcPr>
          <w:p w14:paraId="642B965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年按年度持续开展</w:t>
            </w:r>
          </w:p>
        </w:tc>
        <w:tc>
          <w:tcPr>
            <w:tcW w:w="412" w:type="pct"/>
            <w:shd w:val="clear" w:color="auto" w:fill="auto"/>
            <w:tcMar>
              <w:top w:w="85" w:type="dxa"/>
              <w:left w:w="110" w:type="dxa"/>
              <w:bottom w:w="85" w:type="dxa"/>
              <w:right w:w="110" w:type="dxa"/>
            </w:tcMar>
            <w:vAlign w:val="center"/>
          </w:tcPr>
          <w:p w14:paraId="62D66BA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6B26BBF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市工业和信息化局、市文化广电旅游体育局、市教育局、市卫生健康局、</w:t>
            </w:r>
            <w:r>
              <w:rPr>
                <w:rFonts w:hint="eastAsia" w:ascii="仿宋_GB2312" w:hAnsi="仿宋_GB2312" w:cs="仿宋_GB2312"/>
                <w:b w:val="0"/>
                <w:color w:val="auto"/>
                <w:kern w:val="0"/>
                <w:sz w:val="24"/>
                <w:szCs w:val="24"/>
                <w:lang w:val="en-US" w:eastAsia="zh-CN"/>
              </w:rPr>
              <w:t>市商务局、</w:t>
            </w:r>
            <w:r>
              <w:rPr>
                <w:rFonts w:hint="eastAsia" w:ascii="仿宋_GB2312" w:hAnsi="仿宋_GB2312" w:eastAsia="仿宋_GB2312" w:cs="仿宋_GB2312"/>
                <w:b w:val="0"/>
                <w:color w:val="auto"/>
                <w:kern w:val="0"/>
                <w:sz w:val="24"/>
                <w:szCs w:val="24"/>
                <w:lang w:eastAsia="en-US"/>
              </w:rPr>
              <w:t>市交通运输局，各县（市、区）政府（管委会）</w:t>
            </w:r>
          </w:p>
        </w:tc>
      </w:tr>
      <w:tr w14:paraId="329D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5772743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8</w:t>
            </w:r>
          </w:p>
        </w:tc>
        <w:tc>
          <w:tcPr>
            <w:tcW w:w="411" w:type="pct"/>
            <w:vMerge w:val="continue"/>
            <w:shd w:val="clear" w:color="auto" w:fill="auto"/>
            <w:tcMar>
              <w:top w:w="85" w:type="dxa"/>
              <w:left w:w="110" w:type="dxa"/>
              <w:bottom w:w="85" w:type="dxa"/>
              <w:right w:w="110" w:type="dxa"/>
            </w:tcMar>
            <w:vAlign w:val="center"/>
          </w:tcPr>
          <w:p w14:paraId="08BDDEB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47AAA42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4557798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住房交易服务全程网办</w:t>
            </w:r>
          </w:p>
        </w:tc>
        <w:tc>
          <w:tcPr>
            <w:tcW w:w="1946" w:type="pct"/>
            <w:shd w:val="clear" w:color="auto" w:fill="auto"/>
            <w:tcMar>
              <w:top w:w="85" w:type="dxa"/>
              <w:left w:w="110" w:type="dxa"/>
              <w:bottom w:w="85" w:type="dxa"/>
              <w:right w:w="110" w:type="dxa"/>
            </w:tcMar>
            <w:vAlign w:val="center"/>
          </w:tcPr>
          <w:p w14:paraId="6495534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推进网签备案、住房公积金贷款、不动产登记等事项全程网办，实现“零跑腿”、“跨市办”、“跨省办”。</w:t>
            </w:r>
          </w:p>
        </w:tc>
        <w:tc>
          <w:tcPr>
            <w:tcW w:w="595" w:type="pct"/>
            <w:shd w:val="clear" w:color="auto" w:fill="auto"/>
            <w:tcMar>
              <w:top w:w="85" w:type="dxa"/>
              <w:left w:w="110" w:type="dxa"/>
              <w:bottom w:w="85" w:type="dxa"/>
              <w:right w:w="110" w:type="dxa"/>
            </w:tcMar>
            <w:vAlign w:val="center"/>
          </w:tcPr>
          <w:p w14:paraId="5A58393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年底前实现事项衔接和网上办理；</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年持续优化</w:t>
            </w:r>
          </w:p>
        </w:tc>
        <w:tc>
          <w:tcPr>
            <w:tcW w:w="412" w:type="pct"/>
            <w:shd w:val="clear" w:color="auto" w:fill="auto"/>
            <w:tcMar>
              <w:top w:w="85" w:type="dxa"/>
              <w:left w:w="110" w:type="dxa"/>
              <w:bottom w:w="85" w:type="dxa"/>
              <w:right w:w="110" w:type="dxa"/>
            </w:tcMar>
            <w:vAlign w:val="center"/>
          </w:tcPr>
          <w:p w14:paraId="1B2238D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0C9F54F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市自然资源局、市住房公积金管理中心、市政务服务和数据管理局、人民银行湛江市分行</w:t>
            </w:r>
          </w:p>
        </w:tc>
      </w:tr>
      <w:tr w14:paraId="27ED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6B95884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9</w:t>
            </w:r>
          </w:p>
        </w:tc>
        <w:tc>
          <w:tcPr>
            <w:tcW w:w="411" w:type="pct"/>
            <w:vMerge w:val="continue"/>
            <w:shd w:val="clear" w:color="auto" w:fill="auto"/>
            <w:tcMar>
              <w:top w:w="85" w:type="dxa"/>
              <w:left w:w="110" w:type="dxa"/>
              <w:bottom w:w="85" w:type="dxa"/>
              <w:right w:w="110" w:type="dxa"/>
            </w:tcMar>
            <w:vAlign w:val="center"/>
          </w:tcPr>
          <w:p w14:paraId="268B66A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6B5E9BF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加快推进商品房库存去化</w:t>
            </w:r>
          </w:p>
        </w:tc>
        <w:tc>
          <w:tcPr>
            <w:tcW w:w="416" w:type="pct"/>
            <w:shd w:val="clear" w:color="auto" w:fill="auto"/>
            <w:tcMar>
              <w:top w:w="85" w:type="dxa"/>
              <w:left w:w="110" w:type="dxa"/>
              <w:bottom w:w="85" w:type="dxa"/>
              <w:right w:w="110" w:type="dxa"/>
            </w:tcMar>
            <w:vAlign w:val="center"/>
          </w:tcPr>
          <w:p w14:paraId="012871C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库存动态监测和分类去化</w:t>
            </w:r>
          </w:p>
        </w:tc>
        <w:tc>
          <w:tcPr>
            <w:tcW w:w="1946" w:type="pct"/>
            <w:shd w:val="clear" w:color="auto" w:fill="auto"/>
            <w:tcMar>
              <w:top w:w="85" w:type="dxa"/>
              <w:left w:w="110" w:type="dxa"/>
              <w:bottom w:w="85" w:type="dxa"/>
              <w:right w:w="110" w:type="dxa"/>
            </w:tcMar>
            <w:vAlign w:val="center"/>
          </w:tcPr>
          <w:p w14:paraId="07209FF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用好房地信息采集系统，动态监测项目开发销售进展；常态化开展库存规模、结构分析研判，监测各县（市、区）短期、中期、长期库存规模及去化周期，建立库存项目台账；指导去化周期偏长、库存压力较大的县（市、区）因地制宜、分类施策，研究市场化促销、企业自持运营、规划调整、政府或国企收购等盘活路径及配套政策。</w:t>
            </w:r>
          </w:p>
        </w:tc>
        <w:tc>
          <w:tcPr>
            <w:tcW w:w="595" w:type="pct"/>
            <w:shd w:val="clear" w:color="auto" w:fill="auto"/>
            <w:tcMar>
              <w:top w:w="85" w:type="dxa"/>
              <w:left w:w="110" w:type="dxa"/>
              <w:bottom w:w="85" w:type="dxa"/>
              <w:right w:w="110" w:type="dxa"/>
            </w:tcMar>
            <w:vAlign w:val="center"/>
          </w:tcPr>
          <w:p w14:paraId="3474259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年底前建立基础台账；</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年底前完善分类去化安排；</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年动态调整</w:t>
            </w:r>
          </w:p>
        </w:tc>
        <w:tc>
          <w:tcPr>
            <w:tcW w:w="412" w:type="pct"/>
            <w:shd w:val="clear" w:color="auto" w:fill="auto"/>
            <w:tcMar>
              <w:top w:w="85" w:type="dxa"/>
              <w:left w:w="110" w:type="dxa"/>
              <w:bottom w:w="85" w:type="dxa"/>
              <w:right w:w="110" w:type="dxa"/>
            </w:tcMar>
            <w:vAlign w:val="center"/>
          </w:tcPr>
          <w:p w14:paraId="310892E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04475B3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市自然资源局，各县（市、区）政府（管委会）</w:t>
            </w:r>
          </w:p>
        </w:tc>
      </w:tr>
      <w:tr w14:paraId="114B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C010F9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10</w:t>
            </w:r>
          </w:p>
        </w:tc>
        <w:tc>
          <w:tcPr>
            <w:tcW w:w="411" w:type="pct"/>
            <w:vMerge w:val="continue"/>
            <w:shd w:val="clear" w:color="auto" w:fill="auto"/>
            <w:tcMar>
              <w:top w:w="85" w:type="dxa"/>
              <w:left w:w="110" w:type="dxa"/>
              <w:bottom w:w="85" w:type="dxa"/>
              <w:right w:w="110" w:type="dxa"/>
            </w:tcMar>
            <w:vAlign w:val="center"/>
          </w:tcPr>
          <w:p w14:paraId="55451DD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157D08D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4B08C9D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新增住房供应和项目开发节奏调节</w:t>
            </w:r>
          </w:p>
        </w:tc>
        <w:tc>
          <w:tcPr>
            <w:tcW w:w="1946" w:type="pct"/>
            <w:shd w:val="clear" w:color="auto" w:fill="auto"/>
            <w:tcMar>
              <w:top w:w="85" w:type="dxa"/>
              <w:left w:w="110" w:type="dxa"/>
              <w:bottom w:w="85" w:type="dxa"/>
              <w:right w:w="110" w:type="dxa"/>
            </w:tcMar>
            <w:vAlign w:val="center"/>
          </w:tcPr>
          <w:p w14:paraId="7979E47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落实住宅用地供应与商品住宅去化周期、存量住宅用地盘活相挂钩的调节机制，合理安排新增住宅用地供应规模、结构、布局和时序；依托库存动态监测成果实施区域差异化供给调控，合理调节供地、开工和批准预售节奏，优化规划指标、物业用途与功能布局。</w:t>
            </w:r>
          </w:p>
        </w:tc>
        <w:tc>
          <w:tcPr>
            <w:tcW w:w="595" w:type="pct"/>
            <w:shd w:val="clear" w:color="auto" w:fill="auto"/>
            <w:tcMar>
              <w:top w:w="85" w:type="dxa"/>
              <w:left w:w="110" w:type="dxa"/>
              <w:bottom w:w="85" w:type="dxa"/>
              <w:right w:w="110" w:type="dxa"/>
            </w:tcMar>
            <w:vAlign w:val="center"/>
          </w:tcPr>
          <w:p w14:paraId="6A773E0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年纳入年度住宅用地供应、项目开工和商品住房预售管理，滚动调整</w:t>
            </w:r>
          </w:p>
        </w:tc>
        <w:tc>
          <w:tcPr>
            <w:tcW w:w="412" w:type="pct"/>
            <w:shd w:val="clear" w:color="auto" w:fill="auto"/>
            <w:tcMar>
              <w:top w:w="85" w:type="dxa"/>
              <w:left w:w="110" w:type="dxa"/>
              <w:bottom w:w="85" w:type="dxa"/>
              <w:right w:w="110" w:type="dxa"/>
            </w:tcMar>
            <w:vAlign w:val="center"/>
          </w:tcPr>
          <w:p w14:paraId="2106C51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w:t>
            </w:r>
          </w:p>
        </w:tc>
        <w:tc>
          <w:tcPr>
            <w:tcW w:w="628" w:type="pct"/>
            <w:shd w:val="clear" w:color="auto" w:fill="auto"/>
            <w:tcMar>
              <w:top w:w="85" w:type="dxa"/>
              <w:left w:w="110" w:type="dxa"/>
              <w:bottom w:w="85" w:type="dxa"/>
              <w:right w:w="110" w:type="dxa"/>
            </w:tcMar>
            <w:vAlign w:val="center"/>
          </w:tcPr>
          <w:p w14:paraId="26B793F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市住房城乡建设局，各县（市、区）政府（管委会）</w:t>
            </w:r>
          </w:p>
        </w:tc>
      </w:tr>
      <w:tr w14:paraId="0188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17761AC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11</w:t>
            </w:r>
          </w:p>
        </w:tc>
        <w:tc>
          <w:tcPr>
            <w:tcW w:w="411" w:type="pct"/>
            <w:vMerge w:val="continue"/>
            <w:shd w:val="clear" w:color="auto" w:fill="auto"/>
            <w:tcMar>
              <w:top w:w="85" w:type="dxa"/>
              <w:left w:w="110" w:type="dxa"/>
              <w:bottom w:w="85" w:type="dxa"/>
              <w:right w:w="110" w:type="dxa"/>
            </w:tcMar>
            <w:vAlign w:val="center"/>
          </w:tcPr>
          <w:p w14:paraId="4AA6F06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7F51C07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658F142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存量商品房收购和非住宅房源盘活</w:t>
            </w:r>
          </w:p>
        </w:tc>
        <w:tc>
          <w:tcPr>
            <w:tcW w:w="1946" w:type="pct"/>
            <w:shd w:val="clear" w:color="auto" w:fill="auto"/>
            <w:tcMar>
              <w:top w:w="85" w:type="dxa"/>
              <w:left w:w="110" w:type="dxa"/>
              <w:bottom w:w="85" w:type="dxa"/>
              <w:right w:w="110" w:type="dxa"/>
            </w:tcMar>
            <w:vAlign w:val="center"/>
          </w:tcPr>
          <w:p w14:paraId="72C4392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完善存量房收购工作机制，支持住房租赁企业、用人单位收购存量商品房用作员工宿舍、人才房、青年公寓等，重点支持产业园区企业通过购买存量商品房解决园区员工居住需求；支持符合条件的闲置商业、办公用房改建为保障性租赁住房、人才公寓、长租公寓、宿舍等。</w:t>
            </w:r>
          </w:p>
        </w:tc>
        <w:tc>
          <w:tcPr>
            <w:tcW w:w="595" w:type="pct"/>
            <w:shd w:val="clear" w:color="auto" w:fill="auto"/>
            <w:tcMar>
              <w:top w:w="85" w:type="dxa"/>
              <w:left w:w="110" w:type="dxa"/>
              <w:bottom w:w="85" w:type="dxa"/>
              <w:right w:w="110" w:type="dxa"/>
            </w:tcMar>
            <w:vAlign w:val="center"/>
          </w:tcPr>
          <w:p w14:paraId="1C4A072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年底前完成项目谋划和实施条件衔接；</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年按项目成熟情况实施</w:t>
            </w:r>
          </w:p>
        </w:tc>
        <w:tc>
          <w:tcPr>
            <w:tcW w:w="412" w:type="pct"/>
            <w:shd w:val="clear" w:color="auto" w:fill="auto"/>
            <w:tcMar>
              <w:top w:w="85" w:type="dxa"/>
              <w:left w:w="110" w:type="dxa"/>
              <w:bottom w:w="85" w:type="dxa"/>
              <w:right w:w="110" w:type="dxa"/>
            </w:tcMar>
            <w:vAlign w:val="center"/>
          </w:tcPr>
          <w:p w14:paraId="18F0278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75C32E0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cs="仿宋_GB2312"/>
                <w:b w:val="0"/>
                <w:color w:val="auto"/>
                <w:kern w:val="0"/>
                <w:sz w:val="24"/>
                <w:szCs w:val="24"/>
                <w:lang w:val="en-US" w:eastAsia="zh-CN"/>
              </w:rPr>
              <w:t>市财政局、</w:t>
            </w:r>
            <w:r>
              <w:rPr>
                <w:rFonts w:hint="default" w:ascii="仿宋_GB2312" w:hAnsi="仿宋_GB2312" w:eastAsia="仿宋_GB2312" w:cs="仿宋_GB2312"/>
                <w:b w:val="0"/>
                <w:color w:val="auto"/>
                <w:kern w:val="0"/>
                <w:sz w:val="24"/>
                <w:szCs w:val="24"/>
                <w:lang w:val="en-US" w:eastAsia="en-US"/>
              </w:rPr>
              <w:t>市自然资源局、市国资委</w:t>
            </w:r>
            <w:r>
              <w:rPr>
                <w:rFonts w:hint="eastAsia" w:ascii="仿宋_GB2312" w:hAnsi="仿宋_GB2312" w:eastAsia="仿宋_GB2312" w:cs="仿宋_GB2312"/>
                <w:b w:val="0"/>
                <w:color w:val="auto"/>
                <w:kern w:val="0"/>
                <w:sz w:val="24"/>
                <w:szCs w:val="24"/>
                <w:lang w:eastAsia="en-US"/>
              </w:rPr>
              <w:t>，各县（市、区）政府（管委会）</w:t>
            </w:r>
          </w:p>
        </w:tc>
      </w:tr>
      <w:tr w14:paraId="26EDC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BDE3BD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12</w:t>
            </w:r>
          </w:p>
        </w:tc>
        <w:tc>
          <w:tcPr>
            <w:tcW w:w="411" w:type="pct"/>
            <w:vMerge w:val="continue"/>
            <w:shd w:val="clear" w:color="auto" w:fill="auto"/>
            <w:tcMar>
              <w:top w:w="85" w:type="dxa"/>
              <w:left w:w="110" w:type="dxa"/>
              <w:bottom w:w="85" w:type="dxa"/>
              <w:right w:w="110" w:type="dxa"/>
            </w:tcMar>
            <w:vAlign w:val="center"/>
          </w:tcPr>
          <w:p w14:paraId="7ED81F5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1DF037A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积极培育和发展住房租赁市场</w:t>
            </w:r>
          </w:p>
        </w:tc>
        <w:tc>
          <w:tcPr>
            <w:tcW w:w="416" w:type="pct"/>
            <w:shd w:val="clear" w:color="auto" w:fill="auto"/>
            <w:tcMar>
              <w:top w:w="85" w:type="dxa"/>
              <w:left w:w="110" w:type="dxa"/>
              <w:bottom w:w="85" w:type="dxa"/>
              <w:right w:w="110" w:type="dxa"/>
            </w:tcMar>
            <w:vAlign w:val="center"/>
          </w:tcPr>
          <w:p w14:paraId="544DA1E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住房租赁交易服务和信用监管</w:t>
            </w:r>
          </w:p>
        </w:tc>
        <w:tc>
          <w:tcPr>
            <w:tcW w:w="1946" w:type="pct"/>
            <w:shd w:val="clear" w:color="auto" w:fill="auto"/>
            <w:tcMar>
              <w:top w:w="85" w:type="dxa"/>
              <w:left w:w="110" w:type="dxa"/>
              <w:bottom w:w="85" w:type="dxa"/>
              <w:right w:w="110" w:type="dxa"/>
            </w:tcMar>
            <w:vAlign w:val="center"/>
          </w:tcPr>
          <w:p w14:paraId="52239A2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贯彻实施《住房租赁条例》，建立网络信息平台租赁房源挂牌核验机制，推行标准化住房租赁合同示范文本，全面落实租赁合同网签备案制度，鼓励建立房屋租赁资金监管制度；完善住房租赁企业、中介机构及从业人员信用评价机制，建立覆盖全行业的信用档案。</w:t>
            </w:r>
          </w:p>
        </w:tc>
        <w:tc>
          <w:tcPr>
            <w:tcW w:w="595" w:type="pct"/>
            <w:shd w:val="clear" w:color="auto" w:fill="auto"/>
            <w:tcMar>
              <w:top w:w="85" w:type="dxa"/>
              <w:left w:w="110" w:type="dxa"/>
              <w:bottom w:w="85" w:type="dxa"/>
              <w:right w:w="110" w:type="dxa"/>
            </w:tcMar>
            <w:vAlign w:val="center"/>
          </w:tcPr>
          <w:p w14:paraId="3787815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年底前完善房源核验、网签备案、资金监管和信用评价机制；</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年持续实施</w:t>
            </w:r>
          </w:p>
        </w:tc>
        <w:tc>
          <w:tcPr>
            <w:tcW w:w="412" w:type="pct"/>
            <w:shd w:val="clear" w:color="auto" w:fill="auto"/>
            <w:tcMar>
              <w:top w:w="85" w:type="dxa"/>
              <w:left w:w="110" w:type="dxa"/>
              <w:bottom w:w="85" w:type="dxa"/>
              <w:right w:w="110" w:type="dxa"/>
            </w:tcMar>
            <w:vAlign w:val="center"/>
          </w:tcPr>
          <w:p w14:paraId="12FBFD9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64CBED7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各县（市、区）政府（管委会）</w:t>
            </w:r>
          </w:p>
        </w:tc>
      </w:tr>
      <w:tr w14:paraId="139E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7CFD53D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13</w:t>
            </w:r>
          </w:p>
        </w:tc>
        <w:tc>
          <w:tcPr>
            <w:tcW w:w="411" w:type="pct"/>
            <w:vMerge w:val="continue"/>
            <w:shd w:val="clear" w:color="auto" w:fill="auto"/>
            <w:tcMar>
              <w:top w:w="85" w:type="dxa"/>
              <w:left w:w="110" w:type="dxa"/>
              <w:bottom w:w="85" w:type="dxa"/>
              <w:right w:w="110" w:type="dxa"/>
            </w:tcMar>
            <w:vAlign w:val="center"/>
          </w:tcPr>
          <w:p w14:paraId="016B51B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192A5F4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66CE7C7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住房租赁主体培育</w:t>
            </w:r>
          </w:p>
        </w:tc>
        <w:tc>
          <w:tcPr>
            <w:tcW w:w="1946" w:type="pct"/>
            <w:shd w:val="clear" w:color="auto" w:fill="auto"/>
            <w:tcMar>
              <w:top w:w="85" w:type="dxa"/>
              <w:left w:w="110" w:type="dxa"/>
              <w:bottom w:w="85" w:type="dxa"/>
              <w:right w:w="110" w:type="dxa"/>
            </w:tcMar>
            <w:vAlign w:val="center"/>
          </w:tcPr>
          <w:p w14:paraId="5A730B2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引导房地产开发企业由单一开发销售向租售并举转变，培育本土房企品牌，发展专业化、规模化住房租赁企业；鼓励商业银行为租赁住房建设和运营提供期限匹配、利率适当、风险可控、商业可持续的信贷产品和服务；支持住房租赁企业发行住房租赁担保债券，稳妥推进基础设施不动产投资信托基金（</w:t>
            </w:r>
            <w:r>
              <w:rPr>
                <w:rFonts w:hint="default" w:ascii="Times New Roman" w:hAnsi="Times New Roman" w:eastAsia="仿宋_GB2312" w:cs="Times New Roman"/>
                <w:b w:val="0"/>
                <w:color w:val="auto"/>
                <w:kern w:val="0"/>
                <w:sz w:val="24"/>
                <w:szCs w:val="24"/>
                <w:lang w:eastAsia="en-US"/>
              </w:rPr>
              <w:t>REITs</w:t>
            </w:r>
            <w:r>
              <w:rPr>
                <w:rFonts w:hint="eastAsia" w:ascii="仿宋_GB2312" w:hAnsi="仿宋_GB2312" w:eastAsia="仿宋_GB2312" w:cs="仿宋_GB2312"/>
                <w:b w:val="0"/>
                <w:color w:val="auto"/>
                <w:kern w:val="0"/>
                <w:sz w:val="24"/>
                <w:szCs w:val="24"/>
                <w:lang w:eastAsia="en-US"/>
              </w:rPr>
              <w:t>）试点，鼓励租赁当事人投保租赁住房财产保险和人身意外保险。</w:t>
            </w:r>
          </w:p>
        </w:tc>
        <w:tc>
          <w:tcPr>
            <w:tcW w:w="595" w:type="pct"/>
            <w:shd w:val="clear" w:color="auto" w:fill="auto"/>
            <w:tcMar>
              <w:top w:w="85" w:type="dxa"/>
              <w:left w:w="110" w:type="dxa"/>
              <w:bottom w:w="85" w:type="dxa"/>
              <w:right w:w="110" w:type="dxa"/>
            </w:tcMar>
            <w:vAlign w:val="center"/>
          </w:tcPr>
          <w:p w14:paraId="16F0552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年推进经营主体培育和金融项目对接；</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年持续实施并跟踪评估</w:t>
            </w:r>
          </w:p>
        </w:tc>
        <w:tc>
          <w:tcPr>
            <w:tcW w:w="412" w:type="pct"/>
            <w:shd w:val="clear" w:color="auto" w:fill="auto"/>
            <w:tcMar>
              <w:top w:w="85" w:type="dxa"/>
              <w:left w:w="110" w:type="dxa"/>
              <w:bottom w:w="85" w:type="dxa"/>
              <w:right w:w="110" w:type="dxa"/>
            </w:tcMar>
            <w:vAlign w:val="center"/>
          </w:tcPr>
          <w:p w14:paraId="02C9D10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230D07F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市发展改革局、人民银行湛江市分行、国家金融监督管理总局湛江监管分局</w:t>
            </w:r>
          </w:p>
        </w:tc>
      </w:tr>
      <w:tr w14:paraId="1A5B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197FB9B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14</w:t>
            </w:r>
          </w:p>
        </w:tc>
        <w:tc>
          <w:tcPr>
            <w:tcW w:w="411" w:type="pct"/>
            <w:vMerge w:val="continue"/>
            <w:shd w:val="clear" w:color="auto" w:fill="auto"/>
            <w:tcMar>
              <w:top w:w="85" w:type="dxa"/>
              <w:left w:w="110" w:type="dxa"/>
              <w:bottom w:w="85" w:type="dxa"/>
              <w:right w:w="110" w:type="dxa"/>
            </w:tcMar>
            <w:vAlign w:val="center"/>
          </w:tcPr>
          <w:p w14:paraId="40DFF0D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2199805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3D0C88D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住房公积金租房提取支持</w:t>
            </w:r>
          </w:p>
        </w:tc>
        <w:tc>
          <w:tcPr>
            <w:tcW w:w="1946" w:type="pct"/>
            <w:shd w:val="clear" w:color="auto" w:fill="auto"/>
            <w:tcMar>
              <w:top w:w="85" w:type="dxa"/>
              <w:left w:w="110" w:type="dxa"/>
              <w:bottom w:w="85" w:type="dxa"/>
              <w:right w:w="110" w:type="dxa"/>
            </w:tcMar>
            <w:vAlign w:val="center"/>
          </w:tcPr>
          <w:p w14:paraId="6C87D29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因地制宜落实住房公积金租房提取政策，优化提取流程与额度，加大住房租赁消费支持。</w:t>
            </w:r>
          </w:p>
        </w:tc>
        <w:tc>
          <w:tcPr>
            <w:tcW w:w="595" w:type="pct"/>
            <w:shd w:val="clear" w:color="auto" w:fill="auto"/>
            <w:tcMar>
              <w:top w:w="85" w:type="dxa"/>
              <w:left w:w="110" w:type="dxa"/>
              <w:bottom w:w="85" w:type="dxa"/>
              <w:right w:w="110" w:type="dxa"/>
            </w:tcMar>
            <w:vAlign w:val="center"/>
          </w:tcPr>
          <w:p w14:paraId="655B234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年优化办理流程和额度管理；规划期内结合上级政策及租赁需求动态调整</w:t>
            </w:r>
          </w:p>
        </w:tc>
        <w:tc>
          <w:tcPr>
            <w:tcW w:w="412" w:type="pct"/>
            <w:shd w:val="clear" w:color="auto" w:fill="auto"/>
            <w:tcMar>
              <w:top w:w="85" w:type="dxa"/>
              <w:left w:w="110" w:type="dxa"/>
              <w:bottom w:w="85" w:type="dxa"/>
              <w:right w:w="110" w:type="dxa"/>
            </w:tcMar>
            <w:vAlign w:val="center"/>
          </w:tcPr>
          <w:p w14:paraId="3EE7551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市住房公积金管理中心</w:t>
            </w:r>
          </w:p>
        </w:tc>
        <w:tc>
          <w:tcPr>
            <w:tcW w:w="628" w:type="pct"/>
            <w:shd w:val="clear" w:color="auto" w:fill="auto"/>
            <w:tcMar>
              <w:top w:w="85" w:type="dxa"/>
              <w:left w:w="110" w:type="dxa"/>
              <w:bottom w:w="85" w:type="dxa"/>
              <w:right w:w="110" w:type="dxa"/>
            </w:tcMar>
            <w:vAlign w:val="center"/>
          </w:tcPr>
          <w:p w14:paraId="593875A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r>
      <w:tr w14:paraId="6388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DEFC05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15</w:t>
            </w:r>
          </w:p>
        </w:tc>
        <w:tc>
          <w:tcPr>
            <w:tcW w:w="411" w:type="pct"/>
            <w:vMerge w:val="continue"/>
            <w:shd w:val="clear" w:color="auto" w:fill="auto"/>
            <w:tcMar>
              <w:top w:w="85" w:type="dxa"/>
              <w:left w:w="110" w:type="dxa"/>
              <w:bottom w:w="85" w:type="dxa"/>
              <w:right w:w="110" w:type="dxa"/>
            </w:tcMar>
            <w:vAlign w:val="center"/>
          </w:tcPr>
          <w:p w14:paraId="41DF0AC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0791247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cs="仿宋_GB2312"/>
                <w:b w:val="0"/>
                <w:color w:val="auto"/>
                <w:kern w:val="0"/>
                <w:sz w:val="24"/>
                <w:szCs w:val="24"/>
                <w:lang w:val="en-US" w:eastAsia="zh-CN"/>
              </w:rPr>
              <w:t>因地制宜</w:t>
            </w:r>
            <w:r>
              <w:rPr>
                <w:rFonts w:hint="eastAsia" w:ascii="仿宋_GB2312" w:hAnsi="仿宋_GB2312" w:eastAsia="仿宋_GB2312" w:cs="仿宋_GB2312"/>
                <w:b w:val="0"/>
                <w:color w:val="auto"/>
                <w:kern w:val="0"/>
                <w:sz w:val="24"/>
                <w:szCs w:val="24"/>
                <w:lang w:eastAsia="en-US"/>
              </w:rPr>
              <w:t>发展康养旅居</w:t>
            </w:r>
            <w:r>
              <w:rPr>
                <w:rFonts w:hint="eastAsia" w:ascii="仿宋_GB2312" w:hAnsi="仿宋_GB2312" w:cs="仿宋_GB2312"/>
                <w:b w:val="0"/>
                <w:color w:val="auto"/>
                <w:kern w:val="0"/>
                <w:sz w:val="24"/>
                <w:szCs w:val="24"/>
                <w:lang w:val="en-US" w:eastAsia="zh-CN"/>
              </w:rPr>
              <w:t>住房</w:t>
            </w:r>
          </w:p>
        </w:tc>
        <w:tc>
          <w:tcPr>
            <w:tcW w:w="416" w:type="pct"/>
            <w:shd w:val="clear" w:color="auto" w:fill="auto"/>
            <w:tcMar>
              <w:top w:w="85" w:type="dxa"/>
              <w:left w:w="110" w:type="dxa"/>
              <w:bottom w:w="85" w:type="dxa"/>
              <w:right w:w="110" w:type="dxa"/>
            </w:tcMar>
            <w:vAlign w:val="center"/>
          </w:tcPr>
          <w:p w14:paraId="53F0393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cs="仿宋_GB2312"/>
                <w:b w:val="0"/>
                <w:color w:val="000000"/>
                <w:kern w:val="0"/>
                <w:sz w:val="24"/>
                <w:szCs w:val="24"/>
                <w:lang w:val="en-US" w:eastAsia="zh-CN"/>
              </w:rPr>
              <w:t>康养</w:t>
            </w:r>
            <w:r>
              <w:rPr>
                <w:rFonts w:hint="eastAsia" w:ascii="仿宋_GB2312" w:hAnsi="仿宋_GB2312" w:eastAsia="仿宋_GB2312" w:cs="仿宋_GB2312"/>
                <w:b w:val="0"/>
                <w:color w:val="000000"/>
                <w:kern w:val="0"/>
                <w:sz w:val="24"/>
                <w:szCs w:val="24"/>
                <w:lang w:eastAsia="en-US"/>
              </w:rPr>
              <w:t>旅居</w:t>
            </w:r>
            <w:r>
              <w:rPr>
                <w:rFonts w:hint="eastAsia" w:ascii="仿宋_GB2312" w:hAnsi="仿宋_GB2312" w:cs="仿宋_GB2312"/>
                <w:b w:val="0"/>
                <w:color w:val="000000"/>
                <w:kern w:val="0"/>
                <w:sz w:val="24"/>
                <w:szCs w:val="24"/>
                <w:lang w:val="en-US" w:eastAsia="zh-CN"/>
              </w:rPr>
              <w:t>住房</w:t>
            </w:r>
            <w:r>
              <w:rPr>
                <w:rFonts w:hint="eastAsia" w:ascii="仿宋_GB2312" w:hAnsi="仿宋_GB2312" w:eastAsia="仿宋_GB2312" w:cs="仿宋_GB2312"/>
                <w:b w:val="0"/>
                <w:color w:val="000000"/>
                <w:kern w:val="0"/>
                <w:sz w:val="24"/>
                <w:szCs w:val="24"/>
                <w:lang w:eastAsia="en-US"/>
              </w:rPr>
              <w:t>产品</w:t>
            </w:r>
            <w:r>
              <w:rPr>
                <w:rFonts w:hint="eastAsia" w:ascii="仿宋_GB2312" w:hAnsi="仿宋_GB2312" w:cs="仿宋_GB2312"/>
                <w:b w:val="0"/>
                <w:color w:val="000000"/>
                <w:kern w:val="0"/>
                <w:sz w:val="24"/>
                <w:szCs w:val="24"/>
                <w:lang w:val="en-US" w:eastAsia="zh-CN"/>
              </w:rPr>
              <w:t>开发</w:t>
            </w:r>
          </w:p>
        </w:tc>
        <w:tc>
          <w:tcPr>
            <w:tcW w:w="1946" w:type="pct"/>
            <w:shd w:val="clear" w:color="auto" w:fill="auto"/>
            <w:tcMar>
              <w:top w:w="85" w:type="dxa"/>
              <w:left w:w="110" w:type="dxa"/>
              <w:bottom w:w="85" w:type="dxa"/>
              <w:right w:w="110" w:type="dxa"/>
            </w:tcMar>
            <w:vAlign w:val="center"/>
          </w:tcPr>
          <w:p w14:paraId="0EAAEBF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鼓励各类市场主体设立专业住房租赁运营机构，盘活存量海景住宅资源，发展季节性租赁、分时度假及康养旅居托管运营产品；支持市场主体通过自持、收购或长期租赁闲置商办、公寓物业，依法履行审批程序后统一改造，发展市场化旅居、康养租赁业态；开发多样化高品质康养、休闲居住产品。</w:t>
            </w:r>
          </w:p>
        </w:tc>
        <w:tc>
          <w:tcPr>
            <w:tcW w:w="595" w:type="pct"/>
            <w:shd w:val="clear" w:color="auto" w:fill="auto"/>
            <w:tcMar>
              <w:top w:w="85" w:type="dxa"/>
              <w:left w:w="110" w:type="dxa"/>
              <w:bottom w:w="85" w:type="dxa"/>
              <w:right w:w="110" w:type="dxa"/>
            </w:tcMar>
            <w:vAlign w:val="center"/>
          </w:tcPr>
          <w:p w14:paraId="30B57B8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年推进存量房源盘活和旅居产品开发；</w:t>
            </w:r>
            <w:r>
              <w:rPr>
                <w:rFonts w:hint="eastAsia" w:ascii="Times New Roman" w:hAnsi="Times New Roman" w:eastAsia="仿宋_GB2312" w:cs="仿宋_GB2312"/>
                <w:b w:val="0"/>
                <w:color w:val="auto"/>
                <w:kern w:val="0"/>
                <w:sz w:val="24"/>
                <w:szCs w:val="24"/>
                <w:lang w:eastAsia="en-US"/>
              </w:rPr>
              <w:t>2029</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年总结运营成效、持续推广</w:t>
            </w:r>
          </w:p>
        </w:tc>
        <w:tc>
          <w:tcPr>
            <w:tcW w:w="412" w:type="pct"/>
            <w:shd w:val="clear" w:color="auto" w:fill="auto"/>
            <w:tcMar>
              <w:top w:w="85" w:type="dxa"/>
              <w:left w:w="110" w:type="dxa"/>
              <w:bottom w:w="85" w:type="dxa"/>
              <w:right w:w="110" w:type="dxa"/>
            </w:tcMar>
            <w:vAlign w:val="center"/>
          </w:tcPr>
          <w:p w14:paraId="3776433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104F531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市文化广电旅游体育局、市自然资源局</w:t>
            </w:r>
            <w:r>
              <w:rPr>
                <w:rFonts w:hint="eastAsia" w:ascii="仿宋_GB2312" w:hAnsi="仿宋_GB2312" w:cs="仿宋_GB2312"/>
                <w:b w:val="0"/>
                <w:color w:val="auto"/>
                <w:kern w:val="0"/>
                <w:sz w:val="24"/>
                <w:szCs w:val="24"/>
                <w:lang w:eastAsia="zh-CN"/>
              </w:rPr>
              <w:t>、</w:t>
            </w:r>
            <w:r>
              <w:rPr>
                <w:rFonts w:hint="eastAsia" w:ascii="仿宋_GB2312" w:hAnsi="仿宋_GB2312" w:cs="仿宋_GB2312"/>
                <w:b w:val="0"/>
                <w:color w:val="auto"/>
                <w:kern w:val="0"/>
                <w:sz w:val="24"/>
                <w:szCs w:val="24"/>
                <w:lang w:val="en-US" w:eastAsia="zh-CN"/>
              </w:rPr>
              <w:t>市公安局，</w:t>
            </w:r>
            <w:r>
              <w:rPr>
                <w:rFonts w:hint="eastAsia" w:ascii="仿宋_GB2312" w:hAnsi="仿宋_GB2312" w:eastAsia="仿宋_GB2312" w:cs="仿宋_GB2312"/>
                <w:b w:val="0"/>
                <w:color w:val="auto"/>
                <w:kern w:val="0"/>
                <w:sz w:val="24"/>
                <w:szCs w:val="24"/>
                <w:lang w:eastAsia="en-US"/>
              </w:rPr>
              <w:t>各县（市、区）政府（管委会）</w:t>
            </w:r>
          </w:p>
        </w:tc>
      </w:tr>
      <w:tr w14:paraId="6323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68" w:type="pct"/>
            <w:shd w:val="clear" w:color="auto" w:fill="auto"/>
            <w:tcMar>
              <w:top w:w="85" w:type="dxa"/>
              <w:left w:w="110" w:type="dxa"/>
              <w:bottom w:w="85" w:type="dxa"/>
              <w:right w:w="110" w:type="dxa"/>
            </w:tcMar>
            <w:vAlign w:val="center"/>
          </w:tcPr>
          <w:p w14:paraId="3753834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16</w:t>
            </w:r>
          </w:p>
        </w:tc>
        <w:tc>
          <w:tcPr>
            <w:tcW w:w="411" w:type="pct"/>
            <w:vMerge w:val="continue"/>
            <w:shd w:val="clear" w:color="auto" w:fill="auto"/>
            <w:tcMar>
              <w:top w:w="85" w:type="dxa"/>
              <w:left w:w="110" w:type="dxa"/>
              <w:bottom w:w="85" w:type="dxa"/>
              <w:right w:w="110" w:type="dxa"/>
            </w:tcMar>
            <w:vAlign w:val="center"/>
          </w:tcPr>
          <w:p w14:paraId="718DEFD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335B853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1E2FF14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旅居配套完善和市场推广</w:t>
            </w:r>
          </w:p>
        </w:tc>
        <w:tc>
          <w:tcPr>
            <w:tcW w:w="1946" w:type="pct"/>
            <w:shd w:val="clear" w:color="auto" w:fill="auto"/>
            <w:tcMar>
              <w:top w:w="85" w:type="dxa"/>
              <w:left w:w="110" w:type="dxa"/>
              <w:bottom w:w="85" w:type="dxa"/>
              <w:right w:w="110" w:type="dxa"/>
            </w:tcMar>
            <w:vAlign w:val="center"/>
          </w:tcPr>
          <w:p w14:paraId="4E95603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完善旅游公路、慢行步道、通信网络等基础设施，优化购物商超、医疗康养、文体休闲等公共服务设施布局；加强特色地产项目宣传和品牌打造，依托旅游旺季常态化举办促销活动，赴省内外精准推介优质房源；构建完善“网上购房超市”平台，促进线上线下联动和供需对接。</w:t>
            </w:r>
          </w:p>
        </w:tc>
        <w:tc>
          <w:tcPr>
            <w:tcW w:w="595" w:type="pct"/>
            <w:shd w:val="clear" w:color="auto" w:fill="auto"/>
            <w:tcMar>
              <w:top w:w="85" w:type="dxa"/>
              <w:left w:w="110" w:type="dxa"/>
              <w:bottom w:w="85" w:type="dxa"/>
              <w:right w:w="110" w:type="dxa"/>
            </w:tcMar>
            <w:vAlign w:val="center"/>
          </w:tcPr>
          <w:p w14:paraId="003FA0E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基础设施和公共服务设施项目按年度计划推进；</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年底前推进“网上购房超市”平台完善；宣传推介活动规划期内常态化开展</w:t>
            </w:r>
          </w:p>
        </w:tc>
        <w:tc>
          <w:tcPr>
            <w:tcW w:w="412" w:type="pct"/>
            <w:shd w:val="clear" w:color="auto" w:fill="auto"/>
            <w:tcMar>
              <w:top w:w="85" w:type="dxa"/>
              <w:left w:w="110" w:type="dxa"/>
              <w:bottom w:w="85" w:type="dxa"/>
              <w:right w:w="110" w:type="dxa"/>
            </w:tcMar>
            <w:vAlign w:val="center"/>
          </w:tcPr>
          <w:p w14:paraId="6CAB92F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市文化广电旅游体育局</w:t>
            </w:r>
          </w:p>
        </w:tc>
        <w:tc>
          <w:tcPr>
            <w:tcW w:w="628" w:type="pct"/>
            <w:shd w:val="clear" w:color="auto" w:fill="auto"/>
            <w:tcMar>
              <w:top w:w="85" w:type="dxa"/>
              <w:left w:w="110" w:type="dxa"/>
              <w:bottom w:w="85" w:type="dxa"/>
              <w:right w:w="110" w:type="dxa"/>
            </w:tcMar>
            <w:vAlign w:val="center"/>
          </w:tcPr>
          <w:p w14:paraId="67BE426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市住房城乡建设局、市交通运输局、市工业和信息化局、市卫生健康局，各县（市、区）政府（管委会）</w:t>
            </w:r>
          </w:p>
        </w:tc>
      </w:tr>
      <w:tr w14:paraId="488F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B12BB2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17</w:t>
            </w:r>
          </w:p>
        </w:tc>
        <w:tc>
          <w:tcPr>
            <w:tcW w:w="411" w:type="pct"/>
            <w:vMerge w:val="restart"/>
            <w:shd w:val="clear" w:color="auto" w:fill="auto"/>
            <w:tcMar>
              <w:top w:w="85" w:type="dxa"/>
              <w:left w:w="110" w:type="dxa"/>
              <w:bottom w:w="85" w:type="dxa"/>
              <w:right w:w="110" w:type="dxa"/>
            </w:tcMar>
            <w:vAlign w:val="center"/>
          </w:tcPr>
          <w:p w14:paraId="665F77F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（二）强化住房品质，服务“四好”建设</w:t>
            </w:r>
          </w:p>
        </w:tc>
        <w:tc>
          <w:tcPr>
            <w:tcW w:w="421" w:type="pct"/>
            <w:vMerge w:val="restart"/>
            <w:shd w:val="clear" w:color="auto" w:fill="auto"/>
            <w:tcMar>
              <w:top w:w="85" w:type="dxa"/>
              <w:left w:w="110" w:type="dxa"/>
              <w:bottom w:w="85" w:type="dxa"/>
              <w:right w:w="110" w:type="dxa"/>
            </w:tcMar>
            <w:vAlign w:val="center"/>
          </w:tcPr>
          <w:p w14:paraId="71E0D11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加快完善“好房子”建设体系</w:t>
            </w:r>
          </w:p>
        </w:tc>
        <w:tc>
          <w:tcPr>
            <w:tcW w:w="416" w:type="pct"/>
            <w:shd w:val="clear" w:color="auto" w:fill="auto"/>
            <w:tcMar>
              <w:top w:w="85" w:type="dxa"/>
              <w:left w:w="110" w:type="dxa"/>
              <w:bottom w:w="85" w:type="dxa"/>
              <w:right w:w="110" w:type="dxa"/>
            </w:tcMar>
            <w:vAlign w:val="center"/>
          </w:tcPr>
          <w:p w14:paraId="6FAEEA0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高品质住宅配套政策和建设要求</w:t>
            </w:r>
          </w:p>
        </w:tc>
        <w:tc>
          <w:tcPr>
            <w:tcW w:w="1946" w:type="pct"/>
            <w:shd w:val="clear" w:color="auto" w:fill="auto"/>
            <w:tcMar>
              <w:top w:w="85" w:type="dxa"/>
              <w:left w:w="110" w:type="dxa"/>
              <w:bottom w:w="85" w:type="dxa"/>
              <w:right w:w="110" w:type="dxa"/>
            </w:tcMar>
            <w:vAlign w:val="center"/>
          </w:tcPr>
          <w:p w14:paraId="2115FB1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围绕规划设计、施工建造、查验交付、物业运维等全流程，持续健全“好房子”建设配套政策；推行土地带方案出让等供应新模式，将“好房子”建设要求纳入土地出让条件；落实容积率减计优惠、绿色建筑激励等支持政策，加大金融支持力度，优化规划报建验收手续；厘清绿色建筑、智能建造、无障碍设计等交叉领域技术规范边界，明确各环节责任主体。</w:t>
            </w:r>
          </w:p>
        </w:tc>
        <w:tc>
          <w:tcPr>
            <w:tcW w:w="595" w:type="pct"/>
            <w:shd w:val="clear" w:color="auto" w:fill="auto"/>
            <w:tcMar>
              <w:top w:w="85" w:type="dxa"/>
              <w:left w:w="110" w:type="dxa"/>
              <w:bottom w:w="85" w:type="dxa"/>
              <w:right w:w="110" w:type="dxa"/>
            </w:tcMar>
            <w:vAlign w:val="center"/>
          </w:tcPr>
          <w:p w14:paraId="074FB85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年开展政策和技术研究；</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年底前形成高品质住宅配套政策；</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年结合项目实施持续完善</w:t>
            </w:r>
          </w:p>
        </w:tc>
        <w:tc>
          <w:tcPr>
            <w:tcW w:w="412" w:type="pct"/>
            <w:shd w:val="clear" w:color="auto" w:fill="auto"/>
            <w:tcMar>
              <w:top w:w="85" w:type="dxa"/>
              <w:left w:w="110" w:type="dxa"/>
              <w:bottom w:w="85" w:type="dxa"/>
              <w:right w:w="110" w:type="dxa"/>
            </w:tcMar>
            <w:vAlign w:val="center"/>
          </w:tcPr>
          <w:p w14:paraId="4D5A1EA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0056169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市自然资源局、市市场监管局，各县（市、区）政府（管委会）</w:t>
            </w:r>
          </w:p>
        </w:tc>
      </w:tr>
      <w:tr w14:paraId="0FF2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038F4E0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18</w:t>
            </w:r>
          </w:p>
        </w:tc>
        <w:tc>
          <w:tcPr>
            <w:tcW w:w="411" w:type="pct"/>
            <w:vMerge w:val="continue"/>
            <w:shd w:val="clear" w:color="auto" w:fill="auto"/>
            <w:tcMar>
              <w:top w:w="85" w:type="dxa"/>
              <w:left w:w="110" w:type="dxa"/>
              <w:bottom w:w="85" w:type="dxa"/>
              <w:right w:w="110" w:type="dxa"/>
            </w:tcMar>
            <w:vAlign w:val="center"/>
          </w:tcPr>
          <w:p w14:paraId="5BE012D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06C9061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3AE099C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“好房子”示范项目和技术应用</w:t>
            </w:r>
          </w:p>
        </w:tc>
        <w:tc>
          <w:tcPr>
            <w:tcW w:w="1946" w:type="pct"/>
            <w:shd w:val="clear" w:color="auto" w:fill="auto"/>
            <w:tcMar>
              <w:top w:w="85" w:type="dxa"/>
              <w:left w:w="110" w:type="dxa"/>
              <w:bottom w:w="85" w:type="dxa"/>
              <w:right w:w="110" w:type="dxa"/>
            </w:tcMar>
            <w:vAlign w:val="center"/>
          </w:tcPr>
          <w:p w14:paraId="2B6D033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遴选一批“好房子”示范项目，开展项目申报遴选、技术指导、过程监管、交付评估和成果总结，形成可复制、可推广的建设模式；在中心城区新建商品住房项目中开展智慧住宅技术应用示范，探索</w:t>
            </w:r>
            <w:r>
              <w:rPr>
                <w:rFonts w:hint="default" w:ascii="Times New Roman" w:hAnsi="Times New Roman" w:eastAsia="仿宋_GB2312" w:cs="Times New Roman"/>
                <w:b w:val="0"/>
                <w:color w:val="auto"/>
                <w:kern w:val="0"/>
                <w:sz w:val="24"/>
                <w:szCs w:val="24"/>
                <w:lang w:eastAsia="en-US"/>
              </w:rPr>
              <w:t>AI辅助方案比选、建筑性能模拟和施工质量检查，推进BIM技术</w:t>
            </w:r>
            <w:r>
              <w:rPr>
                <w:rFonts w:hint="eastAsia" w:ascii="仿宋_GB2312" w:hAnsi="仿宋_GB2312" w:eastAsia="仿宋_GB2312" w:cs="仿宋_GB2312"/>
                <w:b w:val="0"/>
                <w:color w:val="auto"/>
                <w:kern w:val="0"/>
                <w:sz w:val="24"/>
                <w:szCs w:val="24"/>
                <w:lang w:eastAsia="en-US"/>
              </w:rPr>
              <w:t>在设计、施工、交付和运维环节应用，并开展应用效果和全生命周期成本评估；支持既有住房装修、局部功能升级、装配式装修以及适老化、无障碍改造，开展数字家庭建设。</w:t>
            </w:r>
          </w:p>
        </w:tc>
        <w:tc>
          <w:tcPr>
            <w:tcW w:w="595" w:type="pct"/>
            <w:shd w:val="clear" w:color="auto" w:fill="auto"/>
            <w:tcMar>
              <w:top w:w="85" w:type="dxa"/>
              <w:left w:w="110" w:type="dxa"/>
              <w:bottom w:w="85" w:type="dxa"/>
              <w:right w:w="110" w:type="dxa"/>
            </w:tcMar>
            <w:vAlign w:val="center"/>
          </w:tcPr>
          <w:p w14:paraId="4046D66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年启动示范项目遴选和技术应用；</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年滚动建设、评估并推广成熟做法</w:t>
            </w:r>
          </w:p>
        </w:tc>
        <w:tc>
          <w:tcPr>
            <w:tcW w:w="412" w:type="pct"/>
            <w:shd w:val="clear" w:color="auto" w:fill="auto"/>
            <w:tcMar>
              <w:top w:w="85" w:type="dxa"/>
              <w:left w:w="110" w:type="dxa"/>
              <w:bottom w:w="85" w:type="dxa"/>
              <w:right w:w="110" w:type="dxa"/>
            </w:tcMar>
            <w:vAlign w:val="center"/>
          </w:tcPr>
          <w:p w14:paraId="5045C2B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48C1A3C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市自然资源局、市科技局、市民政局，各县（市、区）政府（管委会）</w:t>
            </w:r>
          </w:p>
        </w:tc>
      </w:tr>
      <w:tr w14:paraId="0446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0044757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19</w:t>
            </w:r>
          </w:p>
        </w:tc>
        <w:tc>
          <w:tcPr>
            <w:tcW w:w="411" w:type="pct"/>
            <w:vMerge w:val="continue"/>
            <w:shd w:val="clear" w:color="auto" w:fill="auto"/>
            <w:tcMar>
              <w:top w:w="85" w:type="dxa"/>
              <w:left w:w="110" w:type="dxa"/>
              <w:bottom w:w="85" w:type="dxa"/>
              <w:right w:w="110" w:type="dxa"/>
            </w:tcMar>
            <w:vAlign w:val="center"/>
          </w:tcPr>
          <w:p w14:paraId="1DCB2CD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4295745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不断提升物业管理服务水平</w:t>
            </w:r>
          </w:p>
        </w:tc>
        <w:tc>
          <w:tcPr>
            <w:tcW w:w="416" w:type="pct"/>
            <w:shd w:val="clear" w:color="auto" w:fill="auto"/>
            <w:tcMar>
              <w:top w:w="85" w:type="dxa"/>
              <w:left w:w="110" w:type="dxa"/>
              <w:bottom w:w="85" w:type="dxa"/>
              <w:right w:w="110" w:type="dxa"/>
            </w:tcMar>
            <w:vAlign w:val="center"/>
          </w:tcPr>
          <w:p w14:paraId="7A002B7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物业协同治理和行业监管</w:t>
            </w:r>
          </w:p>
        </w:tc>
        <w:tc>
          <w:tcPr>
            <w:tcW w:w="1946" w:type="pct"/>
            <w:shd w:val="clear" w:color="auto" w:fill="auto"/>
            <w:tcMar>
              <w:top w:w="85" w:type="dxa"/>
              <w:left w:w="110" w:type="dxa"/>
              <w:bottom w:w="85" w:type="dxa"/>
              <w:right w:w="110" w:type="dxa"/>
            </w:tcMar>
            <w:vAlign w:val="center"/>
          </w:tcPr>
          <w:p w14:paraId="6CE08AC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贯彻实施《湛江市物业管理条例》，健全基层党组织领导下居民委员会、业主委员会、物业服务人等多方主体协调运行机制，推动物业服务融入“两社三中心”建设；规范物业服务合同履行、收费公示、退出交接、业主共有资金和住宅专项维修资金管理；完善常态化议事协商、联合处置和问题督办流程，建立“红黑榜”和住宅小区最小纠纷调处单元工作机制。</w:t>
            </w:r>
          </w:p>
        </w:tc>
        <w:tc>
          <w:tcPr>
            <w:tcW w:w="595" w:type="pct"/>
            <w:shd w:val="clear" w:color="auto" w:fill="auto"/>
            <w:tcMar>
              <w:top w:w="85" w:type="dxa"/>
              <w:left w:w="110" w:type="dxa"/>
              <w:bottom w:w="85" w:type="dxa"/>
              <w:right w:w="110" w:type="dxa"/>
            </w:tcMar>
            <w:vAlign w:val="center"/>
          </w:tcPr>
          <w:p w14:paraId="51769B4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年完善协同治理、行业监管和纠纷调处工作流程；</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年开展阶段评估；规划期内持续实施</w:t>
            </w:r>
          </w:p>
        </w:tc>
        <w:tc>
          <w:tcPr>
            <w:tcW w:w="412" w:type="pct"/>
            <w:shd w:val="clear" w:color="auto" w:fill="auto"/>
            <w:tcMar>
              <w:top w:w="85" w:type="dxa"/>
              <w:left w:w="110" w:type="dxa"/>
              <w:bottom w:w="85" w:type="dxa"/>
              <w:right w:w="110" w:type="dxa"/>
            </w:tcMar>
            <w:vAlign w:val="center"/>
          </w:tcPr>
          <w:p w14:paraId="4942F5D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2FA99C8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市委社会工作部、市民政局、市市场监管局，各县（市、区）政府（管委会）</w:t>
            </w:r>
          </w:p>
        </w:tc>
      </w:tr>
      <w:tr w14:paraId="340C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697DAAB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20</w:t>
            </w:r>
          </w:p>
        </w:tc>
        <w:tc>
          <w:tcPr>
            <w:tcW w:w="411" w:type="pct"/>
            <w:vMerge w:val="continue"/>
            <w:shd w:val="clear" w:color="auto" w:fill="auto"/>
            <w:tcMar>
              <w:top w:w="85" w:type="dxa"/>
              <w:left w:w="110" w:type="dxa"/>
              <w:bottom w:w="85" w:type="dxa"/>
              <w:right w:w="110" w:type="dxa"/>
            </w:tcMar>
            <w:vAlign w:val="center"/>
          </w:tcPr>
          <w:p w14:paraId="5C78684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2805A5B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0E4C5A4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物业服务扩面提质</w:t>
            </w:r>
          </w:p>
        </w:tc>
        <w:tc>
          <w:tcPr>
            <w:tcW w:w="1946" w:type="pct"/>
            <w:shd w:val="clear" w:color="auto" w:fill="auto"/>
            <w:tcMar>
              <w:top w:w="85" w:type="dxa"/>
              <w:left w:w="110" w:type="dxa"/>
              <w:bottom w:w="85" w:type="dxa"/>
              <w:right w:w="110" w:type="dxa"/>
            </w:tcMar>
            <w:vAlign w:val="center"/>
          </w:tcPr>
          <w:p w14:paraId="474513F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鼓励引入专业化物业服务，探索“物业服务+生活服务”模式，有序拓展养老、托幼、家政、文化、健康等生活服务；对暂时无法引入专业物业服务的社区，引导采取社区托管、社会组织代管或居民自管等方式；在赤坎、霞山等地开展特色服务试点；完善全市智慧物业平台信用监管、共有资金和维修资金监管、业主议事、投诉报修、评价反馈等功能，扩大平台应用覆盖。</w:t>
            </w:r>
          </w:p>
        </w:tc>
        <w:tc>
          <w:tcPr>
            <w:tcW w:w="595" w:type="pct"/>
            <w:shd w:val="clear" w:color="auto" w:fill="auto"/>
            <w:tcMar>
              <w:top w:w="85" w:type="dxa"/>
              <w:left w:w="110" w:type="dxa"/>
              <w:bottom w:w="85" w:type="dxa"/>
              <w:right w:w="110" w:type="dxa"/>
            </w:tcMar>
            <w:vAlign w:val="center"/>
          </w:tcPr>
          <w:p w14:paraId="16F3AD8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年完善平台功能、扩大基础应用；</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年开展应用评估；</w:t>
            </w:r>
            <w:r>
              <w:rPr>
                <w:rFonts w:hint="eastAsia" w:ascii="Times New Roman" w:hAnsi="Times New Roman" w:eastAsia="仿宋_GB2312" w:cs="仿宋_GB2312"/>
                <w:b w:val="0"/>
                <w:color w:val="auto"/>
                <w:kern w:val="0"/>
                <w:sz w:val="24"/>
                <w:szCs w:val="24"/>
                <w:lang w:eastAsia="en-US"/>
              </w:rPr>
              <w:t>2029</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年持续提质扩面</w:t>
            </w:r>
          </w:p>
        </w:tc>
        <w:tc>
          <w:tcPr>
            <w:tcW w:w="412" w:type="pct"/>
            <w:shd w:val="clear" w:color="auto" w:fill="auto"/>
            <w:tcMar>
              <w:top w:w="85" w:type="dxa"/>
              <w:left w:w="110" w:type="dxa"/>
              <w:bottom w:w="85" w:type="dxa"/>
              <w:right w:w="110" w:type="dxa"/>
            </w:tcMar>
            <w:vAlign w:val="center"/>
          </w:tcPr>
          <w:p w14:paraId="2F59275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43B4577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市委社会工作部、市民政局、市卫生健康局，各县（市、区）政府（管委会）</w:t>
            </w:r>
          </w:p>
        </w:tc>
      </w:tr>
      <w:tr w14:paraId="7D01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0AE7E15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21</w:t>
            </w:r>
          </w:p>
        </w:tc>
        <w:tc>
          <w:tcPr>
            <w:tcW w:w="411" w:type="pct"/>
            <w:vMerge w:val="continue"/>
            <w:shd w:val="clear" w:color="auto" w:fill="auto"/>
            <w:tcMar>
              <w:top w:w="85" w:type="dxa"/>
              <w:left w:w="110" w:type="dxa"/>
              <w:bottom w:w="85" w:type="dxa"/>
              <w:right w:w="110" w:type="dxa"/>
            </w:tcMar>
            <w:vAlign w:val="center"/>
          </w:tcPr>
          <w:p w14:paraId="23F909C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75835BB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持续深化房屋安全管理工作</w:t>
            </w:r>
          </w:p>
        </w:tc>
        <w:tc>
          <w:tcPr>
            <w:tcW w:w="416" w:type="pct"/>
            <w:shd w:val="clear" w:color="auto" w:fill="auto"/>
            <w:tcMar>
              <w:top w:w="85" w:type="dxa"/>
              <w:left w:w="110" w:type="dxa"/>
              <w:bottom w:w="85" w:type="dxa"/>
              <w:right w:w="110" w:type="dxa"/>
            </w:tcMar>
            <w:vAlign w:val="center"/>
          </w:tcPr>
          <w:p w14:paraId="378472E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房屋体检、风险台账和安全管理平台</w:t>
            </w:r>
          </w:p>
        </w:tc>
        <w:tc>
          <w:tcPr>
            <w:tcW w:w="1946" w:type="pct"/>
            <w:shd w:val="clear" w:color="auto" w:fill="auto"/>
            <w:tcMar>
              <w:top w:w="85" w:type="dxa"/>
              <w:left w:w="110" w:type="dxa"/>
              <w:bottom w:w="85" w:type="dxa"/>
              <w:right w:w="110" w:type="dxa"/>
            </w:tcMar>
            <w:vAlign w:val="center"/>
          </w:tcPr>
          <w:p w14:paraId="6EBD6FD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研究“日常巡查+定期体检+专项体检”工作机制，建立房屋安全风险台账；整合房屋基础数据、巡查体检和隐患处置信息，完善城市房屋建筑安全管理平台。</w:t>
            </w:r>
          </w:p>
        </w:tc>
        <w:tc>
          <w:tcPr>
            <w:tcW w:w="595" w:type="pct"/>
            <w:shd w:val="clear" w:color="auto" w:fill="auto"/>
            <w:tcMar>
              <w:top w:w="85" w:type="dxa"/>
              <w:left w:w="110" w:type="dxa"/>
              <w:bottom w:w="85" w:type="dxa"/>
              <w:right w:w="110" w:type="dxa"/>
            </w:tcMar>
            <w:vAlign w:val="center"/>
          </w:tcPr>
          <w:p w14:paraId="31EAB0D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年底前形成体检工作机制和基础台账；</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年完善平台基础功能；</w:t>
            </w:r>
            <w:r>
              <w:rPr>
                <w:rFonts w:hint="eastAsia" w:ascii="Times New Roman" w:hAnsi="Times New Roman" w:eastAsia="仿宋_GB2312" w:cs="仿宋_GB2312"/>
                <w:b w:val="0"/>
                <w:color w:val="auto"/>
                <w:kern w:val="0"/>
                <w:sz w:val="24"/>
                <w:szCs w:val="24"/>
                <w:lang w:eastAsia="en-US"/>
              </w:rPr>
              <w:t>2029</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年持续扩大应用</w:t>
            </w:r>
          </w:p>
        </w:tc>
        <w:tc>
          <w:tcPr>
            <w:tcW w:w="412" w:type="pct"/>
            <w:shd w:val="clear" w:color="auto" w:fill="auto"/>
            <w:tcMar>
              <w:top w:w="85" w:type="dxa"/>
              <w:left w:w="110" w:type="dxa"/>
              <w:bottom w:w="85" w:type="dxa"/>
              <w:right w:w="110" w:type="dxa"/>
            </w:tcMar>
            <w:vAlign w:val="center"/>
          </w:tcPr>
          <w:p w14:paraId="1B671A9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4F293E5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市政务服务和数据管理局，各县（市、区）政府（管委会）</w:t>
            </w:r>
          </w:p>
        </w:tc>
      </w:tr>
      <w:tr w14:paraId="6515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59C36F4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22</w:t>
            </w:r>
          </w:p>
        </w:tc>
        <w:tc>
          <w:tcPr>
            <w:tcW w:w="411" w:type="pct"/>
            <w:vMerge w:val="continue"/>
            <w:shd w:val="clear" w:color="auto" w:fill="auto"/>
            <w:tcMar>
              <w:top w:w="85" w:type="dxa"/>
              <w:left w:w="110" w:type="dxa"/>
              <w:bottom w:w="85" w:type="dxa"/>
              <w:right w:w="110" w:type="dxa"/>
            </w:tcMar>
            <w:vAlign w:val="center"/>
          </w:tcPr>
          <w:p w14:paraId="0B94881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51CD980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5AAE0DF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房屋安全管理资金和质量安全保险试点</w:t>
            </w:r>
          </w:p>
        </w:tc>
        <w:tc>
          <w:tcPr>
            <w:tcW w:w="1946" w:type="pct"/>
            <w:shd w:val="clear" w:color="auto" w:fill="auto"/>
            <w:tcMar>
              <w:top w:w="85" w:type="dxa"/>
              <w:left w:w="110" w:type="dxa"/>
              <w:bottom w:w="85" w:type="dxa"/>
              <w:right w:w="110" w:type="dxa"/>
            </w:tcMar>
            <w:vAlign w:val="center"/>
          </w:tcPr>
          <w:p w14:paraId="49F7CB8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落实住宅专项维修资金管理制度，研究房屋安全管理资金的筹集、使用和监督机制；按照政府引导、市场运作、自愿投保原则，研究房屋质量安全保险的保障范围、风险减量服务和第三方技术服务机制，在具备条件的范</w:t>
            </w:r>
            <w:r>
              <w:rPr>
                <w:rFonts w:hint="eastAsia" w:ascii="仿宋_GB2312" w:hAnsi="仿宋_GB2312" w:cs="仿宋_GB2312"/>
                <w:b w:val="0"/>
                <w:color w:val="auto"/>
                <w:kern w:val="0"/>
                <w:sz w:val="24"/>
                <w:szCs w:val="24"/>
                <w:lang w:eastAsia="zh-CN"/>
              </w:rPr>
              <w:t>围内</w:t>
            </w:r>
            <w:r>
              <w:rPr>
                <w:rFonts w:hint="eastAsia" w:ascii="仿宋_GB2312" w:hAnsi="仿宋_GB2312" w:eastAsia="仿宋_GB2312" w:cs="仿宋_GB2312"/>
                <w:b w:val="0"/>
                <w:color w:val="auto"/>
                <w:kern w:val="0"/>
                <w:sz w:val="24"/>
                <w:szCs w:val="24"/>
                <w:lang w:eastAsia="en-US"/>
              </w:rPr>
              <w:t>开展试点。</w:t>
            </w:r>
          </w:p>
        </w:tc>
        <w:tc>
          <w:tcPr>
            <w:tcW w:w="595" w:type="pct"/>
            <w:shd w:val="clear" w:color="auto" w:fill="auto"/>
            <w:tcMar>
              <w:top w:w="85" w:type="dxa"/>
              <w:left w:w="110" w:type="dxa"/>
              <w:bottom w:w="85" w:type="dxa"/>
              <w:right w:w="110" w:type="dxa"/>
            </w:tcMar>
            <w:vAlign w:val="center"/>
          </w:tcPr>
          <w:p w14:paraId="2C6DB2F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年底前完成机制研究；</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2029</w:t>
            </w:r>
            <w:r>
              <w:rPr>
                <w:rFonts w:hint="eastAsia" w:ascii="仿宋_GB2312" w:hAnsi="仿宋_GB2312" w:eastAsia="仿宋_GB2312" w:cs="仿宋_GB2312"/>
                <w:b w:val="0"/>
                <w:color w:val="auto"/>
                <w:kern w:val="0"/>
                <w:sz w:val="24"/>
                <w:szCs w:val="24"/>
                <w:lang w:eastAsia="en-US"/>
              </w:rPr>
              <w:t>年在具备条件的范</w:t>
            </w:r>
            <w:r>
              <w:rPr>
                <w:rFonts w:hint="eastAsia" w:ascii="仿宋_GB2312" w:hAnsi="仿宋_GB2312" w:cs="仿宋_GB2312"/>
                <w:b w:val="0"/>
                <w:color w:val="auto"/>
                <w:kern w:val="0"/>
                <w:sz w:val="24"/>
                <w:szCs w:val="24"/>
                <w:lang w:eastAsia="zh-CN"/>
              </w:rPr>
              <w:t>围内</w:t>
            </w:r>
            <w:r>
              <w:rPr>
                <w:rFonts w:hint="eastAsia" w:ascii="仿宋_GB2312" w:hAnsi="仿宋_GB2312" w:eastAsia="仿宋_GB2312" w:cs="仿宋_GB2312"/>
                <w:b w:val="0"/>
                <w:color w:val="auto"/>
                <w:kern w:val="0"/>
                <w:sz w:val="24"/>
                <w:szCs w:val="24"/>
                <w:lang w:eastAsia="en-US"/>
              </w:rPr>
              <w:t>开展试点；</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年总结评估</w:t>
            </w:r>
          </w:p>
        </w:tc>
        <w:tc>
          <w:tcPr>
            <w:tcW w:w="412" w:type="pct"/>
            <w:shd w:val="clear" w:color="auto" w:fill="auto"/>
            <w:tcMar>
              <w:top w:w="85" w:type="dxa"/>
              <w:left w:w="110" w:type="dxa"/>
              <w:bottom w:w="85" w:type="dxa"/>
              <w:right w:w="110" w:type="dxa"/>
            </w:tcMar>
            <w:vAlign w:val="center"/>
          </w:tcPr>
          <w:p w14:paraId="0192671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69A986C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国家金融监督管理总局湛江监管分局，各县（市、区）政府（管委会）</w:t>
            </w:r>
          </w:p>
        </w:tc>
      </w:tr>
      <w:tr w14:paraId="5FE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6CFF4ED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23</w:t>
            </w:r>
          </w:p>
        </w:tc>
        <w:tc>
          <w:tcPr>
            <w:tcW w:w="411" w:type="pct"/>
            <w:vMerge w:val="continue"/>
            <w:shd w:val="clear" w:color="auto" w:fill="auto"/>
            <w:tcMar>
              <w:top w:w="85" w:type="dxa"/>
              <w:left w:w="110" w:type="dxa"/>
              <w:bottom w:w="85" w:type="dxa"/>
              <w:right w:w="110" w:type="dxa"/>
            </w:tcMar>
            <w:vAlign w:val="center"/>
          </w:tcPr>
          <w:p w14:paraId="5F32923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5D00C19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全面提升居住配套水平</w:t>
            </w:r>
          </w:p>
        </w:tc>
        <w:tc>
          <w:tcPr>
            <w:tcW w:w="416" w:type="pct"/>
            <w:shd w:val="clear" w:color="auto" w:fill="auto"/>
            <w:tcMar>
              <w:top w:w="85" w:type="dxa"/>
              <w:left w:w="110" w:type="dxa"/>
              <w:bottom w:w="85" w:type="dxa"/>
              <w:right w:w="110" w:type="dxa"/>
            </w:tcMar>
            <w:vAlign w:val="center"/>
          </w:tcPr>
          <w:p w14:paraId="3F7E5DC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新建居住区配套建设和巡查整改</w:t>
            </w:r>
          </w:p>
        </w:tc>
        <w:tc>
          <w:tcPr>
            <w:tcW w:w="1946" w:type="pct"/>
            <w:shd w:val="clear" w:color="auto" w:fill="auto"/>
            <w:tcMar>
              <w:top w:w="85" w:type="dxa"/>
              <w:left w:w="110" w:type="dxa"/>
              <w:bottom w:w="85" w:type="dxa"/>
              <w:right w:w="110" w:type="dxa"/>
            </w:tcMar>
            <w:vAlign w:val="center"/>
          </w:tcPr>
          <w:p w14:paraId="736BEF3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严格执行新建居住区配套公共服务设施与主体工程同步规划、设计、建设、验收、交付使用制度；加强在建在售项目配套情况巡查，对公建配套、市政设施滞后、缺失、不达标等问题督促限期整改、补齐短板。</w:t>
            </w:r>
          </w:p>
        </w:tc>
        <w:tc>
          <w:tcPr>
            <w:tcW w:w="595" w:type="pct"/>
            <w:shd w:val="clear" w:color="auto" w:fill="auto"/>
            <w:tcMar>
              <w:top w:w="85" w:type="dxa"/>
              <w:left w:w="110" w:type="dxa"/>
              <w:bottom w:w="85" w:type="dxa"/>
              <w:right w:w="110" w:type="dxa"/>
            </w:tcMar>
            <w:vAlign w:val="center"/>
          </w:tcPr>
          <w:p w14:paraId="72BA29E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同步建设要求和项目巡查整改工作</w:t>
            </w: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年持续实施</w:t>
            </w:r>
          </w:p>
        </w:tc>
        <w:tc>
          <w:tcPr>
            <w:tcW w:w="412" w:type="pct"/>
            <w:shd w:val="clear" w:color="auto" w:fill="auto"/>
            <w:tcMar>
              <w:top w:w="85" w:type="dxa"/>
              <w:left w:w="110" w:type="dxa"/>
              <w:bottom w:w="85" w:type="dxa"/>
              <w:right w:w="110" w:type="dxa"/>
            </w:tcMar>
            <w:vAlign w:val="center"/>
          </w:tcPr>
          <w:p w14:paraId="2EDD7B7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4127231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市自然资源局、市教育局、市卫生健康局、市水务局、广东电网湛江供电局，各县（市、区）政府（管委会）</w:t>
            </w:r>
          </w:p>
        </w:tc>
      </w:tr>
      <w:tr w14:paraId="3552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7C7FD8E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24</w:t>
            </w:r>
          </w:p>
        </w:tc>
        <w:tc>
          <w:tcPr>
            <w:tcW w:w="411" w:type="pct"/>
            <w:vMerge w:val="continue"/>
            <w:shd w:val="clear" w:color="auto" w:fill="auto"/>
            <w:tcMar>
              <w:top w:w="85" w:type="dxa"/>
              <w:left w:w="110" w:type="dxa"/>
              <w:bottom w:w="85" w:type="dxa"/>
              <w:right w:w="110" w:type="dxa"/>
            </w:tcMar>
            <w:vAlign w:val="center"/>
          </w:tcPr>
          <w:p w14:paraId="7280724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0D8952A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757B603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未来社区（完整社区）建设</w:t>
            </w:r>
          </w:p>
        </w:tc>
        <w:tc>
          <w:tcPr>
            <w:tcW w:w="1946" w:type="pct"/>
            <w:shd w:val="clear" w:color="auto" w:fill="auto"/>
            <w:tcMar>
              <w:top w:w="85" w:type="dxa"/>
              <w:left w:w="110" w:type="dxa"/>
              <w:bottom w:w="85" w:type="dxa"/>
              <w:right w:w="110" w:type="dxa"/>
            </w:tcMar>
            <w:vAlign w:val="center"/>
          </w:tcPr>
          <w:p w14:paraId="64E0CEC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盘活存量闲置房屋和低效用地，完善社区基本公共服务设施和便民商业服务设施，增补提升公共活动场地和公共绿地，推进公共场所适老化、无障碍改造和儿童友好空间建设；统筹推进未来社区试点和完整社区建设，明确建设项目、运营主体和后续管护责任，引导社会力量参与建设运营。</w:t>
            </w:r>
          </w:p>
        </w:tc>
        <w:tc>
          <w:tcPr>
            <w:tcW w:w="595" w:type="pct"/>
            <w:shd w:val="clear" w:color="auto" w:fill="auto"/>
            <w:tcMar>
              <w:top w:w="85" w:type="dxa"/>
              <w:left w:w="110" w:type="dxa"/>
              <w:bottom w:w="85" w:type="dxa"/>
              <w:right w:w="110" w:type="dxa"/>
            </w:tcMar>
            <w:vAlign w:val="center"/>
          </w:tcPr>
          <w:p w14:paraId="11C16EB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年推进试点项目谋划和建设；</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年分批扩面提质、发挥示范带动作用</w:t>
            </w:r>
          </w:p>
        </w:tc>
        <w:tc>
          <w:tcPr>
            <w:tcW w:w="412" w:type="pct"/>
            <w:shd w:val="clear" w:color="auto" w:fill="auto"/>
            <w:tcMar>
              <w:top w:w="85" w:type="dxa"/>
              <w:left w:w="110" w:type="dxa"/>
              <w:bottom w:w="85" w:type="dxa"/>
              <w:right w:w="110" w:type="dxa"/>
            </w:tcMar>
            <w:vAlign w:val="center"/>
          </w:tcPr>
          <w:p w14:paraId="7902331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3B28018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市发展改革局、市民政局、市教育局、市卫生健康局、市商务局、市文化广电旅游体育局、市自然资源局</w:t>
            </w:r>
            <w:r>
              <w:rPr>
                <w:rFonts w:hint="eastAsia" w:ascii="仿宋_GB2312" w:hAnsi="仿宋_GB2312" w:cs="仿宋_GB2312"/>
                <w:b w:val="0"/>
                <w:color w:val="auto"/>
                <w:kern w:val="0"/>
                <w:sz w:val="24"/>
                <w:szCs w:val="24"/>
                <w:lang w:eastAsia="zh-CN"/>
              </w:rPr>
              <w:t>、</w:t>
            </w:r>
            <w:r>
              <w:rPr>
                <w:rFonts w:hint="eastAsia" w:ascii="仿宋_GB2312" w:hAnsi="仿宋_GB2312" w:cs="仿宋_GB2312"/>
                <w:b w:val="0"/>
                <w:color w:val="auto"/>
                <w:kern w:val="0"/>
                <w:sz w:val="24"/>
                <w:szCs w:val="24"/>
                <w:lang w:val="en-US" w:eastAsia="zh-CN"/>
              </w:rPr>
              <w:t>市国资委</w:t>
            </w:r>
            <w:r>
              <w:rPr>
                <w:rFonts w:hint="eastAsia" w:ascii="仿宋_GB2312" w:hAnsi="仿宋_GB2312" w:eastAsia="仿宋_GB2312" w:cs="仿宋_GB2312"/>
                <w:b w:val="0"/>
                <w:color w:val="auto"/>
                <w:kern w:val="0"/>
                <w:sz w:val="24"/>
                <w:szCs w:val="24"/>
                <w:lang w:eastAsia="en-US"/>
              </w:rPr>
              <w:t>，各县（市、区）政府（管委会）</w:t>
            </w:r>
          </w:p>
        </w:tc>
      </w:tr>
      <w:tr w14:paraId="0535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066A030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25</w:t>
            </w:r>
          </w:p>
        </w:tc>
        <w:tc>
          <w:tcPr>
            <w:tcW w:w="411" w:type="pct"/>
            <w:vMerge w:val="restart"/>
            <w:shd w:val="clear" w:color="auto" w:fill="auto"/>
            <w:tcMar>
              <w:top w:w="85" w:type="dxa"/>
              <w:left w:w="110" w:type="dxa"/>
              <w:bottom w:w="85" w:type="dxa"/>
              <w:right w:w="110" w:type="dxa"/>
            </w:tcMar>
            <w:vAlign w:val="center"/>
          </w:tcPr>
          <w:p w14:paraId="189C2F4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（三）细化住房保障，提升管理服务水平</w:t>
            </w:r>
          </w:p>
        </w:tc>
        <w:tc>
          <w:tcPr>
            <w:tcW w:w="421" w:type="pct"/>
            <w:vMerge w:val="restart"/>
            <w:shd w:val="clear" w:color="auto" w:fill="auto"/>
            <w:tcMar>
              <w:top w:w="85" w:type="dxa"/>
              <w:left w:w="110" w:type="dxa"/>
              <w:bottom w:w="85" w:type="dxa"/>
              <w:right w:w="110" w:type="dxa"/>
            </w:tcMar>
            <w:vAlign w:val="center"/>
          </w:tcPr>
          <w:p w14:paraId="324F0A7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优化保障性住房筹建机制</w:t>
            </w:r>
          </w:p>
        </w:tc>
        <w:tc>
          <w:tcPr>
            <w:tcW w:w="416" w:type="pct"/>
            <w:shd w:val="clear" w:color="auto" w:fill="auto"/>
            <w:tcMar>
              <w:top w:w="85" w:type="dxa"/>
              <w:left w:w="110" w:type="dxa"/>
              <w:bottom w:w="85" w:type="dxa"/>
              <w:right w:w="110" w:type="dxa"/>
            </w:tcMar>
            <w:vAlign w:val="center"/>
          </w:tcPr>
          <w:p w14:paraId="319FB8E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保障性住房多渠道筹集</w:t>
            </w:r>
          </w:p>
        </w:tc>
        <w:tc>
          <w:tcPr>
            <w:tcW w:w="1946" w:type="pct"/>
            <w:shd w:val="clear" w:color="auto" w:fill="auto"/>
            <w:tcMar>
              <w:top w:w="85" w:type="dxa"/>
              <w:left w:w="110" w:type="dxa"/>
              <w:bottom w:w="85" w:type="dxa"/>
              <w:right w:w="110" w:type="dxa"/>
            </w:tcMar>
            <w:vAlign w:val="center"/>
          </w:tcPr>
          <w:p w14:paraId="0F305AE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坚持“以需定建、以需定购”，通过新建、改建、改造、转化、收购等方式拓宽保障性住房房源供给渠道；强化中心城区保障性住房供给，优先盘活存量建设用地建设保障性住房；采取新建一批、收购一批、盘活一批、改建一批、配建一批的方式，多渠道增加保障性住房供给。</w:t>
            </w:r>
          </w:p>
        </w:tc>
        <w:tc>
          <w:tcPr>
            <w:tcW w:w="595" w:type="pct"/>
            <w:shd w:val="clear" w:color="auto" w:fill="auto"/>
            <w:tcMar>
              <w:top w:w="85" w:type="dxa"/>
              <w:left w:w="110" w:type="dxa"/>
              <w:bottom w:w="85" w:type="dxa"/>
              <w:right w:w="110" w:type="dxa"/>
            </w:tcMar>
            <w:vAlign w:val="center"/>
          </w:tcPr>
          <w:p w14:paraId="7887A71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每年结合保障需求编制房源筹集安排，</w:t>
            </w: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年滚动实施</w:t>
            </w:r>
          </w:p>
        </w:tc>
        <w:tc>
          <w:tcPr>
            <w:tcW w:w="412" w:type="pct"/>
            <w:shd w:val="clear" w:color="auto" w:fill="auto"/>
            <w:tcMar>
              <w:top w:w="85" w:type="dxa"/>
              <w:left w:w="110" w:type="dxa"/>
              <w:bottom w:w="85" w:type="dxa"/>
              <w:right w:w="110" w:type="dxa"/>
            </w:tcMar>
            <w:vAlign w:val="center"/>
          </w:tcPr>
          <w:p w14:paraId="34F57DD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471D801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市发展改革局、市自然资源局、市财政局、市国资委，各县（市、区）政府（管委会）</w:t>
            </w:r>
          </w:p>
        </w:tc>
      </w:tr>
      <w:tr w14:paraId="7D45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6925895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26</w:t>
            </w:r>
          </w:p>
        </w:tc>
        <w:tc>
          <w:tcPr>
            <w:tcW w:w="411" w:type="pct"/>
            <w:vMerge w:val="continue"/>
            <w:shd w:val="clear" w:color="auto" w:fill="auto"/>
            <w:tcMar>
              <w:top w:w="85" w:type="dxa"/>
              <w:left w:w="110" w:type="dxa"/>
              <w:bottom w:w="85" w:type="dxa"/>
              <w:right w:w="110" w:type="dxa"/>
            </w:tcMar>
            <w:vAlign w:val="center"/>
          </w:tcPr>
          <w:p w14:paraId="44B0803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6E46659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6B05CD4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zh-CN"/>
              </w:rPr>
            </w:pPr>
            <w:r>
              <w:rPr>
                <w:rFonts w:hint="eastAsia" w:ascii="仿宋_GB2312" w:hAnsi="仿宋_GB2312" w:eastAsia="仿宋_GB2312" w:cs="仿宋_GB2312"/>
                <w:b w:val="0"/>
                <w:color w:val="000000"/>
                <w:kern w:val="0"/>
                <w:sz w:val="24"/>
                <w:szCs w:val="24"/>
                <w:highlight w:val="none"/>
                <w:lang w:eastAsia="en-US"/>
              </w:rPr>
              <w:t>存量房收购</w:t>
            </w:r>
            <w:r>
              <w:rPr>
                <w:rFonts w:hint="eastAsia" w:ascii="仿宋_GB2312" w:hAnsi="仿宋_GB2312" w:eastAsia="仿宋_GB2312" w:cs="仿宋_GB2312"/>
                <w:b w:val="0"/>
                <w:color w:val="000000"/>
                <w:kern w:val="0"/>
                <w:sz w:val="24"/>
                <w:szCs w:val="24"/>
                <w:lang w:eastAsia="en-US"/>
              </w:rPr>
              <w:t>、改建和盘活运营</w:t>
            </w:r>
          </w:p>
        </w:tc>
        <w:tc>
          <w:tcPr>
            <w:tcW w:w="1946" w:type="pct"/>
            <w:shd w:val="clear" w:color="auto" w:fill="auto"/>
            <w:tcMar>
              <w:top w:w="85" w:type="dxa"/>
              <w:left w:w="110" w:type="dxa"/>
              <w:bottom w:w="85" w:type="dxa"/>
              <w:right w:w="110" w:type="dxa"/>
            </w:tcMar>
            <w:vAlign w:val="center"/>
          </w:tcPr>
          <w:p w14:paraId="69C18A8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推动住房保障需求与房地产去库存有机结合，支持国企等市场主体收购存量</w:t>
            </w:r>
            <w:r>
              <w:rPr>
                <w:rFonts w:hint="eastAsia" w:ascii="仿宋_GB2312" w:hAnsi="仿宋_GB2312" w:cs="仿宋_GB2312"/>
                <w:b w:val="0"/>
                <w:color w:val="auto"/>
                <w:kern w:val="0"/>
                <w:sz w:val="24"/>
                <w:szCs w:val="24"/>
                <w:lang w:val="en-US" w:eastAsia="zh-CN"/>
              </w:rPr>
              <w:t>商品</w:t>
            </w:r>
            <w:r>
              <w:rPr>
                <w:rFonts w:hint="eastAsia" w:ascii="仿宋_GB2312" w:hAnsi="仿宋_GB2312" w:eastAsia="仿宋_GB2312" w:cs="仿宋_GB2312"/>
                <w:b w:val="0"/>
                <w:color w:val="auto"/>
                <w:kern w:val="0"/>
                <w:sz w:val="24"/>
                <w:szCs w:val="24"/>
                <w:lang w:eastAsia="en-US"/>
              </w:rPr>
              <w:t>房、改建低效非居住存量房屋，规模化转化为保障性住房；对阶段性空置保障性住房，分类采取优化配租方案、跨区域调剂、完善配套、适度改造或者调整保障用途等措施，鼓励引入专业化长租运营机构。</w:t>
            </w:r>
          </w:p>
        </w:tc>
        <w:tc>
          <w:tcPr>
            <w:tcW w:w="595" w:type="pct"/>
            <w:shd w:val="clear" w:color="auto" w:fill="auto"/>
            <w:tcMar>
              <w:top w:w="85" w:type="dxa"/>
              <w:left w:w="110" w:type="dxa"/>
              <w:bottom w:w="85" w:type="dxa"/>
              <w:right w:w="110" w:type="dxa"/>
            </w:tcMar>
            <w:vAlign w:val="center"/>
          </w:tcPr>
          <w:p w14:paraId="7A4269C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年推进收购、改建和盘活项目谋划；</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年按项目条件分步实施和运营</w:t>
            </w:r>
          </w:p>
        </w:tc>
        <w:tc>
          <w:tcPr>
            <w:tcW w:w="412" w:type="pct"/>
            <w:shd w:val="clear" w:color="auto" w:fill="auto"/>
            <w:tcMar>
              <w:top w:w="85" w:type="dxa"/>
              <w:left w:w="110" w:type="dxa"/>
              <w:bottom w:w="85" w:type="dxa"/>
              <w:right w:w="110" w:type="dxa"/>
            </w:tcMar>
            <w:vAlign w:val="center"/>
          </w:tcPr>
          <w:p w14:paraId="44E9472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3D5173D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市财政局、市自然资源局、市国资委、、国家金融监督管理总局湛江监管分局，各县（市、区）政府（管委会）</w:t>
            </w:r>
          </w:p>
        </w:tc>
      </w:tr>
      <w:tr w14:paraId="5145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D1164E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27</w:t>
            </w:r>
          </w:p>
        </w:tc>
        <w:tc>
          <w:tcPr>
            <w:tcW w:w="411" w:type="pct"/>
            <w:vMerge w:val="continue"/>
            <w:shd w:val="clear" w:color="auto" w:fill="auto"/>
            <w:tcMar>
              <w:top w:w="85" w:type="dxa"/>
              <w:left w:w="110" w:type="dxa"/>
              <w:bottom w:w="85" w:type="dxa"/>
              <w:right w:w="110" w:type="dxa"/>
            </w:tcMar>
            <w:vAlign w:val="center"/>
          </w:tcPr>
          <w:p w14:paraId="4C05214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309A0A5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4344653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人才安居房源筹集</w:t>
            </w:r>
          </w:p>
        </w:tc>
        <w:tc>
          <w:tcPr>
            <w:tcW w:w="1946" w:type="pct"/>
            <w:shd w:val="clear" w:color="auto" w:fill="auto"/>
            <w:tcMar>
              <w:top w:w="85" w:type="dxa"/>
              <w:left w:w="110" w:type="dxa"/>
              <w:bottom w:w="85" w:type="dxa"/>
              <w:right w:w="110" w:type="dxa"/>
            </w:tcMar>
            <w:vAlign w:val="center"/>
          </w:tcPr>
          <w:p w14:paraId="15CD3C6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持续推进人才安居工程，多渠道筹措房源，扩大人才公寓供给规模。</w:t>
            </w:r>
          </w:p>
        </w:tc>
        <w:tc>
          <w:tcPr>
            <w:tcW w:w="595" w:type="pct"/>
            <w:shd w:val="clear" w:color="auto" w:fill="auto"/>
            <w:tcMar>
              <w:top w:w="85" w:type="dxa"/>
              <w:left w:w="110" w:type="dxa"/>
              <w:bottom w:w="85" w:type="dxa"/>
              <w:right w:w="110" w:type="dxa"/>
            </w:tcMar>
            <w:vAlign w:val="center"/>
          </w:tcPr>
          <w:p w14:paraId="28E5D77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年结合人才住房需求按年度推进房源筹集和供应</w:t>
            </w:r>
          </w:p>
        </w:tc>
        <w:tc>
          <w:tcPr>
            <w:tcW w:w="412" w:type="pct"/>
            <w:shd w:val="clear" w:color="auto" w:fill="auto"/>
            <w:tcMar>
              <w:top w:w="85" w:type="dxa"/>
              <w:left w:w="110" w:type="dxa"/>
              <w:bottom w:w="85" w:type="dxa"/>
              <w:right w:w="110" w:type="dxa"/>
            </w:tcMar>
            <w:vAlign w:val="center"/>
          </w:tcPr>
          <w:p w14:paraId="6A45E52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6F2CA1C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市委组织部、市人力资源社会保障局、市财政局、市国资委，各县（市、区）政府（管委会）</w:t>
            </w:r>
          </w:p>
        </w:tc>
      </w:tr>
      <w:tr w14:paraId="2A8C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92A6E5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28</w:t>
            </w:r>
          </w:p>
        </w:tc>
        <w:tc>
          <w:tcPr>
            <w:tcW w:w="411" w:type="pct"/>
            <w:vMerge w:val="continue"/>
            <w:shd w:val="clear" w:color="auto" w:fill="auto"/>
            <w:tcMar>
              <w:top w:w="85" w:type="dxa"/>
              <w:left w:w="110" w:type="dxa"/>
              <w:bottom w:w="85" w:type="dxa"/>
              <w:right w:w="110" w:type="dxa"/>
            </w:tcMar>
            <w:vAlign w:val="center"/>
          </w:tcPr>
          <w:p w14:paraId="13AC9C6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17F3266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1BB44A3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配售型保障性住房试点</w:t>
            </w:r>
          </w:p>
        </w:tc>
        <w:tc>
          <w:tcPr>
            <w:tcW w:w="1946" w:type="pct"/>
            <w:shd w:val="clear" w:color="auto" w:fill="auto"/>
            <w:tcMar>
              <w:top w:w="85" w:type="dxa"/>
              <w:left w:w="110" w:type="dxa"/>
              <w:bottom w:w="85" w:type="dxa"/>
              <w:right w:w="110" w:type="dxa"/>
            </w:tcMar>
            <w:vAlign w:val="center"/>
          </w:tcPr>
          <w:p w14:paraId="40CFB6F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cs="仿宋_GB2312"/>
                <w:b w:val="0"/>
                <w:color w:val="auto"/>
                <w:kern w:val="0"/>
                <w:sz w:val="24"/>
                <w:szCs w:val="24"/>
                <w:lang w:val="en-US" w:eastAsia="zh-CN"/>
              </w:rPr>
              <w:t>有序</w:t>
            </w:r>
            <w:r>
              <w:rPr>
                <w:rFonts w:hint="eastAsia" w:ascii="仿宋_GB2312" w:hAnsi="仿宋_GB2312" w:eastAsia="仿宋_GB2312" w:cs="仿宋_GB2312"/>
                <w:b w:val="0"/>
                <w:color w:val="auto"/>
                <w:kern w:val="0"/>
                <w:sz w:val="24"/>
                <w:szCs w:val="24"/>
                <w:lang w:eastAsia="en-US"/>
              </w:rPr>
              <w:t>开展配售型保障性住房试点，</w:t>
            </w:r>
            <w:r>
              <w:rPr>
                <w:rFonts w:hint="eastAsia" w:ascii="仿宋_GB2312" w:hAnsi="仿宋_GB2312" w:cs="仿宋_GB2312"/>
                <w:b w:val="0"/>
                <w:color w:val="auto"/>
                <w:kern w:val="0"/>
                <w:sz w:val="24"/>
                <w:szCs w:val="24"/>
                <w:lang w:val="en-US" w:eastAsia="zh-CN"/>
              </w:rPr>
              <w:t>健全</w:t>
            </w:r>
            <w:r>
              <w:rPr>
                <w:rFonts w:hint="eastAsia" w:ascii="仿宋_GB2312" w:hAnsi="仿宋_GB2312" w:eastAsia="仿宋_GB2312" w:cs="仿宋_GB2312"/>
                <w:b w:val="0"/>
                <w:color w:val="auto"/>
                <w:kern w:val="0"/>
                <w:sz w:val="24"/>
                <w:szCs w:val="24"/>
                <w:lang w:eastAsia="en-US"/>
              </w:rPr>
              <w:t>多层次住房保障供给体系。</w:t>
            </w:r>
          </w:p>
        </w:tc>
        <w:tc>
          <w:tcPr>
            <w:tcW w:w="595" w:type="pct"/>
            <w:shd w:val="clear" w:color="auto" w:fill="auto"/>
            <w:tcMar>
              <w:top w:w="85" w:type="dxa"/>
              <w:left w:w="110" w:type="dxa"/>
              <w:bottom w:w="85" w:type="dxa"/>
              <w:right w:w="110" w:type="dxa"/>
            </w:tcMar>
            <w:vAlign w:val="center"/>
          </w:tcPr>
          <w:p w14:paraId="2F26465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年开展市场主体和试点项目遴选；</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年推进具备条件的试点项目并总结经验</w:t>
            </w:r>
          </w:p>
        </w:tc>
        <w:tc>
          <w:tcPr>
            <w:tcW w:w="412" w:type="pct"/>
            <w:shd w:val="clear" w:color="auto" w:fill="auto"/>
            <w:tcMar>
              <w:top w:w="85" w:type="dxa"/>
              <w:left w:w="110" w:type="dxa"/>
              <w:bottom w:w="85" w:type="dxa"/>
              <w:right w:w="110" w:type="dxa"/>
            </w:tcMar>
            <w:vAlign w:val="center"/>
          </w:tcPr>
          <w:p w14:paraId="005168D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44CEBB1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市发展改革局、市自然资源局、市财政局、市国资委，各县（市、区）政府（管委会）</w:t>
            </w:r>
          </w:p>
        </w:tc>
      </w:tr>
      <w:tr w14:paraId="5878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73E1810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29</w:t>
            </w:r>
          </w:p>
        </w:tc>
        <w:tc>
          <w:tcPr>
            <w:tcW w:w="411" w:type="pct"/>
            <w:vMerge w:val="continue"/>
            <w:shd w:val="clear" w:color="auto" w:fill="auto"/>
            <w:tcMar>
              <w:top w:w="85" w:type="dxa"/>
              <w:left w:w="110" w:type="dxa"/>
              <w:bottom w:w="85" w:type="dxa"/>
              <w:right w:w="110" w:type="dxa"/>
            </w:tcMar>
            <w:vAlign w:val="center"/>
          </w:tcPr>
          <w:p w14:paraId="258E1EA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6885EC2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强化保障性住房管理效能</w:t>
            </w:r>
          </w:p>
        </w:tc>
        <w:tc>
          <w:tcPr>
            <w:tcW w:w="416" w:type="pct"/>
            <w:shd w:val="clear" w:color="auto" w:fill="auto"/>
            <w:tcMar>
              <w:top w:w="85" w:type="dxa"/>
              <w:left w:w="110" w:type="dxa"/>
              <w:bottom w:w="85" w:type="dxa"/>
              <w:right w:w="110" w:type="dxa"/>
            </w:tcMar>
            <w:vAlign w:val="center"/>
          </w:tcPr>
          <w:p w14:paraId="2BBD329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保障政策宣传和</w:t>
            </w:r>
            <w:r>
              <w:rPr>
                <w:rFonts w:hint="eastAsia" w:ascii="仿宋_GB2312" w:hAnsi="仿宋_GB2312" w:cs="仿宋_GB2312"/>
                <w:b w:val="0"/>
                <w:color w:val="000000"/>
                <w:kern w:val="0"/>
                <w:sz w:val="24"/>
                <w:szCs w:val="24"/>
                <w:lang w:val="en-US" w:eastAsia="zh-CN"/>
              </w:rPr>
              <w:t>保障性住房</w:t>
            </w:r>
            <w:r>
              <w:rPr>
                <w:rFonts w:hint="eastAsia" w:ascii="仿宋_GB2312" w:hAnsi="仿宋_GB2312" w:eastAsia="仿宋_GB2312" w:cs="仿宋_GB2312"/>
                <w:b w:val="0"/>
                <w:color w:val="000000"/>
                <w:kern w:val="0"/>
                <w:sz w:val="24"/>
                <w:szCs w:val="24"/>
                <w:lang w:eastAsia="en-US"/>
              </w:rPr>
              <w:t>申请</w:t>
            </w:r>
          </w:p>
        </w:tc>
        <w:tc>
          <w:tcPr>
            <w:tcW w:w="1946" w:type="pct"/>
            <w:shd w:val="clear" w:color="auto" w:fill="auto"/>
            <w:tcMar>
              <w:top w:w="85" w:type="dxa"/>
              <w:left w:w="110" w:type="dxa"/>
              <w:bottom w:w="85" w:type="dxa"/>
              <w:right w:w="110" w:type="dxa"/>
            </w:tcMar>
            <w:vAlign w:val="center"/>
          </w:tcPr>
          <w:p w14:paraId="0D12AAD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依托政务服务平台、官方新媒体、社区公示栏、基层服务点等载体，及时发布保障性住房房源信息、申请条件、办理流程并加强政策解读；优化标准化办事指南，健全常态化受理机制，深化多部门联合审核机制，推进申请公租房“高效办成一件事”。</w:t>
            </w:r>
          </w:p>
        </w:tc>
        <w:tc>
          <w:tcPr>
            <w:tcW w:w="595" w:type="pct"/>
            <w:shd w:val="clear" w:color="auto" w:fill="auto"/>
            <w:tcMar>
              <w:top w:w="85" w:type="dxa"/>
              <w:left w:w="110" w:type="dxa"/>
              <w:bottom w:w="85" w:type="dxa"/>
              <w:right w:w="110" w:type="dxa"/>
            </w:tcMar>
            <w:vAlign w:val="center"/>
          </w:tcPr>
          <w:p w14:paraId="7196531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年完善宣传发布、办事指南、常态受理和联合审核工作；规划期内持续实施</w:t>
            </w:r>
          </w:p>
        </w:tc>
        <w:tc>
          <w:tcPr>
            <w:tcW w:w="412" w:type="pct"/>
            <w:shd w:val="clear" w:color="auto" w:fill="auto"/>
            <w:tcMar>
              <w:top w:w="85" w:type="dxa"/>
              <w:left w:w="110" w:type="dxa"/>
              <w:bottom w:w="85" w:type="dxa"/>
              <w:right w:w="110" w:type="dxa"/>
            </w:tcMar>
            <w:vAlign w:val="center"/>
          </w:tcPr>
          <w:p w14:paraId="3D664BE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2A331F5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市民政局、市公安局、</w:t>
            </w:r>
            <w:r>
              <w:rPr>
                <w:rFonts w:hint="eastAsia" w:ascii="仿宋_GB2312" w:hAnsi="仿宋_GB2312" w:cs="仿宋_GB2312"/>
                <w:b w:val="0"/>
                <w:color w:val="auto"/>
                <w:kern w:val="0"/>
                <w:sz w:val="24"/>
                <w:szCs w:val="24"/>
                <w:lang w:val="en-US" w:eastAsia="zh-CN"/>
              </w:rPr>
              <w:t>市教育局、</w:t>
            </w:r>
            <w:r>
              <w:rPr>
                <w:rFonts w:hint="eastAsia" w:ascii="仿宋_GB2312" w:hAnsi="仿宋_GB2312" w:eastAsia="仿宋_GB2312" w:cs="仿宋_GB2312"/>
                <w:b w:val="0"/>
                <w:color w:val="auto"/>
                <w:kern w:val="0"/>
                <w:sz w:val="24"/>
                <w:szCs w:val="24"/>
                <w:lang w:eastAsia="en-US"/>
              </w:rPr>
              <w:t>市人力资源社会保障局、</w:t>
            </w:r>
            <w:r>
              <w:rPr>
                <w:rFonts w:hint="eastAsia" w:ascii="仿宋_GB2312" w:hAnsi="仿宋_GB2312" w:cs="仿宋_GB2312"/>
                <w:b w:val="0"/>
                <w:color w:val="auto"/>
                <w:kern w:val="0"/>
                <w:sz w:val="24"/>
                <w:szCs w:val="24"/>
                <w:lang w:val="en-US" w:eastAsia="zh-CN"/>
              </w:rPr>
              <w:t>市自然资源局、</w:t>
            </w:r>
            <w:r>
              <w:rPr>
                <w:rFonts w:hint="eastAsia" w:ascii="仿宋_GB2312" w:hAnsi="仿宋_GB2312" w:eastAsia="仿宋_GB2312" w:cs="仿宋_GB2312"/>
                <w:b w:val="0"/>
                <w:color w:val="auto"/>
                <w:kern w:val="0"/>
                <w:sz w:val="24"/>
                <w:szCs w:val="24"/>
                <w:lang w:eastAsia="en-US"/>
              </w:rPr>
              <w:t>市政务服务和数据管理局，各县（市、区）政府（管委会）</w:t>
            </w:r>
          </w:p>
        </w:tc>
      </w:tr>
      <w:tr w14:paraId="0699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7E5395F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30</w:t>
            </w:r>
          </w:p>
        </w:tc>
        <w:tc>
          <w:tcPr>
            <w:tcW w:w="411" w:type="pct"/>
            <w:vMerge w:val="continue"/>
            <w:shd w:val="clear" w:color="auto" w:fill="auto"/>
            <w:tcMar>
              <w:top w:w="85" w:type="dxa"/>
              <w:left w:w="110" w:type="dxa"/>
              <w:bottom w:w="85" w:type="dxa"/>
              <w:right w:w="110" w:type="dxa"/>
            </w:tcMar>
            <w:vAlign w:val="center"/>
          </w:tcPr>
          <w:p w14:paraId="79F631B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42E42F8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59E2127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存量保障性住房</w:t>
            </w:r>
            <w:r>
              <w:rPr>
                <w:rFonts w:hint="eastAsia" w:ascii="仿宋_GB2312" w:hAnsi="仿宋_GB2312" w:cs="仿宋_GB2312"/>
                <w:b w:val="0"/>
                <w:color w:val="000000"/>
                <w:kern w:val="0"/>
                <w:sz w:val="24"/>
                <w:szCs w:val="24"/>
                <w:lang w:val="en-US" w:eastAsia="zh-CN"/>
              </w:rPr>
              <w:t>提质增效</w:t>
            </w:r>
          </w:p>
        </w:tc>
        <w:tc>
          <w:tcPr>
            <w:tcW w:w="1946" w:type="pct"/>
            <w:shd w:val="clear" w:color="auto" w:fill="auto"/>
            <w:tcMar>
              <w:top w:w="85" w:type="dxa"/>
              <w:left w:w="110" w:type="dxa"/>
              <w:bottom w:w="85" w:type="dxa"/>
              <w:right w:w="110" w:type="dxa"/>
            </w:tcMar>
            <w:vAlign w:val="center"/>
          </w:tcPr>
          <w:p w14:paraId="4D2A6CA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推进存量公租房提质增效，分类实施安全隐患整治、基础设施和公共服务配套改造，推行政府购买服务模式，委托专业机构开展公租房运营管理；探索建立保障性住房“好房子”建设标准，对“一老一小”群体较为集中的小区实施适老化、适儿化及无障碍改造，引入专业化物业管理市场主体开展基础服务。</w:t>
            </w:r>
          </w:p>
        </w:tc>
        <w:tc>
          <w:tcPr>
            <w:tcW w:w="595" w:type="pct"/>
            <w:shd w:val="clear" w:color="auto" w:fill="auto"/>
            <w:tcMar>
              <w:top w:w="85" w:type="dxa"/>
              <w:left w:w="110" w:type="dxa"/>
              <w:bottom w:w="85" w:type="dxa"/>
              <w:right w:w="110" w:type="dxa"/>
            </w:tcMar>
            <w:vAlign w:val="center"/>
          </w:tcPr>
          <w:p w14:paraId="3CF5A34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年形成分类提质安排；</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年滚动实施改造、维修养护和运营服务提升</w:t>
            </w:r>
          </w:p>
        </w:tc>
        <w:tc>
          <w:tcPr>
            <w:tcW w:w="412" w:type="pct"/>
            <w:shd w:val="clear" w:color="auto" w:fill="auto"/>
            <w:tcMar>
              <w:top w:w="85" w:type="dxa"/>
              <w:left w:w="110" w:type="dxa"/>
              <w:bottom w:w="85" w:type="dxa"/>
              <w:right w:w="110" w:type="dxa"/>
            </w:tcMar>
            <w:vAlign w:val="center"/>
          </w:tcPr>
          <w:p w14:paraId="5A36D5B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2EDFC1E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highlight w:val="none"/>
                <w:lang w:eastAsia="en-US"/>
              </w:rPr>
              <w:t>市民政局、</w:t>
            </w:r>
            <w:r>
              <w:rPr>
                <w:rFonts w:hint="eastAsia" w:ascii="仿宋_GB2312" w:hAnsi="仿宋_GB2312" w:eastAsia="仿宋_GB2312" w:cs="仿宋_GB2312"/>
                <w:b w:val="0"/>
                <w:color w:val="auto"/>
                <w:kern w:val="0"/>
                <w:sz w:val="24"/>
                <w:szCs w:val="24"/>
                <w:lang w:eastAsia="en-US"/>
              </w:rPr>
              <w:t>市国资委，各县（市、区）政府（管委会）</w:t>
            </w:r>
          </w:p>
        </w:tc>
      </w:tr>
      <w:tr w14:paraId="0A80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240A169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31</w:t>
            </w:r>
          </w:p>
        </w:tc>
        <w:tc>
          <w:tcPr>
            <w:tcW w:w="411" w:type="pct"/>
            <w:vMerge w:val="continue"/>
            <w:shd w:val="clear" w:color="auto" w:fill="auto"/>
            <w:tcMar>
              <w:top w:w="85" w:type="dxa"/>
              <w:left w:w="110" w:type="dxa"/>
              <w:bottom w:w="85" w:type="dxa"/>
              <w:right w:w="110" w:type="dxa"/>
            </w:tcMar>
            <w:vAlign w:val="center"/>
          </w:tcPr>
          <w:p w14:paraId="08F492D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013F916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加大住房保障资金支持力度</w:t>
            </w:r>
          </w:p>
        </w:tc>
        <w:tc>
          <w:tcPr>
            <w:tcW w:w="416" w:type="pct"/>
            <w:shd w:val="clear" w:color="auto" w:fill="auto"/>
            <w:tcMar>
              <w:top w:w="85" w:type="dxa"/>
              <w:left w:w="110" w:type="dxa"/>
              <w:bottom w:w="85" w:type="dxa"/>
              <w:right w:w="110" w:type="dxa"/>
            </w:tcMar>
            <w:vAlign w:val="center"/>
          </w:tcPr>
          <w:p w14:paraId="336AD20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财政税费政策和政府专项债支持</w:t>
            </w:r>
          </w:p>
        </w:tc>
        <w:tc>
          <w:tcPr>
            <w:tcW w:w="1946" w:type="pct"/>
            <w:shd w:val="clear" w:color="auto" w:fill="auto"/>
            <w:tcMar>
              <w:top w:w="85" w:type="dxa"/>
              <w:left w:w="110" w:type="dxa"/>
              <w:bottom w:w="85" w:type="dxa"/>
              <w:right w:w="110" w:type="dxa"/>
            </w:tcMar>
            <w:vAlign w:val="center"/>
          </w:tcPr>
          <w:p w14:paraId="3BA2DAE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cs="仿宋_GB2312"/>
                <w:color w:val="auto"/>
                <w:kern w:val="0"/>
                <w:sz w:val="24"/>
                <w:szCs w:val="24"/>
                <w:lang w:eastAsia="en-US"/>
              </w:rPr>
              <w:t>建立健全保障性住房资金保障机制，积极争取中央和省级保障性安居工程补助资金，支持符合条件的项目申报地方政府专项债券，落实保障性住房金融、税费等支持政策</w:t>
            </w:r>
            <w:r>
              <w:rPr>
                <w:rFonts w:hint="eastAsia" w:ascii="仿宋_GB2312" w:hAnsi="仿宋_GB2312" w:cs="仿宋_GB2312"/>
                <w:color w:val="auto"/>
                <w:kern w:val="0"/>
                <w:sz w:val="24"/>
                <w:szCs w:val="24"/>
                <w:lang w:eastAsia="zh-CN"/>
              </w:rPr>
              <w:t>；</w:t>
            </w:r>
            <w:r>
              <w:rPr>
                <w:rFonts w:hint="eastAsia" w:ascii="仿宋_GB2312" w:hAnsi="仿宋_GB2312" w:eastAsia="仿宋_GB2312" w:cs="仿宋_GB2312"/>
                <w:b w:val="0"/>
                <w:color w:val="auto"/>
                <w:kern w:val="0"/>
                <w:sz w:val="24"/>
                <w:szCs w:val="24"/>
                <w:lang w:eastAsia="en-US"/>
              </w:rPr>
              <w:t>加强资金使用全流程监管，落实专款专用、封闭管理。</w:t>
            </w:r>
          </w:p>
        </w:tc>
        <w:tc>
          <w:tcPr>
            <w:tcW w:w="595" w:type="pct"/>
            <w:shd w:val="clear" w:color="auto" w:fill="auto"/>
            <w:tcMar>
              <w:top w:w="85" w:type="dxa"/>
              <w:left w:w="110" w:type="dxa"/>
              <w:bottom w:w="85" w:type="dxa"/>
              <w:right w:w="110" w:type="dxa"/>
            </w:tcMar>
            <w:vAlign w:val="center"/>
          </w:tcPr>
          <w:p w14:paraId="353C072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随年度保障性住房项目安排同步编制资金方案并申报，资金监管贯穿项目实施全过程</w:t>
            </w:r>
          </w:p>
        </w:tc>
        <w:tc>
          <w:tcPr>
            <w:tcW w:w="412" w:type="pct"/>
            <w:shd w:val="clear" w:color="auto" w:fill="auto"/>
            <w:tcMar>
              <w:top w:w="85" w:type="dxa"/>
              <w:left w:w="110" w:type="dxa"/>
              <w:bottom w:w="85" w:type="dxa"/>
              <w:right w:w="110" w:type="dxa"/>
            </w:tcMar>
            <w:vAlign w:val="center"/>
          </w:tcPr>
          <w:p w14:paraId="5E3BB92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38B3E39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市财政局、市发展改革局、市税务局，各县（市、区）政府（管委会）</w:t>
            </w:r>
          </w:p>
        </w:tc>
      </w:tr>
      <w:tr w14:paraId="5964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33B6562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32</w:t>
            </w:r>
          </w:p>
        </w:tc>
        <w:tc>
          <w:tcPr>
            <w:tcW w:w="411" w:type="pct"/>
            <w:vMerge w:val="continue"/>
            <w:shd w:val="clear" w:color="auto" w:fill="auto"/>
            <w:tcMar>
              <w:top w:w="85" w:type="dxa"/>
              <w:left w:w="110" w:type="dxa"/>
              <w:bottom w:w="85" w:type="dxa"/>
              <w:right w:w="110" w:type="dxa"/>
            </w:tcMar>
            <w:vAlign w:val="center"/>
          </w:tcPr>
          <w:p w14:paraId="661A95F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3DC4495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726B76A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住房公积金购买、租赁保障性住房支持</w:t>
            </w:r>
          </w:p>
        </w:tc>
        <w:tc>
          <w:tcPr>
            <w:tcW w:w="1946" w:type="pct"/>
            <w:shd w:val="clear" w:color="auto" w:fill="auto"/>
            <w:tcMar>
              <w:top w:w="85" w:type="dxa"/>
              <w:left w:w="110" w:type="dxa"/>
              <w:bottom w:w="85" w:type="dxa"/>
              <w:right w:w="110" w:type="dxa"/>
            </w:tcMar>
            <w:vAlign w:val="center"/>
          </w:tcPr>
          <w:p w14:paraId="6904EC7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cs="仿宋_GB2312"/>
                <w:color w:val="auto"/>
                <w:kern w:val="0"/>
                <w:sz w:val="24"/>
                <w:szCs w:val="24"/>
                <w:lang w:eastAsia="en-US"/>
              </w:rPr>
              <w:t>持续优化住房公积金政策，巩固缴存人购买、租赁保障性住房提取及贷款政策实施成效。</w:t>
            </w:r>
          </w:p>
        </w:tc>
        <w:tc>
          <w:tcPr>
            <w:tcW w:w="595" w:type="pct"/>
            <w:shd w:val="clear" w:color="auto" w:fill="auto"/>
            <w:tcMar>
              <w:top w:w="85" w:type="dxa"/>
              <w:left w:w="110" w:type="dxa"/>
              <w:bottom w:w="85" w:type="dxa"/>
              <w:right w:w="110" w:type="dxa"/>
            </w:tcMar>
            <w:vAlign w:val="center"/>
          </w:tcPr>
          <w:p w14:paraId="2F5DCC7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年持续优化并实施</w:t>
            </w:r>
          </w:p>
        </w:tc>
        <w:tc>
          <w:tcPr>
            <w:tcW w:w="412" w:type="pct"/>
            <w:shd w:val="clear" w:color="auto" w:fill="auto"/>
            <w:tcMar>
              <w:top w:w="85" w:type="dxa"/>
              <w:left w:w="110" w:type="dxa"/>
              <w:bottom w:w="85" w:type="dxa"/>
              <w:right w:w="110" w:type="dxa"/>
            </w:tcMar>
            <w:vAlign w:val="center"/>
          </w:tcPr>
          <w:p w14:paraId="57E8A33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市住房公积金管理中心</w:t>
            </w:r>
          </w:p>
        </w:tc>
        <w:tc>
          <w:tcPr>
            <w:tcW w:w="628" w:type="pct"/>
            <w:shd w:val="clear" w:color="auto" w:fill="auto"/>
            <w:tcMar>
              <w:top w:w="85" w:type="dxa"/>
              <w:left w:w="110" w:type="dxa"/>
              <w:bottom w:w="85" w:type="dxa"/>
              <w:right w:w="110" w:type="dxa"/>
            </w:tcMar>
            <w:vAlign w:val="center"/>
          </w:tcPr>
          <w:p w14:paraId="581C97D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r>
      <w:tr w14:paraId="3AAC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314C8F1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33</w:t>
            </w:r>
          </w:p>
        </w:tc>
        <w:tc>
          <w:tcPr>
            <w:tcW w:w="411" w:type="pct"/>
            <w:vMerge w:val="continue"/>
            <w:shd w:val="clear" w:color="auto" w:fill="auto"/>
            <w:tcMar>
              <w:top w:w="85" w:type="dxa"/>
              <w:left w:w="110" w:type="dxa"/>
              <w:bottom w:w="85" w:type="dxa"/>
              <w:right w:w="110" w:type="dxa"/>
            </w:tcMar>
            <w:vAlign w:val="center"/>
          </w:tcPr>
          <w:p w14:paraId="40092CC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7B5B991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13371D5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银行贷款和保障性住房再贷款支持</w:t>
            </w:r>
          </w:p>
        </w:tc>
        <w:tc>
          <w:tcPr>
            <w:tcW w:w="1946" w:type="pct"/>
            <w:shd w:val="clear" w:color="auto" w:fill="auto"/>
            <w:tcMar>
              <w:top w:w="85" w:type="dxa"/>
              <w:left w:w="110" w:type="dxa"/>
              <w:bottom w:w="85" w:type="dxa"/>
              <w:right w:w="110" w:type="dxa"/>
            </w:tcMar>
            <w:vAlign w:val="center"/>
          </w:tcPr>
          <w:p w14:paraId="5A82B0C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深化政银企对接，引导银行业金融机构投放保障性住房项目及个人住房贷款；用好保障性住房再贷款工具，重点支撑存量房源收购、房屋改造；加强资金使用全流程监管，落实专款专用、封闭管理。</w:t>
            </w:r>
          </w:p>
        </w:tc>
        <w:tc>
          <w:tcPr>
            <w:tcW w:w="595" w:type="pct"/>
            <w:shd w:val="clear" w:color="auto" w:fill="auto"/>
            <w:tcMar>
              <w:top w:w="85" w:type="dxa"/>
              <w:left w:w="110" w:type="dxa"/>
              <w:bottom w:w="85" w:type="dxa"/>
              <w:right w:w="110" w:type="dxa"/>
            </w:tcMar>
            <w:vAlign w:val="center"/>
          </w:tcPr>
          <w:p w14:paraId="35B14BF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年根据项目条件持续开展融资对接和资金监管</w:t>
            </w:r>
          </w:p>
        </w:tc>
        <w:tc>
          <w:tcPr>
            <w:tcW w:w="412" w:type="pct"/>
            <w:shd w:val="clear" w:color="auto" w:fill="auto"/>
            <w:tcMar>
              <w:top w:w="85" w:type="dxa"/>
              <w:left w:w="110" w:type="dxa"/>
              <w:bottom w:w="85" w:type="dxa"/>
              <w:right w:w="110" w:type="dxa"/>
            </w:tcMar>
            <w:vAlign w:val="center"/>
          </w:tcPr>
          <w:p w14:paraId="567CAA2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人民银行湛江市分行</w:t>
            </w:r>
          </w:p>
        </w:tc>
        <w:tc>
          <w:tcPr>
            <w:tcW w:w="628" w:type="pct"/>
            <w:shd w:val="clear" w:color="auto" w:fill="auto"/>
            <w:tcMar>
              <w:top w:w="85" w:type="dxa"/>
              <w:left w:w="110" w:type="dxa"/>
              <w:bottom w:w="85" w:type="dxa"/>
              <w:right w:w="110" w:type="dxa"/>
            </w:tcMar>
            <w:vAlign w:val="center"/>
          </w:tcPr>
          <w:p w14:paraId="15C2728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市住房城乡建设局、国家金融监督管理总局湛江监管分局、市财政局，各县（市、区）政府（管委会）</w:t>
            </w:r>
          </w:p>
        </w:tc>
      </w:tr>
      <w:tr w14:paraId="1BD2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7867A06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34</w:t>
            </w:r>
          </w:p>
        </w:tc>
        <w:tc>
          <w:tcPr>
            <w:tcW w:w="411" w:type="pct"/>
            <w:vMerge w:val="continue"/>
            <w:shd w:val="clear" w:color="auto" w:fill="auto"/>
            <w:tcMar>
              <w:top w:w="85" w:type="dxa"/>
              <w:left w:w="110" w:type="dxa"/>
              <w:bottom w:w="85" w:type="dxa"/>
              <w:right w:w="110" w:type="dxa"/>
            </w:tcMar>
            <w:vAlign w:val="center"/>
          </w:tcPr>
          <w:p w14:paraId="5DA462E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6861DE1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提升信息化管理水平</w:t>
            </w:r>
          </w:p>
        </w:tc>
        <w:tc>
          <w:tcPr>
            <w:tcW w:w="416" w:type="pct"/>
            <w:shd w:val="clear" w:color="auto" w:fill="auto"/>
            <w:tcMar>
              <w:top w:w="85" w:type="dxa"/>
              <w:left w:w="110" w:type="dxa"/>
              <w:bottom w:w="85" w:type="dxa"/>
              <w:right w:w="110" w:type="dxa"/>
            </w:tcMar>
            <w:vAlign w:val="center"/>
          </w:tcPr>
          <w:p w14:paraId="2B9A202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保障性住房业务平台和数据共享</w:t>
            </w:r>
          </w:p>
        </w:tc>
        <w:tc>
          <w:tcPr>
            <w:tcW w:w="1946" w:type="pct"/>
            <w:shd w:val="clear" w:color="auto" w:fill="auto"/>
            <w:tcMar>
              <w:top w:w="85" w:type="dxa"/>
              <w:left w:w="110" w:type="dxa"/>
              <w:bottom w:w="85" w:type="dxa"/>
              <w:right w:w="110" w:type="dxa"/>
            </w:tcMar>
            <w:vAlign w:val="center"/>
          </w:tcPr>
          <w:p w14:paraId="0F74B9A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持续完善信息化系统，推动申请材料电子化共享；做好配租型、配售型保障性住房信息化管理衔接，推动政务端、企业管理端和居民使用端平台数据共享，完善线上申请、审核等功能；推进“数字住保”平台建设，持续优化业务板块、拓宽智能应用场景，构建“一平台、一张图、一张网”一体化管理体系。</w:t>
            </w:r>
          </w:p>
        </w:tc>
        <w:tc>
          <w:tcPr>
            <w:tcW w:w="595" w:type="pct"/>
            <w:shd w:val="clear" w:color="auto" w:fill="auto"/>
            <w:tcMar>
              <w:top w:w="85" w:type="dxa"/>
              <w:left w:w="110" w:type="dxa"/>
              <w:bottom w:w="85" w:type="dxa"/>
              <w:right w:w="110" w:type="dxa"/>
            </w:tcMar>
            <w:vAlign w:val="center"/>
          </w:tcPr>
          <w:p w14:paraId="1426983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年推进平台业务整合、线上功能和数据共享；</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年持续拓展应用场景、迭代完善</w:t>
            </w:r>
          </w:p>
        </w:tc>
        <w:tc>
          <w:tcPr>
            <w:tcW w:w="412" w:type="pct"/>
            <w:shd w:val="clear" w:color="auto" w:fill="auto"/>
            <w:tcMar>
              <w:top w:w="85" w:type="dxa"/>
              <w:left w:w="110" w:type="dxa"/>
              <w:bottom w:w="85" w:type="dxa"/>
              <w:right w:w="110" w:type="dxa"/>
            </w:tcMar>
            <w:vAlign w:val="center"/>
          </w:tcPr>
          <w:p w14:paraId="04F6F57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54FB2F5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市政务服务和数据管理局、市公安局、市民政局、市人力资源社会保障局，各县（市、区）政府（管委会）</w:t>
            </w:r>
          </w:p>
        </w:tc>
      </w:tr>
      <w:tr w14:paraId="7A3E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0F8F2AC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35</w:t>
            </w:r>
          </w:p>
        </w:tc>
        <w:tc>
          <w:tcPr>
            <w:tcW w:w="411" w:type="pct"/>
            <w:vMerge w:val="continue"/>
            <w:shd w:val="clear" w:color="auto" w:fill="auto"/>
            <w:tcMar>
              <w:top w:w="85" w:type="dxa"/>
              <w:left w:w="110" w:type="dxa"/>
              <w:bottom w:w="85" w:type="dxa"/>
              <w:right w:w="110" w:type="dxa"/>
            </w:tcMar>
            <w:vAlign w:val="center"/>
          </w:tcPr>
          <w:p w14:paraId="2F06571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1CE176C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14B5109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保障性住房“数字身份证”和物联设备应用</w:t>
            </w:r>
          </w:p>
        </w:tc>
        <w:tc>
          <w:tcPr>
            <w:tcW w:w="1946" w:type="pct"/>
            <w:shd w:val="clear" w:color="auto" w:fill="auto"/>
            <w:tcMar>
              <w:top w:w="85" w:type="dxa"/>
              <w:left w:w="110" w:type="dxa"/>
              <w:bottom w:w="85" w:type="dxa"/>
              <w:right w:w="110" w:type="dxa"/>
            </w:tcMar>
            <w:vAlign w:val="center"/>
          </w:tcPr>
          <w:p w14:paraId="5BB35B2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探索保障性住房“数字身份证”建设，推广智慧门禁、人脸识别、水电表远程抄送等物联网设备应用，以数字化手段提升运营监管效能。</w:t>
            </w:r>
          </w:p>
        </w:tc>
        <w:tc>
          <w:tcPr>
            <w:tcW w:w="595" w:type="pct"/>
            <w:shd w:val="clear" w:color="auto" w:fill="auto"/>
            <w:tcMar>
              <w:top w:w="85" w:type="dxa"/>
              <w:left w:w="110" w:type="dxa"/>
              <w:bottom w:w="85" w:type="dxa"/>
              <w:right w:w="110" w:type="dxa"/>
            </w:tcMar>
            <w:vAlign w:val="center"/>
          </w:tcPr>
          <w:p w14:paraId="18F9538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年开展“数字身份证”和物联网设备应用探索；</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年分步推广、完善运营监管应用</w:t>
            </w:r>
          </w:p>
        </w:tc>
        <w:tc>
          <w:tcPr>
            <w:tcW w:w="412" w:type="pct"/>
            <w:shd w:val="clear" w:color="auto" w:fill="auto"/>
            <w:tcMar>
              <w:top w:w="85" w:type="dxa"/>
              <w:left w:w="110" w:type="dxa"/>
              <w:bottom w:w="85" w:type="dxa"/>
              <w:right w:w="110" w:type="dxa"/>
            </w:tcMar>
            <w:vAlign w:val="center"/>
          </w:tcPr>
          <w:p w14:paraId="76029B0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472C236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市政务服务和数据管理局、市公安局、市国资委，各县（市、区）政府（管委会）</w:t>
            </w:r>
          </w:p>
        </w:tc>
      </w:tr>
      <w:tr w14:paraId="4780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3C2EE4D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36</w:t>
            </w:r>
          </w:p>
        </w:tc>
        <w:tc>
          <w:tcPr>
            <w:tcW w:w="411" w:type="pct"/>
            <w:vMerge w:val="restart"/>
            <w:shd w:val="clear" w:color="auto" w:fill="auto"/>
            <w:tcMar>
              <w:top w:w="85" w:type="dxa"/>
              <w:left w:w="110" w:type="dxa"/>
              <w:bottom w:w="85" w:type="dxa"/>
              <w:right w:w="110" w:type="dxa"/>
            </w:tcMar>
            <w:vAlign w:val="center"/>
          </w:tcPr>
          <w:p w14:paraId="75868F5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（四）推进住区更新，改善居民居住环境</w:t>
            </w:r>
          </w:p>
        </w:tc>
        <w:tc>
          <w:tcPr>
            <w:tcW w:w="421" w:type="pct"/>
            <w:vMerge w:val="restart"/>
            <w:shd w:val="clear" w:color="auto" w:fill="auto"/>
            <w:tcMar>
              <w:top w:w="85" w:type="dxa"/>
              <w:left w:w="110" w:type="dxa"/>
              <w:bottom w:w="85" w:type="dxa"/>
              <w:right w:w="110" w:type="dxa"/>
            </w:tcMar>
            <w:vAlign w:val="center"/>
          </w:tcPr>
          <w:p w14:paraId="4FC4359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持续推进老旧小区改造</w:t>
            </w:r>
          </w:p>
        </w:tc>
        <w:tc>
          <w:tcPr>
            <w:tcW w:w="416" w:type="pct"/>
            <w:shd w:val="clear" w:color="auto" w:fill="auto"/>
            <w:tcMar>
              <w:top w:w="85" w:type="dxa"/>
              <w:left w:w="110" w:type="dxa"/>
              <w:bottom w:w="85" w:type="dxa"/>
              <w:right w:w="110" w:type="dxa"/>
            </w:tcMar>
            <w:vAlign w:val="center"/>
          </w:tcPr>
          <w:p w14:paraId="59D7A16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危旧房排查和分类处置</w:t>
            </w:r>
          </w:p>
        </w:tc>
        <w:tc>
          <w:tcPr>
            <w:tcW w:w="1946" w:type="pct"/>
            <w:shd w:val="clear" w:color="auto" w:fill="auto"/>
            <w:tcMar>
              <w:top w:w="85" w:type="dxa"/>
              <w:left w:w="110" w:type="dxa"/>
              <w:bottom w:w="85" w:type="dxa"/>
              <w:right w:w="110" w:type="dxa"/>
            </w:tcMar>
            <w:vAlign w:val="center"/>
          </w:tcPr>
          <w:p w14:paraId="7FE88FA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全面开展县（市、区）范围内</w:t>
            </w:r>
            <w:r>
              <w:rPr>
                <w:rFonts w:hint="default" w:ascii="Times New Roman" w:hAnsi="Times New Roman" w:eastAsia="仿宋_GB2312" w:cs="Times New Roman"/>
                <w:b w:val="0"/>
                <w:color w:val="auto"/>
                <w:kern w:val="0"/>
                <w:sz w:val="24"/>
                <w:szCs w:val="24"/>
                <w:lang w:eastAsia="en-US"/>
              </w:rPr>
              <w:t>C、D级</w:t>
            </w:r>
            <w:r>
              <w:rPr>
                <w:rFonts w:hint="eastAsia" w:ascii="仿宋_GB2312" w:hAnsi="仿宋_GB2312" w:eastAsia="仿宋_GB2312" w:cs="仿宋_GB2312"/>
                <w:b w:val="0"/>
                <w:color w:val="auto"/>
                <w:kern w:val="0"/>
                <w:sz w:val="24"/>
                <w:szCs w:val="24"/>
                <w:lang w:eastAsia="en-US"/>
              </w:rPr>
              <w:t>危险住房和非成套住房排查；</w:t>
            </w:r>
            <w:r>
              <w:rPr>
                <w:rFonts w:hint="default" w:ascii="Times New Roman" w:hAnsi="Times New Roman" w:eastAsia="仿宋_GB2312" w:cs="Times New Roman"/>
                <w:b w:val="0"/>
                <w:color w:val="auto"/>
                <w:kern w:val="0"/>
                <w:sz w:val="24"/>
                <w:szCs w:val="24"/>
                <w:lang w:eastAsia="en-US"/>
              </w:rPr>
              <w:t>对D级危房优先实施拆除新建、改建、原址翻建等，对C级危房</w:t>
            </w:r>
            <w:r>
              <w:rPr>
                <w:rFonts w:hint="eastAsia" w:ascii="仿宋_GB2312" w:hAnsi="仿宋_GB2312" w:eastAsia="仿宋_GB2312" w:cs="仿宋_GB2312"/>
                <w:b w:val="0"/>
                <w:color w:val="auto"/>
                <w:kern w:val="0"/>
                <w:sz w:val="24"/>
                <w:szCs w:val="24"/>
                <w:lang w:eastAsia="en-US"/>
              </w:rPr>
              <w:t>以加固维修、更新改造为主，同步推进既有房屋抗震隐患整治；完善危旧房常态化管理机制。</w:t>
            </w:r>
          </w:p>
        </w:tc>
        <w:tc>
          <w:tcPr>
            <w:tcW w:w="595" w:type="pct"/>
            <w:shd w:val="clear" w:color="auto" w:fill="auto"/>
            <w:tcMar>
              <w:top w:w="85" w:type="dxa"/>
              <w:left w:w="110" w:type="dxa"/>
              <w:bottom w:w="85" w:type="dxa"/>
              <w:right w:w="110" w:type="dxa"/>
            </w:tcMar>
            <w:vAlign w:val="center"/>
          </w:tcPr>
          <w:p w14:paraId="44DA73E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年完成首轮排查和分类安排；</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年滚动治理、动态更新</w:t>
            </w:r>
          </w:p>
        </w:tc>
        <w:tc>
          <w:tcPr>
            <w:tcW w:w="412" w:type="pct"/>
            <w:shd w:val="clear" w:color="auto" w:fill="auto"/>
            <w:tcMar>
              <w:top w:w="85" w:type="dxa"/>
              <w:left w:w="110" w:type="dxa"/>
              <w:bottom w:w="85" w:type="dxa"/>
              <w:right w:w="110" w:type="dxa"/>
            </w:tcMar>
            <w:vAlign w:val="center"/>
          </w:tcPr>
          <w:p w14:paraId="4629834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5640AE7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市自然资源局、市应急管理局、市消防救援局，各县（市、区）政府（管委会）</w:t>
            </w:r>
          </w:p>
        </w:tc>
      </w:tr>
      <w:tr w14:paraId="272C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1CD8AAE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37</w:t>
            </w:r>
          </w:p>
        </w:tc>
        <w:tc>
          <w:tcPr>
            <w:tcW w:w="411" w:type="pct"/>
            <w:vMerge w:val="continue"/>
            <w:shd w:val="clear" w:color="auto" w:fill="auto"/>
            <w:tcMar>
              <w:top w:w="85" w:type="dxa"/>
              <w:left w:w="110" w:type="dxa"/>
              <w:bottom w:w="85" w:type="dxa"/>
              <w:right w:w="110" w:type="dxa"/>
            </w:tcMar>
            <w:vAlign w:val="center"/>
          </w:tcPr>
          <w:p w14:paraId="2D71CE0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5585770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2707E15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危旧房改造资金</w:t>
            </w:r>
          </w:p>
        </w:tc>
        <w:tc>
          <w:tcPr>
            <w:tcW w:w="1946" w:type="pct"/>
            <w:shd w:val="clear" w:color="auto" w:fill="auto"/>
            <w:tcMar>
              <w:top w:w="85" w:type="dxa"/>
              <w:left w:w="110" w:type="dxa"/>
              <w:bottom w:w="85" w:type="dxa"/>
              <w:right w:w="110" w:type="dxa"/>
            </w:tcMar>
            <w:vAlign w:val="center"/>
          </w:tcPr>
          <w:p w14:paraId="77ADE76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积极申报超长期特别国债、中央及省级危旧房改造补助等政策性资金；健全“自主更新、原拆原建”危旧房改造更新模式，拓宽资金保障渠道，</w:t>
            </w:r>
            <w:r>
              <w:rPr>
                <w:rFonts w:hint="eastAsia" w:ascii="仿宋_GB2312" w:hAnsi="仿宋_GB2312" w:cs="仿宋_GB2312"/>
                <w:color w:val="auto"/>
                <w:kern w:val="0"/>
                <w:sz w:val="24"/>
                <w:szCs w:val="24"/>
                <w:lang w:eastAsia="en-US"/>
              </w:rPr>
              <w:t>支持提取和使用住房公积金贷款用于危旧住房自主更新、原拆原建</w:t>
            </w:r>
            <w:r>
              <w:rPr>
                <w:rFonts w:hint="eastAsia" w:ascii="仿宋_GB2312" w:hAnsi="仿宋_GB2312" w:eastAsia="仿宋_GB2312" w:cs="仿宋_GB2312"/>
                <w:b w:val="0"/>
                <w:color w:val="auto"/>
                <w:kern w:val="0"/>
                <w:sz w:val="24"/>
                <w:szCs w:val="24"/>
                <w:lang w:eastAsia="en-US"/>
              </w:rPr>
              <w:t>。</w:t>
            </w:r>
          </w:p>
        </w:tc>
        <w:tc>
          <w:tcPr>
            <w:tcW w:w="595" w:type="pct"/>
            <w:shd w:val="clear" w:color="auto" w:fill="auto"/>
            <w:tcMar>
              <w:top w:w="85" w:type="dxa"/>
              <w:left w:w="110" w:type="dxa"/>
              <w:bottom w:w="85" w:type="dxa"/>
              <w:right w:w="110" w:type="dxa"/>
            </w:tcMar>
            <w:vAlign w:val="center"/>
          </w:tcPr>
          <w:p w14:paraId="34791A2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年推进项目谋划、资金申报和更新模式完善；</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年按项目条件实施</w:t>
            </w:r>
          </w:p>
        </w:tc>
        <w:tc>
          <w:tcPr>
            <w:tcW w:w="412" w:type="pct"/>
            <w:shd w:val="clear" w:color="auto" w:fill="auto"/>
            <w:tcMar>
              <w:top w:w="85" w:type="dxa"/>
              <w:left w:w="110" w:type="dxa"/>
              <w:bottom w:w="85" w:type="dxa"/>
              <w:right w:w="110" w:type="dxa"/>
            </w:tcMar>
            <w:vAlign w:val="center"/>
          </w:tcPr>
          <w:p w14:paraId="4C050C9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2EEF1EB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市发展改革局、市财政局、</w:t>
            </w:r>
            <w:r>
              <w:rPr>
                <w:rFonts w:hint="eastAsia" w:ascii="仿宋_GB2312" w:hAnsi="仿宋_GB2312" w:cs="仿宋_GB2312"/>
                <w:b w:val="0"/>
                <w:color w:val="auto"/>
                <w:kern w:val="0"/>
                <w:sz w:val="24"/>
                <w:szCs w:val="24"/>
                <w:lang w:val="en-US" w:eastAsia="zh-CN"/>
              </w:rPr>
              <w:t>市住房公积金管理中心、</w:t>
            </w:r>
            <w:r>
              <w:rPr>
                <w:rFonts w:hint="eastAsia" w:ascii="仿宋_GB2312" w:hAnsi="仿宋_GB2312" w:eastAsia="仿宋_GB2312" w:cs="仿宋_GB2312"/>
                <w:b w:val="0"/>
                <w:color w:val="auto"/>
                <w:kern w:val="0"/>
                <w:sz w:val="24"/>
                <w:szCs w:val="24"/>
                <w:lang w:eastAsia="en-US"/>
              </w:rPr>
              <w:t>市自然资源局，各县（市、区）政府（管委会）</w:t>
            </w:r>
          </w:p>
        </w:tc>
      </w:tr>
      <w:tr w14:paraId="346C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5D957DB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38</w:t>
            </w:r>
          </w:p>
        </w:tc>
        <w:tc>
          <w:tcPr>
            <w:tcW w:w="411" w:type="pct"/>
            <w:vMerge w:val="continue"/>
            <w:shd w:val="clear" w:color="auto" w:fill="auto"/>
            <w:tcMar>
              <w:top w:w="85" w:type="dxa"/>
              <w:left w:w="110" w:type="dxa"/>
              <w:bottom w:w="85" w:type="dxa"/>
              <w:right w:w="110" w:type="dxa"/>
            </w:tcMar>
            <w:vAlign w:val="center"/>
          </w:tcPr>
          <w:p w14:paraId="2BB3C8B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35906B3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1B5029C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老旧小区体检建库和工程改造</w:t>
            </w:r>
          </w:p>
        </w:tc>
        <w:tc>
          <w:tcPr>
            <w:tcW w:w="1946" w:type="pct"/>
            <w:shd w:val="clear" w:color="auto" w:fill="auto"/>
            <w:tcMar>
              <w:top w:w="85" w:type="dxa"/>
              <w:left w:w="110" w:type="dxa"/>
              <w:bottom w:w="85" w:type="dxa"/>
              <w:right w:w="110" w:type="dxa"/>
            </w:tcMar>
            <w:vAlign w:val="center"/>
          </w:tcPr>
          <w:p w14:paraId="5BA2503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坚持先体检、后更新，重点对建成</w:t>
            </w:r>
            <w:r>
              <w:rPr>
                <w:rFonts w:hint="eastAsia" w:ascii="Times New Roman" w:hAnsi="Times New Roman" w:eastAsia="仿宋_GB2312" w:cs="仿宋_GB2312"/>
                <w:b w:val="0"/>
                <w:color w:val="auto"/>
                <w:kern w:val="0"/>
                <w:sz w:val="24"/>
                <w:szCs w:val="24"/>
                <w:lang w:eastAsia="en-US"/>
              </w:rPr>
              <w:t>20</w:t>
            </w:r>
            <w:r>
              <w:rPr>
                <w:rFonts w:hint="eastAsia" w:ascii="仿宋_GB2312" w:hAnsi="仿宋_GB2312" w:eastAsia="仿宋_GB2312" w:cs="仿宋_GB2312"/>
                <w:b w:val="0"/>
                <w:color w:val="auto"/>
                <w:kern w:val="0"/>
                <w:sz w:val="24"/>
                <w:szCs w:val="24"/>
                <w:lang w:eastAsia="en-US"/>
              </w:rPr>
              <w:t>年及以上的城镇住宅小区开展专项体检，建立项目储备库，实行滚动实施、分类推进；更新改造燃气、供水、排水、供电、通信等老化管线，整治楼栋走道、烟道、通风井以及屋面、外墙等重点部位，推进屋面防水、外墙防脱落、雨污分流和积水点治理，推动小区内部管线与城市市政管网衔接；盘活小区存量空间，完善嵌入式服务设施。</w:t>
            </w:r>
          </w:p>
        </w:tc>
        <w:tc>
          <w:tcPr>
            <w:tcW w:w="595" w:type="pct"/>
            <w:shd w:val="clear" w:color="auto" w:fill="auto"/>
            <w:tcMar>
              <w:top w:w="85" w:type="dxa"/>
              <w:left w:w="110" w:type="dxa"/>
              <w:bottom w:w="85" w:type="dxa"/>
              <w:right w:w="110" w:type="dxa"/>
            </w:tcMar>
            <w:vAlign w:val="center"/>
          </w:tcPr>
          <w:p w14:paraId="42415CE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年开展专项体检、完善项目储备库并推进年度项目；</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年按年度计划滚动实施</w:t>
            </w:r>
          </w:p>
        </w:tc>
        <w:tc>
          <w:tcPr>
            <w:tcW w:w="412" w:type="pct"/>
            <w:shd w:val="clear" w:color="auto" w:fill="auto"/>
            <w:tcMar>
              <w:top w:w="85" w:type="dxa"/>
              <w:left w:w="110" w:type="dxa"/>
              <w:bottom w:w="85" w:type="dxa"/>
              <w:right w:w="110" w:type="dxa"/>
            </w:tcMar>
            <w:vAlign w:val="center"/>
          </w:tcPr>
          <w:p w14:paraId="491199F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63B6335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市发展改革局、市财政局、市城市管理和综合执法局、市水务局、市消防救援局、广东电网湛江供电局，各县（市、区）政府（管委会）</w:t>
            </w:r>
          </w:p>
        </w:tc>
      </w:tr>
      <w:tr w14:paraId="5738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1FA7FD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39</w:t>
            </w:r>
          </w:p>
        </w:tc>
        <w:tc>
          <w:tcPr>
            <w:tcW w:w="411" w:type="pct"/>
            <w:vMerge w:val="continue"/>
            <w:shd w:val="clear" w:color="auto" w:fill="auto"/>
            <w:tcMar>
              <w:top w:w="85" w:type="dxa"/>
              <w:left w:w="110" w:type="dxa"/>
              <w:bottom w:w="85" w:type="dxa"/>
              <w:right w:w="110" w:type="dxa"/>
            </w:tcMar>
            <w:vAlign w:val="center"/>
          </w:tcPr>
          <w:p w14:paraId="5E06183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12A6C4A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3E5604D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改造资金共担、居民参与和长效管护</w:t>
            </w:r>
          </w:p>
        </w:tc>
        <w:tc>
          <w:tcPr>
            <w:tcW w:w="1946" w:type="pct"/>
            <w:shd w:val="clear" w:color="auto" w:fill="auto"/>
            <w:tcMar>
              <w:top w:w="85" w:type="dxa"/>
              <w:left w:w="110" w:type="dxa"/>
              <w:bottom w:w="85" w:type="dxa"/>
              <w:right w:w="110" w:type="dxa"/>
            </w:tcMar>
            <w:vAlign w:val="center"/>
          </w:tcPr>
          <w:p w14:paraId="61FCC7F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建立多元资金共担机制，积极争取超长期特别国债以及中央、省级专项补助资金，统筹地方财政、专业经营单位投入、居民出资和社会资本；引导居民通过直接出资、使用住宅专项维修资金、使用小区公共收益等方式参与改造；落实住房公积金加装电梯、老旧电梯更新支持政策，畅通居民全过程参与改造决策、监督、评价渠道；完善长效管护机制，推动改造成果与物业服务衔接。</w:t>
            </w:r>
          </w:p>
        </w:tc>
        <w:tc>
          <w:tcPr>
            <w:tcW w:w="595" w:type="pct"/>
            <w:shd w:val="clear" w:color="auto" w:fill="auto"/>
            <w:tcMar>
              <w:top w:w="85" w:type="dxa"/>
              <w:left w:w="110" w:type="dxa"/>
              <w:bottom w:w="85" w:type="dxa"/>
              <w:right w:w="110" w:type="dxa"/>
            </w:tcMar>
            <w:vAlign w:val="center"/>
          </w:tcPr>
          <w:p w14:paraId="4E88800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资金筹措和居民参与随项目同步推进；长效管护安排在项目实施阶段建立，规划期内持续执行</w:t>
            </w:r>
          </w:p>
        </w:tc>
        <w:tc>
          <w:tcPr>
            <w:tcW w:w="412" w:type="pct"/>
            <w:shd w:val="clear" w:color="auto" w:fill="auto"/>
            <w:tcMar>
              <w:top w:w="85" w:type="dxa"/>
              <w:left w:w="110" w:type="dxa"/>
              <w:bottom w:w="85" w:type="dxa"/>
              <w:right w:w="110" w:type="dxa"/>
            </w:tcMar>
            <w:vAlign w:val="center"/>
          </w:tcPr>
          <w:p w14:paraId="008A3BF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5F08684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市发展改革局、市财政局、市住房公积金管理中心、市民政局、市市场监管局，各县（市、区）政府（管委会）</w:t>
            </w:r>
          </w:p>
        </w:tc>
      </w:tr>
      <w:tr w14:paraId="7FDC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23CBD99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40</w:t>
            </w:r>
          </w:p>
        </w:tc>
        <w:tc>
          <w:tcPr>
            <w:tcW w:w="411" w:type="pct"/>
            <w:vMerge w:val="continue"/>
            <w:shd w:val="clear" w:color="auto" w:fill="auto"/>
            <w:tcMar>
              <w:top w:w="85" w:type="dxa"/>
              <w:left w:w="110" w:type="dxa"/>
              <w:bottom w:w="85" w:type="dxa"/>
              <w:right w:w="110" w:type="dxa"/>
            </w:tcMar>
            <w:vAlign w:val="center"/>
          </w:tcPr>
          <w:p w14:paraId="0A18509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504C0C4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有序推进城中村改造</w:t>
            </w:r>
          </w:p>
        </w:tc>
        <w:tc>
          <w:tcPr>
            <w:tcW w:w="416" w:type="pct"/>
            <w:shd w:val="clear" w:color="auto" w:fill="auto"/>
            <w:tcMar>
              <w:top w:w="85" w:type="dxa"/>
              <w:left w:w="110" w:type="dxa"/>
              <w:bottom w:w="85" w:type="dxa"/>
              <w:right w:w="110" w:type="dxa"/>
            </w:tcMar>
            <w:vAlign w:val="center"/>
          </w:tcPr>
          <w:p w14:paraId="23D924D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城中村改造项目分类实施</w:t>
            </w:r>
          </w:p>
        </w:tc>
        <w:tc>
          <w:tcPr>
            <w:tcW w:w="1946" w:type="pct"/>
            <w:shd w:val="clear" w:color="auto" w:fill="auto"/>
            <w:tcMar>
              <w:top w:w="85" w:type="dxa"/>
              <w:left w:w="110" w:type="dxa"/>
              <w:bottom w:w="85" w:type="dxa"/>
              <w:right w:w="110" w:type="dxa"/>
            </w:tcMar>
            <w:vAlign w:val="center"/>
          </w:tcPr>
          <w:p w14:paraId="48FD1B0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坚持“一村一策”，分类采取拆除新建、整治提升、拆整结合等方式推进城中村改造；优先改造群众意愿强烈、城市安全和社会治理隐患多的项目；落实“一项目两方案”，科学统筹项目资金筹措，确保项目资金平衡、征收补偿方案稳妥可行。</w:t>
            </w:r>
          </w:p>
        </w:tc>
        <w:tc>
          <w:tcPr>
            <w:tcW w:w="595" w:type="pct"/>
            <w:shd w:val="clear" w:color="auto" w:fill="auto"/>
            <w:tcMar>
              <w:top w:w="85" w:type="dxa"/>
              <w:left w:w="110" w:type="dxa"/>
              <w:bottom w:w="85" w:type="dxa"/>
              <w:right w:w="110" w:type="dxa"/>
            </w:tcMar>
            <w:vAlign w:val="center"/>
          </w:tcPr>
          <w:p w14:paraId="484792D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年完善项目分类安排和“一项目两方案”；</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年按项目条件滚动实施</w:t>
            </w:r>
          </w:p>
        </w:tc>
        <w:tc>
          <w:tcPr>
            <w:tcW w:w="412" w:type="pct"/>
            <w:shd w:val="clear" w:color="auto" w:fill="auto"/>
            <w:tcMar>
              <w:top w:w="85" w:type="dxa"/>
              <w:left w:w="110" w:type="dxa"/>
              <w:bottom w:w="85" w:type="dxa"/>
              <w:right w:w="110" w:type="dxa"/>
            </w:tcMar>
            <w:vAlign w:val="center"/>
          </w:tcPr>
          <w:p w14:paraId="196FA5B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06808DF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市自然资源局、市发展改革局、市财政局，各县（市、区）政府（管委会）</w:t>
            </w:r>
          </w:p>
        </w:tc>
      </w:tr>
      <w:tr w14:paraId="0CE4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63807BD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41</w:t>
            </w:r>
          </w:p>
        </w:tc>
        <w:tc>
          <w:tcPr>
            <w:tcW w:w="411" w:type="pct"/>
            <w:vMerge w:val="continue"/>
            <w:shd w:val="clear" w:color="auto" w:fill="auto"/>
            <w:tcMar>
              <w:top w:w="85" w:type="dxa"/>
              <w:left w:w="110" w:type="dxa"/>
              <w:bottom w:w="85" w:type="dxa"/>
              <w:right w:w="110" w:type="dxa"/>
            </w:tcMar>
            <w:vAlign w:val="center"/>
          </w:tcPr>
          <w:p w14:paraId="2D9C7CA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7504AA9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7273721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highlight w:val="none"/>
                <w:lang w:eastAsia="en-US"/>
              </w:rPr>
            </w:pPr>
            <w:r>
              <w:rPr>
                <w:rFonts w:hint="eastAsia" w:ascii="仿宋_GB2312" w:hAnsi="仿宋_GB2312" w:eastAsia="仿宋_GB2312" w:cs="仿宋_GB2312"/>
                <w:b w:val="0"/>
                <w:color w:val="000000"/>
                <w:kern w:val="0"/>
                <w:sz w:val="24"/>
                <w:szCs w:val="24"/>
                <w:highlight w:val="none"/>
                <w:lang w:eastAsia="en-US"/>
              </w:rPr>
              <w:t>历史问题协调</w:t>
            </w:r>
          </w:p>
        </w:tc>
        <w:tc>
          <w:tcPr>
            <w:tcW w:w="1946" w:type="pct"/>
            <w:shd w:val="clear" w:color="auto" w:fill="auto"/>
            <w:tcMar>
              <w:top w:w="85" w:type="dxa"/>
              <w:left w:w="110" w:type="dxa"/>
              <w:bottom w:w="85" w:type="dxa"/>
              <w:right w:w="110" w:type="dxa"/>
            </w:tcMar>
            <w:vAlign w:val="center"/>
          </w:tcPr>
          <w:p w14:paraId="23A6455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highlight w:val="none"/>
                <w:lang w:eastAsia="en-US"/>
              </w:rPr>
            </w:pPr>
            <w:r>
              <w:rPr>
                <w:rFonts w:hint="eastAsia" w:ascii="仿宋_GB2312" w:hAnsi="仿宋_GB2312" w:eastAsia="仿宋_GB2312" w:cs="仿宋_GB2312"/>
                <w:b w:val="0"/>
                <w:color w:val="auto"/>
                <w:kern w:val="0"/>
                <w:sz w:val="24"/>
                <w:szCs w:val="24"/>
                <w:highlight w:val="none"/>
                <w:lang w:eastAsia="en-US"/>
              </w:rPr>
              <w:t>建立多部门常态化协同工作机制，协调解决历史遗留问题、产权纠纷等难点；鼓励引导国企等市场主体参与改造，推动城中村成片连片改造</w:t>
            </w:r>
            <w:r>
              <w:rPr>
                <w:rFonts w:hint="eastAsia" w:ascii="仿宋_GB2312" w:hAnsi="仿宋_GB2312" w:cs="仿宋_GB2312"/>
                <w:b w:val="0"/>
                <w:color w:val="auto"/>
                <w:kern w:val="0"/>
                <w:sz w:val="24"/>
                <w:szCs w:val="24"/>
                <w:highlight w:val="none"/>
                <w:lang w:eastAsia="zh-CN"/>
              </w:rPr>
              <w:t>。</w:t>
            </w:r>
          </w:p>
        </w:tc>
        <w:tc>
          <w:tcPr>
            <w:tcW w:w="595" w:type="pct"/>
            <w:shd w:val="clear" w:color="auto" w:fill="auto"/>
            <w:tcMar>
              <w:top w:w="85" w:type="dxa"/>
              <w:left w:w="110" w:type="dxa"/>
              <w:bottom w:w="85" w:type="dxa"/>
              <w:right w:w="110" w:type="dxa"/>
            </w:tcMar>
            <w:vAlign w:val="center"/>
          </w:tcPr>
          <w:p w14:paraId="2888D58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年完善部门协同工作安排；历史问题处置持续推进</w:t>
            </w:r>
          </w:p>
        </w:tc>
        <w:tc>
          <w:tcPr>
            <w:tcW w:w="412" w:type="pct"/>
            <w:shd w:val="clear" w:color="auto" w:fill="auto"/>
            <w:tcMar>
              <w:top w:w="85" w:type="dxa"/>
              <w:left w:w="110" w:type="dxa"/>
              <w:bottom w:w="85" w:type="dxa"/>
              <w:right w:w="110" w:type="dxa"/>
            </w:tcMar>
            <w:vAlign w:val="center"/>
          </w:tcPr>
          <w:p w14:paraId="01F5485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08F9A55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市自然资源局、市国资委、市公安局、市司法局，各县（市、区）政府（管委会）</w:t>
            </w:r>
          </w:p>
        </w:tc>
      </w:tr>
      <w:tr w14:paraId="7529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03A88D0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42</w:t>
            </w:r>
          </w:p>
        </w:tc>
        <w:tc>
          <w:tcPr>
            <w:tcW w:w="411" w:type="pct"/>
            <w:vMerge w:val="restart"/>
            <w:shd w:val="clear" w:color="auto" w:fill="auto"/>
            <w:tcMar>
              <w:top w:w="85" w:type="dxa"/>
              <w:left w:w="110" w:type="dxa"/>
              <w:bottom w:w="85" w:type="dxa"/>
              <w:right w:w="110" w:type="dxa"/>
            </w:tcMar>
            <w:vAlign w:val="center"/>
          </w:tcPr>
          <w:p w14:paraId="79E9686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（五）深化住房改革，加速产业转型升级</w:t>
            </w:r>
          </w:p>
        </w:tc>
        <w:tc>
          <w:tcPr>
            <w:tcW w:w="421" w:type="pct"/>
            <w:vMerge w:val="restart"/>
            <w:shd w:val="clear" w:color="auto" w:fill="auto"/>
            <w:tcMar>
              <w:top w:w="85" w:type="dxa"/>
              <w:left w:w="110" w:type="dxa"/>
              <w:bottom w:w="85" w:type="dxa"/>
              <w:right w:w="110" w:type="dxa"/>
            </w:tcMar>
            <w:vAlign w:val="center"/>
          </w:tcPr>
          <w:p w14:paraId="112A85B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建立“人、房、地、钱”要素联动机制</w:t>
            </w:r>
          </w:p>
        </w:tc>
        <w:tc>
          <w:tcPr>
            <w:tcW w:w="416" w:type="pct"/>
            <w:shd w:val="clear" w:color="auto" w:fill="auto"/>
            <w:tcMar>
              <w:top w:w="85" w:type="dxa"/>
              <w:left w:w="110" w:type="dxa"/>
              <w:bottom w:w="85" w:type="dxa"/>
              <w:right w:w="110" w:type="dxa"/>
            </w:tcMar>
            <w:vAlign w:val="center"/>
          </w:tcPr>
          <w:p w14:paraId="041573C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住宅用地年度供应联动</w:t>
            </w:r>
          </w:p>
        </w:tc>
        <w:tc>
          <w:tcPr>
            <w:tcW w:w="1946" w:type="pct"/>
            <w:shd w:val="clear" w:color="auto" w:fill="auto"/>
            <w:tcMar>
              <w:top w:w="85" w:type="dxa"/>
              <w:left w:w="110" w:type="dxa"/>
              <w:bottom w:w="85" w:type="dxa"/>
              <w:right w:w="110" w:type="dxa"/>
            </w:tcMar>
            <w:vAlign w:val="center"/>
          </w:tcPr>
          <w:p w14:paraId="4D3DFBB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建立健全以住房需求为导向的住宅用地供应机制，依据人、房、地、钱等要素情况深化商品住房全口径库存去化周期研究，合理确定住宅用地供应安排。</w:t>
            </w:r>
          </w:p>
        </w:tc>
        <w:tc>
          <w:tcPr>
            <w:tcW w:w="595" w:type="pct"/>
            <w:shd w:val="clear" w:color="auto" w:fill="auto"/>
            <w:tcMar>
              <w:top w:w="85" w:type="dxa"/>
              <w:left w:w="110" w:type="dxa"/>
              <w:bottom w:w="85" w:type="dxa"/>
              <w:right w:w="110" w:type="dxa"/>
            </w:tcMar>
            <w:vAlign w:val="center"/>
          </w:tcPr>
          <w:p w14:paraId="1208877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每年编制并实施住宅用地供应计划，</w:t>
            </w: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年根据住房需求和市场变化滚动调整</w:t>
            </w:r>
          </w:p>
        </w:tc>
        <w:tc>
          <w:tcPr>
            <w:tcW w:w="412" w:type="pct"/>
            <w:shd w:val="clear" w:color="auto" w:fill="auto"/>
            <w:tcMar>
              <w:top w:w="85" w:type="dxa"/>
              <w:left w:w="110" w:type="dxa"/>
              <w:bottom w:w="85" w:type="dxa"/>
              <w:right w:w="110" w:type="dxa"/>
            </w:tcMar>
            <w:vAlign w:val="center"/>
          </w:tcPr>
          <w:p w14:paraId="7361177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w:t>
            </w:r>
          </w:p>
        </w:tc>
        <w:tc>
          <w:tcPr>
            <w:tcW w:w="628" w:type="pct"/>
            <w:shd w:val="clear" w:color="auto" w:fill="auto"/>
            <w:tcMar>
              <w:top w:w="85" w:type="dxa"/>
              <w:left w:w="110" w:type="dxa"/>
              <w:bottom w:w="85" w:type="dxa"/>
              <w:right w:w="110" w:type="dxa"/>
            </w:tcMar>
            <w:vAlign w:val="center"/>
          </w:tcPr>
          <w:p w14:paraId="2EE2F68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市住房城乡建设局、市发展改革局、市统计局，各县（市、区）政府（管委会）</w:t>
            </w:r>
          </w:p>
        </w:tc>
      </w:tr>
      <w:tr w14:paraId="21DA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1604789E">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43</w:t>
            </w:r>
          </w:p>
        </w:tc>
        <w:tc>
          <w:tcPr>
            <w:tcW w:w="411" w:type="pct"/>
            <w:vMerge w:val="continue"/>
            <w:shd w:val="clear" w:color="auto" w:fill="auto"/>
            <w:tcMar>
              <w:top w:w="85" w:type="dxa"/>
              <w:left w:w="110" w:type="dxa"/>
              <w:bottom w:w="85" w:type="dxa"/>
              <w:right w:w="110" w:type="dxa"/>
            </w:tcMar>
            <w:vAlign w:val="center"/>
          </w:tcPr>
          <w:p w14:paraId="298AC9E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1B503EE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5CED519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跨部门要素信息共享和全链条监管</w:t>
            </w:r>
          </w:p>
        </w:tc>
        <w:tc>
          <w:tcPr>
            <w:tcW w:w="1946" w:type="pct"/>
            <w:shd w:val="clear" w:color="auto" w:fill="auto"/>
            <w:tcMar>
              <w:top w:w="85" w:type="dxa"/>
              <w:left w:w="110" w:type="dxa"/>
              <w:bottom w:w="85" w:type="dxa"/>
              <w:right w:w="110" w:type="dxa"/>
            </w:tcMar>
            <w:vAlign w:val="center"/>
          </w:tcPr>
          <w:p w14:paraId="6A6D510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推进跨部门要素信息互通共享，打通土地供应、开发建设、投资融资、房屋交易数据链条，实现项目全链条统计研判与动态监管，覆盖新建商品住房、二手住房、住房租赁各类市场业态。</w:t>
            </w:r>
          </w:p>
        </w:tc>
        <w:tc>
          <w:tcPr>
            <w:tcW w:w="595" w:type="pct"/>
            <w:shd w:val="clear" w:color="auto" w:fill="auto"/>
            <w:tcMar>
              <w:top w:w="85" w:type="dxa"/>
              <w:left w:w="110" w:type="dxa"/>
              <w:bottom w:w="85" w:type="dxa"/>
              <w:right w:w="110" w:type="dxa"/>
            </w:tcMar>
            <w:vAlign w:val="center"/>
          </w:tcPr>
          <w:p w14:paraId="27D2F4A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年开展平台总体设计、数据口径和共享衔接；</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年推进核心功能建设；</w:t>
            </w:r>
            <w:r>
              <w:rPr>
                <w:rFonts w:hint="eastAsia" w:ascii="Times New Roman" w:hAnsi="Times New Roman" w:eastAsia="仿宋_GB2312" w:cs="仿宋_GB2312"/>
                <w:b w:val="0"/>
                <w:color w:val="auto"/>
                <w:kern w:val="0"/>
                <w:sz w:val="24"/>
                <w:szCs w:val="24"/>
                <w:lang w:eastAsia="en-US"/>
              </w:rPr>
              <w:t>2029</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年持续完善</w:t>
            </w:r>
          </w:p>
        </w:tc>
        <w:tc>
          <w:tcPr>
            <w:tcW w:w="412" w:type="pct"/>
            <w:shd w:val="clear" w:color="auto" w:fill="auto"/>
            <w:tcMar>
              <w:top w:w="85" w:type="dxa"/>
              <w:left w:w="110" w:type="dxa"/>
              <w:bottom w:w="85" w:type="dxa"/>
              <w:right w:w="110" w:type="dxa"/>
            </w:tcMar>
            <w:vAlign w:val="center"/>
          </w:tcPr>
          <w:p w14:paraId="2509364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31514A8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市政务服务和数据管理局、市自然资源局、市统计局、市公安局、市民政局、市财政局、市住房公积金管理中心、人民银行湛江市分行，各县（市、区）政府（管委会）</w:t>
            </w:r>
          </w:p>
        </w:tc>
      </w:tr>
      <w:tr w14:paraId="71BF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4A9091A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44</w:t>
            </w:r>
          </w:p>
        </w:tc>
        <w:tc>
          <w:tcPr>
            <w:tcW w:w="411" w:type="pct"/>
            <w:vMerge w:val="continue"/>
            <w:shd w:val="clear" w:color="auto" w:fill="auto"/>
            <w:tcMar>
              <w:top w:w="85" w:type="dxa"/>
              <w:left w:w="110" w:type="dxa"/>
              <w:bottom w:w="85" w:type="dxa"/>
              <w:right w:w="110" w:type="dxa"/>
            </w:tcMar>
            <w:vAlign w:val="center"/>
          </w:tcPr>
          <w:p w14:paraId="633D1D3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restart"/>
            <w:shd w:val="clear" w:color="auto" w:fill="auto"/>
            <w:tcMar>
              <w:top w:w="85" w:type="dxa"/>
              <w:left w:w="110" w:type="dxa"/>
              <w:bottom w:w="85" w:type="dxa"/>
              <w:right w:w="110" w:type="dxa"/>
            </w:tcMar>
            <w:vAlign w:val="center"/>
          </w:tcPr>
          <w:p w14:paraId="7D0DC53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有序推进商品住房销售制度改革</w:t>
            </w:r>
          </w:p>
        </w:tc>
        <w:tc>
          <w:tcPr>
            <w:tcW w:w="416" w:type="pct"/>
            <w:shd w:val="clear" w:color="auto" w:fill="auto"/>
            <w:tcMar>
              <w:top w:w="85" w:type="dxa"/>
              <w:left w:w="110" w:type="dxa"/>
              <w:bottom w:w="85" w:type="dxa"/>
              <w:right w:w="110" w:type="dxa"/>
            </w:tcMar>
            <w:vAlign w:val="center"/>
          </w:tcPr>
          <w:p w14:paraId="66B97AE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商品住房预售监管和预验房</w:t>
            </w:r>
          </w:p>
        </w:tc>
        <w:tc>
          <w:tcPr>
            <w:tcW w:w="1946" w:type="pct"/>
            <w:shd w:val="clear" w:color="auto" w:fill="auto"/>
            <w:tcMar>
              <w:top w:w="85" w:type="dxa"/>
              <w:left w:w="110" w:type="dxa"/>
              <w:bottom w:w="85" w:type="dxa"/>
              <w:right w:w="110" w:type="dxa"/>
            </w:tcMar>
            <w:vAlign w:val="center"/>
          </w:tcPr>
          <w:p w14:paraId="6A9DA9F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逐步提高预售门槛，加强预售全链条监管；探索实施“先验房、后交房”预验房制度，维护购房者合法权益。</w:t>
            </w:r>
          </w:p>
        </w:tc>
        <w:tc>
          <w:tcPr>
            <w:tcW w:w="595" w:type="pct"/>
            <w:shd w:val="clear" w:color="auto" w:fill="auto"/>
            <w:tcMar>
              <w:top w:w="85" w:type="dxa"/>
              <w:left w:w="110" w:type="dxa"/>
              <w:bottom w:w="85" w:type="dxa"/>
              <w:right w:w="110" w:type="dxa"/>
            </w:tcMar>
            <w:vAlign w:val="center"/>
          </w:tcPr>
          <w:p w14:paraId="0A74605C">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年完善预售监管和预验房工作安排；</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年开展预验房试点；</w:t>
            </w:r>
            <w:r>
              <w:rPr>
                <w:rFonts w:hint="eastAsia" w:ascii="Times New Roman" w:hAnsi="Times New Roman" w:eastAsia="仿宋_GB2312" w:cs="仿宋_GB2312"/>
                <w:b w:val="0"/>
                <w:color w:val="auto"/>
                <w:kern w:val="0"/>
                <w:sz w:val="24"/>
                <w:szCs w:val="24"/>
                <w:lang w:eastAsia="en-US"/>
              </w:rPr>
              <w:t>2029</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年评估推进</w:t>
            </w:r>
          </w:p>
        </w:tc>
        <w:tc>
          <w:tcPr>
            <w:tcW w:w="412" w:type="pct"/>
            <w:shd w:val="clear" w:color="auto" w:fill="auto"/>
            <w:tcMar>
              <w:top w:w="85" w:type="dxa"/>
              <w:left w:w="110" w:type="dxa"/>
              <w:bottom w:w="85" w:type="dxa"/>
              <w:right w:w="110" w:type="dxa"/>
            </w:tcMar>
            <w:vAlign w:val="center"/>
          </w:tcPr>
          <w:p w14:paraId="3ADBD0F3">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0B23FA24">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市自然资源局、市市场监管局，各县（市、区）政府（管委会）</w:t>
            </w:r>
          </w:p>
        </w:tc>
      </w:tr>
      <w:tr w14:paraId="1698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237F100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45</w:t>
            </w:r>
          </w:p>
        </w:tc>
        <w:tc>
          <w:tcPr>
            <w:tcW w:w="411" w:type="pct"/>
            <w:vMerge w:val="continue"/>
            <w:shd w:val="clear" w:color="auto" w:fill="auto"/>
            <w:tcMar>
              <w:top w:w="85" w:type="dxa"/>
              <w:left w:w="110" w:type="dxa"/>
              <w:bottom w:w="85" w:type="dxa"/>
              <w:right w:w="110" w:type="dxa"/>
            </w:tcMar>
            <w:vAlign w:val="center"/>
          </w:tcPr>
          <w:p w14:paraId="28C0F09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vMerge w:val="continue"/>
            <w:shd w:val="clear" w:color="auto" w:fill="auto"/>
            <w:tcMar>
              <w:top w:w="85" w:type="dxa"/>
              <w:left w:w="110" w:type="dxa"/>
              <w:bottom w:w="85" w:type="dxa"/>
              <w:right w:w="110" w:type="dxa"/>
            </w:tcMar>
            <w:vAlign w:val="center"/>
          </w:tcPr>
          <w:p w14:paraId="199E3B7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16" w:type="pct"/>
            <w:shd w:val="clear" w:color="auto" w:fill="auto"/>
            <w:tcMar>
              <w:top w:w="85" w:type="dxa"/>
              <w:left w:w="110" w:type="dxa"/>
              <w:bottom w:w="85" w:type="dxa"/>
              <w:right w:w="110" w:type="dxa"/>
            </w:tcMar>
            <w:vAlign w:val="center"/>
          </w:tcPr>
          <w:p w14:paraId="6A7D358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商品住房现房销售试点</w:t>
            </w:r>
          </w:p>
        </w:tc>
        <w:tc>
          <w:tcPr>
            <w:tcW w:w="1946" w:type="pct"/>
            <w:shd w:val="clear" w:color="auto" w:fill="auto"/>
            <w:tcMar>
              <w:top w:w="85" w:type="dxa"/>
              <w:left w:w="110" w:type="dxa"/>
              <w:bottom w:w="85" w:type="dxa"/>
              <w:right w:w="110" w:type="dxa"/>
            </w:tcMar>
            <w:vAlign w:val="center"/>
          </w:tcPr>
          <w:p w14:paraId="6CD6098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探索建立商品住房现房销售制度，引导有实力的房地产开发企业开展现房销售试点，从税费支持、金融服务、流程审批、质量监管与激励等方面完善保障措施，逐步提升现房销售比例。</w:t>
            </w:r>
          </w:p>
        </w:tc>
        <w:tc>
          <w:tcPr>
            <w:tcW w:w="595" w:type="pct"/>
            <w:shd w:val="clear" w:color="auto" w:fill="auto"/>
            <w:tcMar>
              <w:top w:w="85" w:type="dxa"/>
              <w:left w:w="110" w:type="dxa"/>
              <w:bottom w:w="85" w:type="dxa"/>
              <w:right w:w="110" w:type="dxa"/>
            </w:tcMar>
            <w:vAlign w:val="center"/>
          </w:tcPr>
          <w:p w14:paraId="55A261B9">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年研究试点配套措施；</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2029</w:t>
            </w:r>
            <w:r>
              <w:rPr>
                <w:rFonts w:hint="eastAsia" w:ascii="仿宋_GB2312" w:hAnsi="仿宋_GB2312" w:eastAsia="仿宋_GB2312" w:cs="仿宋_GB2312"/>
                <w:b w:val="0"/>
                <w:color w:val="auto"/>
                <w:kern w:val="0"/>
                <w:sz w:val="24"/>
                <w:szCs w:val="24"/>
                <w:lang w:eastAsia="en-US"/>
              </w:rPr>
              <w:t>年推进具备条件的项目试点；</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年总结评估</w:t>
            </w:r>
          </w:p>
        </w:tc>
        <w:tc>
          <w:tcPr>
            <w:tcW w:w="412" w:type="pct"/>
            <w:shd w:val="clear" w:color="auto" w:fill="auto"/>
            <w:tcMar>
              <w:top w:w="85" w:type="dxa"/>
              <w:left w:w="110" w:type="dxa"/>
              <w:bottom w:w="85" w:type="dxa"/>
              <w:right w:w="110" w:type="dxa"/>
            </w:tcMar>
            <w:vAlign w:val="center"/>
          </w:tcPr>
          <w:p w14:paraId="3F01A73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073BE225">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市自然资源局、市财政局、市税务局、市市场监管局、人民银行湛江市分行、国家金融监督管理总局湛江监管分局，各县（市、区）政府（管委会）</w:t>
            </w:r>
          </w:p>
        </w:tc>
      </w:tr>
      <w:tr w14:paraId="5267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112046C0">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46</w:t>
            </w:r>
          </w:p>
        </w:tc>
        <w:tc>
          <w:tcPr>
            <w:tcW w:w="411" w:type="pct"/>
            <w:vMerge w:val="continue"/>
            <w:shd w:val="clear" w:color="auto" w:fill="auto"/>
            <w:tcMar>
              <w:top w:w="85" w:type="dxa"/>
              <w:left w:w="110" w:type="dxa"/>
              <w:bottom w:w="85" w:type="dxa"/>
              <w:right w:w="110" w:type="dxa"/>
            </w:tcMar>
            <w:vAlign w:val="center"/>
          </w:tcPr>
          <w:p w14:paraId="425A6AD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shd w:val="clear" w:color="auto" w:fill="auto"/>
            <w:tcMar>
              <w:top w:w="85" w:type="dxa"/>
              <w:left w:w="110" w:type="dxa"/>
              <w:bottom w:w="85" w:type="dxa"/>
              <w:right w:w="110" w:type="dxa"/>
            </w:tcMar>
            <w:vAlign w:val="center"/>
          </w:tcPr>
          <w:p w14:paraId="2C1EF25B">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扎实推进房地产项目公司制度</w:t>
            </w:r>
          </w:p>
        </w:tc>
        <w:tc>
          <w:tcPr>
            <w:tcW w:w="416" w:type="pct"/>
            <w:shd w:val="clear" w:color="auto" w:fill="auto"/>
            <w:tcMar>
              <w:top w:w="85" w:type="dxa"/>
              <w:left w:w="110" w:type="dxa"/>
              <w:bottom w:w="85" w:type="dxa"/>
              <w:right w:w="110" w:type="dxa"/>
            </w:tcMar>
            <w:vAlign w:val="center"/>
          </w:tcPr>
          <w:p w14:paraId="5B01A9D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房地产项目公司制实施和全过程监管</w:t>
            </w:r>
          </w:p>
        </w:tc>
        <w:tc>
          <w:tcPr>
            <w:tcW w:w="1946" w:type="pct"/>
            <w:shd w:val="clear" w:color="auto" w:fill="auto"/>
            <w:tcMar>
              <w:top w:w="85" w:type="dxa"/>
              <w:left w:w="110" w:type="dxa"/>
              <w:bottom w:w="85" w:type="dxa"/>
              <w:right w:w="110" w:type="dxa"/>
            </w:tcMar>
            <w:vAlign w:val="center"/>
          </w:tcPr>
          <w:p w14:paraId="1D0DAD6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稳妥有序推进房地产项目公司制落地，推动房地产开发企业融资由依赖主体信用向基于项目情况转变；落实准入和退出监管，推进房地产开发企业资质审批；将资金监管至竣工验收等全过程监控落实到房地产开发项目，通过资金闭环管理、跨部门协同、信用约束和技术赋能，构建权责清晰、风险可控、市场有序的监管体系。</w:t>
            </w:r>
          </w:p>
        </w:tc>
        <w:tc>
          <w:tcPr>
            <w:tcW w:w="595" w:type="pct"/>
            <w:shd w:val="clear" w:color="auto" w:fill="auto"/>
            <w:tcMar>
              <w:top w:w="85" w:type="dxa"/>
              <w:left w:w="110" w:type="dxa"/>
              <w:bottom w:w="85" w:type="dxa"/>
              <w:right w:w="110" w:type="dxa"/>
            </w:tcMar>
            <w:vAlign w:val="center"/>
          </w:tcPr>
          <w:p w14:paraId="20E72A81">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年推进项目公司制落地和全过程监管工作衔接；</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年持续实施、评估完善</w:t>
            </w:r>
          </w:p>
        </w:tc>
        <w:tc>
          <w:tcPr>
            <w:tcW w:w="412" w:type="pct"/>
            <w:shd w:val="clear" w:color="auto" w:fill="auto"/>
            <w:tcMar>
              <w:top w:w="85" w:type="dxa"/>
              <w:left w:w="110" w:type="dxa"/>
              <w:bottom w:w="85" w:type="dxa"/>
              <w:right w:w="110" w:type="dxa"/>
            </w:tcMar>
            <w:vAlign w:val="center"/>
          </w:tcPr>
          <w:p w14:paraId="0F2442E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21559616">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市市场监管局、市自然资源局、市政务服务和数据管理局、人民银行湛江市分行、国家金融监督管理总局湛江监管分局</w:t>
            </w:r>
          </w:p>
        </w:tc>
      </w:tr>
      <w:tr w14:paraId="4570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8" w:type="pct"/>
            <w:shd w:val="clear" w:color="auto" w:fill="auto"/>
            <w:tcMar>
              <w:top w:w="85" w:type="dxa"/>
              <w:left w:w="110" w:type="dxa"/>
              <w:bottom w:w="85" w:type="dxa"/>
              <w:right w:w="110" w:type="dxa"/>
            </w:tcMar>
            <w:vAlign w:val="center"/>
          </w:tcPr>
          <w:p w14:paraId="3B7F6818">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default" w:ascii="Times New Roman" w:hAnsi="Times New Roman" w:eastAsia="仿宋_GB2312" w:cs="Times New Roman"/>
                <w:color w:val="auto"/>
                <w:kern w:val="0"/>
                <w:sz w:val="24"/>
                <w:szCs w:val="24"/>
                <w:lang w:eastAsia="en-US"/>
              </w:rPr>
            </w:pPr>
            <w:r>
              <w:rPr>
                <w:rFonts w:hint="default" w:ascii="Times New Roman" w:hAnsi="Times New Roman" w:eastAsia="仿宋_GB2312" w:cs="Times New Roman"/>
                <w:b w:val="0"/>
                <w:color w:val="auto"/>
                <w:kern w:val="0"/>
                <w:sz w:val="24"/>
                <w:szCs w:val="24"/>
                <w:lang w:eastAsia="en-US"/>
              </w:rPr>
              <w:t>47</w:t>
            </w:r>
          </w:p>
        </w:tc>
        <w:tc>
          <w:tcPr>
            <w:tcW w:w="411" w:type="pct"/>
            <w:vMerge w:val="continue"/>
            <w:shd w:val="clear" w:color="auto" w:fill="auto"/>
            <w:tcMar>
              <w:top w:w="85" w:type="dxa"/>
              <w:left w:w="110" w:type="dxa"/>
              <w:bottom w:w="85" w:type="dxa"/>
              <w:right w:w="110" w:type="dxa"/>
            </w:tcMar>
            <w:vAlign w:val="center"/>
          </w:tcPr>
          <w:p w14:paraId="415AB56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p>
        </w:tc>
        <w:tc>
          <w:tcPr>
            <w:tcW w:w="421" w:type="pct"/>
            <w:shd w:val="clear" w:color="auto" w:fill="auto"/>
            <w:tcMar>
              <w:top w:w="85" w:type="dxa"/>
              <w:left w:w="110" w:type="dxa"/>
              <w:bottom w:w="85" w:type="dxa"/>
              <w:right w:w="110" w:type="dxa"/>
            </w:tcMar>
            <w:vAlign w:val="center"/>
          </w:tcPr>
          <w:p w14:paraId="7428AEA7">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稳步实施主办银行制度</w:t>
            </w:r>
          </w:p>
        </w:tc>
        <w:tc>
          <w:tcPr>
            <w:tcW w:w="416" w:type="pct"/>
            <w:shd w:val="clear" w:color="auto" w:fill="auto"/>
            <w:tcMar>
              <w:top w:w="85" w:type="dxa"/>
              <w:left w:w="110" w:type="dxa"/>
              <w:bottom w:w="85" w:type="dxa"/>
              <w:right w:w="110" w:type="dxa"/>
            </w:tcMar>
            <w:vAlign w:val="center"/>
          </w:tcPr>
          <w:p w14:paraId="3A05C2EA">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b w:val="0"/>
                <w:color w:val="auto"/>
                <w:kern w:val="0"/>
                <w:sz w:val="24"/>
                <w:szCs w:val="24"/>
                <w:lang w:eastAsia="en-US"/>
              </w:rPr>
            </w:pPr>
            <w:r>
              <w:rPr>
                <w:rFonts w:hint="eastAsia" w:ascii="仿宋_GB2312" w:hAnsi="仿宋_GB2312" w:eastAsia="仿宋_GB2312" w:cs="仿宋_GB2312"/>
                <w:b w:val="0"/>
                <w:color w:val="000000"/>
                <w:kern w:val="0"/>
                <w:sz w:val="24"/>
                <w:szCs w:val="24"/>
                <w:lang w:eastAsia="en-US"/>
              </w:rPr>
              <w:t>主办银行资金管理和融资协调</w:t>
            </w:r>
          </w:p>
        </w:tc>
        <w:tc>
          <w:tcPr>
            <w:tcW w:w="1946" w:type="pct"/>
            <w:shd w:val="clear" w:color="auto" w:fill="auto"/>
            <w:tcMar>
              <w:top w:w="85" w:type="dxa"/>
              <w:left w:w="110" w:type="dxa"/>
              <w:bottom w:w="85" w:type="dxa"/>
              <w:right w:w="110" w:type="dxa"/>
            </w:tcMar>
            <w:vAlign w:val="center"/>
          </w:tcPr>
          <w:p w14:paraId="3EC0DE8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both"/>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探索主办银行制度，将房地产开发贷款、现房销售资金等项目相关资金存入项目开发企业在主办银行开立的资金账户，实行封闭管理、专款专用；协调主办银行按照市场化、法治化原则，满足房企项目开发全周期的合理融资需求，重点保障项目开发贷款投放、存量融资合理展期以及并购融资、配套建设融资等需求。</w:t>
            </w:r>
          </w:p>
        </w:tc>
        <w:tc>
          <w:tcPr>
            <w:tcW w:w="595" w:type="pct"/>
            <w:shd w:val="clear" w:color="auto" w:fill="auto"/>
            <w:tcMar>
              <w:top w:w="85" w:type="dxa"/>
              <w:left w:w="110" w:type="dxa"/>
              <w:bottom w:w="85" w:type="dxa"/>
              <w:right w:w="110" w:type="dxa"/>
            </w:tcMar>
            <w:vAlign w:val="center"/>
          </w:tcPr>
          <w:p w14:paraId="5501273F">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Times New Roman" w:hAnsi="Times New Roman" w:eastAsia="仿宋_GB2312" w:cs="仿宋_GB2312"/>
                <w:b w:val="0"/>
                <w:color w:val="auto"/>
                <w:kern w:val="0"/>
                <w:sz w:val="24"/>
                <w:szCs w:val="24"/>
                <w:lang w:eastAsia="en-US"/>
              </w:rPr>
              <w:t>2026</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2027</w:t>
            </w:r>
            <w:r>
              <w:rPr>
                <w:rFonts w:hint="eastAsia" w:ascii="仿宋_GB2312" w:hAnsi="仿宋_GB2312" w:eastAsia="仿宋_GB2312" w:cs="仿宋_GB2312"/>
                <w:b w:val="0"/>
                <w:color w:val="auto"/>
                <w:kern w:val="0"/>
                <w:sz w:val="24"/>
                <w:szCs w:val="24"/>
                <w:lang w:eastAsia="en-US"/>
              </w:rPr>
              <w:t>年探索完善主办银行制度和项目资金管理安排；</w:t>
            </w:r>
            <w:r>
              <w:rPr>
                <w:rFonts w:hint="eastAsia" w:ascii="Times New Roman" w:hAnsi="Times New Roman" w:eastAsia="仿宋_GB2312" w:cs="仿宋_GB2312"/>
                <w:b w:val="0"/>
                <w:color w:val="auto"/>
                <w:kern w:val="0"/>
                <w:sz w:val="24"/>
                <w:szCs w:val="24"/>
                <w:lang w:eastAsia="en-US"/>
              </w:rPr>
              <w:t>2028</w:t>
            </w:r>
            <w:r>
              <w:rPr>
                <w:rFonts w:hint="eastAsia" w:ascii="仿宋_GB2312" w:hAnsi="仿宋_GB2312" w:eastAsia="仿宋_GB2312" w:cs="仿宋_GB2312"/>
                <w:b w:val="0"/>
                <w:color w:val="auto"/>
                <w:kern w:val="0"/>
                <w:sz w:val="24"/>
                <w:szCs w:val="24"/>
                <w:lang w:eastAsia="en-US"/>
              </w:rPr>
              <w:t>—</w:t>
            </w:r>
            <w:r>
              <w:rPr>
                <w:rFonts w:hint="eastAsia" w:ascii="Times New Roman" w:hAnsi="Times New Roman" w:eastAsia="仿宋_GB2312" w:cs="仿宋_GB2312"/>
                <w:b w:val="0"/>
                <w:color w:val="auto"/>
                <w:kern w:val="0"/>
                <w:sz w:val="24"/>
                <w:szCs w:val="24"/>
                <w:lang w:eastAsia="en-US"/>
              </w:rPr>
              <w:t>2030</w:t>
            </w:r>
            <w:r>
              <w:rPr>
                <w:rFonts w:hint="eastAsia" w:ascii="仿宋_GB2312" w:hAnsi="仿宋_GB2312" w:eastAsia="仿宋_GB2312" w:cs="仿宋_GB2312"/>
                <w:b w:val="0"/>
                <w:color w:val="auto"/>
                <w:kern w:val="0"/>
                <w:sz w:val="24"/>
                <w:szCs w:val="24"/>
                <w:lang w:eastAsia="en-US"/>
              </w:rPr>
              <w:t>年在具备条件的项目中稳步实施、持续评估</w:t>
            </w:r>
          </w:p>
        </w:tc>
        <w:tc>
          <w:tcPr>
            <w:tcW w:w="412" w:type="pct"/>
            <w:shd w:val="clear" w:color="auto" w:fill="auto"/>
            <w:tcMar>
              <w:top w:w="85" w:type="dxa"/>
              <w:left w:w="110" w:type="dxa"/>
              <w:bottom w:w="85" w:type="dxa"/>
              <w:right w:w="110" w:type="dxa"/>
            </w:tcMar>
            <w:vAlign w:val="center"/>
          </w:tcPr>
          <w:p w14:paraId="35751BE2">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市住房城乡建设局</w:t>
            </w:r>
          </w:p>
        </w:tc>
        <w:tc>
          <w:tcPr>
            <w:tcW w:w="628" w:type="pct"/>
            <w:shd w:val="clear" w:color="auto" w:fill="auto"/>
            <w:tcMar>
              <w:top w:w="85" w:type="dxa"/>
              <w:left w:w="110" w:type="dxa"/>
              <w:bottom w:w="85" w:type="dxa"/>
              <w:right w:w="110" w:type="dxa"/>
            </w:tcMar>
            <w:vAlign w:val="center"/>
          </w:tcPr>
          <w:p w14:paraId="1E12F36D">
            <w:pPr>
              <w:keepNext w:val="0"/>
              <w:keepLines w:val="0"/>
              <w:pageBreakBefore w:val="0"/>
              <w:widowControl/>
              <w:kinsoku/>
              <w:wordWrap/>
              <w:overflowPunct/>
              <w:topLinePunct w:val="0"/>
              <w:autoSpaceDE/>
              <w:autoSpaceDN/>
              <w:bidi w:val="0"/>
              <w:adjustRightInd/>
              <w:snapToGrid/>
              <w:spacing w:before="0" w:after="0" w:line="259" w:lineRule="auto"/>
              <w:ind w:firstLine="0" w:firstLineChars="0"/>
              <w:jc w:val="center"/>
              <w:textAlignment w:val="auto"/>
              <w:rPr>
                <w:rFonts w:hint="eastAsia" w:ascii="仿宋_GB2312" w:hAnsi="仿宋_GB2312" w:eastAsia="仿宋_GB2312" w:cs="仿宋_GB2312"/>
                <w:color w:val="auto"/>
                <w:kern w:val="0"/>
                <w:sz w:val="24"/>
                <w:szCs w:val="24"/>
                <w:lang w:eastAsia="en-US"/>
              </w:rPr>
            </w:pPr>
            <w:r>
              <w:rPr>
                <w:rFonts w:hint="eastAsia" w:ascii="仿宋_GB2312" w:hAnsi="仿宋_GB2312" w:eastAsia="仿宋_GB2312" w:cs="仿宋_GB2312"/>
                <w:b w:val="0"/>
                <w:color w:val="auto"/>
                <w:kern w:val="0"/>
                <w:sz w:val="24"/>
                <w:szCs w:val="24"/>
                <w:lang w:eastAsia="en-US"/>
              </w:rPr>
              <w:t>人民银行湛江市分行、国家金融监督管理总局湛江监管分局、市自然资源局，各有关金融机构</w:t>
            </w:r>
          </w:p>
        </w:tc>
      </w:tr>
    </w:tbl>
    <w:p w14:paraId="370D6800">
      <w:pPr>
        <w:ind w:firstLine="0" w:firstLineChars="0"/>
      </w:pPr>
    </w:p>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3452F9-D70B-424D-BFF9-AB2C2D4FB2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E831317-7C0C-496B-8485-86220E0DD17B}"/>
  </w:font>
  <w:font w:name="楷体_GB2312">
    <w:panose1 w:val="02010609030101010101"/>
    <w:charset w:val="86"/>
    <w:family w:val="modern"/>
    <w:pitch w:val="default"/>
    <w:sig w:usb0="00000001" w:usb1="080E0000" w:usb2="00000000" w:usb3="00000000" w:csb0="00040000" w:csb1="00000000"/>
    <w:embedRegular r:id="rId3" w:fontKey="{E05EEFEC-8B71-499E-9D6B-76F107D0C0C9}"/>
  </w:font>
  <w:font w:name="小标宋">
    <w:altName w:val="微软雅黑"/>
    <w:panose1 w:val="03000509000000000000"/>
    <w:charset w:val="86"/>
    <w:family w:val="auto"/>
    <w:pitch w:val="default"/>
    <w:sig w:usb0="00000000" w:usb1="00000000" w:usb2="00000000" w:usb3="00000000" w:csb0="00040000" w:csb1="00000000"/>
    <w:embedRegular r:id="rId4" w:fontKey="{BE1DA92C-5866-482D-A382-379C1A12D151}"/>
  </w:font>
  <w:font w:name="仿宋">
    <w:panose1 w:val="02010609060101010101"/>
    <w:charset w:val="86"/>
    <w:family w:val="auto"/>
    <w:pitch w:val="default"/>
    <w:sig w:usb0="800002BF" w:usb1="38CF7CFA" w:usb2="00000016" w:usb3="00000000" w:csb0="00040001" w:csb1="00000000"/>
    <w:embedRegular r:id="rId5" w:fontKey="{981D55AA-BAE9-4D2C-B457-6748E6D1A529}"/>
  </w:font>
  <w:font w:name="CESI仿宋-GB2312">
    <w:panose1 w:val="02000500000000000000"/>
    <w:charset w:val="86"/>
    <w:family w:val="auto"/>
    <w:pitch w:val="default"/>
    <w:sig w:usb0="800002AF" w:usb1="084F6CF8" w:usb2="00000010" w:usb3="00000000" w:csb0="0004000F" w:csb1="00000000"/>
    <w:embedRegular r:id="rId6" w:fontKey="{CDEA85CF-6A90-45E3-8729-11F5933AB63A}"/>
  </w:font>
  <w:font w:name="Times New Roman Regular">
    <w:altName w:val="Times New Roman"/>
    <w:panose1 w:val="02020603050405020304"/>
    <w:charset w:val="00"/>
    <w:family w:val="auto"/>
    <w:pitch w:val="default"/>
    <w:sig w:usb0="00000000" w:usb1="00000000" w:usb2="00000009" w:usb3="00000000" w:csb0="400001FF" w:csb1="FFFF0000"/>
    <w:embedRegular r:id="rId7" w:fontKey="{41DBE1A2-49DC-472F-8EF4-A492235CA7AD}"/>
  </w:font>
  <w:font w:name="FangSong_GB2312">
    <w:altName w:val="仿宋_GB2312"/>
    <w:panose1 w:val="02010609030101010101"/>
    <w:charset w:val="86"/>
    <w:family w:val="auto"/>
    <w:pitch w:val="default"/>
    <w:sig w:usb0="00000000" w:usb1="00000000" w:usb2="00000000" w:usb3="00000000" w:csb0="00040000" w:csb1="00000000"/>
    <w:embedRegular r:id="rId8" w:fontKey="{B218F550-72BC-4361-899C-6B3E5AA49687}"/>
  </w:font>
  <w:font w:name="Times New Roman Bold">
    <w:panose1 w:val="02020603050405020304"/>
    <w:charset w:val="00"/>
    <w:family w:val="auto"/>
    <w:pitch w:val="default"/>
    <w:sig w:usb0="00000000" w:usb1="00000000" w:usb2="00000009" w:usb3="00000000" w:csb0="400001FF" w:csb1="FFFF0000"/>
    <w:embedRegular r:id="rId9" w:fontKey="{CA237654-6F68-43AB-8BC7-71182824B52B}"/>
  </w:font>
  <w:font w:name="Nuosu SIL">
    <w:altName w:val="Yu Gothic UI Semilight"/>
    <w:panose1 w:val="02000000000000000000"/>
    <w:charset w:val="80"/>
    <w:family w:val="auto"/>
    <w:pitch w:val="default"/>
    <w:sig w:usb0="00000000" w:usb1="00000000" w:usb2="00080010" w:usb3="00000000" w:csb0="00020003" w:csb1="00000000"/>
    <w:embedRegular r:id="rId10" w:fontKey="{5C45D316-11BC-4ABD-8190-BAE4DDD48C8E}"/>
  </w:font>
  <w:font w:name="Yu Gothic UI Semilight">
    <w:panose1 w:val="020B0400000000000000"/>
    <w:charset w:val="80"/>
    <w:family w:val="auto"/>
    <w:pitch w:val="default"/>
    <w:sig w:usb0="E00002FF" w:usb1="2AC7FDFF" w:usb2="00000016" w:usb3="00000000" w:csb0="2002009F" w:csb1="00000000"/>
  </w:font>
  <w:font w:name="微软雅黑">
    <w:panose1 w:val="020B0503020204020204"/>
    <w:charset w:val="86"/>
    <w:family w:val="auto"/>
    <w:pitch w:val="default"/>
    <w:sig w:usb0="80000287" w:usb1="2ACF3C50" w:usb2="00000016" w:usb3="00000000" w:csb0="0004001F" w:csb1="00000000"/>
    <w:embedRegular r:id="rId11" w:fontKey="{189C2238-FE86-493B-9C29-9A91860A363B}"/>
  </w:font>
  <w:font w:name="等线">
    <w:panose1 w:val="02010600030101010101"/>
    <w:charset w:val="86"/>
    <w:family w:val="auto"/>
    <w:pitch w:val="default"/>
    <w:sig w:usb0="A00002BF" w:usb1="38CF7CFA" w:usb2="00000016" w:usb3="00000000" w:csb0="0004000F" w:csb1="00000000"/>
    <w:embedRegular r:id="rId12" w:fontKey="{F1CE5F37-C39D-4371-9957-B053C33784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21EED">
    <w:pPr>
      <w:keepNext w:val="0"/>
      <w:keepLines w:val="0"/>
      <w:widowControl w:val="0"/>
      <w:numPr>
        <w:ilvl w:val="0"/>
        <w:numId w:val="0"/>
      </w:numPr>
      <w:tabs>
        <w:tab w:val="center" w:pos="4153"/>
        <w:tab w:val="right" w:pos="8306"/>
      </w:tabs>
      <w:kinsoku/>
      <w:wordWrap/>
      <w:overflowPunct/>
      <w:topLinePunct w:val="0"/>
      <w:autoSpaceDE/>
      <w:autoSpaceDN/>
      <w:bidi w:val="0"/>
      <w:adjustRightInd/>
      <w:snapToGrid w:val="0"/>
      <w:spacing w:line="600" w:lineRule="exact"/>
      <w:ind w:left="0" w:leftChars="0" w:firstLine="360" w:firstLineChars="200"/>
      <w:jc w:val="left"/>
      <w:textAlignment w:val="auto"/>
      <w:rPr>
        <w:rFonts w:ascii="Times New Roman" w:hAnsi="Times New Roman" w:eastAsia="仿宋_GB2312" w:cs="仿宋_GB2312"/>
        <w:kern w:val="2"/>
        <w:sz w:val="18"/>
        <w:szCs w:val="32"/>
        <w:u w:val="none"/>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7DB07">
    <w:pPr>
      <w:keepNext w:val="0"/>
      <w:keepLines w:val="0"/>
      <w:widowControl w:val="0"/>
      <w:numPr>
        <w:ilvl w:val="0"/>
        <w:numId w:val="0"/>
      </w:numPr>
      <w:tabs>
        <w:tab w:val="center" w:pos="4153"/>
        <w:tab w:val="right" w:pos="8306"/>
      </w:tabs>
      <w:kinsoku/>
      <w:wordWrap/>
      <w:overflowPunct/>
      <w:topLinePunct w:val="0"/>
      <w:autoSpaceDE/>
      <w:autoSpaceDN/>
      <w:bidi w:val="0"/>
      <w:adjustRightInd/>
      <w:snapToGrid w:val="0"/>
      <w:spacing w:line="600" w:lineRule="exact"/>
      <w:ind w:left="0" w:leftChars="0" w:firstLine="360" w:firstLineChars="200"/>
      <w:jc w:val="left"/>
      <w:textAlignment w:val="auto"/>
      <w:rPr>
        <w:rFonts w:ascii="Times New Roman" w:hAnsi="Times New Roman" w:eastAsia="仿宋_GB2312" w:cs="仿宋_GB2312"/>
        <w:kern w:val="2"/>
        <w:sz w:val="18"/>
        <w:szCs w:val="32"/>
        <w:u w:val="none"/>
        <w:lang w:val="en-US" w:eastAsia="zh-CN" w:bidi="ar-SA"/>
      </w:rPr>
    </w:pPr>
    <w:r>
      <w:rPr>
        <w:rFonts w:ascii="Times New Roman" w:hAnsi="Times New Roman" w:eastAsia="仿宋_GB2312" w:cs="仿宋_GB2312"/>
        <w:kern w:val="2"/>
        <w:sz w:val="18"/>
        <w:szCs w:val="32"/>
        <w:u w:val="none"/>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84B76">
                          <w:pPr>
                            <w:keepNext w:val="0"/>
                            <w:keepLines w:val="0"/>
                            <w:widowControl w:val="0"/>
                            <w:numPr>
                              <w:ilvl w:val="0"/>
                              <w:numId w:val="0"/>
                            </w:numPr>
                            <w:tabs>
                              <w:tab w:val="center" w:pos="4153"/>
                              <w:tab w:val="right" w:pos="8306"/>
                            </w:tabs>
                            <w:kinsoku/>
                            <w:wordWrap/>
                            <w:overflowPunct/>
                            <w:topLinePunct w:val="0"/>
                            <w:autoSpaceDE/>
                            <w:autoSpaceDN/>
                            <w:bidi w:val="0"/>
                            <w:adjustRightInd/>
                            <w:snapToGrid w:val="0"/>
                            <w:spacing w:line="600" w:lineRule="exact"/>
                            <w:ind w:left="0" w:leftChars="0" w:firstLine="560" w:firstLineChars="200"/>
                            <w:jc w:val="left"/>
                            <w:textAlignment w:val="auto"/>
                            <w:rPr>
                              <w:rFonts w:hint="default" w:ascii="Times New Roman" w:hAnsi="Times New Roman" w:eastAsia="仿宋_GB2312" w:cs="Times New Roman"/>
                              <w:kern w:val="2"/>
                              <w:sz w:val="18"/>
                              <w:szCs w:val="32"/>
                              <w:u w:val="none"/>
                              <w:lang w:val="en-US" w:eastAsia="zh-CN" w:bidi="ar-SA"/>
                            </w:rPr>
                          </w:pPr>
                          <w:r>
                            <w:rPr>
                              <w:rFonts w:hint="default" w:ascii="Times New Roman" w:hAnsi="Times New Roman" w:eastAsia="宋体" w:cs="Times New Roman"/>
                              <w:kern w:val="2"/>
                              <w:sz w:val="28"/>
                              <w:szCs w:val="44"/>
                              <w:u w:val="none"/>
                              <w:lang w:val="en-US" w:eastAsia="zh-CN" w:bidi="ar-SA"/>
                            </w:rPr>
                            <w:fldChar w:fldCharType="begin"/>
                          </w:r>
                          <w:r>
                            <w:rPr>
                              <w:rFonts w:hint="default" w:ascii="Times New Roman" w:hAnsi="Times New Roman" w:eastAsia="宋体" w:cs="Times New Roman"/>
                              <w:kern w:val="2"/>
                              <w:sz w:val="28"/>
                              <w:szCs w:val="44"/>
                              <w:u w:val="none"/>
                              <w:lang w:val="en-US" w:eastAsia="zh-CN" w:bidi="ar-SA"/>
                            </w:rPr>
                            <w:instrText xml:space="preserve"> PAGE  \* MERGEFORMAT </w:instrText>
                          </w:r>
                          <w:r>
                            <w:rPr>
                              <w:rFonts w:hint="default" w:ascii="Times New Roman" w:hAnsi="Times New Roman" w:eastAsia="宋体" w:cs="Times New Roman"/>
                              <w:kern w:val="2"/>
                              <w:sz w:val="28"/>
                              <w:szCs w:val="44"/>
                              <w:u w:val="none"/>
                              <w:lang w:val="en-US" w:eastAsia="zh-CN" w:bidi="ar-SA"/>
                            </w:rPr>
                            <w:fldChar w:fldCharType="separate"/>
                          </w:r>
                          <w:r>
                            <w:rPr>
                              <w:rFonts w:hint="default" w:ascii="Times New Roman" w:hAnsi="Times New Roman" w:eastAsia="宋体" w:cs="Times New Roman"/>
                              <w:kern w:val="2"/>
                              <w:sz w:val="28"/>
                              <w:szCs w:val="44"/>
                              <w:u w:val="none"/>
                              <w:lang w:val="en-US" w:eastAsia="zh-CN" w:bidi="ar-SA"/>
                            </w:rPr>
                            <w:t>- 1 -</w:t>
                          </w:r>
                          <w:r>
                            <w:rPr>
                              <w:rFonts w:hint="default" w:ascii="Times New Roman" w:hAnsi="Times New Roman" w:eastAsia="宋体" w:cs="Times New Roman"/>
                              <w:kern w:val="2"/>
                              <w:sz w:val="28"/>
                              <w:szCs w:val="44"/>
                              <w:u w:val="none"/>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15984B76">
                    <w:pPr>
                      <w:keepNext w:val="0"/>
                      <w:keepLines w:val="0"/>
                      <w:widowControl w:val="0"/>
                      <w:numPr>
                        <w:ilvl w:val="0"/>
                        <w:numId w:val="0"/>
                      </w:numPr>
                      <w:tabs>
                        <w:tab w:val="center" w:pos="4153"/>
                        <w:tab w:val="right" w:pos="8306"/>
                      </w:tabs>
                      <w:kinsoku/>
                      <w:wordWrap/>
                      <w:overflowPunct/>
                      <w:topLinePunct w:val="0"/>
                      <w:autoSpaceDE/>
                      <w:autoSpaceDN/>
                      <w:bidi w:val="0"/>
                      <w:adjustRightInd/>
                      <w:snapToGrid w:val="0"/>
                      <w:spacing w:line="600" w:lineRule="exact"/>
                      <w:ind w:left="0" w:leftChars="0" w:firstLine="560" w:firstLineChars="200"/>
                      <w:jc w:val="left"/>
                      <w:textAlignment w:val="auto"/>
                      <w:rPr>
                        <w:rFonts w:hint="default" w:ascii="Times New Roman" w:hAnsi="Times New Roman" w:eastAsia="仿宋_GB2312" w:cs="Times New Roman"/>
                        <w:kern w:val="2"/>
                        <w:sz w:val="18"/>
                        <w:szCs w:val="32"/>
                        <w:u w:val="none"/>
                        <w:lang w:val="en-US" w:eastAsia="zh-CN" w:bidi="ar-SA"/>
                      </w:rPr>
                    </w:pPr>
                    <w:r>
                      <w:rPr>
                        <w:rFonts w:hint="default" w:ascii="Times New Roman" w:hAnsi="Times New Roman" w:eastAsia="宋体" w:cs="Times New Roman"/>
                        <w:kern w:val="2"/>
                        <w:sz w:val="28"/>
                        <w:szCs w:val="44"/>
                        <w:u w:val="none"/>
                        <w:lang w:val="en-US" w:eastAsia="zh-CN" w:bidi="ar-SA"/>
                      </w:rPr>
                      <w:fldChar w:fldCharType="begin"/>
                    </w:r>
                    <w:r>
                      <w:rPr>
                        <w:rFonts w:hint="default" w:ascii="Times New Roman" w:hAnsi="Times New Roman" w:eastAsia="宋体" w:cs="Times New Roman"/>
                        <w:kern w:val="2"/>
                        <w:sz w:val="28"/>
                        <w:szCs w:val="44"/>
                        <w:u w:val="none"/>
                        <w:lang w:val="en-US" w:eastAsia="zh-CN" w:bidi="ar-SA"/>
                      </w:rPr>
                      <w:instrText xml:space="preserve"> PAGE  \* MERGEFORMAT </w:instrText>
                    </w:r>
                    <w:r>
                      <w:rPr>
                        <w:rFonts w:hint="default" w:ascii="Times New Roman" w:hAnsi="Times New Roman" w:eastAsia="宋体" w:cs="Times New Roman"/>
                        <w:kern w:val="2"/>
                        <w:sz w:val="28"/>
                        <w:szCs w:val="44"/>
                        <w:u w:val="none"/>
                        <w:lang w:val="en-US" w:eastAsia="zh-CN" w:bidi="ar-SA"/>
                      </w:rPr>
                      <w:fldChar w:fldCharType="separate"/>
                    </w:r>
                    <w:r>
                      <w:rPr>
                        <w:rFonts w:hint="default" w:ascii="Times New Roman" w:hAnsi="Times New Roman" w:eastAsia="宋体" w:cs="Times New Roman"/>
                        <w:kern w:val="2"/>
                        <w:sz w:val="28"/>
                        <w:szCs w:val="44"/>
                        <w:u w:val="none"/>
                        <w:lang w:val="en-US" w:eastAsia="zh-CN" w:bidi="ar-SA"/>
                      </w:rPr>
                      <w:t>- 1 -</w:t>
                    </w:r>
                    <w:r>
                      <w:rPr>
                        <w:rFonts w:hint="default" w:ascii="Times New Roman" w:hAnsi="Times New Roman" w:eastAsia="宋体" w:cs="Times New Roman"/>
                        <w:kern w:val="2"/>
                        <w:sz w:val="28"/>
                        <w:szCs w:val="44"/>
                        <w:u w:val="none"/>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D10CF">
    <w:pPr>
      <w:keepNext w:val="0"/>
      <w:keepLines w:val="0"/>
      <w:pageBreakBefore w:val="0"/>
      <w:widowControl w:val="0"/>
      <w:kinsoku/>
      <w:wordWrap/>
      <w:overflowPunct/>
      <w:topLinePunct w:val="0"/>
      <w:autoSpaceDE/>
      <w:autoSpaceDN/>
      <w:bidi w:val="0"/>
      <w:adjustRightInd/>
      <w:snapToGrid w:val="0"/>
      <w:spacing w:line="600" w:lineRule="exact"/>
      <w:ind w:firstLine="360" w:firstLineChars="200"/>
      <w:jc w:val="left"/>
      <w:textAlignment w:val="auto"/>
      <w:rPr>
        <w:rFonts w:ascii="Times New Roman" w:hAnsi="Times New Roman" w:eastAsia="仿宋_GB2312" w:cstheme="minorBidi"/>
        <w:kern w:val="2"/>
        <w:sz w:val="18"/>
        <w:szCs w:val="32"/>
        <w:lang w:val="en-US" w:eastAsia="zh-CN" w:bidi="ar-SA"/>
      </w:rPr>
    </w:pPr>
    <w:r>
      <w:rPr>
        <w:rFonts w:ascii="Times New Roman" w:hAnsi="Times New Roman" w:eastAsia="仿宋_GB2312" w:cstheme="minorBidi"/>
        <w:kern w:val="2"/>
        <w:sz w:val="18"/>
        <w:szCs w:val="3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27174">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left"/>
                            <w:textAlignment w:val="auto"/>
                            <w:rPr>
                              <w:rFonts w:ascii="Times New Roman" w:hAnsi="Times New Roman" w:eastAsia="仿宋_GB2312" w:cstheme="minorBidi"/>
                              <w:kern w:val="2"/>
                              <w:sz w:val="28"/>
                              <w:szCs w:val="28"/>
                              <w:lang w:val="en-US" w:eastAsia="zh-CN" w:bidi="ar-SA"/>
                            </w:rPr>
                          </w:pP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- 1 -</w:t>
                          </w:r>
                          <w:r>
                            <w:rPr>
                              <w:rFonts w:hint="default" w:ascii="Times New Roman" w:hAnsi="Times New Roman" w:eastAsia="宋体" w:cs="Times New Roman"/>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8427174">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left"/>
                      <w:textAlignment w:val="auto"/>
                      <w:rPr>
                        <w:rFonts w:ascii="Times New Roman" w:hAnsi="Times New Roman" w:eastAsia="仿宋_GB2312" w:cstheme="minorBidi"/>
                        <w:kern w:val="2"/>
                        <w:sz w:val="28"/>
                        <w:szCs w:val="28"/>
                        <w:lang w:val="en-US" w:eastAsia="zh-CN" w:bidi="ar-SA"/>
                      </w:rPr>
                    </w:pPr>
                    <w:r>
                      <w:rPr>
                        <w:rFonts w:hint="default" w:ascii="Times New Roman" w:hAnsi="Times New Roman" w:eastAsia="宋体" w:cs="Times New Roman"/>
                        <w:kern w:val="2"/>
                        <w:sz w:val="28"/>
                        <w:szCs w:val="28"/>
                        <w:lang w:val="en-US" w:eastAsia="zh-CN" w:bidi="ar-SA"/>
                      </w:rPr>
                      <w:fldChar w:fldCharType="begin"/>
                    </w:r>
                    <w:r>
                      <w:rPr>
                        <w:rFonts w:hint="default" w:ascii="Times New Roman" w:hAnsi="Times New Roman" w:eastAsia="宋体" w:cs="Times New Roman"/>
                        <w:kern w:val="2"/>
                        <w:sz w:val="28"/>
                        <w:szCs w:val="28"/>
                        <w:lang w:val="en-US" w:eastAsia="zh-CN" w:bidi="ar-SA"/>
                      </w:rPr>
                      <w:instrText xml:space="preserve"> PAGE  \* MERGEFORMAT </w:instrText>
                    </w:r>
                    <w:r>
                      <w:rPr>
                        <w:rFonts w:hint="default" w:ascii="Times New Roman" w:hAnsi="Times New Roman" w:eastAsia="宋体" w:cs="Times New Roman"/>
                        <w:kern w:val="2"/>
                        <w:sz w:val="28"/>
                        <w:szCs w:val="28"/>
                        <w:lang w:val="en-US" w:eastAsia="zh-CN" w:bidi="ar-SA"/>
                      </w:rPr>
                      <w:fldChar w:fldCharType="separate"/>
                    </w:r>
                    <w:r>
                      <w:rPr>
                        <w:rFonts w:hint="default" w:ascii="Times New Roman" w:hAnsi="Times New Roman" w:eastAsia="宋体" w:cs="Times New Roman"/>
                        <w:kern w:val="2"/>
                        <w:sz w:val="28"/>
                        <w:szCs w:val="28"/>
                        <w:lang w:val="en-US" w:eastAsia="zh-CN" w:bidi="ar-SA"/>
                      </w:rPr>
                      <w:t>- 1 -</w:t>
                    </w:r>
                    <w:r>
                      <w:rPr>
                        <w:rFonts w:hint="default" w:ascii="Times New Roman" w:hAnsi="Times New Roman" w:eastAsia="宋体" w:cs="Times New Roman"/>
                        <w:kern w:val="2"/>
                        <w:sz w:val="28"/>
                        <w:szCs w:val="2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DC5BC">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AE34FA">
                          <w:pPr>
                            <w:pStyle w:val="13"/>
                            <w:rPr>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8AE34FA">
                    <w:pPr>
                      <w:pStyle w:val="13"/>
                      <w:rPr>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line="240" w:lineRule="auto"/>
        <w:ind w:firstLine="640"/>
      </w:pPr>
      <w:r>
        <w:separator/>
      </w:r>
    </w:p>
  </w:footnote>
  <w:footnote w:type="continuationSeparator" w:id="23">
    <w:p>
      <w:pPr>
        <w:spacing w:line="240" w:lineRule="auto"/>
        <w:ind w:firstLine="640"/>
      </w:pPr>
      <w:r>
        <w:continuationSeparator/>
      </w:r>
    </w:p>
  </w:footnote>
  <w:footnote w:id="0">
    <w:p w14:paraId="178E33FA">
      <w:pPr>
        <w:numPr>
          <w:ilvl w:val="0"/>
          <w:numId w:val="0"/>
        </w:numPr>
        <w:snapToGrid/>
        <w:spacing w:line="260" w:lineRule="exact"/>
        <w:ind w:firstLine="360" w:firstLineChars="200"/>
        <w:jc w:val="both"/>
        <w:rPr>
          <w:rFonts w:hint="default"/>
          <w:lang w:val="en-US"/>
        </w:rPr>
      </w:pPr>
      <w:r>
        <w:rPr>
          <w:rStyle w:val="28"/>
          <w:rFonts w:eastAsia="宋体" w:cs="Times New Roman"/>
          <w:sz w:val="18"/>
          <w:szCs w:val="32"/>
        </w:rPr>
        <w:footnoteRef/>
      </w:r>
      <w:r>
        <w:rPr>
          <w:rFonts w:hint="eastAsia" w:eastAsia="宋体" w:cs="Times New Roman"/>
          <w:sz w:val="18"/>
          <w:szCs w:val="32"/>
          <w:lang w:val="en-US" w:eastAsia="zh-CN"/>
        </w:rPr>
        <w:t xml:space="preserve"> </w:t>
      </w:r>
      <w:r>
        <w:rPr>
          <w:rFonts w:hint="default" w:cs="Times New Roman"/>
          <w:sz w:val="18"/>
          <w:szCs w:val="18"/>
          <w:highlight w:val="none"/>
        </w:rPr>
        <w:t>【说明】</w:t>
      </w:r>
      <w:r>
        <w:rPr>
          <w:rFonts w:hint="default" w:ascii="Times New Roman" w:hAnsi="Times New Roman" w:eastAsia="仿宋_GB2312" w:cs="Times New Roman"/>
          <w:kern w:val="2"/>
          <w:sz w:val="18"/>
          <w:szCs w:val="18"/>
          <w:highlight w:val="none"/>
          <w:vertAlign w:val="baseline"/>
          <w:lang w:val="en-US" w:eastAsia="zh-CN" w:bidi="ar-SA"/>
        </w:rPr>
        <w:t>房价收入比=（商品住房</w:t>
      </w:r>
      <w:r>
        <w:rPr>
          <w:rFonts w:hint="eastAsia" w:cs="Times New Roman"/>
          <w:kern w:val="2"/>
          <w:sz w:val="18"/>
          <w:szCs w:val="18"/>
          <w:highlight w:val="none"/>
          <w:vertAlign w:val="baseline"/>
          <w:lang w:val="en-US" w:eastAsia="zh-CN" w:bidi="ar-SA"/>
        </w:rPr>
        <w:t>销售</w:t>
      </w:r>
      <w:r>
        <w:rPr>
          <w:rFonts w:hint="default" w:ascii="Times New Roman" w:hAnsi="Times New Roman" w:eastAsia="仿宋_GB2312" w:cs="Times New Roman"/>
          <w:kern w:val="2"/>
          <w:sz w:val="18"/>
          <w:szCs w:val="18"/>
          <w:highlight w:val="none"/>
          <w:vertAlign w:val="baseline"/>
          <w:lang w:val="en-US" w:eastAsia="zh-CN" w:bidi="ar-SA"/>
        </w:rPr>
        <w:t>均价*商品住房平均建筑面积）/（城镇常住居民人均收入*</w:t>
      </w:r>
      <w:r>
        <w:rPr>
          <w:rFonts w:hint="eastAsia" w:cs="Times New Roman"/>
          <w:kern w:val="2"/>
          <w:sz w:val="18"/>
          <w:szCs w:val="18"/>
          <w:highlight w:val="none"/>
          <w:vertAlign w:val="baseline"/>
          <w:lang w:val="en-US" w:eastAsia="zh-CN" w:bidi="ar-SA"/>
        </w:rPr>
        <w:t>户均人口</w:t>
      </w:r>
      <w:r>
        <w:rPr>
          <w:rFonts w:hint="default" w:ascii="Times New Roman" w:hAnsi="Times New Roman" w:eastAsia="仿宋_GB2312" w:cs="Times New Roman"/>
          <w:kern w:val="2"/>
          <w:sz w:val="18"/>
          <w:szCs w:val="18"/>
          <w:highlight w:val="none"/>
          <w:vertAlign w:val="baseline"/>
          <w:lang w:val="en-US" w:eastAsia="zh-CN" w:bidi="ar-SA"/>
        </w:rPr>
        <w:t>）。</w:t>
      </w:r>
      <w:r>
        <w:rPr>
          <w:rFonts w:hint="eastAsia" w:cs="Times New Roman"/>
          <w:kern w:val="2"/>
          <w:sz w:val="18"/>
          <w:szCs w:val="18"/>
          <w:highlight w:val="none"/>
          <w:vertAlign w:val="baseline"/>
          <w:lang w:val="en-US" w:eastAsia="zh-CN" w:bidi="ar-SA"/>
        </w:rPr>
        <w:t>其中，</w:t>
      </w:r>
      <w:r>
        <w:rPr>
          <w:rFonts w:hint="default" w:ascii="Times New Roman" w:hAnsi="Times New Roman" w:eastAsia="仿宋_GB2312" w:cs="Times New Roman"/>
          <w:kern w:val="2"/>
          <w:sz w:val="18"/>
          <w:szCs w:val="18"/>
          <w:highlight w:val="none"/>
          <w:vertAlign w:val="baseline"/>
          <w:lang w:val="en-US" w:eastAsia="zh-CN" w:bidi="ar-SA"/>
        </w:rPr>
        <w:t>商品住房销售均价</w:t>
      </w:r>
      <w:r>
        <w:rPr>
          <w:rFonts w:hint="eastAsia" w:cs="Times New Roman"/>
          <w:kern w:val="2"/>
          <w:sz w:val="18"/>
          <w:szCs w:val="18"/>
          <w:highlight w:val="none"/>
          <w:vertAlign w:val="baseline"/>
          <w:lang w:val="en-US" w:eastAsia="zh-CN" w:bidi="ar-SA"/>
        </w:rPr>
        <w:t>、</w:t>
      </w:r>
      <w:r>
        <w:rPr>
          <w:rFonts w:hint="default" w:ascii="Times New Roman" w:hAnsi="Times New Roman" w:eastAsia="仿宋_GB2312" w:cs="Times New Roman"/>
          <w:kern w:val="2"/>
          <w:sz w:val="18"/>
          <w:szCs w:val="18"/>
          <w:highlight w:val="none"/>
          <w:vertAlign w:val="baseline"/>
          <w:lang w:val="en-US" w:eastAsia="zh-CN" w:bidi="ar-SA"/>
        </w:rPr>
        <w:t>商品住房平均建筑面积</w:t>
      </w:r>
      <w:r>
        <w:rPr>
          <w:rFonts w:hint="eastAsia" w:cs="Times New Roman"/>
          <w:kern w:val="2"/>
          <w:sz w:val="18"/>
          <w:szCs w:val="18"/>
          <w:highlight w:val="none"/>
          <w:vertAlign w:val="baseline"/>
          <w:lang w:val="en-US" w:eastAsia="zh-CN" w:bidi="ar-SA"/>
        </w:rPr>
        <w:t>由</w:t>
      </w:r>
      <w:r>
        <w:rPr>
          <w:rFonts w:hint="default" w:ascii="Times New Roman" w:hAnsi="Times New Roman" w:eastAsia="仿宋_GB2312" w:cs="Times New Roman"/>
          <w:kern w:val="2"/>
          <w:sz w:val="18"/>
          <w:szCs w:val="18"/>
          <w:highlight w:val="none"/>
          <w:vertAlign w:val="baseline"/>
          <w:lang w:val="en-US" w:eastAsia="zh-CN" w:bidi="ar-SA"/>
        </w:rPr>
        <w:t>湛江市住建局</w:t>
      </w:r>
      <w:r>
        <w:rPr>
          <w:rFonts w:hint="eastAsia" w:cs="Times New Roman"/>
          <w:kern w:val="2"/>
          <w:sz w:val="18"/>
          <w:szCs w:val="18"/>
          <w:highlight w:val="none"/>
          <w:vertAlign w:val="baseline"/>
          <w:lang w:val="en-US" w:eastAsia="zh-CN" w:bidi="ar-SA"/>
        </w:rPr>
        <w:t>提供的2021—2025年</w:t>
      </w:r>
      <w:r>
        <w:rPr>
          <w:rFonts w:hint="eastAsia" w:cs="Times New Roman"/>
          <w:sz w:val="18"/>
          <w:szCs w:val="18"/>
          <w:highlight w:val="none"/>
          <w:lang w:val="en-US" w:eastAsia="zh-CN"/>
        </w:rPr>
        <w:t>网签交易数据计算所得；</w:t>
      </w:r>
      <w:r>
        <w:rPr>
          <w:rFonts w:hint="eastAsia" w:cs="Times New Roman"/>
          <w:kern w:val="2"/>
          <w:sz w:val="18"/>
          <w:szCs w:val="18"/>
          <w:highlight w:val="none"/>
          <w:vertAlign w:val="baseline"/>
          <w:lang w:val="en-US" w:eastAsia="zh-CN" w:bidi="ar-SA"/>
        </w:rPr>
        <w:t>户均人口、</w:t>
      </w:r>
      <w:r>
        <w:rPr>
          <w:rFonts w:hint="default" w:ascii="Times New Roman" w:hAnsi="Times New Roman" w:eastAsia="仿宋_GB2312" w:cs="Times New Roman"/>
          <w:kern w:val="2"/>
          <w:sz w:val="18"/>
          <w:szCs w:val="18"/>
          <w:highlight w:val="none"/>
          <w:vertAlign w:val="baseline"/>
          <w:lang w:val="en-US" w:eastAsia="zh-CN" w:bidi="ar-SA"/>
        </w:rPr>
        <w:t>城镇常住居民人均可支配收入来自湛江市统计局</w:t>
      </w:r>
      <w:r>
        <w:rPr>
          <w:rFonts w:hint="eastAsia" w:cs="Times New Roman"/>
          <w:kern w:val="2"/>
          <w:sz w:val="18"/>
          <w:szCs w:val="18"/>
          <w:highlight w:val="none"/>
          <w:vertAlign w:val="baseline"/>
          <w:lang w:val="en-US" w:eastAsia="zh-CN" w:bidi="ar-SA"/>
        </w:rPr>
        <w:t>，由于2025年数据暂未公布，此处为2024年数据。</w:t>
      </w:r>
    </w:p>
  </w:footnote>
  <w:footnote w:id="1">
    <w:p w14:paraId="2234B585">
      <w:pPr>
        <w:pStyle w:val="16"/>
        <w:snapToGrid w:val="0"/>
        <w:spacing w:line="240" w:lineRule="auto"/>
        <w:rPr>
          <w:rFonts w:hint="eastAsia" w:eastAsia="仿宋_GB2312"/>
          <w:lang w:eastAsia="zh-CN"/>
        </w:rPr>
      </w:pPr>
      <w:r>
        <w:rPr>
          <w:rStyle w:val="28"/>
        </w:rPr>
        <w:footnoteRef/>
      </w:r>
      <w:r>
        <w:t xml:space="preserve"> </w:t>
      </w:r>
      <w:r>
        <w:rPr>
          <w:rFonts w:hint="eastAsia"/>
          <w:lang w:eastAsia="zh-CN"/>
        </w:rPr>
        <w:t>【</w:t>
      </w:r>
      <w:r>
        <w:rPr>
          <w:rFonts w:hint="eastAsia"/>
          <w:lang w:val="en-US" w:eastAsia="zh-CN"/>
        </w:rPr>
        <w:t>说明</w:t>
      </w:r>
      <w:r>
        <w:rPr>
          <w:rFonts w:hint="eastAsia"/>
          <w:lang w:eastAsia="zh-CN"/>
        </w:rPr>
        <w:t>】</w:t>
      </w:r>
      <w:r>
        <w:rPr>
          <w:rFonts w:hint="eastAsia"/>
        </w:rPr>
        <w:t>《关于开展湛江市城市更新（</w:t>
      </w:r>
      <w:r>
        <w:rPr>
          <w:rFonts w:hint="eastAsia" w:ascii="仿宋_GB2312" w:hAnsi="仿宋_GB2312"/>
          <w:lang w:eastAsia="zh-CN"/>
        </w:rPr>
        <w:t>“</w:t>
      </w:r>
      <w:r>
        <w:rPr>
          <w:rFonts w:hint="eastAsia"/>
        </w:rPr>
        <w:t>三旧</w:t>
      </w:r>
      <w:r>
        <w:rPr>
          <w:rFonts w:hint="eastAsia" w:ascii="仿宋_GB2312" w:hAnsi="仿宋_GB2312"/>
          <w:lang w:eastAsia="zh-CN"/>
        </w:rPr>
        <w:t>”</w:t>
      </w:r>
      <w:r>
        <w:rPr>
          <w:rFonts w:hint="eastAsia"/>
        </w:rPr>
        <w:t>改造）配建保障性住房转人才公寓工作的通知》</w:t>
      </w:r>
      <w:r>
        <w:rPr>
          <w:rFonts w:hint="eastAsia"/>
          <w:lang w:eastAsia="zh-CN"/>
        </w:rPr>
        <w:t>：</w:t>
      </w:r>
      <w:r>
        <w:rPr>
          <w:rFonts w:hint="eastAsia"/>
        </w:rPr>
        <w:t>已开展或计划开展城市更新（</w:t>
      </w:r>
      <w:r>
        <w:rPr>
          <w:rFonts w:hint="eastAsia" w:ascii="仿宋_GB2312" w:hAnsi="仿宋_GB2312"/>
          <w:lang w:eastAsia="zh-CN"/>
        </w:rPr>
        <w:t>“</w:t>
      </w:r>
      <w:r>
        <w:rPr>
          <w:rFonts w:hint="eastAsia"/>
        </w:rPr>
        <w:t>三旧</w:t>
      </w:r>
      <w:r>
        <w:rPr>
          <w:rFonts w:hint="eastAsia" w:ascii="仿宋_GB2312" w:hAnsi="仿宋_GB2312"/>
          <w:lang w:eastAsia="zh-CN"/>
        </w:rPr>
        <w:t>”</w:t>
      </w:r>
      <w:r>
        <w:rPr>
          <w:rFonts w:hint="eastAsia"/>
        </w:rPr>
        <w:t>改造）配建保障性住房的项目</w:t>
      </w:r>
      <w:r>
        <w:rPr>
          <w:rFonts w:hint="eastAsia"/>
          <w:lang w:val="en-US" w:eastAsia="zh-CN"/>
        </w:rPr>
        <w:t>可申请转为人才公寓</w:t>
      </w:r>
      <w:r>
        <w:rPr>
          <w:rFonts w:hint="eastAsia"/>
          <w:lang w:eastAsia="zh-CN"/>
        </w:rPr>
        <w:t>，</w:t>
      </w:r>
      <w:r>
        <w:rPr>
          <w:rFonts w:hint="eastAsia"/>
          <w:lang w:val="en-US" w:eastAsia="zh-CN"/>
        </w:rPr>
        <w:t>并提出</w:t>
      </w:r>
      <w:r>
        <w:rPr>
          <w:rFonts w:hint="eastAsia"/>
        </w:rPr>
        <w:t>1000套人才公寓</w:t>
      </w:r>
      <w:r>
        <w:rPr>
          <w:rFonts w:hint="eastAsia"/>
          <w:lang w:val="en-US" w:eastAsia="zh-CN"/>
        </w:rPr>
        <w:t>的筹集目标</w:t>
      </w:r>
      <w:r>
        <w:rPr>
          <w:rFonts w:hint="eastAsia"/>
          <w:lang w:eastAsia="zh-CN"/>
        </w:rPr>
        <w:t>。</w:t>
      </w:r>
    </w:p>
  </w:footnote>
  <w:footnote w:id="2">
    <w:p w14:paraId="59818F80">
      <w:pPr>
        <w:pStyle w:val="16"/>
        <w:snapToGrid w:val="0"/>
        <w:spacing w:line="240" w:lineRule="auto"/>
        <w:rPr>
          <w:rFonts w:hint="eastAsia" w:eastAsia="仿宋_GB2312"/>
          <w:lang w:val="en-US" w:eastAsia="zh-CN"/>
        </w:rPr>
      </w:pPr>
      <w:r>
        <w:rPr>
          <w:rStyle w:val="28"/>
        </w:rPr>
        <w:footnoteRef/>
      </w:r>
      <w:r>
        <w:t xml:space="preserve"> </w:t>
      </w:r>
      <w:r>
        <w:rPr>
          <w:rFonts w:hint="eastAsia"/>
          <w:lang w:eastAsia="zh-CN"/>
        </w:rPr>
        <w:t>【</w:t>
      </w:r>
      <w:r>
        <w:rPr>
          <w:rFonts w:hint="eastAsia"/>
          <w:lang w:val="en-US" w:eastAsia="zh-CN"/>
        </w:rPr>
        <w:t>说明</w:t>
      </w:r>
      <w:r>
        <w:rPr>
          <w:rFonts w:hint="eastAsia"/>
          <w:lang w:eastAsia="zh-CN"/>
        </w:rPr>
        <w:t>】</w:t>
      </w:r>
      <w:r>
        <w:rPr>
          <w:rFonts w:hint="eastAsia" w:ascii="仿宋_GB2312" w:hAnsi="仿宋_GB2312"/>
          <w:lang w:eastAsia="zh-CN"/>
        </w:rPr>
        <w:t>“</w:t>
      </w:r>
      <w:r>
        <w:rPr>
          <w:rFonts w:hint="eastAsia"/>
          <w:lang w:val="en-US" w:eastAsia="zh-CN"/>
        </w:rPr>
        <w:t>三市通办</w:t>
      </w:r>
      <w:r>
        <w:rPr>
          <w:rFonts w:hint="eastAsia" w:ascii="仿宋_GB2312" w:hAnsi="仿宋_GB2312"/>
          <w:lang w:eastAsia="zh-CN"/>
        </w:rPr>
        <w:t>”</w:t>
      </w:r>
      <w:r>
        <w:rPr>
          <w:rFonts w:hint="eastAsia"/>
          <w:lang w:val="en-US" w:eastAsia="zh-CN"/>
        </w:rPr>
        <w:t>中的</w:t>
      </w:r>
      <w:r>
        <w:rPr>
          <w:rFonts w:hint="eastAsia" w:ascii="仿宋_GB2312" w:hAnsi="仿宋_GB2312"/>
          <w:lang w:val="en-US" w:eastAsia="zh-CN"/>
        </w:rPr>
        <w:t>“</w:t>
      </w:r>
      <w:r>
        <w:rPr>
          <w:rFonts w:hint="eastAsia"/>
          <w:lang w:val="en-US" w:eastAsia="zh-CN"/>
        </w:rPr>
        <w:t>三市</w:t>
      </w:r>
      <w:r>
        <w:rPr>
          <w:rFonts w:hint="eastAsia" w:ascii="仿宋_GB2312" w:hAnsi="仿宋_GB2312"/>
          <w:lang w:val="en-US" w:eastAsia="zh-CN"/>
        </w:rPr>
        <w:t>”</w:t>
      </w:r>
      <w:r>
        <w:rPr>
          <w:rFonts w:hint="eastAsia"/>
          <w:lang w:val="en-US" w:eastAsia="zh-CN"/>
        </w:rPr>
        <w:t>，指</w:t>
      </w:r>
      <w:r>
        <w:rPr>
          <w:rFonts w:hint="eastAsia"/>
        </w:rPr>
        <w:t>湛江市、茂名市、玉林市</w:t>
      </w:r>
      <w:r>
        <w:rPr>
          <w:rFonts w:hint="eastAsia"/>
          <w:lang w:eastAsia="zh-CN"/>
        </w:rPr>
        <w:t>。</w:t>
      </w:r>
    </w:p>
  </w:footnote>
  <w:footnote w:id="3">
    <w:p w14:paraId="4990E1F1">
      <w:pPr>
        <w:pStyle w:val="16"/>
        <w:snapToGrid w:val="0"/>
        <w:spacing w:line="240" w:lineRule="auto"/>
        <w:ind w:firstLine="360" w:firstLineChars="200"/>
        <w:rPr>
          <w:rFonts w:hint="default" w:eastAsia="仿宋_GB2312" w:cs="Times New Roman"/>
          <w:szCs w:val="18"/>
          <w:lang w:eastAsia="zh-CN"/>
        </w:rPr>
      </w:pPr>
      <w:r>
        <w:rPr>
          <w:rStyle w:val="28"/>
          <w:rFonts w:hint="default" w:cs="Times New Roman"/>
          <w:szCs w:val="18"/>
        </w:rPr>
        <w:footnoteRef/>
      </w:r>
      <w:r>
        <w:rPr>
          <w:rFonts w:hint="eastAsia"/>
          <w:lang w:val="en-US" w:eastAsia="zh-CN"/>
        </w:rPr>
        <w:t xml:space="preserve"> </w:t>
      </w:r>
      <w:r>
        <w:rPr>
          <w:rFonts w:hint="default" w:cs="Times New Roman"/>
          <w:szCs w:val="18"/>
          <w:lang w:eastAsia="zh-CN"/>
        </w:rPr>
        <w:t>【</w:t>
      </w:r>
      <w:r>
        <w:rPr>
          <w:rFonts w:hint="default" w:cs="Times New Roman"/>
          <w:szCs w:val="18"/>
          <w:lang w:val="en-US" w:eastAsia="zh-CN"/>
        </w:rPr>
        <w:t>说明</w:t>
      </w:r>
      <w:r>
        <w:rPr>
          <w:rFonts w:hint="default" w:cs="Times New Roman"/>
          <w:szCs w:val="18"/>
          <w:lang w:eastAsia="zh-CN"/>
        </w:rPr>
        <w:t>】</w:t>
      </w:r>
      <w:r>
        <w:rPr>
          <w:rFonts w:hint="eastAsia" w:ascii="仿宋_GB2312" w:hAnsi="仿宋_GB2312" w:cs="Times New Roman"/>
          <w:szCs w:val="18"/>
          <w:lang w:eastAsia="zh-CN"/>
        </w:rPr>
        <w:t>“</w:t>
      </w:r>
      <w:r>
        <w:rPr>
          <w:rFonts w:hint="default" w:cs="Times New Roman"/>
          <w:szCs w:val="18"/>
        </w:rPr>
        <w:t>六大特色服务</w:t>
      </w:r>
      <w:r>
        <w:rPr>
          <w:rFonts w:hint="eastAsia" w:ascii="仿宋_GB2312" w:hAnsi="仿宋_GB2312" w:cs="Times New Roman"/>
          <w:szCs w:val="18"/>
          <w:lang w:eastAsia="zh-CN"/>
        </w:rPr>
        <w:t>”</w:t>
      </w:r>
      <w:r>
        <w:rPr>
          <w:rFonts w:hint="default" w:cs="Times New Roman"/>
          <w:szCs w:val="18"/>
          <w:lang w:val="en-US" w:eastAsia="zh-CN"/>
        </w:rPr>
        <w:t>即</w:t>
      </w:r>
      <w:r>
        <w:rPr>
          <w:rFonts w:hint="default" w:cs="Times New Roman"/>
          <w:szCs w:val="18"/>
        </w:rPr>
        <w:t>开展双休日专场服务、预约服务、上门服务、延时服务、培训服务、志愿服务</w:t>
      </w:r>
      <w:r>
        <w:rPr>
          <w:rFonts w:hint="default" w:cs="Times New Roman"/>
          <w:szCs w:val="18"/>
          <w:lang w:eastAsia="zh-CN"/>
        </w:rPr>
        <w:t>。</w:t>
      </w:r>
    </w:p>
  </w:footnote>
  <w:footnote w:id="4">
    <w:p w14:paraId="4FE54C26">
      <w:pPr>
        <w:pStyle w:val="16"/>
        <w:keepNext w:val="0"/>
        <w:keepLines w:val="0"/>
        <w:pageBreakBefore w:val="0"/>
        <w:widowControl w:val="0"/>
        <w:kinsoku/>
        <w:wordWrap/>
        <w:overflowPunct/>
        <w:topLinePunct w:val="0"/>
        <w:bidi w:val="0"/>
        <w:adjustRightInd/>
        <w:snapToGrid w:val="0"/>
        <w:spacing w:line="240" w:lineRule="auto"/>
        <w:textAlignment w:val="auto"/>
        <w:rPr>
          <w:rFonts w:hint="eastAsia" w:eastAsia="仿宋_GB2312"/>
          <w:lang w:eastAsia="zh-CN"/>
        </w:rPr>
      </w:pPr>
      <w:r>
        <w:rPr>
          <w:rStyle w:val="28"/>
          <w:sz w:val="18"/>
          <w:szCs w:val="18"/>
        </w:rPr>
        <w:footnoteRef/>
      </w:r>
      <w:r>
        <w:rPr>
          <w:rFonts w:hint="eastAsia"/>
          <w:lang w:val="en-US" w:eastAsia="zh-CN"/>
        </w:rPr>
        <w:t xml:space="preserve"> </w:t>
      </w:r>
      <w:r>
        <w:rPr>
          <w:rFonts w:hint="eastAsia"/>
          <w:lang w:eastAsia="zh-CN"/>
        </w:rPr>
        <w:t>【</w:t>
      </w:r>
      <w:r>
        <w:rPr>
          <w:rFonts w:hint="eastAsia"/>
          <w:lang w:val="en-US" w:eastAsia="zh-CN"/>
        </w:rPr>
        <w:t>说明</w:t>
      </w:r>
      <w:r>
        <w:rPr>
          <w:rFonts w:hint="eastAsia"/>
          <w:lang w:eastAsia="zh-CN"/>
        </w:rPr>
        <w:t>】</w:t>
      </w:r>
      <w:r>
        <w:rPr>
          <w:rFonts w:hint="eastAsia"/>
        </w:rPr>
        <w:t>《广东省党建引领居民小区建设工作指引》</w:t>
      </w:r>
      <w:r>
        <w:rPr>
          <w:rFonts w:hint="eastAsia"/>
          <w:lang w:val="en-US" w:eastAsia="zh-CN"/>
        </w:rPr>
        <w:t>指出，</w:t>
      </w:r>
      <w:r>
        <w:rPr>
          <w:rFonts w:hint="eastAsia"/>
        </w:rPr>
        <w:t>推动社区建成</w:t>
      </w:r>
      <w:r>
        <w:rPr>
          <w:rFonts w:hint="eastAsia" w:ascii="仿宋_GB2312" w:hAnsi="仿宋_GB2312"/>
          <w:lang w:eastAsia="zh-CN"/>
        </w:rPr>
        <w:t>“</w:t>
      </w:r>
      <w:r>
        <w:rPr>
          <w:rFonts w:hint="eastAsia"/>
        </w:rPr>
        <w:t>服务中心、邻里中心、活动中心</w:t>
      </w:r>
      <w:r>
        <w:rPr>
          <w:rFonts w:hint="eastAsia" w:ascii="仿宋_GB2312" w:hAnsi="仿宋_GB2312"/>
          <w:lang w:eastAsia="zh-CN"/>
        </w:rPr>
        <w:t>”</w:t>
      </w:r>
      <w:r>
        <w:rPr>
          <w:rFonts w:hint="eastAsia"/>
        </w:rPr>
        <w:t>，提升社气（人气、和气、正气）、社品（品质、品味、品牌）</w:t>
      </w:r>
      <w:r>
        <w:rPr>
          <w:rFonts w:hint="eastAsia"/>
          <w:lang w:eastAsia="zh-CN"/>
        </w:rPr>
        <w:t>。</w:t>
      </w:r>
    </w:p>
  </w:footnote>
  <w:footnote w:id="5">
    <w:p w14:paraId="51CE9C86">
      <w:pPr>
        <w:pStyle w:val="16"/>
        <w:keepNext w:val="0"/>
        <w:keepLines w:val="0"/>
        <w:pageBreakBefore w:val="0"/>
        <w:widowControl w:val="0"/>
        <w:kinsoku/>
        <w:wordWrap/>
        <w:overflowPunct/>
        <w:topLinePunct w:val="0"/>
        <w:bidi w:val="0"/>
        <w:adjustRightInd/>
        <w:snapToGrid w:val="0"/>
        <w:spacing w:line="240" w:lineRule="auto"/>
        <w:textAlignment w:val="auto"/>
        <w:rPr>
          <w:rFonts w:hint="default" w:eastAsia="仿宋_GB2312"/>
          <w:lang w:val="en-US" w:eastAsia="zh-CN"/>
        </w:rPr>
      </w:pPr>
      <w:r>
        <w:rPr>
          <w:rStyle w:val="28"/>
        </w:rPr>
        <w:footnoteRef/>
      </w:r>
      <w:r>
        <w:rPr>
          <w:rFonts w:hint="eastAsia"/>
          <w:lang w:val="en-US" w:eastAsia="zh-CN"/>
        </w:rPr>
        <w:t xml:space="preserve"> </w:t>
      </w:r>
      <w:r>
        <w:rPr>
          <w:rFonts w:hint="eastAsia"/>
          <w:lang w:eastAsia="zh-CN"/>
        </w:rPr>
        <w:t>【</w:t>
      </w:r>
      <w:r>
        <w:rPr>
          <w:rFonts w:hint="eastAsia"/>
          <w:lang w:val="en-US" w:eastAsia="zh-CN"/>
        </w:rPr>
        <w:t>说明</w:t>
      </w:r>
      <w:r>
        <w:rPr>
          <w:rFonts w:hint="eastAsia"/>
          <w:lang w:eastAsia="zh-CN"/>
        </w:rPr>
        <w:t>】</w:t>
      </w:r>
      <w:r>
        <w:rPr>
          <w:rFonts w:hint="eastAsia"/>
          <w:lang w:val="en-US" w:eastAsia="zh-CN"/>
        </w:rPr>
        <w:t>参考住建部《完整居住社区建设指南》物业管理全覆盖内容。</w:t>
      </w:r>
    </w:p>
  </w:footnote>
  <w:footnote w:id="6">
    <w:p w14:paraId="02A05709">
      <w:pPr>
        <w:pStyle w:val="16"/>
        <w:keepNext w:val="0"/>
        <w:keepLines w:val="0"/>
        <w:pageBreakBefore w:val="0"/>
        <w:widowControl w:val="0"/>
        <w:kinsoku/>
        <w:wordWrap/>
        <w:overflowPunct/>
        <w:topLinePunct w:val="0"/>
        <w:bidi w:val="0"/>
        <w:adjustRightInd/>
        <w:snapToGrid w:val="0"/>
        <w:spacing w:line="240" w:lineRule="auto"/>
        <w:textAlignment w:val="auto"/>
        <w:rPr>
          <w:rFonts w:hint="eastAsia" w:eastAsia="仿宋_GB2312"/>
          <w:lang w:val="en-US" w:eastAsia="zh-CN"/>
        </w:rPr>
      </w:pPr>
      <w:r>
        <w:rPr>
          <w:rStyle w:val="28"/>
        </w:rPr>
        <w:footnoteRef/>
      </w:r>
      <w:r>
        <w:rPr>
          <w:rFonts w:hint="eastAsia"/>
          <w:lang w:val="en-US" w:eastAsia="zh-CN"/>
        </w:rPr>
        <w:t xml:space="preserve"> </w:t>
      </w:r>
      <w:r>
        <w:rPr>
          <w:rFonts w:hint="eastAsia"/>
          <w:lang w:eastAsia="zh-CN"/>
        </w:rPr>
        <w:t>【</w:t>
      </w:r>
      <w:r>
        <w:rPr>
          <w:rFonts w:hint="eastAsia"/>
          <w:lang w:val="en-US" w:eastAsia="zh-CN"/>
        </w:rPr>
        <w:t>说明</w:t>
      </w:r>
      <w:r>
        <w:rPr>
          <w:rFonts w:hint="eastAsia"/>
          <w:lang w:eastAsia="zh-CN"/>
        </w:rPr>
        <w:t>】</w:t>
      </w:r>
      <w:r>
        <w:rPr>
          <w:rFonts w:hint="eastAsia"/>
        </w:rPr>
        <w:t>《广东省申请公租房</w:t>
      </w:r>
      <w:r>
        <w:rPr>
          <w:rFonts w:hint="eastAsia" w:ascii="仿宋_GB2312" w:hAnsi="仿宋_GB2312"/>
          <w:lang w:eastAsia="zh-CN"/>
        </w:rPr>
        <w:t>“</w:t>
      </w:r>
      <w:r>
        <w:rPr>
          <w:rFonts w:hint="eastAsia"/>
        </w:rPr>
        <w:t>一件事</w:t>
      </w:r>
      <w:r>
        <w:rPr>
          <w:rFonts w:hint="eastAsia" w:ascii="仿宋_GB2312" w:hAnsi="仿宋_GB2312"/>
          <w:lang w:eastAsia="zh-CN"/>
        </w:rPr>
        <w:t>”</w:t>
      </w:r>
      <w:r>
        <w:rPr>
          <w:rFonts w:hint="eastAsia"/>
        </w:rPr>
        <w:t>工作实施方案》</w:t>
      </w:r>
      <w:r>
        <w:rPr>
          <w:rFonts w:hint="eastAsia"/>
          <w:lang w:val="en-US" w:eastAsia="zh-CN"/>
        </w:rPr>
        <w:t>指出，明确全省推进公租房</w:t>
      </w:r>
      <w:r>
        <w:rPr>
          <w:rFonts w:hint="eastAsia" w:ascii="仿宋_GB2312" w:hAnsi="仿宋_GB2312"/>
          <w:lang w:val="en-US" w:eastAsia="zh-CN"/>
        </w:rPr>
        <w:t>“</w:t>
      </w:r>
      <w:r>
        <w:rPr>
          <w:rFonts w:hint="eastAsia"/>
          <w:lang w:val="en-US" w:eastAsia="zh-CN"/>
        </w:rPr>
        <w:t>一件事</w:t>
      </w:r>
      <w:r>
        <w:rPr>
          <w:rFonts w:hint="eastAsia" w:ascii="仿宋_GB2312" w:hAnsi="仿宋_GB2312"/>
          <w:lang w:val="en-US" w:eastAsia="zh-CN"/>
        </w:rPr>
        <w:t>”</w:t>
      </w:r>
      <w:r>
        <w:rPr>
          <w:rFonts w:hint="eastAsia"/>
          <w:lang w:val="en-US" w:eastAsia="zh-CN"/>
        </w:rPr>
        <w:t>的主要任务、各省级部门及地市职责分工和具体实施计划，全面系统谋划。</w:t>
      </w:r>
    </w:p>
  </w:footnote>
  <w:footnote w:id="7">
    <w:p w14:paraId="2122E0A5">
      <w:pPr>
        <w:pStyle w:val="16"/>
        <w:keepNext w:val="0"/>
        <w:keepLines w:val="0"/>
        <w:pageBreakBefore w:val="0"/>
        <w:widowControl w:val="0"/>
        <w:kinsoku/>
        <w:wordWrap/>
        <w:overflowPunct/>
        <w:topLinePunct w:val="0"/>
        <w:bidi w:val="0"/>
        <w:adjustRightInd/>
        <w:snapToGrid w:val="0"/>
        <w:spacing w:line="240" w:lineRule="auto"/>
        <w:textAlignment w:val="auto"/>
        <w:rPr>
          <w:rFonts w:hint="eastAsia" w:eastAsia="仿宋_GB2312"/>
          <w:lang w:eastAsia="zh-CN"/>
        </w:rPr>
      </w:pPr>
      <w:r>
        <w:rPr>
          <w:rStyle w:val="28"/>
        </w:rPr>
        <w:footnoteRef/>
      </w:r>
      <w:r>
        <w:rPr>
          <w:rFonts w:hint="eastAsia"/>
          <w:lang w:val="en-US" w:eastAsia="zh-CN"/>
        </w:rPr>
        <w:t xml:space="preserve"> </w:t>
      </w:r>
      <w:r>
        <w:rPr>
          <w:rFonts w:hint="eastAsia"/>
          <w:lang w:eastAsia="zh-CN"/>
        </w:rPr>
        <w:t>【</w:t>
      </w:r>
      <w:r>
        <w:rPr>
          <w:rFonts w:hint="eastAsia"/>
          <w:lang w:val="en-US" w:eastAsia="zh-CN"/>
        </w:rPr>
        <w:t>说明</w:t>
      </w:r>
      <w:r>
        <w:rPr>
          <w:rFonts w:hint="eastAsia"/>
          <w:lang w:eastAsia="zh-CN"/>
        </w:rPr>
        <w:t>】《</w:t>
      </w:r>
      <w:r>
        <w:rPr>
          <w:rFonts w:hint="eastAsia"/>
          <w:lang w:val="en-US" w:eastAsia="zh-CN"/>
        </w:rPr>
        <w:t>全国城镇住房发展规划</w:t>
      </w:r>
      <w:r>
        <w:rPr>
          <w:rFonts w:hint="eastAsia"/>
          <w:lang w:eastAsia="zh-CN"/>
        </w:rPr>
        <w:t>》</w:t>
      </w:r>
      <w:r>
        <w:rPr>
          <w:rFonts w:hint="eastAsia"/>
          <w:lang w:val="en-US" w:eastAsia="zh-CN"/>
        </w:rPr>
        <w:t>提出，</w:t>
      </w:r>
      <w:r>
        <w:rPr>
          <w:rFonts w:hint="eastAsia"/>
        </w:rPr>
        <w:t>全面摸排城市</w:t>
      </w:r>
      <w:r>
        <w:rPr>
          <w:rFonts w:hint="eastAsia"/>
          <w:lang w:eastAsia="zh-CN"/>
        </w:rPr>
        <w:t>（</w:t>
      </w:r>
      <w:r>
        <w:rPr>
          <w:rFonts w:hint="eastAsia"/>
        </w:rPr>
        <w:t>含县城</w:t>
      </w:r>
      <w:r>
        <w:rPr>
          <w:rFonts w:hint="eastAsia"/>
          <w:lang w:eastAsia="zh-CN"/>
        </w:rPr>
        <w:t>）</w:t>
      </w:r>
      <w:r>
        <w:rPr>
          <w:rFonts w:hint="eastAsia"/>
        </w:rPr>
        <w:t>建成区范围内国有土地上C、D级危险住房</w:t>
      </w:r>
      <w:r>
        <w:rPr>
          <w:rFonts w:hint="eastAsia"/>
          <w:lang w:eastAsia="zh-CN"/>
        </w:rPr>
        <w:t>。</w:t>
      </w:r>
    </w:p>
  </w:footnote>
  <w:footnote w:id="8">
    <w:p w14:paraId="2D9D2AC7">
      <w:pPr>
        <w:pStyle w:val="16"/>
        <w:keepNext w:val="0"/>
        <w:keepLines w:val="0"/>
        <w:pageBreakBefore w:val="0"/>
        <w:widowControl w:val="0"/>
        <w:kinsoku/>
        <w:wordWrap/>
        <w:overflowPunct/>
        <w:topLinePunct w:val="0"/>
        <w:bidi w:val="0"/>
        <w:adjustRightInd/>
        <w:snapToGrid w:val="0"/>
        <w:spacing w:line="240" w:lineRule="auto"/>
        <w:textAlignment w:val="auto"/>
        <w:rPr>
          <w:rFonts w:hint="default" w:eastAsia="仿宋_GB2312"/>
          <w:lang w:val="en-US" w:eastAsia="zh-CN"/>
        </w:rPr>
      </w:pPr>
      <w:r>
        <w:rPr>
          <w:rStyle w:val="28"/>
        </w:rPr>
        <w:footnoteRef/>
      </w:r>
      <w:r>
        <w:rPr>
          <w:rFonts w:hint="eastAsia"/>
          <w:lang w:val="en-US" w:eastAsia="zh-CN"/>
        </w:rPr>
        <w:t xml:space="preserve"> </w:t>
      </w:r>
      <w:r>
        <w:rPr>
          <w:rFonts w:hint="eastAsia"/>
          <w:lang w:eastAsia="zh-CN"/>
        </w:rPr>
        <w:t>【</w:t>
      </w:r>
      <w:r>
        <w:rPr>
          <w:rFonts w:hint="eastAsia"/>
          <w:lang w:val="en-US" w:eastAsia="zh-CN"/>
        </w:rPr>
        <w:t>说明</w:t>
      </w:r>
      <w:r>
        <w:rPr>
          <w:rFonts w:hint="eastAsia"/>
          <w:lang w:eastAsia="zh-CN"/>
        </w:rPr>
        <w:t>】</w:t>
      </w:r>
      <w:r>
        <w:rPr>
          <w:rFonts w:hint="eastAsia"/>
          <w:lang w:val="en-US" w:eastAsia="zh-CN"/>
        </w:rPr>
        <w:t>参考《全国城镇住房发展规划》健全土地供应机制部分。</w:t>
      </w:r>
    </w:p>
  </w:footnote>
  <w:footnote w:id="9">
    <w:p w14:paraId="3EF70CCE">
      <w:pPr>
        <w:pStyle w:val="16"/>
        <w:snapToGrid w:val="0"/>
        <w:spacing w:line="240" w:lineRule="auto"/>
        <w:rPr>
          <w:rFonts w:hint="eastAsia" w:ascii="Times New Roman" w:hAnsi="Times New Roman" w:eastAsia="仿宋_GB2312"/>
          <w:lang w:val="en-US" w:eastAsia="zh-CN"/>
        </w:rPr>
      </w:pPr>
      <w:r>
        <w:rPr>
          <w:rStyle w:val="28"/>
          <w:rFonts w:hint="eastAsia" w:ascii="Times New Roman" w:hAnsi="Times New Roman" w:eastAsia="宋体" w:cs="Times New Roman"/>
        </w:rPr>
        <w:footnoteRef/>
      </w:r>
      <w:r>
        <w:rPr>
          <w:rFonts w:hint="eastAsia"/>
          <w:lang w:val="en-US" w:eastAsia="zh-CN"/>
        </w:rPr>
        <w:t xml:space="preserve"> </w:t>
      </w:r>
      <w:r>
        <w:rPr>
          <w:rFonts w:hint="eastAsia"/>
          <w:lang w:eastAsia="zh-CN"/>
        </w:rPr>
        <w:t>【</w:t>
      </w:r>
      <w:r>
        <w:rPr>
          <w:rFonts w:hint="eastAsia"/>
          <w:lang w:val="en-US" w:eastAsia="zh-CN"/>
        </w:rPr>
        <w:t>说明</w:t>
      </w:r>
      <w:r>
        <w:rPr>
          <w:rFonts w:hint="eastAsia"/>
          <w:lang w:eastAsia="zh-CN"/>
        </w:rPr>
        <w:t>】</w:t>
      </w:r>
      <w:r>
        <w:rPr>
          <w:rFonts w:hint="eastAsia" w:ascii="Times New Roman" w:hAnsi="Times New Roman"/>
          <w:lang w:val="en-US" w:eastAsia="zh-CN"/>
        </w:rPr>
        <w:t>济南拟</w:t>
      </w:r>
      <w:r>
        <w:rPr>
          <w:rFonts w:hint="eastAsia" w:ascii="Times New Roman" w:hAnsi="Times New Roman"/>
        </w:rPr>
        <w:t>推广先验房、后交房的预验房制度</w:t>
      </w:r>
      <w:r>
        <w:rPr>
          <w:rFonts w:hint="eastAsia" w:ascii="Times New Roman" w:hAnsi="Times New Roman"/>
          <w:lang w:eastAsia="zh-CN"/>
        </w:rPr>
        <w:t>，</w:t>
      </w:r>
      <w:r>
        <w:rPr>
          <w:rFonts w:hint="eastAsia" w:ascii="Times New Roman" w:hAnsi="Times New Roman"/>
          <w:lang w:val="en-US" w:eastAsia="zh-CN"/>
        </w:rPr>
        <w:t>即</w:t>
      </w:r>
      <w:r>
        <w:rPr>
          <w:rFonts w:hint="eastAsia" w:ascii="Times New Roman" w:hAnsi="Times New Roman"/>
        </w:rPr>
        <w:t>在住宅工程竣工验收合格后至交付业主使用前，鼓励开展业主开放日活动，由建设单位通知业主分批次对拟交付使用的房屋进行预查验；建设、施工、监理、物业各方对项目质量问题进行确认，施工企业及时维修；实际交付使用时，由业主对质量问题维修情况进行确认，提升购房人对住宅工程建筑质量的满意度，提前化解工程质量纠纷。</w:t>
      </w:r>
    </w:p>
  </w:footnote>
  <w:footnote w:id="10">
    <w:p w14:paraId="6B3E731B">
      <w:pPr>
        <w:pStyle w:val="16"/>
        <w:keepNext w:val="0"/>
        <w:keepLines w:val="0"/>
        <w:pageBreakBefore w:val="0"/>
        <w:widowControl w:val="0"/>
        <w:kinsoku/>
        <w:wordWrap/>
        <w:overflowPunct/>
        <w:topLinePunct w:val="0"/>
        <w:bidi w:val="0"/>
        <w:adjustRightInd/>
        <w:snapToGrid w:val="0"/>
        <w:spacing w:line="240" w:lineRule="auto"/>
        <w:textAlignment w:val="auto"/>
      </w:pPr>
      <w:r>
        <w:rPr>
          <w:rStyle w:val="28"/>
        </w:rPr>
        <w:footnoteRef/>
      </w:r>
      <w:r>
        <w:rPr>
          <w:rFonts w:hint="eastAsia"/>
          <w:lang w:val="en-US" w:eastAsia="zh-CN"/>
        </w:rPr>
        <w:t xml:space="preserve"> </w:t>
      </w:r>
      <w:r>
        <w:rPr>
          <w:rFonts w:hint="eastAsia"/>
          <w:lang w:eastAsia="zh-CN"/>
        </w:rPr>
        <w:t>【</w:t>
      </w:r>
      <w:r>
        <w:rPr>
          <w:rFonts w:hint="eastAsia"/>
          <w:lang w:val="en-US" w:eastAsia="zh-CN"/>
        </w:rPr>
        <w:t>说明</w:t>
      </w:r>
      <w:r>
        <w:rPr>
          <w:rFonts w:hint="eastAsia"/>
          <w:lang w:eastAsia="zh-CN"/>
        </w:rPr>
        <w:t>】</w:t>
      </w:r>
      <w:r>
        <w:rPr>
          <w:rFonts w:hint="eastAsia"/>
          <w:lang w:val="en-US" w:eastAsia="zh-CN"/>
        </w:rPr>
        <w:t>参考湛江市</w:t>
      </w:r>
      <w:r>
        <w:rPr>
          <w:rFonts w:hint="eastAsia"/>
          <w:lang w:eastAsia="zh-CN"/>
        </w:rPr>
        <w:t>《</w:t>
      </w:r>
      <w:r>
        <w:rPr>
          <w:rFonts w:hint="eastAsia"/>
        </w:rPr>
        <w:t>关于房地产开发企业二级资质审批有关事项的通知</w:t>
      </w:r>
      <w:r>
        <w:rPr>
          <w:rFonts w:hint="eastAsia"/>
          <w:lang w:eastAsia="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76C511"/>
    <w:multiLevelType w:val="singleLevel"/>
    <w:tmpl w:val="0676C511"/>
    <w:lvl w:ilvl="0" w:tentative="0">
      <w:start w:val="1"/>
      <w:numFmt w:val="chineseCounting"/>
      <w:suff w:val="nothing"/>
      <w:lvlText w:val="%1、"/>
      <w:lvlJc w:val="left"/>
      <w:rPr>
        <w:rFonts w:hint="eastAsia"/>
      </w:rPr>
    </w:lvl>
  </w:abstractNum>
  <w:abstractNum w:abstractNumId="1">
    <w:nsid w:val="48866E3B"/>
    <w:multiLevelType w:val="singleLevel"/>
    <w:tmpl w:val="48866E3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2"/>
    <w:footnote w:id="23"/>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A7BFF"/>
    <w:rsid w:val="00621C19"/>
    <w:rsid w:val="01911A2E"/>
    <w:rsid w:val="01D749E8"/>
    <w:rsid w:val="02601D3C"/>
    <w:rsid w:val="028A627F"/>
    <w:rsid w:val="030809D7"/>
    <w:rsid w:val="03483348"/>
    <w:rsid w:val="034A5EFB"/>
    <w:rsid w:val="03C87F16"/>
    <w:rsid w:val="041F0150"/>
    <w:rsid w:val="0444707D"/>
    <w:rsid w:val="047657AB"/>
    <w:rsid w:val="04E84041"/>
    <w:rsid w:val="05456703"/>
    <w:rsid w:val="059D3E1F"/>
    <w:rsid w:val="06872F1A"/>
    <w:rsid w:val="068C714E"/>
    <w:rsid w:val="072B0FB7"/>
    <w:rsid w:val="07617268"/>
    <w:rsid w:val="09057501"/>
    <w:rsid w:val="0A03446D"/>
    <w:rsid w:val="0A62116B"/>
    <w:rsid w:val="0AA91C8A"/>
    <w:rsid w:val="0ABD3C43"/>
    <w:rsid w:val="0AC53267"/>
    <w:rsid w:val="0B913059"/>
    <w:rsid w:val="0BD21B62"/>
    <w:rsid w:val="0C67024A"/>
    <w:rsid w:val="0CA84FD3"/>
    <w:rsid w:val="0DAD2B95"/>
    <w:rsid w:val="0DC4777D"/>
    <w:rsid w:val="0DEC26C8"/>
    <w:rsid w:val="0DEF6355"/>
    <w:rsid w:val="0DFB6F97"/>
    <w:rsid w:val="0E5E773D"/>
    <w:rsid w:val="0E805AE2"/>
    <w:rsid w:val="0F28146D"/>
    <w:rsid w:val="0F450727"/>
    <w:rsid w:val="0F474DFC"/>
    <w:rsid w:val="0FD541B5"/>
    <w:rsid w:val="104A5E37"/>
    <w:rsid w:val="106B567E"/>
    <w:rsid w:val="112A5CB6"/>
    <w:rsid w:val="113373E5"/>
    <w:rsid w:val="12C231A8"/>
    <w:rsid w:val="1309717C"/>
    <w:rsid w:val="156D0C34"/>
    <w:rsid w:val="15B819D3"/>
    <w:rsid w:val="15C23F41"/>
    <w:rsid w:val="15C62E95"/>
    <w:rsid w:val="166811C8"/>
    <w:rsid w:val="16852B87"/>
    <w:rsid w:val="16A11295"/>
    <w:rsid w:val="17730085"/>
    <w:rsid w:val="17CC3242"/>
    <w:rsid w:val="17D11706"/>
    <w:rsid w:val="189F7AC9"/>
    <w:rsid w:val="18F356AC"/>
    <w:rsid w:val="19243AE0"/>
    <w:rsid w:val="19251A3C"/>
    <w:rsid w:val="1A847EB5"/>
    <w:rsid w:val="1AE02ECF"/>
    <w:rsid w:val="1B2E763F"/>
    <w:rsid w:val="1C035DD1"/>
    <w:rsid w:val="1C4A3777"/>
    <w:rsid w:val="1DC43CB7"/>
    <w:rsid w:val="1DC6208B"/>
    <w:rsid w:val="1E264686"/>
    <w:rsid w:val="1E762CB8"/>
    <w:rsid w:val="1EB12291"/>
    <w:rsid w:val="1F8E7634"/>
    <w:rsid w:val="1FBC2F63"/>
    <w:rsid w:val="20DA707C"/>
    <w:rsid w:val="21CB5781"/>
    <w:rsid w:val="21F726B1"/>
    <w:rsid w:val="220345DE"/>
    <w:rsid w:val="22A2261D"/>
    <w:rsid w:val="234B0F30"/>
    <w:rsid w:val="242A2CE1"/>
    <w:rsid w:val="2459453D"/>
    <w:rsid w:val="249D7DD5"/>
    <w:rsid w:val="24C70119"/>
    <w:rsid w:val="24D30F72"/>
    <w:rsid w:val="25962FF6"/>
    <w:rsid w:val="25C14ADA"/>
    <w:rsid w:val="265F16DD"/>
    <w:rsid w:val="26CD0C1B"/>
    <w:rsid w:val="26D116DC"/>
    <w:rsid w:val="277E1091"/>
    <w:rsid w:val="27A71D1F"/>
    <w:rsid w:val="294256D1"/>
    <w:rsid w:val="295A44EE"/>
    <w:rsid w:val="29734AA9"/>
    <w:rsid w:val="2BD7357C"/>
    <w:rsid w:val="2C344011"/>
    <w:rsid w:val="2C6747C7"/>
    <w:rsid w:val="2C832223"/>
    <w:rsid w:val="2D953FD8"/>
    <w:rsid w:val="2D9E7E85"/>
    <w:rsid w:val="2DD16E86"/>
    <w:rsid w:val="2DE96447"/>
    <w:rsid w:val="2E803F7E"/>
    <w:rsid w:val="2FC33F7F"/>
    <w:rsid w:val="2FFCFAB2"/>
    <w:rsid w:val="30112B90"/>
    <w:rsid w:val="302F59DF"/>
    <w:rsid w:val="310F06E6"/>
    <w:rsid w:val="32723C05"/>
    <w:rsid w:val="32844FBF"/>
    <w:rsid w:val="32FB79C5"/>
    <w:rsid w:val="33631D87"/>
    <w:rsid w:val="34597358"/>
    <w:rsid w:val="34C24633"/>
    <w:rsid w:val="34F767F8"/>
    <w:rsid w:val="351153E0"/>
    <w:rsid w:val="35ED3C8B"/>
    <w:rsid w:val="36722144"/>
    <w:rsid w:val="369A0C60"/>
    <w:rsid w:val="36B76615"/>
    <w:rsid w:val="36C27A53"/>
    <w:rsid w:val="380D0A0E"/>
    <w:rsid w:val="38427E28"/>
    <w:rsid w:val="39740A65"/>
    <w:rsid w:val="399A30C5"/>
    <w:rsid w:val="39B8407C"/>
    <w:rsid w:val="3A756774"/>
    <w:rsid w:val="3B2969CB"/>
    <w:rsid w:val="3B882DB9"/>
    <w:rsid w:val="3B9D79CE"/>
    <w:rsid w:val="3BAB0482"/>
    <w:rsid w:val="3BC9431F"/>
    <w:rsid w:val="3BE473AB"/>
    <w:rsid w:val="3C42080E"/>
    <w:rsid w:val="3CB1664A"/>
    <w:rsid w:val="3CB6202D"/>
    <w:rsid w:val="3D0D6FCB"/>
    <w:rsid w:val="3D8F5C76"/>
    <w:rsid w:val="3DE73AA5"/>
    <w:rsid w:val="3E457BBC"/>
    <w:rsid w:val="3E5D15DE"/>
    <w:rsid w:val="3F670307"/>
    <w:rsid w:val="3FBE56CE"/>
    <w:rsid w:val="40403C55"/>
    <w:rsid w:val="4081711A"/>
    <w:rsid w:val="41B579DA"/>
    <w:rsid w:val="42165CA6"/>
    <w:rsid w:val="42C767BF"/>
    <w:rsid w:val="439F1200"/>
    <w:rsid w:val="44CC6046"/>
    <w:rsid w:val="454809AA"/>
    <w:rsid w:val="454D202D"/>
    <w:rsid w:val="456F5BF8"/>
    <w:rsid w:val="45705CFF"/>
    <w:rsid w:val="45DF172F"/>
    <w:rsid w:val="461C3792"/>
    <w:rsid w:val="463C60FC"/>
    <w:rsid w:val="469A6FE4"/>
    <w:rsid w:val="47084F2D"/>
    <w:rsid w:val="477D2EEB"/>
    <w:rsid w:val="47923EE6"/>
    <w:rsid w:val="47A70B6F"/>
    <w:rsid w:val="4827384A"/>
    <w:rsid w:val="483F5CBF"/>
    <w:rsid w:val="487854B5"/>
    <w:rsid w:val="4A842484"/>
    <w:rsid w:val="4B0230A8"/>
    <w:rsid w:val="4B6B0AF7"/>
    <w:rsid w:val="4BD27749"/>
    <w:rsid w:val="4BE21410"/>
    <w:rsid w:val="4C513F9F"/>
    <w:rsid w:val="4CEE0089"/>
    <w:rsid w:val="4D381304"/>
    <w:rsid w:val="4E651ED5"/>
    <w:rsid w:val="4EEF00E8"/>
    <w:rsid w:val="4FD558DE"/>
    <w:rsid w:val="50676C2B"/>
    <w:rsid w:val="51422751"/>
    <w:rsid w:val="51595CED"/>
    <w:rsid w:val="51654692"/>
    <w:rsid w:val="518311F3"/>
    <w:rsid w:val="51F26506"/>
    <w:rsid w:val="524338E0"/>
    <w:rsid w:val="532219F2"/>
    <w:rsid w:val="548051B1"/>
    <w:rsid w:val="54BF09EC"/>
    <w:rsid w:val="54F31FD7"/>
    <w:rsid w:val="5516017D"/>
    <w:rsid w:val="5595761A"/>
    <w:rsid w:val="55A27C63"/>
    <w:rsid w:val="56245FEB"/>
    <w:rsid w:val="56391D0C"/>
    <w:rsid w:val="56537661"/>
    <w:rsid w:val="56D3069F"/>
    <w:rsid w:val="575C3763"/>
    <w:rsid w:val="580F043C"/>
    <w:rsid w:val="58570F9C"/>
    <w:rsid w:val="5A23760D"/>
    <w:rsid w:val="5AAF00C9"/>
    <w:rsid w:val="5AF763D8"/>
    <w:rsid w:val="5B0145C8"/>
    <w:rsid w:val="5B45224F"/>
    <w:rsid w:val="5BC24519"/>
    <w:rsid w:val="5BEA5EBF"/>
    <w:rsid w:val="5C8A6715"/>
    <w:rsid w:val="5C9760F6"/>
    <w:rsid w:val="5D35760E"/>
    <w:rsid w:val="5D5C103F"/>
    <w:rsid w:val="5D63484D"/>
    <w:rsid w:val="5D8261C9"/>
    <w:rsid w:val="5E0D6665"/>
    <w:rsid w:val="5EA0021B"/>
    <w:rsid w:val="5EDA046D"/>
    <w:rsid w:val="5F100333"/>
    <w:rsid w:val="5F7601D3"/>
    <w:rsid w:val="5F896617"/>
    <w:rsid w:val="5FCBE989"/>
    <w:rsid w:val="60164021"/>
    <w:rsid w:val="60186408"/>
    <w:rsid w:val="603A1091"/>
    <w:rsid w:val="604162CA"/>
    <w:rsid w:val="60C15270"/>
    <w:rsid w:val="613A74B0"/>
    <w:rsid w:val="61F168F6"/>
    <w:rsid w:val="624201FF"/>
    <w:rsid w:val="637A4737"/>
    <w:rsid w:val="63A43775"/>
    <w:rsid w:val="63B03E93"/>
    <w:rsid w:val="641C0C21"/>
    <w:rsid w:val="64276163"/>
    <w:rsid w:val="64642182"/>
    <w:rsid w:val="64FB134F"/>
    <w:rsid w:val="65CC2D90"/>
    <w:rsid w:val="66942D34"/>
    <w:rsid w:val="66E63762"/>
    <w:rsid w:val="6723240D"/>
    <w:rsid w:val="67BD6B7E"/>
    <w:rsid w:val="68232E85"/>
    <w:rsid w:val="691C78D4"/>
    <w:rsid w:val="69861502"/>
    <w:rsid w:val="6A1B68A2"/>
    <w:rsid w:val="6A763739"/>
    <w:rsid w:val="6ABD59FD"/>
    <w:rsid w:val="6B6F5FFC"/>
    <w:rsid w:val="6C6509E5"/>
    <w:rsid w:val="6D0559CD"/>
    <w:rsid w:val="6D460803"/>
    <w:rsid w:val="6DB86C92"/>
    <w:rsid w:val="6DD80C6A"/>
    <w:rsid w:val="6E26547D"/>
    <w:rsid w:val="6E51148A"/>
    <w:rsid w:val="6E59511A"/>
    <w:rsid w:val="6E996957"/>
    <w:rsid w:val="6EF646A2"/>
    <w:rsid w:val="6F5A2F04"/>
    <w:rsid w:val="6F7B613C"/>
    <w:rsid w:val="6FA4348D"/>
    <w:rsid w:val="7012558D"/>
    <w:rsid w:val="70F8010E"/>
    <w:rsid w:val="710D6BB7"/>
    <w:rsid w:val="715A5D6A"/>
    <w:rsid w:val="71B20E41"/>
    <w:rsid w:val="725D71CF"/>
    <w:rsid w:val="73331B85"/>
    <w:rsid w:val="745B25CA"/>
    <w:rsid w:val="74A23670"/>
    <w:rsid w:val="7519290F"/>
    <w:rsid w:val="75581C94"/>
    <w:rsid w:val="75830558"/>
    <w:rsid w:val="76273F0B"/>
    <w:rsid w:val="76671E50"/>
    <w:rsid w:val="76834B89"/>
    <w:rsid w:val="770F728C"/>
    <w:rsid w:val="78010DBC"/>
    <w:rsid w:val="780600CD"/>
    <w:rsid w:val="78F335B6"/>
    <w:rsid w:val="791665C1"/>
    <w:rsid w:val="793F5645"/>
    <w:rsid w:val="79924752"/>
    <w:rsid w:val="79A3241C"/>
    <w:rsid w:val="79C15DDE"/>
    <w:rsid w:val="7A634FA4"/>
    <w:rsid w:val="7AB57EE0"/>
    <w:rsid w:val="7B3B54F4"/>
    <w:rsid w:val="7B925754"/>
    <w:rsid w:val="7BCC3B3D"/>
    <w:rsid w:val="7C72188D"/>
    <w:rsid w:val="7CAF663E"/>
    <w:rsid w:val="7D633784"/>
    <w:rsid w:val="7D6714A8"/>
    <w:rsid w:val="7DDC070D"/>
    <w:rsid w:val="7DFB568C"/>
    <w:rsid w:val="7DFDC15D"/>
    <w:rsid w:val="7E77762F"/>
    <w:rsid w:val="7E8104AE"/>
    <w:rsid w:val="7ED30FF3"/>
    <w:rsid w:val="7ED32F21"/>
    <w:rsid w:val="7F4853E1"/>
    <w:rsid w:val="998F5C58"/>
    <w:rsid w:val="BC6E091A"/>
    <w:rsid w:val="BFDF69F6"/>
    <w:rsid w:val="DEE73FB2"/>
    <w:rsid w:val="EFBB8FFF"/>
    <w:rsid w:val="F7FE2FAF"/>
    <w:rsid w:val="FBFDE293"/>
    <w:rsid w:val="FD9F27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pPr>
    <w:rPr>
      <w:rFonts w:ascii="Times New Roman" w:hAnsi="Times New Roman" w:eastAsia="仿宋_GB2312" w:cstheme="minorBidi"/>
      <w:kern w:val="2"/>
      <w:sz w:val="32"/>
      <w:szCs w:val="32"/>
      <w:lang w:val="en-US" w:eastAsia="zh-CN" w:bidi="ar-SA"/>
    </w:rPr>
  </w:style>
  <w:style w:type="paragraph" w:styleId="2">
    <w:name w:val="heading 1"/>
    <w:basedOn w:val="1"/>
    <w:next w:val="1"/>
    <w:link w:val="37"/>
    <w:qFormat/>
    <w:uiPriority w:val="9"/>
    <w:pPr>
      <w:spacing w:line="580" w:lineRule="exact"/>
      <w:outlineLvl w:val="0"/>
    </w:pPr>
    <w:rPr>
      <w:rFonts w:ascii="黑体" w:hAnsi="黑体" w:eastAsia="黑体" w:cs="黑体"/>
    </w:rPr>
  </w:style>
  <w:style w:type="paragraph" w:styleId="3">
    <w:name w:val="heading 2"/>
    <w:basedOn w:val="4"/>
    <w:next w:val="1"/>
    <w:unhideWhenUsed/>
    <w:qFormat/>
    <w:uiPriority w:val="0"/>
    <w:pPr>
      <w:spacing w:before="50" w:beforeLines="50" w:after="50" w:afterLines="50" w:line="600" w:lineRule="exact"/>
      <w:ind w:firstLine="643"/>
      <w:outlineLvl w:val="1"/>
    </w:pPr>
    <w:rPr>
      <w:rFonts w:ascii="楷体_GB2312" w:hAnsi="楷体_GB2312" w:eastAsia="楷体_GB2312" w:cs="楷体_GB2312"/>
    </w:rPr>
  </w:style>
  <w:style w:type="paragraph" w:styleId="4">
    <w:name w:val="heading 3"/>
    <w:basedOn w:val="1"/>
    <w:next w:val="1"/>
    <w:link w:val="33"/>
    <w:unhideWhenUsed/>
    <w:qFormat/>
    <w:uiPriority w:val="0"/>
    <w:pPr>
      <w:spacing w:before="50" w:beforeLines="50" w:after="50" w:afterLines="50" w:line="600" w:lineRule="exact"/>
      <w:ind w:firstLine="643"/>
      <w:outlineLvl w:val="2"/>
    </w:pPr>
    <w:rPr>
      <w:b/>
      <w:bCs/>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szCs w:val="24"/>
    </w:rPr>
  </w:style>
  <w:style w:type="paragraph" w:styleId="7">
    <w:name w:val="annotation text"/>
    <w:basedOn w:val="1"/>
    <w:qFormat/>
    <w:uiPriority w:val="0"/>
    <w:pPr>
      <w:jc w:val="left"/>
    </w:pPr>
  </w:style>
  <w:style w:type="paragraph" w:styleId="8">
    <w:name w:val="Body Text"/>
    <w:basedOn w:val="1"/>
    <w:next w:val="9"/>
    <w:unhideWhenUsed/>
    <w:qFormat/>
    <w:uiPriority w:val="99"/>
    <w:pPr>
      <w:spacing w:after="120"/>
    </w:pPr>
  </w:style>
  <w:style w:type="paragraph" w:styleId="9">
    <w:name w:val="toc 5"/>
    <w:basedOn w:val="1"/>
    <w:next w:val="1"/>
    <w:qFormat/>
    <w:uiPriority w:val="0"/>
    <w:pPr>
      <w:suppressAutoHyphens/>
      <w:ind w:left="1680" w:leftChars="800"/>
    </w:pPr>
    <w:rPr>
      <w:rFonts w:eastAsia="宋体"/>
      <w:sz w:val="21"/>
    </w:rPr>
  </w:style>
  <w:style w:type="paragraph" w:styleId="10">
    <w:name w:val="Body Text Indent"/>
    <w:basedOn w:val="1"/>
    <w:next w:val="11"/>
    <w:unhideWhenUsed/>
    <w:qFormat/>
    <w:uiPriority w:val="99"/>
    <w:pPr>
      <w:spacing w:after="120"/>
      <w:ind w:left="420" w:leftChars="200"/>
    </w:pPr>
  </w:style>
  <w:style w:type="paragraph" w:styleId="11">
    <w:name w:val="envelope return"/>
    <w:basedOn w:val="1"/>
    <w:qFormat/>
    <w:uiPriority w:val="0"/>
    <w:pPr>
      <w:snapToGrid w:val="0"/>
    </w:pPr>
    <w:rPr>
      <w:rFonts w:ascii="Arial" w:hAnsi="Arial"/>
    </w:rPr>
  </w:style>
  <w:style w:type="paragraph" w:styleId="12">
    <w:name w:val="Body Text Indent 2"/>
    <w:basedOn w:val="1"/>
    <w:qFormat/>
    <w:uiPriority w:val="0"/>
    <w:pPr>
      <w:spacing w:line="480" w:lineRule="auto"/>
      <w:ind w:left="420" w:leftChars="200"/>
    </w:pPr>
  </w:style>
  <w:style w:type="paragraph" w:styleId="13">
    <w:name w:val="footer"/>
    <w:basedOn w:val="1"/>
    <w:link w:val="38"/>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39"/>
    <w:pPr>
      <w:ind w:firstLine="0" w:firstLineChars="0"/>
    </w:pPr>
    <w:rPr>
      <w:rFonts w:ascii="Times New Roman" w:hAnsi="Times New Roman" w:eastAsia="黑体"/>
    </w:rPr>
  </w:style>
  <w:style w:type="paragraph" w:styleId="16">
    <w:name w:val="footnote text"/>
    <w:basedOn w:val="1"/>
    <w:qFormat/>
    <w:uiPriority w:val="0"/>
    <w:pPr>
      <w:snapToGrid w:val="0"/>
      <w:jc w:val="left"/>
    </w:pPr>
    <w:rPr>
      <w:sz w:val="18"/>
    </w:rPr>
  </w:style>
  <w:style w:type="paragraph" w:styleId="17">
    <w:name w:val="toc 2"/>
    <w:basedOn w:val="1"/>
    <w:next w:val="1"/>
    <w:unhideWhenUsed/>
    <w:qFormat/>
    <w:uiPriority w:val="39"/>
    <w:pPr>
      <w:ind w:left="0" w:leftChars="0"/>
    </w:pPr>
    <w:rPr>
      <w:rFonts w:ascii="Times New Roman" w:hAnsi="Times New Roman"/>
    </w:rPr>
  </w:style>
  <w:style w:type="paragraph" w:styleId="1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Title"/>
    <w:basedOn w:val="1"/>
    <w:next w:val="1"/>
    <w:qFormat/>
    <w:uiPriority w:val="10"/>
    <w:pPr>
      <w:spacing w:line="700" w:lineRule="exact"/>
      <w:ind w:firstLine="0" w:firstLineChars="0"/>
      <w:jc w:val="center"/>
      <w:outlineLvl w:val="0"/>
    </w:pPr>
    <w:rPr>
      <w:rFonts w:ascii="小标宋" w:hAnsi="小标宋" w:eastAsia="小标宋" w:cs="小标宋"/>
      <w:sz w:val="44"/>
      <w:szCs w:val="44"/>
    </w:rPr>
  </w:style>
  <w:style w:type="paragraph" w:styleId="21">
    <w:name w:val="Body Text First Indent 2"/>
    <w:basedOn w:val="10"/>
    <w:next w:val="8"/>
    <w:qFormat/>
    <w:uiPriority w:val="0"/>
    <w:pPr>
      <w:spacing w:after="0"/>
      <w:ind w:left="0" w:leftChars="0" w:firstLine="420" w:firstLineChars="200"/>
    </w:pPr>
    <w:rPr>
      <w:rFonts w:ascii="仿宋_GB2312" w:hAnsi="Times New Roman" w:eastAsia="仿宋_GB2312"/>
      <w:b/>
      <w:bCs/>
      <w:sz w:val="32"/>
      <w:szCs w:val="24"/>
    </w:rPr>
  </w:style>
  <w:style w:type="table" w:styleId="23">
    <w:name w:val="Table Grid"/>
    <w:basedOn w:val="22"/>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Emphasis"/>
    <w:basedOn w:val="24"/>
    <w:qFormat/>
    <w:uiPriority w:val="0"/>
    <w:rPr>
      <w:i/>
    </w:rPr>
  </w:style>
  <w:style w:type="character" w:styleId="27">
    <w:name w:val="Hyperlink"/>
    <w:basedOn w:val="24"/>
    <w:qFormat/>
    <w:uiPriority w:val="0"/>
    <w:rPr>
      <w:color w:val="0000FF"/>
      <w:u w:val="single"/>
    </w:rPr>
  </w:style>
  <w:style w:type="character" w:styleId="28">
    <w:name w:val="footnote reference"/>
    <w:basedOn w:val="24"/>
    <w:qFormat/>
    <w:uiPriority w:val="0"/>
    <w:rPr>
      <w:vertAlign w:val="superscript"/>
    </w:rPr>
  </w:style>
  <w:style w:type="paragraph" w:customStyle="1" w:styleId="29">
    <w:name w:val="数据来源"/>
    <w:basedOn w:val="30"/>
    <w:qFormat/>
    <w:uiPriority w:val="0"/>
    <w:pPr>
      <w:keepNext w:val="0"/>
      <w:keepLines w:val="0"/>
      <w:widowControl w:val="0"/>
      <w:numPr>
        <w:ilvl w:val="0"/>
        <w:numId w:val="0"/>
      </w:numPr>
      <w:kinsoku/>
      <w:wordWrap/>
      <w:overflowPunct/>
      <w:topLinePunct w:val="0"/>
      <w:autoSpaceDE/>
      <w:autoSpaceDN/>
      <w:bidi w:val="0"/>
      <w:adjustRightInd w:val="0"/>
      <w:snapToGrid w:val="0"/>
      <w:spacing w:line="240" w:lineRule="auto"/>
      <w:ind w:left="0" w:leftChars="0" w:firstLine="640" w:firstLineChars="200"/>
      <w:jc w:val="right"/>
      <w:textAlignment w:val="auto"/>
    </w:pPr>
    <w:rPr>
      <w:rFonts w:hint="eastAsia" w:ascii="Times New Roman" w:hAnsi="Times New Roman" w:eastAsia="仿宋_GB2312" w:cs="仿宋_GB2312"/>
      <w:kern w:val="2"/>
      <w:sz w:val="24"/>
      <w:szCs w:val="32"/>
      <w:u w:val="none"/>
      <w:lang w:val="en-US" w:eastAsia="zh-CN" w:bidi="ar-SA"/>
    </w:rPr>
  </w:style>
  <w:style w:type="paragraph" w:customStyle="1" w:styleId="30">
    <w:name w:val="来源"/>
    <w:qFormat/>
    <w:uiPriority w:val="0"/>
    <w:pPr>
      <w:keepNext w:val="0"/>
      <w:keepLines w:val="0"/>
      <w:widowControl w:val="0"/>
      <w:numPr>
        <w:ilvl w:val="0"/>
        <w:numId w:val="0"/>
      </w:numPr>
      <w:kinsoku/>
      <w:wordWrap/>
      <w:overflowPunct/>
      <w:topLinePunct w:val="0"/>
      <w:autoSpaceDE/>
      <w:autoSpaceDN/>
      <w:bidi w:val="0"/>
      <w:adjustRightInd/>
      <w:snapToGrid/>
      <w:spacing w:line="240" w:lineRule="auto"/>
      <w:ind w:left="0" w:leftChars="0" w:firstLine="640" w:firstLineChars="200"/>
      <w:jc w:val="right"/>
      <w:textAlignment w:val="auto"/>
    </w:pPr>
    <w:rPr>
      <w:rFonts w:hint="eastAsia" w:ascii="Times New Roman" w:hAnsi="Times New Roman" w:eastAsia="仿宋_GB2312" w:cs="仿宋_GB2312"/>
      <w:kern w:val="2"/>
      <w:sz w:val="24"/>
      <w:szCs w:val="32"/>
      <w:u w:val="none"/>
      <w:lang w:val="en-US" w:eastAsia="zh-CN" w:bidi="ar-SA"/>
    </w:rPr>
  </w:style>
  <w:style w:type="paragraph" w:customStyle="1" w:styleId="31">
    <w:name w:val="List Paragraph"/>
    <w:basedOn w:val="1"/>
    <w:unhideWhenUsed/>
    <w:qFormat/>
    <w:uiPriority w:val="99"/>
    <w:pPr>
      <w:ind w:firstLine="420"/>
    </w:pPr>
  </w:style>
  <w:style w:type="paragraph" w:customStyle="1" w:styleId="32">
    <w:name w:val="列表段落1"/>
    <w:basedOn w:val="1"/>
    <w:qFormat/>
    <w:uiPriority w:val="99"/>
    <w:pPr>
      <w:ind w:firstLine="420"/>
    </w:pPr>
  </w:style>
  <w:style w:type="character" w:customStyle="1" w:styleId="33">
    <w:name w:val="标题 3 Char"/>
    <w:link w:val="4"/>
    <w:qFormat/>
    <w:uiPriority w:val="0"/>
    <w:rPr>
      <w:b/>
      <w:bCs/>
    </w:rPr>
  </w:style>
  <w:style w:type="paragraph" w:customStyle="1" w:styleId="34">
    <w:name w:val="_Style 3"/>
    <w:basedOn w:val="1"/>
    <w:qFormat/>
    <w:uiPriority w:val="0"/>
    <w:rPr>
      <w:rFonts w:hint="eastAsia" w:ascii="Times New Roman" w:hAnsi="Times New Roman"/>
      <w:szCs w:val="20"/>
    </w:rPr>
  </w:style>
  <w:style w:type="paragraph" w:customStyle="1" w:styleId="35">
    <w:name w:val="表格文字"/>
    <w:basedOn w:val="1"/>
    <w:qFormat/>
    <w:uiPriority w:val="0"/>
    <w:pPr>
      <w:spacing w:before="0" w:beforeLines="0" w:line="240" w:lineRule="auto"/>
      <w:ind w:firstLine="0" w:firstLineChars="0"/>
      <w:jc w:val="center"/>
    </w:pPr>
    <w:rPr>
      <w:rFonts w:ascii="Times New Roman" w:hAnsi="Times New Roman" w:cs="宋体"/>
      <w:sz w:val="18"/>
    </w:rPr>
  </w:style>
  <w:style w:type="paragraph" w:customStyle="1" w:styleId="36">
    <w:name w:val="图表标题"/>
    <w:qFormat/>
    <w:uiPriority w:val="0"/>
    <w:pPr>
      <w:keepNext w:val="0"/>
      <w:keepLines w:val="0"/>
      <w:widowControl w:val="0"/>
      <w:numPr>
        <w:ilvl w:val="0"/>
        <w:numId w:val="0"/>
      </w:numPr>
      <w:kinsoku/>
      <w:wordWrap/>
      <w:overflowPunct/>
      <w:topLinePunct w:val="0"/>
      <w:autoSpaceDE/>
      <w:autoSpaceDN w:val="0"/>
      <w:bidi w:val="0"/>
      <w:adjustRightInd/>
      <w:snapToGrid/>
      <w:spacing w:line="240" w:lineRule="auto"/>
      <w:ind w:left="0" w:leftChars="0" w:firstLine="0" w:firstLineChars="0"/>
      <w:jc w:val="center"/>
      <w:textAlignment w:val="auto"/>
    </w:pPr>
    <w:rPr>
      <w:rFonts w:ascii="Times New Roman" w:hAnsi="Times New Roman" w:eastAsia="黑体" w:cs="仿宋_GB2312"/>
      <w:kern w:val="2"/>
      <w:sz w:val="24"/>
      <w:szCs w:val="24"/>
      <w:u w:val="none"/>
      <w:lang w:val="en-US" w:eastAsia="zh-CN" w:bidi="ar-SA"/>
    </w:rPr>
  </w:style>
  <w:style w:type="character" w:customStyle="1" w:styleId="37">
    <w:name w:val="标题 1 Char"/>
    <w:link w:val="2"/>
    <w:qFormat/>
    <w:uiPriority w:val="9"/>
    <w:rPr>
      <w:rFonts w:ascii="黑体" w:hAnsi="黑体" w:eastAsia="黑体" w:cs="黑体"/>
    </w:rPr>
  </w:style>
  <w:style w:type="character" w:customStyle="1" w:styleId="38">
    <w:name w:val="页脚 Char"/>
    <w:link w:val="13"/>
    <w:qFormat/>
    <w:uiPriority w:val="0"/>
    <w:rPr>
      <w:sz w:val="18"/>
    </w:rPr>
  </w:style>
  <w:style w:type="paragraph" w:customStyle="1" w:styleId="39">
    <w:name w:val="基本样式"/>
    <w:qFormat/>
    <w:uiPriority w:val="0"/>
    <w:pPr>
      <w:spacing w:line="560" w:lineRule="exact"/>
      <w:contextualSpacing/>
    </w:pPr>
    <w:rPr>
      <w:rFonts w:ascii="仿宋" w:hAnsi="仿宋" w:eastAsia="仿宋_GB2312" w:cs="Times New Roman"/>
      <w:kern w:val="2"/>
      <w:sz w:val="32"/>
      <w:szCs w:val="24"/>
      <w:lang w:val="en-US" w:eastAsia="zh-CN" w:bidi="ar-SA"/>
    </w:rPr>
  </w:style>
  <w:style w:type="paragraph" w:customStyle="1" w:styleId="40">
    <w:name w:val="标"/>
    <w:qFormat/>
    <w:uiPriority w:val="0"/>
    <w:pPr>
      <w:keepNext w:val="0"/>
      <w:keepLines w:val="0"/>
      <w:pageBreakBefore w:val="0"/>
      <w:widowControl/>
      <w:kinsoku/>
      <w:wordWrap/>
      <w:overflowPunct/>
      <w:topLinePunct w:val="0"/>
      <w:autoSpaceDE/>
      <w:autoSpaceDN/>
      <w:bidi w:val="0"/>
      <w:adjustRightInd/>
      <w:snapToGrid/>
      <w:spacing w:line="240" w:lineRule="auto"/>
      <w:ind w:firstLine="640" w:firstLineChars="200"/>
      <w:jc w:val="center"/>
      <w:textAlignment w:val="bottom"/>
    </w:pPr>
    <w:rPr>
      <w:rFonts w:ascii="Times New Roman" w:hAnsi="Times New Roman" w:eastAsia="仿宋_GB2312" w:cstheme="minorBidi"/>
      <w:color w:val="000000"/>
      <w:kern w:val="0"/>
      <w:sz w:val="24"/>
      <w:szCs w:val="20"/>
      <w:lang w:val="en-US" w:eastAsia="zh-CN" w:bidi="ar-SA"/>
    </w:rPr>
  </w:style>
  <w:style w:type="character" w:customStyle="1" w:styleId="41">
    <w:name w:val="font41"/>
    <w:basedOn w:val="24"/>
    <w:qFormat/>
    <w:uiPriority w:val="0"/>
    <w:rPr>
      <w:rFonts w:ascii="仿宋_GB2312" w:eastAsia="仿宋_GB2312" w:cs="仿宋_GB2312"/>
      <w:b/>
      <w:bCs/>
      <w:color w:val="000000"/>
      <w:sz w:val="24"/>
      <w:szCs w:val="24"/>
      <w:u w:val="none"/>
    </w:rPr>
  </w:style>
  <w:style w:type="character" w:customStyle="1" w:styleId="42">
    <w:name w:val="font31"/>
    <w:basedOn w:val="24"/>
    <w:qFormat/>
    <w:uiPriority w:val="0"/>
    <w:rPr>
      <w:rFonts w:hint="eastAsia" w:ascii="仿宋_GB2312" w:eastAsia="仿宋_GB2312" w:cs="仿宋_GB2312"/>
      <w:color w:val="000000"/>
      <w:sz w:val="24"/>
      <w:szCs w:val="24"/>
      <w:u w:val="none"/>
    </w:rPr>
  </w:style>
  <w:style w:type="character" w:customStyle="1" w:styleId="43">
    <w:name w:val="font21"/>
    <w:basedOn w:val="24"/>
    <w:qFormat/>
    <w:uiPriority w:val="0"/>
    <w:rPr>
      <w:rFonts w:hint="default" w:ascii="Times New Roman" w:hAnsi="Times New Roman" w:cs="Times New Roman"/>
      <w:color w:val="000000"/>
      <w:sz w:val="24"/>
      <w:szCs w:val="24"/>
      <w:u w:val="none"/>
    </w:rPr>
  </w:style>
  <w:style w:type="character" w:customStyle="1" w:styleId="44">
    <w:name w:val="font11"/>
    <w:basedOn w:val="24"/>
    <w:qFormat/>
    <w:uiPriority w:val="0"/>
    <w:rPr>
      <w:rFonts w:hint="eastAsia"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ae358ad2-f661-4bf2-a3ee-6da6acb1496e</errorID>
      <errorWord>基本实现社会主义现代化</errorWord>
      <group>L1_Political</group>
      <groupName>政治性问题</groupName>
      <ability>L2_Keyword</ability>
      <abilityName>固定表述</abilityName>
      <candidateList>
        <item>为基本实现社会主义现代化</item>
      </candidateList>
      <explain>此处内容疑似含有固定表述相关错误，建议核查。</explain>
      <paraID>1184BD20</paraID>
      <start>10</start>
      <end>21</end>
      <status>ignored</status>
      <modifiedWord/>
      <trackRevisions>false</trackRevisions>
    </reviewItem>
    <reviewItem>
      <errorID>8f4cef4c-aadf-47e8-9547-d7598a5181c3</errorID>
      <errorWord>楼保交房</errorWord>
      <group>L1_Grammar</group>
      <groupName>语法问题</groupName>
      <ability>L2_Grammar</ability>
      <abilityName>语法错误</abilityName>
      <candidateList>
        <item>楼</item>
      </candidateList>
      <explain/>
      <paraID>53990AA3</paraID>
      <start>4</start>
      <end>8</end>
      <status>ignored</status>
      <modifiedWord/>
      <trackRevisions>false</trackRevisions>
    </reviewItem>
    <reviewItem>
      <errorID>462650c6-4b20-42eb-9abb-2394253e1b88</errorID>
      <errorWord> ；</errorWord>
      <group>L1_Punc</group>
      <groupName>标点问题</groupName>
      <ability>L2_Punc_CN</ability>
      <abilityName>标点符号问题</abilityName>
      <candidateList>
        <item>。</item>
      </candidateList>
      <explain/>
      <paraID>11A9AB09</paraID>
      <start>83</start>
      <end>85</end>
      <status>ignored</status>
      <modifiedWord/>
      <trackRevisions>false</trackRevisions>
    </reviewItem>
    <reviewItem>
      <errorID>4ffaa4d0-ff87-48cb-9714-6c69333d226d</errorID>
      <errorWord> </errorWord>
      <group>L1_Punc</group>
      <groupName>标点问题</groupName>
      <ability>L2_Punc_CN</ability>
      <abilityName>标点符号问题</abilityName>
      <candidateList>
        <item/>
      </candidateList>
      <explain>此处空格冗余，建议删除。</explain>
      <paraID>10D58EDD</paraID>
      <start>139</start>
      <end>140</end>
      <status>ignored</status>
      <modifiedWord/>
      <trackRevisions>false</trackRevisions>
    </reviewItem>
    <reviewItem>
      <errorID>af1a8fea-30e6-487e-af0f-4a1ebea66951</errorID>
      <errorWord>并重实施</errorWord>
      <group>L1_Grammar</group>
      <groupName>语法问题</groupName>
      <ability>L2_Grammar</ability>
      <abilityName>语法错误</abilityName>
      <candidateList>
        <item>并重</item>
      </candidateList>
      <explain/>
      <paraID>54A6C16B</paraID>
      <start>194</start>
      <end>198</end>
      <status>ignored</status>
      <modifiedWord/>
      <trackRevisions>false</trackRevisions>
    </reviewItem>
    <reviewItem>
      <errorID>3276d69a-d09a-4c7b-9e14-fbc8ef29f28a</errorID>
      <errorWord>湛江市物业管理办法</errorWord>
      <group>L1_Knowledge</group>
      <groupName>知识性问题</groupName>
      <ability>L2_Knowledge</ability>
      <abilityName>其他知识</abilityName>
      <candidateList>
        <item>湛江市物业管理条例</item>
      </candidateList>
      <explain>当前法律法规未收录或尚未生效，注意核查是否正确。</explain>
      <paraID>32AE2B7B</paraID>
      <start>40</start>
      <end>49</end>
      <status>ignored</status>
      <modifiedWord/>
      <trackRevisions>false</trackRevisions>
    </reviewItem>
    <reviewItem>
      <errorID>c41e28c9-98ae-4b76-afba-e4eddd4bf1c3</errorID>
      <errorWord>共管共治共享</errorWord>
      <group>L1_Political</group>
      <groupName>政治性问题</groupName>
      <ability>L2_Keyword</ability>
      <abilityName>固定表述</abilityName>
      <candidateList>
        <item>共建共治共享</item>
      </candidateList>
      <explain>词汇“共建共治共享”在特定场景下为固定表述形式，请确认此处的“共管共治共享”是否存在不当。</explain>
      <paraID>592B0945</paraID>
      <start>128</start>
      <end>134</end>
      <status>ignored</status>
      <modifiedWord/>
      <trackRevisions>false</trackRevisions>
    </reviewItem>
    <reviewItem>
      <errorID>2768a833-e3d5-48f2-8ee4-0561b6fb6f27</errorID>
      <errorWord>50-500万</errorWord>
      <group>L1_Knowledge</group>
      <groupName>知识性问题</groupName>
      <ability>L2_Knowledge</ability>
      <abilityName>其他知识</abilityName>
      <candidateList>
        <item>50万—500万</item>
      </candidateList>
      <explain>1. “50-500万”中的单位“万”仅出现在后一个数字上，容易引起歧义；根据《现代汉语标点符号数字用法规范手册》，数字表示范围两边需要使用统一的格式。2.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62EE336A</paraID>
      <start>253</start>
      <end>260</end>
      <status>ignored</status>
      <modifiedWord/>
      <trackRevisions>false</trackRevisions>
    </reviewItem>
    <reviewItem>
      <errorID>3f7bae7d-a78d-4352-8ca0-513355666551</errorID>
      <errorWord> </errorWord>
      <group>L1_Punc</group>
      <groupName>标点问题</groupName>
      <ability>L2_Punc_CN</ability>
      <abilityName>标点符号问题</abilityName>
      <candidateList>
        <item/>
      </candidateList>
      <explain>此处空格冗余，建议删除。</explain>
      <paraID> D98095A</paraID>
      <start>24</start>
      <end>25</end>
      <status>ignored</status>
      <modifiedWord/>
      <trackRevisions>false</trackRevisions>
    </reviewItem>
    <reviewItem>
      <errorID>4a66e841-ded3-4490-8c97-2f24b5db1590</errorID>
      <errorWord> </errorWord>
      <group>L1_Punc</group>
      <groupName>标点问题</groupName>
      <ability>L2_Punc_CN</ability>
      <abilityName>标点符号问题</abilityName>
      <candidateList>
        <item/>
      </candidateList>
      <explain>此处空格冗余，建议删除。</explain>
      <paraID> D98095A</paraID>
      <start>256</start>
      <end>257</end>
      <status>ignored</status>
      <modifiedWord/>
      <trackRevisions>false</trackRevisions>
    </reviewItem>
    <reviewItem>
      <errorID>da35d61f-eead-48e3-8c07-7c8ac5fd89c0</errorID>
      <errorWord>求</errorWord>
      <group>L1_Word</group>
      <groupName>字词问题</groupName>
      <ability>L2_Typo</ability>
      <abilityName>字词错误</abilityName>
      <candidateList>
        <item>求的</item>
      </candidateList>
      <explain/>
      <paraID>32F2A2BA</paraID>
      <start>170</start>
      <end>171</end>
      <status>ignored</status>
      <modifiedWord/>
      <trackRevisions>false</trackRevisions>
    </reviewItem>
    <reviewItem>
      <errorID>287ada5e-f54f-4bda-a985-ba44d7c17e41</errorID>
      <errorWord>平</errorWord>
      <group>L1_Word</group>
      <groupName>字词问题</groupName>
      <ability>L2_Typo</ability>
      <abilityName>字词错误</abilityName>
      <candidateList>
        <item>平有</item>
      </candidateList>
      <explain/>
      <paraID>49A28585</paraID>
      <start>16</start>
      <end>17</end>
      <status>ignored</status>
      <modifiedWord/>
      <trackRevisions>false</trackRevisions>
    </reviewItem>
    <reviewItem>
      <errorID>d09e21e4-fa68-457f-be2b-e43ac643507f</errorID>
      <errorWord>到“建”</errorWord>
      <group>L1_Grammar</group>
      <groupName>语法问题</groupName>
      <ability>L2_Grammar</ability>
      <abilityName>语法错误</abilityName>
      <candidateList>
        <item>到</item>
      </candidateList>
      <explain/>
      <paraID>28BD0D02</paraID>
      <start>67</start>
      <end>71</end>
      <status>ignored</status>
      <modifiedWord/>
      <trackRevisions>false</trackRevisions>
    </reviewItem>
    <reviewItem>
      <errorID>3e9cfa39-1f90-4e79-97d1-76b61d0853b9</errorID>
      <errorWord>管”“</errorWord>
      <group>L1_Word</group>
      <groupName>字词问题</groupName>
      <ability>L2_Typo</ability>
      <abilityName>字词错误</abilityName>
      <candidateList>
        <item>建管</item>
      </candidateList>
      <explain/>
      <paraID>28BD0D02</paraID>
      <start>72</start>
      <end>75</end>
      <status>ignored</status>
      <modifiedWord/>
      <trackRevisions>false</trackRevisions>
    </reviewItem>
    <reviewItem>
      <errorID>ebda91d1-99b9-441c-9484-cffce37505d7</errorID>
      <errorWord>城乡结合部</errorWord>
      <group>L1_Knowledge</group>
      <groupName>知识性问题</groupName>
      <ability>L2_Knowledge</ability>
      <abilityName>其他知识</abilityName>
      <candidateList>
        <item>城乡接合部</item>
      </candidateList>
      <explain/>
      <paraID>78D11141</paraID>
      <start>78</start>
      <end>83</end>
      <status>ignored</status>
      <modifiedWord/>
      <trackRevisions>false</trackRevisions>
    </reviewItem>
    <reviewItem>
      <errorID>35c6fb06-7235-4a6d-980a-5f58740415c8</errorID>
      <errorWord>宝满</errorWord>
      <group>L1_Word</group>
      <groupName>字词问题</groupName>
      <ability>L2_Typo</ability>
      <abilityName>字词错误</abilityName>
      <candidateList>
        <item>宝安</item>
      </candidateList>
      <explain>存在发音相近字词的误用。</explain>
      <paraID>78D11141</paraID>
      <start>366</start>
      <end>368</end>
      <status>ignored</status>
      <modifiedWord/>
      <trackRevisions>false</trackRevisions>
    </reviewItem>
    <reviewItem>
      <errorID>d0dc03fd-b0ca-4454-a5d6-6dbae89a89af</errorID>
      <errorWord>贰拾</errorWord>
      <group>L1_Word</group>
      <groupName>字词问题</groupName>
      <ability>L2_Typo</ability>
      <abilityName>字词错误</abilityName>
      <candidateList>
        <item>二十</item>
      </candidateList>
      <explain/>
      <paraID>70051881</paraID>
      <start>267</start>
      <end>269</end>
      <status>ignored</status>
      <modifiedWord/>
      <trackRevisions>false</trackRevisions>
    </reviewItem>
    <reviewItem>
      <errorID>c352a568-56d7-42f9-bc78-fcfec6b5af2a</errorID>
      <errorWord>青年友好型城市</errorWord>
      <group>L1_Political</group>
      <groupName>政治性问题</groupName>
      <ability>L2_Keyword</ability>
      <abilityName>固定表述</abilityName>
      <candidateList>
        <item>青年发展型城市</item>
      </candidateList>
      <explain>词汇“青年发展型城市”在特定场景下为固定表述形式，请确认此处的“青年友好型城市”是否存在不当。</explain>
      <paraID>366E140C</paraID>
      <start>101</start>
      <end>108</end>
      <status>ignored</status>
      <modifiedWord/>
      <trackRevisions>false</trackRevisions>
    </reviewItem>
    <reviewItem>
      <errorID>f3ceba4e-edb6-4b7e-98f9-b7c7c0139f0d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6F9AD49F</paraID>
      <start>323</start>
      <end>326</end>
      <status>ignored</status>
      <modifiedWord/>
      <trackRevisions>false</trackRevisions>
    </reviewItem>
    <reviewItem>
      <errorID>f9182598-86c1-484c-9a1b-5ee8d9f6ea00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6F9AD49F</paraID>
      <start>329</start>
      <end>332</end>
      <status>ignored</status>
      <modifiedWord/>
      <trackRevisions>false</trackRevisions>
    </reviewItem>
    <reviewItem>
      <errorID>9b14f2e0-fc3d-414e-99d5-6c6b309d1a9c</errorID>
      <errorWord>房地</errorWord>
      <group>L1_Word</group>
      <groupName>字词问题</groupName>
      <ability>L2_Typo</ability>
      <abilityName>字词错误</abilityName>
      <candidateList>
        <item>房地产</item>
      </candidateList>
      <explain/>
      <paraID>2B82B194</paraID>
      <start>11</start>
      <end>13</end>
      <status>ignored</status>
      <modifiedWord/>
      <trackRevisions>false</trackRevisions>
    </reviewItem>
    <reviewItem>
      <errorID>85bd9c93-dacc-4d4c-ba42-32ab3ccfabfd</errorID>
      <errorWord>基础设施不动产投资信托基金（REITs）</errorWord>
      <group>L1_Political</group>
      <groupName>政治性问题</groupName>
      <ability>L2_Unpolitical</ability>
      <abilityName>政治敏感错误</abilityName>
      <candidateList>
        <item>基础设施领域不动产投资信托基金（REITs）</item>
      </candidateList>
      <explain/>
      <paraID>42505020</paraID>
      <start>297</start>
      <end>317</end>
      <status>ignored</status>
      <modifiedWord/>
      <trackRevisions>false</trackRevisions>
    </reviewItem>
    <reviewItem>
      <errorID>e6a3e6c3-7469-492e-97b0-124706d0108a</errorID>
      <errorWord> </errorWord>
      <group>L1_Punc</group>
      <groupName>标点问题</groupName>
      <ability>L2_Punc_CN</ability>
      <abilityName>标点符号问题</abilityName>
      <candidateList>
        <item/>
      </candidateList>
      <explain>此处空格冗余，建议删除。</explain>
      <paraID>3A0E7D19</paraID>
      <start>76</start>
      <end>77</end>
      <status>ignored</status>
      <modifiedWord/>
      <trackRevisions>false</trackRevisions>
    </reviewItem>
    <reviewItem>
      <errorID>6066bcb7-d280-4057-aab1-0a1048c53745</errorID>
      <errorWord>。</errorWord>
      <group>L1_Grammar</group>
      <groupName>语法问题</groupName>
      <ability>L2_Grammar</ability>
      <abilityName>语法错误</abilityName>
      <candidateList>
        <item>机制。</item>
      </candidateList>
      <explain/>
      <paraID>3A0E7D19</paraID>
      <start>255</start>
      <end>256</end>
      <status>ignored</status>
      <modifiedWord/>
      <trackRevisions>false</trackRevisions>
    </reviewItem>
    <reviewItem>
      <errorID>528ddfce-7dcc-45c9-be0a-f9ee81305b33</errorID>
      <errorWord>指引</errorWord>
      <group>L1_Grammar</group>
      <groupName>语法问题</groupName>
      <ability>L2_Grammar</ability>
      <abilityName>语法错误</abilityName>
      <candidateList>
        <item>提供指引</item>
      </candidateList>
      <explain/>
      <paraID>77F02D0C</paraID>
      <start>334</start>
      <end>336</end>
      <status>ignored</status>
      <modifiedWord/>
      <trackRevisions>false</trackRevisions>
    </reviewItem>
    <reviewItem>
      <errorID>4f75be14-afdf-489e-857a-737090d34828</errorID>
      <errorWord>，，</errorWord>
      <group>L1_Punc</group>
      <groupName>标点问题</groupName>
      <ability>L2_Punc_CN</ability>
      <abilityName>标点符号问题</abilityName>
      <candidateList>
        <item>，</item>
      </candidateList>
      <explain/>
      <paraID>683B67CA</paraID>
      <start>74</start>
      <end>76</end>
      <status>ignored</status>
      <modifiedWord/>
      <trackRevisions>false</trackRevisions>
    </reviewItem>
    <reviewItem>
      <errorID>03353221-f29a-4187-8483-b73607496aff</errorID>
      <errorWord>服务水平</errorWord>
      <group>L1_Punc</group>
      <groupName>标点问题</groupName>
      <ability>L2_Punc_CN</ability>
      <abilityName>标点符号问题</abilityName>
      <candidateList>
        <item>服务水平。</item>
      </candidateList>
      <explain/>
      <paraID> 5087A0E</paraID>
      <start>11</start>
      <end>15</end>
      <status>ignored</status>
      <modifiedWord/>
      <trackRevisions>false</trackRevisions>
    </reviewItem>
    <reviewItem>
      <errorID>027bff30-83a8-4bce-9286-0da14eb56db8</errorID>
      <errorWord> </errorWord>
      <group>L1_Punc</group>
      <groupName>标点问题</groupName>
      <ability>L2_Punc_CN</ability>
      <abilityName>标点符号问题</abilityName>
      <candidateList>
        <item/>
      </candidateList>
      <explain>此处空格冗余，建议删除。</explain>
      <paraID>17F46452</paraID>
      <start>171</start>
      <end>172</end>
      <status>ignored</status>
      <modifiedWord/>
      <trackRevisions>false</trackRevisions>
    </reviewItem>
    <reviewItem>
      <errorID>b490fd1d-0a82-4f47-9a6c-e8853b31968c</errorID>
      <errorWord> </errorWord>
      <group>L1_Punc</group>
      <groupName>标点问题</groupName>
      <ability>L2_Punc_CN</ability>
      <abilityName>标点符号问题</abilityName>
      <candidateList>
        <item/>
      </candidateList>
      <explain>此处空格冗余，建议删除。</explain>
      <paraID>32B47FED</paraID>
      <start>31</start>
      <end>32</end>
      <status>ignored</status>
      <modifiedWord/>
      <trackRevisions>false</trackRevisions>
    </reviewItem>
    <reviewItem>
      <errorID>65eeacc4-0944-499c-9b91-d098116048c0</errorID>
      <errorWord>，</errorWord>
      <group>L1_Punc</group>
      <groupName>标点问题</groupName>
      <ability>L2_Punc_CN</ability>
      <abilityName>标点符号问题</abilityName>
      <candidateList>
        <item>。</item>
      </candidateList>
      <explain/>
      <paraID>32B47FED</paraID>
      <start>39</start>
      <end>40</end>
      <status>ignored</status>
      <modifiedWord/>
      <trackRevisions>false</trackRevisions>
    </reviewItem>
    <reviewItem>
      <errorID>5061bcf7-0d0a-448a-931a-42e0d9244730</errorID>
      <errorWord>，</errorWord>
      <group>L1_Punc</group>
      <groupName>标点问题</groupName>
      <ability>L2_Punc_CN</ability>
      <abilityName>标点符号问题</abilityName>
      <candidateList>
        <item>；</item>
      </candidateList>
      <explain/>
      <paraID>32B47FED</paraID>
      <start>82</start>
      <end>83</end>
      <status>ignored</status>
      <modifiedWord/>
      <trackRevisions>false</trackRevisions>
    </reviewItem>
    <reviewItem>
      <errorID>e806b504-bf29-4ffa-bf37-7effd2c647d5</errorID>
      <errorWord>城市</errorWord>
      <group>L1_Grammar</group>
      <groupName>语法问题</groupName>
      <ability>L2_Grammar</ability>
      <abilityName>语法错误</abilityName>
      <candidateList>
        <item>存在城市</item>
      </candidateList>
      <explain/>
      <paraID> 49E3315</paraID>
      <start>55</start>
      <end>57</end>
      <status>ignored</status>
      <modifiedWord/>
      <trackRevisions>false</trackRevisions>
    </reviewItem>
    <reviewItem>
      <errorID>24cc4291-10b2-4441-9ff8-cf222c231681</errorID>
      <errorWord> </errorWord>
      <group>L1_Punc</group>
      <groupName>标点问题</groupName>
      <ability>L2_Punc_CN</ability>
      <abilityName>标点符号问题</abilityName>
      <candidateList>
        <item/>
      </candidateList>
      <explain>此处空格冗余，建议删除。</explain>
      <paraID> 49E3315</paraID>
      <start>201</start>
      <end>202</end>
      <status>ignored</status>
      <modifiedWord/>
      <trackRevisions>false</trackRevisions>
    </reviewItem>
    <reviewItem>
      <errorID>bbdc2509-5a2f-41e0-a3a1-df602ca14695</errorID>
      <errorWord> </errorWord>
      <group>L1_Punc</group>
      <groupName>标点问题</groupName>
      <ability>L2_Punc_CN</ability>
      <abilityName>标点符号问题</abilityName>
      <candidateList>
        <item/>
      </candidateList>
      <explain>此处空格冗余，建议删除。</explain>
      <paraID> 10603BD</paraID>
      <start>21</start>
      <end>22</end>
      <status>ignored</status>
      <modifiedWord/>
      <trackRevisions>false</trackRevisions>
    </reviewItem>
    <reviewItem>
      <errorID>16cbfb08-8bf3-4952-83c3-daedf277fbb9</errorID>
      <errorWord> </errorWord>
      <group>L1_Punc</group>
      <groupName>标点问题</groupName>
      <ability>L2_Punc_CN</ability>
      <abilityName>标点符号问题</abilityName>
      <candidateList>
        <item/>
      </candidateList>
      <explain>此处空格冗余，建议删除。</explain>
      <paraID>5763BC75</paraID>
      <start>50</start>
      <end>51</end>
      <status>ignored</status>
      <modifiedWord/>
      <trackRevisions>false</trackRevisions>
    </reviewItem>
    <reviewItem>
      <errorID>b031666f-1ca7-43b1-8488-c3f0c8582809</errorID>
      <errorWord>，</errorWord>
      <group>L1_Political</group>
      <groupName>政治性问题</groupName>
      <ability>L2_Keyword</ability>
      <abilityName>固定表述</abilityName>
      <candidateList>
        <item>全过程中，</item>
      </candidateList>
      <explain>此处内容疑似含有固定表述相关错误，建议核查。</explain>
      <paraID>2A4C64D3</paraID>
      <start>104</start>
      <end>105</end>
      <status>ignored</status>
      <modifiedWord/>
      <trackRevisions>false</trackRevisions>
    </reviewItem>
    <reviewItem>
      <errorID>b6417875-e603-43d2-873b-c91297654290</errorID>
      <errorWord>“</errorWord>
      <group>L1_Word</group>
      <groupName>字词问题</groupName>
      <ability>L2_Typo</ability>
      <abilityName>字词错误</abilityName>
      <candidateList>
        <item>对“</item>
      </candidateList>
      <explain/>
      <paraID>7394E5C2</paraID>
      <start>131</start>
      <end>132</end>
      <status>ignored</status>
      <modifiedWord/>
      <trackRevisions>false</trackRevisions>
    </reviewItem>
    <reviewItem>
      <errorID>3cb0e584-621f-4b6d-8ad4-3ac31f6cb434</errorID>
      <errorWord>把关</errorWord>
      <group>L1_Word</group>
      <groupName>字词问题</groupName>
      <ability>L2_Typo</ability>
      <abilityName>字词错误</abilityName>
      <candidateList>
        <item>的把关</item>
      </candidateList>
      <explain/>
      <paraID>7394E5C2</paraID>
      <start>138</start>
      <end>140</end>
      <status>ignored</status>
      <modifiedWord/>
      <trackRevisions>false</trackRevisions>
    </reviewItem>
    <reviewItem>
      <errorID>2dcabdcc-c804-4740-ad18-58e438dc2925</errorID>
      <errorWord>十五五规划</errorWord>
      <group>L1_Political</group>
      <groupName>政治性问题</groupName>
      <ability>L2_Keyword</ability>
      <abilityName>固定表述</abilityName>
      <candidateList>
        <item>“十五五”规划</item>
      </candidateList>
      <explain>注意检查当前固定表述标点是否使用规范。</explain>
      <paraID>3EAF854F</paraID>
      <start>8</start>
      <end>13</end>
      <status>ignored</status>
      <modifiedWord/>
      <trackRevisions>false</trackRevisions>
    </reviewItem>
    <reviewItem>
      <errorID>9102a334-b44e-4c11-8a77-8f486c376c99</errorID>
      <errorWord>年持续推进</errorWord>
      <group>L1_Word</group>
      <groupName>字词问题</groupName>
      <ability>L2_Typo</ability>
      <abilityName>字词错误</abilityName>
      <candidateList>
        <item>年来持续推进</item>
      </candidateList>
      <explain/>
      <paraID>48DA2EF9</paraID>
      <start>9</start>
      <end>14</end>
      <status>ignored</status>
      <modifiedWord/>
      <trackRevisions>false</trackRevisions>
    </reviewItem>
    <reviewItem>
      <errorID>a66bf223-1664-4a5c-8ca4-ea7d58f3f79a</errorID>
      <errorWord>政策支持</errorWord>
      <group>L1_Grammar</group>
      <groupName>语法问题</groupName>
      <ability>L2_Grammar</ability>
      <abilityName>语法错误</abilityName>
      <candidateList>
        <item>政策</item>
      </candidateList>
      <explain/>
      <paraID>220C03CB</paraID>
      <start>130</start>
      <end>134</end>
      <status>ignored</status>
      <modifiedWord/>
      <trackRevisions>false</trackRevisions>
    </reviewItem>
    <reviewItem>
      <errorID>348429d0-b633-42b5-9978-3e8b2374ab8c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64955346</paraID>
      <start>44</start>
      <end>47</end>
      <status>ignored</status>
      <modifiedWord/>
      <trackRevisions>false</trackRevisions>
    </reviewItem>
    <reviewItem>
      <errorID>b9c8fa0e-8369-44d4-a97b-3b45bc635d8c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64955346</paraID>
      <start>50</start>
      <end>53</end>
      <status>ignored</status>
      <modifiedWord/>
      <trackRevisions>false</trackRevisions>
    </reviewItem>
    <reviewItem>
      <errorID>d2a4ab5e-19a3-4511-b301-4ac13ff5ea1a</errorID>
      <errorWord>基础设施不动产投资信托基金（REITs）</errorWord>
      <group>L1_Political</group>
      <groupName>政治性问题</groupName>
      <ability>L2_Unpolitical</ability>
      <abilityName>政治敏感错误</abilityName>
      <candidateList>
        <item>基础设施领域不动产投资信托基金（REITs）</item>
      </candidateList>
      <explain/>
      <paraID>5A730B26</paraID>
      <start>119</start>
      <end>139</end>
      <status>ignored</status>
      <modifiedWord/>
      <trackRevisions>false</trackRevisions>
    </reviewItem>
    <reviewItem>
      <errorID>5941a66a-98b4-4db4-ba40-0e2d5dc273ce</errorID>
      <errorWord>；</errorWord>
      <group>L1_Word</group>
      <groupName>字词问题</groupName>
      <ability>L2_Typo</ability>
      <abilityName>字词错误</abilityName>
      <candidateList>
        <item>；在</item>
      </candidateList>
      <explain/>
      <paraID>655B2348</paraID>
      <start>21</start>
      <end>22</end>
      <status>ignored</status>
      <modifiedWord/>
      <trackRevisions>false</trackRevisions>
    </reviewItem>
    <reviewItem>
      <errorID>ae121de5-e3bc-4c91-b9e9-33e23975d0e2</errorID>
      <errorWord>地产</errorWord>
      <group>L1_Punc</group>
      <groupName>标点问题</groupName>
      <ability>L2_Punc_CN</ability>
      <abilityName>标点符号问题</abilityName>
      <candidateList>
        <item>地产。</item>
      </candidateList>
      <explain/>
      <paraID> 7912475</paraID>
      <start>10</start>
      <end>12</end>
      <status>ignored</status>
      <modifiedWord/>
      <trackRevisions>false</trackRevisions>
    </reviewItem>
    <reviewItem>
      <errorID>850ff940-c97e-49ee-9ab9-20145cd727ce</errorID>
      <errorWord>要求</errorWord>
      <group>L1_Punc</group>
      <groupName>标点问题</groupName>
      <ability>L2_Punc_CN</ability>
      <abilityName>标点符号问题</abilityName>
      <candidateList>
        <item>要求。</item>
      </candidateList>
      <explain/>
      <paraID>6FAEEA05</paraID>
      <start>12</start>
      <end>14</end>
      <status>ignored</status>
      <modifiedWord/>
      <trackRevisions>false</trackRevisions>
    </reviewItem>
    <reviewItem>
      <errorID>b32eb4dc-e9dd-4880-8e4b-09792b780572</errorID>
      <errorWord>；</errorWord>
      <group>L1_Word</group>
      <groupName>字词问题</groupName>
      <ability>L2_Typo</ability>
      <abilityName>字词错误</abilityName>
      <candidateList>
        <item>；在</item>
      </candidateList>
      <explain/>
      <paraID>51769B43</paraID>
      <start>42</start>
      <end>43</end>
      <status>ignored</status>
      <modifiedWord/>
      <trackRevisions>false</trackRevisions>
    </reviewItem>
    <reviewItem>
      <errorID>a7e761c7-5331-4c1b-b640-7370f9226281</errorID>
      <errorWord>强</errorWord>
      <group>L1_Word</group>
      <groupName>字词问题</groupName>
      <ability>L2_Typo</ability>
      <abilityName>字词错误</abilityName>
      <candidateList>
        <item>强对</item>
      </candidateList>
      <explain/>
      <paraID>736BEF35</paraID>
      <start>52</start>
      <end>53</end>
      <status>ignored</status>
      <modifiedWord/>
      <trackRevisions>false</trackRevisions>
    </reviewItem>
    <reviewItem>
      <errorID>a0d61259-383f-46c7-a738-8041983b7741</errorID>
      <errorWord>巡查</errorWord>
      <group>L1_Word</group>
      <groupName>字词问题</groupName>
      <ability>L2_Typo</ability>
      <abilityName>字词错误</abilityName>
      <candidateList>
        <item>巡察</item>
      </candidateList>
      <explain/>
      <paraID>72BA29E0</paraID>
      <start>9</start>
      <end>11</end>
      <status>ignored</status>
      <modifiedWord/>
      <trackRevisions>false</trackRevisions>
    </reviewItem>
    <reviewItem>
      <errorID>9805afe3-d553-4f9f-80c1-ee56f11df64c</errorID>
      <errorWord>；</errorWord>
      <group>L1_Word</group>
      <groupName>字词问题</groupName>
      <ability>L2_Typo</ability>
      <abilityName>字词错误</abilityName>
      <candidateList>
        <item>；在</item>
      </candidateList>
      <explain/>
      <paraID>71965315</paraID>
      <start>33</start>
      <end>34</end>
      <status>ignored</status>
      <modifiedWord/>
      <trackRevisions>false</trackRevisions>
    </reviewItem>
    <reviewItem>
      <errorID>54de5dcd-9652-4974-a6f2-d5d75d9f38d1</errorID>
      <errorWord>，</errorWord>
      <group>L1_Word</group>
      <groupName>字词问题</groupName>
      <ability>L2_Typo</ability>
      <abilityName>字词错误</abilityName>
      <candidateList>
        <item>，在</item>
      </candidateList>
      <explain/>
      <paraID>4E888007</paraID>
      <start>32</start>
      <end>33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c7027c-7fec-4f51-8c43-0e79c0afc5a2}">
  <ds:schemaRefs/>
</ds:datastoreItem>
</file>

<file path=docProps/app.xml><?xml version="1.0" encoding="utf-8"?>
<Properties xmlns="http://schemas.openxmlformats.org/officeDocument/2006/extended-properties" xmlns:vt="http://schemas.openxmlformats.org/officeDocument/2006/docPropsVTypes">
  <Pages>67</Pages>
  <Words>5070</Words>
  <Characters>5315</Characters>
  <Lines>1</Lines>
  <Paragraphs>1</Paragraphs>
  <TotalTime>1</TotalTime>
  <ScaleCrop>false</ScaleCrop>
  <LinksUpToDate>false</LinksUpToDate>
  <CharactersWithSpaces>5386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2025-10-16T18:36:00Z</dcterms:created>
  <dc:creator>枭</dc:creator>
  <cp:lastModifiedBy>耿</cp:lastModifiedBy>
  <cp:lastPrinted>2026-06-10T07:51:00Z</cp:lastPrinted>
  <dcterms:modified xsi:type="dcterms:W3CDTF">2026-09-01T09:13:39Z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0BCB8DB3FB8D4E87817ADC4A455633BF_13</vt:lpwstr>
  </property>
  <property fmtid="{D5CDD505-2E9C-101B-9397-08002B2CF9AE}" pid="4" name="KSOTemplateDocerSaveRecord">
    <vt:lpwstr>eyJoZGlkIjoiZWI4NjE2Yzk2YjkyYTkyYzIwMTcxODcxY2YyYTBhNWIiLCJ1c2VySWQiOiI0MzA0MzY2MDcifQ==</vt:lpwstr>
  </property>
</Properties>
</file>