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2D6C6">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7C15E4F3">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方正小标宋_GBK" w:hAnsi="方正小标宋_GBK" w:eastAsia="方正小标宋_GBK" w:cs="方正小标宋_GBK"/>
          <w:sz w:val="44"/>
          <w:szCs w:val="44"/>
          <w:lang w:val="en-US" w:eastAsia="zh-CN"/>
        </w:rPr>
      </w:pPr>
    </w:p>
    <w:p w14:paraId="68EDE878">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湛江市人民政府关于重新划定禁止使用高排放非道路移动机械区域的通告</w:t>
      </w:r>
    </w:p>
    <w:p w14:paraId="7903B3A4">
      <w:pPr>
        <w:keepNext w:val="0"/>
        <w:keepLines w:val="0"/>
        <w:pageBreakBefore w:val="0"/>
        <w:kinsoku/>
        <w:overflowPunct/>
        <w:topLinePunct w:val="0"/>
        <w:autoSpaceDE/>
        <w:autoSpaceDN/>
        <w:bidi w:val="0"/>
        <w:adjustRightInd/>
        <w:snapToGrid/>
        <w:spacing w:line="560" w:lineRule="exact"/>
        <w:jc w:val="center"/>
        <w:rPr>
          <w:rFonts w:hint="eastAsia" w:eastAsiaTheme="minorEastAsia"/>
          <w:sz w:val="32"/>
          <w:szCs w:val="40"/>
          <w:lang w:eastAsia="zh-CN"/>
        </w:rPr>
      </w:pPr>
      <w:r>
        <w:rPr>
          <w:rFonts w:hint="eastAsia"/>
          <w:sz w:val="32"/>
          <w:szCs w:val="40"/>
          <w:lang w:eastAsia="zh-CN"/>
        </w:rPr>
        <w:t>（</w:t>
      </w:r>
      <w:r>
        <w:rPr>
          <w:rFonts w:hint="eastAsia" w:ascii="仿宋_GB2312" w:hAnsi="仿宋_GB2312" w:eastAsia="仿宋_GB2312" w:cs="仿宋_GB2312"/>
          <w:sz w:val="32"/>
          <w:szCs w:val="40"/>
          <w:lang w:val="en-US" w:eastAsia="zh-CN"/>
        </w:rPr>
        <w:t>修订说明</w:t>
      </w:r>
      <w:r>
        <w:rPr>
          <w:rFonts w:hint="eastAsia"/>
          <w:sz w:val="32"/>
          <w:szCs w:val="40"/>
          <w:lang w:eastAsia="zh-CN"/>
        </w:rPr>
        <w:t>）</w:t>
      </w:r>
    </w:p>
    <w:p w14:paraId="13FD2313">
      <w:pPr>
        <w:keepNext w:val="0"/>
        <w:keepLines w:val="0"/>
        <w:pageBreakBefore w:val="0"/>
        <w:kinsoku/>
        <w:overflowPunct/>
        <w:topLinePunct w:val="0"/>
        <w:autoSpaceDE/>
        <w:autoSpaceDN/>
        <w:bidi w:val="0"/>
        <w:adjustRightInd/>
        <w:snapToGrid/>
        <w:spacing w:line="560" w:lineRule="exact"/>
      </w:pPr>
    </w:p>
    <w:p w14:paraId="5EFDF910">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一、修订背景</w:t>
      </w:r>
    </w:p>
    <w:p w14:paraId="1AF26E7F">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 w:hAnsi="仿宋" w:eastAsia="仿宋" w:cs="仿宋"/>
          <w:i w:val="0"/>
          <w:iCs w:val="0"/>
          <w:caps w:val="0"/>
          <w:color w:val="000000"/>
          <w:spacing w:val="0"/>
          <w:sz w:val="32"/>
          <w:szCs w:val="32"/>
          <w:shd w:val="clear" w:fill="FFFFFF"/>
        </w:rPr>
      </w:pPr>
      <w:r>
        <w:rPr>
          <w:rFonts w:hint="eastAsia" w:ascii="楷体_GB2312" w:hAnsi="楷体_GB2312" w:eastAsia="楷体_GB2312" w:cs="Times New Roman"/>
          <w:kern w:val="2"/>
          <w:sz w:val="32"/>
          <w:szCs w:val="24"/>
          <w:lang w:val="en-US" w:eastAsia="zh-CN" w:bidi="ar-SA"/>
        </w:rPr>
        <w:t>（一）上位法发生重大调整，原有政策法律依据即将失效，亟需统一更新规范性文件</w:t>
      </w:r>
    </w:p>
    <w:p w14:paraId="43BD4B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《中华人民共和国生态环境法典》将于2026年8月15日正式施行，施行后《中华人民共和国大气污染防治法》等10部单行环境法律同步废止。</w:t>
      </w:r>
      <w:r>
        <w:rPr>
          <w:rFonts w:hint="eastAsia" w:ascii="仿宋_GB2312" w:hAnsi="仿宋_GB2312" w:eastAsia="仿宋_GB2312" w:cs="仿宋_GB2312"/>
          <w:kern w:val="0"/>
          <w:sz w:val="32"/>
          <w:szCs w:val="32"/>
          <w:lang w:val="en-US" w:eastAsia="zh-CN"/>
        </w:rPr>
        <w:t>我市2024年出台《湛江市人民政府关于延长&lt;湛江市人民政府关于划定禁止使用高排放非道路移动机械区域的通告&gt;有效期的通告》（湛府规〔2024〕10号）（以下简称“《原通告》”），其法律依据来自</w:t>
      </w:r>
      <w:r>
        <w:rPr>
          <w:rFonts w:hint="eastAsia" w:ascii="仿宋_GB2312" w:hAnsi="仿宋_GB2312" w:eastAsia="仿宋_GB2312" w:cs="仿宋_GB2312"/>
          <w:kern w:val="0"/>
          <w:sz w:val="32"/>
          <w:szCs w:val="32"/>
        </w:rPr>
        <w:t>《中华人民共和国大气污染防治法》第六十一条、第一百一十四条</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这2个条款内容现与《中华人民共和国生态环境法典》第二百三十条、第一千一百二十七条相对应。需对《原通告》依据的法律文件进行更新。</w:t>
      </w:r>
    </w:p>
    <w:p w14:paraId="00A3B0EE">
      <w:pPr>
        <w:keepNext w:val="0"/>
        <w:keepLines w:val="0"/>
        <w:pageBreakBefore w:val="0"/>
        <w:numPr>
          <w:ilvl w:val="0"/>
          <w:numId w:val="1"/>
        </w:numPr>
        <w:kinsoku/>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i w:val="0"/>
          <w:iCs w:val="0"/>
          <w:caps w:val="0"/>
          <w:color w:val="000000"/>
          <w:spacing w:val="0"/>
          <w:sz w:val="32"/>
          <w:szCs w:val="32"/>
          <w:shd w:val="clear" w:fill="FFFFFF"/>
          <w:lang w:eastAsia="zh-CN"/>
        </w:rPr>
      </w:pPr>
      <w:r>
        <w:rPr>
          <w:rFonts w:hint="eastAsia" w:ascii="楷体_GB2312" w:hAnsi="楷体_GB2312" w:eastAsia="楷体_GB2312" w:cs="楷体_GB2312"/>
          <w:i w:val="0"/>
          <w:iCs w:val="0"/>
          <w:caps w:val="0"/>
          <w:color w:val="000000"/>
          <w:spacing w:val="0"/>
          <w:sz w:val="32"/>
          <w:szCs w:val="32"/>
          <w:shd w:val="clear" w:fill="FFFFFF"/>
          <w:lang w:val="en-US" w:eastAsia="zh-CN"/>
        </w:rPr>
        <w:t>广东省</w:t>
      </w:r>
      <w:r>
        <w:rPr>
          <w:rFonts w:hint="eastAsia" w:ascii="楷体_GB2312" w:hAnsi="楷体_GB2312" w:eastAsia="楷体_GB2312" w:cs="楷体_GB2312"/>
          <w:i w:val="0"/>
          <w:iCs w:val="0"/>
          <w:caps w:val="0"/>
          <w:color w:val="000000"/>
          <w:spacing w:val="0"/>
          <w:sz w:val="32"/>
          <w:szCs w:val="32"/>
          <w:shd w:val="clear" w:fill="FFFFFF"/>
          <w:lang w:eastAsia="zh-CN"/>
        </w:rPr>
        <w:t>高排放非道路移动机械</w:t>
      </w:r>
      <w:r>
        <w:rPr>
          <w:rFonts w:hint="eastAsia" w:ascii="楷体_GB2312" w:hAnsi="楷体_GB2312" w:eastAsia="楷体_GB2312" w:cs="楷体_GB2312"/>
          <w:i w:val="0"/>
          <w:iCs w:val="0"/>
          <w:caps w:val="0"/>
          <w:color w:val="000000"/>
          <w:spacing w:val="0"/>
          <w:sz w:val="32"/>
          <w:szCs w:val="32"/>
          <w:shd w:val="clear" w:fill="FFFFFF"/>
          <w:lang w:val="en-US" w:eastAsia="zh-CN"/>
        </w:rPr>
        <w:t>认定标准发生变化，需相应调整。</w:t>
      </w:r>
    </w:p>
    <w:p w14:paraId="74DBFEAE">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eastAsia="zh-CN"/>
        </w:rPr>
        <w:t>《广东省生态环境厅关于高排放非道路移动机械认定标准的通告》（</w:t>
      </w:r>
      <w:r>
        <w:rPr>
          <w:rFonts w:hint="eastAsia" w:ascii="仿宋_GB2312" w:hAnsi="仿宋_GB2312" w:eastAsia="仿宋_GB2312" w:cs="仿宋_GB2312"/>
          <w:kern w:val="0"/>
          <w:sz w:val="32"/>
          <w:szCs w:val="32"/>
          <w:lang w:val="en-US" w:eastAsia="zh-CN"/>
        </w:rPr>
        <w:t>粤环发〔2026〕2号</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于2026年5月1日正式施行，该通告明确机械认定为高排放非道路移动机械的情形有3种，“（一）国一及以下排放标准的工程机械（含按非道路排放标准生产的非道路用车）。（二）排气烟度超过《非道路柴油移动机械排气烟度限值及测量方法》（GB 36886-2018）所规定的III类限值的非道路移动机械。（三）使用过程中排放黑烟等可视污染物的非道路移动机械”。</w:t>
      </w:r>
      <w:r>
        <w:rPr>
          <w:rFonts w:hint="eastAsia" w:ascii="仿宋_GB2312" w:hAnsi="仿宋_GB2312" w:eastAsia="仿宋_GB2312" w:cs="仿宋_GB2312"/>
          <w:kern w:val="0"/>
          <w:sz w:val="32"/>
          <w:szCs w:val="32"/>
          <w:lang w:val="en-US" w:eastAsia="zh-CN"/>
        </w:rPr>
        <w:t>《原通告》对高排放非道路移动机械的</w:t>
      </w:r>
      <w:r>
        <w:rPr>
          <w:rFonts w:hint="eastAsia" w:ascii="仿宋_GB2312" w:hAnsi="仿宋_GB2312" w:eastAsia="仿宋_GB2312" w:cs="仿宋_GB2312"/>
          <w:i w:val="0"/>
          <w:iCs w:val="0"/>
          <w:caps w:val="0"/>
          <w:color w:val="000000"/>
          <w:spacing w:val="0"/>
          <w:sz w:val="32"/>
          <w:szCs w:val="32"/>
          <w:shd w:val="clear" w:fill="FFFFFF"/>
          <w:lang w:val="en-US" w:eastAsia="zh-CN"/>
        </w:rPr>
        <w:t>认定情形只有后2种，需增加第1种认定情形。</w:t>
      </w:r>
    </w:p>
    <w:p w14:paraId="06C86A38">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rPr>
          <w:rFonts w:hint="default" w:ascii="楷体_GB2312" w:hAnsi="楷体_GB2312" w:eastAsia="楷体_GB2312" w:cs="楷体_GB2312"/>
          <w:i w:val="0"/>
          <w:iCs w:val="0"/>
          <w:caps w:val="0"/>
          <w:color w:val="000000"/>
          <w:spacing w:val="0"/>
          <w:sz w:val="32"/>
          <w:szCs w:val="32"/>
          <w:shd w:val="clear" w:fill="FFFFFF"/>
          <w:lang w:val="en-US" w:eastAsia="zh-CN"/>
        </w:rPr>
      </w:pPr>
      <w:r>
        <w:rPr>
          <w:rFonts w:hint="eastAsia" w:ascii="楷体_GB2312" w:hAnsi="楷体_GB2312" w:eastAsia="楷体_GB2312" w:cs="楷体_GB2312"/>
          <w:i w:val="0"/>
          <w:iCs w:val="0"/>
          <w:caps w:val="0"/>
          <w:color w:val="000000"/>
          <w:spacing w:val="0"/>
          <w:sz w:val="32"/>
          <w:szCs w:val="32"/>
          <w:shd w:val="clear" w:fill="FFFFFF"/>
          <w:lang w:eastAsia="zh-CN"/>
        </w:rPr>
        <w:t>（</w:t>
      </w:r>
      <w:r>
        <w:rPr>
          <w:rFonts w:hint="eastAsia" w:ascii="楷体_GB2312" w:hAnsi="楷体_GB2312" w:eastAsia="楷体_GB2312" w:cs="楷体_GB2312"/>
          <w:i w:val="0"/>
          <w:iCs w:val="0"/>
          <w:caps w:val="0"/>
          <w:color w:val="000000"/>
          <w:spacing w:val="0"/>
          <w:sz w:val="32"/>
          <w:szCs w:val="32"/>
          <w:shd w:val="clear" w:fill="FFFFFF"/>
          <w:lang w:val="en-US" w:eastAsia="zh-CN"/>
        </w:rPr>
        <w:t>三</w:t>
      </w:r>
      <w:r>
        <w:rPr>
          <w:rFonts w:hint="eastAsia" w:ascii="楷体_GB2312" w:hAnsi="楷体_GB2312" w:eastAsia="楷体_GB2312" w:cs="楷体_GB2312"/>
          <w:i w:val="0"/>
          <w:iCs w:val="0"/>
          <w:caps w:val="0"/>
          <w:color w:val="000000"/>
          <w:spacing w:val="0"/>
          <w:sz w:val="32"/>
          <w:szCs w:val="32"/>
          <w:shd w:val="clear" w:fill="FFFFFF"/>
          <w:lang w:eastAsia="zh-CN"/>
        </w:rPr>
        <w:t>）</w:t>
      </w:r>
      <w:r>
        <w:rPr>
          <w:rFonts w:hint="eastAsia" w:ascii="楷体_GB2312" w:hAnsi="楷体_GB2312" w:eastAsia="楷体_GB2312" w:cs="楷体_GB2312"/>
          <w:i w:val="0"/>
          <w:iCs w:val="0"/>
          <w:caps w:val="0"/>
          <w:color w:val="000000"/>
          <w:spacing w:val="0"/>
          <w:sz w:val="32"/>
          <w:szCs w:val="32"/>
          <w:shd w:val="clear" w:fill="FFFFFF"/>
          <w:lang w:val="en-US" w:eastAsia="zh-CN"/>
        </w:rPr>
        <w:t>落实上级文件要求，扩大禁用区范围。</w:t>
      </w:r>
    </w:p>
    <w:p w14:paraId="32AFDC0D">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aps w:val="0"/>
          <w:color w:val="000000"/>
          <w:spacing w:val="0"/>
          <w:sz w:val="32"/>
          <w:szCs w:val="32"/>
          <w:shd w:val="clear" w:fill="FFFFFF"/>
          <w:lang w:val="en-US"/>
        </w:rPr>
      </w:pPr>
      <w:r>
        <w:rPr>
          <w:rFonts w:hint="eastAsia" w:ascii="仿宋_GB2312" w:hAnsi="仿宋_GB2312" w:eastAsia="仿宋_GB2312" w:cs="仿宋_GB2312"/>
          <w:i w:val="0"/>
          <w:iCs w:val="0"/>
          <w:caps w:val="0"/>
          <w:color w:val="000000"/>
          <w:spacing w:val="0"/>
          <w:sz w:val="32"/>
          <w:szCs w:val="32"/>
          <w:shd w:val="clear" w:fill="FFFFFF"/>
          <w:lang w:val="en-US" w:eastAsia="zh-CN"/>
        </w:rPr>
        <w:t>广东省生态环境厅等13部门</w:t>
      </w:r>
      <w:r>
        <w:rPr>
          <w:rFonts w:hint="eastAsia" w:ascii="仿宋_GB2312" w:hAnsi="仿宋_GB2312" w:eastAsia="仿宋_GB2312" w:cs="仿宋_GB2312"/>
          <w:i w:val="0"/>
          <w:iCs w:val="0"/>
          <w:caps w:val="0"/>
          <w:color w:val="000000"/>
          <w:spacing w:val="0"/>
          <w:sz w:val="32"/>
          <w:szCs w:val="32"/>
          <w:shd w:val="clear" w:fill="FFFFFF"/>
          <w:lang w:eastAsia="zh-CN"/>
        </w:rPr>
        <w:t>《转发生态环境部等部门关于</w:t>
      </w:r>
      <w:r>
        <w:rPr>
          <w:rFonts w:hint="eastAsia" w:ascii="仿宋_GB2312" w:hAnsi="仿宋_GB2312" w:eastAsia="仿宋_GB2312" w:cs="仿宋_GB2312"/>
          <w:i w:val="0"/>
          <w:iCs w:val="0"/>
          <w:caps w:val="0"/>
          <w:color w:val="000000"/>
          <w:spacing w:val="0"/>
          <w:sz w:val="32"/>
          <w:szCs w:val="32"/>
          <w:shd w:val="clear" w:fill="FFFFFF"/>
          <w:lang w:val="en-US" w:eastAsia="zh-CN"/>
        </w:rPr>
        <w:t>&lt;</w:t>
      </w:r>
      <w:r>
        <w:rPr>
          <w:rFonts w:hint="eastAsia" w:ascii="仿宋_GB2312" w:hAnsi="仿宋_GB2312" w:eastAsia="仿宋_GB2312" w:cs="仿宋_GB2312"/>
          <w:i w:val="0"/>
          <w:iCs w:val="0"/>
          <w:caps w:val="0"/>
          <w:color w:val="000000"/>
          <w:spacing w:val="0"/>
          <w:sz w:val="32"/>
          <w:szCs w:val="32"/>
          <w:shd w:val="clear" w:fill="FFFFFF"/>
          <w:lang w:eastAsia="zh-CN"/>
        </w:rPr>
        <w:t>柴油货车污染治理攻坚行动方案</w:t>
      </w:r>
      <w:r>
        <w:rPr>
          <w:rFonts w:hint="eastAsia" w:ascii="仿宋_GB2312" w:hAnsi="仿宋_GB2312" w:eastAsia="仿宋_GB2312" w:cs="仿宋_GB2312"/>
          <w:i w:val="0"/>
          <w:iCs w:val="0"/>
          <w:caps w:val="0"/>
          <w:color w:val="000000"/>
          <w:spacing w:val="0"/>
          <w:sz w:val="32"/>
          <w:szCs w:val="32"/>
          <w:shd w:val="clear" w:fill="FFFFFF"/>
          <w:lang w:val="en-US" w:eastAsia="zh-CN"/>
        </w:rPr>
        <w:t>&gt;</w:t>
      </w:r>
      <w:r>
        <w:rPr>
          <w:rFonts w:hint="eastAsia" w:ascii="仿宋_GB2312" w:hAnsi="仿宋_GB2312" w:eastAsia="仿宋_GB2312" w:cs="仿宋_GB2312"/>
          <w:i w:val="0"/>
          <w:iCs w:val="0"/>
          <w:caps w:val="0"/>
          <w:color w:val="000000"/>
          <w:spacing w:val="0"/>
          <w:sz w:val="32"/>
          <w:szCs w:val="32"/>
          <w:shd w:val="clear" w:fill="FFFFFF"/>
          <w:lang w:eastAsia="zh-CN"/>
        </w:rPr>
        <w:t>的通知》</w:t>
      </w:r>
      <w:r>
        <w:rPr>
          <w:rFonts w:hint="eastAsia" w:ascii="仿宋_GB2312" w:hAnsi="仿宋_GB2312" w:eastAsia="仿宋_GB2312" w:cs="仿宋_GB2312"/>
          <w:kern w:val="0"/>
          <w:sz w:val="32"/>
          <w:szCs w:val="32"/>
          <w:lang w:val="en-US" w:eastAsia="zh-CN"/>
        </w:rPr>
        <w:t>（粤环函〔2023〕26号）明确：“逐步扩大禁止使用高排放非道路移动机械的区域（低排区），及时更新低排区公告”。《广东省人民政府关于广东省空气质量持续改善行动方案的通知》（粤府〔2024〕85号）明确要求：“到2025年，基本消除非道路移动机械及铁路内燃机车“冒黑烟”现象”。为贯彻落实省工作部署，达到管控要求，需将</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原通告</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禁用范围“湛江市区主城片区和坡头片区”进行扩大，参照广州、佛山、东莞等兄弟城市做法，禁用范围扩大到“湛江市全市行政区域”。</w:t>
      </w:r>
    </w:p>
    <w:p w14:paraId="0FF9F992">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鉴于以上原因，我局结合我市实际，起草了《湛江市人民政府关于重新划定禁止使用高排放非道路移动机械区域的通告》。</w:t>
      </w:r>
    </w:p>
    <w:p w14:paraId="55FC7141">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二、修订依据</w:t>
      </w:r>
    </w:p>
    <w:p w14:paraId="776467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rPr>
          <w:rStyle w:val="5"/>
          <w:rFonts w:hint="eastAsia" w:ascii="仿宋_GB2312" w:hAnsi="仿宋_GB2312" w:eastAsia="仿宋_GB2312" w:cs="仿宋_GB2312"/>
          <w:b w:val="0"/>
          <w:bCs/>
          <w:i w:val="0"/>
          <w:iCs w:val="0"/>
          <w:caps w:val="0"/>
          <w:color w:val="auto"/>
          <w:spacing w:val="0"/>
          <w:sz w:val="32"/>
          <w:szCs w:val="32"/>
          <w:shd w:val="clear" w:fill="FFFFFF"/>
        </w:rPr>
      </w:pP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1.</w:t>
      </w:r>
      <w:r>
        <w:rPr>
          <w:rStyle w:val="5"/>
          <w:rFonts w:hint="eastAsia" w:ascii="仿宋_GB2312" w:hAnsi="仿宋_GB2312" w:eastAsia="仿宋_GB2312" w:cs="仿宋_GB2312"/>
          <w:b w:val="0"/>
          <w:bCs/>
          <w:i w:val="0"/>
          <w:iCs w:val="0"/>
          <w:caps w:val="0"/>
          <w:color w:val="auto"/>
          <w:spacing w:val="0"/>
          <w:sz w:val="32"/>
          <w:szCs w:val="32"/>
          <w:shd w:val="clear" w:fill="FFFFFF"/>
        </w:rPr>
        <w:t>《中华人民共和国生态环境法典》（2026年8月15日施行）第二百三十条、第一千一百二十七条；</w:t>
      </w:r>
    </w:p>
    <w:p w14:paraId="252F8D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2.《广东省生态环境厅关于高排放非道路移动机械认定标准的通告》（粤环发〔2026〕2号）</w:t>
      </w:r>
    </w:p>
    <w:p w14:paraId="3ECDC9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3.广东省生态环境厅等13部门《转发生态环境部等部门关于&lt;柴油货车污染治理攻坚行动方案&gt;的通知》（粤环函〔2023〕26号）</w:t>
      </w:r>
    </w:p>
    <w:p w14:paraId="2F8B8D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4.《广东省人民政府关于广东省空气质量持续改善行动方案的通知》（粤府〔2024〕85号）</w:t>
      </w:r>
    </w:p>
    <w:p w14:paraId="0EE521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5.</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广州市人民政府关于划定禁止使用高排放非道路移动机</w:t>
      </w:r>
      <w:r>
        <w:rPr>
          <w:rFonts w:hint="eastAsia" w:ascii="仿宋_GB2312" w:hAnsi="仿宋_GB2312" w:eastAsia="仿宋_GB2312" w:cs="仿宋_GB2312"/>
          <w:i w:val="0"/>
          <w:iCs w:val="0"/>
          <w:caps w:val="0"/>
          <w:color w:val="auto"/>
          <w:spacing w:val="0"/>
          <w:sz w:val="32"/>
          <w:szCs w:val="32"/>
          <w:shd w:val="clear" w:fill="FFFFFF"/>
          <w:lang w:val="en-US" w:eastAsia="zh-CN"/>
        </w:rPr>
        <w:t>械区域的通告</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穗府规〔2025〕7号</w:t>
      </w:r>
      <w:r>
        <w:rPr>
          <w:rFonts w:hint="eastAsia" w:ascii="仿宋_GB2312" w:hAnsi="仿宋_GB2312" w:eastAsia="仿宋_GB2312" w:cs="仿宋_GB2312"/>
          <w:i w:val="0"/>
          <w:iCs w:val="0"/>
          <w:caps w:val="0"/>
          <w:color w:val="auto"/>
          <w:spacing w:val="0"/>
          <w:sz w:val="32"/>
          <w:szCs w:val="32"/>
          <w:shd w:val="clear" w:fill="FFFFFF"/>
          <w:lang w:val="en-US" w:eastAsia="zh-CN"/>
        </w:rPr>
        <w:t>）</w:t>
      </w:r>
    </w:p>
    <w:p w14:paraId="20C5A8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lang w:val="en-US" w:eastAsia="zh-CN"/>
        </w:rPr>
        <w:t>6.</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lang w:val="en-US" w:eastAsia="zh-CN"/>
        </w:rPr>
        <w:t>佛山市人民政府关于划定禁止使用高排放非道路移动机械区域的通告</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（佛</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府〔2026〕3号</w:t>
      </w:r>
      <w:r>
        <w:rPr>
          <w:rFonts w:hint="eastAsia" w:ascii="仿宋_GB2312" w:hAnsi="仿宋_GB2312" w:eastAsia="仿宋_GB2312" w:cs="仿宋_GB2312"/>
          <w:i w:val="0"/>
          <w:iCs w:val="0"/>
          <w:caps w:val="0"/>
          <w:color w:val="auto"/>
          <w:spacing w:val="0"/>
          <w:sz w:val="32"/>
          <w:szCs w:val="32"/>
          <w:shd w:val="clear" w:fill="FFFFFF"/>
          <w:lang w:val="en-US" w:eastAsia="zh-CN"/>
        </w:rPr>
        <w:t>）</w:t>
      </w:r>
    </w:p>
    <w:p w14:paraId="6EA5E7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lang w:val="en-US" w:eastAsia="zh-CN"/>
        </w:rPr>
        <w:t>7.</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lang w:val="en-US" w:eastAsia="zh-CN"/>
        </w:rPr>
        <w:t>东莞市人民政府关于重新划定禁止使用高排放非道路移动机械区域的通告</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（东</w:t>
      </w:r>
      <w:r>
        <w:rPr>
          <w:rStyle w:val="5"/>
          <w:rFonts w:hint="eastAsia" w:ascii="仿宋_GB2312" w:hAnsi="仿宋_GB2312" w:eastAsia="仿宋_GB2312" w:cs="仿宋_GB2312"/>
          <w:b w:val="0"/>
          <w:bCs/>
          <w:i w:val="0"/>
          <w:iCs w:val="0"/>
          <w:caps w:val="0"/>
          <w:color w:val="auto"/>
          <w:spacing w:val="0"/>
          <w:sz w:val="32"/>
          <w:szCs w:val="32"/>
          <w:shd w:val="clear" w:fill="FFFFFF"/>
          <w:lang w:val="en-US" w:eastAsia="zh-CN"/>
        </w:rPr>
        <w:t>府规〔2025〕7号</w:t>
      </w:r>
      <w:r>
        <w:rPr>
          <w:rFonts w:hint="eastAsia" w:ascii="仿宋_GB2312" w:hAnsi="仿宋_GB2312" w:eastAsia="仿宋_GB2312" w:cs="仿宋_GB2312"/>
          <w:i w:val="0"/>
          <w:iCs w:val="0"/>
          <w:caps w:val="0"/>
          <w:color w:val="auto"/>
          <w:spacing w:val="0"/>
          <w:sz w:val="32"/>
          <w:szCs w:val="32"/>
          <w:shd w:val="clear" w:fill="FFFFFF"/>
          <w:lang w:val="en-US" w:eastAsia="zh-CN"/>
        </w:rPr>
        <w:t>）</w:t>
      </w:r>
    </w:p>
    <w:p w14:paraId="5387B2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368" w:lineRule="atLeast"/>
        <w:ind w:left="0" w:right="0" w:firstLine="634"/>
        <w:jc w:val="left"/>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8.湛江市人民政府关于延长《湛江市人民政府关于划定禁止使用高排放非道路移动机械区域的通告》有效期的通告（湛府规〔2024〕10号）</w:t>
      </w:r>
    </w:p>
    <w:p w14:paraId="3C0A325E">
      <w:pPr>
        <w:numPr>
          <w:ilvl w:val="0"/>
          <w:numId w:val="0"/>
        </w:numPr>
        <w:rPr>
          <w:rFonts w:hint="eastAsia" w:ascii="仿宋" w:hAnsi="仿宋" w:eastAsia="仿宋" w:cs="仿宋"/>
          <w:i w:val="0"/>
          <w:iCs w:val="0"/>
          <w:caps w:val="0"/>
          <w:color w:val="000000"/>
          <w:spacing w:val="0"/>
          <w:sz w:val="32"/>
          <w:szCs w:val="32"/>
          <w:shd w:val="clear" w:fill="FFFFFF"/>
          <w:lang w:val="en-US" w:eastAsia="zh-CN"/>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FA6BA3"/>
    <w:multiLevelType w:val="singleLevel"/>
    <w:tmpl w:val="C4FA6BA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972D8C"/>
    <w:rsid w:val="0295277A"/>
    <w:rsid w:val="0FB9472C"/>
    <w:rsid w:val="17984446"/>
    <w:rsid w:val="1DB07F82"/>
    <w:rsid w:val="1DF9789A"/>
    <w:rsid w:val="1E1E5251"/>
    <w:rsid w:val="34AB7AA5"/>
    <w:rsid w:val="3DD07BE6"/>
    <w:rsid w:val="46565349"/>
    <w:rsid w:val="49E22F76"/>
    <w:rsid w:val="55AD03B6"/>
    <w:rsid w:val="568E01E7"/>
    <w:rsid w:val="61972D8C"/>
    <w:rsid w:val="64C3035F"/>
    <w:rsid w:val="665E1984"/>
    <w:rsid w:val="6CB71DEE"/>
    <w:rsid w:val="70253512"/>
    <w:rsid w:val="7130712A"/>
    <w:rsid w:val="75414E2E"/>
    <w:rsid w:val="75AC3C3A"/>
    <w:rsid w:val="76215F9C"/>
    <w:rsid w:val="77040325"/>
    <w:rsid w:val="782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BodyText1I2"/>
    <w:basedOn w:val="1"/>
    <w:qFormat/>
    <w:uiPriority w:val="0"/>
    <w:pPr>
      <w:ind w:firstLine="420" w:firstLineChars="200"/>
      <w:textAlignment w:val="baseline"/>
    </w:pPr>
    <w:rPr>
      <w:rFonts w:ascii="仿宋_GB2312" w:hAnsi="Times New Roman" w:eastAsia="仿宋_GB2312"/>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1298</Words>
  <Characters>1377</Characters>
  <Lines>0</Lines>
  <Paragraphs>0</Paragraphs>
  <TotalTime>10</TotalTime>
  <ScaleCrop>false</ScaleCrop>
  <LinksUpToDate>false</LinksUpToDate>
  <CharactersWithSpaces>1378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2026-07-27T03:15:00Z</dcterms:created>
  <dc:creator>Amy</dc:creator>
  <cp:lastModifiedBy>Amy</cp:lastModifiedBy>
  <dcterms:modified xsi:type="dcterms:W3CDTF">2026-08-04T01:47:19Z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81DB283686BB40AA9279ACBD5D132682_11</vt:lpwstr>
  </property>
  <property fmtid="{D5CDD505-2E9C-101B-9397-08002B2CF9AE}" pid="4" name="KSOTemplateDocerSaveRecord">
    <vt:lpwstr>eyJoZGlkIjoiYTIzMzZkOWY4YTMwZjc4ZjMxN2FkODQ5NDEwN2VmOGMiLCJ1c2VySWQiOiIyMzk3OTY2NDIifQ==</vt:lpwstr>
  </property>
</Properties>
</file>