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820E44">
      <w:pPr>
        <w:pStyle w:val="4"/>
        <w:keepNext w:val="0"/>
        <w:keepLines w:val="0"/>
        <w:pageBreakBefore w:val="0"/>
        <w:widowControl w:val="0"/>
        <w:kinsoku/>
        <w:wordWrap/>
        <w:overflowPunct/>
        <w:topLinePunct w:val="0"/>
        <w:autoSpaceDE/>
        <w:autoSpaceDN/>
        <w:bidi w:val="0"/>
        <w:adjustRightInd/>
        <w:snapToGrid/>
        <w:spacing w:line="530" w:lineRule="exact"/>
        <w:ind w:left="0" w:leftChars="0" w:firstLine="0" w:firstLineChars="0"/>
        <w:jc w:val="both"/>
        <w:textAlignment w:val="baseline"/>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附件1</w:t>
      </w:r>
    </w:p>
    <w:p w14:paraId="79CDB8C6">
      <w:pPr>
        <w:pStyle w:val="4"/>
        <w:keepNext w:val="0"/>
        <w:keepLines w:val="0"/>
        <w:pageBreakBefore w:val="0"/>
        <w:widowControl w:val="0"/>
        <w:kinsoku/>
        <w:wordWrap/>
        <w:overflowPunct/>
        <w:topLinePunct w:val="0"/>
        <w:autoSpaceDE/>
        <w:autoSpaceDN/>
        <w:bidi w:val="0"/>
        <w:adjustRightInd/>
        <w:snapToGrid/>
        <w:spacing w:line="530" w:lineRule="exact"/>
        <w:ind w:left="0" w:leftChars="0" w:firstLine="0" w:firstLineChars="0"/>
        <w:jc w:val="both"/>
        <w:textAlignment w:val="baseline"/>
        <w:rPr>
          <w:rFonts w:hint="default" w:ascii="方正小标宋_GBK" w:hAnsi="方正小标宋_GBK" w:eastAsia="方正小标宋_GBK" w:cs="方正小标宋_GBK"/>
          <w:sz w:val="44"/>
          <w:szCs w:val="44"/>
          <w:lang w:val="en-US" w:eastAsia="zh-CN"/>
        </w:rPr>
      </w:pPr>
    </w:p>
    <w:p w14:paraId="68EDE878">
      <w:pPr>
        <w:pStyle w:val="4"/>
        <w:keepNext w:val="0"/>
        <w:keepLines w:val="0"/>
        <w:pageBreakBefore w:val="0"/>
        <w:widowControl w:val="0"/>
        <w:kinsoku/>
        <w:wordWrap/>
        <w:overflowPunct/>
        <w:topLinePunct w:val="0"/>
        <w:autoSpaceDE/>
        <w:autoSpaceDN/>
        <w:bidi w:val="0"/>
        <w:adjustRightInd/>
        <w:snapToGrid/>
        <w:spacing w:line="530" w:lineRule="exact"/>
        <w:ind w:left="0" w:leftChars="0" w:firstLine="0" w:firstLineChars="0"/>
        <w:jc w:val="center"/>
        <w:textAlignment w:val="baseline"/>
        <w:rPr>
          <w:rFonts w:hint="eastAsia" w:ascii="方正小标宋_GBK" w:hAnsi="方正小标宋_GBK" w:eastAsia="方正小标宋_GBK" w:cs="方正小标宋_GBK"/>
          <w:sz w:val="44"/>
          <w:szCs w:val="44"/>
          <w:lang w:val="en-US" w:eastAsia="zh-CN"/>
        </w:rPr>
      </w:pPr>
      <w:r>
        <w:rPr>
          <w:rFonts w:hint="eastAsia" w:ascii="方正小标宋_GBK" w:hAnsi="方正小标宋_GBK" w:eastAsia="方正小标宋_GBK" w:cs="方正小标宋_GBK"/>
          <w:sz w:val="44"/>
          <w:szCs w:val="44"/>
          <w:lang w:val="en-US" w:eastAsia="zh-CN"/>
        </w:rPr>
        <w:t>湛江市人民政府关于重新划定禁止使用高排放非道路移动机械区域的通告</w:t>
      </w:r>
    </w:p>
    <w:p w14:paraId="260FEB1E">
      <w:pPr>
        <w:pStyle w:val="4"/>
        <w:keepNext w:val="0"/>
        <w:keepLines w:val="0"/>
        <w:pageBreakBefore w:val="0"/>
        <w:widowControl w:val="0"/>
        <w:kinsoku/>
        <w:wordWrap/>
        <w:overflowPunct/>
        <w:topLinePunct w:val="0"/>
        <w:autoSpaceDE/>
        <w:autoSpaceDN/>
        <w:bidi w:val="0"/>
        <w:adjustRightInd/>
        <w:snapToGrid/>
        <w:spacing w:line="530" w:lineRule="exact"/>
        <w:ind w:left="0" w:leftChars="0" w:firstLine="0" w:firstLineChars="0"/>
        <w:jc w:val="center"/>
        <w:textAlignment w:val="baseline"/>
        <w:rPr>
          <w:rFonts w:hint="eastAsia" w:hAnsi="仿宋_GB2312" w:cs="仿宋_GB2312"/>
          <w:szCs w:val="32"/>
          <w:lang w:val="en-US" w:eastAsia="zh-CN"/>
        </w:rPr>
      </w:pPr>
      <w:r>
        <w:rPr>
          <w:rFonts w:hint="eastAsia" w:ascii="方正小标宋_GBK" w:hAnsi="方正小标宋_GBK" w:eastAsia="方正小标宋_GBK" w:cs="方正小标宋_GBK"/>
          <w:sz w:val="44"/>
          <w:szCs w:val="44"/>
          <w:lang w:val="en-US" w:eastAsia="zh-CN"/>
        </w:rPr>
        <w:t>（征求意见稿）</w:t>
      </w:r>
    </w:p>
    <w:p w14:paraId="25839DBC">
      <w:pPr>
        <w:keepNext w:val="0"/>
        <w:keepLines w:val="0"/>
        <w:pageBreakBefore w:val="0"/>
        <w:widowControl w:val="0"/>
        <w:kinsoku/>
        <w:wordWrap/>
        <w:overflowPunct/>
        <w:topLinePunct w:val="0"/>
        <w:autoSpaceDE/>
        <w:autoSpaceDN/>
        <w:bidi w:val="0"/>
        <w:adjustRightInd/>
        <w:snapToGrid/>
        <w:spacing w:line="530" w:lineRule="exact"/>
      </w:pPr>
    </w:p>
    <w:p w14:paraId="338C6839">
      <w:pPr>
        <w:keepNext w:val="0"/>
        <w:keepLines w:val="0"/>
        <w:pageBreakBefore w:val="0"/>
        <w:widowControl w:val="0"/>
        <w:kinsoku/>
        <w:wordWrap/>
        <w:overflowPunct/>
        <w:topLinePunct w:val="0"/>
        <w:autoSpaceDE/>
        <w:autoSpaceDN/>
        <w:bidi w:val="0"/>
        <w:adjustRightInd/>
        <w:snapToGrid/>
        <w:spacing w:line="530" w:lineRule="exact"/>
        <w:ind w:firstLine="640" w:firstLineChars="200"/>
        <w:rPr>
          <w:rFonts w:hint="eastAsia" w:ascii="仿宋" w:hAnsi="仿宋" w:eastAsia="仿宋" w:cs="仿宋"/>
          <w:sz w:val="32"/>
          <w:szCs w:val="48"/>
          <w:lang w:val="en-US" w:eastAsia="zh-CN"/>
        </w:rPr>
      </w:pPr>
      <w:r>
        <w:rPr>
          <w:rFonts w:hint="eastAsia" w:ascii="仿宋" w:hAnsi="仿宋" w:eastAsia="仿宋" w:cs="仿宋"/>
          <w:sz w:val="32"/>
          <w:szCs w:val="48"/>
          <w:lang w:val="en-US" w:eastAsia="zh-CN"/>
        </w:rPr>
        <w:t>为加强非道路移动机械排气污染防治，进一步改善我市环境空气质量，保障人民群众身体健康，根据《中华人民共和国生态环境法典》《广东省大气污染防治条例》等有关规定，结合我市实际，市人民政府决定重新划定禁止使用高排放非道路移动机械区域。现将有关事项通告如下：</w:t>
      </w:r>
    </w:p>
    <w:p w14:paraId="3E3C5FE2">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lang w:val="en-US" w:eastAsia="zh-CN"/>
        </w:rPr>
        <w:t>一、</w:t>
      </w:r>
      <w:r>
        <w:rPr>
          <w:rFonts w:hint="eastAsia" w:ascii="黑体" w:hAnsi="黑体" w:eastAsia="黑体" w:cs="黑体"/>
          <w:color w:val="auto"/>
          <w:sz w:val="32"/>
          <w:szCs w:val="32"/>
        </w:rPr>
        <w:t>非道路移动机械定义</w:t>
      </w:r>
    </w:p>
    <w:p w14:paraId="79A77BDC">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 w:hAnsi="仿宋" w:eastAsia="仿宋" w:cs="仿宋"/>
          <w:color w:val="auto"/>
          <w:sz w:val="32"/>
          <w:szCs w:val="32"/>
        </w:rPr>
      </w:pPr>
      <w:r>
        <w:rPr>
          <w:rFonts w:hint="eastAsia" w:ascii="仿宋" w:hAnsi="仿宋" w:eastAsia="仿宋"/>
          <w:color w:val="auto"/>
          <w:sz w:val="32"/>
          <w:szCs w:val="32"/>
        </w:rPr>
        <w:t>本通告所指非道路移动机械是指装配有发动机的移动机械和可运输工业设备。主要包括但不限于以下机械类型：工程机械（装载机、挖掘机、推土机、压路机、沥青摊铺机、叉车、非公路卡车等）、农业机械、林业机械、材料装卸机械、工业钻探设备、机场地勤设备等机械。</w:t>
      </w:r>
    </w:p>
    <w:p w14:paraId="0E8EE95F">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二、禁用对象</w:t>
      </w:r>
    </w:p>
    <w:p w14:paraId="1BB036AF">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ascii="仿宋" w:hAnsi="仿宋" w:eastAsia="仿宋"/>
          <w:color w:val="auto"/>
          <w:sz w:val="32"/>
          <w:szCs w:val="32"/>
        </w:rPr>
      </w:pPr>
      <w:r>
        <w:rPr>
          <w:rFonts w:hint="eastAsia" w:ascii="仿宋" w:hAnsi="仿宋" w:eastAsia="仿宋"/>
          <w:color w:val="auto"/>
          <w:sz w:val="32"/>
          <w:szCs w:val="32"/>
        </w:rPr>
        <w:t>高排放非道路移动机械主要包括以下情形：</w:t>
      </w:r>
    </w:p>
    <w:p w14:paraId="28D6A6C5">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仿宋" w:hAnsi="仿宋" w:eastAsia="仿宋"/>
          <w:color w:val="auto"/>
          <w:sz w:val="32"/>
          <w:szCs w:val="32"/>
          <w:lang w:val="en-US" w:eastAsia="zh-CN"/>
        </w:rPr>
      </w:pPr>
      <w:r>
        <w:rPr>
          <w:rFonts w:hint="eastAsia" w:ascii="仿宋" w:hAnsi="仿宋" w:eastAsia="仿宋"/>
          <w:color w:val="auto"/>
          <w:sz w:val="32"/>
          <w:szCs w:val="32"/>
        </w:rPr>
        <w:t>（一）</w:t>
      </w:r>
      <w:r>
        <w:rPr>
          <w:rFonts w:hint="eastAsia" w:ascii="仿宋" w:hAnsi="仿宋" w:eastAsia="仿宋"/>
          <w:color w:val="auto"/>
          <w:sz w:val="32"/>
          <w:szCs w:val="32"/>
          <w:lang w:val="en-US" w:eastAsia="zh-CN"/>
        </w:rPr>
        <w:t>国一及以下排放标准的工程机械（含按非道路排放标准生产的非道路用车）。</w:t>
      </w:r>
    </w:p>
    <w:p w14:paraId="7CB1D12B">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rPr>
        <w:t>（</w:t>
      </w:r>
      <w:r>
        <w:rPr>
          <w:rFonts w:hint="eastAsia" w:ascii="仿宋" w:hAnsi="仿宋" w:eastAsia="仿宋"/>
          <w:color w:val="auto"/>
          <w:sz w:val="32"/>
          <w:szCs w:val="32"/>
          <w:lang w:val="en-US" w:eastAsia="zh-CN"/>
        </w:rPr>
        <w:t>二</w:t>
      </w:r>
      <w:r>
        <w:rPr>
          <w:rFonts w:hint="eastAsia" w:ascii="仿宋" w:hAnsi="仿宋" w:eastAsia="仿宋"/>
          <w:color w:val="auto"/>
          <w:sz w:val="32"/>
          <w:szCs w:val="32"/>
        </w:rPr>
        <w:t>）排气烟度超过《非道路柴油移动机械排气烟度限值及测量方法》（GB 36886-2018）所规定的III类限值的非道路移动机械</w:t>
      </w:r>
      <w:r>
        <w:rPr>
          <w:rFonts w:hint="eastAsia" w:ascii="仿宋" w:hAnsi="仿宋" w:eastAsia="仿宋"/>
          <w:color w:val="auto"/>
          <w:sz w:val="32"/>
          <w:szCs w:val="32"/>
          <w:lang w:eastAsia="zh-CN"/>
        </w:rPr>
        <w:t>。</w:t>
      </w:r>
    </w:p>
    <w:p w14:paraId="6945108F">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 w:hAnsi="仿宋" w:eastAsia="仿宋"/>
          <w:color w:val="auto"/>
          <w:sz w:val="32"/>
          <w:szCs w:val="32"/>
          <w:lang w:eastAsia="zh-CN"/>
        </w:rPr>
      </w:pPr>
      <w:r>
        <w:rPr>
          <w:rFonts w:hint="eastAsia" w:ascii="仿宋" w:hAnsi="仿宋" w:eastAsia="仿宋"/>
          <w:color w:val="auto"/>
          <w:sz w:val="32"/>
          <w:szCs w:val="32"/>
          <w:lang w:eastAsia="zh-CN"/>
        </w:rPr>
        <w:t>（</w:t>
      </w:r>
      <w:r>
        <w:rPr>
          <w:rFonts w:hint="eastAsia" w:ascii="仿宋" w:hAnsi="仿宋" w:eastAsia="仿宋"/>
          <w:color w:val="auto"/>
          <w:sz w:val="32"/>
          <w:szCs w:val="32"/>
          <w:lang w:val="en-US" w:eastAsia="zh-CN"/>
        </w:rPr>
        <w:t>三</w:t>
      </w:r>
      <w:r>
        <w:rPr>
          <w:rFonts w:hint="eastAsia" w:ascii="仿宋" w:hAnsi="仿宋" w:eastAsia="仿宋"/>
          <w:color w:val="auto"/>
          <w:sz w:val="32"/>
          <w:szCs w:val="32"/>
          <w:lang w:eastAsia="zh-CN"/>
        </w:rPr>
        <w:t>）</w:t>
      </w:r>
      <w:r>
        <w:rPr>
          <w:rFonts w:hint="eastAsia" w:ascii="仿宋" w:hAnsi="仿宋" w:eastAsia="仿宋"/>
          <w:color w:val="auto"/>
          <w:sz w:val="32"/>
          <w:szCs w:val="32"/>
        </w:rPr>
        <w:t>使用过程中排放黑烟等可视污染物的非道路移动机械</w:t>
      </w:r>
      <w:r>
        <w:rPr>
          <w:rFonts w:hint="eastAsia" w:ascii="仿宋" w:hAnsi="仿宋" w:eastAsia="仿宋"/>
          <w:color w:val="auto"/>
          <w:sz w:val="32"/>
          <w:szCs w:val="32"/>
          <w:lang w:eastAsia="zh-CN"/>
        </w:rPr>
        <w:t>。</w:t>
      </w:r>
    </w:p>
    <w:p w14:paraId="6CF078DE">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rPr>
        <w:t>三、禁用区</w:t>
      </w:r>
      <w:r>
        <w:rPr>
          <w:rFonts w:hint="eastAsia" w:ascii="黑体" w:hAnsi="黑体" w:eastAsia="黑体" w:cs="黑体"/>
          <w:color w:val="auto"/>
          <w:sz w:val="32"/>
          <w:szCs w:val="32"/>
          <w:lang w:val="en-US" w:eastAsia="zh-CN"/>
        </w:rPr>
        <w:t>域</w:t>
      </w:r>
    </w:p>
    <w:p w14:paraId="766F1530">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仿宋" w:hAnsi="仿宋" w:eastAsia="仿宋"/>
          <w:color w:val="auto"/>
          <w:sz w:val="32"/>
          <w:szCs w:val="32"/>
          <w:lang w:val="en-US" w:eastAsia="zh-CN"/>
        </w:rPr>
      </w:pPr>
      <w:r>
        <w:rPr>
          <w:rFonts w:hint="eastAsia" w:ascii="仿宋" w:hAnsi="仿宋" w:eastAsia="仿宋"/>
          <w:color w:val="auto"/>
          <w:sz w:val="32"/>
          <w:szCs w:val="32"/>
          <w:lang w:val="en-US" w:eastAsia="zh-CN"/>
        </w:rPr>
        <w:t>禁止高排放非道路移动机械在湛江市行政区域内使用。</w:t>
      </w:r>
      <w:r>
        <w:rPr>
          <w:rFonts w:hint="eastAsia" w:ascii="仿宋" w:hAnsi="仿宋" w:eastAsia="仿宋"/>
          <w:color w:val="auto"/>
          <w:sz w:val="32"/>
          <w:szCs w:val="32"/>
        </w:rPr>
        <w:t>执行紧急任务的军用、警用、消防、救护、应急抢险工程机械</w:t>
      </w:r>
      <w:r>
        <w:rPr>
          <w:rFonts w:hint="eastAsia" w:ascii="仿宋" w:hAnsi="仿宋" w:eastAsia="仿宋"/>
          <w:color w:val="auto"/>
          <w:sz w:val="32"/>
          <w:szCs w:val="32"/>
          <w:lang w:val="en-US" w:eastAsia="zh-CN"/>
        </w:rPr>
        <w:t>除外</w:t>
      </w:r>
      <w:r>
        <w:rPr>
          <w:rFonts w:hint="eastAsia" w:ascii="仿宋" w:hAnsi="仿宋" w:eastAsia="仿宋"/>
          <w:color w:val="auto"/>
          <w:sz w:val="32"/>
          <w:szCs w:val="32"/>
        </w:rPr>
        <w:t>。</w:t>
      </w:r>
    </w:p>
    <w:p w14:paraId="4998D9E7">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黑体"/>
          <w:color w:val="auto"/>
          <w:sz w:val="32"/>
          <w:szCs w:val="32"/>
        </w:rPr>
      </w:pPr>
      <w:r>
        <w:rPr>
          <w:rFonts w:hint="eastAsia" w:ascii="黑体" w:hAnsi="黑体" w:eastAsia="黑体" w:cs="黑体"/>
          <w:color w:val="auto"/>
          <w:sz w:val="32"/>
          <w:szCs w:val="32"/>
        </w:rPr>
        <w:t>四、管理要求</w:t>
      </w:r>
    </w:p>
    <w:p w14:paraId="0DDF3393">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default" w:ascii="仿宋" w:hAnsi="仿宋" w:eastAsia="仿宋" w:cs="仿宋"/>
          <w:color w:val="auto"/>
          <w:sz w:val="32"/>
          <w:szCs w:val="32"/>
          <w:lang w:val="en-US" w:eastAsia="zh-CN"/>
        </w:rPr>
      </w:pPr>
      <w:r>
        <w:rPr>
          <w:rFonts w:hint="eastAsia" w:ascii="仿宋" w:hAnsi="仿宋" w:eastAsia="仿宋"/>
          <w:color w:val="auto"/>
          <w:sz w:val="32"/>
          <w:szCs w:val="32"/>
        </w:rPr>
        <w:t>生态环境、市场监管、住房城乡建设、自然资源、交通运输、农业农村、城市管理和综合执法、水</w:t>
      </w:r>
      <w:r>
        <w:rPr>
          <w:rFonts w:hint="eastAsia" w:ascii="仿宋" w:hAnsi="仿宋" w:eastAsia="仿宋" w:cs="仿宋"/>
          <w:color w:val="auto"/>
          <w:sz w:val="32"/>
          <w:szCs w:val="32"/>
        </w:rPr>
        <w:t>务</w:t>
      </w:r>
      <w:r>
        <w:rPr>
          <w:rFonts w:hint="eastAsia" w:ascii="仿宋" w:hAnsi="仿宋" w:eastAsia="仿宋" w:cs="仿宋"/>
          <w:color w:val="auto"/>
          <w:sz w:val="32"/>
          <w:szCs w:val="32"/>
          <w:lang w:eastAsia="zh-CN"/>
        </w:rPr>
        <w:t>、工业</w:t>
      </w:r>
      <w:r>
        <w:rPr>
          <w:rFonts w:hint="eastAsia" w:ascii="仿宋" w:hAnsi="仿宋" w:eastAsia="仿宋" w:cs="仿宋"/>
          <w:color w:val="auto"/>
          <w:sz w:val="32"/>
          <w:szCs w:val="32"/>
          <w:lang w:val="en-US" w:eastAsia="zh-CN"/>
        </w:rPr>
        <w:t>和</w:t>
      </w:r>
      <w:r>
        <w:rPr>
          <w:rFonts w:hint="eastAsia" w:ascii="仿宋" w:hAnsi="仿宋" w:eastAsia="仿宋" w:cs="仿宋"/>
          <w:color w:val="auto"/>
          <w:sz w:val="32"/>
          <w:szCs w:val="32"/>
          <w:lang w:eastAsia="zh-CN"/>
        </w:rPr>
        <w:t>信息化</w:t>
      </w:r>
      <w:r>
        <w:rPr>
          <w:rFonts w:hint="eastAsia" w:ascii="仿宋" w:hAnsi="仿宋" w:eastAsia="仿宋" w:cs="仿宋"/>
          <w:color w:val="auto"/>
          <w:sz w:val="32"/>
          <w:szCs w:val="32"/>
        </w:rPr>
        <w:t>等有关部门应当督促相关单位和个人使用符合排放标准的非道路移动机械</w:t>
      </w:r>
      <w:r>
        <w:rPr>
          <w:rFonts w:hint="eastAsia" w:ascii="仿宋" w:hAnsi="仿宋" w:eastAsia="仿宋" w:cs="仿宋"/>
          <w:color w:val="auto"/>
          <w:sz w:val="32"/>
          <w:szCs w:val="32"/>
          <w:lang w:eastAsia="zh-CN"/>
        </w:rPr>
        <w:t>。</w:t>
      </w:r>
      <w:r>
        <w:rPr>
          <w:rFonts w:hint="eastAsia" w:ascii="仿宋" w:hAnsi="仿宋" w:eastAsia="仿宋"/>
          <w:color w:val="auto"/>
          <w:sz w:val="32"/>
          <w:szCs w:val="32"/>
        </w:rPr>
        <w:t>生态环境</w:t>
      </w:r>
      <w:r>
        <w:rPr>
          <w:rFonts w:hint="eastAsia" w:ascii="仿宋" w:hAnsi="仿宋" w:eastAsia="仿宋"/>
          <w:color w:val="auto"/>
          <w:sz w:val="32"/>
          <w:szCs w:val="32"/>
          <w:lang w:val="en-US" w:eastAsia="zh-CN"/>
        </w:rPr>
        <w:t>主管部门会同</w:t>
      </w:r>
      <w:r>
        <w:rPr>
          <w:rFonts w:hint="eastAsia" w:ascii="仿宋" w:hAnsi="仿宋" w:eastAsia="仿宋"/>
          <w:color w:val="auto"/>
          <w:sz w:val="32"/>
          <w:szCs w:val="32"/>
        </w:rPr>
        <w:t>市场监管、住房城乡建设、自然资源、交通运输、农业农村、城市管理和综合执法、水</w:t>
      </w:r>
      <w:r>
        <w:rPr>
          <w:rFonts w:hint="eastAsia" w:ascii="仿宋" w:hAnsi="仿宋" w:eastAsia="仿宋" w:cs="仿宋"/>
          <w:color w:val="auto"/>
          <w:sz w:val="32"/>
          <w:szCs w:val="32"/>
        </w:rPr>
        <w:t>务</w:t>
      </w:r>
      <w:r>
        <w:rPr>
          <w:rFonts w:hint="eastAsia" w:ascii="仿宋" w:hAnsi="仿宋" w:eastAsia="仿宋" w:cs="仿宋"/>
          <w:color w:val="auto"/>
          <w:sz w:val="32"/>
          <w:szCs w:val="32"/>
          <w:lang w:eastAsia="zh-CN"/>
        </w:rPr>
        <w:t>、工业</w:t>
      </w:r>
      <w:r>
        <w:rPr>
          <w:rFonts w:hint="eastAsia" w:ascii="仿宋" w:hAnsi="仿宋" w:eastAsia="仿宋" w:cs="仿宋"/>
          <w:color w:val="auto"/>
          <w:sz w:val="32"/>
          <w:szCs w:val="32"/>
          <w:lang w:val="en-US" w:eastAsia="zh-CN"/>
        </w:rPr>
        <w:t>和</w:t>
      </w:r>
      <w:r>
        <w:rPr>
          <w:rFonts w:hint="eastAsia" w:ascii="仿宋" w:hAnsi="仿宋" w:eastAsia="仿宋" w:cs="仿宋"/>
          <w:color w:val="auto"/>
          <w:sz w:val="32"/>
          <w:szCs w:val="32"/>
          <w:lang w:eastAsia="zh-CN"/>
        </w:rPr>
        <w:t>信息化</w:t>
      </w:r>
      <w:r>
        <w:rPr>
          <w:rFonts w:hint="eastAsia" w:ascii="仿宋" w:hAnsi="仿宋" w:eastAsia="仿宋" w:cs="仿宋"/>
          <w:color w:val="auto"/>
          <w:sz w:val="32"/>
          <w:szCs w:val="32"/>
        </w:rPr>
        <w:t>等有关部门</w:t>
      </w:r>
      <w:r>
        <w:rPr>
          <w:rFonts w:hint="eastAsia" w:ascii="仿宋" w:hAnsi="仿宋" w:eastAsia="仿宋" w:cs="仿宋"/>
          <w:color w:val="auto"/>
          <w:sz w:val="32"/>
          <w:szCs w:val="32"/>
          <w:lang w:val="en-US" w:eastAsia="zh-CN"/>
        </w:rPr>
        <w:t>对非道路移动机械的大气污染物排放状况进行监督检查，排放不合格的，不得使用。</w:t>
      </w:r>
    </w:p>
    <w:p w14:paraId="683EE0A5">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黑体" w:hAnsi="黑体" w:eastAsia="黑体" w:cs="黑体"/>
          <w:color w:val="auto"/>
          <w:sz w:val="32"/>
          <w:szCs w:val="32"/>
          <w:lang w:val="en-US" w:eastAsia="zh-CN"/>
        </w:rPr>
      </w:pPr>
      <w:r>
        <w:rPr>
          <w:rFonts w:hint="eastAsia" w:ascii="黑体" w:hAnsi="黑体" w:eastAsia="黑体" w:cs="黑体"/>
          <w:color w:val="auto"/>
          <w:sz w:val="32"/>
          <w:szCs w:val="32"/>
          <w:lang w:val="en-US" w:eastAsia="zh-CN"/>
        </w:rPr>
        <w:t>五、处罚措施</w:t>
      </w:r>
    </w:p>
    <w:p w14:paraId="1FCE176E">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在“禁用区”内使用高排放非道路移动机械的，由生态环境等主管部门依据现行法律法规依法查处。</w:t>
      </w:r>
    </w:p>
    <w:p w14:paraId="1CB3FB12">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六、本通告由湛江市生态环境局负责解释。</w:t>
      </w:r>
      <w:bookmarkStart w:id="0" w:name="_GoBack"/>
      <w:bookmarkEnd w:id="0"/>
    </w:p>
    <w:p w14:paraId="36AED2AE">
      <w:pPr>
        <w:keepNext w:val="0"/>
        <w:keepLines w:val="0"/>
        <w:pageBreakBefore w:val="0"/>
        <w:widowControl w:val="0"/>
        <w:kinsoku/>
        <w:wordWrap/>
        <w:overflowPunct/>
        <w:topLinePunct w:val="0"/>
        <w:autoSpaceDE/>
        <w:autoSpaceDN/>
        <w:bidi w:val="0"/>
        <w:adjustRightInd/>
        <w:snapToGrid/>
        <w:spacing w:line="530" w:lineRule="exact"/>
        <w:ind w:firstLine="640" w:firstLineChars="200"/>
        <w:textAlignment w:val="auto"/>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七、本通告自印发之日起实施，有效期为5年。《湛江市人民政府关于延长&lt;湛江市人民政府关于划定禁止使用高排放非道路移动机械区域的通告&gt;有效期的通告（湛府规〔2024〕10号）》同时废止。</w:t>
      </w:r>
    </w:p>
    <w:p w14:paraId="01EE29AB">
      <w:pPr>
        <w:keepNext w:val="0"/>
        <w:keepLines w:val="0"/>
        <w:pageBreakBefore w:val="0"/>
        <w:widowControl w:val="0"/>
        <w:tabs>
          <w:tab w:val="left" w:pos="1318"/>
        </w:tabs>
        <w:kinsoku/>
        <w:wordWrap/>
        <w:overflowPunct/>
        <w:topLinePunct w:val="0"/>
        <w:autoSpaceDE/>
        <w:autoSpaceDN/>
        <w:bidi w:val="0"/>
        <w:adjustRightInd/>
        <w:snapToGrid/>
        <w:spacing w:line="530" w:lineRule="exact"/>
        <w:jc w:val="left"/>
        <w:rPr>
          <w:rFonts w:hint="eastAsia" w:ascii="仿宋" w:hAnsi="仿宋" w:eastAsia="仿宋" w:cs="仿宋"/>
          <w:color w:val="auto"/>
          <w:sz w:val="32"/>
          <w:szCs w:val="32"/>
          <w:lang w:val="en-US" w:eastAsia="zh-CN"/>
        </w:rPr>
      </w:pPr>
    </w:p>
    <w:p w14:paraId="37190018">
      <w:pPr>
        <w:keepNext w:val="0"/>
        <w:keepLines w:val="0"/>
        <w:pageBreakBefore w:val="0"/>
        <w:widowControl w:val="0"/>
        <w:tabs>
          <w:tab w:val="left" w:pos="1318"/>
        </w:tabs>
        <w:kinsoku/>
        <w:wordWrap/>
        <w:overflowPunct/>
        <w:topLinePunct w:val="0"/>
        <w:autoSpaceDE/>
        <w:autoSpaceDN/>
        <w:bidi w:val="0"/>
        <w:adjustRightInd/>
        <w:snapToGrid/>
        <w:spacing w:line="530" w:lineRule="exact"/>
        <w:jc w:val="center"/>
        <w:rPr>
          <w:rFonts w:hint="eastAsia" w:ascii="仿宋" w:hAnsi="仿宋" w:eastAsia="仿宋" w:cs="仿宋"/>
          <w:color w:val="auto"/>
          <w:sz w:val="32"/>
          <w:szCs w:val="32"/>
          <w:lang w:val="en-US" w:eastAsia="zh-CN"/>
        </w:rPr>
      </w:pPr>
      <w:r>
        <w:rPr>
          <w:rFonts w:hint="eastAsia" w:ascii="仿宋" w:hAnsi="仿宋" w:eastAsia="仿宋" w:cs="仿宋"/>
          <w:color w:val="auto"/>
          <w:sz w:val="32"/>
          <w:szCs w:val="32"/>
          <w:lang w:val="en-US" w:eastAsia="zh-CN"/>
        </w:rPr>
        <w:t xml:space="preserve">                                        湛江市人民政府</w:t>
      </w:r>
    </w:p>
    <w:p w14:paraId="262EFB7B">
      <w:pPr>
        <w:keepNext w:val="0"/>
        <w:keepLines w:val="0"/>
        <w:pageBreakBefore w:val="0"/>
        <w:widowControl w:val="0"/>
        <w:tabs>
          <w:tab w:val="left" w:pos="7153"/>
        </w:tabs>
        <w:kinsoku/>
        <w:wordWrap/>
        <w:overflowPunct/>
        <w:topLinePunct w:val="0"/>
        <w:autoSpaceDE/>
        <w:autoSpaceDN/>
        <w:bidi w:val="0"/>
        <w:adjustRightInd/>
        <w:snapToGrid/>
        <w:spacing w:line="530" w:lineRule="exact"/>
        <w:jc w:val="right"/>
        <w:rPr>
          <w:rFonts w:hint="eastAsia" w:ascii="仿宋" w:hAnsi="仿宋" w:eastAsia="仿宋" w:cs="仿宋"/>
          <w:sz w:val="32"/>
          <w:szCs w:val="48"/>
          <w:lang w:val="en-US" w:eastAsia="zh-CN"/>
        </w:rPr>
      </w:pPr>
      <w:r>
        <w:rPr>
          <w:rFonts w:hint="eastAsia" w:ascii="仿宋" w:hAnsi="仿宋" w:eastAsia="仿宋" w:cs="仿宋"/>
          <w:color w:val="auto"/>
          <w:sz w:val="32"/>
          <w:szCs w:val="32"/>
          <w:lang w:val="en-US" w:eastAsia="zh-CN"/>
        </w:rPr>
        <w:t>2026年  月  日</w:t>
      </w:r>
    </w:p>
    <w:sectPr>
      <w:pgSz w:w="11906" w:h="16838"/>
      <w:pgMar w:top="2098" w:right="1474" w:bottom="1984"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小标宋_GBK">
    <w:altName w:val="微软雅黑"/>
    <w:panose1 w:val="02000000000000000000"/>
    <w:charset w:val="86"/>
    <w:family w:val="script"/>
    <w:pitch w:val="default"/>
    <w:sig w:usb0="00000000" w:usb1="00000000" w:usb2="00000000" w:usb3="00000000" w:csb0="00040000" w:csb1="00000000"/>
  </w:font>
  <w:font w:name="微软雅黑">
    <w:panose1 w:val="020B0503020204020204"/>
    <w:charset w:val="86"/>
    <w:family w:val="auto"/>
    <w:pitch w:val="default"/>
    <w:sig w:usb0="80000287" w:usb1="2ACF3C50" w:usb2="00000016" w:usb3="00000000" w:csb0="0004001F" w:csb1="00000000"/>
  </w:font>
  <w:font w:name="KSOFE44F9426">
    <w:panose1 w:val="02010609060101010101"/>
    <w:charset w:val="86"/>
    <w:family w:val="auto"/>
    <w:pitch w:val="default"/>
    <w:sig w:usb0="00000001" w:usb1="00000000" w:usb2="00000000" w:usb3="00000000" w:csb0="00040001" w:csb1="00000000"/>
  </w:font>
  <w:font w:name="KSOF8080F95D">
    <w:panose1 w:val="020B0503020204020204"/>
    <w:charset w:val="86"/>
    <w:family w:val="auto"/>
    <w:pitch w:val="default"/>
    <w:sig w:usb0="00000001" w:usb1="00000000" w:usb2="00000000"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16832EF"/>
    <w:rsid w:val="091F0FEF"/>
    <w:rsid w:val="10996DDA"/>
    <w:rsid w:val="1C766D20"/>
    <w:rsid w:val="395451C7"/>
    <w:rsid w:val="3D89645B"/>
    <w:rsid w:val="416832EF"/>
    <w:rsid w:val="52684B42"/>
    <w:rsid w:val="559533D2"/>
    <w:rsid w:val="575136EE"/>
    <w:rsid w:val="5F3A53B0"/>
    <w:rsid w:val="7B85641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 w:type="paragraph" w:customStyle="1" w:styleId="4">
    <w:name w:val="BodyText1I2"/>
    <w:basedOn w:val="1"/>
    <w:qFormat/>
    <w:uiPriority w:val="0"/>
    <w:pPr>
      <w:ind w:firstLine="420" w:firstLineChars="200"/>
      <w:textAlignment w:val="baseline"/>
    </w:pPr>
    <w:rPr>
      <w:rFonts w:ascii="仿宋_GB2312" w:hAnsi="Times New Roman" w:eastAsia="仿宋_GB2312"/>
      <w:sz w:val="32"/>
      <w:szCs w:val="20"/>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850</Words>
  <Characters>869</Characters>
  <Lines>0</Lines>
  <Paragraphs>0</Paragraphs>
  <TotalTime>18</TotalTime>
  <ScaleCrop>false</ScaleCrop>
  <LinksUpToDate>false</LinksUpToDate>
  <CharactersWithSpaces>914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2026-07-24T03:18:00Z</dcterms:created>
  <dc:creator>Amy</dc:creator>
  <cp:lastModifiedBy>Amy</cp:lastModifiedBy>
  <dcterms:modified xsi:type="dcterms:W3CDTF">2026-08-04T02:49:29Z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B180571486A14D66B081C378635B40BC_11</vt:lpwstr>
  </property>
  <property fmtid="{D5CDD505-2E9C-101B-9397-08002B2CF9AE}" pid="4" name="KSOTemplateDocerSaveRecord">
    <vt:lpwstr>eyJoZGlkIjoiYTIzMzZkOWY4YTMwZjc4ZjMxN2FkODQ5NDEwN2VmOGMiLCJ1c2VySWQiOiIyMzk3OTY2NDIifQ==</vt:lpwstr>
  </property>
</Properties>
</file>