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511B3">
      <w:pPr>
        <w:jc w:val="left"/>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附件</w:t>
      </w:r>
    </w:p>
    <w:p w14:paraId="4186AE4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项目需求书</w:t>
      </w:r>
    </w:p>
    <w:p w14:paraId="66D9B250">
      <w:pPr>
        <w:jc w:val="center"/>
        <w:rPr>
          <w:rFonts w:hint="eastAsia" w:ascii="宋体" w:hAnsi="宋体" w:cs="Times New Roman"/>
          <w:sz w:val="44"/>
          <w:szCs w:val="44"/>
        </w:rPr>
      </w:pPr>
    </w:p>
    <w:p w14:paraId="489A87F2">
      <w:pPr>
        <w:numPr>
          <w:ilvl w:val="0"/>
          <w:numId w:val="1"/>
        </w:numPr>
        <w:rPr>
          <w:rFonts w:hint="eastAsia" w:ascii="宋体" w:hAnsi="宋体" w:cs="仿宋_GB2312"/>
          <w:b/>
          <w:bCs/>
          <w:sz w:val="32"/>
          <w:szCs w:val="32"/>
        </w:rPr>
      </w:pPr>
      <w:r>
        <w:rPr>
          <w:rFonts w:hint="eastAsia" w:ascii="宋体" w:hAnsi="宋体" w:cs="仿宋_GB2312"/>
          <w:b/>
          <w:bCs/>
          <w:sz w:val="32"/>
          <w:szCs w:val="32"/>
        </w:rPr>
        <w:t>项目名称及项目内容</w:t>
      </w:r>
    </w:p>
    <w:p w14:paraId="6B5E236E">
      <w:pPr>
        <w:numPr>
          <w:ilvl w:val="0"/>
          <w:numId w:val="2"/>
        </w:numPr>
        <w:rPr>
          <w:rFonts w:hint="eastAsia" w:ascii="宋体" w:hAnsi="宋体" w:cs="仿宋_GB2312"/>
          <w:bCs/>
          <w:sz w:val="32"/>
          <w:szCs w:val="32"/>
        </w:rPr>
      </w:pPr>
      <w:r>
        <w:rPr>
          <w:rFonts w:hint="eastAsia" w:ascii="宋体" w:hAnsi="宋体" w:cs="仿宋_GB2312"/>
          <w:bCs/>
          <w:sz w:val="32"/>
          <w:szCs w:val="32"/>
        </w:rPr>
        <w:t>项目名称</w:t>
      </w:r>
    </w:p>
    <w:p w14:paraId="15822EF8">
      <w:pPr>
        <w:ind w:left="2265" w:leftChars="305" w:hanging="1625" w:hangingChars="508"/>
        <w:rPr>
          <w:rFonts w:hint="eastAsia" w:ascii="宋体" w:hAnsi="宋体" w:cs="Times New Roman"/>
          <w:sz w:val="32"/>
          <w:szCs w:val="32"/>
        </w:rPr>
      </w:pPr>
      <w:r>
        <w:rPr>
          <w:rFonts w:hint="eastAsia" w:ascii="宋体" w:hAnsi="宋体" w:cs="仿宋_GB2312"/>
          <w:bCs/>
          <w:sz w:val="32"/>
          <w:szCs w:val="32"/>
        </w:rPr>
        <w:t>项目名称：</w:t>
      </w:r>
      <w:r>
        <w:rPr>
          <w:rFonts w:ascii="宋体" w:hAnsi="宋体" w:cs="Times New Roman"/>
          <w:sz w:val="32"/>
          <w:szCs w:val="32"/>
        </w:rPr>
        <w:t>湛江市应急管理局</w:t>
      </w:r>
      <w:r>
        <w:rPr>
          <w:rFonts w:hint="eastAsia" w:ascii="宋体" w:hAnsi="宋体" w:cs="Times New Roman"/>
          <w:sz w:val="32"/>
          <w:szCs w:val="32"/>
        </w:rPr>
        <w:t>办理巴斯夫一体化基地（广东）有限公司新领安全生产许可证邀请专家现场核查和隐患整改复查项目</w:t>
      </w:r>
    </w:p>
    <w:p w14:paraId="37C670D8">
      <w:pPr>
        <w:ind w:firstLine="640" w:firstLineChars="200"/>
        <w:jc w:val="left"/>
        <w:rPr>
          <w:rFonts w:hint="eastAsia" w:ascii="宋体" w:hAnsi="宋体" w:eastAsia="宋体" w:cs="Times New Roman"/>
          <w:sz w:val="32"/>
          <w:szCs w:val="32"/>
          <w:lang w:eastAsia="zh-CN"/>
        </w:rPr>
      </w:pPr>
      <w:r>
        <w:rPr>
          <w:rFonts w:hint="eastAsia" w:ascii="宋体" w:hAnsi="宋体" w:cs="Times New Roman"/>
          <w:sz w:val="32"/>
          <w:szCs w:val="32"/>
        </w:rPr>
        <w:t>项目地点：</w:t>
      </w:r>
      <w:r>
        <w:rPr>
          <w:rFonts w:ascii="宋体" w:hAnsi="宋体" w:cs="Times New Roman"/>
          <w:sz w:val="32"/>
          <w:szCs w:val="32"/>
        </w:rPr>
        <w:t>湛江市</w:t>
      </w:r>
    </w:p>
    <w:p w14:paraId="52E3E9F5">
      <w:pPr>
        <w:numPr>
          <w:ilvl w:val="0"/>
          <w:numId w:val="2"/>
        </w:numPr>
        <w:rPr>
          <w:rFonts w:hint="eastAsia" w:ascii="宋体" w:hAnsi="宋体" w:cs="仿宋_GB2312"/>
          <w:bCs/>
          <w:sz w:val="32"/>
          <w:szCs w:val="32"/>
        </w:rPr>
      </w:pPr>
      <w:r>
        <w:rPr>
          <w:rFonts w:hint="eastAsia" w:ascii="宋体" w:hAnsi="宋体" w:cs="仿宋_GB2312"/>
          <w:bCs/>
          <w:sz w:val="32"/>
          <w:szCs w:val="32"/>
        </w:rPr>
        <w:t>项目内容</w:t>
      </w:r>
    </w:p>
    <w:p w14:paraId="6EE39A9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rPr>
        <w:t>我市巴斯夫（广东）一体化基地项目（以下简称“巴斯夫项目”）是中国重化工领域首例外商独资项目，也是中德国际合作的标杆、国家实施新一轮对外开放战略的重要成果。巴斯夫项目位于湛江东海岛化工园区，项目用地353.03公顷，由巴斯夫一体化基地（广东）有限公司（以下简称“巴斯夫公司”）独立建设运营，主要包括年产100万吨乙烯联合装置以及配套下游装置。</w:t>
      </w:r>
    </w:p>
    <w:p w14:paraId="1886618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lang w:eastAsia="zh-CN"/>
        </w:rPr>
      </w:pPr>
      <w:r>
        <w:rPr>
          <w:rFonts w:hint="eastAsia" w:ascii="宋体" w:hAnsi="宋体" w:cs="仿宋_GB2312"/>
          <w:bCs/>
          <w:sz w:val="32"/>
          <w:szCs w:val="32"/>
          <w:lang w:eastAsia="zh-CN"/>
        </w:rPr>
        <w:t>当前</w:t>
      </w:r>
      <w:r>
        <w:rPr>
          <w:rFonts w:hint="eastAsia" w:ascii="宋体" w:hAnsi="宋体" w:cs="仿宋_GB2312"/>
          <w:bCs/>
          <w:sz w:val="32"/>
          <w:szCs w:val="32"/>
        </w:rPr>
        <w:t>巴斯夫公司</w:t>
      </w:r>
      <w:r>
        <w:rPr>
          <w:rFonts w:hint="eastAsia" w:ascii="宋体" w:hAnsi="宋体" w:cs="仿宋_GB2312"/>
          <w:bCs/>
          <w:sz w:val="32"/>
          <w:szCs w:val="32"/>
          <w:lang w:eastAsia="zh-CN"/>
        </w:rPr>
        <w:t>已于</w:t>
      </w:r>
      <w:r>
        <w:rPr>
          <w:rFonts w:hint="eastAsia" w:ascii="宋体" w:hAnsi="宋体" w:cs="仿宋_GB2312"/>
          <w:bCs/>
          <w:sz w:val="32"/>
          <w:szCs w:val="32"/>
        </w:rPr>
        <w:t>7月上旬向我局申办</w:t>
      </w:r>
      <w:r>
        <w:rPr>
          <w:rFonts w:hint="eastAsia" w:ascii="宋体" w:hAnsi="宋体" w:cs="仿宋_GB2312"/>
          <w:bCs/>
          <w:sz w:val="32"/>
          <w:szCs w:val="32"/>
          <w:lang w:eastAsia="zh-CN"/>
        </w:rPr>
        <w:t>领取</w:t>
      </w:r>
      <w:r>
        <w:rPr>
          <w:rFonts w:hint="eastAsia" w:ascii="宋体" w:hAnsi="宋体" w:cs="仿宋_GB2312"/>
          <w:bCs/>
          <w:sz w:val="32"/>
          <w:szCs w:val="32"/>
        </w:rPr>
        <w:t>巴斯夫项目安全生产许可证，</w:t>
      </w:r>
      <w:r>
        <w:rPr>
          <w:rFonts w:hint="eastAsia" w:ascii="宋体" w:hAnsi="宋体" w:cs="仿宋_GB2312"/>
          <w:bCs/>
          <w:sz w:val="32"/>
          <w:szCs w:val="32"/>
          <w:lang w:eastAsia="zh-CN"/>
        </w:rPr>
        <w:t>为依法依规办理巴斯夫</w:t>
      </w:r>
      <w:r>
        <w:rPr>
          <w:rFonts w:hint="eastAsia" w:ascii="宋体" w:hAnsi="宋体" w:cs="仿宋_GB2312"/>
          <w:bCs/>
          <w:sz w:val="32"/>
          <w:szCs w:val="32"/>
        </w:rPr>
        <w:t>项目</w:t>
      </w:r>
      <w:r>
        <w:rPr>
          <w:rFonts w:hint="eastAsia" w:ascii="宋体" w:hAnsi="宋体" w:cs="仿宋_GB2312"/>
          <w:bCs/>
          <w:sz w:val="32"/>
          <w:szCs w:val="32"/>
          <w:lang w:eastAsia="zh-CN"/>
        </w:rPr>
        <w:t>安全生产放可证工作，</w:t>
      </w:r>
      <w:r>
        <w:rPr>
          <w:rFonts w:hint="eastAsia" w:ascii="宋体" w:hAnsi="宋体" w:cs="仿宋_GB2312"/>
          <w:bCs/>
          <w:sz w:val="32"/>
          <w:szCs w:val="32"/>
        </w:rPr>
        <w:t>鉴于巴斯夫项目规模巨大、工艺复杂、危险度高，</w:t>
      </w:r>
      <w:r>
        <w:rPr>
          <w:rFonts w:hint="eastAsia" w:ascii="宋体" w:hAnsi="宋体" w:cs="仿宋_GB2312"/>
          <w:bCs/>
          <w:sz w:val="32"/>
          <w:szCs w:val="32"/>
          <w:lang w:eastAsia="zh-CN"/>
        </w:rPr>
        <w:t>充分发挥专家技术力量，</w:t>
      </w:r>
      <w:r>
        <w:rPr>
          <w:rFonts w:hint="eastAsia" w:ascii="宋体" w:hAnsi="宋体" w:cs="仿宋_GB2312"/>
          <w:bCs/>
          <w:sz w:val="32"/>
          <w:szCs w:val="32"/>
        </w:rPr>
        <w:t>采用政府购买专业服务的方式，委托第三方专业机构</w:t>
      </w:r>
      <w:r>
        <w:rPr>
          <w:rFonts w:hint="eastAsia" w:ascii="宋体" w:hAnsi="宋体" w:cs="仿宋_GB2312"/>
          <w:bCs/>
          <w:sz w:val="32"/>
          <w:szCs w:val="32"/>
          <w:lang w:eastAsia="zh-CN"/>
        </w:rPr>
        <w:t>（以下简称“供应商”）</w:t>
      </w:r>
      <w:r>
        <w:rPr>
          <w:rFonts w:hint="eastAsia" w:ascii="宋体" w:hAnsi="宋体" w:cs="仿宋_GB2312"/>
          <w:bCs/>
          <w:sz w:val="32"/>
          <w:szCs w:val="32"/>
        </w:rPr>
        <w:t>组织国家危化品领域专家组开展巴斯夫项目新取证专家现场核查和隐患整改复查工作，为我局颁发安全生产许可证提供有力支撑。</w:t>
      </w:r>
      <w:r>
        <w:rPr>
          <w:rFonts w:hint="eastAsia" w:ascii="宋体" w:hAnsi="宋体" w:cs="仿宋_GB2312"/>
          <w:bCs/>
          <w:sz w:val="32"/>
          <w:szCs w:val="32"/>
          <w:lang w:eastAsia="zh-CN"/>
        </w:rPr>
        <w:t>项目内容具体如下：</w:t>
      </w:r>
    </w:p>
    <w:p w14:paraId="3C84C0B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lang w:val="en-US" w:eastAsia="zh-CN"/>
        </w:rPr>
        <w:t>1.</w:t>
      </w:r>
      <w:r>
        <w:rPr>
          <w:rFonts w:hint="eastAsia" w:ascii="宋体" w:hAnsi="宋体" w:cs="仿宋_GB2312"/>
          <w:bCs/>
          <w:sz w:val="32"/>
          <w:szCs w:val="32"/>
        </w:rPr>
        <w:t>专家现场</w:t>
      </w:r>
      <w:r>
        <w:rPr>
          <w:rFonts w:hint="eastAsia" w:ascii="宋体" w:hAnsi="宋体" w:cs="仿宋_GB2312"/>
          <w:bCs/>
          <w:sz w:val="32"/>
          <w:szCs w:val="32"/>
          <w:lang w:eastAsia="zh-CN"/>
        </w:rPr>
        <w:t>核</w:t>
      </w:r>
      <w:r>
        <w:rPr>
          <w:rFonts w:hint="eastAsia" w:ascii="宋体" w:hAnsi="宋体" w:cs="仿宋_GB2312"/>
          <w:bCs/>
          <w:sz w:val="32"/>
          <w:szCs w:val="32"/>
        </w:rPr>
        <w:t>查</w:t>
      </w:r>
    </w:p>
    <w:p w14:paraId="6DB8946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eastAsia="宋体" w:cs="仿宋_GB2312"/>
          <w:bCs/>
          <w:sz w:val="32"/>
          <w:szCs w:val="32"/>
          <w:lang w:eastAsia="zh-CN"/>
        </w:rPr>
      </w:pPr>
      <w:r>
        <w:rPr>
          <w:rFonts w:hint="eastAsia" w:ascii="宋体" w:hAnsi="宋体" w:cs="仿宋_GB2312"/>
          <w:bCs/>
          <w:sz w:val="32"/>
          <w:szCs w:val="32"/>
          <w:lang w:eastAsia="zh-CN"/>
        </w:rPr>
        <w:t>供应商组织国家危化品领域专家组（专家不应少于</w:t>
      </w:r>
      <w:r>
        <w:rPr>
          <w:rFonts w:hint="eastAsia" w:ascii="宋体" w:hAnsi="宋体" w:cs="仿宋_GB2312"/>
          <w:bCs/>
          <w:sz w:val="32"/>
          <w:szCs w:val="32"/>
          <w:lang w:val="en-US" w:eastAsia="zh-CN"/>
        </w:rPr>
        <w:t>7</w:t>
      </w:r>
      <w:r>
        <w:rPr>
          <w:rFonts w:hint="eastAsia" w:ascii="宋体" w:hAnsi="宋体" w:cs="仿宋_GB2312"/>
          <w:bCs/>
          <w:sz w:val="32"/>
          <w:szCs w:val="32"/>
          <w:lang w:eastAsia="zh-CN"/>
        </w:rPr>
        <w:t>人，专家原则上是在国家应急管理部专家库备案专家或者有参加过国家应急管理部组织督导检查或者危化品重点县指导服务工作经历的专家，专家应涉及安全管理、化工工艺、设备或机械、仪表或自动化等化工相关专业，专家须有中石化、中石油等大型化工企业实践或安全管理工作经验10年以上，应具备高级工程师及以上技术职称）对</w:t>
      </w:r>
      <w:r>
        <w:rPr>
          <w:rFonts w:hint="eastAsia" w:ascii="宋体" w:hAnsi="宋体" w:cs="仿宋_GB2312"/>
          <w:bCs/>
          <w:sz w:val="32"/>
          <w:szCs w:val="32"/>
        </w:rPr>
        <w:t>巴斯夫项目</w:t>
      </w:r>
      <w:r>
        <w:rPr>
          <w:rFonts w:hint="eastAsia" w:ascii="宋体" w:hAnsi="宋体" w:cs="仿宋_GB2312"/>
          <w:bCs/>
          <w:sz w:val="32"/>
          <w:szCs w:val="32"/>
          <w:lang w:eastAsia="zh-CN"/>
        </w:rPr>
        <w:t>开展全面现场检查：一是现场核查，</w:t>
      </w:r>
      <w:r>
        <w:rPr>
          <w:rFonts w:hint="eastAsia" w:ascii="宋体" w:hAnsi="宋体" w:cs="仿宋_GB2312"/>
          <w:bCs/>
          <w:sz w:val="32"/>
          <w:szCs w:val="32"/>
        </w:rPr>
        <w:t>全面核验巴斯夫项目生产装置建设运行、危化品储运管理、公用工程保障、安全应急配套等各项建设落实情况</w:t>
      </w:r>
      <w:r>
        <w:rPr>
          <w:rFonts w:hint="eastAsia" w:ascii="宋体" w:hAnsi="宋体" w:cs="仿宋_GB2312"/>
          <w:bCs/>
          <w:sz w:val="32"/>
          <w:szCs w:val="32"/>
          <w:lang w:eastAsia="zh-CN"/>
        </w:rPr>
        <w:t>；二是申请资料审核，对照《危险化学品生产企业安全生产许可证实施办法》（原国家安全生产监督管理总局令第41号）有关规定对巴斯夫公司向我局提交申领安全生产许可证有关资料进行审核把关；并出具专家组现场核查书面意见（含</w:t>
      </w:r>
      <w:r>
        <w:rPr>
          <w:rFonts w:hint="eastAsia" w:ascii="宋体" w:hAnsi="宋体" w:cs="仿宋_GB2312"/>
          <w:bCs/>
          <w:sz w:val="32"/>
          <w:szCs w:val="32"/>
          <w:lang w:val="en-US" w:eastAsia="zh-CN"/>
        </w:rPr>
        <w:t>专家现场核查问题隐患清单</w:t>
      </w:r>
      <w:r>
        <w:rPr>
          <w:rFonts w:hint="eastAsia" w:ascii="宋体" w:hAnsi="宋体" w:cs="仿宋_GB2312"/>
          <w:bCs/>
          <w:sz w:val="32"/>
          <w:szCs w:val="32"/>
          <w:lang w:eastAsia="zh-CN"/>
        </w:rPr>
        <w:t>）。</w:t>
      </w:r>
    </w:p>
    <w:p w14:paraId="5175BD4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lang w:val="en-US" w:eastAsia="zh-CN"/>
        </w:rPr>
        <w:t>2.</w:t>
      </w:r>
      <w:r>
        <w:rPr>
          <w:rFonts w:hint="eastAsia" w:ascii="宋体" w:hAnsi="宋体" w:cs="仿宋_GB2312"/>
          <w:bCs/>
          <w:sz w:val="32"/>
          <w:szCs w:val="32"/>
        </w:rPr>
        <w:t>隐患整改复查</w:t>
      </w:r>
    </w:p>
    <w:p w14:paraId="399184C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lang w:val="en-US" w:eastAsia="zh-CN"/>
        </w:rPr>
        <w:t>对照</w:t>
      </w:r>
      <w:r>
        <w:rPr>
          <w:rFonts w:hint="eastAsia" w:ascii="宋体" w:hAnsi="宋体" w:cs="仿宋_GB2312"/>
          <w:bCs/>
          <w:sz w:val="32"/>
          <w:szCs w:val="32"/>
        </w:rPr>
        <w:t>《</w:t>
      </w:r>
      <w:r>
        <w:rPr>
          <w:rFonts w:hint="eastAsia" w:ascii="宋体" w:hAnsi="宋体" w:cs="仿宋_GB2312"/>
          <w:bCs/>
          <w:sz w:val="32"/>
          <w:szCs w:val="32"/>
          <w:lang w:eastAsia="zh-CN"/>
        </w:rPr>
        <w:t>专家组现场核查书面意见</w:t>
      </w:r>
      <w:r>
        <w:rPr>
          <w:rFonts w:hint="eastAsia" w:ascii="宋体" w:hAnsi="宋体" w:cs="仿宋_GB2312"/>
          <w:bCs/>
          <w:sz w:val="32"/>
          <w:szCs w:val="32"/>
        </w:rPr>
        <w:t>》</w:t>
      </w:r>
      <w:r>
        <w:rPr>
          <w:rFonts w:hint="eastAsia" w:ascii="宋体" w:hAnsi="宋体" w:cs="仿宋_GB2312"/>
          <w:bCs/>
          <w:sz w:val="32"/>
          <w:szCs w:val="32"/>
          <w:lang w:eastAsia="zh-CN"/>
        </w:rPr>
        <w:t>中的</w:t>
      </w:r>
      <w:r>
        <w:rPr>
          <w:rFonts w:hint="eastAsia" w:ascii="宋体" w:hAnsi="宋体" w:cs="仿宋_GB2312"/>
          <w:bCs/>
          <w:sz w:val="32"/>
          <w:szCs w:val="32"/>
          <w:lang w:val="en-US" w:eastAsia="zh-CN"/>
        </w:rPr>
        <w:t>问题隐患清单</w:t>
      </w:r>
      <w:r>
        <w:rPr>
          <w:rFonts w:hint="eastAsia" w:ascii="宋体" w:hAnsi="宋体" w:cs="仿宋_GB2312"/>
          <w:bCs/>
          <w:sz w:val="32"/>
          <w:szCs w:val="32"/>
          <w:lang w:eastAsia="zh-CN"/>
        </w:rPr>
        <w:t>，组织专家组</w:t>
      </w:r>
      <w:r>
        <w:rPr>
          <w:rFonts w:hint="eastAsia" w:ascii="宋体" w:hAnsi="宋体" w:cs="仿宋_GB2312"/>
          <w:bCs/>
          <w:sz w:val="32"/>
          <w:szCs w:val="32"/>
          <w:lang w:val="en-US" w:eastAsia="zh-CN"/>
        </w:rPr>
        <w:t>对隐患整改整改情况进行</w:t>
      </w:r>
      <w:r>
        <w:rPr>
          <w:rFonts w:hint="eastAsia" w:ascii="宋体" w:hAnsi="宋体" w:cs="仿宋_GB2312"/>
          <w:bCs/>
          <w:sz w:val="32"/>
          <w:szCs w:val="32"/>
        </w:rPr>
        <w:t>逐项复核，从严</w:t>
      </w:r>
      <w:r>
        <w:rPr>
          <w:rFonts w:hint="eastAsia" w:ascii="宋体" w:hAnsi="宋体" w:cs="仿宋_GB2312"/>
          <w:bCs/>
          <w:sz w:val="32"/>
          <w:szCs w:val="32"/>
          <w:lang w:eastAsia="zh-CN"/>
        </w:rPr>
        <w:t>指导关</w:t>
      </w:r>
      <w:r>
        <w:rPr>
          <w:rFonts w:hint="eastAsia" w:ascii="宋体" w:hAnsi="宋体" w:cs="仿宋_GB2312"/>
          <w:bCs/>
          <w:sz w:val="32"/>
          <w:szCs w:val="32"/>
        </w:rPr>
        <w:t>相关隐患</w:t>
      </w:r>
      <w:r>
        <w:rPr>
          <w:rFonts w:hint="eastAsia" w:ascii="宋体" w:hAnsi="宋体" w:cs="仿宋_GB2312"/>
          <w:bCs/>
          <w:sz w:val="32"/>
          <w:szCs w:val="32"/>
          <w:lang w:val="en-US" w:eastAsia="zh-CN"/>
        </w:rPr>
        <w:t>整改情况</w:t>
      </w:r>
      <w:r>
        <w:rPr>
          <w:rFonts w:hint="eastAsia" w:ascii="宋体" w:hAnsi="宋体" w:cs="仿宋_GB2312"/>
          <w:bCs/>
          <w:sz w:val="32"/>
          <w:szCs w:val="32"/>
          <w:lang w:eastAsia="zh-CN"/>
        </w:rPr>
        <w:t>，并出具专家组隐患复查整改落实意见</w:t>
      </w:r>
      <w:r>
        <w:rPr>
          <w:rFonts w:hint="eastAsia" w:ascii="宋体" w:hAnsi="宋体" w:cs="仿宋_GB2312"/>
          <w:bCs/>
          <w:sz w:val="32"/>
          <w:szCs w:val="32"/>
        </w:rPr>
        <w:t>。</w:t>
      </w:r>
    </w:p>
    <w:p w14:paraId="62477B6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lang w:val="en-US" w:eastAsia="zh-CN"/>
        </w:rPr>
        <w:t>3.</w:t>
      </w:r>
      <w:r>
        <w:rPr>
          <w:rFonts w:hint="eastAsia" w:ascii="宋体" w:hAnsi="宋体" w:cs="仿宋_GB2312"/>
          <w:bCs/>
          <w:sz w:val="32"/>
          <w:szCs w:val="32"/>
        </w:rPr>
        <w:t>出具正式</w:t>
      </w:r>
      <w:r>
        <w:rPr>
          <w:rFonts w:hint="eastAsia" w:ascii="宋体" w:hAnsi="宋体" w:cs="仿宋_GB2312"/>
          <w:bCs/>
          <w:sz w:val="32"/>
          <w:szCs w:val="32"/>
          <w:lang w:eastAsia="zh-CN"/>
        </w:rPr>
        <w:t>工作</w:t>
      </w:r>
      <w:r>
        <w:rPr>
          <w:rFonts w:hint="eastAsia" w:ascii="宋体" w:hAnsi="宋体" w:cs="仿宋_GB2312"/>
          <w:bCs/>
          <w:sz w:val="32"/>
          <w:szCs w:val="32"/>
        </w:rPr>
        <w:t>结论意见</w:t>
      </w:r>
    </w:p>
    <w:p w14:paraId="5AC1200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lang w:eastAsia="zh-CN"/>
        </w:rPr>
        <w:t>供应商</w:t>
      </w:r>
      <w:r>
        <w:rPr>
          <w:rFonts w:hint="eastAsia" w:ascii="宋体" w:hAnsi="宋体" w:cs="仿宋_GB2312"/>
          <w:bCs/>
          <w:sz w:val="32"/>
          <w:szCs w:val="32"/>
        </w:rPr>
        <w:t>整合现场</w:t>
      </w:r>
      <w:r>
        <w:rPr>
          <w:rFonts w:hint="eastAsia" w:ascii="宋体" w:hAnsi="宋体" w:cs="仿宋_GB2312"/>
          <w:bCs/>
          <w:sz w:val="32"/>
          <w:szCs w:val="32"/>
          <w:lang w:eastAsia="zh-CN"/>
        </w:rPr>
        <w:t>核</w:t>
      </w:r>
      <w:r>
        <w:rPr>
          <w:rFonts w:hint="eastAsia" w:ascii="宋体" w:hAnsi="宋体" w:cs="仿宋_GB2312"/>
          <w:bCs/>
          <w:sz w:val="32"/>
          <w:szCs w:val="32"/>
        </w:rPr>
        <w:t>查</w:t>
      </w:r>
      <w:r>
        <w:rPr>
          <w:rFonts w:hint="eastAsia" w:ascii="宋体" w:hAnsi="宋体" w:cs="仿宋_GB2312"/>
          <w:bCs/>
          <w:sz w:val="32"/>
          <w:szCs w:val="32"/>
          <w:lang w:eastAsia="zh-CN"/>
        </w:rPr>
        <w:t>和隐患整改复查</w:t>
      </w:r>
      <w:r>
        <w:rPr>
          <w:rFonts w:hint="eastAsia" w:ascii="宋体" w:hAnsi="宋体" w:cs="仿宋_GB2312"/>
          <w:bCs/>
          <w:sz w:val="32"/>
          <w:szCs w:val="32"/>
        </w:rPr>
        <w:t>全部资料，编制</w:t>
      </w:r>
      <w:r>
        <w:rPr>
          <w:rFonts w:hint="eastAsia" w:ascii="宋体" w:hAnsi="宋体" w:cs="仿宋_GB2312"/>
          <w:bCs/>
          <w:sz w:val="32"/>
          <w:szCs w:val="32"/>
          <w:lang w:eastAsia="zh-CN"/>
        </w:rPr>
        <w:t>《</w:t>
      </w:r>
      <w:r>
        <w:rPr>
          <w:rFonts w:hint="eastAsia" w:ascii="宋体" w:hAnsi="宋体" w:cs="仿宋_GB2312"/>
          <w:bCs/>
          <w:sz w:val="32"/>
          <w:szCs w:val="32"/>
          <w:lang w:val="en-US" w:eastAsia="zh-CN"/>
        </w:rPr>
        <w:t>办理巴斯夫一体化基地（广东）有限公司新领安全生产许可证邀请专家现场核查和隐患整改复查项目工作报告</w:t>
      </w:r>
      <w:r>
        <w:rPr>
          <w:rFonts w:hint="eastAsia" w:ascii="宋体" w:hAnsi="宋体" w:cs="仿宋_GB2312"/>
          <w:bCs/>
          <w:sz w:val="32"/>
          <w:szCs w:val="32"/>
          <w:lang w:eastAsia="zh-CN"/>
        </w:rPr>
        <w:t>》</w:t>
      </w:r>
      <w:r>
        <w:rPr>
          <w:rFonts w:hint="eastAsia" w:ascii="宋体" w:hAnsi="宋体" w:cs="仿宋_GB2312"/>
          <w:bCs/>
          <w:sz w:val="32"/>
          <w:szCs w:val="32"/>
        </w:rPr>
        <w:t>，</w:t>
      </w:r>
      <w:r>
        <w:rPr>
          <w:rFonts w:hint="eastAsia" w:ascii="宋体" w:hAnsi="宋体" w:cs="仿宋_GB2312"/>
          <w:bCs/>
          <w:sz w:val="32"/>
          <w:szCs w:val="32"/>
          <w:lang w:val="en-US" w:eastAsia="zh-CN"/>
        </w:rPr>
        <w:t>报告</w:t>
      </w:r>
      <w:r>
        <w:rPr>
          <w:rFonts w:hint="eastAsia" w:ascii="宋体" w:hAnsi="宋体" w:cs="仿宋_GB2312"/>
          <w:bCs/>
          <w:sz w:val="32"/>
          <w:szCs w:val="32"/>
          <w:lang w:eastAsia="zh-CN"/>
        </w:rPr>
        <w:t>须</w:t>
      </w:r>
      <w:r>
        <w:rPr>
          <w:rFonts w:hint="eastAsia" w:ascii="宋体" w:hAnsi="宋体" w:cs="仿宋_GB2312"/>
          <w:bCs/>
          <w:sz w:val="32"/>
          <w:szCs w:val="32"/>
        </w:rPr>
        <w:t>明确给出</w:t>
      </w:r>
      <w:r>
        <w:rPr>
          <w:rFonts w:hint="eastAsia" w:ascii="宋体" w:hAnsi="宋体" w:cs="仿宋_GB2312"/>
          <w:bCs/>
          <w:sz w:val="32"/>
          <w:szCs w:val="32"/>
          <w:lang w:eastAsia="zh-CN"/>
        </w:rPr>
        <w:t>巴斯夫</w:t>
      </w:r>
      <w:r>
        <w:rPr>
          <w:rFonts w:hint="eastAsia" w:ascii="宋体" w:hAnsi="宋体" w:cs="仿宋_GB2312"/>
          <w:bCs/>
          <w:sz w:val="32"/>
          <w:szCs w:val="32"/>
        </w:rPr>
        <w:t>项目是否符合安全生产许可证</w:t>
      </w:r>
      <w:r>
        <w:rPr>
          <w:rFonts w:hint="eastAsia" w:ascii="宋体" w:hAnsi="宋体" w:cs="仿宋_GB2312"/>
          <w:bCs/>
          <w:sz w:val="32"/>
          <w:szCs w:val="32"/>
          <w:lang w:eastAsia="zh-CN"/>
        </w:rPr>
        <w:t>申领</w:t>
      </w:r>
      <w:r>
        <w:rPr>
          <w:rFonts w:hint="eastAsia" w:ascii="宋体" w:hAnsi="宋体" w:cs="仿宋_GB2312"/>
          <w:bCs/>
          <w:sz w:val="32"/>
          <w:szCs w:val="32"/>
        </w:rPr>
        <w:t>条件的确定性结论。</w:t>
      </w:r>
    </w:p>
    <w:p w14:paraId="05465F80">
      <w:pPr>
        <w:ind w:firstLine="643" w:firstLineChars="200"/>
        <w:rPr>
          <w:rFonts w:hint="eastAsia" w:ascii="宋体" w:hAnsi="宋体" w:cs="Times New Roman"/>
          <w:b/>
          <w:bCs/>
          <w:sz w:val="32"/>
          <w:szCs w:val="32"/>
        </w:rPr>
      </w:pPr>
      <w:r>
        <w:rPr>
          <w:rFonts w:hint="eastAsia" w:ascii="宋体" w:hAnsi="宋体" w:cs="仿宋_GB2312"/>
          <w:b/>
          <w:bCs/>
          <w:sz w:val="32"/>
          <w:szCs w:val="32"/>
        </w:rPr>
        <w:t>二、竞价人资格要求</w:t>
      </w:r>
    </w:p>
    <w:p w14:paraId="2F3CB3D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rPr>
        <w:t>（一）具备《中华人民共和国政府采购法》第二十二条规定的条件</w:t>
      </w:r>
      <w:r>
        <w:rPr>
          <w:rFonts w:hint="eastAsia" w:ascii="宋体" w:hAnsi="宋体" w:cs="仿宋_GB2312"/>
          <w:bCs/>
          <w:sz w:val="32"/>
          <w:szCs w:val="32"/>
          <w:lang w:eastAsia="zh-CN"/>
        </w:rPr>
        <w:t>，</w:t>
      </w:r>
      <w:r>
        <w:rPr>
          <w:rFonts w:hint="eastAsia" w:ascii="宋体" w:hAnsi="宋体" w:cs="仿宋_GB2312"/>
          <w:bCs/>
          <w:sz w:val="32"/>
          <w:szCs w:val="32"/>
        </w:rPr>
        <w:t>即：</w:t>
      </w:r>
    </w:p>
    <w:p w14:paraId="5835BA9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rPr>
        <w:t>1、具有独立承担民事责任的能力；</w:t>
      </w:r>
    </w:p>
    <w:p w14:paraId="7858AA8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rPr>
        <w:t>2、具有良好的商业信誉和健全的</w:t>
      </w:r>
      <w:r>
        <w:rPr>
          <w:rFonts w:hint="eastAsia" w:ascii="宋体" w:hAnsi="宋体" w:cs="仿宋_GB2312"/>
          <w:bCs/>
          <w:sz w:val="32"/>
          <w:szCs w:val="32"/>
        </w:rPr>
        <w:fldChar w:fldCharType="begin"/>
      </w:r>
      <w:r>
        <w:rPr>
          <w:rFonts w:hint="eastAsia" w:ascii="宋体" w:hAnsi="宋体" w:cs="仿宋_GB2312"/>
          <w:bCs/>
          <w:sz w:val="32"/>
          <w:szCs w:val="32"/>
        </w:rPr>
        <w:instrText xml:space="preserve"> HYPERLINK "https://www.baidu.com/s?wd=%E8%B4%A2%E5%8A%A1%E4%BC%9A%E8%AE%A1%E5%88%B6%E5%BA%A6&amp;tn=SE_PcZhidaonwhc_ngpagmjz&amp;rsv_dl=gh_pc_zhidao" \t "https://zhidao.baidu.com/question/_blank" </w:instrText>
      </w:r>
      <w:r>
        <w:rPr>
          <w:rFonts w:hint="eastAsia" w:ascii="宋体" w:hAnsi="宋体" w:cs="仿宋_GB2312"/>
          <w:bCs/>
          <w:sz w:val="32"/>
          <w:szCs w:val="32"/>
        </w:rPr>
        <w:fldChar w:fldCharType="separate"/>
      </w:r>
      <w:r>
        <w:rPr>
          <w:rFonts w:hint="eastAsia" w:ascii="宋体" w:hAnsi="宋体" w:cs="仿宋_GB2312"/>
          <w:bCs/>
          <w:sz w:val="32"/>
          <w:szCs w:val="32"/>
        </w:rPr>
        <w:t>财务会计制度</w:t>
      </w:r>
      <w:r>
        <w:rPr>
          <w:rFonts w:hint="eastAsia" w:ascii="宋体" w:hAnsi="宋体" w:cs="仿宋_GB2312"/>
          <w:bCs/>
          <w:sz w:val="32"/>
          <w:szCs w:val="32"/>
        </w:rPr>
        <w:fldChar w:fldCharType="end"/>
      </w:r>
      <w:r>
        <w:rPr>
          <w:rFonts w:hint="eastAsia" w:ascii="宋体" w:hAnsi="宋体" w:cs="仿宋_GB2312"/>
          <w:bCs/>
          <w:sz w:val="32"/>
          <w:szCs w:val="32"/>
        </w:rPr>
        <w:t>；</w:t>
      </w:r>
    </w:p>
    <w:p w14:paraId="02AAAC0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rPr>
        <w:t>3、具有履行合同所必需的设备和专业技术能力；</w:t>
      </w:r>
    </w:p>
    <w:p w14:paraId="2235BC3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rPr>
        <w:t>4、有依法缴纳税收和</w:t>
      </w:r>
      <w:r>
        <w:rPr>
          <w:rFonts w:hint="eastAsia" w:ascii="宋体" w:hAnsi="宋体" w:cs="仿宋_GB2312"/>
          <w:bCs/>
          <w:sz w:val="32"/>
          <w:szCs w:val="32"/>
        </w:rPr>
        <w:fldChar w:fldCharType="begin"/>
      </w:r>
      <w:r>
        <w:rPr>
          <w:rFonts w:hint="eastAsia" w:ascii="宋体" w:hAnsi="宋体" w:cs="仿宋_GB2312"/>
          <w:bCs/>
          <w:sz w:val="32"/>
          <w:szCs w:val="32"/>
        </w:rPr>
        <w:instrText xml:space="preserve"> HYPERLINK "https://www.baidu.com/s?wd=%E7%A4%BE%E4%BC%9A%E4%BF%9D%E9%9A%9C%E8%B5%84%E9%87%91&amp;tn=SE_PcZhidaonwhc_ngpagmjz&amp;rsv_dl=gh_pc_zhidao" \t "https://zhidao.baidu.com/question/_blank" </w:instrText>
      </w:r>
      <w:r>
        <w:rPr>
          <w:rFonts w:hint="eastAsia" w:ascii="宋体" w:hAnsi="宋体" w:cs="仿宋_GB2312"/>
          <w:bCs/>
          <w:sz w:val="32"/>
          <w:szCs w:val="32"/>
        </w:rPr>
        <w:fldChar w:fldCharType="separate"/>
      </w:r>
      <w:r>
        <w:rPr>
          <w:rFonts w:hint="eastAsia" w:ascii="宋体" w:hAnsi="宋体" w:cs="仿宋_GB2312"/>
          <w:bCs/>
          <w:sz w:val="32"/>
          <w:szCs w:val="32"/>
        </w:rPr>
        <w:t>社会保障资金</w:t>
      </w:r>
      <w:r>
        <w:rPr>
          <w:rFonts w:hint="eastAsia" w:ascii="宋体" w:hAnsi="宋体" w:cs="仿宋_GB2312"/>
          <w:bCs/>
          <w:sz w:val="32"/>
          <w:szCs w:val="32"/>
        </w:rPr>
        <w:fldChar w:fldCharType="end"/>
      </w:r>
      <w:r>
        <w:rPr>
          <w:rFonts w:hint="eastAsia" w:ascii="宋体" w:hAnsi="宋体" w:cs="仿宋_GB2312"/>
          <w:bCs/>
          <w:sz w:val="32"/>
          <w:szCs w:val="32"/>
        </w:rPr>
        <w:t>的良好记录；</w:t>
      </w:r>
    </w:p>
    <w:p w14:paraId="366F9F6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rPr>
      </w:pPr>
      <w:r>
        <w:rPr>
          <w:rFonts w:hint="eastAsia" w:ascii="宋体" w:hAnsi="宋体" w:cs="仿宋_GB2312"/>
          <w:bCs/>
          <w:sz w:val="32"/>
          <w:szCs w:val="32"/>
        </w:rPr>
        <w:t>5、参加政府采购活动前三年内，在经营活动中没有重大违法记录；</w:t>
      </w:r>
    </w:p>
    <w:p w14:paraId="59ECCC7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cs="仿宋_GB2312"/>
          <w:bCs/>
          <w:sz w:val="32"/>
          <w:szCs w:val="32"/>
          <w:lang w:eastAsia="zh-CN"/>
        </w:rPr>
      </w:pPr>
      <w:r>
        <w:rPr>
          <w:rFonts w:hint="eastAsia" w:ascii="宋体" w:hAnsi="宋体" w:cs="仿宋_GB2312"/>
          <w:bCs/>
          <w:sz w:val="32"/>
          <w:szCs w:val="32"/>
        </w:rPr>
        <w:t>6、法律、行政法规规定的其他条件。</w:t>
      </w:r>
    </w:p>
    <w:p w14:paraId="35BD504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宋体" w:hAnsi="宋体"/>
        </w:rPr>
      </w:pPr>
      <w:r>
        <w:rPr>
          <w:rFonts w:hint="eastAsia" w:ascii="宋体" w:hAnsi="宋体" w:cs="仿宋_GB2312"/>
          <w:bCs/>
          <w:sz w:val="32"/>
          <w:szCs w:val="32"/>
        </w:rPr>
        <w:t>（二）具备安全评价</w:t>
      </w:r>
      <w:r>
        <w:rPr>
          <w:rFonts w:hint="eastAsia" w:ascii="宋体" w:hAnsi="宋体" w:cs="仿宋_GB2312"/>
          <w:bCs/>
          <w:sz w:val="32"/>
          <w:szCs w:val="32"/>
          <w:lang w:eastAsia="zh-CN"/>
        </w:rPr>
        <w:t>资质或者</w:t>
      </w:r>
      <w:r>
        <w:rPr>
          <w:rFonts w:hint="eastAsia" w:ascii="宋体" w:hAnsi="宋体" w:cs="仿宋_GB2312"/>
          <w:bCs/>
          <w:sz w:val="32"/>
          <w:szCs w:val="32"/>
        </w:rPr>
        <w:t>企业安全生产标准化评审单位</w:t>
      </w:r>
      <w:r>
        <w:rPr>
          <w:rFonts w:hint="eastAsia" w:ascii="宋体" w:hAnsi="宋体" w:cs="仿宋_GB2312"/>
          <w:bCs/>
          <w:sz w:val="32"/>
          <w:szCs w:val="32"/>
          <w:lang w:eastAsia="zh-CN"/>
        </w:rPr>
        <w:t>（或者</w:t>
      </w:r>
      <w:r>
        <w:rPr>
          <w:rFonts w:hint="eastAsia" w:ascii="宋体" w:hAnsi="宋体" w:cs="仿宋_GB2312"/>
          <w:bCs/>
          <w:sz w:val="32"/>
          <w:szCs w:val="32"/>
        </w:rPr>
        <w:t>评审组织单位</w:t>
      </w:r>
      <w:r>
        <w:rPr>
          <w:rFonts w:hint="eastAsia" w:ascii="宋体" w:hAnsi="宋体" w:cs="仿宋_GB2312"/>
          <w:bCs/>
          <w:sz w:val="32"/>
          <w:szCs w:val="32"/>
          <w:lang w:eastAsia="zh-CN"/>
        </w:rPr>
        <w:t>）</w:t>
      </w:r>
      <w:r>
        <w:rPr>
          <w:rFonts w:hint="eastAsia" w:ascii="宋体" w:hAnsi="宋体" w:cs="仿宋_GB2312"/>
          <w:bCs/>
          <w:sz w:val="32"/>
          <w:szCs w:val="32"/>
        </w:rPr>
        <w:t>资质。</w:t>
      </w:r>
    </w:p>
    <w:p w14:paraId="094865A5">
      <w:pPr>
        <w:jc w:val="left"/>
        <w:rPr>
          <w:rFonts w:hint="eastAsia" w:ascii="宋体" w:hAnsi="宋体" w:cs="Times New Roman"/>
          <w:b/>
          <w:bCs/>
          <w:sz w:val="32"/>
          <w:szCs w:val="32"/>
        </w:rPr>
      </w:pPr>
      <w:r>
        <w:rPr>
          <w:rFonts w:hint="eastAsia" w:ascii="宋体" w:hAnsi="宋体" w:cs="宋体"/>
          <w:b/>
          <w:bCs/>
          <w:sz w:val="32"/>
          <w:szCs w:val="32"/>
          <w:lang w:eastAsia="zh-CN"/>
        </w:rPr>
        <w:t>三</w:t>
      </w:r>
      <w:r>
        <w:rPr>
          <w:rFonts w:hint="eastAsia" w:ascii="宋体" w:hAnsi="宋体" w:cs="仿宋_GB2312"/>
          <w:b/>
          <w:bCs/>
          <w:sz w:val="32"/>
          <w:szCs w:val="32"/>
        </w:rPr>
        <w:t>、项目预算和报价要求</w:t>
      </w:r>
    </w:p>
    <w:p w14:paraId="397013DA">
      <w:pPr>
        <w:ind w:firstLine="640" w:firstLineChars="200"/>
        <w:jc w:val="left"/>
        <w:rPr>
          <w:rFonts w:hint="eastAsia" w:ascii="宋体" w:hAnsi="宋体" w:cs="仿宋_GB2312"/>
          <w:sz w:val="32"/>
          <w:szCs w:val="32"/>
        </w:rPr>
      </w:pPr>
      <w:r>
        <w:rPr>
          <w:rFonts w:ascii="宋体" w:hAnsi="宋体" w:cs="仿宋_GB2312"/>
          <w:sz w:val="32"/>
          <w:szCs w:val="32"/>
        </w:rPr>
        <w:t>1.</w:t>
      </w:r>
      <w:r>
        <w:rPr>
          <w:rFonts w:hint="eastAsia" w:ascii="宋体" w:hAnsi="宋体" w:cs="仿宋_GB2312"/>
          <w:sz w:val="32"/>
          <w:szCs w:val="32"/>
        </w:rPr>
        <w:t>本项目预算金额为</w:t>
      </w:r>
      <w:r>
        <w:rPr>
          <w:rFonts w:hint="eastAsia" w:ascii="宋体" w:hAnsi="宋体" w:cs="宋体"/>
          <w:sz w:val="32"/>
          <w:szCs w:val="32"/>
          <w:lang w:val="en-US" w:eastAsia="zh-CN"/>
        </w:rPr>
        <w:t>18</w:t>
      </w:r>
      <w:r>
        <w:rPr>
          <w:rFonts w:hint="eastAsia" w:ascii="宋体" w:hAnsi="宋体" w:cs="仿宋_GB2312"/>
          <w:sz w:val="32"/>
          <w:szCs w:val="32"/>
        </w:rPr>
        <w:t>万元人民币（最高限价）。本次报价以总价报价形式，各竞价人对于本项目所描述的工作任务进行报价，各竞价人应当报出确定金额。</w:t>
      </w:r>
    </w:p>
    <w:p w14:paraId="1BB672C8">
      <w:pPr>
        <w:ind w:firstLine="640" w:firstLineChars="200"/>
        <w:jc w:val="left"/>
        <w:rPr>
          <w:rFonts w:hint="eastAsia" w:ascii="宋体" w:hAnsi="宋体" w:cs="Times New Roman"/>
          <w:sz w:val="32"/>
          <w:szCs w:val="32"/>
        </w:rPr>
      </w:pPr>
      <w:r>
        <w:rPr>
          <w:rFonts w:ascii="宋体" w:hAnsi="宋体" w:cs="仿宋_GB2312"/>
          <w:sz w:val="32"/>
          <w:szCs w:val="32"/>
        </w:rPr>
        <w:t>2.</w:t>
      </w:r>
      <w:r>
        <w:rPr>
          <w:rFonts w:hint="eastAsia" w:ascii="宋体" w:hAnsi="宋体" w:cs="仿宋_GB2312"/>
          <w:sz w:val="32"/>
          <w:szCs w:val="32"/>
        </w:rPr>
        <w:t>竞价人所报价格为项目整体包干价。报价应包括本项目所需全部费用，包括但不限于：</w:t>
      </w:r>
      <w:r>
        <w:rPr>
          <w:rFonts w:hint="eastAsia" w:ascii="宋体" w:hAnsi="宋体" w:cs="仿宋_GB2312"/>
          <w:sz w:val="32"/>
          <w:szCs w:val="32"/>
          <w:lang w:eastAsia="zh-CN"/>
        </w:rPr>
        <w:t>专家</w:t>
      </w:r>
      <w:r>
        <w:rPr>
          <w:rFonts w:hint="eastAsia" w:ascii="宋体" w:hAnsi="宋体" w:cs="仿宋_GB2312"/>
          <w:sz w:val="32"/>
          <w:szCs w:val="32"/>
        </w:rPr>
        <w:t>费、管理费、差旅费等。</w:t>
      </w:r>
    </w:p>
    <w:p w14:paraId="415E1B4D">
      <w:pPr>
        <w:ind w:firstLine="640" w:firstLineChars="200"/>
        <w:jc w:val="left"/>
        <w:rPr>
          <w:rFonts w:hint="eastAsia" w:ascii="宋体" w:hAnsi="宋体" w:cs="仿宋_GB2312"/>
          <w:sz w:val="32"/>
          <w:szCs w:val="32"/>
        </w:rPr>
      </w:pPr>
      <w:r>
        <w:rPr>
          <w:rFonts w:ascii="宋体" w:hAnsi="宋体" w:cs="仿宋_GB2312"/>
          <w:sz w:val="32"/>
          <w:szCs w:val="32"/>
        </w:rPr>
        <w:t>3.</w:t>
      </w:r>
      <w:r>
        <w:rPr>
          <w:rFonts w:hint="eastAsia" w:ascii="宋体" w:hAnsi="宋体" w:cs="仿宋_GB2312"/>
          <w:sz w:val="32"/>
          <w:szCs w:val="32"/>
        </w:rPr>
        <w:t>各竞价人必须自行考虑本项目在实施期间的一切可能发生的费用。在合同执行过程中，采购人将不再另行支付与本项目相关的任何费用。</w:t>
      </w:r>
    </w:p>
    <w:p w14:paraId="524A3F19">
      <w:pPr>
        <w:ind w:firstLine="643" w:firstLineChars="200"/>
        <w:jc w:val="left"/>
        <w:rPr>
          <w:rFonts w:hint="eastAsia" w:ascii="宋体" w:hAnsi="宋体" w:cs="Times New Roman"/>
          <w:b/>
          <w:bCs/>
          <w:sz w:val="32"/>
          <w:szCs w:val="32"/>
        </w:rPr>
      </w:pPr>
      <w:r>
        <w:rPr>
          <w:rFonts w:hint="eastAsia" w:ascii="宋体" w:hAnsi="宋体" w:cs="仿宋_GB2312"/>
          <w:b/>
          <w:bCs/>
          <w:sz w:val="32"/>
          <w:szCs w:val="32"/>
        </w:rPr>
        <w:t>四、服务期限</w:t>
      </w:r>
    </w:p>
    <w:p w14:paraId="05639207">
      <w:pPr>
        <w:ind w:firstLine="640" w:firstLineChars="200"/>
        <w:rPr>
          <w:rFonts w:hint="eastAsia" w:ascii="宋体" w:hAnsi="宋体" w:cs="仿宋"/>
          <w:sz w:val="32"/>
          <w:szCs w:val="32"/>
        </w:rPr>
      </w:pPr>
      <w:r>
        <w:rPr>
          <w:rFonts w:hint="eastAsia" w:ascii="宋体" w:hAnsi="宋体" w:cs="仿宋"/>
          <w:sz w:val="32"/>
          <w:szCs w:val="32"/>
        </w:rPr>
        <w:t>签订合同后至2026年</w:t>
      </w:r>
      <w:r>
        <w:rPr>
          <w:rFonts w:hint="eastAsia" w:ascii="宋体" w:hAnsi="宋体" w:cs="仿宋"/>
          <w:sz w:val="32"/>
          <w:szCs w:val="32"/>
          <w:lang w:val="en-US" w:eastAsia="zh-CN"/>
        </w:rPr>
        <w:t>8</w:t>
      </w:r>
      <w:r>
        <w:rPr>
          <w:rFonts w:hint="eastAsia" w:ascii="宋体" w:hAnsi="宋体" w:cs="仿宋"/>
          <w:sz w:val="32"/>
          <w:szCs w:val="32"/>
        </w:rPr>
        <w:t>月</w:t>
      </w:r>
      <w:r>
        <w:rPr>
          <w:rFonts w:hint="eastAsia" w:ascii="宋体" w:hAnsi="宋体" w:cs="仿宋"/>
          <w:sz w:val="32"/>
          <w:szCs w:val="32"/>
          <w:lang w:val="en-US" w:eastAsia="zh-CN"/>
        </w:rPr>
        <w:t>中旬</w:t>
      </w:r>
      <w:r>
        <w:rPr>
          <w:rFonts w:hint="eastAsia" w:ascii="宋体" w:hAnsi="宋体" w:cs="仿宋"/>
          <w:sz w:val="32"/>
          <w:szCs w:val="32"/>
        </w:rPr>
        <w:t>。</w:t>
      </w:r>
    </w:p>
    <w:p w14:paraId="57E5D841">
      <w:pPr>
        <w:ind w:firstLine="643" w:firstLineChars="200"/>
        <w:jc w:val="left"/>
        <w:rPr>
          <w:rFonts w:hint="eastAsia" w:ascii="宋体" w:hAnsi="宋体" w:cs="Times New Roman"/>
          <w:b/>
          <w:bCs/>
          <w:sz w:val="32"/>
          <w:szCs w:val="32"/>
        </w:rPr>
      </w:pPr>
      <w:r>
        <w:rPr>
          <w:rFonts w:hint="eastAsia" w:ascii="宋体" w:hAnsi="宋体" w:cs="仿宋_GB2312"/>
          <w:b/>
          <w:bCs/>
          <w:sz w:val="32"/>
          <w:szCs w:val="32"/>
        </w:rPr>
        <w:t>五、付款方式</w:t>
      </w:r>
    </w:p>
    <w:p w14:paraId="5261AA30">
      <w:pPr>
        <w:tabs>
          <w:tab w:val="left" w:pos="628"/>
        </w:tabs>
        <w:ind w:firstLine="640" w:firstLineChars="200"/>
        <w:jc w:val="left"/>
        <w:rPr>
          <w:rFonts w:hint="eastAsia" w:ascii="宋体" w:hAnsi="宋体" w:eastAsia="宋体" w:cs="宋体"/>
          <w:sz w:val="32"/>
          <w:szCs w:val="32"/>
          <w:lang w:eastAsia="zh-CN"/>
        </w:rPr>
      </w:pPr>
      <w:r>
        <w:rPr>
          <w:rFonts w:ascii="宋体" w:hAnsi="宋体" w:cs="仿宋_GB2312"/>
          <w:sz w:val="32"/>
          <w:szCs w:val="32"/>
        </w:rPr>
        <w:t>1.</w:t>
      </w:r>
      <w:r>
        <w:rPr>
          <w:rFonts w:hint="eastAsia" w:ascii="宋体" w:hAnsi="宋体" w:cs="仿宋_GB2312"/>
          <w:sz w:val="32"/>
          <w:szCs w:val="32"/>
        </w:rPr>
        <w:t>合同签订后，</w:t>
      </w:r>
      <w:r>
        <w:rPr>
          <w:rFonts w:hint="eastAsia" w:ascii="宋体" w:hAnsi="宋体" w:cs="宋体"/>
          <w:sz w:val="32"/>
          <w:szCs w:val="32"/>
          <w:lang w:val="en-US" w:eastAsia="zh-CN"/>
        </w:rPr>
        <w:t>10</w:t>
      </w:r>
      <w:r>
        <w:rPr>
          <w:rFonts w:hint="eastAsia" w:ascii="宋体" w:hAnsi="宋体" w:cs="宋体"/>
          <w:sz w:val="32"/>
          <w:szCs w:val="32"/>
        </w:rPr>
        <w:t>个工作日内采购人支</w:t>
      </w:r>
      <w:r>
        <w:rPr>
          <w:rFonts w:hint="eastAsia" w:ascii="宋体" w:hAnsi="宋体" w:cs="宋体"/>
          <w:sz w:val="32"/>
          <w:szCs w:val="32"/>
          <w:lang w:eastAsia="zh-CN"/>
        </w:rPr>
        <w:t>付</w:t>
      </w:r>
      <w:r>
        <w:rPr>
          <w:rFonts w:hint="eastAsia" w:ascii="宋体" w:hAnsi="宋体" w:cs="宋体"/>
          <w:sz w:val="32"/>
          <w:szCs w:val="32"/>
        </w:rPr>
        <w:t>成交金额的</w:t>
      </w:r>
      <w:r>
        <w:rPr>
          <w:rFonts w:hint="eastAsia" w:ascii="宋体" w:hAnsi="宋体" w:cs="宋体"/>
          <w:sz w:val="32"/>
          <w:szCs w:val="32"/>
          <w:lang w:val="en-US" w:eastAsia="zh-CN"/>
        </w:rPr>
        <w:t>50</w:t>
      </w:r>
      <w:r>
        <w:rPr>
          <w:rFonts w:hint="eastAsia" w:ascii="宋体" w:hAnsi="宋体" w:cs="宋体"/>
          <w:sz w:val="32"/>
          <w:szCs w:val="32"/>
        </w:rPr>
        <w:t>%做项目首期费用</w:t>
      </w:r>
      <w:r>
        <w:rPr>
          <w:rFonts w:hint="eastAsia" w:ascii="宋体" w:hAnsi="宋体" w:cs="宋体"/>
          <w:sz w:val="32"/>
          <w:szCs w:val="32"/>
          <w:lang w:eastAsia="zh-CN"/>
        </w:rPr>
        <w:t>。</w:t>
      </w:r>
    </w:p>
    <w:p w14:paraId="27A61AEB">
      <w:pPr>
        <w:tabs>
          <w:tab w:val="left" w:pos="628"/>
        </w:tabs>
        <w:ind w:firstLine="640" w:firstLineChars="200"/>
        <w:jc w:val="left"/>
        <w:rPr>
          <w:rFonts w:hint="eastAsia" w:ascii="宋体" w:hAnsi="宋体" w:cs="宋体"/>
          <w:sz w:val="32"/>
          <w:szCs w:val="32"/>
        </w:rPr>
      </w:pPr>
      <w:r>
        <w:rPr>
          <w:rFonts w:hint="eastAsia" w:ascii="宋体" w:hAnsi="宋体" w:cs="宋体"/>
          <w:sz w:val="32"/>
          <w:szCs w:val="32"/>
        </w:rPr>
        <w:t>2.项目完成后，</w:t>
      </w:r>
      <w:r>
        <w:rPr>
          <w:rFonts w:hint="eastAsia" w:ascii="宋体" w:hAnsi="宋体" w:cs="仿宋_GB2312"/>
          <w:sz w:val="32"/>
          <w:szCs w:val="32"/>
        </w:rPr>
        <w:t>双方确认签署“验收报告”，双方依最后验收报告由采购人在</w:t>
      </w:r>
      <w:r>
        <w:rPr>
          <w:rFonts w:hint="eastAsia" w:ascii="宋体" w:hAnsi="宋体" w:cs="仿宋_GB2312"/>
          <w:sz w:val="32"/>
          <w:szCs w:val="32"/>
          <w:lang w:val="en-US" w:eastAsia="zh-CN"/>
        </w:rPr>
        <w:t>10</w:t>
      </w:r>
      <w:r>
        <w:rPr>
          <w:rFonts w:hint="eastAsia" w:ascii="宋体" w:hAnsi="宋体" w:cs="仿宋_GB2312"/>
          <w:sz w:val="32"/>
          <w:szCs w:val="32"/>
        </w:rPr>
        <w:t>个工作日内支付剩余项目金额。</w:t>
      </w:r>
    </w:p>
    <w:p w14:paraId="2A637307">
      <w:pPr>
        <w:tabs>
          <w:tab w:val="left" w:pos="628"/>
        </w:tabs>
        <w:ind w:firstLine="640" w:firstLineChars="200"/>
        <w:jc w:val="left"/>
        <w:rPr>
          <w:rFonts w:hint="eastAsia" w:ascii="宋体" w:hAnsi="宋体" w:cs="仿宋_GB2312"/>
          <w:sz w:val="32"/>
          <w:szCs w:val="32"/>
        </w:rPr>
      </w:pPr>
      <w:r>
        <w:rPr>
          <w:rFonts w:ascii="宋体" w:hAnsi="宋体" w:cs="仿宋_GB2312"/>
          <w:sz w:val="32"/>
          <w:szCs w:val="32"/>
        </w:rPr>
        <w:t>2.</w:t>
      </w:r>
      <w:r>
        <w:rPr>
          <w:rFonts w:hint="eastAsia" w:ascii="宋体" w:hAnsi="宋体" w:cs="仿宋_GB2312"/>
          <w:sz w:val="32"/>
          <w:szCs w:val="32"/>
        </w:rPr>
        <w:t>采购人支付款项时，成交供应商须向采购</w:t>
      </w:r>
      <w:bookmarkStart w:id="3" w:name="_GoBack"/>
      <w:bookmarkEnd w:id="3"/>
      <w:r>
        <w:rPr>
          <w:rFonts w:hint="eastAsia" w:ascii="宋体" w:hAnsi="宋体" w:cs="仿宋_GB2312"/>
          <w:sz w:val="32"/>
          <w:szCs w:val="32"/>
        </w:rPr>
        <w:t>人提供验收资料及有效发票。</w:t>
      </w:r>
    </w:p>
    <w:p w14:paraId="44409C39">
      <w:pPr>
        <w:tabs>
          <w:tab w:val="left" w:pos="628"/>
        </w:tabs>
        <w:jc w:val="left"/>
        <w:rPr>
          <w:rFonts w:hint="eastAsia" w:ascii="宋体" w:hAnsi="宋体" w:cs="Times New Roman"/>
          <w:b/>
          <w:bCs/>
          <w:sz w:val="32"/>
          <w:szCs w:val="32"/>
        </w:rPr>
      </w:pPr>
      <w:r>
        <w:rPr>
          <w:rFonts w:ascii="宋体" w:hAnsi="宋体" w:cs="Times New Roman"/>
          <w:b/>
          <w:bCs/>
          <w:sz w:val="32"/>
          <w:szCs w:val="32"/>
        </w:rPr>
        <w:tab/>
      </w:r>
      <w:r>
        <w:rPr>
          <w:rFonts w:hint="eastAsia" w:ascii="宋体" w:hAnsi="宋体" w:cs="仿宋_GB2312"/>
          <w:b/>
          <w:bCs/>
          <w:sz w:val="32"/>
          <w:szCs w:val="32"/>
        </w:rPr>
        <w:t>六、违约责任</w:t>
      </w:r>
    </w:p>
    <w:p w14:paraId="7DB617E3">
      <w:pPr>
        <w:tabs>
          <w:tab w:val="left" w:pos="728"/>
        </w:tabs>
        <w:jc w:val="left"/>
        <w:rPr>
          <w:rFonts w:hint="eastAsia" w:ascii="宋体" w:hAnsi="宋体" w:cs="Times New Roman"/>
          <w:sz w:val="32"/>
          <w:szCs w:val="32"/>
        </w:rPr>
      </w:pPr>
      <w:r>
        <w:rPr>
          <w:rFonts w:ascii="宋体" w:hAnsi="宋体" w:cs="Times New Roman"/>
          <w:sz w:val="32"/>
          <w:szCs w:val="32"/>
        </w:rPr>
        <w:tab/>
      </w:r>
      <w:r>
        <w:rPr>
          <w:rFonts w:ascii="宋体" w:hAnsi="宋体" w:cs="仿宋_GB2312"/>
          <w:sz w:val="32"/>
          <w:szCs w:val="32"/>
        </w:rPr>
        <w:t>1.</w:t>
      </w:r>
      <w:r>
        <w:rPr>
          <w:rFonts w:hint="eastAsia" w:ascii="宋体" w:hAnsi="宋体" w:cs="仿宋_GB2312"/>
          <w:sz w:val="32"/>
          <w:szCs w:val="32"/>
        </w:rPr>
        <w:t>任何一方不履行合同义务或者履行合同义务不符合约定的，应当承担继续履行、采取补救措施或者赔偿损失等违约责任。</w:t>
      </w:r>
    </w:p>
    <w:p w14:paraId="4DBF4FDB">
      <w:pPr>
        <w:tabs>
          <w:tab w:val="left" w:pos="728"/>
        </w:tabs>
        <w:ind w:firstLine="640"/>
        <w:jc w:val="left"/>
        <w:rPr>
          <w:rFonts w:hint="eastAsia" w:ascii="宋体" w:hAnsi="宋体" w:cs="Times New Roman"/>
          <w:sz w:val="32"/>
          <w:szCs w:val="32"/>
        </w:rPr>
      </w:pPr>
      <w:r>
        <w:rPr>
          <w:rFonts w:ascii="宋体" w:hAnsi="宋体" w:cs="仿宋_GB2312"/>
          <w:sz w:val="32"/>
          <w:szCs w:val="32"/>
        </w:rPr>
        <w:t>2.</w:t>
      </w:r>
      <w:r>
        <w:rPr>
          <w:rFonts w:hint="eastAsia" w:ascii="宋体" w:hAnsi="宋体" w:cs="仿宋_GB2312"/>
          <w:sz w:val="32"/>
          <w:szCs w:val="32"/>
        </w:rPr>
        <w:t>任何一方明确表示或者以自己的行为表明不履行合同义务的，对方可以在履行期限届满之前要求其承担违约责任。</w:t>
      </w:r>
    </w:p>
    <w:p w14:paraId="3F677015">
      <w:pPr>
        <w:tabs>
          <w:tab w:val="left" w:pos="728"/>
        </w:tabs>
        <w:ind w:firstLine="640"/>
        <w:jc w:val="left"/>
        <w:rPr>
          <w:rFonts w:hint="eastAsia" w:ascii="宋体" w:hAnsi="宋体" w:cs="Times New Roman"/>
          <w:b/>
          <w:bCs/>
          <w:sz w:val="32"/>
          <w:szCs w:val="32"/>
        </w:rPr>
      </w:pPr>
      <w:r>
        <w:rPr>
          <w:rFonts w:hint="eastAsia" w:ascii="宋体" w:hAnsi="宋体" w:cs="仿宋_GB2312"/>
          <w:b/>
          <w:bCs/>
          <w:sz w:val="32"/>
          <w:szCs w:val="32"/>
        </w:rPr>
        <w:t>七、解决争议方式</w:t>
      </w:r>
    </w:p>
    <w:p w14:paraId="7E43A234">
      <w:pPr>
        <w:tabs>
          <w:tab w:val="left" w:pos="728"/>
        </w:tabs>
        <w:ind w:firstLine="640"/>
        <w:jc w:val="left"/>
        <w:rPr>
          <w:rFonts w:hint="eastAsia" w:ascii="宋体" w:hAnsi="宋体" w:cs="Times New Roman"/>
          <w:sz w:val="32"/>
          <w:szCs w:val="32"/>
        </w:rPr>
      </w:pPr>
      <w:r>
        <w:rPr>
          <w:rFonts w:ascii="宋体" w:hAnsi="宋体" w:cs="仿宋_GB2312"/>
          <w:sz w:val="32"/>
          <w:szCs w:val="32"/>
        </w:rPr>
        <w:t>1.</w:t>
      </w:r>
      <w:r>
        <w:rPr>
          <w:rFonts w:hint="eastAsia" w:ascii="宋体" w:hAnsi="宋体" w:cs="仿宋_GB2312"/>
          <w:sz w:val="32"/>
          <w:szCs w:val="32"/>
        </w:rPr>
        <w:t>采购合同中如有未尽事宜，双方协商一致后可以签订补充协议，但补充协议不得与法律法规和有关政府采购政策相违背。</w:t>
      </w:r>
    </w:p>
    <w:p w14:paraId="03B29729">
      <w:pPr>
        <w:tabs>
          <w:tab w:val="left" w:pos="728"/>
        </w:tabs>
        <w:ind w:firstLine="640"/>
        <w:jc w:val="left"/>
        <w:rPr>
          <w:rFonts w:hint="eastAsia" w:ascii="宋体" w:hAnsi="宋体" w:cs="仿宋_GB2312"/>
          <w:sz w:val="32"/>
          <w:szCs w:val="32"/>
        </w:rPr>
      </w:pPr>
      <w:r>
        <w:rPr>
          <w:rFonts w:ascii="宋体" w:hAnsi="宋体" w:cs="仿宋_GB2312"/>
          <w:sz w:val="32"/>
          <w:szCs w:val="32"/>
        </w:rPr>
        <w:t>2.</w:t>
      </w:r>
      <w:r>
        <w:rPr>
          <w:rFonts w:hint="eastAsia" w:ascii="宋体" w:hAnsi="宋体" w:cs="仿宋_GB2312"/>
          <w:sz w:val="32"/>
          <w:szCs w:val="32"/>
        </w:rPr>
        <w:t>对于合同履行过程中出现的纠纷，双方应友好协商协商方式解决。协商仍不能解决，任何一方均可向采购方所在地的人民法院提起诉讼解决。</w:t>
      </w:r>
    </w:p>
    <w:p w14:paraId="7E48A539">
      <w:pPr>
        <w:pStyle w:val="12"/>
        <w:rPr>
          <w:rFonts w:hint="eastAsia"/>
        </w:rPr>
      </w:pPr>
    </w:p>
    <w:p w14:paraId="6BF8B837">
      <w:pPr>
        <w:tabs>
          <w:tab w:val="left" w:pos="728"/>
        </w:tabs>
        <w:ind w:firstLine="640"/>
        <w:jc w:val="left"/>
        <w:rPr>
          <w:rFonts w:hint="eastAsia" w:ascii="宋体" w:hAnsi="宋体" w:eastAsia="宋体" w:cs="仿宋_GB2312"/>
          <w:sz w:val="32"/>
          <w:szCs w:val="32"/>
          <w:lang w:eastAsia="zh-CN"/>
        </w:rPr>
      </w:pPr>
      <w:r>
        <w:rPr>
          <w:rFonts w:hint="eastAsia" w:ascii="宋体" w:hAnsi="宋体" w:eastAsia="宋体" w:cs="仿宋_GB2312"/>
          <w:sz w:val="32"/>
          <w:szCs w:val="32"/>
          <w:lang w:eastAsia="zh-CN"/>
        </w:rPr>
        <w:t>附</w:t>
      </w:r>
      <w:r>
        <w:rPr>
          <w:rFonts w:hint="eastAsia" w:ascii="宋体" w:hAnsi="宋体" w:cs="仿宋_GB2312"/>
          <w:sz w:val="32"/>
          <w:szCs w:val="32"/>
          <w:lang w:eastAsia="zh-CN"/>
        </w:rPr>
        <w:t>件</w:t>
      </w:r>
      <w:r>
        <w:rPr>
          <w:rFonts w:hint="eastAsia" w:ascii="宋体" w:hAnsi="宋体" w:eastAsia="宋体" w:cs="仿宋_GB2312"/>
          <w:sz w:val="32"/>
          <w:szCs w:val="32"/>
          <w:lang w:eastAsia="zh-CN"/>
        </w:rPr>
        <w:t>：</w:t>
      </w:r>
      <w:r>
        <w:rPr>
          <w:rFonts w:hint="eastAsia" w:ascii="宋体" w:hAnsi="宋体" w:cs="仿宋_GB2312"/>
          <w:sz w:val="32"/>
          <w:szCs w:val="32"/>
          <w:lang w:val="en-US" w:eastAsia="zh-CN"/>
        </w:rPr>
        <w:t>1.</w:t>
      </w:r>
      <w:r>
        <w:rPr>
          <w:rFonts w:hint="eastAsia" w:ascii="宋体" w:hAnsi="宋体" w:eastAsia="宋体" w:cs="仿宋_GB2312"/>
          <w:sz w:val="32"/>
          <w:szCs w:val="32"/>
        </w:rPr>
        <w:t>评审方法及标准表</w:t>
      </w:r>
      <w:r>
        <w:rPr>
          <w:rFonts w:hint="eastAsia" w:ascii="宋体" w:hAnsi="宋体" w:eastAsia="宋体" w:cs="仿宋_GB2312"/>
          <w:sz w:val="32"/>
          <w:szCs w:val="32"/>
          <w:lang w:eastAsia="zh-CN"/>
        </w:rPr>
        <w:t>。</w:t>
      </w:r>
    </w:p>
    <w:p w14:paraId="1B030730">
      <w:pPr>
        <w:pStyle w:val="12"/>
        <w:ind w:firstLine="1600" w:firstLineChars="500"/>
        <w:rPr>
          <w:rFonts w:hint="default"/>
          <w:lang w:val="en-US" w:eastAsia="zh-CN"/>
        </w:rPr>
      </w:pPr>
      <w:r>
        <w:rPr>
          <w:rFonts w:hint="eastAsia" w:ascii="宋体" w:hAnsi="宋体" w:eastAsia="宋体" w:cs="仿宋_GB2312"/>
          <w:sz w:val="32"/>
          <w:szCs w:val="32"/>
          <w:lang w:val="en-US" w:eastAsia="zh-CN"/>
        </w:rPr>
        <w:t>2.巴斯夫一体化项目生产装置储运设施汇总表。</w:t>
      </w:r>
    </w:p>
    <w:p w14:paraId="57962967">
      <w:pPr>
        <w:tabs>
          <w:tab w:val="left" w:pos="728"/>
        </w:tabs>
        <w:ind w:firstLine="640"/>
        <w:jc w:val="left"/>
        <w:rPr>
          <w:rFonts w:hint="eastAsia" w:ascii="宋体" w:hAnsi="宋体" w:cs="仿宋_GB2312"/>
          <w:sz w:val="32"/>
          <w:szCs w:val="32"/>
        </w:rPr>
      </w:pPr>
    </w:p>
    <w:p w14:paraId="75332E3C">
      <w:pPr>
        <w:tabs>
          <w:tab w:val="left" w:pos="728"/>
        </w:tabs>
        <w:ind w:firstLine="640"/>
        <w:jc w:val="left"/>
        <w:rPr>
          <w:rFonts w:hint="eastAsia" w:ascii="宋体" w:hAnsi="宋体" w:cs="仿宋_GB2312"/>
          <w:sz w:val="32"/>
          <w:szCs w:val="32"/>
        </w:rPr>
      </w:pPr>
    </w:p>
    <w:p w14:paraId="5AD9EED5">
      <w:pPr>
        <w:tabs>
          <w:tab w:val="left" w:pos="728"/>
        </w:tabs>
        <w:ind w:firstLine="640"/>
        <w:jc w:val="left"/>
        <w:rPr>
          <w:rFonts w:hint="eastAsia" w:ascii="宋体" w:hAnsi="宋体" w:cs="仿宋_GB2312"/>
          <w:sz w:val="32"/>
          <w:szCs w:val="32"/>
        </w:rPr>
      </w:pPr>
    </w:p>
    <w:p w14:paraId="45556664">
      <w:pPr>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湛江市应急管理局</w:t>
      </w:r>
    </w:p>
    <w:p w14:paraId="7A913385">
      <w:pPr>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年</w:t>
      </w:r>
      <w:r>
        <w:rPr>
          <w:rFonts w:hint="eastAsia" w:asciiTheme="minorEastAsia" w:hAnsiTheme="minorEastAsia" w:eastAsiaTheme="minorEastAsia" w:cstheme="minorEastAsia"/>
          <w:sz w:val="32"/>
          <w:szCs w:val="32"/>
          <w:lang w:val="en-US" w:eastAsia="zh-CN"/>
        </w:rPr>
        <w:t>7</w:t>
      </w:r>
      <w:r>
        <w:rPr>
          <w:rFonts w:hint="eastAsia" w:asciiTheme="minorEastAsia" w:hAnsiTheme="minorEastAsia" w:eastAsiaTheme="minorEastAsia" w:cstheme="minorEastAsia"/>
          <w:sz w:val="32"/>
          <w:szCs w:val="32"/>
        </w:rPr>
        <w:t>月</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日</w:t>
      </w:r>
    </w:p>
    <w:p w14:paraId="4E79AACA">
      <w:pPr>
        <w:jc w:val="right"/>
        <w:rPr>
          <w:rFonts w:hint="eastAsia" w:asciiTheme="minorEastAsia" w:hAnsiTheme="minorEastAsia" w:eastAsiaTheme="minorEastAsia" w:cstheme="minorEastAsia"/>
          <w:sz w:val="32"/>
          <w:szCs w:val="32"/>
        </w:rPr>
      </w:pPr>
    </w:p>
    <w:p w14:paraId="53389CA1">
      <w:pPr>
        <w:pStyle w:val="12"/>
        <w:rPr>
          <w:rFonts w:hint="eastAsia" w:asciiTheme="minorEastAsia" w:hAnsiTheme="minorEastAsia" w:eastAsiaTheme="minorEastAsia" w:cstheme="minorEastAsia"/>
          <w:sz w:val="32"/>
          <w:szCs w:val="32"/>
        </w:rPr>
      </w:pPr>
    </w:p>
    <w:p w14:paraId="31566003">
      <w:pPr>
        <w:rPr>
          <w:rFonts w:hint="eastAsia" w:asciiTheme="minorEastAsia" w:hAnsiTheme="minorEastAsia" w:eastAsiaTheme="minorEastAsia" w:cstheme="minorEastAsia"/>
          <w:sz w:val="32"/>
          <w:szCs w:val="32"/>
        </w:rPr>
      </w:pPr>
    </w:p>
    <w:p w14:paraId="66DDF6A0">
      <w:pPr>
        <w:pStyle w:val="12"/>
        <w:rPr>
          <w:rFonts w:hint="eastAsia" w:asciiTheme="minorEastAsia" w:hAnsiTheme="minorEastAsia" w:eastAsiaTheme="minorEastAsia" w:cstheme="minorEastAsia"/>
          <w:sz w:val="32"/>
          <w:szCs w:val="32"/>
        </w:rPr>
      </w:pPr>
    </w:p>
    <w:p w14:paraId="3B522B1B">
      <w:pPr>
        <w:rPr>
          <w:rFonts w:hint="eastAsia" w:asciiTheme="minorEastAsia" w:hAnsiTheme="minorEastAsia" w:eastAsiaTheme="minorEastAsia" w:cstheme="minorEastAsia"/>
          <w:sz w:val="32"/>
          <w:szCs w:val="32"/>
        </w:rPr>
      </w:pPr>
    </w:p>
    <w:p w14:paraId="73AF4637">
      <w:pPr>
        <w:pStyle w:val="12"/>
        <w:rPr>
          <w:rFonts w:hint="eastAsia" w:asciiTheme="minorEastAsia" w:hAnsiTheme="minorEastAsia" w:eastAsiaTheme="minorEastAsia" w:cstheme="minorEastAsia"/>
          <w:sz w:val="32"/>
          <w:szCs w:val="32"/>
        </w:rPr>
      </w:pPr>
    </w:p>
    <w:p w14:paraId="361C219B">
      <w:pPr>
        <w:pStyle w:val="12"/>
        <w:rPr>
          <w:rFonts w:hint="eastAsia" w:asciiTheme="minorEastAsia" w:hAnsiTheme="minorEastAsia" w:eastAsiaTheme="minorEastAsia" w:cstheme="minorEastAsia"/>
          <w:sz w:val="32"/>
          <w:szCs w:val="32"/>
        </w:rPr>
      </w:pPr>
    </w:p>
    <w:p w14:paraId="51B5E54D">
      <w:pPr>
        <w:adjustRightInd w:val="0"/>
        <w:snapToGrid w:val="0"/>
        <w:spacing w:before="156" w:beforeLines="50" w:line="360" w:lineRule="auto"/>
        <w:jc w:val="left"/>
        <w:rPr>
          <w:rFonts w:hint="eastAsia" w:asciiTheme="minorEastAsia" w:hAnsiTheme="minorEastAsia" w:eastAsiaTheme="minorEastAsia" w:cstheme="minorEastAsia"/>
          <w:b w:val="0"/>
          <w:bCs/>
          <w:color w:val="000000" w:themeColor="text1"/>
          <w:sz w:val="30"/>
          <w:szCs w:val="30"/>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30"/>
          <w:szCs w:val="30"/>
          <w:lang w:eastAsia="zh-CN"/>
          <w14:textFill>
            <w14:solidFill>
              <w14:schemeClr w14:val="tx1"/>
            </w14:solidFill>
          </w14:textFill>
        </w:rPr>
        <w:t>附件</w:t>
      </w:r>
      <w:r>
        <w:rPr>
          <w:rFonts w:hint="eastAsia" w:asciiTheme="minorEastAsia" w:hAnsiTheme="minorEastAsia" w:eastAsiaTheme="minorEastAsia" w:cstheme="minorEastAsia"/>
          <w:b w:val="0"/>
          <w:bCs/>
          <w:color w:val="000000" w:themeColor="text1"/>
          <w:sz w:val="30"/>
          <w:szCs w:val="30"/>
          <w:lang w:val="en-US" w:eastAsia="zh-CN"/>
          <w14:textFill>
            <w14:solidFill>
              <w14:schemeClr w14:val="tx1"/>
            </w14:solidFill>
          </w14:textFill>
        </w:rPr>
        <w:t>1</w:t>
      </w:r>
    </w:p>
    <w:p w14:paraId="29790B53">
      <w:pPr>
        <w:adjustRightInd w:val="0"/>
        <w:snapToGrid w:val="0"/>
        <w:spacing w:before="156" w:beforeLines="50" w:line="360" w:lineRule="auto"/>
        <w:jc w:val="center"/>
        <w:rPr>
          <w:rFonts w:hint="eastAsia" w:ascii="方正小标宋简体" w:hAnsi="方正小标宋简体" w:eastAsia="方正小标宋简体" w:cs="方正小标宋简体"/>
          <w:b w:val="0"/>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36"/>
          <w:szCs w:val="36"/>
          <w14:textFill>
            <w14:solidFill>
              <w14:schemeClr w14:val="tx1"/>
            </w14:solidFill>
          </w14:textFill>
        </w:rPr>
        <w:t>评审方法及标准表</w:t>
      </w:r>
    </w:p>
    <w:p w14:paraId="19C46F3A">
      <w:pPr>
        <w:adjustRightInd w:val="0"/>
        <w:snapToGrid w:val="0"/>
        <w:spacing w:before="156" w:beforeLines="50"/>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1.评分细则</w:t>
      </w:r>
    </w:p>
    <w:tbl>
      <w:tblPr>
        <w:tblStyle w:val="8"/>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2139"/>
        <w:gridCol w:w="6564"/>
      </w:tblGrid>
      <w:tr w14:paraId="5055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094" w:type="dxa"/>
            <w:gridSpan w:val="3"/>
            <w:vAlign w:val="center"/>
          </w:tcPr>
          <w:p w14:paraId="5C34CC68">
            <w:pPr>
              <w:snapToGrid w:val="0"/>
              <w:jc w:val="center"/>
              <w:rPr>
                <w:rFonts w:asci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综合评分法</w:t>
            </w:r>
          </w:p>
        </w:tc>
      </w:tr>
      <w:tr w14:paraId="4B3E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91" w:type="dxa"/>
            <w:vAlign w:val="center"/>
          </w:tcPr>
          <w:p w14:paraId="073C4F42">
            <w:pPr>
              <w:jc w:val="center"/>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序号</w:t>
            </w:r>
          </w:p>
        </w:tc>
        <w:tc>
          <w:tcPr>
            <w:tcW w:w="2139" w:type="dxa"/>
            <w:vAlign w:val="center"/>
          </w:tcPr>
          <w:p w14:paraId="0965341F">
            <w:pPr>
              <w:snapToGrid w:val="0"/>
              <w:ind w:left="-283" w:leftChars="-135" w:right="-483" w:rightChars="-230" w:firstLine="1" w:firstLineChars="0"/>
              <w:jc w:val="center"/>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评审因素</w:t>
            </w:r>
          </w:p>
        </w:tc>
        <w:tc>
          <w:tcPr>
            <w:tcW w:w="6564" w:type="dxa"/>
            <w:vAlign w:val="center"/>
          </w:tcPr>
          <w:p w14:paraId="04087259">
            <w:pPr>
              <w:snapToGrid w:val="0"/>
              <w:ind w:left="-283" w:leftChars="-135" w:right="-483" w:rightChars="-230" w:firstLine="1" w:firstLineChars="0"/>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权值</w:t>
            </w:r>
          </w:p>
        </w:tc>
      </w:tr>
      <w:tr w14:paraId="3213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91" w:type="dxa"/>
            <w:vAlign w:val="center"/>
          </w:tcPr>
          <w:p w14:paraId="7E7C3736">
            <w:pPr>
              <w:jc w:val="center"/>
              <w:rPr>
                <w:rFonts w:ascii="宋体" w:cs="宋体"/>
                <w:b/>
                <w:bCs/>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1</w:t>
            </w:r>
          </w:p>
        </w:tc>
        <w:tc>
          <w:tcPr>
            <w:tcW w:w="2139" w:type="dxa"/>
            <w:vAlign w:val="center"/>
          </w:tcPr>
          <w:p w14:paraId="7F684A34">
            <w:pPr>
              <w:snapToGrid w:val="0"/>
              <w:ind w:left="-283" w:leftChars="-135" w:right="-483" w:rightChars="-230" w:firstLine="1" w:firstLineChars="0"/>
              <w:jc w:val="center"/>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报价部分</w:t>
            </w:r>
          </w:p>
        </w:tc>
        <w:tc>
          <w:tcPr>
            <w:tcW w:w="6564" w:type="dxa"/>
            <w:vAlign w:val="center"/>
          </w:tcPr>
          <w:p w14:paraId="7A35EAA6">
            <w:pPr>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0</w:t>
            </w:r>
            <w:r>
              <w:rPr>
                <w:rFonts w:ascii="宋体" w:hAnsi="宋体" w:cs="宋体"/>
                <w:color w:val="000000" w:themeColor="text1"/>
                <w:szCs w:val="21"/>
                <w14:textFill>
                  <w14:solidFill>
                    <w14:schemeClr w14:val="tx1"/>
                  </w14:solidFill>
                </w14:textFill>
              </w:rPr>
              <w:t>%</w:t>
            </w:r>
          </w:p>
        </w:tc>
      </w:tr>
      <w:tr w14:paraId="3C2F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91" w:type="dxa"/>
            <w:vAlign w:val="center"/>
          </w:tcPr>
          <w:p w14:paraId="2F0311F4">
            <w:pPr>
              <w:jc w:val="center"/>
              <w:rPr>
                <w:rFonts w:ascii="宋体" w:cs="宋体"/>
                <w:b/>
                <w:bCs/>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2</w:t>
            </w:r>
          </w:p>
        </w:tc>
        <w:tc>
          <w:tcPr>
            <w:tcW w:w="2139" w:type="dxa"/>
            <w:vAlign w:val="center"/>
          </w:tcPr>
          <w:p w14:paraId="3C9CC6D6">
            <w:pPr>
              <w:snapToGrid w:val="0"/>
              <w:ind w:left="-283" w:leftChars="-135" w:right="-483" w:rightChars="-230" w:firstLine="1" w:firstLineChars="0"/>
              <w:jc w:val="center"/>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商务部分</w:t>
            </w:r>
          </w:p>
        </w:tc>
        <w:tc>
          <w:tcPr>
            <w:tcW w:w="6564" w:type="dxa"/>
            <w:vAlign w:val="center"/>
          </w:tcPr>
          <w:p w14:paraId="218B565D">
            <w:pPr>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50</w:t>
            </w:r>
            <w:r>
              <w:rPr>
                <w:rFonts w:ascii="宋体" w:hAnsi="宋体" w:cs="宋体"/>
                <w:color w:val="000000" w:themeColor="text1"/>
                <w:szCs w:val="21"/>
                <w14:textFill>
                  <w14:solidFill>
                    <w14:schemeClr w14:val="tx1"/>
                  </w14:solidFill>
                </w14:textFill>
              </w:rPr>
              <w:t>%</w:t>
            </w:r>
          </w:p>
        </w:tc>
      </w:tr>
      <w:tr w14:paraId="7259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91" w:type="dxa"/>
            <w:vAlign w:val="center"/>
          </w:tcPr>
          <w:p w14:paraId="7D76FDA4">
            <w:pPr>
              <w:jc w:val="center"/>
              <w:rPr>
                <w:rFonts w:ascii="宋体" w:hAnsi="宋体" w:cs="宋体"/>
                <w:b/>
                <w:bCs/>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3</w:t>
            </w:r>
          </w:p>
        </w:tc>
        <w:tc>
          <w:tcPr>
            <w:tcW w:w="2139" w:type="dxa"/>
            <w:vAlign w:val="center"/>
          </w:tcPr>
          <w:p w14:paraId="405E4B03">
            <w:pPr>
              <w:snapToGrid w:val="0"/>
              <w:ind w:left="-283" w:leftChars="-135" w:right="-483" w:rightChars="-230" w:firstLine="1" w:firstLineChars="0"/>
              <w:jc w:val="center"/>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技术部分</w:t>
            </w:r>
          </w:p>
        </w:tc>
        <w:tc>
          <w:tcPr>
            <w:tcW w:w="6564" w:type="dxa"/>
            <w:vAlign w:val="center"/>
          </w:tcPr>
          <w:p w14:paraId="1208749A">
            <w:pPr>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40</w:t>
            </w:r>
            <w:r>
              <w:rPr>
                <w:rFonts w:ascii="宋体" w:hAnsi="宋体" w:cs="宋体"/>
                <w:color w:val="000000" w:themeColor="text1"/>
                <w:szCs w:val="21"/>
                <w14:textFill>
                  <w14:solidFill>
                    <w14:schemeClr w14:val="tx1"/>
                  </w14:solidFill>
                </w14:textFill>
              </w:rPr>
              <w:t>%</w:t>
            </w:r>
          </w:p>
        </w:tc>
      </w:tr>
    </w:tbl>
    <w:p w14:paraId="2131BCD1">
      <w:pPr>
        <w:adjustRightInd w:val="0"/>
        <w:snapToGrid w:val="0"/>
        <w:spacing w:line="360" w:lineRule="auto"/>
        <w:jc w:val="center"/>
        <w:outlineLvl w:val="0"/>
        <w:rPr>
          <w:rFonts w:ascii="宋体" w:hAnsi="宋体"/>
          <w:b/>
          <w:color w:val="000000" w:themeColor="text1"/>
          <w:szCs w:val="21"/>
          <w14:textFill>
            <w14:solidFill>
              <w14:schemeClr w14:val="tx1"/>
            </w14:solidFill>
          </w14:textFill>
        </w:rPr>
      </w:pPr>
      <w:bookmarkStart w:id="0" w:name="_Toc96615835"/>
      <w:bookmarkStart w:id="1" w:name="_Toc119401541"/>
      <w:bookmarkStart w:id="2" w:name="_Toc96616009"/>
      <w:r>
        <w:rPr>
          <w:rFonts w:hint="eastAsia" w:ascii="宋体" w:hAnsi="宋体"/>
          <w:b/>
          <w:color w:val="000000" w:themeColor="text1"/>
          <w:szCs w:val="21"/>
          <w14:textFill>
            <w14:solidFill>
              <w14:schemeClr w14:val="tx1"/>
            </w14:solidFill>
          </w14:textFill>
        </w:rPr>
        <w:t>2.评分标准</w:t>
      </w:r>
      <w:bookmarkEnd w:id="0"/>
      <w:bookmarkEnd w:id="1"/>
      <w:bookmarkEnd w:id="2"/>
    </w:p>
    <w:tbl>
      <w:tblPr>
        <w:tblStyle w:val="8"/>
        <w:tblW w:w="1003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14"/>
        <w:gridCol w:w="1536"/>
        <w:gridCol w:w="960"/>
        <w:gridCol w:w="5829"/>
      </w:tblGrid>
      <w:tr w14:paraId="181B9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 w:hRule="atLeast"/>
          <w:jc w:val="center"/>
        </w:trPr>
        <w:tc>
          <w:tcPr>
            <w:tcW w:w="3250" w:type="dxa"/>
            <w:gridSpan w:val="2"/>
            <w:tcBorders>
              <w:top w:val="single" w:color="auto" w:sz="4" w:space="0"/>
              <w:left w:val="single" w:color="auto" w:sz="4" w:space="0"/>
              <w:bottom w:val="single" w:color="auto" w:sz="4" w:space="0"/>
              <w:right w:val="single" w:color="auto" w:sz="4" w:space="0"/>
            </w:tcBorders>
            <w:vAlign w:val="center"/>
          </w:tcPr>
          <w:p w14:paraId="12684CDE">
            <w:pPr>
              <w:spacing w:line="240" w:lineRule="exact"/>
              <w:jc w:val="center"/>
              <w:rPr>
                <w:rFonts w:ascii="宋体" w:hAnsi="宋体"/>
                <w:b/>
                <w:bCs/>
                <w:color w:val="auto"/>
                <w:szCs w:val="21"/>
              </w:rPr>
            </w:pPr>
            <w:r>
              <w:rPr>
                <w:rFonts w:hint="eastAsia" w:ascii="宋体" w:hAnsi="宋体"/>
                <w:b/>
                <w:bCs/>
                <w:color w:val="auto"/>
                <w:szCs w:val="21"/>
              </w:rPr>
              <w:t>评审因素</w:t>
            </w:r>
          </w:p>
        </w:tc>
        <w:tc>
          <w:tcPr>
            <w:tcW w:w="960" w:type="dxa"/>
            <w:tcBorders>
              <w:top w:val="single" w:color="auto" w:sz="4" w:space="0"/>
              <w:left w:val="single" w:color="auto" w:sz="4" w:space="0"/>
              <w:bottom w:val="single" w:color="auto" w:sz="4" w:space="0"/>
              <w:right w:val="single" w:color="auto" w:sz="4" w:space="0"/>
            </w:tcBorders>
            <w:vAlign w:val="center"/>
          </w:tcPr>
          <w:p w14:paraId="456950A8">
            <w:pPr>
              <w:spacing w:line="240" w:lineRule="exact"/>
              <w:jc w:val="center"/>
              <w:rPr>
                <w:rFonts w:ascii="宋体" w:hAnsi="宋体"/>
                <w:b/>
                <w:bCs/>
                <w:color w:val="auto"/>
                <w:szCs w:val="21"/>
              </w:rPr>
            </w:pPr>
            <w:r>
              <w:rPr>
                <w:rFonts w:hint="eastAsia" w:ascii="宋体" w:hAnsi="宋体"/>
                <w:b/>
                <w:bCs/>
                <w:color w:val="auto"/>
                <w:szCs w:val="21"/>
              </w:rPr>
              <w:t>权值</w:t>
            </w:r>
          </w:p>
        </w:tc>
        <w:tc>
          <w:tcPr>
            <w:tcW w:w="5829" w:type="dxa"/>
            <w:tcBorders>
              <w:top w:val="single" w:color="auto" w:sz="4" w:space="0"/>
              <w:left w:val="single" w:color="auto" w:sz="4" w:space="0"/>
              <w:bottom w:val="single" w:color="auto" w:sz="4" w:space="0"/>
              <w:right w:val="single" w:color="auto" w:sz="4" w:space="0"/>
            </w:tcBorders>
            <w:vAlign w:val="center"/>
          </w:tcPr>
          <w:p w14:paraId="6A8BB58A">
            <w:pPr>
              <w:spacing w:line="240" w:lineRule="exact"/>
              <w:jc w:val="center"/>
              <w:rPr>
                <w:rFonts w:ascii="宋体" w:hAnsi="宋体"/>
                <w:b/>
                <w:bCs/>
                <w:color w:val="auto"/>
                <w:szCs w:val="21"/>
              </w:rPr>
            </w:pPr>
            <w:r>
              <w:rPr>
                <w:rFonts w:hint="eastAsia" w:ascii="宋体" w:hAnsi="宋体"/>
                <w:b/>
                <w:bCs/>
                <w:color w:val="auto"/>
                <w:szCs w:val="21"/>
              </w:rPr>
              <w:t>评分标准</w:t>
            </w:r>
          </w:p>
        </w:tc>
      </w:tr>
      <w:tr w14:paraId="5F0F64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1" w:hRule="atLeast"/>
          <w:jc w:val="center"/>
        </w:trPr>
        <w:tc>
          <w:tcPr>
            <w:tcW w:w="1714" w:type="dxa"/>
            <w:tcBorders>
              <w:top w:val="single" w:color="auto" w:sz="4" w:space="0"/>
              <w:left w:val="single" w:color="auto" w:sz="4" w:space="0"/>
              <w:bottom w:val="single" w:color="auto" w:sz="4" w:space="0"/>
              <w:right w:val="single" w:color="auto" w:sz="4" w:space="0"/>
            </w:tcBorders>
            <w:vAlign w:val="center"/>
          </w:tcPr>
          <w:p w14:paraId="0BFE2065">
            <w:pPr>
              <w:jc w:val="center"/>
              <w:rPr>
                <w:rFonts w:ascii="宋体" w:hAnsi="宋体" w:cs="宋体"/>
                <w:color w:val="auto"/>
                <w:szCs w:val="21"/>
              </w:rPr>
            </w:pPr>
            <w:r>
              <w:rPr>
                <w:rFonts w:hint="eastAsia" w:ascii="宋体" w:hAnsi="宋体" w:cs="宋体"/>
                <w:color w:val="auto"/>
                <w:szCs w:val="21"/>
              </w:rPr>
              <w:t>价格（</w:t>
            </w:r>
            <w:r>
              <w:rPr>
                <w:rFonts w:hint="eastAsia" w:ascii="宋体" w:hAnsi="宋体" w:cs="宋体"/>
                <w:color w:val="auto"/>
                <w:szCs w:val="21"/>
                <w:lang w:val="en-US" w:eastAsia="zh-CN"/>
              </w:rPr>
              <w:t>1</w:t>
            </w:r>
            <w:r>
              <w:rPr>
                <w:rFonts w:hint="eastAsia" w:ascii="宋体" w:hAnsi="宋体" w:cs="宋体"/>
                <w:color w:val="auto"/>
                <w:szCs w:val="21"/>
              </w:rPr>
              <w:t>0分）</w:t>
            </w:r>
          </w:p>
        </w:tc>
        <w:tc>
          <w:tcPr>
            <w:tcW w:w="1536" w:type="dxa"/>
            <w:tcBorders>
              <w:top w:val="single" w:color="auto" w:sz="4" w:space="0"/>
              <w:left w:val="single" w:color="auto" w:sz="4" w:space="0"/>
              <w:bottom w:val="single" w:color="auto" w:sz="4" w:space="0"/>
              <w:right w:val="single" w:color="auto" w:sz="4" w:space="0"/>
            </w:tcBorders>
            <w:vAlign w:val="center"/>
          </w:tcPr>
          <w:p w14:paraId="182C30CD">
            <w:pPr>
              <w:jc w:val="center"/>
              <w:rPr>
                <w:rFonts w:ascii="宋体" w:hAnsi="宋体" w:cs="宋体"/>
                <w:color w:val="auto"/>
                <w:szCs w:val="21"/>
              </w:rPr>
            </w:pPr>
            <w:r>
              <w:rPr>
                <w:rFonts w:hint="eastAsia" w:ascii="宋体" w:hAnsi="宋体" w:cs="宋体"/>
                <w:color w:val="auto"/>
                <w:szCs w:val="21"/>
              </w:rPr>
              <w:t>投标报价</w:t>
            </w:r>
          </w:p>
        </w:tc>
        <w:tc>
          <w:tcPr>
            <w:tcW w:w="960" w:type="dxa"/>
            <w:tcBorders>
              <w:top w:val="single" w:color="auto" w:sz="4" w:space="0"/>
              <w:left w:val="single" w:color="auto" w:sz="4" w:space="0"/>
              <w:bottom w:val="single" w:color="auto" w:sz="4" w:space="0"/>
              <w:right w:val="single" w:color="auto" w:sz="4" w:space="0"/>
            </w:tcBorders>
            <w:vAlign w:val="center"/>
          </w:tcPr>
          <w:p w14:paraId="618916E1">
            <w:pPr>
              <w:jc w:val="center"/>
              <w:rPr>
                <w:rFonts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0分</w:t>
            </w:r>
          </w:p>
        </w:tc>
        <w:tc>
          <w:tcPr>
            <w:tcW w:w="5829" w:type="dxa"/>
            <w:tcBorders>
              <w:top w:val="single" w:color="auto" w:sz="4" w:space="0"/>
              <w:left w:val="single" w:color="auto" w:sz="4" w:space="0"/>
              <w:bottom w:val="single" w:color="auto" w:sz="4" w:space="0"/>
              <w:right w:val="single" w:color="auto" w:sz="4" w:space="0"/>
            </w:tcBorders>
            <w:vAlign w:val="center"/>
          </w:tcPr>
          <w:p w14:paraId="594C0BB6">
            <w:pPr>
              <w:adjustRightInd w:val="0"/>
              <w:snapToGrid w:val="0"/>
              <w:spacing w:line="320" w:lineRule="exact"/>
              <w:jc w:val="left"/>
              <w:rPr>
                <w:rFonts w:ascii="宋体" w:hAnsi="宋体" w:cs="宋体"/>
                <w:color w:val="auto"/>
                <w:szCs w:val="21"/>
              </w:rPr>
            </w:pPr>
            <w:r>
              <w:rPr>
                <w:rFonts w:hint="eastAsia" w:ascii="宋体" w:hAnsi="宋体" w:cs="宋体"/>
                <w:color w:val="auto"/>
              </w:rPr>
              <w:t>1、以经磋商小组一致认定满足磋商文件要求且投标价格经过扣除以后最低的评标价格为磋商基准价,其价格得分计</w:t>
            </w:r>
            <w:r>
              <w:rPr>
                <w:rFonts w:hint="eastAsia" w:ascii="宋体" w:hAnsi="宋体" w:cs="宋体"/>
                <w:color w:val="auto"/>
                <w:lang w:val="en-US" w:eastAsia="zh-CN"/>
              </w:rPr>
              <w:t>1</w:t>
            </w:r>
            <w:r>
              <w:rPr>
                <w:rFonts w:hint="eastAsia" w:ascii="宋体" w:hAnsi="宋体" w:cs="宋体"/>
                <w:color w:val="auto"/>
              </w:rPr>
              <w:t>0分。其他有效投标人的价格得分统一按公式计算:磋商报价得分=(磋商基准价÷最后磋商价格)×</w:t>
            </w:r>
            <w:r>
              <w:rPr>
                <w:rFonts w:hint="eastAsia" w:ascii="宋体" w:hAnsi="宋体" w:cs="宋体"/>
                <w:color w:val="auto"/>
                <w:lang w:val="en-US" w:eastAsia="zh-CN"/>
              </w:rPr>
              <w:t>1</w:t>
            </w:r>
            <w:r>
              <w:rPr>
                <w:rFonts w:hint="eastAsia" w:ascii="宋体" w:hAnsi="宋体" w:cs="宋体"/>
                <w:color w:val="auto"/>
              </w:rPr>
              <w:t>0。</w:t>
            </w:r>
          </w:p>
          <w:p w14:paraId="110419ED">
            <w:pPr>
              <w:adjustRightInd w:val="0"/>
              <w:snapToGrid w:val="0"/>
              <w:spacing w:line="320" w:lineRule="exact"/>
              <w:jc w:val="left"/>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rPr>
              <w:t>价格评审过程中，不得去掉最后报价中的最高报价和最低报价。</w:t>
            </w:r>
            <w:r>
              <w:rPr>
                <w:rFonts w:hint="eastAsia" w:ascii="宋体" w:hAnsi="宋体" w:cs="宋体"/>
                <w:color w:val="auto"/>
                <w:szCs w:val="21"/>
              </w:rPr>
              <w:t>投标人</w:t>
            </w:r>
            <w:r>
              <w:rPr>
                <w:rFonts w:hint="eastAsia" w:ascii="宋体" w:hAnsi="宋体" w:cs="宋体"/>
                <w:color w:val="auto"/>
              </w:rPr>
              <w:t>磋商</w:t>
            </w:r>
            <w:r>
              <w:rPr>
                <w:rFonts w:hint="eastAsia" w:ascii="宋体" w:hAnsi="宋体" w:cs="宋体"/>
                <w:color w:val="auto"/>
                <w:szCs w:val="21"/>
              </w:rPr>
              <w:t>报价超过最高限价为无效报价。</w:t>
            </w:r>
          </w:p>
          <w:p w14:paraId="06387F4B">
            <w:pPr>
              <w:adjustRightInd w:val="0"/>
              <w:snapToGrid w:val="0"/>
              <w:spacing w:line="320" w:lineRule="exact"/>
              <w:jc w:val="left"/>
              <w:rPr>
                <w:rFonts w:ascii="宋体" w:hAnsi="宋体" w:cs="宋体"/>
                <w:color w:val="auto"/>
                <w:szCs w:val="21"/>
              </w:rPr>
            </w:pPr>
            <w:r>
              <w:rPr>
                <w:rFonts w:hint="eastAsia" w:ascii="宋体" w:hAnsi="宋体" w:cs="宋体"/>
                <w:color w:val="auto"/>
                <w:szCs w:val="21"/>
              </w:rPr>
              <w:t>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EC8C614">
            <w:pPr>
              <w:rPr>
                <w:rFonts w:ascii="宋体" w:hAnsi="宋体" w:cs="宋体"/>
                <w:color w:val="auto"/>
                <w:szCs w:val="21"/>
              </w:rPr>
            </w:pPr>
            <w:r>
              <w:rPr>
                <w:rFonts w:hint="eastAsia" w:ascii="宋体" w:hAnsi="宋体" w:cs="宋体"/>
                <w:color w:val="auto"/>
                <w:szCs w:val="21"/>
              </w:rPr>
              <w:t>4、因落实政府采购政策进行价格调整的，以调整后的价格计算</w:t>
            </w:r>
            <w:r>
              <w:rPr>
                <w:rFonts w:hint="eastAsia" w:ascii="宋体" w:hAnsi="宋体" w:cs="宋体"/>
                <w:color w:val="auto"/>
              </w:rPr>
              <w:t>磋商</w:t>
            </w:r>
            <w:r>
              <w:rPr>
                <w:rFonts w:hint="eastAsia" w:ascii="宋体" w:hAnsi="宋体" w:cs="宋体"/>
                <w:color w:val="auto"/>
                <w:szCs w:val="21"/>
              </w:rPr>
              <w:t>评标基准价和</w:t>
            </w:r>
            <w:r>
              <w:rPr>
                <w:rFonts w:hint="eastAsia" w:ascii="宋体" w:hAnsi="宋体" w:cs="宋体"/>
                <w:color w:val="auto"/>
              </w:rPr>
              <w:t>磋商</w:t>
            </w:r>
            <w:r>
              <w:rPr>
                <w:rFonts w:hint="eastAsia" w:ascii="宋体" w:hAnsi="宋体" w:cs="宋体"/>
                <w:color w:val="auto"/>
                <w:szCs w:val="21"/>
              </w:rPr>
              <w:t>投标报价。</w:t>
            </w:r>
          </w:p>
        </w:tc>
      </w:tr>
      <w:tr w14:paraId="2DB8AD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7" w:hRule="atLeast"/>
          <w:jc w:val="center"/>
        </w:trPr>
        <w:tc>
          <w:tcPr>
            <w:tcW w:w="1714" w:type="dxa"/>
            <w:vMerge w:val="restart"/>
            <w:tcBorders>
              <w:left w:val="single" w:color="auto" w:sz="4" w:space="0"/>
              <w:right w:val="single" w:color="auto" w:sz="4" w:space="0"/>
            </w:tcBorders>
            <w:vAlign w:val="center"/>
          </w:tcPr>
          <w:p w14:paraId="35F53ED7">
            <w:pPr>
              <w:jc w:val="center"/>
              <w:rPr>
                <w:rFonts w:ascii="宋体" w:hAnsi="宋体" w:cs="宋体"/>
                <w:color w:val="auto"/>
                <w:szCs w:val="21"/>
              </w:rPr>
            </w:pPr>
            <w:r>
              <w:rPr>
                <w:rFonts w:ascii="宋体" w:hAnsi="宋体" w:cs="宋体"/>
                <w:color w:val="auto"/>
                <w:szCs w:val="21"/>
              </w:rPr>
              <w:t>商务部分</w:t>
            </w:r>
            <w:r>
              <w:rPr>
                <w:rFonts w:hint="eastAsia" w:ascii="宋体" w:hAnsi="宋体" w:cs="宋体"/>
                <w:color w:val="auto"/>
                <w:szCs w:val="21"/>
              </w:rPr>
              <w:t>（</w:t>
            </w:r>
            <w:r>
              <w:rPr>
                <w:rFonts w:hint="eastAsia" w:ascii="宋体" w:hAnsi="宋体" w:cs="宋体"/>
                <w:color w:val="auto"/>
                <w:szCs w:val="21"/>
                <w:lang w:val="en-US" w:eastAsia="zh-CN"/>
              </w:rPr>
              <w:t>50</w:t>
            </w:r>
            <w:r>
              <w:rPr>
                <w:rFonts w:hint="eastAsia" w:ascii="宋体" w:hAnsi="宋体" w:cs="宋体"/>
                <w:color w:val="auto"/>
                <w:szCs w:val="21"/>
              </w:rPr>
              <w:t>分）</w:t>
            </w:r>
          </w:p>
        </w:tc>
        <w:tc>
          <w:tcPr>
            <w:tcW w:w="1536" w:type="dxa"/>
            <w:tcBorders>
              <w:top w:val="single" w:color="auto" w:sz="4" w:space="0"/>
              <w:left w:val="single" w:color="auto" w:sz="4" w:space="0"/>
              <w:right w:val="single" w:color="auto" w:sz="4" w:space="0"/>
            </w:tcBorders>
            <w:vAlign w:val="center"/>
          </w:tcPr>
          <w:p w14:paraId="7A43BA16">
            <w:pPr>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企业资质</w:t>
            </w:r>
          </w:p>
        </w:tc>
        <w:tc>
          <w:tcPr>
            <w:tcW w:w="960" w:type="dxa"/>
            <w:tcBorders>
              <w:top w:val="single" w:color="auto" w:sz="4" w:space="0"/>
              <w:left w:val="single" w:color="auto" w:sz="4" w:space="0"/>
              <w:bottom w:val="single" w:color="auto" w:sz="4" w:space="0"/>
              <w:right w:val="single" w:color="auto" w:sz="4" w:space="0"/>
            </w:tcBorders>
            <w:vAlign w:val="center"/>
          </w:tcPr>
          <w:p w14:paraId="23A5DA81">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4分</w:t>
            </w:r>
          </w:p>
        </w:tc>
        <w:tc>
          <w:tcPr>
            <w:tcW w:w="5829" w:type="dxa"/>
            <w:tcBorders>
              <w:top w:val="single" w:color="auto" w:sz="4" w:space="0"/>
              <w:left w:val="single" w:color="auto" w:sz="4" w:space="0"/>
              <w:bottom w:val="single" w:color="auto" w:sz="4" w:space="0"/>
              <w:right w:val="single" w:color="auto" w:sz="4" w:space="0"/>
            </w:tcBorders>
            <w:vAlign w:val="center"/>
          </w:tcPr>
          <w:p w14:paraId="3DB46362">
            <w:pPr>
              <w:ind w:left="42" w:leftChars="20" w:right="42" w:rightChars="20"/>
              <w:rPr>
                <w:rFonts w:hint="eastAsia"/>
                <w:color w:val="auto"/>
                <w:lang w:val="en-US" w:eastAsia="zh-CN"/>
              </w:rPr>
            </w:pPr>
            <w:r>
              <w:rPr>
                <w:rFonts w:hint="eastAsia"/>
                <w:color w:val="auto"/>
                <w:lang w:val="en-US" w:eastAsia="zh-CN"/>
              </w:rPr>
              <w:t>供应商具备具备安全评价、二级及以下企业安全生产标准化评审单位或者评审组织单位资质的得1分，有一级企业安全生产标准化资质的得4分。</w:t>
            </w:r>
          </w:p>
          <w:p w14:paraId="1396BA8C">
            <w:pPr>
              <w:ind w:left="42" w:leftChars="20" w:right="42" w:rightChars="20"/>
              <w:rPr>
                <w:rFonts w:hint="eastAsia" w:ascii="宋体" w:hAnsi="宋体" w:cs="宋体"/>
                <w:color w:val="auto"/>
                <w:szCs w:val="21"/>
              </w:rPr>
            </w:pPr>
            <w:r>
              <w:rPr>
                <w:rFonts w:hint="eastAsia"/>
                <w:color w:val="auto"/>
                <w:lang w:val="en-US" w:eastAsia="zh-CN"/>
              </w:rPr>
              <w:t>注：提供相关资质证明复印件，不提供不得分。</w:t>
            </w:r>
          </w:p>
        </w:tc>
      </w:tr>
      <w:tr w14:paraId="6E73A8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7" w:hRule="atLeast"/>
          <w:jc w:val="center"/>
        </w:trPr>
        <w:tc>
          <w:tcPr>
            <w:tcW w:w="1714" w:type="dxa"/>
            <w:vMerge w:val="continue"/>
            <w:tcBorders>
              <w:left w:val="single" w:color="auto" w:sz="4" w:space="0"/>
              <w:right w:val="single" w:color="auto" w:sz="4" w:space="0"/>
            </w:tcBorders>
            <w:vAlign w:val="center"/>
          </w:tcPr>
          <w:p w14:paraId="2BCF46D2">
            <w:pPr>
              <w:jc w:val="center"/>
              <w:rPr>
                <w:rFonts w:ascii="宋体" w:hAnsi="宋体" w:cs="宋体"/>
                <w:color w:val="auto"/>
                <w:szCs w:val="21"/>
              </w:rPr>
            </w:pPr>
          </w:p>
        </w:tc>
        <w:tc>
          <w:tcPr>
            <w:tcW w:w="1536" w:type="dxa"/>
            <w:vMerge w:val="restart"/>
            <w:tcBorders>
              <w:top w:val="single" w:color="auto" w:sz="4" w:space="0"/>
              <w:left w:val="single" w:color="auto" w:sz="4" w:space="0"/>
              <w:right w:val="single" w:color="auto" w:sz="4" w:space="0"/>
            </w:tcBorders>
            <w:vAlign w:val="center"/>
          </w:tcPr>
          <w:p w14:paraId="5BE2021F">
            <w:pPr>
              <w:jc w:val="center"/>
              <w:rPr>
                <w:rFonts w:ascii="宋体" w:hAnsi="宋体" w:cs="宋体"/>
                <w:color w:val="auto"/>
                <w:szCs w:val="21"/>
              </w:rPr>
            </w:pPr>
            <w:r>
              <w:rPr>
                <w:rFonts w:hint="eastAsia" w:ascii="宋体" w:hAnsi="宋体" w:cs="宋体"/>
                <w:color w:val="auto"/>
                <w:kern w:val="0"/>
                <w:szCs w:val="21"/>
              </w:rPr>
              <w:t>实施团队</w:t>
            </w:r>
          </w:p>
        </w:tc>
        <w:tc>
          <w:tcPr>
            <w:tcW w:w="960" w:type="dxa"/>
            <w:tcBorders>
              <w:top w:val="single" w:color="auto" w:sz="4" w:space="0"/>
              <w:left w:val="single" w:color="auto" w:sz="4" w:space="0"/>
              <w:bottom w:val="single" w:color="auto" w:sz="4" w:space="0"/>
              <w:right w:val="single" w:color="auto" w:sz="4" w:space="0"/>
            </w:tcBorders>
            <w:vAlign w:val="center"/>
          </w:tcPr>
          <w:p w14:paraId="0600ABEE">
            <w:pPr>
              <w:jc w:val="center"/>
              <w:rPr>
                <w:rFonts w:ascii="宋体" w:hAnsi="宋体" w:cs="宋体"/>
                <w:color w:val="auto"/>
                <w:szCs w:val="21"/>
              </w:rPr>
            </w:pPr>
            <w:r>
              <w:rPr>
                <w:rFonts w:hint="eastAsia" w:ascii="宋体" w:hAnsi="宋体" w:cs="宋体"/>
                <w:color w:val="auto"/>
                <w:szCs w:val="21"/>
              </w:rPr>
              <w:t>6分</w:t>
            </w:r>
          </w:p>
        </w:tc>
        <w:tc>
          <w:tcPr>
            <w:tcW w:w="5829" w:type="dxa"/>
            <w:tcBorders>
              <w:top w:val="single" w:color="auto" w:sz="4" w:space="0"/>
              <w:left w:val="single" w:color="auto" w:sz="4" w:space="0"/>
              <w:bottom w:val="single" w:color="auto" w:sz="4" w:space="0"/>
              <w:right w:val="single" w:color="auto" w:sz="4" w:space="0"/>
            </w:tcBorders>
            <w:vAlign w:val="center"/>
          </w:tcPr>
          <w:p w14:paraId="1F1AE9EF">
            <w:pPr>
              <w:ind w:left="42" w:leftChars="20" w:right="42" w:rightChars="20"/>
              <w:rPr>
                <w:rFonts w:ascii="宋体" w:hAnsi="宋体" w:cs="宋体"/>
                <w:color w:val="auto"/>
                <w:szCs w:val="21"/>
              </w:rPr>
            </w:pPr>
            <w:r>
              <w:rPr>
                <w:rFonts w:hint="eastAsia" w:ascii="宋体" w:hAnsi="宋体" w:cs="宋体"/>
                <w:color w:val="auto"/>
                <w:szCs w:val="21"/>
              </w:rPr>
              <w:t>供应商针对本项目拟配备项目负责人1名：</w:t>
            </w:r>
          </w:p>
          <w:p w14:paraId="10DC8171">
            <w:pPr>
              <w:ind w:left="42" w:leftChars="20" w:right="42" w:rightChars="20"/>
              <w:rPr>
                <w:rFonts w:ascii="宋体" w:hAnsi="宋体" w:cs="宋体"/>
                <w:color w:val="auto"/>
                <w:szCs w:val="21"/>
              </w:rPr>
            </w:pPr>
            <w:r>
              <w:rPr>
                <w:rFonts w:hint="eastAsia" w:ascii="宋体" w:hAnsi="宋体" w:cs="宋体"/>
                <w:color w:val="auto"/>
                <w:szCs w:val="21"/>
              </w:rPr>
              <w:t>项目负责人具有安全或化工类相关正高级职称，得2分；</w:t>
            </w:r>
          </w:p>
          <w:p w14:paraId="1DA848D4">
            <w:pPr>
              <w:ind w:left="42" w:leftChars="20" w:right="42" w:rightChars="20"/>
              <w:rPr>
                <w:rFonts w:hint="eastAsia" w:ascii="宋体" w:hAnsi="宋体" w:cs="宋体"/>
                <w:color w:val="auto"/>
                <w:szCs w:val="21"/>
              </w:rPr>
            </w:pPr>
            <w:r>
              <w:rPr>
                <w:rFonts w:hint="eastAsia" w:ascii="宋体" w:hAnsi="宋体" w:cs="宋体"/>
                <w:color w:val="auto"/>
                <w:szCs w:val="21"/>
              </w:rPr>
              <w:t>项目负责人为</w:t>
            </w:r>
            <w:r>
              <w:rPr>
                <w:rFonts w:hint="eastAsia" w:ascii="宋体" w:hAnsi="宋体" w:cs="宋体"/>
                <w:color w:val="auto"/>
                <w:szCs w:val="21"/>
                <w:lang w:val="en-US" w:eastAsia="zh-CN"/>
              </w:rPr>
              <w:t>参与过</w:t>
            </w:r>
            <w:r>
              <w:rPr>
                <w:rFonts w:hint="eastAsia" w:ascii="宋体" w:hAnsi="宋体" w:eastAsia="宋体" w:cs="宋体"/>
                <w:color w:val="auto"/>
                <w:spacing w:val="0"/>
                <w:sz w:val="21"/>
                <w:szCs w:val="21"/>
                <w:lang w:val="en-US" w:eastAsia="zh-CN"/>
              </w:rPr>
              <w:t>国家应急管理部危化品督导</w:t>
            </w:r>
            <w:r>
              <w:rPr>
                <w:rFonts w:hint="eastAsia" w:ascii="宋体" w:hAnsi="宋体" w:cs="宋体"/>
                <w:color w:val="auto"/>
                <w:spacing w:val="0"/>
                <w:sz w:val="21"/>
                <w:szCs w:val="21"/>
                <w:lang w:val="en-US" w:eastAsia="zh-CN"/>
              </w:rPr>
              <w:t>、指导服务、</w:t>
            </w:r>
            <w:r>
              <w:rPr>
                <w:rFonts w:hint="eastAsia" w:ascii="宋体" w:hAnsi="宋体" w:eastAsia="宋体" w:cs="宋体"/>
                <w:color w:val="auto"/>
                <w:spacing w:val="0"/>
                <w:sz w:val="21"/>
                <w:szCs w:val="21"/>
                <w:lang w:val="en-US" w:eastAsia="zh-CN"/>
              </w:rPr>
              <w:t>检查</w:t>
            </w:r>
            <w:r>
              <w:rPr>
                <w:rFonts w:hint="eastAsia" w:ascii="宋体" w:hAnsi="宋体" w:cs="宋体"/>
                <w:color w:val="auto"/>
                <w:spacing w:val="0"/>
                <w:sz w:val="21"/>
                <w:szCs w:val="21"/>
                <w:lang w:val="en-US" w:eastAsia="zh-CN"/>
              </w:rPr>
              <w:t>经历</w:t>
            </w:r>
            <w:r>
              <w:rPr>
                <w:rFonts w:hint="eastAsia" w:ascii="宋体" w:hAnsi="宋体" w:cs="宋体"/>
                <w:color w:val="auto"/>
                <w:szCs w:val="21"/>
              </w:rPr>
              <w:t>，得2分；</w:t>
            </w:r>
          </w:p>
          <w:p w14:paraId="5052EE51">
            <w:pPr>
              <w:ind w:left="42" w:leftChars="20" w:right="42" w:rightChars="20"/>
              <w:rPr>
                <w:rFonts w:ascii="宋体" w:hAnsi="宋体" w:cs="宋体"/>
                <w:color w:val="auto"/>
                <w:szCs w:val="21"/>
              </w:rPr>
            </w:pPr>
            <w:r>
              <w:rPr>
                <w:rFonts w:hint="eastAsia" w:ascii="宋体" w:hAnsi="宋体" w:cs="宋体"/>
                <w:color w:val="auto"/>
                <w:szCs w:val="21"/>
              </w:rPr>
              <w:t>项目负责人具有</w:t>
            </w:r>
            <w:r>
              <w:rPr>
                <w:rFonts w:hint="eastAsia" w:ascii="宋体" w:hAnsi="宋体" w:cs="宋体"/>
                <w:color w:val="auto"/>
                <w:szCs w:val="21"/>
                <w:lang w:val="en-US" w:eastAsia="zh-CN"/>
              </w:rPr>
              <w:t>注册安全工程师</w:t>
            </w:r>
            <w:r>
              <w:rPr>
                <w:rFonts w:hint="eastAsia" w:ascii="宋体" w:hAnsi="宋体" w:cs="宋体"/>
                <w:color w:val="auto"/>
                <w:szCs w:val="21"/>
              </w:rPr>
              <w:t>资质，得2分。</w:t>
            </w:r>
          </w:p>
          <w:p w14:paraId="5C36EAE1">
            <w:pPr>
              <w:ind w:left="42" w:leftChars="20" w:right="42" w:rightChars="20"/>
              <w:rPr>
                <w:rFonts w:ascii="宋体" w:hAnsi="宋体" w:cs="宋体"/>
                <w:color w:val="auto"/>
                <w:szCs w:val="21"/>
              </w:rPr>
            </w:pPr>
            <w:r>
              <w:rPr>
                <w:rFonts w:hint="eastAsia" w:ascii="宋体" w:hAnsi="宋体" w:cs="宋体"/>
                <w:color w:val="auto"/>
                <w:szCs w:val="21"/>
              </w:rPr>
              <w:t>注：提供相关人员有效证书的证明材料和投标人</w:t>
            </w:r>
            <w:r>
              <w:rPr>
                <w:rFonts w:hint="eastAsia" w:ascii="宋体" w:hAnsi="宋体" w:cs="宋体"/>
                <w:color w:val="auto"/>
                <w:szCs w:val="21"/>
                <w:lang w:val="en-US" w:eastAsia="zh-CN"/>
              </w:rPr>
              <w:t>2026年</w:t>
            </w:r>
            <w:r>
              <w:rPr>
                <w:rFonts w:hint="eastAsia" w:ascii="宋体" w:hAnsi="宋体" w:cs="宋体"/>
                <w:color w:val="auto"/>
                <w:szCs w:val="21"/>
              </w:rPr>
              <w:t>为其连续缴纳的</w:t>
            </w:r>
            <w:r>
              <w:rPr>
                <w:rFonts w:hint="eastAsia" w:ascii="宋体" w:hAnsi="宋体" w:cs="宋体"/>
                <w:color w:val="auto"/>
                <w:szCs w:val="21"/>
                <w:lang w:val="en-US" w:eastAsia="zh-CN"/>
              </w:rPr>
              <w:t>任意</w:t>
            </w:r>
            <w:r>
              <w:rPr>
                <w:rFonts w:hint="eastAsia" w:ascii="宋体" w:hAnsi="宋体" w:cs="宋体"/>
                <w:color w:val="auto"/>
                <w:szCs w:val="21"/>
              </w:rPr>
              <w:t>3个月社保证明（社保收缴部门提供）。</w:t>
            </w:r>
          </w:p>
        </w:tc>
      </w:tr>
      <w:tr w14:paraId="36DCEB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7" w:hRule="atLeast"/>
          <w:jc w:val="center"/>
        </w:trPr>
        <w:tc>
          <w:tcPr>
            <w:tcW w:w="1714" w:type="dxa"/>
            <w:vMerge w:val="continue"/>
            <w:tcBorders>
              <w:left w:val="single" w:color="auto" w:sz="4" w:space="0"/>
              <w:right w:val="single" w:color="auto" w:sz="4" w:space="0"/>
            </w:tcBorders>
            <w:vAlign w:val="center"/>
          </w:tcPr>
          <w:p w14:paraId="33647001">
            <w:pPr>
              <w:jc w:val="center"/>
              <w:rPr>
                <w:rFonts w:ascii="宋体" w:hAnsi="宋体" w:cs="宋体"/>
                <w:color w:val="auto"/>
                <w:szCs w:val="21"/>
              </w:rPr>
            </w:pPr>
          </w:p>
        </w:tc>
        <w:tc>
          <w:tcPr>
            <w:tcW w:w="1536" w:type="dxa"/>
            <w:vMerge w:val="continue"/>
            <w:tcBorders>
              <w:left w:val="single" w:color="auto" w:sz="4" w:space="0"/>
              <w:bottom w:val="single" w:color="auto" w:sz="4" w:space="0"/>
              <w:right w:val="single" w:color="auto" w:sz="4" w:space="0"/>
            </w:tcBorders>
            <w:vAlign w:val="center"/>
          </w:tcPr>
          <w:p w14:paraId="4FCC4945">
            <w:pPr>
              <w:jc w:val="center"/>
              <w:rPr>
                <w:rFonts w:hint="eastAsia" w:ascii="宋体" w:hAnsi="宋体" w:cs="宋体"/>
                <w:color w:val="auto"/>
                <w:kern w:val="0"/>
                <w:szCs w:val="21"/>
              </w:rPr>
            </w:pPr>
          </w:p>
        </w:tc>
        <w:tc>
          <w:tcPr>
            <w:tcW w:w="960" w:type="dxa"/>
            <w:tcBorders>
              <w:top w:val="single" w:color="auto" w:sz="4" w:space="0"/>
              <w:left w:val="single" w:color="auto" w:sz="4" w:space="0"/>
              <w:bottom w:val="single" w:color="auto" w:sz="4" w:space="0"/>
              <w:right w:val="single" w:color="auto" w:sz="4" w:space="0"/>
            </w:tcBorders>
            <w:vAlign w:val="center"/>
          </w:tcPr>
          <w:p w14:paraId="0B5F4F5C">
            <w:pPr>
              <w:jc w:val="center"/>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4</w:t>
            </w:r>
            <w:r>
              <w:rPr>
                <w:rFonts w:hint="eastAsia" w:ascii="宋体" w:hAnsi="宋体" w:cs="宋体"/>
                <w:color w:val="auto"/>
                <w:szCs w:val="21"/>
              </w:rPr>
              <w:t>分</w:t>
            </w:r>
          </w:p>
        </w:tc>
        <w:tc>
          <w:tcPr>
            <w:tcW w:w="5829" w:type="dxa"/>
            <w:tcBorders>
              <w:top w:val="single" w:color="auto" w:sz="4" w:space="0"/>
              <w:left w:val="single" w:color="auto" w:sz="4" w:space="0"/>
              <w:bottom w:val="single" w:color="auto" w:sz="4" w:space="0"/>
              <w:right w:val="single" w:color="auto" w:sz="4" w:space="0"/>
            </w:tcBorders>
            <w:vAlign w:val="center"/>
          </w:tcPr>
          <w:p w14:paraId="71294C2E">
            <w:pP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w:t>
            </w:r>
            <w:r>
              <w:rPr>
                <w:rFonts w:hint="eastAsia" w:ascii="宋体" w:hAnsi="宋体" w:cs="宋体"/>
                <w:color w:val="auto"/>
                <w:szCs w:val="21"/>
              </w:rPr>
              <w:t>供应商针对本项目至少配备专家</w:t>
            </w:r>
            <w:r>
              <w:rPr>
                <w:rFonts w:hint="eastAsia" w:ascii="宋体" w:hAnsi="宋体" w:cs="宋体"/>
                <w:color w:val="auto"/>
                <w:szCs w:val="21"/>
                <w:lang w:val="en-US" w:eastAsia="zh-CN"/>
              </w:rPr>
              <w:t>7</w:t>
            </w:r>
            <w:r>
              <w:rPr>
                <w:rFonts w:hint="eastAsia" w:ascii="宋体" w:hAnsi="宋体" w:cs="宋体"/>
                <w:color w:val="auto"/>
                <w:szCs w:val="21"/>
              </w:rPr>
              <w:t>名，专家需具备</w:t>
            </w:r>
            <w:r>
              <w:rPr>
                <w:rFonts w:hint="eastAsia" w:ascii="宋体" w:hAnsi="宋体" w:cs="宋体"/>
                <w:bCs w:val="0"/>
                <w:color w:val="auto"/>
                <w:sz w:val="21"/>
                <w:szCs w:val="21"/>
                <w:lang w:eastAsia="zh-CN"/>
              </w:rPr>
              <w:t>安全管理、化工工艺、设备或机械、仪表或自动化等化工相关专业</w:t>
            </w:r>
            <w:r>
              <w:rPr>
                <w:rFonts w:hint="eastAsia" w:ascii="宋体" w:hAnsi="宋体" w:cs="宋体"/>
                <w:color w:val="auto"/>
                <w:szCs w:val="21"/>
              </w:rPr>
              <w:t>高级工程师及以上职称</w:t>
            </w:r>
            <w:r>
              <w:rPr>
                <w:rFonts w:hint="eastAsia" w:ascii="宋体" w:hAnsi="宋体" w:cs="宋体"/>
                <w:color w:val="auto"/>
                <w:szCs w:val="21"/>
                <w:lang w:eastAsia="zh-CN"/>
              </w:rPr>
              <w:t>，</w:t>
            </w:r>
            <w:r>
              <w:rPr>
                <w:rFonts w:hint="eastAsia" w:ascii="宋体" w:hAnsi="宋体" w:cs="宋体"/>
                <w:color w:val="auto"/>
                <w:szCs w:val="21"/>
                <w:lang w:val="en-US" w:eastAsia="zh-CN"/>
              </w:rPr>
              <w:t>1人得1分，本小项最高7分；</w:t>
            </w:r>
          </w:p>
          <w:p w14:paraId="7C83510F">
            <w:pPr>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专家</w:t>
            </w:r>
            <w:r>
              <w:rPr>
                <w:rFonts w:hint="eastAsia" w:ascii="宋体" w:hAnsi="宋体" w:cs="宋体"/>
                <w:color w:val="auto"/>
                <w:szCs w:val="21"/>
                <w:lang w:val="en-US" w:eastAsia="zh-CN"/>
              </w:rPr>
              <w:t>参与过</w:t>
            </w:r>
            <w:r>
              <w:rPr>
                <w:rFonts w:hint="eastAsia" w:ascii="宋体" w:hAnsi="宋体" w:eastAsia="宋体" w:cs="宋体"/>
                <w:color w:val="auto"/>
                <w:spacing w:val="0"/>
                <w:sz w:val="21"/>
                <w:szCs w:val="21"/>
                <w:lang w:val="en-US" w:eastAsia="zh-CN"/>
              </w:rPr>
              <w:t>国家应急管理部危化品督导</w:t>
            </w:r>
            <w:r>
              <w:rPr>
                <w:rFonts w:hint="eastAsia" w:ascii="宋体" w:hAnsi="宋体" w:cs="宋体"/>
                <w:color w:val="auto"/>
                <w:spacing w:val="0"/>
                <w:sz w:val="21"/>
                <w:szCs w:val="21"/>
                <w:lang w:val="en-US" w:eastAsia="zh-CN"/>
              </w:rPr>
              <w:t>、指导服务、</w:t>
            </w:r>
            <w:r>
              <w:rPr>
                <w:rFonts w:hint="eastAsia" w:ascii="宋体" w:hAnsi="宋体" w:eastAsia="宋体" w:cs="宋体"/>
                <w:color w:val="auto"/>
                <w:spacing w:val="0"/>
                <w:sz w:val="21"/>
                <w:szCs w:val="21"/>
                <w:lang w:val="en-US" w:eastAsia="zh-CN"/>
              </w:rPr>
              <w:t>检查</w:t>
            </w:r>
            <w:r>
              <w:rPr>
                <w:rFonts w:hint="eastAsia" w:ascii="宋体" w:hAnsi="宋体" w:cs="宋体"/>
                <w:color w:val="auto"/>
                <w:spacing w:val="0"/>
                <w:sz w:val="21"/>
                <w:szCs w:val="21"/>
                <w:lang w:val="en-US" w:eastAsia="zh-CN"/>
              </w:rPr>
              <w:t>经历</w:t>
            </w:r>
            <w:r>
              <w:rPr>
                <w:rFonts w:hint="eastAsia" w:ascii="宋体" w:hAnsi="宋体" w:cs="宋体"/>
                <w:color w:val="auto"/>
                <w:szCs w:val="21"/>
              </w:rPr>
              <w:t>，</w:t>
            </w:r>
            <w:r>
              <w:rPr>
                <w:rFonts w:hint="eastAsia" w:ascii="宋体" w:hAnsi="宋体" w:cs="宋体"/>
                <w:color w:val="auto"/>
                <w:szCs w:val="21"/>
                <w:lang w:val="en-US" w:eastAsia="zh-CN"/>
              </w:rPr>
              <w:t>1人得</w:t>
            </w:r>
            <w:r>
              <w:rPr>
                <w:rFonts w:hint="eastAsia" w:ascii="宋体" w:hAnsi="宋体" w:cs="宋体"/>
                <w:color w:val="auto"/>
                <w:szCs w:val="21"/>
              </w:rPr>
              <w:t>1分，</w:t>
            </w:r>
            <w:r>
              <w:rPr>
                <w:rFonts w:hint="eastAsia" w:ascii="宋体" w:hAnsi="宋体" w:cs="宋体"/>
                <w:color w:val="auto"/>
                <w:szCs w:val="21"/>
                <w:lang w:val="en-US" w:eastAsia="zh-CN"/>
              </w:rPr>
              <w:t>本小项最高7</w:t>
            </w:r>
            <w:r>
              <w:rPr>
                <w:rFonts w:hint="eastAsia" w:ascii="宋体" w:hAnsi="宋体" w:cs="宋体"/>
                <w:color w:val="auto"/>
                <w:szCs w:val="21"/>
              </w:rPr>
              <w:t>分。</w:t>
            </w:r>
          </w:p>
        </w:tc>
      </w:tr>
      <w:tr w14:paraId="6A47AC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1714" w:type="dxa"/>
            <w:vMerge w:val="continue"/>
            <w:tcBorders>
              <w:left w:val="single" w:color="auto" w:sz="4" w:space="0"/>
              <w:right w:val="single" w:color="auto" w:sz="4" w:space="0"/>
            </w:tcBorders>
            <w:vAlign w:val="center"/>
          </w:tcPr>
          <w:p w14:paraId="2023BFA4">
            <w:pPr>
              <w:jc w:val="center"/>
              <w:rPr>
                <w:rFonts w:ascii="宋体" w:hAnsi="宋体" w:cs="宋体"/>
                <w:color w:val="auto"/>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1451330E">
            <w:pPr>
              <w:jc w:val="center"/>
              <w:rPr>
                <w:rFonts w:hint="eastAsia" w:ascii="宋体" w:hAnsi="宋体" w:cs="宋体"/>
                <w:color w:val="auto"/>
                <w:szCs w:val="21"/>
              </w:rPr>
            </w:pPr>
            <w:r>
              <w:rPr>
                <w:rFonts w:hint="eastAsia" w:ascii="宋体" w:hAnsi="宋体" w:cs="宋体"/>
                <w:color w:val="auto"/>
                <w:szCs w:val="21"/>
              </w:rPr>
              <w:t>技术能力</w:t>
            </w:r>
          </w:p>
        </w:tc>
        <w:tc>
          <w:tcPr>
            <w:tcW w:w="960" w:type="dxa"/>
            <w:tcBorders>
              <w:top w:val="single" w:color="auto" w:sz="4" w:space="0"/>
              <w:left w:val="single" w:color="auto" w:sz="4" w:space="0"/>
              <w:bottom w:val="single" w:color="auto" w:sz="4" w:space="0"/>
              <w:right w:val="single" w:color="auto" w:sz="4" w:space="0"/>
            </w:tcBorders>
            <w:vAlign w:val="center"/>
          </w:tcPr>
          <w:p w14:paraId="700BD15F">
            <w:pPr>
              <w:jc w:val="center"/>
              <w:rPr>
                <w:rFonts w:hint="eastAsia" w:ascii="宋体" w:hAnsi="宋体" w:cs="宋体"/>
                <w:color w:val="auto"/>
                <w:szCs w:val="21"/>
              </w:rPr>
            </w:pPr>
            <w:r>
              <w:rPr>
                <w:rFonts w:hint="eastAsia" w:ascii="宋体" w:hAnsi="宋体" w:cs="宋体"/>
                <w:color w:val="auto"/>
                <w:szCs w:val="21"/>
                <w:lang w:val="en-US" w:eastAsia="zh-CN"/>
              </w:rPr>
              <w:t>12</w:t>
            </w:r>
            <w:r>
              <w:rPr>
                <w:rFonts w:hint="eastAsia" w:ascii="宋体" w:hAnsi="宋体" w:cs="宋体"/>
                <w:color w:val="auto"/>
                <w:szCs w:val="21"/>
              </w:rPr>
              <w:t>分</w:t>
            </w:r>
          </w:p>
        </w:tc>
        <w:tc>
          <w:tcPr>
            <w:tcW w:w="5829" w:type="dxa"/>
            <w:tcBorders>
              <w:top w:val="single" w:color="auto" w:sz="4" w:space="0"/>
              <w:left w:val="single" w:color="auto" w:sz="4" w:space="0"/>
              <w:bottom w:val="single" w:color="auto" w:sz="4" w:space="0"/>
              <w:right w:val="single" w:color="auto" w:sz="4" w:space="0"/>
            </w:tcBorders>
            <w:vAlign w:val="center"/>
          </w:tcPr>
          <w:p w14:paraId="47E14806">
            <w:pPr>
              <w:rPr>
                <w:rFonts w:hint="eastAsia" w:ascii="宋体" w:hAnsi="宋体" w:cs="宋体"/>
                <w:color w:val="auto"/>
                <w:szCs w:val="21"/>
              </w:rPr>
            </w:pPr>
            <w:r>
              <w:rPr>
                <w:rFonts w:hint="eastAsia" w:ascii="宋体" w:hAnsi="宋体" w:cs="宋体"/>
                <w:color w:val="auto"/>
                <w:szCs w:val="21"/>
              </w:rPr>
              <w:t>投标人起草或参与编制的安全领域的国家标准，每具有一项得2分，满分</w:t>
            </w:r>
            <w:r>
              <w:rPr>
                <w:rFonts w:hint="eastAsia" w:ascii="宋体" w:hAnsi="宋体" w:cs="宋体"/>
                <w:color w:val="auto"/>
                <w:szCs w:val="21"/>
                <w:lang w:val="en-US" w:eastAsia="zh-CN"/>
              </w:rPr>
              <w:t>12</w:t>
            </w:r>
            <w:r>
              <w:rPr>
                <w:rFonts w:hint="eastAsia" w:ascii="宋体" w:hAnsi="宋体" w:cs="宋体"/>
                <w:color w:val="auto"/>
                <w:szCs w:val="21"/>
              </w:rPr>
              <w:t>分。</w:t>
            </w:r>
          </w:p>
          <w:p w14:paraId="7AAE9ED5">
            <w:pPr>
              <w:rPr>
                <w:rFonts w:hint="eastAsia" w:ascii="宋体" w:hAnsi="宋体" w:cs="宋体"/>
                <w:color w:val="auto"/>
                <w:szCs w:val="21"/>
              </w:rPr>
            </w:pPr>
            <w:r>
              <w:rPr>
                <w:rFonts w:hint="eastAsia" w:ascii="宋体" w:hAnsi="宋体" w:cs="宋体"/>
                <w:color w:val="auto"/>
                <w:kern w:val="0"/>
                <w:szCs w:val="21"/>
              </w:rPr>
              <w:t>注：</w:t>
            </w:r>
            <w:r>
              <w:rPr>
                <w:rFonts w:hint="eastAsia" w:ascii="宋体" w:hAnsi="宋体" w:cs="宋体"/>
                <w:color w:val="auto"/>
                <w:szCs w:val="21"/>
              </w:rPr>
              <w:t>须提供相关文件起草（编制）说明或原文件内容复印件附在技术标中，文件内容须体现投标人名称，否则不得分。</w:t>
            </w:r>
          </w:p>
        </w:tc>
      </w:tr>
      <w:tr w14:paraId="37F0F8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1714" w:type="dxa"/>
            <w:vMerge w:val="continue"/>
            <w:tcBorders>
              <w:left w:val="single" w:color="auto" w:sz="4" w:space="0"/>
              <w:right w:val="single" w:color="auto" w:sz="4" w:space="0"/>
            </w:tcBorders>
            <w:vAlign w:val="center"/>
          </w:tcPr>
          <w:p w14:paraId="238B2E2B">
            <w:pPr>
              <w:jc w:val="center"/>
              <w:rPr>
                <w:rFonts w:ascii="宋体" w:hAnsi="宋体" w:cs="宋体"/>
                <w:color w:val="auto"/>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208B18B6">
            <w:pPr>
              <w:jc w:val="center"/>
              <w:rPr>
                <w:rFonts w:hint="eastAsia" w:ascii="宋体" w:hAnsi="宋体" w:cs="宋体"/>
                <w:color w:val="auto"/>
                <w:szCs w:val="21"/>
              </w:rPr>
            </w:pPr>
            <w:r>
              <w:rPr>
                <w:rFonts w:hint="eastAsia" w:ascii="宋体" w:hAnsi="宋体" w:cs="宋体"/>
                <w:color w:val="auto"/>
                <w:szCs w:val="21"/>
              </w:rPr>
              <w:t>类似业绩</w:t>
            </w:r>
          </w:p>
        </w:tc>
        <w:tc>
          <w:tcPr>
            <w:tcW w:w="960" w:type="dxa"/>
            <w:tcBorders>
              <w:top w:val="single" w:color="auto" w:sz="4" w:space="0"/>
              <w:left w:val="single" w:color="auto" w:sz="4" w:space="0"/>
              <w:bottom w:val="single" w:color="auto" w:sz="4" w:space="0"/>
              <w:right w:val="single" w:color="auto" w:sz="4" w:space="0"/>
            </w:tcBorders>
            <w:vAlign w:val="center"/>
          </w:tcPr>
          <w:p w14:paraId="4F30B53A">
            <w:pPr>
              <w:adjustRightInd w:val="0"/>
              <w:snapToGrid w:val="0"/>
              <w:jc w:val="center"/>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分</w:t>
            </w:r>
          </w:p>
        </w:tc>
        <w:tc>
          <w:tcPr>
            <w:tcW w:w="5829" w:type="dxa"/>
            <w:tcBorders>
              <w:top w:val="single" w:color="auto" w:sz="4" w:space="0"/>
              <w:left w:val="single" w:color="auto" w:sz="4" w:space="0"/>
              <w:bottom w:val="single" w:color="auto" w:sz="4" w:space="0"/>
              <w:right w:val="single" w:color="auto" w:sz="4" w:space="0"/>
            </w:tcBorders>
            <w:vAlign w:val="center"/>
          </w:tcPr>
          <w:p w14:paraId="53D00FED">
            <w:pPr>
              <w:rPr>
                <w:rFonts w:hint="eastAsia" w:ascii="宋体" w:hAnsi="宋体" w:cs="宋体"/>
                <w:color w:val="auto"/>
                <w:kern w:val="0"/>
                <w:szCs w:val="21"/>
              </w:rPr>
            </w:pPr>
            <w:r>
              <w:rPr>
                <w:rFonts w:hint="eastAsia" w:ascii="宋体" w:hAnsi="宋体" w:cs="宋体"/>
                <w:color w:val="auto"/>
                <w:kern w:val="0"/>
                <w:szCs w:val="21"/>
              </w:rPr>
              <w:t>提供合同签订日期在202</w:t>
            </w:r>
            <w:r>
              <w:rPr>
                <w:rFonts w:hint="eastAsia" w:ascii="宋体" w:hAnsi="宋体" w:cs="宋体"/>
                <w:color w:val="auto"/>
                <w:kern w:val="0"/>
                <w:szCs w:val="21"/>
                <w:lang w:val="en-US" w:eastAsia="zh-CN"/>
              </w:rPr>
              <w:t>3</w:t>
            </w:r>
            <w:r>
              <w:rPr>
                <w:rFonts w:hint="eastAsia" w:ascii="宋体" w:hAnsi="宋体" w:cs="宋体"/>
                <w:color w:val="auto"/>
                <w:kern w:val="0"/>
                <w:szCs w:val="21"/>
              </w:rPr>
              <w:t>年1月1日至今已完成的类似项目的业绩。每个业绩得</w:t>
            </w:r>
            <w:r>
              <w:rPr>
                <w:rFonts w:hint="eastAsia" w:ascii="宋体" w:hAnsi="宋体" w:cs="宋体"/>
                <w:color w:val="auto"/>
                <w:kern w:val="0"/>
                <w:szCs w:val="21"/>
                <w:lang w:val="en-US" w:eastAsia="zh-CN"/>
              </w:rPr>
              <w:t>2</w:t>
            </w:r>
            <w:r>
              <w:rPr>
                <w:rFonts w:hint="eastAsia" w:ascii="宋体" w:hAnsi="宋体" w:cs="宋体"/>
                <w:color w:val="auto"/>
                <w:kern w:val="0"/>
                <w:szCs w:val="21"/>
              </w:rPr>
              <w:t>分，满分</w:t>
            </w:r>
            <w:r>
              <w:rPr>
                <w:rFonts w:hint="eastAsia" w:ascii="宋体" w:hAnsi="宋体" w:cs="宋体"/>
                <w:color w:val="auto"/>
                <w:kern w:val="0"/>
                <w:szCs w:val="21"/>
                <w:lang w:val="en-US" w:eastAsia="zh-CN"/>
              </w:rPr>
              <w:t>6</w:t>
            </w:r>
            <w:r>
              <w:rPr>
                <w:rFonts w:hint="eastAsia" w:ascii="宋体" w:hAnsi="宋体" w:cs="宋体"/>
                <w:color w:val="auto"/>
                <w:kern w:val="0"/>
                <w:szCs w:val="21"/>
              </w:rPr>
              <w:t>分。</w:t>
            </w:r>
          </w:p>
          <w:p w14:paraId="024126DA">
            <w:pPr>
              <w:rPr>
                <w:rFonts w:ascii="宋体" w:hAnsi="宋体" w:cs="宋体"/>
                <w:color w:val="auto"/>
                <w:kern w:val="0"/>
                <w:szCs w:val="21"/>
              </w:rPr>
            </w:pPr>
            <w:r>
              <w:rPr>
                <w:rFonts w:hint="eastAsia" w:ascii="宋体" w:hAnsi="宋体" w:cs="宋体"/>
                <w:color w:val="auto"/>
                <w:kern w:val="0"/>
                <w:szCs w:val="21"/>
              </w:rPr>
              <w:t>注：须提供合同复印件并加盖公章，否则不得分。</w:t>
            </w:r>
          </w:p>
        </w:tc>
      </w:tr>
      <w:tr w14:paraId="228609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1714" w:type="dxa"/>
            <w:vMerge w:val="continue"/>
            <w:tcBorders>
              <w:left w:val="single" w:color="auto" w:sz="4" w:space="0"/>
              <w:right w:val="single" w:color="auto" w:sz="4" w:space="0"/>
            </w:tcBorders>
            <w:vAlign w:val="center"/>
          </w:tcPr>
          <w:p w14:paraId="0800A028">
            <w:pPr>
              <w:jc w:val="center"/>
              <w:rPr>
                <w:rFonts w:ascii="宋体" w:hAnsi="宋体" w:cs="宋体"/>
                <w:color w:val="auto"/>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6744803E">
            <w:pPr>
              <w:jc w:val="center"/>
              <w:rPr>
                <w:rFonts w:hint="eastAsia" w:ascii="宋体" w:hAnsi="宋体" w:cs="宋体"/>
                <w:color w:val="auto"/>
                <w:szCs w:val="21"/>
              </w:rPr>
            </w:pPr>
            <w:r>
              <w:rPr>
                <w:rFonts w:hint="eastAsia"/>
                <w:color w:val="auto"/>
                <w:lang w:val="en-US" w:eastAsia="zh-CN"/>
              </w:rPr>
              <w:t>认证情况</w:t>
            </w:r>
          </w:p>
        </w:tc>
        <w:tc>
          <w:tcPr>
            <w:tcW w:w="960" w:type="dxa"/>
            <w:tcBorders>
              <w:top w:val="single" w:color="auto" w:sz="4" w:space="0"/>
              <w:left w:val="single" w:color="auto" w:sz="4" w:space="0"/>
              <w:bottom w:val="single" w:color="auto" w:sz="4" w:space="0"/>
              <w:right w:val="single" w:color="auto" w:sz="4" w:space="0"/>
            </w:tcBorders>
            <w:vAlign w:val="center"/>
          </w:tcPr>
          <w:p w14:paraId="0D3EBAC8">
            <w:pPr>
              <w:adjustRightInd w:val="0"/>
              <w:snapToGrid w:val="0"/>
              <w:jc w:val="center"/>
              <w:rPr>
                <w:rFonts w:hint="default" w:ascii="宋体" w:hAnsi="宋体" w:cs="宋体"/>
                <w:color w:val="auto"/>
                <w:szCs w:val="21"/>
                <w:lang w:val="en-US" w:eastAsia="zh-CN"/>
              </w:rPr>
            </w:pPr>
            <w:r>
              <w:rPr>
                <w:rFonts w:hint="eastAsia" w:ascii="宋体" w:hAnsi="宋体" w:cs="宋体"/>
                <w:color w:val="auto"/>
                <w:szCs w:val="21"/>
                <w:lang w:val="en-US" w:eastAsia="zh-CN"/>
              </w:rPr>
              <w:t>3分</w:t>
            </w:r>
          </w:p>
        </w:tc>
        <w:tc>
          <w:tcPr>
            <w:tcW w:w="5829" w:type="dxa"/>
            <w:tcBorders>
              <w:top w:val="single" w:color="auto" w:sz="4" w:space="0"/>
              <w:left w:val="single" w:color="auto" w:sz="4" w:space="0"/>
              <w:bottom w:val="single" w:color="auto" w:sz="4" w:space="0"/>
              <w:right w:val="single" w:color="auto" w:sz="4" w:space="0"/>
            </w:tcBorders>
            <w:vAlign w:val="center"/>
          </w:tcPr>
          <w:p w14:paraId="3A49EC12">
            <w:pP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 xml:space="preserve">投标人具有有效的质量管理体系认证证书、环境管理体系认证证书、职业健康安全管理体系认证证书，每提供一个得1分，最高得3分。 </w:t>
            </w:r>
          </w:p>
          <w:p w14:paraId="482A71E5">
            <w:pPr>
              <w:rPr>
                <w:rFonts w:hint="eastAsia" w:ascii="宋体" w:hAnsi="宋体" w:cs="宋体"/>
                <w:color w:val="auto"/>
                <w:kern w:val="0"/>
                <w:szCs w:val="21"/>
              </w:rPr>
            </w:pPr>
            <w:r>
              <w:rPr>
                <w:rFonts w:hint="eastAsia" w:ascii="宋体" w:hAnsi="宋体" w:eastAsia="宋体" w:cs="宋体"/>
                <w:color w:val="auto"/>
                <w:kern w:val="0"/>
                <w:szCs w:val="21"/>
                <w:lang w:val="en-US" w:eastAsia="zh-CN"/>
              </w:rPr>
              <w:t>注：提供有效期内的证书扫描件或复印件，证书单位名称需与响应投标人名称一致，否则不得分。</w:t>
            </w:r>
          </w:p>
        </w:tc>
      </w:tr>
      <w:tr w14:paraId="5F986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2" w:hRule="atLeast"/>
          <w:jc w:val="center"/>
        </w:trPr>
        <w:tc>
          <w:tcPr>
            <w:tcW w:w="1714" w:type="dxa"/>
            <w:vMerge w:val="continue"/>
            <w:tcBorders>
              <w:left w:val="single" w:color="auto" w:sz="4" w:space="0"/>
              <w:right w:val="single" w:color="auto" w:sz="4" w:space="0"/>
            </w:tcBorders>
            <w:vAlign w:val="center"/>
          </w:tcPr>
          <w:p w14:paraId="5572FF64">
            <w:pPr>
              <w:jc w:val="center"/>
              <w:rPr>
                <w:rFonts w:ascii="宋体" w:hAnsi="宋体" w:cs="宋体"/>
                <w:color w:val="auto"/>
                <w:szCs w:val="21"/>
              </w:rPr>
            </w:pPr>
          </w:p>
        </w:tc>
        <w:tc>
          <w:tcPr>
            <w:tcW w:w="1536" w:type="dxa"/>
            <w:tcBorders>
              <w:top w:val="single" w:color="auto" w:sz="4" w:space="0"/>
              <w:left w:val="single" w:color="auto" w:sz="4" w:space="0"/>
              <w:bottom w:val="single" w:color="auto" w:sz="4" w:space="0"/>
              <w:right w:val="single" w:color="auto" w:sz="4" w:space="0"/>
            </w:tcBorders>
            <w:vAlign w:val="center"/>
          </w:tcPr>
          <w:p w14:paraId="776531C8">
            <w:pPr>
              <w:jc w:val="center"/>
              <w:rPr>
                <w:rFonts w:hint="eastAsia"/>
                <w:color w:val="auto"/>
                <w:lang w:val="en-US" w:eastAsia="zh-CN"/>
              </w:rPr>
            </w:pPr>
            <w:r>
              <w:rPr>
                <w:rFonts w:hint="eastAsia"/>
                <w:color w:val="auto"/>
                <w:lang w:val="en-US" w:eastAsia="zh-CN"/>
              </w:rPr>
              <w:t>企业荣誉</w:t>
            </w:r>
          </w:p>
        </w:tc>
        <w:tc>
          <w:tcPr>
            <w:tcW w:w="960" w:type="dxa"/>
            <w:tcBorders>
              <w:top w:val="single" w:color="auto" w:sz="4" w:space="0"/>
              <w:left w:val="single" w:color="auto" w:sz="4" w:space="0"/>
              <w:bottom w:val="single" w:color="auto" w:sz="4" w:space="0"/>
              <w:right w:val="single" w:color="auto" w:sz="4" w:space="0"/>
            </w:tcBorders>
            <w:vAlign w:val="center"/>
          </w:tcPr>
          <w:p w14:paraId="4B8DB390">
            <w:pPr>
              <w:adjustRightInd w:val="0"/>
              <w:snapToGrid w:val="0"/>
              <w:jc w:val="center"/>
              <w:rPr>
                <w:rFonts w:hint="default" w:ascii="宋体" w:hAnsi="宋体" w:cs="宋体"/>
                <w:color w:val="auto"/>
                <w:szCs w:val="21"/>
                <w:lang w:val="en-US" w:eastAsia="zh-CN"/>
              </w:rPr>
            </w:pPr>
            <w:r>
              <w:rPr>
                <w:rFonts w:hint="eastAsia" w:ascii="宋体" w:hAnsi="宋体" w:cs="宋体"/>
                <w:color w:val="auto"/>
                <w:szCs w:val="21"/>
                <w:lang w:val="en-US" w:eastAsia="zh-CN"/>
              </w:rPr>
              <w:t>5分</w:t>
            </w:r>
          </w:p>
        </w:tc>
        <w:tc>
          <w:tcPr>
            <w:tcW w:w="5829" w:type="dxa"/>
            <w:tcBorders>
              <w:top w:val="single" w:color="auto" w:sz="4" w:space="0"/>
              <w:left w:val="single" w:color="auto" w:sz="4" w:space="0"/>
              <w:bottom w:val="single" w:color="auto" w:sz="4" w:space="0"/>
              <w:right w:val="single" w:color="auto" w:sz="4" w:space="0"/>
            </w:tcBorders>
            <w:vAlign w:val="center"/>
          </w:tcPr>
          <w:p w14:paraId="7E4E54BD">
            <w:pPr>
              <w:pStyle w:val="22"/>
              <w:jc w:val="left"/>
              <w:rPr>
                <w:rFonts w:hint="eastAsia" w:asciiTheme="minorHAnsi" w:hAnsiTheme="minorHAnsi" w:eastAsiaTheme="minorEastAsia" w:cstheme="minorBidi"/>
                <w:color w:val="auto"/>
                <w:kern w:val="0"/>
                <w:sz w:val="20"/>
                <w:szCs w:val="20"/>
                <w:lang w:val="en-US" w:eastAsia="zh-CN"/>
              </w:rPr>
            </w:pPr>
            <w:r>
              <w:rPr>
                <w:rFonts w:hint="eastAsia" w:asciiTheme="minorHAnsi" w:hAnsiTheme="minorHAnsi" w:eastAsiaTheme="minorEastAsia" w:cstheme="minorBidi"/>
                <w:color w:val="auto"/>
                <w:kern w:val="0"/>
                <w:sz w:val="20"/>
                <w:szCs w:val="20"/>
                <w:lang w:val="en-US" w:eastAsia="zh-CN"/>
              </w:rPr>
              <w:t>投标人受到过与安全生产相关的表彰</w:t>
            </w:r>
            <w:r>
              <w:rPr>
                <w:rFonts w:hint="eastAsia" w:cstheme="minorBidi"/>
                <w:color w:val="auto"/>
                <w:kern w:val="0"/>
                <w:sz w:val="20"/>
                <w:szCs w:val="20"/>
                <w:lang w:val="en-US" w:eastAsia="zh-CN"/>
              </w:rPr>
              <w:t>或</w:t>
            </w:r>
            <w:r>
              <w:rPr>
                <w:rFonts w:hint="eastAsia" w:asciiTheme="minorHAnsi" w:hAnsiTheme="minorHAnsi" w:eastAsiaTheme="minorEastAsia" w:cstheme="minorBidi"/>
                <w:color w:val="auto"/>
                <w:kern w:val="0"/>
                <w:sz w:val="20"/>
                <w:szCs w:val="20"/>
                <w:lang w:val="en-US" w:eastAsia="zh-CN"/>
              </w:rPr>
              <w:t>奖励</w:t>
            </w:r>
            <w:r>
              <w:rPr>
                <w:rFonts w:hint="eastAsia" w:cstheme="minorBidi"/>
                <w:color w:val="auto"/>
                <w:kern w:val="0"/>
                <w:sz w:val="20"/>
                <w:szCs w:val="20"/>
                <w:lang w:val="en-US" w:eastAsia="zh-CN"/>
              </w:rPr>
              <w:t>的，</w:t>
            </w:r>
            <w:r>
              <w:rPr>
                <w:rFonts w:hint="eastAsia" w:asciiTheme="minorHAnsi" w:hAnsiTheme="minorHAnsi" w:eastAsiaTheme="minorEastAsia" w:cstheme="minorBidi"/>
                <w:color w:val="auto"/>
                <w:kern w:val="0"/>
                <w:sz w:val="20"/>
                <w:szCs w:val="20"/>
                <w:lang w:val="en-US" w:eastAsia="zh-CN"/>
              </w:rPr>
              <w:t>地级市荣誉的每1项得1分，省级荣誉的每1项得2分，国家级（含国家级行业协会颁发）荣誉的每1项得3分，本小项满分5分。</w:t>
            </w:r>
          </w:p>
          <w:p w14:paraId="186CF700">
            <w:pPr>
              <w:rPr>
                <w:rFonts w:hint="eastAsia" w:ascii="宋体" w:hAnsi="宋体" w:eastAsia="宋体" w:cs="宋体"/>
                <w:color w:val="auto"/>
                <w:kern w:val="0"/>
                <w:szCs w:val="21"/>
                <w:lang w:val="en-US" w:eastAsia="zh-CN"/>
              </w:rPr>
            </w:pPr>
            <w:r>
              <w:rPr>
                <w:rFonts w:hint="eastAsia" w:asciiTheme="minorHAnsi" w:hAnsiTheme="minorHAnsi" w:eastAsiaTheme="minorEastAsia" w:cstheme="minorBidi"/>
                <w:color w:val="auto"/>
                <w:kern w:val="0"/>
                <w:sz w:val="20"/>
                <w:szCs w:val="20"/>
                <w:lang w:val="en-US" w:eastAsia="zh-CN"/>
              </w:rPr>
              <w:t>注：投标文件中需提供相关证书或证明材料复印件。</w:t>
            </w:r>
          </w:p>
        </w:tc>
      </w:tr>
      <w:tr w14:paraId="0E3908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1714" w:type="dxa"/>
            <w:vMerge w:val="restart"/>
            <w:tcBorders>
              <w:top w:val="single" w:color="auto" w:sz="4" w:space="0"/>
              <w:left w:val="single" w:color="auto" w:sz="4" w:space="0"/>
              <w:right w:val="single" w:color="auto" w:sz="4" w:space="0"/>
            </w:tcBorders>
            <w:vAlign w:val="center"/>
          </w:tcPr>
          <w:p w14:paraId="0BCE637F">
            <w:pPr>
              <w:jc w:val="center"/>
              <w:rPr>
                <w:rFonts w:ascii="宋体" w:hAnsi="宋体" w:cs="宋体"/>
                <w:color w:val="auto"/>
                <w:szCs w:val="21"/>
              </w:rPr>
            </w:pPr>
            <w:r>
              <w:rPr>
                <w:rFonts w:hint="eastAsia" w:ascii="宋体" w:hAnsi="宋体" w:cs="宋体"/>
                <w:color w:val="auto"/>
                <w:szCs w:val="21"/>
              </w:rPr>
              <w:t>技术</w:t>
            </w:r>
          </w:p>
          <w:p w14:paraId="67883E3F">
            <w:pPr>
              <w:jc w:val="center"/>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40</w:t>
            </w:r>
            <w:r>
              <w:rPr>
                <w:rFonts w:hint="eastAsia" w:ascii="宋体" w:hAnsi="宋体" w:cs="宋体"/>
                <w:color w:val="auto"/>
                <w:szCs w:val="21"/>
              </w:rPr>
              <w:t>分）</w:t>
            </w:r>
          </w:p>
        </w:tc>
        <w:tc>
          <w:tcPr>
            <w:tcW w:w="1536" w:type="dxa"/>
            <w:tcBorders>
              <w:top w:val="single" w:color="auto" w:sz="4" w:space="0"/>
              <w:left w:val="single" w:color="auto" w:sz="4" w:space="0"/>
              <w:bottom w:val="single" w:color="auto" w:sz="4" w:space="0"/>
              <w:right w:val="single" w:color="auto" w:sz="4" w:space="0"/>
            </w:tcBorders>
            <w:vAlign w:val="center"/>
          </w:tcPr>
          <w:p w14:paraId="2068E92D">
            <w:pPr>
              <w:pStyle w:val="23"/>
              <w:spacing w:line="400" w:lineRule="exact"/>
              <w:jc w:val="center"/>
              <w:rPr>
                <w:rFonts w:ascii="宋体" w:hAnsi="宋体" w:cs="宋体"/>
                <w:color w:val="auto"/>
                <w:szCs w:val="21"/>
              </w:rPr>
            </w:pPr>
            <w:r>
              <w:rPr>
                <w:rFonts w:hint="eastAsia" w:ascii="宋体" w:hAnsi="宋体" w:cs="宋体"/>
                <w:color w:val="auto"/>
                <w:spacing w:val="-10"/>
                <w:sz w:val="21"/>
                <w:szCs w:val="21"/>
              </w:rPr>
              <w:t>项目实施方案</w:t>
            </w:r>
          </w:p>
        </w:tc>
        <w:tc>
          <w:tcPr>
            <w:tcW w:w="960" w:type="dxa"/>
            <w:tcBorders>
              <w:top w:val="single" w:color="auto" w:sz="4" w:space="0"/>
              <w:left w:val="single" w:color="auto" w:sz="4" w:space="0"/>
              <w:bottom w:val="single" w:color="auto" w:sz="4" w:space="0"/>
              <w:right w:val="single" w:color="auto" w:sz="4" w:space="0"/>
            </w:tcBorders>
            <w:vAlign w:val="center"/>
          </w:tcPr>
          <w:p w14:paraId="1B6F2E9D">
            <w:pPr>
              <w:jc w:val="center"/>
              <w:rPr>
                <w:rFonts w:hint="eastAsia" w:ascii="宋体" w:hAnsi="宋体"/>
                <w:color w:val="auto"/>
                <w:szCs w:val="21"/>
              </w:rPr>
            </w:pPr>
            <w:r>
              <w:rPr>
                <w:rFonts w:hint="eastAsia" w:ascii="宋体" w:hAnsi="宋体" w:cs="宋体"/>
                <w:color w:val="auto"/>
                <w:szCs w:val="21"/>
                <w:lang w:val="en-US" w:eastAsia="zh-CN"/>
              </w:rPr>
              <w:t>40</w:t>
            </w:r>
            <w:r>
              <w:rPr>
                <w:rFonts w:hint="eastAsia" w:ascii="宋体" w:hAnsi="宋体" w:cs="宋体"/>
                <w:color w:val="auto"/>
                <w:szCs w:val="21"/>
              </w:rPr>
              <w:t>分</w:t>
            </w:r>
          </w:p>
        </w:tc>
        <w:tc>
          <w:tcPr>
            <w:tcW w:w="5829" w:type="dxa"/>
            <w:tcBorders>
              <w:top w:val="single" w:color="auto" w:sz="4" w:space="0"/>
              <w:left w:val="single" w:color="auto" w:sz="4" w:space="0"/>
              <w:bottom w:val="single" w:color="auto" w:sz="4" w:space="0"/>
              <w:right w:val="single" w:color="auto" w:sz="4" w:space="0"/>
            </w:tcBorders>
            <w:vAlign w:val="center"/>
          </w:tcPr>
          <w:p w14:paraId="25F339AF">
            <w:pPr>
              <w:rPr>
                <w:rFonts w:hint="eastAsia" w:ascii="宋体" w:hAnsi="宋体"/>
                <w:color w:val="auto"/>
                <w:szCs w:val="21"/>
              </w:rPr>
            </w:pPr>
            <w:r>
              <w:rPr>
                <w:rFonts w:hint="eastAsia" w:ascii="宋体" w:hAnsi="宋体" w:cs="宋体"/>
                <w:color w:val="auto"/>
                <w:szCs w:val="21"/>
              </w:rPr>
              <w:t>根据供应商提供的项目实施方案（</w:t>
            </w:r>
            <w:r>
              <w:rPr>
                <w:rFonts w:hint="eastAsia" w:ascii="宋体" w:hAnsi="宋体" w:cs="宋体"/>
                <w:color w:val="auto"/>
                <w:szCs w:val="21"/>
                <w:lang w:val="en-US" w:eastAsia="zh-CN"/>
              </w:rPr>
              <w:t>1.</w:t>
            </w:r>
            <w:r>
              <w:rPr>
                <w:rFonts w:hint="eastAsia" w:ascii="宋体" w:hAnsi="宋体" w:cs="宋体"/>
                <w:color w:val="auto"/>
                <w:szCs w:val="21"/>
              </w:rPr>
              <w:t>总体工作思路</w:t>
            </w:r>
            <w:r>
              <w:rPr>
                <w:rFonts w:hint="eastAsia" w:ascii="宋体" w:hAnsi="宋体" w:cs="宋体"/>
                <w:color w:val="auto"/>
                <w:szCs w:val="21"/>
                <w:lang w:eastAsia="zh-CN"/>
              </w:rPr>
              <w:t>；</w:t>
            </w:r>
            <w:r>
              <w:rPr>
                <w:rFonts w:hint="eastAsia" w:ascii="宋体" w:hAnsi="宋体" w:cs="宋体"/>
                <w:color w:val="auto"/>
                <w:szCs w:val="21"/>
                <w:lang w:val="en-US" w:eastAsia="zh-CN"/>
              </w:rPr>
              <w:t>2.</w:t>
            </w:r>
            <w:r>
              <w:rPr>
                <w:rFonts w:hint="eastAsia" w:ascii="宋体" w:hAnsi="宋体" w:cs="宋体"/>
                <w:color w:val="auto"/>
                <w:szCs w:val="21"/>
              </w:rPr>
              <w:t>任务目标</w:t>
            </w:r>
            <w:r>
              <w:rPr>
                <w:rFonts w:hint="eastAsia" w:ascii="宋体" w:hAnsi="宋体" w:cs="宋体"/>
                <w:color w:val="auto"/>
                <w:szCs w:val="21"/>
                <w:lang w:eastAsia="zh-CN"/>
              </w:rPr>
              <w:t>；</w:t>
            </w:r>
            <w:r>
              <w:rPr>
                <w:rFonts w:hint="eastAsia" w:ascii="宋体" w:hAnsi="宋体" w:cs="宋体"/>
                <w:color w:val="auto"/>
                <w:szCs w:val="21"/>
                <w:lang w:val="en-US" w:eastAsia="zh-CN"/>
              </w:rPr>
              <w:t>3.现场核查和隐患整改复查</w:t>
            </w:r>
            <w:r>
              <w:rPr>
                <w:rFonts w:hint="eastAsia" w:ascii="宋体" w:hAnsi="宋体" w:cs="宋体"/>
                <w:color w:val="auto"/>
                <w:szCs w:val="21"/>
              </w:rPr>
              <w:t>方案</w:t>
            </w:r>
            <w:r>
              <w:rPr>
                <w:rFonts w:hint="eastAsia" w:ascii="宋体" w:hAnsi="宋体" w:cs="宋体"/>
                <w:color w:val="auto"/>
                <w:szCs w:val="21"/>
                <w:lang w:eastAsia="zh-CN"/>
              </w:rPr>
              <w:t>；</w:t>
            </w:r>
            <w:r>
              <w:rPr>
                <w:rFonts w:hint="eastAsia" w:ascii="宋体" w:hAnsi="宋体" w:cs="宋体"/>
                <w:color w:val="auto"/>
                <w:szCs w:val="21"/>
                <w:lang w:val="en-US" w:eastAsia="zh-CN"/>
              </w:rPr>
              <w:t>4.项目进度计划；5.项目质量保证措施。</w:t>
            </w:r>
            <w:r>
              <w:rPr>
                <w:rFonts w:hint="eastAsia" w:ascii="宋体" w:hAnsi="宋体" w:cs="宋体"/>
                <w:color w:val="auto"/>
                <w:szCs w:val="21"/>
              </w:rPr>
              <w:t>）进行综合评审</w:t>
            </w:r>
            <w:r>
              <w:rPr>
                <w:rFonts w:hint="eastAsia" w:ascii="宋体" w:hAnsi="宋体" w:cs="宋体"/>
                <w:color w:val="auto"/>
                <w:szCs w:val="21"/>
                <w:lang w:eastAsia="zh-CN"/>
              </w:rPr>
              <w:t>，</w:t>
            </w:r>
            <w:r>
              <w:rPr>
                <w:rFonts w:hint="eastAsia" w:ascii="宋体" w:hAnsi="宋体" w:cs="宋体"/>
                <w:color w:val="auto"/>
                <w:szCs w:val="21"/>
              </w:rPr>
              <w:t>内容完全满足本项目需求的得</w:t>
            </w:r>
            <w:r>
              <w:rPr>
                <w:rFonts w:hint="eastAsia" w:ascii="宋体" w:hAnsi="宋体" w:cs="宋体"/>
                <w:color w:val="auto"/>
                <w:szCs w:val="21"/>
                <w:lang w:val="en-US" w:eastAsia="zh-CN"/>
              </w:rPr>
              <w:t>40</w:t>
            </w:r>
            <w:r>
              <w:rPr>
                <w:rFonts w:hint="eastAsia" w:ascii="宋体" w:hAnsi="宋体" w:cs="宋体"/>
                <w:color w:val="auto"/>
                <w:szCs w:val="21"/>
              </w:rPr>
              <w:t>分，每</w:t>
            </w:r>
            <w:r>
              <w:rPr>
                <w:rFonts w:hint="eastAsia" w:ascii="宋体" w:hAnsi="宋体" w:cs="宋体"/>
                <w:color w:val="auto"/>
                <w:szCs w:val="21"/>
                <w:lang w:val="en-US" w:eastAsia="zh-CN"/>
              </w:rPr>
              <w:t>小</w:t>
            </w:r>
            <w:r>
              <w:rPr>
                <w:rFonts w:hint="eastAsia" w:ascii="宋体" w:hAnsi="宋体" w:cs="宋体"/>
                <w:color w:val="auto"/>
                <w:szCs w:val="21"/>
              </w:rPr>
              <w:t>项内容中有缺项漏项或欠合理的每处扣</w:t>
            </w:r>
            <w:r>
              <w:rPr>
                <w:rFonts w:hint="eastAsia" w:ascii="宋体" w:hAnsi="宋体" w:cs="宋体"/>
                <w:color w:val="auto"/>
                <w:szCs w:val="21"/>
                <w:lang w:val="en-US" w:eastAsia="zh-CN"/>
              </w:rPr>
              <w:t>2</w:t>
            </w:r>
            <w:r>
              <w:rPr>
                <w:rFonts w:hint="eastAsia" w:ascii="宋体" w:hAnsi="宋体" w:cs="宋体"/>
                <w:color w:val="auto"/>
                <w:szCs w:val="21"/>
              </w:rPr>
              <w:t>分，扣完为止。（明显不合理或未递交的不计分）。</w:t>
            </w:r>
          </w:p>
        </w:tc>
      </w:tr>
      <w:tr w14:paraId="0EF517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250" w:type="dxa"/>
            <w:gridSpan w:val="2"/>
            <w:tcBorders>
              <w:top w:val="single" w:color="auto" w:sz="4" w:space="0"/>
              <w:left w:val="single" w:color="auto" w:sz="4" w:space="0"/>
              <w:bottom w:val="single" w:color="auto" w:sz="4" w:space="0"/>
              <w:right w:val="single" w:color="auto" w:sz="4" w:space="0"/>
            </w:tcBorders>
            <w:vAlign w:val="center"/>
          </w:tcPr>
          <w:p w14:paraId="6C90565F">
            <w:pPr>
              <w:adjustRightInd w:val="0"/>
              <w:snapToGrid w:val="0"/>
              <w:jc w:val="center"/>
              <w:rPr>
                <w:rFonts w:ascii="宋体" w:hAnsi="宋体" w:cs="宋体"/>
                <w:color w:val="auto"/>
                <w:szCs w:val="21"/>
              </w:rPr>
            </w:pPr>
            <w:r>
              <w:rPr>
                <w:rFonts w:hint="eastAsia" w:ascii="宋体" w:hAnsi="宋体" w:cs="宋体"/>
                <w:color w:val="auto"/>
                <w:szCs w:val="21"/>
              </w:rPr>
              <w:t>合计</w:t>
            </w:r>
          </w:p>
        </w:tc>
        <w:tc>
          <w:tcPr>
            <w:tcW w:w="960" w:type="dxa"/>
            <w:tcBorders>
              <w:top w:val="single" w:color="auto" w:sz="4" w:space="0"/>
              <w:left w:val="single" w:color="auto" w:sz="4" w:space="0"/>
              <w:bottom w:val="single" w:color="auto" w:sz="4" w:space="0"/>
              <w:right w:val="single" w:color="auto" w:sz="4" w:space="0"/>
            </w:tcBorders>
            <w:vAlign w:val="center"/>
          </w:tcPr>
          <w:p w14:paraId="3D49B747">
            <w:pPr>
              <w:adjustRightInd w:val="0"/>
              <w:snapToGrid w:val="0"/>
              <w:jc w:val="center"/>
              <w:rPr>
                <w:rFonts w:ascii="宋体" w:hAnsi="宋体" w:cs="宋体"/>
                <w:color w:val="auto"/>
                <w:szCs w:val="21"/>
              </w:rPr>
            </w:pPr>
            <w:r>
              <w:rPr>
                <w:rFonts w:hint="eastAsia" w:ascii="宋体" w:hAnsi="宋体" w:cs="宋体"/>
                <w:color w:val="auto"/>
                <w:szCs w:val="21"/>
              </w:rPr>
              <w:t>100</w:t>
            </w:r>
          </w:p>
        </w:tc>
        <w:tc>
          <w:tcPr>
            <w:tcW w:w="5829" w:type="dxa"/>
            <w:tcBorders>
              <w:top w:val="single" w:color="auto" w:sz="4" w:space="0"/>
              <w:left w:val="single" w:color="auto" w:sz="4" w:space="0"/>
              <w:bottom w:val="single" w:color="auto" w:sz="4" w:space="0"/>
              <w:right w:val="single" w:color="auto" w:sz="4" w:space="0"/>
            </w:tcBorders>
            <w:vAlign w:val="center"/>
          </w:tcPr>
          <w:p w14:paraId="0B60C3DB">
            <w:pPr>
              <w:adjustRightInd w:val="0"/>
              <w:snapToGrid w:val="0"/>
              <w:jc w:val="center"/>
              <w:rPr>
                <w:rFonts w:ascii="宋体" w:hAnsi="宋体" w:cs="宋体"/>
                <w:color w:val="auto"/>
                <w:szCs w:val="21"/>
              </w:rPr>
            </w:pPr>
          </w:p>
        </w:tc>
      </w:tr>
    </w:tbl>
    <w:p w14:paraId="0C59DEDE">
      <w:pPr>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注：评分由湛江市应急管理局项目采购小组具体实施。</w:t>
      </w:r>
    </w:p>
    <w:p w14:paraId="6CF83E84">
      <w:pPr>
        <w:tabs>
          <w:tab w:val="left" w:pos="728"/>
        </w:tabs>
        <w:ind w:firstLine="640"/>
        <w:jc w:val="left"/>
        <w:rPr>
          <w:rFonts w:hint="eastAsia" w:ascii="宋体" w:hAnsi="宋体" w:cs="仿宋_GB2312"/>
          <w:sz w:val="32"/>
          <w:szCs w:val="32"/>
        </w:rPr>
      </w:pPr>
    </w:p>
    <w:p w14:paraId="755DB384">
      <w:pPr>
        <w:tabs>
          <w:tab w:val="left" w:pos="728"/>
        </w:tabs>
        <w:jc w:val="left"/>
        <w:rPr>
          <w:rFonts w:hint="eastAsia" w:ascii="宋体" w:hAnsi="宋体" w:cs="Times New Roman"/>
          <w:b/>
          <w:bCs/>
          <w:sz w:val="32"/>
          <w:szCs w:val="32"/>
        </w:rPr>
      </w:pPr>
    </w:p>
    <w:p w14:paraId="26BCD4ED">
      <w:pPr>
        <w:tabs>
          <w:tab w:val="left" w:pos="728"/>
        </w:tabs>
        <w:ind w:firstLine="640"/>
        <w:jc w:val="left"/>
        <w:rPr>
          <w:rFonts w:hint="eastAsia" w:ascii="宋体" w:hAnsi="宋体" w:cs="Times New Roman"/>
          <w:b/>
          <w:bCs/>
          <w:sz w:val="32"/>
          <w:szCs w:val="32"/>
        </w:rPr>
        <w:sectPr>
          <w:footerReference r:id="rId3" w:type="default"/>
          <w:pgSz w:w="11906" w:h="16838"/>
          <w:pgMar w:top="1440" w:right="1800" w:bottom="1440" w:left="1800" w:header="851" w:footer="992" w:gutter="0"/>
          <w:cols w:space="425" w:num="1"/>
          <w:docGrid w:type="lines" w:linePitch="312" w:charSpace="0"/>
        </w:sectPr>
      </w:pPr>
    </w:p>
    <w:p w14:paraId="774E8BAF">
      <w:pPr>
        <w:rPr>
          <w:rFonts w:hint="default"/>
          <w:lang w:val="en-US" w:eastAsia="zh-CN"/>
        </w:rPr>
      </w:pPr>
      <w:r>
        <w:rPr>
          <w:rFonts w:hint="eastAsia"/>
          <w:sz w:val="30"/>
          <w:szCs w:val="30"/>
          <w:lang w:eastAsia="zh-CN"/>
        </w:rPr>
        <w:t>附件</w:t>
      </w:r>
      <w:r>
        <w:rPr>
          <w:rFonts w:hint="eastAsia"/>
          <w:sz w:val="30"/>
          <w:szCs w:val="30"/>
          <w:lang w:val="en-US" w:eastAsia="zh-CN"/>
        </w:rPr>
        <w:t>2</w:t>
      </w:r>
    </w:p>
    <w:p w14:paraId="2104D824">
      <w:pPr>
        <w:jc w:val="center"/>
        <w:rPr>
          <w:rFonts w:hint="eastAsia" w:ascii="仿宋" w:hAnsi="仿宋" w:eastAsia="仿宋"/>
          <w:b/>
          <w:bCs/>
          <w:color w:val="auto"/>
          <w:sz w:val="36"/>
          <w:szCs w:val="36"/>
        </w:rPr>
      </w:pPr>
      <w:r>
        <w:rPr>
          <w:rFonts w:hint="eastAsia" w:ascii="仿宋" w:hAnsi="仿宋" w:eastAsia="仿宋"/>
          <w:b/>
          <w:bCs/>
          <w:color w:val="auto"/>
          <w:sz w:val="36"/>
          <w:szCs w:val="36"/>
        </w:rPr>
        <w:t>巴斯夫一体化项目生产装置储运设施汇总表</w:t>
      </w:r>
    </w:p>
    <w:p w14:paraId="36BA9142">
      <w:pPr>
        <w:jc w:val="center"/>
        <w:rPr>
          <w:rFonts w:hint="eastAsia" w:ascii="仿宋" w:hAnsi="仿宋" w:eastAsia="仿宋"/>
          <w:b/>
          <w:bCs/>
          <w:color w:val="auto"/>
          <w:sz w:val="36"/>
          <w:szCs w:val="36"/>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3594"/>
        <w:gridCol w:w="8074"/>
        <w:gridCol w:w="1520"/>
      </w:tblGrid>
      <w:tr w14:paraId="034D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57D35E9F">
            <w:pPr>
              <w:jc w:val="center"/>
              <w:rPr>
                <w:b/>
                <w:bCs/>
                <w:szCs w:val="21"/>
              </w:rPr>
            </w:pPr>
            <w:r>
              <w:rPr>
                <w:b/>
                <w:bCs/>
                <w:szCs w:val="21"/>
              </w:rPr>
              <w:t>序号</w:t>
            </w:r>
          </w:p>
        </w:tc>
        <w:tc>
          <w:tcPr>
            <w:tcW w:w="3533" w:type="dxa"/>
            <w:vAlign w:val="center"/>
          </w:tcPr>
          <w:p w14:paraId="62E1D4B9">
            <w:pPr>
              <w:jc w:val="center"/>
              <w:rPr>
                <w:b/>
                <w:bCs/>
                <w:szCs w:val="21"/>
              </w:rPr>
            </w:pPr>
            <w:r>
              <w:rPr>
                <w:b/>
                <w:bCs/>
                <w:szCs w:val="21"/>
              </w:rPr>
              <w:t>装置名称</w:t>
            </w:r>
          </w:p>
        </w:tc>
        <w:tc>
          <w:tcPr>
            <w:tcW w:w="7938" w:type="dxa"/>
          </w:tcPr>
          <w:p w14:paraId="0CAAAAAE">
            <w:pPr>
              <w:jc w:val="center"/>
              <w:rPr>
                <w:b/>
                <w:bCs/>
                <w:szCs w:val="21"/>
              </w:rPr>
            </w:pPr>
            <w:r>
              <w:rPr>
                <w:b/>
                <w:bCs/>
                <w:szCs w:val="21"/>
              </w:rPr>
              <w:t>主要建设内容</w:t>
            </w:r>
          </w:p>
        </w:tc>
        <w:tc>
          <w:tcPr>
            <w:tcW w:w="1494" w:type="dxa"/>
            <w:vAlign w:val="center"/>
          </w:tcPr>
          <w:p w14:paraId="0A629727">
            <w:pPr>
              <w:jc w:val="center"/>
              <w:rPr>
                <w:b/>
                <w:bCs/>
                <w:szCs w:val="21"/>
              </w:rPr>
            </w:pPr>
            <w:r>
              <w:rPr>
                <w:b/>
                <w:bCs/>
                <w:szCs w:val="21"/>
              </w:rPr>
              <w:t>备注</w:t>
            </w:r>
          </w:p>
        </w:tc>
      </w:tr>
      <w:tr w14:paraId="0B07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4A81A3F6">
            <w:pPr>
              <w:jc w:val="center"/>
              <w:rPr>
                <w:b/>
                <w:bCs/>
                <w:szCs w:val="21"/>
              </w:rPr>
            </w:pPr>
            <w:r>
              <w:rPr>
                <w:rFonts w:hint="eastAsia"/>
                <w:b/>
                <w:bCs/>
                <w:szCs w:val="21"/>
              </w:rPr>
              <w:t>一</w:t>
            </w:r>
          </w:p>
        </w:tc>
        <w:tc>
          <w:tcPr>
            <w:tcW w:w="3533" w:type="dxa"/>
            <w:vAlign w:val="center"/>
          </w:tcPr>
          <w:p w14:paraId="6A7BDE2C">
            <w:pPr>
              <w:jc w:val="center"/>
              <w:rPr>
                <w:b/>
                <w:bCs/>
                <w:szCs w:val="21"/>
              </w:rPr>
            </w:pPr>
            <w:r>
              <w:rPr>
                <w:b/>
                <w:bCs/>
                <w:szCs w:val="21"/>
              </w:rPr>
              <w:t>生产装置</w:t>
            </w:r>
          </w:p>
        </w:tc>
        <w:tc>
          <w:tcPr>
            <w:tcW w:w="7938" w:type="dxa"/>
          </w:tcPr>
          <w:p w14:paraId="2D072B9B">
            <w:pPr>
              <w:jc w:val="center"/>
              <w:rPr>
                <w:b/>
                <w:bCs/>
                <w:szCs w:val="21"/>
              </w:rPr>
            </w:pPr>
          </w:p>
        </w:tc>
        <w:tc>
          <w:tcPr>
            <w:tcW w:w="1494" w:type="dxa"/>
            <w:vAlign w:val="center"/>
          </w:tcPr>
          <w:p w14:paraId="0720A930">
            <w:pPr>
              <w:jc w:val="center"/>
              <w:rPr>
                <w:b/>
                <w:bCs/>
                <w:szCs w:val="21"/>
              </w:rPr>
            </w:pPr>
          </w:p>
        </w:tc>
      </w:tr>
      <w:tr w14:paraId="7DFC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2F894041">
            <w:pPr>
              <w:jc w:val="center"/>
              <w:rPr>
                <w:szCs w:val="21"/>
              </w:rPr>
            </w:pPr>
            <w:r>
              <w:rPr>
                <w:szCs w:val="21"/>
              </w:rPr>
              <w:t>1</w:t>
            </w:r>
          </w:p>
        </w:tc>
        <w:tc>
          <w:tcPr>
            <w:tcW w:w="3533" w:type="dxa"/>
            <w:vAlign w:val="center"/>
          </w:tcPr>
          <w:p w14:paraId="3F72C060">
            <w:pPr>
              <w:jc w:val="center"/>
              <w:rPr>
                <w:szCs w:val="21"/>
              </w:rPr>
            </w:pPr>
            <w:r>
              <w:rPr>
                <w:szCs w:val="21"/>
              </w:rPr>
              <w:t>100万吨/年乙烯联合装置</w:t>
            </w:r>
          </w:p>
          <w:p w14:paraId="304AF6A5">
            <w:pPr>
              <w:jc w:val="center"/>
              <w:rPr>
                <w:szCs w:val="21"/>
              </w:rPr>
            </w:pPr>
            <w:r>
              <w:rPr>
                <w:szCs w:val="21"/>
              </w:rPr>
              <w:t>（含100万吨/年蒸汽裂解装置、65万吨/年裂解汽油加氢装置、48万吨/年芳烃抽提装置、5万吨/年异丁烯抽提装置、52万吨/年碳四选择加氢装置和3.4万吨/年变压吸附制氢装置）</w:t>
            </w:r>
          </w:p>
        </w:tc>
        <w:tc>
          <w:tcPr>
            <w:tcW w:w="7938" w:type="dxa"/>
          </w:tcPr>
          <w:p w14:paraId="46E4F4A1">
            <w:pPr>
              <w:jc w:val="left"/>
              <w:rPr>
                <w:szCs w:val="21"/>
              </w:rPr>
            </w:pPr>
            <w:r>
              <w:rPr>
                <w:rFonts w:hint="eastAsia"/>
                <w:szCs w:val="21"/>
              </w:rPr>
              <w:t>工艺装置：100万吨/年蒸汽裂解装置、65万吨/年裂解汽油加氢装置、48万吨/年芳烃抽提装置、5万吨/年异丁烯装置、52万吨/年碳四选择加氢装置、3.4万吨/年变压吸附制氢装置</w:t>
            </w:r>
          </w:p>
          <w:p w14:paraId="5889926A">
            <w:pPr>
              <w:jc w:val="left"/>
              <w:rPr>
                <w:szCs w:val="21"/>
              </w:rPr>
            </w:pPr>
            <w:r>
              <w:rPr>
                <w:rFonts w:hint="eastAsia"/>
                <w:szCs w:val="21"/>
              </w:rPr>
              <w:t>储运设施：备品备件仓库、润滑油库</w:t>
            </w:r>
          </w:p>
          <w:p w14:paraId="30C2C2C0">
            <w:pPr>
              <w:jc w:val="left"/>
              <w:rPr>
                <w:szCs w:val="21"/>
              </w:rPr>
            </w:pPr>
            <w:r>
              <w:rPr>
                <w:rFonts w:hint="eastAsia"/>
                <w:szCs w:val="21"/>
              </w:rPr>
              <w:t>公用工程及辅助设施：闭式循环水场、高架火炬、乙烯1号变电所（#29）、乙烯2号变电所（#28）、乙烯3号变电所（#28A）、乙烯4号变电所（#28B）、乙烯中央控制室、维修车间、设备清洗区等</w:t>
            </w:r>
          </w:p>
          <w:p w14:paraId="3AB61C36">
            <w:pPr>
              <w:jc w:val="left"/>
              <w:rPr>
                <w:szCs w:val="21"/>
              </w:rPr>
            </w:pPr>
            <w:r>
              <w:rPr>
                <w:rFonts w:hint="eastAsia"/>
                <w:szCs w:val="21"/>
              </w:rPr>
              <w:t>环境治理设施；隔油、含油污水收集池、低压湿式氧化、低氮+SCR、旋风除尘、活性炭吸附、危险固废、一般固废暂存库</w:t>
            </w:r>
          </w:p>
        </w:tc>
        <w:tc>
          <w:tcPr>
            <w:tcW w:w="1494" w:type="dxa"/>
            <w:vAlign w:val="center"/>
          </w:tcPr>
          <w:p w14:paraId="776522FF">
            <w:pPr>
              <w:jc w:val="center"/>
              <w:rPr>
                <w:szCs w:val="21"/>
              </w:rPr>
            </w:pPr>
            <w:r>
              <w:rPr>
                <w:szCs w:val="21"/>
              </w:rPr>
              <w:t>乙烯区</w:t>
            </w:r>
          </w:p>
        </w:tc>
      </w:tr>
      <w:tr w14:paraId="4560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5E9DAAA5">
            <w:pPr>
              <w:jc w:val="center"/>
              <w:rPr>
                <w:szCs w:val="21"/>
              </w:rPr>
            </w:pPr>
            <w:r>
              <w:rPr>
                <w:szCs w:val="21"/>
              </w:rPr>
              <w:t>2</w:t>
            </w:r>
          </w:p>
        </w:tc>
        <w:tc>
          <w:tcPr>
            <w:tcW w:w="3533" w:type="dxa"/>
            <w:vAlign w:val="center"/>
          </w:tcPr>
          <w:p w14:paraId="61A865F7">
            <w:pPr>
              <w:jc w:val="center"/>
              <w:rPr>
                <w:szCs w:val="21"/>
              </w:rPr>
            </w:pPr>
            <w:r>
              <w:rPr>
                <w:szCs w:val="21"/>
              </w:rPr>
              <w:t>66/83/20万吨/年环氧乙烷/乙二醇/精制环氧乙烷装置</w:t>
            </w:r>
          </w:p>
        </w:tc>
        <w:tc>
          <w:tcPr>
            <w:tcW w:w="7938" w:type="dxa"/>
          </w:tcPr>
          <w:p w14:paraId="145C8F66">
            <w:pPr>
              <w:jc w:val="left"/>
              <w:rPr>
                <w:szCs w:val="21"/>
              </w:rPr>
            </w:pPr>
            <w:r>
              <w:rPr>
                <w:szCs w:val="21"/>
              </w:rPr>
              <w:t>工艺装置：66万吨/年环氧乙烷装置（EO）（含20万吨/年环氧乙烷精制（PEO）单元）、83万吨/年乙二醇装置（EG）</w:t>
            </w:r>
          </w:p>
          <w:p w14:paraId="3DF5E74A">
            <w:pPr>
              <w:jc w:val="left"/>
              <w:rPr>
                <w:szCs w:val="21"/>
              </w:rPr>
            </w:pPr>
            <w:r>
              <w:rPr>
                <w:szCs w:val="21"/>
              </w:rPr>
              <w:t>储运设施：PEO罐区及泵区、产品罐区、化学品仓库、备品备件库、检修堆放区、KOH卸车站</w:t>
            </w:r>
          </w:p>
          <w:p w14:paraId="1DB6D44E">
            <w:pPr>
              <w:jc w:val="left"/>
              <w:rPr>
                <w:szCs w:val="21"/>
              </w:rPr>
            </w:pPr>
            <w:r>
              <w:rPr>
                <w:szCs w:val="21"/>
              </w:rPr>
              <w:t>公用工程及辅助设施：二次循环水站、EO/EG区联合变电站/#20变电站、高级火炬、制冷站2、制冷站1、控制楼、清洗区、维修车间等</w:t>
            </w:r>
          </w:p>
          <w:p w14:paraId="09FB86B0">
            <w:pPr>
              <w:jc w:val="left"/>
              <w:rPr>
                <w:szCs w:val="21"/>
              </w:rPr>
            </w:pPr>
            <w:r>
              <w:rPr>
                <w:szCs w:val="21"/>
              </w:rPr>
              <w:t>环境治理设施：初期雨水池、废水罐、蓄热式热氧化炉（RTO）、一般固废库</w:t>
            </w:r>
          </w:p>
        </w:tc>
        <w:tc>
          <w:tcPr>
            <w:tcW w:w="1494" w:type="dxa"/>
            <w:vAlign w:val="center"/>
          </w:tcPr>
          <w:p w14:paraId="116AB2F5">
            <w:pPr>
              <w:jc w:val="center"/>
              <w:rPr>
                <w:szCs w:val="21"/>
              </w:rPr>
            </w:pPr>
            <w:r>
              <w:rPr>
                <w:szCs w:val="21"/>
              </w:rPr>
              <w:t>EO/EG区</w:t>
            </w:r>
          </w:p>
        </w:tc>
      </w:tr>
      <w:tr w14:paraId="0FB0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1071D635">
            <w:pPr>
              <w:jc w:val="center"/>
              <w:rPr>
                <w:szCs w:val="21"/>
              </w:rPr>
            </w:pPr>
            <w:r>
              <w:rPr>
                <w:szCs w:val="21"/>
              </w:rPr>
              <w:t>3</w:t>
            </w:r>
          </w:p>
        </w:tc>
        <w:tc>
          <w:tcPr>
            <w:tcW w:w="3533" w:type="dxa"/>
            <w:vAlign w:val="center"/>
          </w:tcPr>
          <w:p w14:paraId="7A335B89">
            <w:pPr>
              <w:jc w:val="center"/>
              <w:rPr>
                <w:szCs w:val="21"/>
              </w:rPr>
            </w:pPr>
            <w:r>
              <w:rPr>
                <w:rFonts w:hint="eastAsia"/>
                <w:szCs w:val="21"/>
              </w:rPr>
              <w:t>19万吨/年冰丙烯酸装置1</w:t>
            </w:r>
          </w:p>
        </w:tc>
        <w:tc>
          <w:tcPr>
            <w:tcW w:w="7938" w:type="dxa"/>
            <w:vMerge w:val="restart"/>
          </w:tcPr>
          <w:p w14:paraId="1F4B7E06">
            <w:pPr>
              <w:jc w:val="left"/>
              <w:rPr>
                <w:szCs w:val="21"/>
              </w:rPr>
            </w:pPr>
            <w:r>
              <w:rPr>
                <w:rFonts w:hint="eastAsia"/>
                <w:szCs w:val="21"/>
              </w:rPr>
              <w:t>工艺装置：19万吨/年冰丙烯酸装置（GAA1）、37.5万吨/年丙烯酸丁酯装置（nBA，3条生产线，另1条线预留位置）、10万吨/年丙烯酸异辛酯装置</w:t>
            </w:r>
          </w:p>
          <w:p w14:paraId="2E2E6B58">
            <w:pPr>
              <w:jc w:val="left"/>
              <w:rPr>
                <w:szCs w:val="21"/>
              </w:rPr>
            </w:pPr>
            <w:r>
              <w:rPr>
                <w:rFonts w:hint="eastAsia"/>
                <w:szCs w:val="21"/>
              </w:rPr>
              <w:t>储运设施：丙烯酸装置罐区、酯类罐区、冰丙烯酸装置罐区装卸站、酯类罐区装卸站、化学品仓库、备品备件库</w:t>
            </w:r>
          </w:p>
          <w:p w14:paraId="45D8ED87">
            <w:pPr>
              <w:jc w:val="left"/>
              <w:rPr>
                <w:szCs w:val="21"/>
              </w:rPr>
            </w:pPr>
            <w:r>
              <w:rPr>
                <w:rFonts w:hint="eastAsia"/>
                <w:szCs w:val="21"/>
              </w:rPr>
              <w:t>公用工程及辅助设施：二次循环水站、制冷站、高架火炬、GAA2装置变电站/#16A变电站、丙烯酸及酯区联合变电站/#16变电站、维修车间、控制楼、冰丙烯酸装置罐区泡沫站、酯类罐区泡沫站、清洗区1等</w:t>
            </w:r>
          </w:p>
          <w:p w14:paraId="2E1D36BA">
            <w:pPr>
              <w:jc w:val="left"/>
              <w:rPr>
                <w:szCs w:val="21"/>
              </w:rPr>
            </w:pPr>
            <w:r>
              <w:rPr>
                <w:rFonts w:hint="eastAsia"/>
                <w:szCs w:val="21"/>
              </w:rPr>
              <w:t>环境治理设施：初期雨水池&amp;检测池、蓄热式氧化炉1、一般固废仓库</w:t>
            </w:r>
          </w:p>
        </w:tc>
        <w:tc>
          <w:tcPr>
            <w:tcW w:w="1494" w:type="dxa"/>
            <w:vMerge w:val="restart"/>
            <w:vAlign w:val="center"/>
          </w:tcPr>
          <w:p w14:paraId="31C93984">
            <w:pPr>
              <w:jc w:val="center"/>
              <w:rPr>
                <w:szCs w:val="21"/>
              </w:rPr>
            </w:pPr>
            <w:r>
              <w:rPr>
                <w:szCs w:val="21"/>
              </w:rPr>
              <w:t>丙烯酸及酯区</w:t>
            </w:r>
          </w:p>
        </w:tc>
      </w:tr>
      <w:tr w14:paraId="4E00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0" w:type="dxa"/>
            <w:vAlign w:val="center"/>
          </w:tcPr>
          <w:p w14:paraId="770AA8F0">
            <w:pPr>
              <w:jc w:val="center"/>
              <w:rPr>
                <w:szCs w:val="21"/>
              </w:rPr>
            </w:pPr>
            <w:r>
              <w:rPr>
                <w:szCs w:val="21"/>
              </w:rPr>
              <w:t>4</w:t>
            </w:r>
          </w:p>
        </w:tc>
        <w:tc>
          <w:tcPr>
            <w:tcW w:w="3533" w:type="dxa"/>
            <w:vAlign w:val="center"/>
          </w:tcPr>
          <w:p w14:paraId="6EFFF7BF">
            <w:pPr>
              <w:jc w:val="center"/>
              <w:rPr>
                <w:szCs w:val="21"/>
              </w:rPr>
            </w:pPr>
            <w:r>
              <w:rPr>
                <w:szCs w:val="21"/>
              </w:rPr>
              <w:t>37.5万吨/年丙烯酸丁酯装置</w:t>
            </w:r>
          </w:p>
        </w:tc>
        <w:tc>
          <w:tcPr>
            <w:tcW w:w="7938" w:type="dxa"/>
            <w:vMerge w:val="continue"/>
          </w:tcPr>
          <w:p w14:paraId="6CD03E44">
            <w:pPr>
              <w:jc w:val="left"/>
              <w:rPr>
                <w:szCs w:val="21"/>
              </w:rPr>
            </w:pPr>
          </w:p>
        </w:tc>
        <w:tc>
          <w:tcPr>
            <w:tcW w:w="1494" w:type="dxa"/>
            <w:vMerge w:val="continue"/>
            <w:vAlign w:val="center"/>
          </w:tcPr>
          <w:p w14:paraId="0BF1957E">
            <w:pPr>
              <w:jc w:val="center"/>
              <w:rPr>
                <w:szCs w:val="21"/>
              </w:rPr>
            </w:pPr>
          </w:p>
        </w:tc>
      </w:tr>
      <w:tr w14:paraId="7BD1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0B14D5AB">
            <w:pPr>
              <w:jc w:val="center"/>
              <w:rPr>
                <w:szCs w:val="21"/>
              </w:rPr>
            </w:pPr>
            <w:r>
              <w:rPr>
                <w:szCs w:val="21"/>
              </w:rPr>
              <w:t>5</w:t>
            </w:r>
          </w:p>
        </w:tc>
        <w:tc>
          <w:tcPr>
            <w:tcW w:w="3533" w:type="dxa"/>
            <w:vAlign w:val="center"/>
          </w:tcPr>
          <w:p w14:paraId="3955BD97">
            <w:pPr>
              <w:jc w:val="center"/>
              <w:rPr>
                <w:szCs w:val="21"/>
              </w:rPr>
            </w:pPr>
            <w:r>
              <w:rPr>
                <w:szCs w:val="21"/>
              </w:rPr>
              <w:t>10万吨/年丙烯酸异辛酯装置</w:t>
            </w:r>
          </w:p>
        </w:tc>
        <w:tc>
          <w:tcPr>
            <w:tcW w:w="7938" w:type="dxa"/>
            <w:vMerge w:val="continue"/>
          </w:tcPr>
          <w:p w14:paraId="295713BD">
            <w:pPr>
              <w:jc w:val="left"/>
              <w:rPr>
                <w:szCs w:val="21"/>
              </w:rPr>
            </w:pPr>
          </w:p>
        </w:tc>
        <w:tc>
          <w:tcPr>
            <w:tcW w:w="1494" w:type="dxa"/>
            <w:vMerge w:val="continue"/>
            <w:vAlign w:val="center"/>
          </w:tcPr>
          <w:p w14:paraId="0C9CF0E3">
            <w:pPr>
              <w:jc w:val="center"/>
              <w:rPr>
                <w:szCs w:val="21"/>
              </w:rPr>
            </w:pPr>
          </w:p>
        </w:tc>
      </w:tr>
      <w:tr w14:paraId="3F1D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3DFB42E3">
            <w:pPr>
              <w:jc w:val="center"/>
              <w:rPr>
                <w:szCs w:val="21"/>
              </w:rPr>
            </w:pPr>
            <w:r>
              <w:rPr>
                <w:szCs w:val="21"/>
              </w:rPr>
              <w:t>6</w:t>
            </w:r>
          </w:p>
        </w:tc>
        <w:tc>
          <w:tcPr>
            <w:tcW w:w="3533" w:type="dxa"/>
            <w:vAlign w:val="center"/>
          </w:tcPr>
          <w:p w14:paraId="6B41DF7F">
            <w:pPr>
              <w:jc w:val="center"/>
              <w:rPr>
                <w:szCs w:val="21"/>
              </w:rPr>
            </w:pPr>
            <w:r>
              <w:t>50万吨/年丁辛醇装置</w:t>
            </w:r>
          </w:p>
        </w:tc>
        <w:tc>
          <w:tcPr>
            <w:tcW w:w="7938" w:type="dxa"/>
            <w:vMerge w:val="restart"/>
          </w:tcPr>
          <w:p w14:paraId="5927ED97">
            <w:pPr>
              <w:jc w:val="left"/>
              <w:rPr>
                <w:szCs w:val="21"/>
              </w:rPr>
            </w:pPr>
            <w:r>
              <w:rPr>
                <w:rFonts w:hint="eastAsia"/>
                <w:szCs w:val="21"/>
              </w:rPr>
              <w:t>工艺装置：50万吨/年丁辛醇装置、50000Nm³/h合成气装置</w:t>
            </w:r>
          </w:p>
          <w:p w14:paraId="6BD2ADC4">
            <w:pPr>
              <w:jc w:val="left"/>
              <w:rPr>
                <w:szCs w:val="21"/>
              </w:rPr>
            </w:pPr>
            <w:r>
              <w:rPr>
                <w:rFonts w:hint="eastAsia"/>
                <w:szCs w:val="21"/>
              </w:rPr>
              <w:t>储运设施：丁辛醇罐区1、丁辛醇罐区2、丁辛醇罐区3、装卸站、备品备件库、维修堆放区</w:t>
            </w:r>
          </w:p>
          <w:p w14:paraId="0C613856">
            <w:pPr>
              <w:jc w:val="left"/>
              <w:rPr>
                <w:szCs w:val="21"/>
              </w:rPr>
            </w:pPr>
            <w:r>
              <w:rPr>
                <w:rFonts w:hint="eastAsia"/>
                <w:szCs w:val="21"/>
              </w:rPr>
              <w:t>公用工程及辅助设施：控制楼、维修车间、丁辛醇区联合变电站/#21变电站、柴油发电机房、高架火炬、丁辛醇装置变电站/21A变电站、机柜间、二次循环水站等。</w:t>
            </w:r>
          </w:p>
          <w:p w14:paraId="08BADFBC">
            <w:pPr>
              <w:jc w:val="left"/>
              <w:rPr>
                <w:szCs w:val="21"/>
              </w:rPr>
            </w:pPr>
            <w:r>
              <w:rPr>
                <w:rFonts w:hint="eastAsia"/>
                <w:szCs w:val="21"/>
              </w:rPr>
              <w:t>环境治理设施：废水预处理单元、初期雨水池&amp;检测池、活性炭吸附装置、一般固废仓库</w:t>
            </w:r>
          </w:p>
        </w:tc>
        <w:tc>
          <w:tcPr>
            <w:tcW w:w="1494" w:type="dxa"/>
            <w:vMerge w:val="restart"/>
            <w:vAlign w:val="center"/>
          </w:tcPr>
          <w:p w14:paraId="0425F462">
            <w:pPr>
              <w:jc w:val="center"/>
              <w:rPr>
                <w:szCs w:val="21"/>
              </w:rPr>
            </w:pPr>
            <w:r>
              <w:rPr>
                <w:szCs w:val="21"/>
              </w:rPr>
              <w:t>丁辛醇区</w:t>
            </w:r>
          </w:p>
        </w:tc>
      </w:tr>
      <w:tr w14:paraId="70B1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5A5CFCA4">
            <w:pPr>
              <w:jc w:val="center"/>
              <w:rPr>
                <w:szCs w:val="21"/>
              </w:rPr>
            </w:pPr>
            <w:r>
              <w:rPr>
                <w:szCs w:val="21"/>
              </w:rPr>
              <w:t>7</w:t>
            </w:r>
          </w:p>
        </w:tc>
        <w:tc>
          <w:tcPr>
            <w:tcW w:w="3533" w:type="dxa"/>
            <w:vAlign w:val="center"/>
          </w:tcPr>
          <w:p w14:paraId="3C54F91E">
            <w:pPr>
              <w:jc w:val="center"/>
              <w:rPr>
                <w:szCs w:val="21"/>
              </w:rPr>
            </w:pPr>
            <w:r>
              <w:t>50000Nm³/h合成气装置</w:t>
            </w:r>
          </w:p>
        </w:tc>
        <w:tc>
          <w:tcPr>
            <w:tcW w:w="7938" w:type="dxa"/>
            <w:vMerge w:val="continue"/>
          </w:tcPr>
          <w:p w14:paraId="22E5D010">
            <w:pPr>
              <w:jc w:val="left"/>
              <w:rPr>
                <w:szCs w:val="21"/>
              </w:rPr>
            </w:pPr>
          </w:p>
        </w:tc>
        <w:tc>
          <w:tcPr>
            <w:tcW w:w="1494" w:type="dxa"/>
            <w:vMerge w:val="continue"/>
            <w:vAlign w:val="center"/>
          </w:tcPr>
          <w:p w14:paraId="656BB952">
            <w:pPr>
              <w:jc w:val="center"/>
              <w:rPr>
                <w:szCs w:val="21"/>
              </w:rPr>
            </w:pPr>
          </w:p>
        </w:tc>
      </w:tr>
      <w:tr w14:paraId="4CB3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626A9E93">
            <w:pPr>
              <w:jc w:val="center"/>
              <w:rPr>
                <w:szCs w:val="21"/>
              </w:rPr>
            </w:pPr>
            <w:r>
              <w:rPr>
                <w:szCs w:val="21"/>
              </w:rPr>
              <w:t>8</w:t>
            </w:r>
          </w:p>
        </w:tc>
        <w:tc>
          <w:tcPr>
            <w:tcW w:w="3533" w:type="dxa"/>
            <w:vAlign w:val="center"/>
          </w:tcPr>
          <w:p w14:paraId="2F526584">
            <w:pPr>
              <w:jc w:val="center"/>
              <w:rPr>
                <w:szCs w:val="21"/>
              </w:rPr>
            </w:pPr>
            <w:r>
              <w:rPr>
                <w:szCs w:val="21"/>
              </w:rPr>
              <w:t>50万吨/年聚乙烯装置</w:t>
            </w:r>
          </w:p>
        </w:tc>
        <w:tc>
          <w:tcPr>
            <w:tcW w:w="7938" w:type="dxa"/>
          </w:tcPr>
          <w:p w14:paraId="070D32F4">
            <w:pPr>
              <w:jc w:val="left"/>
              <w:rPr>
                <w:szCs w:val="21"/>
              </w:rPr>
            </w:pPr>
            <w:r>
              <w:rPr>
                <w:rFonts w:hint="eastAsia"/>
                <w:szCs w:val="21"/>
              </w:rPr>
              <w:t>工艺装置：50万吨/年聚乙烯装置</w:t>
            </w:r>
          </w:p>
          <w:p w14:paraId="20685E62">
            <w:pPr>
              <w:jc w:val="left"/>
              <w:rPr>
                <w:szCs w:val="21"/>
              </w:rPr>
            </w:pPr>
            <w:r>
              <w:rPr>
                <w:rFonts w:hint="eastAsia"/>
                <w:szCs w:val="21"/>
              </w:rPr>
              <w:t>储运设施:催化剂A库、催化剂B库、催化剂C库、备品备件库和临时维修储存区</w:t>
            </w:r>
          </w:p>
          <w:p w14:paraId="5EF9A1BA">
            <w:pPr>
              <w:jc w:val="left"/>
              <w:rPr>
                <w:szCs w:val="21"/>
              </w:rPr>
            </w:pPr>
            <w:r>
              <w:rPr>
                <w:rFonts w:hint="eastAsia"/>
                <w:szCs w:val="21"/>
              </w:rPr>
              <w:t>公用工程及辅助设施：现场机柜间、滚瓶间、控制楼、二次循环水站、化验室、聚乙烯区变电站/13#变电站、高架火炬、冷凝水系统</w:t>
            </w:r>
          </w:p>
          <w:p w14:paraId="29BE4B64">
            <w:pPr>
              <w:jc w:val="left"/>
              <w:rPr>
                <w:szCs w:val="21"/>
              </w:rPr>
            </w:pPr>
            <w:r>
              <w:rPr>
                <w:rFonts w:hint="eastAsia"/>
                <w:szCs w:val="21"/>
              </w:rPr>
              <w:t>环境治理设施：初期雨水池、能源回收装置、一般固废仓库&amp;清洗间、尾气焚烧炉</w:t>
            </w:r>
          </w:p>
        </w:tc>
        <w:tc>
          <w:tcPr>
            <w:tcW w:w="1494" w:type="dxa"/>
            <w:vAlign w:val="center"/>
          </w:tcPr>
          <w:p w14:paraId="045F079C">
            <w:pPr>
              <w:jc w:val="center"/>
              <w:rPr>
                <w:szCs w:val="21"/>
              </w:rPr>
            </w:pPr>
            <w:r>
              <w:rPr>
                <w:szCs w:val="21"/>
              </w:rPr>
              <w:t>聚乙烯区</w:t>
            </w:r>
          </w:p>
        </w:tc>
      </w:tr>
      <w:tr w14:paraId="46CE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21690C6D">
            <w:pPr>
              <w:jc w:val="center"/>
              <w:rPr>
                <w:szCs w:val="21"/>
              </w:rPr>
            </w:pPr>
            <w:r>
              <w:rPr>
                <w:szCs w:val="21"/>
              </w:rPr>
              <w:t>9</w:t>
            </w:r>
          </w:p>
        </w:tc>
        <w:tc>
          <w:tcPr>
            <w:tcW w:w="3533" w:type="dxa"/>
            <w:vAlign w:val="center"/>
          </w:tcPr>
          <w:p w14:paraId="560E88BD">
            <w:pPr>
              <w:jc w:val="center"/>
              <w:rPr>
                <w:szCs w:val="21"/>
              </w:rPr>
            </w:pPr>
            <w:r>
              <w:rPr>
                <w:szCs w:val="21"/>
              </w:rPr>
              <w:t>21.5万吨/年非离子表面活性剂装置</w:t>
            </w:r>
          </w:p>
        </w:tc>
        <w:tc>
          <w:tcPr>
            <w:tcW w:w="7938" w:type="dxa"/>
          </w:tcPr>
          <w:p w14:paraId="06A09E05">
            <w:pPr>
              <w:jc w:val="left"/>
              <w:rPr>
                <w:szCs w:val="21"/>
              </w:rPr>
            </w:pPr>
            <w:r>
              <w:rPr>
                <w:rFonts w:hint="eastAsia"/>
                <w:szCs w:val="21"/>
              </w:rPr>
              <w:t>工艺装置：21.5万吨/年非离子表面活性剂装置（NIS）</w:t>
            </w:r>
          </w:p>
          <w:p w14:paraId="5ADAD3BF">
            <w:pPr>
              <w:jc w:val="left"/>
              <w:rPr>
                <w:szCs w:val="21"/>
              </w:rPr>
            </w:pPr>
            <w:r>
              <w:rPr>
                <w:rFonts w:hint="eastAsia"/>
                <w:szCs w:val="21"/>
              </w:rPr>
              <w:t>储运设施：原料产品罐区1、原料产品罐区2、灌装站、装车站、卸车站</w:t>
            </w:r>
          </w:p>
          <w:p w14:paraId="17FA2D7E">
            <w:pPr>
              <w:jc w:val="left"/>
              <w:rPr>
                <w:szCs w:val="21"/>
              </w:rPr>
            </w:pPr>
            <w:r>
              <w:rPr>
                <w:rFonts w:hint="eastAsia"/>
                <w:szCs w:val="21"/>
              </w:rPr>
              <w:t>公用工程及辅助设施：控制楼COB、维修车间、专用化学品一区变电站/#14变电站、空冷器单元、高架火炬</w:t>
            </w:r>
          </w:p>
          <w:p w14:paraId="73AFEBD9">
            <w:pPr>
              <w:jc w:val="left"/>
              <w:rPr>
                <w:szCs w:val="21"/>
              </w:rPr>
            </w:pPr>
            <w:r>
              <w:rPr>
                <w:rFonts w:hint="eastAsia"/>
                <w:szCs w:val="21"/>
              </w:rPr>
              <w:t>环境治理设施：初期雨水池、废水池、雨水监测池、蓄热式氧化炉</w:t>
            </w:r>
          </w:p>
        </w:tc>
        <w:tc>
          <w:tcPr>
            <w:tcW w:w="1494" w:type="dxa"/>
            <w:vAlign w:val="center"/>
          </w:tcPr>
          <w:p w14:paraId="3EF7E310">
            <w:pPr>
              <w:jc w:val="center"/>
              <w:rPr>
                <w:szCs w:val="21"/>
              </w:rPr>
            </w:pPr>
            <w:r>
              <w:rPr>
                <w:szCs w:val="21"/>
              </w:rPr>
              <w:t>专用化学品一区</w:t>
            </w:r>
          </w:p>
        </w:tc>
      </w:tr>
      <w:tr w14:paraId="17A7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7FFA9C19">
            <w:pPr>
              <w:jc w:val="center"/>
              <w:rPr>
                <w:szCs w:val="21"/>
              </w:rPr>
            </w:pPr>
            <w:r>
              <w:rPr>
                <w:szCs w:val="21"/>
              </w:rPr>
              <w:t>10</w:t>
            </w:r>
          </w:p>
        </w:tc>
        <w:tc>
          <w:tcPr>
            <w:tcW w:w="3533" w:type="dxa"/>
            <w:vAlign w:val="center"/>
          </w:tcPr>
          <w:p w14:paraId="4C4378EC">
            <w:pPr>
              <w:jc w:val="center"/>
              <w:rPr>
                <w:szCs w:val="21"/>
              </w:rPr>
            </w:pPr>
            <w:r>
              <w:rPr>
                <w:szCs w:val="21"/>
              </w:rPr>
              <w:t>8万吨/年（折百）新戊二醇装置</w:t>
            </w:r>
          </w:p>
        </w:tc>
        <w:tc>
          <w:tcPr>
            <w:tcW w:w="7938" w:type="dxa"/>
            <w:vMerge w:val="restart"/>
          </w:tcPr>
          <w:p w14:paraId="5382C9BA">
            <w:pPr>
              <w:jc w:val="left"/>
              <w:rPr>
                <w:szCs w:val="21"/>
              </w:rPr>
            </w:pPr>
            <w:r>
              <w:rPr>
                <w:rFonts w:hint="eastAsia"/>
                <w:szCs w:val="21"/>
              </w:rPr>
              <w:t>工艺装置：11万吨/年甲醛装置、9万吨/年新戊二醇装置、4.25万吨/年柠檬醛装置</w:t>
            </w:r>
          </w:p>
          <w:p w14:paraId="5B81D629">
            <w:pPr>
              <w:jc w:val="left"/>
              <w:rPr>
                <w:szCs w:val="21"/>
              </w:rPr>
            </w:pPr>
            <w:r>
              <w:rPr>
                <w:rFonts w:hint="eastAsia"/>
                <w:szCs w:val="21"/>
              </w:rPr>
              <w:t>储运设施：化学品罐区、有毒化学品罐区、分液罐区、装卸站、催化剂及辅助用品仓库、备品备件库、润滑油库</w:t>
            </w:r>
          </w:p>
          <w:p w14:paraId="1F01CAD3">
            <w:pPr>
              <w:jc w:val="left"/>
              <w:rPr>
                <w:szCs w:val="21"/>
              </w:rPr>
            </w:pPr>
            <w:r>
              <w:rPr>
                <w:rFonts w:hint="eastAsia"/>
                <w:szCs w:val="21"/>
              </w:rPr>
              <w:t>公用工程及辅助设施：清洗区、泡沫站、现场机柜间、专用化学品二区联合变电站/#15变电站、高架火炬、控制楼、维修车间、二次循环水站等</w:t>
            </w:r>
          </w:p>
          <w:p w14:paraId="22CEB1A8">
            <w:pPr>
              <w:jc w:val="left"/>
              <w:rPr>
                <w:szCs w:val="21"/>
              </w:rPr>
            </w:pPr>
            <w:r>
              <w:rPr>
                <w:rFonts w:hint="eastAsia"/>
                <w:szCs w:val="21"/>
              </w:rPr>
              <w:t>环境治理设施：初期与市场、能量回收装置、固废仓库</w:t>
            </w:r>
          </w:p>
        </w:tc>
        <w:tc>
          <w:tcPr>
            <w:tcW w:w="1494" w:type="dxa"/>
            <w:vMerge w:val="restart"/>
            <w:vAlign w:val="center"/>
          </w:tcPr>
          <w:p w14:paraId="6E824BED">
            <w:pPr>
              <w:jc w:val="center"/>
              <w:rPr>
                <w:szCs w:val="21"/>
              </w:rPr>
            </w:pPr>
            <w:r>
              <w:rPr>
                <w:szCs w:val="21"/>
              </w:rPr>
              <w:t>专用化学品二区</w:t>
            </w:r>
          </w:p>
        </w:tc>
      </w:tr>
      <w:tr w14:paraId="2AF5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174D318E">
            <w:pPr>
              <w:jc w:val="center"/>
              <w:rPr>
                <w:szCs w:val="21"/>
              </w:rPr>
            </w:pPr>
            <w:r>
              <w:rPr>
                <w:szCs w:val="21"/>
              </w:rPr>
              <w:t>11</w:t>
            </w:r>
          </w:p>
        </w:tc>
        <w:tc>
          <w:tcPr>
            <w:tcW w:w="3533" w:type="dxa"/>
            <w:vAlign w:val="center"/>
          </w:tcPr>
          <w:p w14:paraId="0772E177">
            <w:pPr>
              <w:jc w:val="center"/>
              <w:rPr>
                <w:szCs w:val="21"/>
              </w:rPr>
            </w:pPr>
            <w:r>
              <w:rPr>
                <w:szCs w:val="21"/>
              </w:rPr>
              <w:t>11万吨/年甲醛装置</w:t>
            </w:r>
          </w:p>
        </w:tc>
        <w:tc>
          <w:tcPr>
            <w:tcW w:w="7938" w:type="dxa"/>
            <w:vMerge w:val="continue"/>
          </w:tcPr>
          <w:p w14:paraId="5D4053A4">
            <w:pPr>
              <w:jc w:val="left"/>
              <w:rPr>
                <w:szCs w:val="21"/>
              </w:rPr>
            </w:pPr>
          </w:p>
        </w:tc>
        <w:tc>
          <w:tcPr>
            <w:tcW w:w="1494" w:type="dxa"/>
            <w:vMerge w:val="continue"/>
            <w:vAlign w:val="center"/>
          </w:tcPr>
          <w:p w14:paraId="07D5AA60">
            <w:pPr>
              <w:jc w:val="center"/>
              <w:rPr>
                <w:szCs w:val="21"/>
              </w:rPr>
            </w:pPr>
          </w:p>
        </w:tc>
      </w:tr>
      <w:tr w14:paraId="369C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348545DA">
            <w:pPr>
              <w:jc w:val="center"/>
              <w:rPr>
                <w:szCs w:val="21"/>
              </w:rPr>
            </w:pPr>
            <w:r>
              <w:rPr>
                <w:szCs w:val="21"/>
              </w:rPr>
              <w:t>12</w:t>
            </w:r>
          </w:p>
        </w:tc>
        <w:tc>
          <w:tcPr>
            <w:tcW w:w="3533" w:type="dxa"/>
            <w:vAlign w:val="center"/>
          </w:tcPr>
          <w:p w14:paraId="77D58519">
            <w:pPr>
              <w:jc w:val="center"/>
              <w:rPr>
                <w:szCs w:val="21"/>
              </w:rPr>
            </w:pPr>
            <w:r>
              <w:rPr>
                <w:szCs w:val="21"/>
              </w:rPr>
              <w:t>4万吨/年柠檬醛装置</w:t>
            </w:r>
          </w:p>
        </w:tc>
        <w:tc>
          <w:tcPr>
            <w:tcW w:w="7938" w:type="dxa"/>
            <w:vMerge w:val="continue"/>
          </w:tcPr>
          <w:p w14:paraId="5560062B">
            <w:pPr>
              <w:jc w:val="left"/>
              <w:rPr>
                <w:szCs w:val="21"/>
              </w:rPr>
            </w:pPr>
          </w:p>
        </w:tc>
        <w:tc>
          <w:tcPr>
            <w:tcW w:w="1494" w:type="dxa"/>
            <w:vMerge w:val="continue"/>
            <w:vAlign w:val="center"/>
          </w:tcPr>
          <w:p w14:paraId="5FD983A6">
            <w:pPr>
              <w:jc w:val="center"/>
              <w:rPr>
                <w:szCs w:val="21"/>
              </w:rPr>
            </w:pPr>
          </w:p>
        </w:tc>
      </w:tr>
      <w:tr w14:paraId="4013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28B349A7">
            <w:pPr>
              <w:jc w:val="center"/>
              <w:rPr>
                <w:b/>
                <w:bCs/>
                <w:szCs w:val="21"/>
              </w:rPr>
            </w:pPr>
            <w:r>
              <w:rPr>
                <w:b/>
                <w:bCs/>
                <w:szCs w:val="21"/>
              </w:rPr>
              <w:t>二</w:t>
            </w:r>
          </w:p>
        </w:tc>
        <w:tc>
          <w:tcPr>
            <w:tcW w:w="3533" w:type="dxa"/>
            <w:vAlign w:val="center"/>
          </w:tcPr>
          <w:p w14:paraId="011D667C">
            <w:pPr>
              <w:jc w:val="center"/>
              <w:rPr>
                <w:b/>
                <w:bCs/>
                <w:szCs w:val="21"/>
              </w:rPr>
            </w:pPr>
            <w:r>
              <w:rPr>
                <w:b/>
                <w:bCs/>
                <w:szCs w:val="21"/>
              </w:rPr>
              <w:t>储运设施</w:t>
            </w:r>
          </w:p>
        </w:tc>
        <w:tc>
          <w:tcPr>
            <w:tcW w:w="7938" w:type="dxa"/>
          </w:tcPr>
          <w:p w14:paraId="5FF15C37">
            <w:pPr>
              <w:jc w:val="left"/>
              <w:rPr>
                <w:b/>
                <w:bCs/>
                <w:szCs w:val="21"/>
              </w:rPr>
            </w:pPr>
          </w:p>
        </w:tc>
        <w:tc>
          <w:tcPr>
            <w:tcW w:w="1494" w:type="dxa"/>
            <w:vAlign w:val="center"/>
          </w:tcPr>
          <w:p w14:paraId="496B9A86">
            <w:pPr>
              <w:jc w:val="center"/>
              <w:rPr>
                <w:b/>
                <w:bCs/>
                <w:szCs w:val="21"/>
              </w:rPr>
            </w:pPr>
          </w:p>
        </w:tc>
      </w:tr>
      <w:tr w14:paraId="7F64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564E37D7">
            <w:pPr>
              <w:jc w:val="center"/>
              <w:rPr>
                <w:szCs w:val="21"/>
              </w:rPr>
            </w:pPr>
            <w:r>
              <w:rPr>
                <w:szCs w:val="21"/>
              </w:rPr>
              <w:t>1</w:t>
            </w:r>
          </w:p>
        </w:tc>
        <w:tc>
          <w:tcPr>
            <w:tcW w:w="3533" w:type="dxa"/>
            <w:vAlign w:val="center"/>
          </w:tcPr>
          <w:p w14:paraId="11C1156A">
            <w:pPr>
              <w:jc w:val="center"/>
              <w:rPr>
                <w:szCs w:val="21"/>
              </w:rPr>
            </w:pPr>
            <w:r>
              <w:rPr>
                <w:szCs w:val="21"/>
              </w:rPr>
              <w:t>中央罐区</w:t>
            </w:r>
          </w:p>
        </w:tc>
        <w:tc>
          <w:tcPr>
            <w:tcW w:w="7938" w:type="dxa"/>
          </w:tcPr>
          <w:p w14:paraId="375F42F9">
            <w:pPr>
              <w:jc w:val="left"/>
              <w:rPr>
                <w:szCs w:val="21"/>
              </w:rPr>
            </w:pPr>
            <w:r>
              <w:rPr>
                <w:rFonts w:hint="eastAsia"/>
                <w:szCs w:val="21"/>
              </w:rPr>
              <w:t>液化烃罐区：160000m³丁烷罐*2、40000m³丙烯罐、100000m³乙烯罐、100m³氨罐、1750m³异丁烯罐、150m³三甲胺罐、300m³异戊烷罐、3500m³1-丁烯罐、3500m³不合格C3罐、3500m³粗C4罐、3500m³丙烯罐、3500m³乙烯半冷罐、3500m³不合格乙烯半冷罐，及配套30#变电所、机柜间、BOG压缩机厂房、BOG冷凝区、液化压缩厂房、液化工艺区、气化输出区、槽车卸车站、物流操作室等。</w:t>
            </w:r>
          </w:p>
          <w:p w14:paraId="5C991E86">
            <w:pPr>
              <w:jc w:val="left"/>
              <w:rPr>
                <w:szCs w:val="21"/>
              </w:rPr>
            </w:pPr>
            <w:r>
              <w:rPr>
                <w:rFonts w:hint="eastAsia"/>
                <w:szCs w:val="21"/>
              </w:rPr>
              <w:t>化学品罐区：2000m³50%氢氧化钠溶液罐、2000m³25%氢氧化钠溶液罐、250m³96%硫酸罐*2、5000m³辛醇罐*2、6500m³正丁醇罐*2、3000m³1-己烯罐、4000m³90%新戊二醇溶液罐、800m³柠檬醛罐*2、2500m³混合芳烃罐、3500m³工业用裂解碳九罐、3000m³乙烯焦油罐、3000m³多功能罐、4000m³废水罐、4000m³粗丙烯酸罐、1000m³冰丙烯酸罐*2、5000m³丙烯酸正丁酯罐*3、3000m³丙烯酸异辛酯罐*2、6000m³C12-C14脂肪醇罐、4500m³二乙二醇罐、4000m³异构十三醇罐、100m³异丁醇罐、7000m³甲苯罐、14000m³乙二醇罐*2、12000m³甲醇罐、4000m³环氧丙烷罐、43000m³石脑油罐*5、7000m³苯罐*2、38000m³裂解汽油罐（多功能缓冲罐）、5500m³混合二甲苯罐、300m³12℃冷冻水罐、170m³20℃冷冻水罐、120m³90℃热水罐、40m³乙二醇溶液罐，及配套物流控制楼、物流操作室、应急材料和一般固废库、维修车间和备品备件库、样品存储间、现场机柜间、装卸站、能源回收设施（ERU）、火炬、热水、冷冻水Ⅰ、冷冻水Ⅱ、110kV变电站、10kV变电站等</w:t>
            </w:r>
          </w:p>
        </w:tc>
        <w:tc>
          <w:tcPr>
            <w:tcW w:w="1494" w:type="dxa"/>
            <w:vAlign w:val="center"/>
          </w:tcPr>
          <w:p w14:paraId="7934F33C">
            <w:pPr>
              <w:jc w:val="center"/>
              <w:rPr>
                <w:szCs w:val="21"/>
              </w:rPr>
            </w:pPr>
          </w:p>
        </w:tc>
      </w:tr>
      <w:tr w14:paraId="7648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46363179">
            <w:pPr>
              <w:jc w:val="center"/>
              <w:rPr>
                <w:szCs w:val="21"/>
              </w:rPr>
            </w:pPr>
            <w:r>
              <w:rPr>
                <w:szCs w:val="21"/>
              </w:rPr>
              <w:t>2</w:t>
            </w:r>
          </w:p>
        </w:tc>
        <w:tc>
          <w:tcPr>
            <w:tcW w:w="3533" w:type="dxa"/>
            <w:vAlign w:val="center"/>
          </w:tcPr>
          <w:p w14:paraId="2814BD69">
            <w:pPr>
              <w:jc w:val="center"/>
              <w:rPr>
                <w:szCs w:val="21"/>
              </w:rPr>
            </w:pPr>
            <w:r>
              <w:rPr>
                <w:szCs w:val="21"/>
              </w:rPr>
              <w:t>外部集卡管理</w:t>
            </w:r>
          </w:p>
        </w:tc>
        <w:tc>
          <w:tcPr>
            <w:tcW w:w="7938" w:type="dxa"/>
            <w:vMerge w:val="restart"/>
          </w:tcPr>
          <w:p w14:paraId="3EB31F70">
            <w:pPr>
              <w:jc w:val="left"/>
              <w:rPr>
                <w:szCs w:val="21"/>
              </w:rPr>
            </w:pPr>
            <w:r>
              <w:rPr>
                <w:szCs w:val="21"/>
              </w:rPr>
              <w:t>甲类仓库、乙类仓库、危废仓库、车检办公室、车检工作区、车辆管理办公室、物流更衣室、司机休息室、PE包装厂房、PE物流仓库、基地物流综合楼、物流区联合变电站/12#变电站、1#卡车充电站、NIS物流仓库等</w:t>
            </w:r>
          </w:p>
        </w:tc>
        <w:tc>
          <w:tcPr>
            <w:tcW w:w="1494" w:type="dxa"/>
            <w:vAlign w:val="center"/>
          </w:tcPr>
          <w:p w14:paraId="78C9F1A9">
            <w:pPr>
              <w:jc w:val="center"/>
              <w:rPr>
                <w:szCs w:val="21"/>
              </w:rPr>
            </w:pPr>
          </w:p>
        </w:tc>
      </w:tr>
      <w:tr w14:paraId="3B99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66167128">
            <w:pPr>
              <w:jc w:val="center"/>
              <w:rPr>
                <w:szCs w:val="21"/>
              </w:rPr>
            </w:pPr>
            <w:r>
              <w:rPr>
                <w:szCs w:val="21"/>
              </w:rPr>
              <w:t>3</w:t>
            </w:r>
          </w:p>
        </w:tc>
        <w:tc>
          <w:tcPr>
            <w:tcW w:w="3533" w:type="dxa"/>
            <w:vAlign w:val="center"/>
          </w:tcPr>
          <w:p w14:paraId="05FFF02A">
            <w:pPr>
              <w:jc w:val="center"/>
              <w:rPr>
                <w:szCs w:val="21"/>
              </w:rPr>
            </w:pPr>
            <w:r>
              <w:rPr>
                <w:szCs w:val="21"/>
              </w:rPr>
              <w:t>中央仓库</w:t>
            </w:r>
          </w:p>
        </w:tc>
        <w:tc>
          <w:tcPr>
            <w:tcW w:w="7938" w:type="dxa"/>
            <w:vMerge w:val="continue"/>
          </w:tcPr>
          <w:p w14:paraId="46AD2C90">
            <w:pPr>
              <w:jc w:val="left"/>
              <w:rPr>
                <w:szCs w:val="21"/>
              </w:rPr>
            </w:pPr>
          </w:p>
        </w:tc>
        <w:tc>
          <w:tcPr>
            <w:tcW w:w="1494" w:type="dxa"/>
            <w:vAlign w:val="center"/>
          </w:tcPr>
          <w:p w14:paraId="7C9357B7">
            <w:pPr>
              <w:jc w:val="center"/>
              <w:rPr>
                <w:szCs w:val="21"/>
              </w:rPr>
            </w:pPr>
          </w:p>
        </w:tc>
      </w:tr>
      <w:tr w14:paraId="6D57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7960EF63">
            <w:pPr>
              <w:jc w:val="center"/>
              <w:rPr>
                <w:szCs w:val="21"/>
              </w:rPr>
            </w:pPr>
            <w:r>
              <w:rPr>
                <w:szCs w:val="21"/>
              </w:rPr>
              <w:t>4</w:t>
            </w:r>
          </w:p>
        </w:tc>
        <w:tc>
          <w:tcPr>
            <w:tcW w:w="3533" w:type="dxa"/>
            <w:vAlign w:val="center"/>
          </w:tcPr>
          <w:p w14:paraId="16CCB47C">
            <w:pPr>
              <w:jc w:val="center"/>
              <w:rPr>
                <w:szCs w:val="21"/>
              </w:rPr>
            </w:pPr>
            <w:r>
              <w:rPr>
                <w:szCs w:val="21"/>
              </w:rPr>
              <w:t>集装箱堆场</w:t>
            </w:r>
          </w:p>
        </w:tc>
        <w:tc>
          <w:tcPr>
            <w:tcW w:w="7938" w:type="dxa"/>
          </w:tcPr>
          <w:p w14:paraId="4634B4EA">
            <w:pPr>
              <w:jc w:val="left"/>
              <w:rPr>
                <w:szCs w:val="21"/>
              </w:rPr>
            </w:pPr>
            <w:r>
              <w:rPr>
                <w:szCs w:val="21"/>
              </w:rPr>
              <w:t>危险货物箱区、普通货物箱区、应急收集池、喷淋水收集池、危险货物箱区初期雨水池、普通货物箱区初期雨水池、2#卡车充电站、车辆集装箱物流综合楼、机修车间、集装箱堆场变电站/3#变电站、罐箱清洗站等</w:t>
            </w:r>
          </w:p>
        </w:tc>
        <w:tc>
          <w:tcPr>
            <w:tcW w:w="1494" w:type="dxa"/>
            <w:vAlign w:val="center"/>
          </w:tcPr>
          <w:p w14:paraId="6F0D53DD">
            <w:pPr>
              <w:jc w:val="center"/>
              <w:rPr>
                <w:szCs w:val="21"/>
              </w:rPr>
            </w:pPr>
          </w:p>
        </w:tc>
      </w:tr>
      <w:tr w14:paraId="7748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47D26100">
            <w:pPr>
              <w:jc w:val="center"/>
              <w:rPr>
                <w:b/>
                <w:bCs/>
                <w:szCs w:val="21"/>
              </w:rPr>
            </w:pPr>
            <w:r>
              <w:rPr>
                <w:b/>
                <w:bCs/>
                <w:szCs w:val="21"/>
              </w:rPr>
              <w:t>三</w:t>
            </w:r>
          </w:p>
        </w:tc>
        <w:tc>
          <w:tcPr>
            <w:tcW w:w="3533" w:type="dxa"/>
            <w:vAlign w:val="center"/>
          </w:tcPr>
          <w:p w14:paraId="6CE02B5E">
            <w:pPr>
              <w:jc w:val="center"/>
              <w:rPr>
                <w:b/>
                <w:bCs/>
                <w:szCs w:val="21"/>
              </w:rPr>
            </w:pPr>
            <w:r>
              <w:rPr>
                <w:b/>
                <w:bCs/>
                <w:szCs w:val="21"/>
              </w:rPr>
              <w:t>公用工程及基础设施</w:t>
            </w:r>
          </w:p>
        </w:tc>
        <w:tc>
          <w:tcPr>
            <w:tcW w:w="7938" w:type="dxa"/>
          </w:tcPr>
          <w:p w14:paraId="6EECA457">
            <w:pPr>
              <w:jc w:val="left"/>
              <w:rPr>
                <w:b/>
                <w:bCs/>
                <w:szCs w:val="21"/>
              </w:rPr>
            </w:pPr>
          </w:p>
        </w:tc>
        <w:tc>
          <w:tcPr>
            <w:tcW w:w="1494" w:type="dxa"/>
            <w:vAlign w:val="center"/>
          </w:tcPr>
          <w:p w14:paraId="07698CBA">
            <w:pPr>
              <w:jc w:val="center"/>
              <w:rPr>
                <w:b/>
                <w:bCs/>
                <w:szCs w:val="21"/>
              </w:rPr>
            </w:pPr>
          </w:p>
        </w:tc>
      </w:tr>
      <w:tr w14:paraId="566A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3300D834">
            <w:pPr>
              <w:jc w:val="center"/>
              <w:rPr>
                <w:szCs w:val="21"/>
              </w:rPr>
            </w:pPr>
            <w:r>
              <w:rPr>
                <w:szCs w:val="21"/>
              </w:rPr>
              <w:t>1</w:t>
            </w:r>
          </w:p>
        </w:tc>
        <w:tc>
          <w:tcPr>
            <w:tcW w:w="3533" w:type="dxa"/>
            <w:vAlign w:val="center"/>
          </w:tcPr>
          <w:p w14:paraId="42730474">
            <w:pPr>
              <w:jc w:val="center"/>
              <w:rPr>
                <w:szCs w:val="21"/>
              </w:rPr>
            </w:pPr>
            <w:r>
              <w:rPr>
                <w:szCs w:val="21"/>
              </w:rPr>
              <w:t>给水处理单元</w:t>
            </w:r>
          </w:p>
        </w:tc>
        <w:tc>
          <w:tcPr>
            <w:tcW w:w="7938" w:type="dxa"/>
            <w:vAlign w:val="center"/>
          </w:tcPr>
          <w:p w14:paraId="517EAD82">
            <w:pPr>
              <w:jc w:val="left"/>
              <w:rPr>
                <w:szCs w:val="21"/>
              </w:rPr>
            </w:pPr>
            <w:r>
              <w:rPr>
                <w:szCs w:val="21"/>
              </w:rPr>
              <w:t>800m³/h预处理系统、96m³/h生活水系统、220m³/h废水回用系统Ⅰ、288m³/h废水回用系统Ⅱ、720m³/h凝液精制系统、480m³除盐水系统</w:t>
            </w:r>
          </w:p>
        </w:tc>
        <w:tc>
          <w:tcPr>
            <w:tcW w:w="1494" w:type="dxa"/>
            <w:vAlign w:val="center"/>
          </w:tcPr>
          <w:p w14:paraId="03D32621">
            <w:pPr>
              <w:jc w:val="center"/>
              <w:rPr>
                <w:szCs w:val="21"/>
              </w:rPr>
            </w:pPr>
          </w:p>
        </w:tc>
      </w:tr>
      <w:tr w14:paraId="251D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4A2D6CD0">
            <w:pPr>
              <w:jc w:val="center"/>
              <w:rPr>
                <w:szCs w:val="21"/>
              </w:rPr>
            </w:pPr>
            <w:r>
              <w:rPr>
                <w:szCs w:val="21"/>
              </w:rPr>
              <w:t>2</w:t>
            </w:r>
          </w:p>
        </w:tc>
        <w:tc>
          <w:tcPr>
            <w:tcW w:w="3533" w:type="dxa"/>
            <w:vAlign w:val="center"/>
          </w:tcPr>
          <w:p w14:paraId="4BB43470">
            <w:pPr>
              <w:jc w:val="center"/>
              <w:rPr>
                <w:szCs w:val="21"/>
              </w:rPr>
            </w:pPr>
            <w:r>
              <w:rPr>
                <w:szCs w:val="21"/>
              </w:rPr>
              <w:t>海水循环冷却单元</w:t>
            </w:r>
          </w:p>
        </w:tc>
        <w:tc>
          <w:tcPr>
            <w:tcW w:w="7938" w:type="dxa"/>
            <w:vAlign w:val="center"/>
          </w:tcPr>
          <w:p w14:paraId="5B4C9476">
            <w:pPr>
              <w:jc w:val="left"/>
              <w:rPr>
                <w:szCs w:val="21"/>
              </w:rPr>
            </w:pPr>
            <w:r>
              <w:rPr>
                <w:szCs w:val="21"/>
              </w:rPr>
              <w:t>16000m³/h海水取水系统、12000m³/h海水预处理系统、25000m³/h1#循环水场、25000m³/h2#循环水场、25000m³/h3#循环水场、10000m³/h4#循环水场、2*30000m³/h5#1&amp;2循环水场</w:t>
            </w:r>
          </w:p>
        </w:tc>
        <w:tc>
          <w:tcPr>
            <w:tcW w:w="1494" w:type="dxa"/>
            <w:vAlign w:val="center"/>
          </w:tcPr>
          <w:p w14:paraId="23E862AA">
            <w:pPr>
              <w:jc w:val="center"/>
              <w:rPr>
                <w:szCs w:val="21"/>
              </w:rPr>
            </w:pPr>
          </w:p>
        </w:tc>
      </w:tr>
      <w:tr w14:paraId="6410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027C99F5">
            <w:pPr>
              <w:jc w:val="center"/>
              <w:rPr>
                <w:szCs w:val="21"/>
              </w:rPr>
            </w:pPr>
            <w:r>
              <w:rPr>
                <w:szCs w:val="21"/>
              </w:rPr>
              <w:t>3</w:t>
            </w:r>
          </w:p>
        </w:tc>
        <w:tc>
          <w:tcPr>
            <w:tcW w:w="3533" w:type="dxa"/>
            <w:vAlign w:val="center"/>
          </w:tcPr>
          <w:p w14:paraId="012AEE8D">
            <w:pPr>
              <w:jc w:val="center"/>
              <w:rPr>
                <w:szCs w:val="21"/>
              </w:rPr>
            </w:pPr>
            <w:r>
              <w:rPr>
                <w:szCs w:val="21"/>
              </w:rPr>
              <w:t>废水处理单元</w:t>
            </w:r>
          </w:p>
        </w:tc>
        <w:tc>
          <w:tcPr>
            <w:tcW w:w="7938" w:type="dxa"/>
            <w:vAlign w:val="center"/>
          </w:tcPr>
          <w:p w14:paraId="670E4095">
            <w:pPr>
              <w:jc w:val="left"/>
              <w:rPr>
                <w:szCs w:val="21"/>
              </w:rPr>
            </w:pPr>
            <w:r>
              <w:rPr>
                <w:szCs w:val="21"/>
              </w:rPr>
              <w:t>600m³/h污水处理A/B线、320m³/h污水回用预处理C/D线</w:t>
            </w:r>
          </w:p>
        </w:tc>
        <w:tc>
          <w:tcPr>
            <w:tcW w:w="1494" w:type="dxa"/>
            <w:vAlign w:val="center"/>
          </w:tcPr>
          <w:p w14:paraId="28D08F28">
            <w:pPr>
              <w:jc w:val="center"/>
              <w:rPr>
                <w:szCs w:val="21"/>
              </w:rPr>
            </w:pPr>
          </w:p>
        </w:tc>
      </w:tr>
      <w:tr w14:paraId="55E5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71EF7D59">
            <w:pPr>
              <w:jc w:val="center"/>
              <w:rPr>
                <w:szCs w:val="21"/>
              </w:rPr>
            </w:pPr>
            <w:r>
              <w:rPr>
                <w:szCs w:val="21"/>
              </w:rPr>
              <w:t>4</w:t>
            </w:r>
          </w:p>
        </w:tc>
        <w:tc>
          <w:tcPr>
            <w:tcW w:w="3533" w:type="dxa"/>
            <w:vAlign w:val="center"/>
          </w:tcPr>
          <w:p w14:paraId="0BA8A922">
            <w:pPr>
              <w:jc w:val="center"/>
              <w:rPr>
                <w:szCs w:val="21"/>
              </w:rPr>
            </w:pPr>
            <w:r>
              <w:rPr>
                <w:szCs w:val="21"/>
              </w:rPr>
              <w:t>雨水收集系统及事故水收集系统</w:t>
            </w:r>
          </w:p>
        </w:tc>
        <w:tc>
          <w:tcPr>
            <w:tcW w:w="7938" w:type="dxa"/>
            <w:vAlign w:val="center"/>
          </w:tcPr>
          <w:p w14:paraId="606D431C">
            <w:pPr>
              <w:jc w:val="left"/>
              <w:rPr>
                <w:szCs w:val="21"/>
              </w:rPr>
            </w:pPr>
            <w:r>
              <w:rPr>
                <w:szCs w:val="21"/>
              </w:rPr>
              <w:t>18000m³1#雨水监控池、18000m³2#雨水监控池、15000m³3#雨水监控池、2*31500m³事故水池</w:t>
            </w:r>
          </w:p>
        </w:tc>
        <w:tc>
          <w:tcPr>
            <w:tcW w:w="1494" w:type="dxa"/>
            <w:vAlign w:val="center"/>
          </w:tcPr>
          <w:p w14:paraId="5AB46721">
            <w:pPr>
              <w:jc w:val="center"/>
              <w:rPr>
                <w:szCs w:val="21"/>
              </w:rPr>
            </w:pPr>
          </w:p>
        </w:tc>
      </w:tr>
      <w:tr w14:paraId="5DED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59ED4137">
            <w:pPr>
              <w:jc w:val="center"/>
              <w:rPr>
                <w:szCs w:val="21"/>
              </w:rPr>
            </w:pPr>
            <w:r>
              <w:rPr>
                <w:szCs w:val="21"/>
              </w:rPr>
              <w:t>5</w:t>
            </w:r>
          </w:p>
        </w:tc>
        <w:tc>
          <w:tcPr>
            <w:tcW w:w="3533" w:type="dxa"/>
            <w:vAlign w:val="center"/>
          </w:tcPr>
          <w:p w14:paraId="7DEBBDCF">
            <w:pPr>
              <w:jc w:val="center"/>
              <w:rPr>
                <w:szCs w:val="21"/>
              </w:rPr>
            </w:pPr>
            <w:r>
              <w:rPr>
                <w:szCs w:val="21"/>
              </w:rPr>
              <w:t>废物处理单元</w:t>
            </w:r>
          </w:p>
        </w:tc>
        <w:tc>
          <w:tcPr>
            <w:tcW w:w="7938" w:type="dxa"/>
            <w:vAlign w:val="center"/>
          </w:tcPr>
          <w:p w14:paraId="57DD9E71">
            <w:pPr>
              <w:jc w:val="left"/>
              <w:rPr>
                <w:szCs w:val="21"/>
              </w:rPr>
            </w:pPr>
            <w:r>
              <w:rPr>
                <w:szCs w:val="21"/>
              </w:rPr>
              <w:t>废固废液焚烧线（54kt/a，25MW）、1#,2#废液焚烧线（54kt/a，25MW）及辅助设施</w:t>
            </w:r>
          </w:p>
        </w:tc>
        <w:tc>
          <w:tcPr>
            <w:tcW w:w="1494" w:type="dxa"/>
            <w:vAlign w:val="center"/>
          </w:tcPr>
          <w:p w14:paraId="6C1432C9">
            <w:pPr>
              <w:jc w:val="center"/>
              <w:rPr>
                <w:szCs w:val="21"/>
              </w:rPr>
            </w:pPr>
          </w:p>
        </w:tc>
      </w:tr>
      <w:tr w14:paraId="165E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6EB5345A">
            <w:pPr>
              <w:jc w:val="center"/>
              <w:rPr>
                <w:szCs w:val="21"/>
              </w:rPr>
            </w:pPr>
            <w:r>
              <w:rPr>
                <w:szCs w:val="21"/>
              </w:rPr>
              <w:t>6</w:t>
            </w:r>
          </w:p>
        </w:tc>
        <w:tc>
          <w:tcPr>
            <w:tcW w:w="3533" w:type="dxa"/>
            <w:vAlign w:val="center"/>
          </w:tcPr>
          <w:p w14:paraId="38A65057">
            <w:pPr>
              <w:jc w:val="center"/>
              <w:rPr>
                <w:szCs w:val="21"/>
              </w:rPr>
            </w:pPr>
            <w:r>
              <w:rPr>
                <w:szCs w:val="21"/>
              </w:rPr>
              <w:t>动力站</w:t>
            </w:r>
          </w:p>
        </w:tc>
        <w:tc>
          <w:tcPr>
            <w:tcW w:w="7938" w:type="dxa"/>
            <w:vAlign w:val="center"/>
          </w:tcPr>
          <w:p w14:paraId="5F64E5F5">
            <w:pPr>
              <w:jc w:val="left"/>
              <w:rPr>
                <w:szCs w:val="21"/>
              </w:rPr>
            </w:pPr>
            <w:r>
              <w:rPr>
                <w:szCs w:val="21"/>
              </w:rPr>
              <w:t>300t/h快开锅炉单元1、300t/h快开锅炉单元2、180t/h快开锅炉单元3、12*20m³蓄能器单元、23000Nm³/h2#空压机站、23000Nm³/h3#空压机站、柴油发电机单元</w:t>
            </w:r>
          </w:p>
        </w:tc>
        <w:tc>
          <w:tcPr>
            <w:tcW w:w="1494" w:type="dxa"/>
            <w:vAlign w:val="center"/>
          </w:tcPr>
          <w:p w14:paraId="3CD6C55D">
            <w:pPr>
              <w:jc w:val="center"/>
              <w:rPr>
                <w:szCs w:val="21"/>
              </w:rPr>
            </w:pPr>
          </w:p>
        </w:tc>
      </w:tr>
      <w:tr w14:paraId="0852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3EA4A854">
            <w:pPr>
              <w:jc w:val="center"/>
              <w:rPr>
                <w:szCs w:val="21"/>
              </w:rPr>
            </w:pPr>
            <w:r>
              <w:rPr>
                <w:szCs w:val="21"/>
              </w:rPr>
              <w:t>7</w:t>
            </w:r>
          </w:p>
        </w:tc>
        <w:tc>
          <w:tcPr>
            <w:tcW w:w="3533" w:type="dxa"/>
            <w:vAlign w:val="center"/>
          </w:tcPr>
          <w:p w14:paraId="4DDA7E59">
            <w:pPr>
              <w:jc w:val="center"/>
              <w:rPr>
                <w:szCs w:val="21"/>
              </w:rPr>
            </w:pPr>
            <w:r>
              <w:rPr>
                <w:szCs w:val="21"/>
              </w:rPr>
              <w:t>公用工程管理及维修区</w:t>
            </w:r>
          </w:p>
        </w:tc>
        <w:tc>
          <w:tcPr>
            <w:tcW w:w="7938" w:type="dxa"/>
            <w:vAlign w:val="center"/>
          </w:tcPr>
          <w:p w14:paraId="522E0262">
            <w:pPr>
              <w:jc w:val="left"/>
              <w:rPr>
                <w:szCs w:val="21"/>
              </w:rPr>
            </w:pPr>
            <w:r>
              <w:rPr>
                <w:szCs w:val="21"/>
              </w:rPr>
              <w:t>IOU中央控制楼、一线维修车间、仓库、OSBL联合变电站#23变电站、OSBL联合变电站/26#变电站、H125柴油发电机单元、E251柴油发电机单元、B555柴油发电机单元、F830柴油发电机单元</w:t>
            </w:r>
          </w:p>
        </w:tc>
        <w:tc>
          <w:tcPr>
            <w:tcW w:w="1494" w:type="dxa"/>
            <w:vAlign w:val="center"/>
          </w:tcPr>
          <w:p w14:paraId="4A1E5293">
            <w:pPr>
              <w:jc w:val="center"/>
              <w:rPr>
                <w:szCs w:val="21"/>
              </w:rPr>
            </w:pPr>
          </w:p>
        </w:tc>
      </w:tr>
      <w:tr w14:paraId="33A8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69407B82">
            <w:pPr>
              <w:jc w:val="center"/>
              <w:rPr>
                <w:szCs w:val="21"/>
              </w:rPr>
            </w:pPr>
            <w:r>
              <w:rPr>
                <w:szCs w:val="21"/>
              </w:rPr>
              <w:t>8</w:t>
            </w:r>
          </w:p>
        </w:tc>
        <w:tc>
          <w:tcPr>
            <w:tcW w:w="3533" w:type="dxa"/>
            <w:vAlign w:val="center"/>
          </w:tcPr>
          <w:p w14:paraId="69CF1DC4">
            <w:pPr>
              <w:jc w:val="center"/>
              <w:rPr>
                <w:szCs w:val="21"/>
              </w:rPr>
            </w:pPr>
            <w:r>
              <w:rPr>
                <w:szCs w:val="21"/>
              </w:rPr>
              <w:t>基础设施</w:t>
            </w:r>
          </w:p>
        </w:tc>
        <w:tc>
          <w:tcPr>
            <w:tcW w:w="7938" w:type="dxa"/>
            <w:vAlign w:val="center"/>
          </w:tcPr>
          <w:p w14:paraId="49B5C57D">
            <w:pPr>
              <w:jc w:val="left"/>
              <w:rPr>
                <w:szCs w:val="21"/>
              </w:rPr>
            </w:pPr>
            <w:r>
              <w:rPr>
                <w:szCs w:val="21"/>
              </w:rPr>
              <w:t>T100管涵、T431管涵、T700管涵、厂区道路、消防水管网、全厂雨水管网、事故水管网、海水冷却水管网、、海水冷却水排水管网、、海水冷却水补水管网、二级冷却水管网、1#,2#,3#,4#雨水排放口、海水取水口、海水排水口、全厂电信电缆、1#雨水监控池、2#雨水监控池、3#雨水监控池、1#事故水池、2#事故水池、围墙、大门、天然气减压站、厂区管廊、1#消防泵站、2#消防泵站、高压消防泵站等</w:t>
            </w:r>
          </w:p>
        </w:tc>
        <w:tc>
          <w:tcPr>
            <w:tcW w:w="1494" w:type="dxa"/>
            <w:vAlign w:val="center"/>
          </w:tcPr>
          <w:p w14:paraId="5D662BB8">
            <w:pPr>
              <w:jc w:val="center"/>
              <w:rPr>
                <w:szCs w:val="21"/>
              </w:rPr>
            </w:pPr>
          </w:p>
        </w:tc>
      </w:tr>
      <w:tr w14:paraId="420B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70" w:type="dxa"/>
            <w:vAlign w:val="center"/>
          </w:tcPr>
          <w:p w14:paraId="511A0724">
            <w:pPr>
              <w:jc w:val="center"/>
              <w:rPr>
                <w:szCs w:val="21"/>
              </w:rPr>
            </w:pPr>
            <w:r>
              <w:rPr>
                <w:szCs w:val="21"/>
              </w:rPr>
              <w:t>9</w:t>
            </w:r>
          </w:p>
        </w:tc>
        <w:tc>
          <w:tcPr>
            <w:tcW w:w="3533" w:type="dxa"/>
            <w:vAlign w:val="center"/>
          </w:tcPr>
          <w:p w14:paraId="6E90D9A6">
            <w:pPr>
              <w:jc w:val="center"/>
              <w:rPr>
                <w:szCs w:val="21"/>
              </w:rPr>
            </w:pPr>
            <w:r>
              <w:rPr>
                <w:szCs w:val="21"/>
              </w:rPr>
              <w:t>综合功能区</w:t>
            </w:r>
          </w:p>
        </w:tc>
        <w:tc>
          <w:tcPr>
            <w:tcW w:w="7938" w:type="dxa"/>
            <w:vAlign w:val="center"/>
          </w:tcPr>
          <w:p w14:paraId="45FAB2E2">
            <w:pPr>
              <w:jc w:val="left"/>
              <w:rPr>
                <w:szCs w:val="21"/>
              </w:rPr>
            </w:pPr>
            <w:r>
              <w:rPr>
                <w:szCs w:val="21"/>
              </w:rPr>
              <w:t>能源中心、数据中心1、中央餐厅、访客中心、中央实验室、训练塔、消防站和应急响应中心、行政大楼、基地医务站、门卫室、地下1层停车库、生活垃圾房</w:t>
            </w:r>
          </w:p>
        </w:tc>
        <w:tc>
          <w:tcPr>
            <w:tcW w:w="1494" w:type="dxa"/>
            <w:vAlign w:val="center"/>
          </w:tcPr>
          <w:p w14:paraId="3DAD726D">
            <w:pPr>
              <w:jc w:val="center"/>
              <w:rPr>
                <w:szCs w:val="21"/>
              </w:rPr>
            </w:pPr>
          </w:p>
        </w:tc>
      </w:tr>
    </w:tbl>
    <w:p w14:paraId="6813C17E">
      <w:pPr>
        <w:rPr>
          <w:rFonts w:hint="default" w:ascii="仿宋" w:hAnsi="仿宋" w:eastAsia="仿宋"/>
          <w:color w:val="auto"/>
          <w:sz w:val="32"/>
          <w:szCs w:val="32"/>
          <w:lang w:val="en-US" w:eastAsia="zh-CN"/>
        </w:rPr>
      </w:pPr>
    </w:p>
    <w:p w14:paraId="01B8D723">
      <w:pPr>
        <w:tabs>
          <w:tab w:val="left" w:pos="728"/>
        </w:tabs>
        <w:ind w:firstLine="640"/>
        <w:jc w:val="left"/>
        <w:rPr>
          <w:rFonts w:hint="eastAsia" w:ascii="宋体" w:hAnsi="宋体" w:cs="Times New Roman"/>
          <w:b/>
          <w:bCs/>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27528">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E26E68">
                          <w:pPr>
                            <w:pStyle w:val="6"/>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CwT&#10;t6O2AQAAkgMAAA4AAAAAAAAAAQAgAAAAHgEAAGRycy9lMm9Eb2MueG1sUEsFBgAAAAAGAAYAWQEA&#10;AEYFAAAAAA==&#10;">
              <v:fill on="f" focussize="0,0"/>
              <v:stroke on="f"/>
              <v:imagedata o:title=""/>
              <o:lock v:ext="edit" aspectratio="f"/>
              <v:textbox inset="0mm,0mm,0mm,0mm" style="mso-fit-shape-to-text:t;">
                <w:txbxContent>
                  <w:p w14:paraId="5DE26E68">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
    <w:nsid w:val="748F5DFA"/>
    <w:multiLevelType w:val="multilevel"/>
    <w:tmpl w:val="748F5DFA"/>
    <w:lvl w:ilvl="0" w:tentative="0">
      <w:start w:val="1"/>
      <w:numFmt w:val="japaneseCounting"/>
      <w:lvlText w:val="（%1）"/>
      <w:lvlJc w:val="left"/>
      <w:pPr>
        <w:ind w:left="1723" w:hanging="1080"/>
      </w:pPr>
      <w:rPr>
        <w:rFonts w:hint="default"/>
      </w:rPr>
    </w:lvl>
    <w:lvl w:ilvl="1" w:tentative="0">
      <w:start w:val="2"/>
      <w:numFmt w:val="decimal"/>
      <w:lvlText w:val="%2、"/>
      <w:lvlJc w:val="left"/>
      <w:pPr>
        <w:ind w:left="1783" w:hanging="720"/>
      </w:pPr>
      <w:rPr>
        <w:rFonts w:hint="default"/>
      </w:r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jYTgyY2ZlMWEzYWU4MmU0Yjg2NWFhMGYyMjEzN2UifQ=="/>
  </w:docVars>
  <w:rsids>
    <w:rsidRoot w:val="003B190A"/>
    <w:rsid w:val="00106887"/>
    <w:rsid w:val="001545B3"/>
    <w:rsid w:val="001D71A9"/>
    <w:rsid w:val="00302B54"/>
    <w:rsid w:val="003B190A"/>
    <w:rsid w:val="00407180"/>
    <w:rsid w:val="00477A76"/>
    <w:rsid w:val="004866E2"/>
    <w:rsid w:val="005C603E"/>
    <w:rsid w:val="005D36D8"/>
    <w:rsid w:val="007E31EA"/>
    <w:rsid w:val="00887D0E"/>
    <w:rsid w:val="009026E9"/>
    <w:rsid w:val="00B56878"/>
    <w:rsid w:val="00D0406E"/>
    <w:rsid w:val="00D6686B"/>
    <w:rsid w:val="00E766C2"/>
    <w:rsid w:val="00F72FBD"/>
    <w:rsid w:val="05214C03"/>
    <w:rsid w:val="12A549DA"/>
    <w:rsid w:val="152B7AA7"/>
    <w:rsid w:val="172577D0"/>
    <w:rsid w:val="1FF07B86"/>
    <w:rsid w:val="210668C5"/>
    <w:rsid w:val="2AA64C74"/>
    <w:rsid w:val="345614B9"/>
    <w:rsid w:val="34763EED"/>
    <w:rsid w:val="35E23C33"/>
    <w:rsid w:val="39BF965C"/>
    <w:rsid w:val="3B4E3446"/>
    <w:rsid w:val="3D100521"/>
    <w:rsid w:val="3D2E7761"/>
    <w:rsid w:val="3E72001C"/>
    <w:rsid w:val="411C1F3F"/>
    <w:rsid w:val="46D34C9F"/>
    <w:rsid w:val="491C0DB6"/>
    <w:rsid w:val="4A037171"/>
    <w:rsid w:val="5D011488"/>
    <w:rsid w:val="60CD29A8"/>
    <w:rsid w:val="63D17CE2"/>
    <w:rsid w:val="6D9050E6"/>
    <w:rsid w:val="7049352A"/>
    <w:rsid w:val="760442A1"/>
    <w:rsid w:val="7CAA1027"/>
    <w:rsid w:val="7ECB1729"/>
    <w:rsid w:val="7F3E49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9"/>
    <w:pPr>
      <w:keepNext/>
      <w:keepLines/>
      <w:spacing w:before="340" w:after="330" w:line="576" w:lineRule="auto"/>
      <w:outlineLvl w:val="0"/>
    </w:pPr>
    <w:rPr>
      <w:rFonts w:cs="宋体"/>
      <w:b/>
      <w:bCs/>
      <w:kern w:val="44"/>
      <w:sz w:val="44"/>
      <w:szCs w:val="44"/>
    </w:rPr>
  </w:style>
  <w:style w:type="paragraph" w:styleId="3">
    <w:name w:val="heading 2"/>
    <w:basedOn w:val="1"/>
    <w:next w:val="1"/>
    <w:semiHidden/>
    <w:unhideWhenUsed/>
    <w:qFormat/>
    <w:uiPriority w:val="9"/>
    <w:pPr>
      <w:keepNext/>
      <w:keepLines/>
      <w:spacing w:before="260" w:after="260" w:line="415" w:lineRule="auto"/>
      <w:outlineLvl w:val="1"/>
    </w:pPr>
    <w:rPr>
      <w:rFonts w:asciiTheme="majorHAnsi" w:hAnsiTheme="majorHAnsi" w:eastAsiaTheme="majorEastAsia" w:cstheme="majorBidi"/>
      <w:b/>
      <w:bCs/>
      <w:sz w:val="32"/>
      <w:szCs w:val="32"/>
    </w:rPr>
  </w:style>
  <w:style w:type="paragraph" w:styleId="4">
    <w:name w:val="heading 3"/>
    <w:basedOn w:val="1"/>
    <w:next w:val="1"/>
    <w:link w:val="19"/>
    <w:semiHidden/>
    <w:unhideWhenUsed/>
    <w:qFormat/>
    <w:uiPriority w:val="0"/>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link w:val="20"/>
    <w:qFormat/>
    <w:uiPriority w:val="0"/>
    <w:pPr>
      <w:spacing w:after="120"/>
      <w:ind w:left="420" w:leftChars="200"/>
    </w:pPr>
    <w:rPr>
      <w:rFonts w:ascii="Times New Roman" w:hAnsi="Times New Roman" w:cs="Times New Roman"/>
      <w:szCs w:val="20"/>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qFormat/>
    <w:uiPriority w:val="99"/>
    <w:rPr>
      <w:rFonts w:cs="Times New Roman"/>
      <w:color w:val="0000FF"/>
      <w:u w:val="single"/>
    </w:rPr>
  </w:style>
  <w:style w:type="paragraph" w:customStyle="1" w:styleId="12">
    <w:name w:val="Default"/>
    <w:basedOn w:val="13"/>
    <w:next w:val="1"/>
    <w:qFormat/>
    <w:uiPriority w:val="99"/>
    <w:pPr>
      <w:widowControl w:val="0"/>
      <w:autoSpaceDE w:val="0"/>
      <w:autoSpaceDN w:val="0"/>
      <w:adjustRightInd w:val="0"/>
    </w:pPr>
    <w:rPr>
      <w:rFonts w:hint="eastAsia" w:ascii="方正小标宋_GBK" w:hAnsi="方正小标宋_GBK" w:eastAsia="方正小标宋_GBK" w:cs="Times New Roman"/>
      <w:color w:val="000000"/>
      <w:sz w:val="24"/>
      <w:lang w:val="en-US" w:eastAsia="zh-CN" w:bidi="ar-SA"/>
    </w:rPr>
  </w:style>
  <w:style w:type="paragraph" w:customStyle="1" w:styleId="13">
    <w:name w:val="纯文本1"/>
    <w:basedOn w:val="1"/>
    <w:qFormat/>
    <w:uiPriority w:val="0"/>
    <w:pPr>
      <w:textAlignment w:val="baseline"/>
    </w:pPr>
    <w:rPr>
      <w:rFonts w:ascii="宋体" w:hAnsi="Courier New"/>
    </w:rPr>
  </w:style>
  <w:style w:type="character" w:customStyle="1" w:styleId="14">
    <w:name w:val="页脚 字符"/>
    <w:link w:val="6"/>
    <w:qFormat/>
    <w:uiPriority w:val="99"/>
    <w:rPr>
      <w:rFonts w:ascii="Calibri" w:hAnsi="Calibri" w:eastAsia="宋体" w:cs="Calibri"/>
      <w:kern w:val="2"/>
      <w:sz w:val="18"/>
      <w:szCs w:val="18"/>
    </w:rPr>
  </w:style>
  <w:style w:type="character" w:customStyle="1" w:styleId="15">
    <w:name w:val="页眉 字符"/>
    <w:link w:val="7"/>
    <w:qFormat/>
    <w:uiPriority w:val="99"/>
    <w:rPr>
      <w:rFonts w:ascii="Calibri" w:hAnsi="Calibri" w:eastAsia="宋体" w:cs="Calibri"/>
      <w:kern w:val="2"/>
      <w:sz w:val="18"/>
      <w:szCs w:val="18"/>
    </w:rPr>
  </w:style>
  <w:style w:type="character" w:customStyle="1" w:styleId="16">
    <w:name w:val="font31"/>
    <w:qFormat/>
    <w:uiPriority w:val="99"/>
    <w:rPr>
      <w:rFonts w:ascii="仿宋_GB2312" w:eastAsia="仿宋_GB2312" w:cs="仿宋_GB2312"/>
      <w:color w:val="000000"/>
      <w:sz w:val="24"/>
      <w:szCs w:val="24"/>
      <w:u w:val="none"/>
    </w:rPr>
  </w:style>
  <w:style w:type="paragraph" w:customStyle="1" w:styleId="17">
    <w:name w:val="Char Char Char Char Char Char Char"/>
    <w:basedOn w:val="1"/>
    <w:qFormat/>
    <w:uiPriority w:val="99"/>
    <w:rPr>
      <w:rFonts w:ascii="Times New Roman" w:hAnsi="Times New Roman" w:eastAsia="仿宋_GB2312"/>
      <w:sz w:val="32"/>
    </w:rPr>
  </w:style>
  <w:style w:type="character" w:customStyle="1" w:styleId="18">
    <w:name w:val="font21"/>
    <w:qFormat/>
    <w:uiPriority w:val="99"/>
    <w:rPr>
      <w:rFonts w:ascii="Times New Roman" w:hAnsi="Times New Roman" w:cs="Times New Roman"/>
      <w:color w:val="000000"/>
      <w:sz w:val="24"/>
      <w:szCs w:val="24"/>
      <w:u w:val="none"/>
    </w:rPr>
  </w:style>
  <w:style w:type="character" w:customStyle="1" w:styleId="19">
    <w:name w:val="标题 3 字符"/>
    <w:basedOn w:val="10"/>
    <w:link w:val="4"/>
    <w:semiHidden/>
    <w:qFormat/>
    <w:uiPriority w:val="0"/>
    <w:rPr>
      <w:rFonts w:ascii="Calibri" w:hAnsi="Calibri" w:cs="Calibri"/>
      <w:b/>
      <w:bCs/>
      <w:kern w:val="2"/>
      <w:sz w:val="32"/>
      <w:szCs w:val="32"/>
    </w:rPr>
  </w:style>
  <w:style w:type="character" w:customStyle="1" w:styleId="20">
    <w:name w:val="正文文本缩进 字符"/>
    <w:basedOn w:val="10"/>
    <w:link w:val="5"/>
    <w:qFormat/>
    <w:uiPriority w:val="0"/>
    <w:rPr>
      <w:kern w:val="2"/>
      <w:sz w:val="21"/>
    </w:rPr>
  </w:style>
  <w:style w:type="paragraph" w:customStyle="1" w:styleId="21">
    <w:name w:val="List Paragraph"/>
    <w:basedOn w:val="1"/>
    <w:qFormat/>
    <w:uiPriority w:val="34"/>
    <w:pPr>
      <w:ind w:firstLine="420" w:firstLineChars="200"/>
    </w:pPr>
    <w:rPr>
      <w:rFonts w:cs="宋体"/>
    </w:rPr>
  </w:style>
  <w:style w:type="paragraph" w:customStyle="1" w:styleId="22">
    <w:name w:val="null3"/>
    <w:qFormat/>
    <w:uiPriority w:val="0"/>
    <w:rPr>
      <w:rFonts w:hint="eastAsia" w:ascii="Calibri" w:hAnsi="Calibri" w:eastAsia="宋体" w:cs="Times New Roman"/>
      <w:lang w:val="en-US" w:eastAsia="zh-Hans"/>
    </w:rPr>
  </w:style>
  <w:style w:type="paragraph" w:customStyle="1" w:styleId="23">
    <w:name w:val="Table Paragraph"/>
    <w:basedOn w:val="1"/>
    <w:qFormat/>
    <w:uiPriority w:val="0"/>
    <w:pPr>
      <w:autoSpaceDE w:val="0"/>
      <w:autoSpaceDN w:val="0"/>
      <w:adjustRightInd w:val="0"/>
      <w:jc w:val="left"/>
    </w:pPr>
    <w:rPr>
      <w:rFonts w:ascii="Calibri" w:hAnsi="Calibri"/>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3186</Words>
  <Characters>3257</Characters>
  <Lines>166</Lines>
  <Paragraphs>162</Paragraphs>
  <TotalTime>2</TotalTime>
  <ScaleCrop>false</ScaleCrop>
  <LinksUpToDate>false</LinksUpToDate>
  <CharactersWithSpaces>3260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2026-05-25T14:49:00Z</dcterms:created>
  <dc:creator>Administrator</dc:creator>
  <cp:lastModifiedBy>闲敲棋子</cp:lastModifiedBy>
  <cp:lastPrinted>2021-04-16T00:59:00Z</cp:lastPrinted>
  <dcterms:modified xsi:type="dcterms:W3CDTF">2026-07-24T06:53:45Z</dcterms:modified>
  <dc:title>中介服务项目采购需求书模板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6142CF8858171C25E3D2626A3699D6ED_43</vt:lpwstr>
  </property>
  <property fmtid="{D5CDD505-2E9C-101B-9397-08002B2CF9AE}" pid="4" name="KSOTemplateDocerSaveRecord">
    <vt:lpwstr>eyJoZGlkIjoiYzVlOGI0ZTc5NTk1N2M3N2IxMzg3NjUzZGJlODNiZGMiLCJ1c2VySWQiOiIxMDc1NTU1NDEwIn0=</vt:lpwstr>
  </property>
</Properties>
</file>