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E933F">
      <w:pPr>
        <w:keepNext w:val="0"/>
        <w:keepLines w:val="0"/>
        <w:pageBreakBefore w:val="0"/>
        <w:kinsoku/>
        <w:overflowPunct/>
        <w:topLinePunct w:val="0"/>
        <w:autoSpaceDE/>
        <w:autoSpaceDN/>
        <w:bidi w:val="0"/>
        <w:spacing w:line="360" w:lineRule="auto"/>
        <w:jc w:val="center"/>
        <w:textAlignment w:val="auto"/>
        <w:rPr>
          <w:rFonts w:hint="eastAsia" w:ascii="仿宋" w:hAnsi="仿宋" w:eastAsia="仿宋" w:cs="仿宋"/>
          <w:b/>
          <w:spacing w:val="20"/>
          <w:sz w:val="32"/>
          <w:szCs w:val="32"/>
          <w:highlight w:val="none"/>
        </w:rPr>
      </w:pPr>
    </w:p>
    <w:p w14:paraId="2B183B4C">
      <w:pPr>
        <w:keepNext w:val="0"/>
        <w:keepLines w:val="0"/>
        <w:pageBreakBefore w:val="0"/>
        <w:kinsoku/>
        <w:overflowPunct/>
        <w:topLinePunct w:val="0"/>
        <w:autoSpaceDE/>
        <w:autoSpaceDN/>
        <w:bidi w:val="0"/>
        <w:spacing w:line="360" w:lineRule="auto"/>
        <w:jc w:val="center"/>
        <w:textAlignment w:val="auto"/>
        <w:rPr>
          <w:rFonts w:hint="eastAsia" w:ascii="仿宋" w:hAnsi="仿宋" w:eastAsia="仿宋" w:cs="仿宋"/>
          <w:b/>
          <w:spacing w:val="20"/>
          <w:sz w:val="32"/>
          <w:szCs w:val="32"/>
          <w:highlight w:val="none"/>
        </w:rPr>
      </w:pPr>
    </w:p>
    <w:p w14:paraId="33617CB5">
      <w:pPr>
        <w:keepNext w:val="0"/>
        <w:keepLines w:val="0"/>
        <w:pageBreakBefore w:val="0"/>
        <w:kinsoku/>
        <w:overflowPunct/>
        <w:topLinePunct w:val="0"/>
        <w:autoSpaceDE/>
        <w:autoSpaceDN/>
        <w:bidi w:val="0"/>
        <w:spacing w:line="360" w:lineRule="auto"/>
        <w:jc w:val="center"/>
        <w:textAlignment w:val="auto"/>
        <w:rPr>
          <w:rFonts w:hint="eastAsia" w:ascii="仿宋" w:hAnsi="仿宋" w:eastAsia="仿宋" w:cs="仿宋"/>
          <w:b/>
          <w:spacing w:val="20"/>
          <w:sz w:val="32"/>
          <w:szCs w:val="32"/>
          <w:highlight w:val="none"/>
        </w:rPr>
      </w:pPr>
      <w:r>
        <w:rPr>
          <w:rFonts w:hint="eastAsia" w:ascii="仿宋" w:hAnsi="仿宋" w:eastAsia="仿宋" w:cs="仿宋"/>
          <w:b/>
          <w:spacing w:val="20"/>
          <w:sz w:val="32"/>
          <w:szCs w:val="32"/>
          <w:highlight w:val="none"/>
        </w:rPr>
        <w:t xml:space="preserve">  </w:t>
      </w:r>
    </w:p>
    <w:p w14:paraId="76164D26">
      <w:pPr>
        <w:keepNext w:val="0"/>
        <w:keepLines w:val="0"/>
        <w:pageBreakBefore w:val="0"/>
        <w:kinsoku/>
        <w:overflowPunct/>
        <w:topLinePunct w:val="0"/>
        <w:autoSpaceDE/>
        <w:autoSpaceDN/>
        <w:bidi w:val="0"/>
        <w:spacing w:line="360" w:lineRule="auto"/>
        <w:ind w:firstLine="2240" w:firstLineChars="700"/>
        <w:textAlignment w:val="auto"/>
        <w:rPr>
          <w:rFonts w:hint="eastAsia" w:ascii="仿宋" w:hAnsi="仿宋" w:eastAsia="仿宋" w:cs="仿宋"/>
          <w:sz w:val="32"/>
          <w:szCs w:val="32"/>
          <w:highlight w:val="none"/>
        </w:rPr>
        <w:sectPr>
          <w:headerReference r:id="rId3" w:type="default"/>
          <w:footerReference r:id="rId4" w:type="default"/>
          <w:footerReference r:id="rId5" w:type="even"/>
          <w:pgSz w:w="11906" w:h="16838"/>
          <w:pgMar w:top="1134" w:right="1701" w:bottom="1361" w:left="1701" w:header="851" w:footer="992" w:gutter="0"/>
          <w:pgNumType w:fmt="decimal" w:start="1"/>
          <w:cols w:space="425" w:num="2"/>
          <w:docGrid w:type="lines" w:linePitch="312" w:charSpace="0"/>
        </w:sectPr>
      </w:pPr>
    </w:p>
    <w:p w14:paraId="38309CDA">
      <w:pPr>
        <w:jc w:val="center"/>
        <w:rPr>
          <w:rFonts w:ascii="方正小标宋简体" w:eastAsia="方正小标宋简体"/>
          <w:sz w:val="52"/>
          <w:szCs w:val="52"/>
          <w:highlight w:val="none"/>
        </w:rPr>
      </w:pPr>
    </w:p>
    <w:p w14:paraId="32B70C11">
      <w:pPr>
        <w:jc w:val="center"/>
        <w:rPr>
          <w:rFonts w:ascii="方正小标宋简体" w:eastAsia="方正小标宋简体"/>
          <w:sz w:val="52"/>
          <w:szCs w:val="52"/>
          <w:highlight w:val="none"/>
        </w:rPr>
      </w:pPr>
    </w:p>
    <w:p w14:paraId="6F5E1513">
      <w:pPr>
        <w:jc w:val="center"/>
        <w:rPr>
          <w:rFonts w:ascii="方正小标宋简体" w:eastAsia="方正小标宋简体"/>
          <w:sz w:val="52"/>
          <w:szCs w:val="52"/>
          <w:highlight w:val="none"/>
        </w:rPr>
      </w:pPr>
    </w:p>
    <w:p w14:paraId="19092790">
      <w:pPr>
        <w:jc w:val="center"/>
        <w:rPr>
          <w:rFonts w:hint="eastAsia" w:asciiTheme="minorEastAsia" w:hAnsiTheme="minorEastAsia" w:eastAsiaTheme="minorEastAsia"/>
          <w:b/>
          <w:bCs/>
          <w:sz w:val="36"/>
          <w:szCs w:val="36"/>
          <w:highlight w:val="none"/>
        </w:rPr>
      </w:pPr>
      <w:r>
        <w:rPr>
          <w:rFonts w:hint="eastAsia" w:asciiTheme="minorEastAsia" w:hAnsiTheme="minorEastAsia" w:eastAsiaTheme="minorEastAsia"/>
          <w:b/>
          <w:bCs/>
          <w:sz w:val="36"/>
          <w:szCs w:val="36"/>
          <w:highlight w:val="none"/>
          <w:lang w:eastAsia="zh-CN"/>
        </w:rPr>
        <w:t>湛江市民政局</w:t>
      </w:r>
    </w:p>
    <w:p w14:paraId="474F5AC6">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仿宋" w:hAnsi="仿宋" w:eastAsia="仿宋" w:cs="仿宋"/>
          <w:b/>
          <w:bCs/>
          <w:sz w:val="36"/>
          <w:szCs w:val="36"/>
          <w:highlight w:val="none"/>
          <w:lang w:eastAsia="zh-CN"/>
        </w:rPr>
      </w:pPr>
      <w:r>
        <w:rPr>
          <w:rFonts w:hint="eastAsia" w:asciiTheme="minorEastAsia" w:hAnsiTheme="minorEastAsia" w:eastAsiaTheme="minorEastAsia"/>
          <w:b/>
          <w:bCs/>
          <w:sz w:val="36"/>
          <w:szCs w:val="36"/>
          <w:highlight w:val="none"/>
        </w:rPr>
        <w:t>202</w:t>
      </w:r>
      <w:r>
        <w:rPr>
          <w:rFonts w:hint="eastAsia" w:asciiTheme="minorEastAsia" w:hAnsiTheme="minorEastAsia" w:eastAsiaTheme="minorEastAsia"/>
          <w:b/>
          <w:bCs/>
          <w:sz w:val="36"/>
          <w:szCs w:val="36"/>
          <w:highlight w:val="none"/>
          <w:lang w:val="en-US" w:eastAsia="zh-CN"/>
        </w:rPr>
        <w:t>2</w:t>
      </w:r>
      <w:r>
        <w:rPr>
          <w:rFonts w:hint="eastAsia" w:asciiTheme="minorEastAsia" w:hAnsiTheme="minorEastAsia" w:eastAsiaTheme="minorEastAsia"/>
          <w:b/>
          <w:bCs/>
          <w:sz w:val="36"/>
          <w:szCs w:val="36"/>
          <w:highlight w:val="none"/>
        </w:rPr>
        <w:t>年</w:t>
      </w:r>
      <w:r>
        <w:rPr>
          <w:rFonts w:hint="eastAsia" w:asciiTheme="minorEastAsia" w:hAnsiTheme="minorEastAsia" w:eastAsiaTheme="minorEastAsia"/>
          <w:b/>
          <w:bCs/>
          <w:sz w:val="36"/>
          <w:szCs w:val="36"/>
          <w:highlight w:val="none"/>
          <w:lang w:eastAsia="zh-CN"/>
        </w:rPr>
        <w:t>度</w:t>
      </w:r>
      <w:r>
        <w:rPr>
          <w:rFonts w:hint="eastAsia" w:asciiTheme="minorEastAsia" w:hAnsiTheme="minorEastAsia" w:eastAsiaTheme="minorEastAsia"/>
          <w:b/>
          <w:bCs/>
          <w:sz w:val="36"/>
          <w:szCs w:val="36"/>
          <w:highlight w:val="none"/>
        </w:rPr>
        <w:t>项目</w:t>
      </w:r>
      <w:r>
        <w:rPr>
          <w:rFonts w:hint="eastAsia" w:asciiTheme="minorEastAsia" w:hAnsiTheme="minorEastAsia" w:eastAsiaTheme="minorEastAsia"/>
          <w:b/>
          <w:bCs/>
          <w:sz w:val="36"/>
          <w:szCs w:val="36"/>
          <w:highlight w:val="none"/>
          <w:lang w:eastAsia="zh-CN"/>
        </w:rPr>
        <w:t>支出</w:t>
      </w:r>
      <w:r>
        <w:rPr>
          <w:rFonts w:hint="eastAsia" w:asciiTheme="minorEastAsia" w:hAnsiTheme="minorEastAsia" w:eastAsiaTheme="minorEastAsia"/>
          <w:b/>
          <w:bCs/>
          <w:sz w:val="36"/>
          <w:szCs w:val="36"/>
          <w:highlight w:val="none"/>
        </w:rPr>
        <w:t>绩效</w:t>
      </w:r>
      <w:r>
        <w:rPr>
          <w:rFonts w:hint="eastAsia" w:asciiTheme="minorEastAsia" w:hAnsiTheme="minorEastAsia" w:eastAsiaTheme="minorEastAsia"/>
          <w:b/>
          <w:bCs/>
          <w:sz w:val="36"/>
          <w:szCs w:val="36"/>
          <w:highlight w:val="none"/>
          <w:lang w:eastAsia="zh-CN"/>
        </w:rPr>
        <w:t>核查</w:t>
      </w:r>
      <w:r>
        <w:rPr>
          <w:rFonts w:hint="eastAsia" w:asciiTheme="minorEastAsia" w:hAnsiTheme="minorEastAsia" w:eastAsiaTheme="minorEastAsia"/>
          <w:b/>
          <w:bCs/>
          <w:sz w:val="36"/>
          <w:szCs w:val="36"/>
          <w:highlight w:val="none"/>
        </w:rPr>
        <w:t>报告</w:t>
      </w:r>
    </w:p>
    <w:p w14:paraId="5DB989B4">
      <w:pPr>
        <w:jc w:val="center"/>
        <w:rPr>
          <w:rFonts w:ascii="Times New Roman" w:hAnsi="Times New Roman" w:eastAsia="仿宋_GB2312"/>
          <w:b/>
          <w:kern w:val="0"/>
          <w:sz w:val="36"/>
          <w:szCs w:val="36"/>
          <w:highlight w:val="none"/>
        </w:rPr>
      </w:pPr>
      <w:r>
        <w:rPr>
          <w:rFonts w:hint="eastAsia" w:ascii="Times New Roman" w:hAnsi="Times New Roman" w:eastAsia="仿宋_GB2312"/>
          <w:b/>
          <w:kern w:val="0"/>
          <w:sz w:val="36"/>
          <w:szCs w:val="36"/>
          <w:highlight w:val="none"/>
        </w:rPr>
        <w:t xml:space="preserve"> </w:t>
      </w:r>
    </w:p>
    <w:p w14:paraId="2A3B1996">
      <w:pPr>
        <w:rPr>
          <w:rFonts w:ascii="Times New Roman" w:hAnsi="Times New Roman" w:eastAsia="仿宋_GB2312"/>
          <w:kern w:val="0"/>
          <w:sz w:val="32"/>
          <w:szCs w:val="32"/>
          <w:highlight w:val="none"/>
        </w:rPr>
      </w:pPr>
    </w:p>
    <w:p w14:paraId="04FB56CF">
      <w:pPr>
        <w:rPr>
          <w:rFonts w:ascii="Times New Roman" w:hAnsi="Times New Roman" w:eastAsia="仿宋_GB2312"/>
          <w:kern w:val="0"/>
          <w:sz w:val="32"/>
          <w:szCs w:val="32"/>
          <w:highlight w:val="none"/>
        </w:rPr>
      </w:pPr>
    </w:p>
    <w:p w14:paraId="059DD674">
      <w:pPr>
        <w:rPr>
          <w:rFonts w:ascii="Times New Roman" w:hAnsi="Times New Roman" w:eastAsia="仿宋_GB2312"/>
          <w:kern w:val="0"/>
          <w:sz w:val="32"/>
          <w:szCs w:val="32"/>
          <w:highlight w:val="none"/>
        </w:rPr>
      </w:pPr>
    </w:p>
    <w:p w14:paraId="2A6E68AC">
      <w:pPr>
        <w:rPr>
          <w:rFonts w:ascii="Times New Roman" w:hAnsi="Times New Roman" w:eastAsia="仿宋_GB2312"/>
          <w:kern w:val="0"/>
          <w:sz w:val="32"/>
          <w:szCs w:val="32"/>
          <w:highlight w:val="none"/>
        </w:rPr>
      </w:pPr>
    </w:p>
    <w:p w14:paraId="3229B5D1">
      <w:pPr>
        <w:rPr>
          <w:rFonts w:ascii="Times New Roman" w:hAnsi="Times New Roman" w:eastAsia="仿宋_GB2312"/>
          <w:kern w:val="0"/>
          <w:sz w:val="32"/>
          <w:szCs w:val="32"/>
          <w:highlight w:val="none"/>
        </w:rPr>
      </w:pPr>
    </w:p>
    <w:p w14:paraId="1AAC4168">
      <w:pPr>
        <w:rPr>
          <w:rFonts w:ascii="Times New Roman" w:hAnsi="Times New Roman" w:eastAsia="仿宋_GB2312"/>
          <w:kern w:val="0"/>
          <w:sz w:val="32"/>
          <w:szCs w:val="32"/>
          <w:highlight w:val="none"/>
        </w:rPr>
      </w:pPr>
    </w:p>
    <w:p w14:paraId="6BC39946">
      <w:pPr>
        <w:rPr>
          <w:rFonts w:ascii="Times New Roman" w:hAnsi="Times New Roman" w:eastAsia="仿宋_GB2312"/>
          <w:kern w:val="0"/>
          <w:sz w:val="32"/>
          <w:szCs w:val="32"/>
          <w:highlight w:val="none"/>
        </w:rPr>
      </w:pPr>
    </w:p>
    <w:p w14:paraId="284D7F7C">
      <w:pPr>
        <w:ind w:firstLine="843" w:firstLineChars="300"/>
        <w:rPr>
          <w:rFonts w:ascii="Times New Roman" w:hAnsi="Times New Roman" w:eastAsia="仿宋_GB2312"/>
          <w:kern w:val="0"/>
          <w:sz w:val="28"/>
          <w:szCs w:val="28"/>
          <w:highlight w:val="none"/>
        </w:rPr>
      </w:pPr>
      <w:r>
        <w:rPr>
          <w:rFonts w:hint="eastAsia" w:ascii="仿宋" w:hAnsi="仿宋" w:eastAsia="仿宋" w:cs="仿宋"/>
          <w:b/>
          <w:bCs/>
          <w:kern w:val="0"/>
          <w:sz w:val="28"/>
          <w:szCs w:val="28"/>
          <w:highlight w:val="none"/>
          <w:lang w:eastAsia="zh-CN"/>
        </w:rPr>
        <w:t>委托单位：</w:t>
      </w:r>
      <w:r>
        <w:rPr>
          <w:rFonts w:hint="eastAsia" w:ascii="仿宋" w:hAnsi="仿宋" w:eastAsia="仿宋" w:cs="仿宋"/>
          <w:kern w:val="0"/>
          <w:sz w:val="28"/>
          <w:szCs w:val="28"/>
          <w:highlight w:val="none"/>
          <w:lang w:eastAsia="zh-CN"/>
        </w:rPr>
        <w:t>湛江市财政局</w:t>
      </w:r>
    </w:p>
    <w:p w14:paraId="2106C6B3">
      <w:pPr>
        <w:ind w:firstLine="843" w:firstLineChars="300"/>
        <w:rPr>
          <w:rFonts w:hint="eastAsia" w:ascii="仿宋" w:hAnsi="仿宋" w:eastAsia="仿宋" w:cs="仿宋"/>
          <w:kern w:val="0"/>
          <w:sz w:val="28"/>
          <w:szCs w:val="28"/>
          <w:highlight w:val="none"/>
          <w:lang w:eastAsia="zh-CN"/>
        </w:rPr>
      </w:pPr>
      <w:r>
        <w:rPr>
          <w:rFonts w:hint="eastAsia" w:ascii="仿宋" w:hAnsi="仿宋" w:eastAsia="仿宋" w:cs="仿宋"/>
          <w:b/>
          <w:bCs/>
          <w:kern w:val="0"/>
          <w:sz w:val="28"/>
          <w:szCs w:val="28"/>
          <w:highlight w:val="none"/>
          <w:lang w:eastAsia="zh-CN"/>
        </w:rPr>
        <w:t>评价机构：</w:t>
      </w:r>
      <w:r>
        <w:rPr>
          <w:rFonts w:hint="eastAsia" w:ascii="仿宋" w:hAnsi="仿宋" w:eastAsia="仿宋" w:cs="仿宋"/>
          <w:kern w:val="0"/>
          <w:sz w:val="28"/>
          <w:szCs w:val="28"/>
          <w:highlight w:val="none"/>
          <w:lang w:eastAsia="zh-CN"/>
        </w:rPr>
        <w:t>广东诚安信会计师事务所（特殊普通合伙）</w:t>
      </w:r>
    </w:p>
    <w:p w14:paraId="674AF69E">
      <w:pPr>
        <w:ind w:firstLine="843" w:firstLineChars="300"/>
        <w:rPr>
          <w:rFonts w:hint="eastAsia" w:ascii="仿宋" w:hAnsi="仿宋" w:eastAsia="仿宋" w:cs="仿宋"/>
          <w:kern w:val="0"/>
          <w:sz w:val="32"/>
          <w:szCs w:val="32"/>
          <w:highlight w:val="none"/>
          <w:lang w:eastAsia="zh-CN"/>
        </w:rPr>
      </w:pPr>
      <w:r>
        <w:rPr>
          <w:rFonts w:hint="eastAsia" w:ascii="仿宋" w:hAnsi="仿宋" w:eastAsia="仿宋" w:cs="仿宋"/>
          <w:b/>
          <w:bCs/>
          <w:kern w:val="0"/>
          <w:sz w:val="28"/>
          <w:szCs w:val="28"/>
          <w:highlight w:val="none"/>
          <w:lang w:eastAsia="zh-CN"/>
        </w:rPr>
        <w:t>评价日期：</w:t>
      </w:r>
      <w:r>
        <w:rPr>
          <w:rFonts w:hint="eastAsia" w:ascii="仿宋" w:hAnsi="仿宋" w:eastAsia="仿宋" w:cs="仿宋"/>
          <w:kern w:val="0"/>
          <w:sz w:val="28"/>
          <w:szCs w:val="28"/>
          <w:highlight w:val="none"/>
          <w:lang w:eastAsia="zh-CN"/>
        </w:rPr>
        <w:t>202</w:t>
      </w:r>
      <w:r>
        <w:rPr>
          <w:rFonts w:hint="eastAsia" w:ascii="仿宋" w:hAnsi="仿宋" w:eastAsia="仿宋" w:cs="仿宋"/>
          <w:kern w:val="0"/>
          <w:sz w:val="28"/>
          <w:szCs w:val="28"/>
          <w:highlight w:val="none"/>
          <w:lang w:val="en-US" w:eastAsia="zh-CN"/>
        </w:rPr>
        <w:t>3</w:t>
      </w:r>
      <w:r>
        <w:rPr>
          <w:rFonts w:hint="eastAsia" w:ascii="仿宋" w:hAnsi="仿宋" w:eastAsia="仿宋" w:cs="仿宋"/>
          <w:kern w:val="0"/>
          <w:sz w:val="28"/>
          <w:szCs w:val="28"/>
          <w:highlight w:val="none"/>
          <w:lang w:eastAsia="zh-CN"/>
        </w:rPr>
        <w:t>年</w:t>
      </w:r>
      <w:r>
        <w:rPr>
          <w:rFonts w:hint="eastAsia" w:ascii="仿宋" w:hAnsi="仿宋" w:eastAsia="仿宋" w:cs="仿宋"/>
          <w:kern w:val="0"/>
          <w:sz w:val="28"/>
          <w:szCs w:val="28"/>
          <w:highlight w:val="none"/>
          <w:lang w:val="en-US" w:eastAsia="zh-CN"/>
        </w:rPr>
        <w:t>9</w:t>
      </w:r>
      <w:r>
        <w:rPr>
          <w:rFonts w:hint="eastAsia" w:ascii="仿宋" w:hAnsi="仿宋" w:eastAsia="仿宋" w:cs="仿宋"/>
          <w:kern w:val="0"/>
          <w:sz w:val="28"/>
          <w:szCs w:val="28"/>
          <w:highlight w:val="none"/>
          <w:lang w:eastAsia="zh-CN"/>
        </w:rPr>
        <w:t>月</w:t>
      </w:r>
    </w:p>
    <w:p w14:paraId="23A4708B">
      <w:pPr>
        <w:pStyle w:val="9"/>
        <w:rPr>
          <w:rFonts w:hint="eastAsia" w:ascii="仿宋_GB2312" w:hAnsi="仿宋_GB2312" w:eastAsia="仿宋_GB2312" w:cs="仿宋_GB2312"/>
          <w:sz w:val="32"/>
          <w:szCs w:val="40"/>
          <w:highlight w:val="none"/>
        </w:rPr>
      </w:pPr>
    </w:p>
    <w:p w14:paraId="4240CBE6">
      <w:pPr>
        <w:pStyle w:val="5"/>
        <w:widowControl/>
        <w:tabs>
          <w:tab w:val="right" w:leader="dot" w:pos="8958"/>
        </w:tabs>
        <w:spacing w:before="240" w:after="120" w:line="520" w:lineRule="exact"/>
        <w:jc w:val="both"/>
        <w:rPr>
          <w:rFonts w:hint="eastAsia" w:ascii="Cambria" w:hAnsi="Cambria" w:eastAsia="方正小标宋简体"/>
          <w:caps/>
          <w:sz w:val="36"/>
          <w:szCs w:val="36"/>
          <w:highlight w:val="none"/>
          <w:lang w:val="zh-CN"/>
        </w:rPr>
        <w:sectPr>
          <w:footerReference r:id="rId6" w:type="default"/>
          <w:type w:val="continuous"/>
          <w:pgSz w:w="11906" w:h="16838"/>
          <w:pgMar w:top="1440" w:right="1800" w:bottom="1440" w:left="1800" w:header="851" w:footer="992" w:gutter="0"/>
          <w:cols w:space="425" w:num="1"/>
          <w:docGrid w:type="lines" w:linePitch="312" w:charSpace="0"/>
        </w:sectPr>
      </w:pPr>
    </w:p>
    <w:p w14:paraId="7DF9C547">
      <w:pPr>
        <w:keepNext w:val="0"/>
        <w:keepLines w:val="0"/>
        <w:pageBreakBefore w:val="0"/>
        <w:kinsoku/>
        <w:wordWrap/>
        <w:overflowPunct/>
        <w:topLinePunct w:val="0"/>
        <w:autoSpaceDE/>
        <w:autoSpaceDN/>
        <w:bidi w:val="0"/>
        <w:adjustRightInd/>
        <w:snapToGrid w:val="0"/>
        <w:spacing w:line="240" w:lineRule="auto"/>
        <w:jc w:val="both"/>
        <w:textAlignment w:val="auto"/>
        <w:rPr>
          <w:rFonts w:hint="eastAsia" w:ascii="仿宋" w:hAnsi="仿宋" w:eastAsia="仿宋" w:cs="仿宋"/>
          <w:b/>
          <w:spacing w:val="20"/>
          <w:sz w:val="32"/>
          <w:szCs w:val="32"/>
          <w:highlight w:val="none"/>
        </w:rPr>
      </w:pPr>
      <w:r>
        <w:rPr>
          <w:rFonts w:hint="eastAsia" w:ascii="仿宋" w:hAnsi="仿宋" w:eastAsia="仿宋" w:cs="仿宋"/>
          <w:b/>
          <w:spacing w:val="20"/>
          <w:sz w:val="32"/>
          <w:szCs w:val="32"/>
          <w:highlight w:val="none"/>
        </w:rPr>
        <w:t xml:space="preserve"> </w:t>
      </w:r>
    </w:p>
    <w:p w14:paraId="1707CA1F">
      <w:pPr>
        <w:jc w:val="center"/>
        <w:rPr>
          <w:rFonts w:hint="eastAsia" w:ascii="仿宋" w:hAnsi="仿宋" w:eastAsia="仿宋" w:cs="仿宋"/>
          <w:b/>
          <w:bCs/>
          <w:caps/>
          <w:kern w:val="2"/>
          <w:sz w:val="36"/>
          <w:szCs w:val="36"/>
          <w:highlight w:val="none"/>
          <w:lang w:val="en-US" w:eastAsia="zh-CN" w:bidi="ar-SA"/>
        </w:rPr>
        <w:sectPr>
          <w:headerReference r:id="rId9" w:type="first"/>
          <w:footerReference r:id="rId12" w:type="first"/>
          <w:headerReference r:id="rId7" w:type="default"/>
          <w:footerReference r:id="rId10" w:type="default"/>
          <w:headerReference r:id="rId8" w:type="even"/>
          <w:footerReference r:id="rId11" w:type="even"/>
          <w:type w:val="continuous"/>
          <w:pgSz w:w="11906" w:h="16838"/>
          <w:pgMar w:top="1418" w:right="1418" w:bottom="1418" w:left="1418" w:header="851" w:footer="992" w:gutter="0"/>
          <w:pgNumType w:fmt="decimal"/>
          <w:cols w:space="720" w:num="1"/>
          <w:docGrid w:type="lines" w:linePitch="312" w:charSpace="0"/>
        </w:sectPr>
      </w:pPr>
    </w:p>
    <w:p w14:paraId="5C2A40C2">
      <w:pPr>
        <w:spacing w:before="0" w:beforeLines="0" w:after="0" w:afterLines="0" w:line="240" w:lineRule="auto"/>
        <w:ind w:left="0" w:leftChars="0" w:right="0" w:rightChars="0" w:firstLine="0" w:firstLineChars="0"/>
        <w:jc w:val="center"/>
        <w:rPr>
          <w:rFonts w:ascii="宋体" w:hAnsi="宋体" w:eastAsia="宋体" w:cs="Times New Roman"/>
          <w:kern w:val="2"/>
          <w:sz w:val="21"/>
          <w:szCs w:val="24"/>
          <w:highlight w:val="none"/>
          <w:lang w:val="en-US" w:eastAsia="zh-CN" w:bidi="ar-SA"/>
        </w:rPr>
      </w:pPr>
    </w:p>
    <w:p w14:paraId="2D8BE7A4">
      <w:pPr>
        <w:spacing w:before="0" w:beforeLines="0" w:after="0" w:afterLines="0" w:line="240" w:lineRule="auto"/>
        <w:ind w:left="0" w:leftChars="0" w:right="0" w:rightChars="0" w:firstLine="0" w:firstLineChars="0"/>
        <w:jc w:val="center"/>
        <w:rPr>
          <w:rFonts w:hint="eastAsia"/>
          <w:sz w:val="32"/>
          <w:szCs w:val="32"/>
          <w:highlight w:val="none"/>
        </w:rPr>
      </w:pPr>
      <w:r>
        <w:rPr>
          <w:rFonts w:hint="eastAsia" w:ascii="仿宋" w:hAnsi="仿宋" w:eastAsia="仿宋" w:cs="仿宋"/>
          <w:b/>
          <w:bCs/>
          <w:sz w:val="32"/>
          <w:szCs w:val="32"/>
          <w:highlight w:val="none"/>
        </w:rPr>
        <w:t>目录</w:t>
      </w:r>
    </w:p>
    <w:p w14:paraId="5AE3132E">
      <w:pPr>
        <w:pStyle w:val="10"/>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TOC \o "1-2" \h \u </w:instrText>
      </w:r>
      <w:r>
        <w:rPr>
          <w:rFonts w:hint="eastAsia" w:ascii="仿宋" w:hAnsi="仿宋" w:eastAsia="仿宋" w:cs="仿宋"/>
          <w:sz w:val="28"/>
          <w:szCs w:val="28"/>
          <w:highlight w:val="none"/>
        </w:rPr>
        <w:fldChar w:fldCharType="separate"/>
      </w:r>
      <w:r>
        <w:rPr>
          <w:rFonts w:hint="eastAsia" w:ascii="仿宋" w:hAnsi="仿宋" w:eastAsia="仿宋" w:cs="仿宋"/>
          <w:b/>
          <w:bCs/>
          <w:sz w:val="28"/>
          <w:szCs w:val="28"/>
          <w:highlight w:val="none"/>
        </w:rPr>
        <w:fldChar w:fldCharType="begin"/>
      </w:r>
      <w:r>
        <w:rPr>
          <w:rFonts w:hint="eastAsia" w:ascii="仿宋" w:hAnsi="仿宋" w:eastAsia="仿宋" w:cs="仿宋"/>
          <w:b/>
          <w:bCs/>
          <w:sz w:val="28"/>
          <w:szCs w:val="28"/>
          <w:highlight w:val="none"/>
        </w:rPr>
        <w:instrText xml:space="preserve"> HYPERLINK \l _Toc4951 </w:instrText>
      </w:r>
      <w:r>
        <w:rPr>
          <w:rFonts w:hint="eastAsia" w:ascii="仿宋" w:hAnsi="仿宋" w:eastAsia="仿宋" w:cs="仿宋"/>
          <w:b/>
          <w:bCs/>
          <w:sz w:val="28"/>
          <w:szCs w:val="28"/>
          <w:highlight w:val="none"/>
        </w:rPr>
        <w:fldChar w:fldCharType="separate"/>
      </w:r>
      <w:r>
        <w:rPr>
          <w:rFonts w:hint="eastAsia" w:ascii="仿宋" w:hAnsi="仿宋" w:eastAsia="仿宋" w:cs="仿宋"/>
          <w:b/>
          <w:bCs/>
          <w:sz w:val="28"/>
          <w:szCs w:val="28"/>
          <w:highlight w:val="none"/>
          <w:lang w:val="en-US" w:eastAsia="zh-CN"/>
        </w:rPr>
        <w:t>一、项目基本情况</w:t>
      </w:r>
      <w:r>
        <w:rPr>
          <w:rFonts w:hint="eastAsia" w:ascii="仿宋" w:hAnsi="仿宋" w:eastAsia="仿宋" w:cs="仿宋"/>
          <w:b/>
          <w:bCs/>
          <w:sz w:val="28"/>
          <w:szCs w:val="28"/>
          <w:highlight w:val="none"/>
        </w:rPr>
        <w:tab/>
      </w:r>
      <w:r>
        <w:rPr>
          <w:rFonts w:hint="eastAsia" w:ascii="仿宋" w:hAnsi="仿宋" w:eastAsia="仿宋" w:cs="仿宋"/>
          <w:b/>
          <w:bCs/>
          <w:sz w:val="28"/>
          <w:szCs w:val="28"/>
          <w:highlight w:val="none"/>
        </w:rPr>
        <w:fldChar w:fldCharType="begin"/>
      </w:r>
      <w:r>
        <w:rPr>
          <w:rFonts w:hint="eastAsia" w:ascii="仿宋" w:hAnsi="仿宋" w:eastAsia="仿宋" w:cs="仿宋"/>
          <w:b/>
          <w:bCs/>
          <w:sz w:val="28"/>
          <w:szCs w:val="28"/>
          <w:highlight w:val="none"/>
        </w:rPr>
        <w:instrText xml:space="preserve"> PAGEREF _Toc4951 \h </w:instrText>
      </w:r>
      <w:r>
        <w:rPr>
          <w:rFonts w:hint="eastAsia" w:ascii="仿宋" w:hAnsi="仿宋" w:eastAsia="仿宋" w:cs="仿宋"/>
          <w:b/>
          <w:bCs/>
          <w:sz w:val="28"/>
          <w:szCs w:val="28"/>
          <w:highlight w:val="none"/>
        </w:rPr>
        <w:fldChar w:fldCharType="separate"/>
      </w:r>
      <w:r>
        <w:rPr>
          <w:rFonts w:hint="eastAsia" w:ascii="仿宋" w:hAnsi="仿宋" w:eastAsia="仿宋" w:cs="仿宋"/>
          <w:b/>
          <w:bCs/>
          <w:sz w:val="28"/>
          <w:szCs w:val="28"/>
          <w:highlight w:val="none"/>
        </w:rPr>
        <w:t>1</w:t>
      </w:r>
      <w:r>
        <w:rPr>
          <w:rFonts w:hint="eastAsia" w:ascii="仿宋" w:hAnsi="仿宋" w:eastAsia="仿宋" w:cs="仿宋"/>
          <w:b/>
          <w:bCs/>
          <w:sz w:val="28"/>
          <w:szCs w:val="28"/>
          <w:highlight w:val="none"/>
        </w:rPr>
        <w:fldChar w:fldCharType="end"/>
      </w:r>
      <w:r>
        <w:rPr>
          <w:rFonts w:hint="eastAsia" w:ascii="仿宋" w:hAnsi="仿宋" w:eastAsia="仿宋" w:cs="仿宋"/>
          <w:b/>
          <w:bCs/>
          <w:sz w:val="28"/>
          <w:szCs w:val="28"/>
          <w:highlight w:val="none"/>
        </w:rPr>
        <w:fldChar w:fldCharType="end"/>
      </w:r>
    </w:p>
    <w:p w14:paraId="5180D3FA">
      <w:pPr>
        <w:pStyle w:val="10"/>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_Toc17530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lang w:eastAsia="zh-CN"/>
        </w:rPr>
        <w:t>（一）项目概况</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_Toc17530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1</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0E384D5D">
      <w:pPr>
        <w:pStyle w:val="10"/>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_Toc17257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lang w:eastAsia="zh-CN"/>
        </w:rPr>
        <w:t>（二）项目立项依据</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_Toc17257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6A287F4C">
      <w:pPr>
        <w:pStyle w:val="10"/>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_Toc1156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lang w:eastAsia="zh-CN"/>
        </w:rPr>
        <w:t>（三）项目</w:t>
      </w:r>
      <w:r>
        <w:rPr>
          <w:rFonts w:hint="eastAsia" w:ascii="仿宋" w:hAnsi="仿宋" w:eastAsia="仿宋" w:cs="仿宋"/>
          <w:sz w:val="28"/>
          <w:szCs w:val="28"/>
          <w:highlight w:val="none"/>
        </w:rPr>
        <w:t>绩效目标</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_Toc1156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46341331">
      <w:pPr>
        <w:pStyle w:val="10"/>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_Toc26798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lang w:val="en-US" w:eastAsia="zh-CN"/>
        </w:rPr>
        <w:t>（四）项目建设内容</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_Toc26798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792AA566">
      <w:pPr>
        <w:pStyle w:val="10"/>
        <w:tabs>
          <w:tab w:val="right" w:leader="dot" w:pos="9070"/>
        </w:tabs>
        <w:rPr>
          <w:rFonts w:hint="eastAsia" w:ascii="仿宋" w:hAnsi="仿宋" w:eastAsia="仿宋" w:cs="仿宋"/>
          <w:sz w:val="28"/>
          <w:szCs w:val="28"/>
          <w:highlight w:val="none"/>
        </w:rPr>
      </w:pPr>
      <w:r>
        <w:rPr>
          <w:rFonts w:hint="eastAsia" w:ascii="仿宋" w:hAnsi="仿宋" w:eastAsia="仿宋" w:cs="仿宋"/>
          <w:b/>
          <w:bCs/>
          <w:sz w:val="28"/>
          <w:szCs w:val="28"/>
          <w:highlight w:val="none"/>
        </w:rPr>
        <w:fldChar w:fldCharType="begin"/>
      </w:r>
      <w:r>
        <w:rPr>
          <w:rFonts w:hint="eastAsia" w:ascii="仿宋" w:hAnsi="仿宋" w:eastAsia="仿宋" w:cs="仿宋"/>
          <w:b/>
          <w:bCs/>
          <w:sz w:val="28"/>
          <w:szCs w:val="28"/>
          <w:highlight w:val="none"/>
        </w:rPr>
        <w:instrText xml:space="preserve"> HYPERLINK \l _Toc25132 </w:instrText>
      </w:r>
      <w:r>
        <w:rPr>
          <w:rFonts w:hint="eastAsia" w:ascii="仿宋" w:hAnsi="仿宋" w:eastAsia="仿宋" w:cs="仿宋"/>
          <w:b/>
          <w:bCs/>
          <w:sz w:val="28"/>
          <w:szCs w:val="28"/>
          <w:highlight w:val="none"/>
        </w:rPr>
        <w:fldChar w:fldCharType="separate"/>
      </w:r>
      <w:r>
        <w:rPr>
          <w:rFonts w:hint="eastAsia" w:ascii="仿宋" w:hAnsi="仿宋" w:eastAsia="仿宋" w:cs="仿宋"/>
          <w:b/>
          <w:bCs/>
          <w:sz w:val="28"/>
          <w:szCs w:val="28"/>
          <w:highlight w:val="none"/>
        </w:rPr>
        <w:t>二</w:t>
      </w:r>
      <w:r>
        <w:rPr>
          <w:rFonts w:hint="eastAsia" w:ascii="仿宋" w:hAnsi="仿宋" w:eastAsia="仿宋" w:cs="仿宋"/>
          <w:b/>
          <w:bCs/>
          <w:sz w:val="28"/>
          <w:szCs w:val="28"/>
          <w:highlight w:val="none"/>
          <w:lang w:eastAsia="zh-CN"/>
        </w:rPr>
        <w:t>、核查工作开展情况</w:t>
      </w:r>
      <w:r>
        <w:rPr>
          <w:rFonts w:hint="eastAsia" w:ascii="仿宋" w:hAnsi="仿宋" w:eastAsia="仿宋" w:cs="仿宋"/>
          <w:b/>
          <w:bCs/>
          <w:sz w:val="28"/>
          <w:szCs w:val="28"/>
          <w:highlight w:val="none"/>
        </w:rPr>
        <w:tab/>
      </w:r>
      <w:r>
        <w:rPr>
          <w:rFonts w:hint="eastAsia" w:ascii="仿宋" w:hAnsi="仿宋" w:eastAsia="仿宋" w:cs="仿宋"/>
          <w:b/>
          <w:bCs/>
          <w:sz w:val="28"/>
          <w:szCs w:val="28"/>
          <w:highlight w:val="none"/>
        </w:rPr>
        <w:fldChar w:fldCharType="begin"/>
      </w:r>
      <w:r>
        <w:rPr>
          <w:rFonts w:hint="eastAsia" w:ascii="仿宋" w:hAnsi="仿宋" w:eastAsia="仿宋" w:cs="仿宋"/>
          <w:b/>
          <w:bCs/>
          <w:sz w:val="28"/>
          <w:szCs w:val="28"/>
          <w:highlight w:val="none"/>
        </w:rPr>
        <w:instrText xml:space="preserve"> PAGEREF _Toc25132 \h </w:instrText>
      </w:r>
      <w:r>
        <w:rPr>
          <w:rFonts w:hint="eastAsia" w:ascii="仿宋" w:hAnsi="仿宋" w:eastAsia="仿宋" w:cs="仿宋"/>
          <w:b/>
          <w:bCs/>
          <w:sz w:val="28"/>
          <w:szCs w:val="28"/>
          <w:highlight w:val="none"/>
        </w:rPr>
        <w:fldChar w:fldCharType="separate"/>
      </w:r>
      <w:r>
        <w:rPr>
          <w:rFonts w:hint="eastAsia" w:ascii="仿宋" w:hAnsi="仿宋" w:eastAsia="仿宋" w:cs="仿宋"/>
          <w:b/>
          <w:bCs/>
          <w:sz w:val="28"/>
          <w:szCs w:val="28"/>
          <w:highlight w:val="none"/>
        </w:rPr>
        <w:t>2</w:t>
      </w:r>
      <w:r>
        <w:rPr>
          <w:rFonts w:hint="eastAsia" w:ascii="仿宋" w:hAnsi="仿宋" w:eastAsia="仿宋" w:cs="仿宋"/>
          <w:b/>
          <w:bCs/>
          <w:sz w:val="28"/>
          <w:szCs w:val="28"/>
          <w:highlight w:val="none"/>
        </w:rPr>
        <w:fldChar w:fldCharType="end"/>
      </w:r>
      <w:r>
        <w:rPr>
          <w:rFonts w:hint="eastAsia" w:ascii="仿宋" w:hAnsi="仿宋" w:eastAsia="仿宋" w:cs="仿宋"/>
          <w:b/>
          <w:bCs/>
          <w:sz w:val="28"/>
          <w:szCs w:val="28"/>
          <w:highlight w:val="none"/>
        </w:rPr>
        <w:fldChar w:fldCharType="end"/>
      </w:r>
    </w:p>
    <w:p w14:paraId="2CF09BEA">
      <w:pPr>
        <w:pStyle w:val="10"/>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_Toc28273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（一）评价目的</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_Toc28273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3EFE82A9">
      <w:pPr>
        <w:pStyle w:val="10"/>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_Toc24406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lang w:eastAsia="zh-CN"/>
        </w:rPr>
        <w:t>（二）</w:t>
      </w:r>
      <w:r>
        <w:rPr>
          <w:rFonts w:hint="eastAsia" w:ascii="仿宋" w:hAnsi="仿宋" w:eastAsia="仿宋" w:cs="仿宋"/>
          <w:sz w:val="28"/>
          <w:szCs w:val="28"/>
          <w:highlight w:val="none"/>
        </w:rPr>
        <w:t>评价过程</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_Toc24406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2</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1E1F4ED4">
      <w:pPr>
        <w:pStyle w:val="10"/>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_Toc3007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（三）评价原则和方法</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_Toc3007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3</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7B385C94">
      <w:pPr>
        <w:pStyle w:val="10"/>
        <w:tabs>
          <w:tab w:val="right" w:leader="dot" w:pos="9070"/>
        </w:tabs>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fldChar w:fldCharType="begin"/>
      </w:r>
      <w:r>
        <w:rPr>
          <w:rFonts w:hint="eastAsia" w:ascii="仿宋" w:hAnsi="仿宋" w:eastAsia="仿宋" w:cs="仿宋"/>
          <w:b/>
          <w:bCs/>
          <w:sz w:val="28"/>
          <w:szCs w:val="28"/>
          <w:highlight w:val="none"/>
        </w:rPr>
        <w:instrText xml:space="preserve"> HYPERLINK \l _Toc19758 </w:instrText>
      </w:r>
      <w:r>
        <w:rPr>
          <w:rFonts w:hint="eastAsia" w:ascii="仿宋" w:hAnsi="仿宋" w:eastAsia="仿宋" w:cs="仿宋"/>
          <w:b/>
          <w:bCs/>
          <w:sz w:val="28"/>
          <w:szCs w:val="28"/>
          <w:highlight w:val="none"/>
        </w:rPr>
        <w:fldChar w:fldCharType="separate"/>
      </w:r>
      <w:r>
        <w:rPr>
          <w:rFonts w:hint="eastAsia" w:ascii="仿宋" w:hAnsi="仿宋" w:eastAsia="仿宋" w:cs="仿宋"/>
          <w:b/>
          <w:bCs/>
          <w:sz w:val="28"/>
          <w:szCs w:val="28"/>
          <w:highlight w:val="none"/>
          <w:lang w:eastAsia="zh-CN"/>
        </w:rPr>
        <w:t>三、项目实施情况</w:t>
      </w:r>
      <w:r>
        <w:rPr>
          <w:rFonts w:hint="eastAsia" w:ascii="仿宋" w:hAnsi="仿宋" w:eastAsia="仿宋" w:cs="仿宋"/>
          <w:b/>
          <w:bCs/>
          <w:sz w:val="28"/>
          <w:szCs w:val="28"/>
          <w:highlight w:val="none"/>
        </w:rPr>
        <w:tab/>
      </w:r>
      <w:r>
        <w:rPr>
          <w:rFonts w:hint="eastAsia" w:ascii="仿宋" w:hAnsi="仿宋" w:eastAsia="仿宋" w:cs="仿宋"/>
          <w:b/>
          <w:bCs/>
          <w:sz w:val="28"/>
          <w:szCs w:val="28"/>
          <w:highlight w:val="none"/>
        </w:rPr>
        <w:fldChar w:fldCharType="begin"/>
      </w:r>
      <w:r>
        <w:rPr>
          <w:rFonts w:hint="eastAsia" w:ascii="仿宋" w:hAnsi="仿宋" w:eastAsia="仿宋" w:cs="仿宋"/>
          <w:b/>
          <w:bCs/>
          <w:sz w:val="28"/>
          <w:szCs w:val="28"/>
          <w:highlight w:val="none"/>
        </w:rPr>
        <w:instrText xml:space="preserve"> PAGEREF _Toc19758 \h </w:instrText>
      </w:r>
      <w:r>
        <w:rPr>
          <w:rFonts w:hint="eastAsia" w:ascii="仿宋" w:hAnsi="仿宋" w:eastAsia="仿宋" w:cs="仿宋"/>
          <w:b/>
          <w:bCs/>
          <w:sz w:val="28"/>
          <w:szCs w:val="28"/>
          <w:highlight w:val="none"/>
        </w:rPr>
        <w:fldChar w:fldCharType="separate"/>
      </w:r>
      <w:r>
        <w:rPr>
          <w:rFonts w:hint="eastAsia" w:ascii="仿宋" w:hAnsi="仿宋" w:eastAsia="仿宋" w:cs="仿宋"/>
          <w:b/>
          <w:bCs/>
          <w:sz w:val="28"/>
          <w:szCs w:val="28"/>
          <w:highlight w:val="none"/>
        </w:rPr>
        <w:t>3</w:t>
      </w:r>
      <w:r>
        <w:rPr>
          <w:rFonts w:hint="eastAsia" w:ascii="仿宋" w:hAnsi="仿宋" w:eastAsia="仿宋" w:cs="仿宋"/>
          <w:b/>
          <w:bCs/>
          <w:sz w:val="28"/>
          <w:szCs w:val="28"/>
          <w:highlight w:val="none"/>
        </w:rPr>
        <w:fldChar w:fldCharType="end"/>
      </w:r>
      <w:r>
        <w:rPr>
          <w:rFonts w:hint="eastAsia" w:ascii="仿宋" w:hAnsi="仿宋" w:eastAsia="仿宋" w:cs="仿宋"/>
          <w:b/>
          <w:bCs/>
          <w:sz w:val="28"/>
          <w:szCs w:val="28"/>
          <w:highlight w:val="none"/>
        </w:rPr>
        <w:fldChar w:fldCharType="end"/>
      </w:r>
    </w:p>
    <w:p w14:paraId="4BC4D596">
      <w:pPr>
        <w:pStyle w:val="10"/>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_Toc18632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（一）</w:t>
      </w:r>
      <w:r>
        <w:rPr>
          <w:rFonts w:hint="eastAsia" w:ascii="仿宋" w:hAnsi="仿宋" w:eastAsia="仿宋" w:cs="仿宋"/>
          <w:sz w:val="28"/>
          <w:szCs w:val="28"/>
          <w:highlight w:val="none"/>
          <w:lang w:eastAsia="zh-CN"/>
        </w:rPr>
        <w:t>项目实施情况</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_Toc18632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3</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599DDB19">
      <w:pPr>
        <w:pStyle w:val="10"/>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_Toc18859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lang w:eastAsia="zh-CN"/>
        </w:rPr>
        <w:t>（二）项目资金情况</w:t>
      </w:r>
      <w:r>
        <w:rPr>
          <w:rFonts w:hint="eastAsia" w:ascii="仿宋" w:hAnsi="仿宋" w:eastAsia="仿宋" w:cs="仿宋"/>
          <w:sz w:val="28"/>
          <w:szCs w:val="28"/>
          <w:highlight w:val="none"/>
        </w:rPr>
        <w:tab/>
      </w: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PAGEREF _Toc18859 \h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4</w:t>
      </w:r>
      <w:r>
        <w:rPr>
          <w:rFonts w:hint="eastAsia" w:ascii="仿宋" w:hAnsi="仿宋" w:eastAsia="仿宋" w:cs="仿宋"/>
          <w:sz w:val="28"/>
          <w:szCs w:val="28"/>
          <w:highlight w:val="none"/>
        </w:rPr>
        <w:fldChar w:fldCharType="end"/>
      </w:r>
      <w:r>
        <w:rPr>
          <w:rFonts w:hint="eastAsia" w:ascii="仿宋" w:hAnsi="仿宋" w:eastAsia="仿宋" w:cs="仿宋"/>
          <w:sz w:val="28"/>
          <w:szCs w:val="28"/>
          <w:highlight w:val="none"/>
        </w:rPr>
        <w:fldChar w:fldCharType="end"/>
      </w:r>
    </w:p>
    <w:p w14:paraId="28DC999B">
      <w:pPr>
        <w:pStyle w:val="10"/>
        <w:tabs>
          <w:tab w:val="right" w:leader="dot" w:pos="9070"/>
        </w:tabs>
        <w:rPr>
          <w:rFonts w:hint="eastAsia" w:ascii="仿宋" w:hAnsi="仿宋" w:eastAsia="仿宋" w:cs="仿宋"/>
          <w:sz w:val="28"/>
          <w:szCs w:val="28"/>
          <w:highlight w:val="none"/>
        </w:rPr>
      </w:pPr>
      <w:r>
        <w:rPr>
          <w:rFonts w:hint="eastAsia" w:ascii="仿宋" w:hAnsi="仿宋" w:eastAsia="仿宋" w:cs="仿宋"/>
          <w:b/>
          <w:bCs/>
          <w:sz w:val="28"/>
          <w:szCs w:val="28"/>
          <w:highlight w:val="none"/>
        </w:rPr>
        <w:fldChar w:fldCharType="begin"/>
      </w:r>
      <w:r>
        <w:rPr>
          <w:rFonts w:hint="eastAsia" w:ascii="仿宋" w:hAnsi="仿宋" w:eastAsia="仿宋" w:cs="仿宋"/>
          <w:b/>
          <w:bCs/>
          <w:sz w:val="28"/>
          <w:szCs w:val="28"/>
          <w:highlight w:val="none"/>
        </w:rPr>
        <w:instrText xml:space="preserve"> HYPERLINK \l _Toc15964 </w:instrText>
      </w:r>
      <w:r>
        <w:rPr>
          <w:rFonts w:hint="eastAsia" w:ascii="仿宋" w:hAnsi="仿宋" w:eastAsia="仿宋" w:cs="仿宋"/>
          <w:b/>
          <w:bCs/>
          <w:sz w:val="28"/>
          <w:szCs w:val="28"/>
          <w:highlight w:val="none"/>
        </w:rPr>
        <w:fldChar w:fldCharType="separate"/>
      </w:r>
      <w:r>
        <w:rPr>
          <w:rFonts w:hint="eastAsia" w:ascii="仿宋" w:hAnsi="仿宋" w:eastAsia="仿宋" w:cs="仿宋"/>
          <w:b/>
          <w:bCs/>
          <w:sz w:val="28"/>
          <w:szCs w:val="28"/>
          <w:highlight w:val="none"/>
          <w:lang w:eastAsia="zh-CN"/>
        </w:rPr>
        <w:t>四、核查结论</w:t>
      </w:r>
      <w:r>
        <w:rPr>
          <w:rFonts w:hint="eastAsia" w:ascii="仿宋" w:hAnsi="仿宋" w:eastAsia="仿宋" w:cs="仿宋"/>
          <w:b/>
          <w:bCs/>
          <w:sz w:val="28"/>
          <w:szCs w:val="28"/>
          <w:highlight w:val="none"/>
        </w:rPr>
        <w:tab/>
      </w:r>
      <w:r>
        <w:rPr>
          <w:rFonts w:hint="eastAsia" w:ascii="仿宋" w:hAnsi="仿宋" w:eastAsia="仿宋" w:cs="仿宋"/>
          <w:b/>
          <w:bCs/>
          <w:sz w:val="28"/>
          <w:szCs w:val="28"/>
          <w:highlight w:val="none"/>
        </w:rPr>
        <w:fldChar w:fldCharType="begin"/>
      </w:r>
      <w:r>
        <w:rPr>
          <w:rFonts w:hint="eastAsia" w:ascii="仿宋" w:hAnsi="仿宋" w:eastAsia="仿宋" w:cs="仿宋"/>
          <w:b/>
          <w:bCs/>
          <w:sz w:val="28"/>
          <w:szCs w:val="28"/>
          <w:highlight w:val="none"/>
        </w:rPr>
        <w:instrText xml:space="preserve"> PAGEREF _Toc15964 \h </w:instrText>
      </w:r>
      <w:r>
        <w:rPr>
          <w:rFonts w:hint="eastAsia" w:ascii="仿宋" w:hAnsi="仿宋" w:eastAsia="仿宋" w:cs="仿宋"/>
          <w:b/>
          <w:bCs/>
          <w:sz w:val="28"/>
          <w:szCs w:val="28"/>
          <w:highlight w:val="none"/>
        </w:rPr>
        <w:fldChar w:fldCharType="separate"/>
      </w:r>
      <w:r>
        <w:rPr>
          <w:rFonts w:hint="eastAsia" w:ascii="仿宋" w:hAnsi="仿宋" w:eastAsia="仿宋" w:cs="仿宋"/>
          <w:b/>
          <w:bCs/>
          <w:sz w:val="28"/>
          <w:szCs w:val="28"/>
          <w:highlight w:val="none"/>
        </w:rPr>
        <w:t>4</w:t>
      </w:r>
      <w:r>
        <w:rPr>
          <w:rFonts w:hint="eastAsia" w:ascii="仿宋" w:hAnsi="仿宋" w:eastAsia="仿宋" w:cs="仿宋"/>
          <w:b/>
          <w:bCs/>
          <w:sz w:val="28"/>
          <w:szCs w:val="28"/>
          <w:highlight w:val="none"/>
        </w:rPr>
        <w:fldChar w:fldCharType="end"/>
      </w:r>
      <w:r>
        <w:rPr>
          <w:rFonts w:hint="eastAsia" w:ascii="仿宋" w:hAnsi="仿宋" w:eastAsia="仿宋" w:cs="仿宋"/>
          <w:b/>
          <w:bCs/>
          <w:sz w:val="28"/>
          <w:szCs w:val="28"/>
          <w:highlight w:val="none"/>
        </w:rPr>
        <w:fldChar w:fldCharType="end"/>
      </w:r>
    </w:p>
    <w:p w14:paraId="75E11EF6">
      <w:pPr>
        <w:pStyle w:val="10"/>
        <w:tabs>
          <w:tab w:val="right" w:leader="dot" w:pos="9070"/>
        </w:tabs>
        <w:rPr>
          <w:rFonts w:hint="eastAsia" w:ascii="仿宋" w:hAnsi="仿宋" w:eastAsia="仿宋" w:cs="仿宋"/>
          <w:sz w:val="28"/>
          <w:szCs w:val="28"/>
          <w:highlight w:val="none"/>
        </w:rPr>
      </w:pPr>
      <w:r>
        <w:rPr>
          <w:rFonts w:hint="eastAsia" w:ascii="仿宋" w:hAnsi="仿宋" w:eastAsia="仿宋" w:cs="仿宋"/>
          <w:b/>
          <w:bCs/>
          <w:sz w:val="28"/>
          <w:szCs w:val="28"/>
          <w:highlight w:val="none"/>
        </w:rPr>
        <w:fldChar w:fldCharType="begin"/>
      </w:r>
      <w:r>
        <w:rPr>
          <w:rFonts w:hint="eastAsia" w:ascii="仿宋" w:hAnsi="仿宋" w:eastAsia="仿宋" w:cs="仿宋"/>
          <w:b/>
          <w:bCs/>
          <w:sz w:val="28"/>
          <w:szCs w:val="28"/>
          <w:highlight w:val="none"/>
        </w:rPr>
        <w:instrText xml:space="preserve"> HYPERLINK \l _Toc13877 </w:instrText>
      </w:r>
      <w:r>
        <w:rPr>
          <w:rFonts w:hint="eastAsia" w:ascii="仿宋" w:hAnsi="仿宋" w:eastAsia="仿宋" w:cs="仿宋"/>
          <w:b/>
          <w:bCs/>
          <w:sz w:val="28"/>
          <w:szCs w:val="28"/>
          <w:highlight w:val="none"/>
        </w:rPr>
        <w:fldChar w:fldCharType="separate"/>
      </w:r>
      <w:r>
        <w:rPr>
          <w:rFonts w:hint="eastAsia" w:ascii="仿宋" w:hAnsi="仿宋" w:eastAsia="仿宋" w:cs="仿宋"/>
          <w:b/>
          <w:bCs/>
          <w:sz w:val="28"/>
          <w:szCs w:val="28"/>
          <w:highlight w:val="none"/>
          <w:lang w:eastAsia="zh-CN"/>
        </w:rPr>
        <w:t>五、</w:t>
      </w:r>
      <w:r>
        <w:rPr>
          <w:rFonts w:hint="eastAsia" w:ascii="仿宋" w:hAnsi="仿宋" w:eastAsia="仿宋" w:cs="仿宋"/>
          <w:b/>
          <w:bCs/>
          <w:sz w:val="28"/>
          <w:szCs w:val="28"/>
          <w:highlight w:val="none"/>
        </w:rPr>
        <w:t>存在问题</w:t>
      </w:r>
      <w:r>
        <w:rPr>
          <w:rFonts w:hint="eastAsia" w:ascii="仿宋" w:hAnsi="仿宋" w:eastAsia="仿宋" w:cs="仿宋"/>
          <w:b/>
          <w:bCs/>
          <w:sz w:val="28"/>
          <w:szCs w:val="28"/>
          <w:highlight w:val="none"/>
          <w:lang w:eastAsia="zh-CN"/>
        </w:rPr>
        <w:t>及相关建议</w:t>
      </w:r>
      <w:r>
        <w:rPr>
          <w:rFonts w:hint="eastAsia" w:ascii="仿宋" w:hAnsi="仿宋" w:eastAsia="仿宋" w:cs="仿宋"/>
          <w:b/>
          <w:bCs/>
          <w:sz w:val="28"/>
          <w:szCs w:val="28"/>
          <w:highlight w:val="none"/>
        </w:rPr>
        <w:tab/>
      </w:r>
      <w:r>
        <w:rPr>
          <w:rFonts w:hint="eastAsia" w:ascii="仿宋" w:hAnsi="仿宋" w:eastAsia="仿宋" w:cs="仿宋"/>
          <w:b/>
          <w:bCs/>
          <w:sz w:val="28"/>
          <w:szCs w:val="28"/>
          <w:highlight w:val="none"/>
          <w:lang w:val="en-US" w:eastAsia="zh-CN"/>
        </w:rPr>
        <w:t>5</w:t>
      </w:r>
      <w:r>
        <w:rPr>
          <w:rFonts w:hint="eastAsia" w:ascii="仿宋" w:hAnsi="仿宋" w:eastAsia="仿宋" w:cs="仿宋"/>
          <w:b/>
          <w:bCs/>
          <w:sz w:val="28"/>
          <w:szCs w:val="28"/>
          <w:highlight w:val="none"/>
        </w:rPr>
        <w:fldChar w:fldCharType="end"/>
      </w:r>
    </w:p>
    <w:p w14:paraId="067748B9">
      <w:pPr>
        <w:pStyle w:val="10"/>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_Toc1745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（一）存在问题</w:t>
      </w:r>
      <w:r>
        <w:rPr>
          <w:rFonts w:hint="eastAsia" w:ascii="仿宋" w:hAnsi="仿宋" w:eastAsia="仿宋" w:cs="仿宋"/>
          <w:sz w:val="28"/>
          <w:szCs w:val="28"/>
          <w:highlight w:val="none"/>
        </w:rPr>
        <w:tab/>
      </w: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fldChar w:fldCharType="end"/>
      </w:r>
    </w:p>
    <w:p w14:paraId="54AB67D9">
      <w:pPr>
        <w:pStyle w:val="10"/>
        <w:tabs>
          <w:tab w:val="right" w:leader="dot" w:pos="9070"/>
        </w:tabs>
        <w:rPr>
          <w:rFonts w:hint="eastAsia" w:ascii="仿宋" w:hAnsi="仿宋" w:eastAsia="仿宋" w:cs="仿宋"/>
          <w:sz w:val="28"/>
          <w:szCs w:val="28"/>
          <w:highlight w:val="none"/>
        </w:rPr>
      </w:pPr>
      <w:r>
        <w:rPr>
          <w:rFonts w:hint="eastAsia" w:ascii="仿宋" w:hAnsi="仿宋" w:eastAsia="仿宋" w:cs="仿宋"/>
          <w:sz w:val="28"/>
          <w:szCs w:val="28"/>
          <w:highlight w:val="none"/>
        </w:rPr>
        <w:fldChar w:fldCharType="begin"/>
      </w:r>
      <w:r>
        <w:rPr>
          <w:rFonts w:hint="eastAsia" w:ascii="仿宋" w:hAnsi="仿宋" w:eastAsia="仿宋" w:cs="仿宋"/>
          <w:sz w:val="28"/>
          <w:szCs w:val="28"/>
          <w:highlight w:val="none"/>
        </w:rPr>
        <w:instrText xml:space="preserve"> HYPERLINK \l _Toc4560 </w:instrText>
      </w:r>
      <w:r>
        <w:rPr>
          <w:rFonts w:hint="eastAsia" w:ascii="仿宋" w:hAnsi="仿宋" w:eastAsia="仿宋" w:cs="仿宋"/>
          <w:sz w:val="28"/>
          <w:szCs w:val="28"/>
          <w:highlight w:val="none"/>
        </w:rPr>
        <w:fldChar w:fldCharType="separate"/>
      </w:r>
      <w:r>
        <w:rPr>
          <w:rFonts w:hint="eastAsia" w:ascii="仿宋" w:hAnsi="仿宋" w:eastAsia="仿宋" w:cs="仿宋"/>
          <w:sz w:val="28"/>
          <w:szCs w:val="28"/>
          <w:highlight w:val="none"/>
        </w:rPr>
        <w:t>（二）</w:t>
      </w:r>
      <w:r>
        <w:rPr>
          <w:rFonts w:hint="eastAsia" w:ascii="仿宋" w:hAnsi="仿宋" w:eastAsia="仿宋" w:cs="仿宋"/>
          <w:sz w:val="28"/>
          <w:szCs w:val="28"/>
          <w:highlight w:val="none"/>
          <w:lang w:val="en-US" w:eastAsia="zh-CN"/>
        </w:rPr>
        <w:t>相关建议</w:t>
      </w:r>
      <w:r>
        <w:rPr>
          <w:rFonts w:hint="eastAsia" w:ascii="仿宋" w:hAnsi="仿宋" w:eastAsia="仿宋" w:cs="仿宋"/>
          <w:sz w:val="28"/>
          <w:szCs w:val="28"/>
          <w:highlight w:val="none"/>
        </w:rPr>
        <w:tab/>
      </w:r>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fldChar w:fldCharType="end"/>
      </w:r>
    </w:p>
    <w:p w14:paraId="7C2B6733">
      <w:pPr>
        <w:pStyle w:val="10"/>
        <w:tabs>
          <w:tab w:val="right" w:leader="dot" w:pos="9070"/>
        </w:tabs>
        <w:rPr>
          <w:rFonts w:hint="eastAsia" w:ascii="仿宋" w:hAnsi="仿宋" w:eastAsia="仿宋" w:cs="仿宋"/>
          <w:sz w:val="28"/>
          <w:szCs w:val="28"/>
          <w:highlight w:val="none"/>
        </w:rPr>
      </w:pPr>
      <w:r>
        <w:rPr>
          <w:rFonts w:hint="eastAsia" w:ascii="仿宋" w:hAnsi="仿宋" w:eastAsia="仿宋" w:cs="仿宋"/>
          <w:b/>
          <w:bCs/>
          <w:sz w:val="28"/>
          <w:szCs w:val="28"/>
          <w:highlight w:val="none"/>
        </w:rPr>
        <w:fldChar w:fldCharType="begin"/>
      </w:r>
      <w:r>
        <w:rPr>
          <w:rFonts w:hint="eastAsia" w:ascii="仿宋" w:hAnsi="仿宋" w:eastAsia="仿宋" w:cs="仿宋"/>
          <w:b/>
          <w:bCs/>
          <w:sz w:val="28"/>
          <w:szCs w:val="28"/>
          <w:highlight w:val="none"/>
        </w:rPr>
        <w:instrText xml:space="preserve"> HYPERLINK \l _Toc121 </w:instrText>
      </w:r>
      <w:r>
        <w:rPr>
          <w:rFonts w:hint="eastAsia" w:ascii="仿宋" w:hAnsi="仿宋" w:eastAsia="仿宋" w:cs="仿宋"/>
          <w:b/>
          <w:bCs/>
          <w:sz w:val="28"/>
          <w:szCs w:val="28"/>
          <w:highlight w:val="none"/>
        </w:rPr>
        <w:fldChar w:fldCharType="separate"/>
      </w:r>
      <w:r>
        <w:rPr>
          <w:rFonts w:hint="eastAsia" w:ascii="仿宋" w:hAnsi="仿宋" w:eastAsia="仿宋" w:cs="仿宋"/>
          <w:b/>
          <w:bCs/>
          <w:sz w:val="28"/>
          <w:szCs w:val="28"/>
          <w:highlight w:val="none"/>
        </w:rPr>
        <w:t>附件：</w:t>
      </w:r>
      <w:r>
        <w:rPr>
          <w:rFonts w:hint="eastAsia" w:ascii="仿宋" w:hAnsi="仿宋" w:eastAsia="仿宋" w:cs="仿宋"/>
          <w:b/>
          <w:bCs/>
          <w:sz w:val="28"/>
          <w:szCs w:val="28"/>
          <w:highlight w:val="none"/>
          <w:lang w:eastAsia="zh-CN"/>
        </w:rPr>
        <w:t>湛江市民政局202</w:t>
      </w:r>
      <w:r>
        <w:rPr>
          <w:rFonts w:hint="eastAsia" w:ascii="仿宋" w:hAnsi="仿宋" w:eastAsia="仿宋" w:cs="仿宋"/>
          <w:b/>
          <w:bCs/>
          <w:sz w:val="28"/>
          <w:szCs w:val="28"/>
          <w:highlight w:val="none"/>
          <w:lang w:val="en-US" w:eastAsia="zh-CN"/>
        </w:rPr>
        <w:t>2</w:t>
      </w:r>
      <w:r>
        <w:rPr>
          <w:rFonts w:hint="eastAsia" w:ascii="仿宋" w:hAnsi="仿宋" w:eastAsia="仿宋" w:cs="仿宋"/>
          <w:b/>
          <w:bCs/>
          <w:sz w:val="28"/>
          <w:szCs w:val="28"/>
          <w:highlight w:val="none"/>
          <w:lang w:eastAsia="zh-CN"/>
        </w:rPr>
        <w:t>年度项目支出</w:t>
      </w:r>
      <w:r>
        <w:rPr>
          <w:rFonts w:hint="eastAsia" w:ascii="仿宋" w:hAnsi="仿宋" w:eastAsia="仿宋" w:cs="仿宋"/>
          <w:b/>
          <w:bCs/>
          <w:sz w:val="28"/>
          <w:szCs w:val="28"/>
          <w:highlight w:val="none"/>
        </w:rPr>
        <w:t>绩效</w:t>
      </w:r>
      <w:r>
        <w:rPr>
          <w:rFonts w:hint="eastAsia" w:ascii="仿宋" w:hAnsi="仿宋" w:eastAsia="仿宋" w:cs="仿宋"/>
          <w:b/>
          <w:bCs/>
          <w:sz w:val="28"/>
          <w:szCs w:val="28"/>
          <w:highlight w:val="none"/>
          <w:lang w:val="en-US" w:eastAsia="zh-CN"/>
        </w:rPr>
        <w:t>指标评分表</w:t>
      </w:r>
      <w:r>
        <w:rPr>
          <w:rFonts w:hint="eastAsia" w:ascii="仿宋" w:hAnsi="仿宋" w:eastAsia="仿宋" w:cs="仿宋"/>
          <w:b/>
          <w:bCs/>
          <w:sz w:val="28"/>
          <w:szCs w:val="28"/>
          <w:highlight w:val="none"/>
        </w:rPr>
        <w:tab/>
      </w:r>
      <w:r>
        <w:rPr>
          <w:rFonts w:hint="eastAsia" w:ascii="仿宋" w:hAnsi="仿宋" w:eastAsia="仿宋" w:cs="仿宋"/>
          <w:b/>
          <w:bCs/>
          <w:sz w:val="28"/>
          <w:szCs w:val="28"/>
          <w:highlight w:val="none"/>
          <w:lang w:val="en-US" w:eastAsia="zh-CN"/>
        </w:rPr>
        <w:t>6</w:t>
      </w:r>
      <w:r>
        <w:rPr>
          <w:rFonts w:hint="eastAsia" w:ascii="仿宋" w:hAnsi="仿宋" w:eastAsia="仿宋" w:cs="仿宋"/>
          <w:b/>
          <w:bCs/>
          <w:sz w:val="28"/>
          <w:szCs w:val="28"/>
          <w:highlight w:val="none"/>
        </w:rPr>
        <w:fldChar w:fldCharType="end"/>
      </w:r>
    </w:p>
    <w:p w14:paraId="67EE88B7">
      <w:pPr>
        <w:pStyle w:val="10"/>
        <w:tabs>
          <w:tab w:val="right" w:leader="dot" w:pos="9070"/>
        </w:tabs>
        <w:rPr>
          <w:rFonts w:hint="eastAsia" w:ascii="仿宋" w:hAnsi="仿宋" w:eastAsia="仿宋" w:cs="仿宋"/>
          <w:sz w:val="32"/>
          <w:szCs w:val="32"/>
          <w:highlight w:val="none"/>
        </w:rPr>
      </w:pPr>
      <w:r>
        <w:rPr>
          <w:rFonts w:hint="eastAsia" w:ascii="仿宋" w:hAnsi="仿宋" w:eastAsia="仿宋" w:cs="仿宋"/>
          <w:sz w:val="28"/>
          <w:szCs w:val="28"/>
          <w:highlight w:val="none"/>
        </w:rPr>
        <w:fldChar w:fldCharType="end"/>
      </w:r>
    </w:p>
    <w:p w14:paraId="127669D1">
      <w:pPr>
        <w:rPr>
          <w:highlight w:val="none"/>
        </w:rPr>
        <w:sectPr>
          <w:footerReference r:id="rId13" w:type="default"/>
          <w:pgSz w:w="11906" w:h="16838"/>
          <w:pgMar w:top="1418" w:right="1418" w:bottom="1418" w:left="1418" w:header="851" w:footer="992" w:gutter="0"/>
          <w:pgNumType w:fmt="decimal" w:start="1"/>
          <w:cols w:space="720" w:num="1"/>
          <w:docGrid w:type="lines" w:linePitch="312" w:charSpace="0"/>
        </w:sectPr>
      </w:pPr>
    </w:p>
    <w:tbl>
      <w:tblPr>
        <w:tblStyle w:val="7"/>
        <w:tblW w:w="0" w:type="auto"/>
        <w:jc w:val="center"/>
        <w:tblLayout w:type="fixed"/>
        <w:tblCellMar>
          <w:top w:w="0" w:type="dxa"/>
          <w:left w:w="108" w:type="dxa"/>
          <w:bottom w:w="0" w:type="dxa"/>
          <w:right w:w="108" w:type="dxa"/>
        </w:tblCellMar>
      </w:tblPr>
      <w:tblGrid>
        <w:gridCol w:w="1276"/>
        <w:gridCol w:w="7226"/>
      </w:tblGrid>
      <w:tr w14:paraId="70E00943">
        <w:tblPrEx>
          <w:tblCellMar>
            <w:top w:w="0" w:type="dxa"/>
            <w:left w:w="108" w:type="dxa"/>
            <w:bottom w:w="0" w:type="dxa"/>
            <w:right w:w="108" w:type="dxa"/>
          </w:tblCellMar>
        </w:tblPrEx>
        <w:trPr>
          <w:cantSplit/>
          <w:trHeight w:val="629" w:hRule="atLeast"/>
          <w:jc w:val="center"/>
        </w:trPr>
        <w:tc>
          <w:tcPr>
            <w:tcW w:w="1276" w:type="dxa"/>
            <w:vMerge w:val="restart"/>
          </w:tcPr>
          <w:tbl>
            <w:tblPr>
              <w:tblStyle w:val="7"/>
              <w:tblW w:w="0" w:type="auto"/>
              <w:tblInd w:w="0" w:type="dxa"/>
              <w:tblLayout w:type="fixed"/>
              <w:tblCellMar>
                <w:top w:w="0" w:type="dxa"/>
                <w:left w:w="108" w:type="dxa"/>
                <w:bottom w:w="0" w:type="dxa"/>
                <w:right w:w="108" w:type="dxa"/>
              </w:tblCellMar>
            </w:tblPr>
            <w:tblGrid>
              <w:gridCol w:w="2522"/>
              <w:gridCol w:w="2522"/>
            </w:tblGrid>
            <w:tr w14:paraId="59CEAE6C">
              <w:tblPrEx>
                <w:tblCellMar>
                  <w:top w:w="0" w:type="dxa"/>
                  <w:left w:w="108" w:type="dxa"/>
                  <w:bottom w:w="0" w:type="dxa"/>
                  <w:right w:w="108" w:type="dxa"/>
                </w:tblCellMar>
              </w:tblPrEx>
              <w:trPr>
                <w:cantSplit/>
                <w:trHeight w:val="458" w:hRule="atLeast"/>
              </w:trPr>
              <w:tc>
                <w:tcPr>
                  <w:tcW w:w="2522" w:type="dxa"/>
                  <w:vMerge w:val="restart"/>
                </w:tcPr>
                <w:p w14:paraId="6578E09C">
                  <w:pPr>
                    <w:rPr>
                      <w:highlight w:val="none"/>
                    </w:rPr>
                  </w:pPr>
                  <w:r>
                    <w:rPr>
                      <w:szCs w:val="24"/>
                      <w:highlight w:val="none"/>
                    </w:rPr>
                    <w:drawing>
                      <wp:anchor distT="0" distB="0" distL="114300" distR="114300" simplePos="0" relativeHeight="251660288" behindDoc="0" locked="0" layoutInCell="1" allowOverlap="1">
                        <wp:simplePos x="0" y="0"/>
                        <wp:positionH relativeFrom="column">
                          <wp:posOffset>-62865</wp:posOffset>
                        </wp:positionH>
                        <wp:positionV relativeFrom="paragraph">
                          <wp:posOffset>-1270</wp:posOffset>
                        </wp:positionV>
                        <wp:extent cx="695325" cy="695325"/>
                        <wp:effectExtent l="0" t="0" r="15875" b="15875"/>
                        <wp:wrapNone/>
                        <wp:docPr id="19" name="图片 19" descr="诚安信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诚安信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695325" cy="695325"/>
                                </a:xfrm>
                                <a:prstGeom prst="rect">
                                  <a:avLst/>
                                </a:prstGeom>
                                <a:noFill/>
                                <a:ln>
                                  <a:noFill/>
                                </a:ln>
                              </pic:spPr>
                            </pic:pic>
                          </a:graphicData>
                        </a:graphic>
                      </wp:anchor>
                    </w:drawing>
                  </w:r>
                </w:p>
              </w:tc>
              <w:tc>
                <w:tcPr>
                  <w:tcW w:w="2522" w:type="dxa"/>
                </w:tcPr>
                <w:p w14:paraId="4D9E2720">
                  <w:pPr>
                    <w:spacing w:line="240" w:lineRule="atLeast"/>
                    <w:jc w:val="center"/>
                    <w:rPr>
                      <w:szCs w:val="24"/>
                      <w:highlight w:val="none"/>
                    </w:rPr>
                  </w:pPr>
                </w:p>
              </w:tc>
            </w:tr>
            <w:tr w14:paraId="61F2BA0B">
              <w:tblPrEx>
                <w:tblCellMar>
                  <w:top w:w="0" w:type="dxa"/>
                  <w:left w:w="108" w:type="dxa"/>
                  <w:bottom w:w="0" w:type="dxa"/>
                  <w:right w:w="108" w:type="dxa"/>
                </w:tblCellMar>
              </w:tblPrEx>
              <w:trPr>
                <w:cantSplit/>
                <w:trHeight w:val="254" w:hRule="atLeast"/>
              </w:trPr>
              <w:tc>
                <w:tcPr>
                  <w:tcW w:w="2522" w:type="dxa"/>
                  <w:vMerge w:val="continue"/>
                  <w:vAlign w:val="center"/>
                </w:tcPr>
                <w:p w14:paraId="29BE5D9F">
                  <w:pPr>
                    <w:rPr>
                      <w:rFonts w:eastAsia="隶书"/>
                      <w:sz w:val="22"/>
                      <w:szCs w:val="24"/>
                      <w:highlight w:val="none"/>
                    </w:rPr>
                  </w:pPr>
                </w:p>
              </w:tc>
              <w:tc>
                <w:tcPr>
                  <w:tcW w:w="2522" w:type="dxa"/>
                </w:tcPr>
                <w:p w14:paraId="209FC3DF">
                  <w:pPr>
                    <w:rPr>
                      <w:rFonts w:eastAsia="隶书"/>
                      <w:sz w:val="22"/>
                      <w:szCs w:val="24"/>
                      <w:highlight w:val="none"/>
                    </w:rPr>
                  </w:pPr>
                </w:p>
              </w:tc>
            </w:tr>
          </w:tbl>
          <w:p w14:paraId="361F3892">
            <w:pPr>
              <w:rPr>
                <w:highlight w:val="none"/>
              </w:rPr>
            </w:pPr>
            <w:r>
              <w:rPr>
                <w:sz w:val="21"/>
                <w:highlight w:val="none"/>
              </w:rPr>
              <mc:AlternateContent>
                <mc:Choice Requires="wps">
                  <w:drawing>
                    <wp:anchor distT="0" distB="0" distL="114300" distR="114300" simplePos="0" relativeHeight="251661312" behindDoc="0" locked="0" layoutInCell="1" allowOverlap="1">
                      <wp:simplePos x="0" y="0"/>
                      <wp:positionH relativeFrom="column">
                        <wp:posOffset>-11430</wp:posOffset>
                      </wp:positionH>
                      <wp:positionV relativeFrom="paragraph">
                        <wp:posOffset>254635</wp:posOffset>
                      </wp:positionV>
                      <wp:extent cx="5353050" cy="0"/>
                      <wp:effectExtent l="0" t="9525" r="0" b="9525"/>
                      <wp:wrapNone/>
                      <wp:docPr id="9" name="直接连接符 9"/>
                      <wp:cNvGraphicFramePr/>
                      <a:graphic xmlns:a="http://schemas.openxmlformats.org/drawingml/2006/main">
                        <a:graphicData uri="http://schemas.microsoft.com/office/word/2010/wordprocessingShape">
                          <wps:wsp>
                            <wps:cNvCnPr/>
                            <wps:spPr>
                              <a:xfrm>
                                <a:off x="1097280" y="1628775"/>
                                <a:ext cx="535305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9pt;margin-top:20.05pt;height:0pt;width:421.5pt;z-index:251661312;mso-width-relative:page;mso-height-relative:page;" filled="f" stroked="t" coordsize="21600,21600" o:gfxdata="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KgmodbYAAAACAEAAA8AAAAAAAAAAQAgAAAAIgAAAGRycy9kb3ducmV2LnhtbFBLAQIUABQA&#10;AAAIAIdO4kBzM7748AEAAL4DAAAOAAAAAAAAAAEAIAAAACcBAABkcnMvZTJvRG9jLnhtbFBLBQYA&#10;AAAABgAGAFkBAACJBQAAAAA=&#10;">
                      <v:fill on="f" focussize="0,0"/>
                      <v:stroke weight="1.5pt" color="#000000 [3200]" miterlimit="8" joinstyle="miter"/>
                      <v:imagedata o:title=""/>
                      <o:lock v:ext="edit" aspectratio="f"/>
                    </v:line>
                  </w:pict>
                </mc:Fallback>
              </mc:AlternateContent>
            </w:r>
          </w:p>
        </w:tc>
        <w:tc>
          <w:tcPr>
            <w:tcW w:w="7226" w:type="dxa"/>
            <w:vAlign w:val="center"/>
          </w:tcPr>
          <w:p w14:paraId="14A649EF">
            <w:pPr>
              <w:jc w:val="center"/>
              <w:rPr>
                <w:rFonts w:ascii="黑体" w:hAnsi="黑体" w:eastAsia="黑体"/>
                <w:b/>
                <w:sz w:val="30"/>
                <w:szCs w:val="30"/>
                <w:highlight w:val="none"/>
              </w:rPr>
            </w:pPr>
            <w:r>
              <w:rPr>
                <w:rFonts w:hint="eastAsia" w:ascii="黑体" w:hAnsi="黑体" w:eastAsia="黑体"/>
                <w:b/>
                <w:spacing w:val="40"/>
                <w:sz w:val="30"/>
                <w:szCs w:val="30"/>
                <w:highlight w:val="none"/>
              </w:rPr>
              <w:t>广东诚安信会计师事务所（特殊普通合伙）</w:t>
            </w:r>
            <w:r>
              <w:rPr>
                <w:rFonts w:ascii="Times New Roman" w:hAnsi="Times New Roman" w:eastAsia="Arial Unicode MS" w:cs="Times New Roman"/>
                <w:b/>
                <w:bCs/>
                <w:kern w:val="0"/>
                <w:sz w:val="18"/>
                <w:szCs w:val="18"/>
                <w:highlight w:val="none"/>
              </w:rPr>
              <w:t>GUANGDONG  CHENGANXIN  CERTIFIED  PUBLIC  ACCOUNTANTS  LLP</w:t>
            </w:r>
          </w:p>
        </w:tc>
      </w:tr>
      <w:tr w14:paraId="2F00F6AE">
        <w:tblPrEx>
          <w:tblCellMar>
            <w:top w:w="0" w:type="dxa"/>
            <w:left w:w="108" w:type="dxa"/>
            <w:bottom w:w="0" w:type="dxa"/>
            <w:right w:w="108" w:type="dxa"/>
          </w:tblCellMar>
        </w:tblPrEx>
        <w:trPr>
          <w:cantSplit/>
          <w:trHeight w:val="411" w:hRule="atLeast"/>
          <w:jc w:val="center"/>
        </w:trPr>
        <w:tc>
          <w:tcPr>
            <w:tcW w:w="1276" w:type="dxa"/>
            <w:vMerge w:val="continue"/>
            <w:vAlign w:val="center"/>
          </w:tcPr>
          <w:p w14:paraId="6356C0D5">
            <w:pPr>
              <w:rPr>
                <w:highlight w:val="none"/>
              </w:rPr>
            </w:pPr>
          </w:p>
        </w:tc>
        <w:tc>
          <w:tcPr>
            <w:tcW w:w="7226" w:type="dxa"/>
            <w:vAlign w:val="center"/>
          </w:tcPr>
          <w:p w14:paraId="4191E5AD">
            <w:pPr>
              <w:widowControl/>
              <w:jc w:val="center"/>
              <w:rPr>
                <w:rFonts w:ascii="Times New Roman" w:hAnsi="Times New Roman" w:eastAsia="Arial Unicode MS" w:cs="Times New Roman"/>
                <w:b/>
                <w:bCs/>
                <w:kern w:val="0"/>
                <w:sz w:val="18"/>
                <w:szCs w:val="18"/>
                <w:highlight w:val="none"/>
              </w:rPr>
            </w:pPr>
          </w:p>
        </w:tc>
      </w:tr>
    </w:tbl>
    <w:p w14:paraId="6A476F7F">
      <w:pPr>
        <w:keepNext w:val="0"/>
        <w:keepLines w:val="0"/>
        <w:pageBreakBefore w:val="0"/>
        <w:kinsoku/>
        <w:wordWrap/>
        <w:overflowPunct/>
        <w:topLinePunct w:val="0"/>
        <w:autoSpaceDE/>
        <w:autoSpaceDN/>
        <w:bidi w:val="0"/>
        <w:snapToGrid w:val="0"/>
        <w:spacing w:line="360" w:lineRule="auto"/>
        <w:ind w:firstLine="480" w:firstLineChars="200"/>
        <w:jc w:val="right"/>
        <w:textAlignment w:val="auto"/>
        <w:rPr>
          <w:rFonts w:hint="eastAsia" w:ascii="仿宋" w:hAnsi="仿宋" w:eastAsia="仿宋" w:cs="仿宋"/>
          <w:color w:val="auto"/>
          <w:kern w:val="2"/>
          <w:sz w:val="28"/>
          <w:szCs w:val="28"/>
          <w:highlight w:val="none"/>
        </w:rPr>
      </w:pPr>
      <w:bookmarkStart w:id="0" w:name="_Toc6468"/>
      <w:r>
        <w:rPr>
          <w:rFonts w:hint="eastAsia" w:ascii="仿宋" w:hAnsi="仿宋" w:eastAsia="仿宋" w:cs="仿宋"/>
          <w:color w:val="auto"/>
          <w:kern w:val="2"/>
          <w:sz w:val="24"/>
          <w:szCs w:val="24"/>
          <w:highlight w:val="none"/>
        </w:rPr>
        <w:t>诚信审咨[202</w:t>
      </w:r>
      <w:r>
        <w:rPr>
          <w:rFonts w:hint="eastAsia" w:ascii="仿宋" w:hAnsi="仿宋" w:eastAsia="仿宋" w:cs="仿宋"/>
          <w:color w:val="auto"/>
          <w:kern w:val="2"/>
          <w:sz w:val="24"/>
          <w:szCs w:val="24"/>
          <w:highlight w:val="none"/>
          <w:lang w:val="en-US" w:eastAsia="zh-CN"/>
        </w:rPr>
        <w:t>3</w:t>
      </w:r>
      <w:r>
        <w:rPr>
          <w:rFonts w:hint="eastAsia" w:ascii="仿宋" w:hAnsi="仿宋" w:eastAsia="仿宋" w:cs="仿宋"/>
          <w:color w:val="auto"/>
          <w:kern w:val="2"/>
          <w:sz w:val="24"/>
          <w:szCs w:val="24"/>
          <w:highlight w:val="none"/>
        </w:rPr>
        <w:t>]</w:t>
      </w:r>
      <w:r>
        <w:rPr>
          <w:rFonts w:hint="eastAsia" w:ascii="仿宋" w:hAnsi="仿宋" w:eastAsia="仿宋" w:cs="仿宋"/>
          <w:color w:val="auto"/>
          <w:kern w:val="2"/>
          <w:sz w:val="24"/>
          <w:szCs w:val="24"/>
          <w:highlight w:val="none"/>
          <w:lang w:val="en-US" w:eastAsia="zh-CN"/>
        </w:rPr>
        <w:t>XXXX</w:t>
      </w:r>
      <w:r>
        <w:rPr>
          <w:rFonts w:hint="eastAsia" w:ascii="仿宋" w:hAnsi="仿宋" w:eastAsia="仿宋" w:cs="仿宋"/>
          <w:color w:val="auto"/>
          <w:kern w:val="2"/>
          <w:sz w:val="24"/>
          <w:szCs w:val="24"/>
          <w:highlight w:val="none"/>
        </w:rPr>
        <w:t>号</w:t>
      </w:r>
      <w:bookmarkEnd w:id="0"/>
    </w:p>
    <w:p w14:paraId="6F6663B9">
      <w:pPr>
        <w:pStyle w:val="9"/>
        <w:rPr>
          <w:rFonts w:hint="eastAsia"/>
          <w:highlight w:val="none"/>
        </w:rPr>
      </w:pPr>
    </w:p>
    <w:p w14:paraId="019EC0E0">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宋体" w:hAnsi="宋体" w:eastAsia="宋体" w:cs="宋体"/>
          <w:b/>
          <w:bCs/>
          <w:sz w:val="36"/>
          <w:szCs w:val="36"/>
          <w:highlight w:val="none"/>
          <w:lang w:eastAsia="zh-CN"/>
        </w:rPr>
      </w:pPr>
      <w:r>
        <w:rPr>
          <w:rFonts w:hint="eastAsia" w:ascii="宋体" w:hAnsi="宋体" w:cs="宋体"/>
          <w:b/>
          <w:bCs/>
          <w:sz w:val="36"/>
          <w:szCs w:val="36"/>
          <w:highlight w:val="none"/>
          <w:lang w:eastAsia="zh-CN"/>
        </w:rPr>
        <w:t>湛江市民政局</w:t>
      </w:r>
    </w:p>
    <w:p w14:paraId="1072CEF4">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9"/>
        <w:rPr>
          <w:rFonts w:hint="eastAsia" w:ascii="仿宋" w:hAnsi="仿宋" w:eastAsia="仿宋" w:cs="仿宋"/>
          <w:b/>
          <w:bCs/>
          <w:sz w:val="36"/>
          <w:szCs w:val="36"/>
          <w:highlight w:val="none"/>
          <w:lang w:eastAsia="zh-CN"/>
        </w:rPr>
      </w:pPr>
      <w:r>
        <w:rPr>
          <w:rFonts w:hint="eastAsia" w:ascii="宋体" w:hAnsi="宋体" w:eastAsia="宋体" w:cs="宋体"/>
          <w:b/>
          <w:bCs/>
          <w:sz w:val="36"/>
          <w:szCs w:val="36"/>
          <w:highlight w:val="none"/>
          <w:lang w:eastAsia="zh-CN"/>
        </w:rPr>
        <w:t>202</w:t>
      </w:r>
      <w:r>
        <w:rPr>
          <w:rFonts w:hint="eastAsia" w:ascii="宋体" w:hAnsi="宋体" w:cs="宋体"/>
          <w:b/>
          <w:bCs/>
          <w:sz w:val="36"/>
          <w:szCs w:val="36"/>
          <w:highlight w:val="none"/>
          <w:lang w:val="en-US" w:eastAsia="zh-CN"/>
        </w:rPr>
        <w:t>2</w:t>
      </w:r>
      <w:r>
        <w:rPr>
          <w:rFonts w:hint="eastAsia" w:ascii="宋体" w:hAnsi="宋体" w:eastAsia="宋体" w:cs="宋体"/>
          <w:b/>
          <w:bCs/>
          <w:sz w:val="36"/>
          <w:szCs w:val="36"/>
          <w:highlight w:val="none"/>
          <w:lang w:eastAsia="zh-CN"/>
        </w:rPr>
        <w:t>年度项目支出绩效</w:t>
      </w:r>
      <w:r>
        <w:rPr>
          <w:rFonts w:hint="eastAsia" w:ascii="宋体" w:hAnsi="宋体" w:cs="宋体"/>
          <w:b/>
          <w:bCs/>
          <w:sz w:val="36"/>
          <w:szCs w:val="36"/>
          <w:highlight w:val="none"/>
          <w:lang w:eastAsia="zh-CN"/>
        </w:rPr>
        <w:t>核查</w:t>
      </w:r>
      <w:r>
        <w:rPr>
          <w:rFonts w:hint="eastAsia" w:ascii="宋体" w:hAnsi="宋体" w:eastAsia="宋体" w:cs="宋体"/>
          <w:b/>
          <w:bCs/>
          <w:sz w:val="36"/>
          <w:szCs w:val="36"/>
          <w:highlight w:val="none"/>
          <w:lang w:eastAsia="zh-CN"/>
        </w:rPr>
        <w:t>报告</w:t>
      </w:r>
    </w:p>
    <w:p w14:paraId="70B4A8A1">
      <w:pPr>
        <w:keepNext w:val="0"/>
        <w:keepLines w:val="0"/>
        <w:pageBreakBefore w:val="0"/>
        <w:kinsoku/>
        <w:wordWrap/>
        <w:overflowPunct/>
        <w:topLinePunct w:val="0"/>
        <w:autoSpaceDE/>
        <w:autoSpaceDN/>
        <w:bidi w:val="0"/>
        <w:spacing w:line="360" w:lineRule="auto"/>
        <w:jc w:val="both"/>
        <w:textAlignment w:val="auto"/>
        <w:outlineLvl w:val="9"/>
        <w:rPr>
          <w:rFonts w:hint="eastAsia" w:ascii="仿宋" w:hAnsi="仿宋" w:eastAsia="仿宋" w:cs="仿宋"/>
          <w:b/>
          <w:color w:val="auto"/>
          <w:sz w:val="32"/>
          <w:szCs w:val="32"/>
          <w:highlight w:val="none"/>
          <w:lang w:val="en-US" w:eastAsia="zh-CN"/>
        </w:rPr>
      </w:pPr>
      <w:bookmarkStart w:id="1" w:name="_Toc646"/>
    </w:p>
    <w:bookmarkEnd w:id="1"/>
    <w:p w14:paraId="0DDC7CE6">
      <w:pPr>
        <w:keepNext w:val="0"/>
        <w:keepLines w:val="0"/>
        <w:pageBreakBefore w:val="0"/>
        <w:kinsoku/>
        <w:wordWrap/>
        <w:overflowPunct/>
        <w:topLinePunct w:val="0"/>
        <w:autoSpaceDE/>
        <w:autoSpaceDN/>
        <w:bidi w:val="0"/>
        <w:adjustRightInd/>
        <w:snapToGrid w:val="0"/>
        <w:spacing w:line="560" w:lineRule="exact"/>
        <w:jc w:val="both"/>
        <w:textAlignment w:val="auto"/>
        <w:outlineLvl w:val="0"/>
        <w:rPr>
          <w:rFonts w:hint="eastAsia" w:ascii="仿宋" w:hAnsi="仿宋" w:eastAsia="仿宋" w:cs="仿宋"/>
          <w:color w:val="auto"/>
          <w:kern w:val="2"/>
          <w:sz w:val="32"/>
          <w:szCs w:val="32"/>
          <w:highlight w:val="none"/>
        </w:rPr>
      </w:pPr>
      <w:r>
        <w:rPr>
          <w:rFonts w:hint="eastAsia" w:ascii="仿宋" w:hAnsi="仿宋" w:eastAsia="仿宋" w:cs="仿宋"/>
          <w:b/>
          <w:bCs/>
          <w:color w:val="auto"/>
          <w:sz w:val="28"/>
          <w:szCs w:val="28"/>
          <w:highlight w:val="none"/>
          <w:lang w:val="en-US" w:eastAsia="zh-CN"/>
        </w:rPr>
        <w:t>湛江市财政局：</w:t>
      </w:r>
    </w:p>
    <w:p w14:paraId="0CC95FEA">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kern w:val="2"/>
          <w:sz w:val="28"/>
          <w:szCs w:val="28"/>
          <w:highlight w:val="none"/>
        </w:rPr>
      </w:pPr>
      <w:r>
        <w:rPr>
          <w:rFonts w:hint="eastAsia" w:ascii="仿宋" w:hAnsi="仿宋" w:eastAsia="仿宋" w:cs="仿宋"/>
          <w:color w:val="auto"/>
          <w:kern w:val="2"/>
          <w:sz w:val="28"/>
          <w:szCs w:val="28"/>
          <w:highlight w:val="none"/>
        </w:rPr>
        <w:t>根据《国务院关于进一步深化预算管理制度改革的意见》（国发〔2021〕5号）</w:t>
      </w:r>
      <w:r>
        <w:rPr>
          <w:rFonts w:hint="eastAsia" w:ascii="仿宋" w:hAnsi="仿宋" w:eastAsia="仿宋" w:cs="仿宋"/>
          <w:color w:val="auto"/>
          <w:kern w:val="2"/>
          <w:sz w:val="28"/>
          <w:szCs w:val="28"/>
          <w:highlight w:val="none"/>
          <w:lang w:eastAsia="zh-CN"/>
        </w:rPr>
        <w:t>、</w:t>
      </w:r>
      <w:r>
        <w:rPr>
          <w:rFonts w:hint="eastAsia" w:ascii="仿宋" w:hAnsi="仿宋" w:eastAsia="仿宋" w:cs="仿宋"/>
          <w:color w:val="auto"/>
          <w:kern w:val="2"/>
          <w:sz w:val="28"/>
          <w:szCs w:val="28"/>
          <w:highlight w:val="none"/>
        </w:rPr>
        <w:t>《广东省人民政府关于加强统筹进一步深化预算管理制度改革的实施意见》（粤府〔2021〕34 号）的文件精神，按照财政部关于印发《项目支出绩效评价管理办法》的通知</w:t>
      </w:r>
      <w:r>
        <w:rPr>
          <w:rFonts w:hint="eastAsia" w:ascii="仿宋" w:hAnsi="仿宋" w:eastAsia="仿宋" w:cs="仿宋"/>
          <w:color w:val="auto"/>
          <w:kern w:val="2"/>
          <w:sz w:val="28"/>
          <w:szCs w:val="28"/>
          <w:highlight w:val="none"/>
          <w:lang w:val="en-US" w:eastAsia="zh-CN"/>
        </w:rPr>
        <w:t>(</w:t>
      </w:r>
      <w:r>
        <w:rPr>
          <w:rFonts w:hint="eastAsia" w:ascii="仿宋" w:hAnsi="仿宋" w:eastAsia="仿宋" w:cs="仿宋"/>
          <w:color w:val="auto"/>
          <w:kern w:val="2"/>
          <w:sz w:val="28"/>
          <w:szCs w:val="28"/>
          <w:highlight w:val="none"/>
        </w:rPr>
        <w:t>财预〔202</w:t>
      </w:r>
      <w:r>
        <w:rPr>
          <w:rFonts w:hint="eastAsia" w:ascii="仿宋" w:hAnsi="仿宋" w:eastAsia="仿宋" w:cs="仿宋"/>
          <w:color w:val="auto"/>
          <w:kern w:val="2"/>
          <w:sz w:val="28"/>
          <w:szCs w:val="28"/>
          <w:highlight w:val="none"/>
          <w:lang w:val="en-US" w:eastAsia="zh-CN"/>
        </w:rPr>
        <w:t>0</w:t>
      </w:r>
      <w:r>
        <w:rPr>
          <w:rFonts w:hint="eastAsia" w:ascii="仿宋" w:hAnsi="仿宋" w:eastAsia="仿宋" w:cs="仿宋"/>
          <w:color w:val="auto"/>
          <w:kern w:val="2"/>
          <w:sz w:val="28"/>
          <w:szCs w:val="28"/>
          <w:highlight w:val="none"/>
        </w:rPr>
        <w:t>〕10号</w:t>
      </w:r>
      <w:r>
        <w:rPr>
          <w:rFonts w:hint="eastAsia" w:ascii="仿宋" w:hAnsi="仿宋" w:eastAsia="仿宋" w:cs="仿宋"/>
          <w:color w:val="auto"/>
          <w:kern w:val="2"/>
          <w:sz w:val="28"/>
          <w:szCs w:val="28"/>
          <w:highlight w:val="none"/>
          <w:lang w:val="en-US" w:eastAsia="zh-CN"/>
        </w:rPr>
        <w:t>)以及</w:t>
      </w:r>
      <w:r>
        <w:rPr>
          <w:rFonts w:hint="eastAsia" w:ascii="仿宋" w:hAnsi="仿宋" w:eastAsia="仿宋" w:cs="仿宋"/>
          <w:color w:val="auto"/>
          <w:kern w:val="2"/>
          <w:sz w:val="28"/>
          <w:szCs w:val="28"/>
          <w:highlight w:val="none"/>
          <w:lang w:eastAsia="zh-CN"/>
        </w:rPr>
        <w:t>湛江市财政局《湛江财政局关于开展</w:t>
      </w:r>
      <w:r>
        <w:rPr>
          <w:rFonts w:hint="eastAsia" w:ascii="仿宋" w:hAnsi="仿宋" w:eastAsia="仿宋" w:cs="仿宋"/>
          <w:color w:val="auto"/>
          <w:kern w:val="2"/>
          <w:sz w:val="28"/>
          <w:szCs w:val="28"/>
          <w:highlight w:val="none"/>
          <w:lang w:val="en-US" w:eastAsia="zh-CN"/>
        </w:rPr>
        <w:t>2023年市级财政资金绩效自评工作的通知</w:t>
      </w:r>
      <w:r>
        <w:rPr>
          <w:rFonts w:hint="eastAsia" w:ascii="仿宋" w:hAnsi="仿宋" w:eastAsia="仿宋" w:cs="仿宋"/>
          <w:color w:val="auto"/>
          <w:kern w:val="2"/>
          <w:sz w:val="28"/>
          <w:szCs w:val="28"/>
          <w:highlight w:val="none"/>
          <w:lang w:eastAsia="zh-CN"/>
        </w:rPr>
        <w:t>》（湛财绩</w:t>
      </w:r>
      <w:r>
        <w:rPr>
          <w:rFonts w:hint="eastAsia" w:ascii="仿宋" w:hAnsi="仿宋" w:eastAsia="仿宋" w:cs="仿宋"/>
          <w:color w:val="auto"/>
          <w:kern w:val="2"/>
          <w:sz w:val="28"/>
          <w:szCs w:val="28"/>
          <w:highlight w:val="none"/>
        </w:rPr>
        <w:t>〔</w:t>
      </w:r>
      <w:r>
        <w:rPr>
          <w:rFonts w:hint="eastAsia" w:ascii="仿宋" w:hAnsi="仿宋" w:eastAsia="仿宋" w:cs="仿宋"/>
          <w:color w:val="auto"/>
          <w:kern w:val="2"/>
          <w:sz w:val="28"/>
          <w:szCs w:val="28"/>
          <w:highlight w:val="none"/>
          <w:lang w:val="en-US" w:eastAsia="zh-CN"/>
        </w:rPr>
        <w:t>2023</w:t>
      </w:r>
      <w:r>
        <w:rPr>
          <w:rFonts w:hint="eastAsia" w:ascii="仿宋" w:hAnsi="仿宋" w:eastAsia="仿宋" w:cs="仿宋"/>
          <w:color w:val="auto"/>
          <w:kern w:val="2"/>
          <w:sz w:val="28"/>
          <w:szCs w:val="28"/>
          <w:highlight w:val="none"/>
        </w:rPr>
        <w:t>〕</w:t>
      </w:r>
      <w:r>
        <w:rPr>
          <w:rFonts w:hint="eastAsia" w:ascii="仿宋" w:hAnsi="仿宋" w:eastAsia="仿宋" w:cs="仿宋"/>
          <w:color w:val="auto"/>
          <w:kern w:val="2"/>
          <w:sz w:val="28"/>
          <w:szCs w:val="28"/>
          <w:highlight w:val="none"/>
          <w:lang w:val="en-US" w:eastAsia="zh-CN"/>
        </w:rPr>
        <w:t>2号</w:t>
      </w:r>
      <w:r>
        <w:rPr>
          <w:rFonts w:hint="eastAsia" w:ascii="仿宋" w:hAnsi="仿宋" w:eastAsia="仿宋" w:cs="仿宋"/>
          <w:color w:val="auto"/>
          <w:kern w:val="2"/>
          <w:sz w:val="28"/>
          <w:szCs w:val="28"/>
          <w:highlight w:val="none"/>
          <w:lang w:eastAsia="zh-CN"/>
        </w:rPr>
        <w:t>）</w:t>
      </w:r>
      <w:r>
        <w:rPr>
          <w:rFonts w:hint="eastAsia" w:ascii="仿宋" w:hAnsi="仿宋" w:eastAsia="仿宋" w:cs="仿宋"/>
          <w:color w:val="auto"/>
          <w:kern w:val="2"/>
          <w:sz w:val="28"/>
          <w:szCs w:val="28"/>
          <w:highlight w:val="none"/>
        </w:rPr>
        <w:t>等有关</w:t>
      </w:r>
      <w:r>
        <w:rPr>
          <w:rFonts w:hint="eastAsia" w:ascii="仿宋" w:hAnsi="仿宋" w:eastAsia="仿宋" w:cs="仿宋"/>
          <w:color w:val="auto"/>
          <w:kern w:val="2"/>
          <w:sz w:val="28"/>
          <w:szCs w:val="28"/>
          <w:highlight w:val="none"/>
          <w:lang w:eastAsia="zh-CN"/>
        </w:rPr>
        <w:t>文件</w:t>
      </w:r>
      <w:r>
        <w:rPr>
          <w:rFonts w:hint="eastAsia" w:ascii="仿宋" w:hAnsi="仿宋" w:eastAsia="仿宋" w:cs="仿宋"/>
          <w:color w:val="auto"/>
          <w:kern w:val="2"/>
          <w:sz w:val="28"/>
          <w:szCs w:val="28"/>
          <w:highlight w:val="none"/>
        </w:rPr>
        <w:t>要求，受</w:t>
      </w:r>
      <w:r>
        <w:rPr>
          <w:rFonts w:hint="eastAsia" w:ascii="仿宋" w:hAnsi="仿宋" w:eastAsia="仿宋" w:cs="仿宋"/>
          <w:color w:val="auto"/>
          <w:kern w:val="2"/>
          <w:sz w:val="28"/>
          <w:szCs w:val="28"/>
          <w:highlight w:val="none"/>
          <w:lang w:eastAsia="zh-CN"/>
        </w:rPr>
        <w:t>湛江市财政局</w:t>
      </w:r>
      <w:r>
        <w:rPr>
          <w:rFonts w:hint="eastAsia" w:ascii="仿宋" w:hAnsi="仿宋" w:eastAsia="仿宋" w:cs="仿宋"/>
          <w:color w:val="auto"/>
          <w:kern w:val="2"/>
          <w:sz w:val="28"/>
          <w:szCs w:val="28"/>
          <w:highlight w:val="none"/>
        </w:rPr>
        <w:t>委托，</w:t>
      </w:r>
      <w:r>
        <w:rPr>
          <w:rFonts w:hint="eastAsia" w:ascii="仿宋" w:hAnsi="仿宋" w:eastAsia="仿宋" w:cs="仿宋"/>
          <w:kern w:val="0"/>
          <w:sz w:val="28"/>
          <w:szCs w:val="28"/>
          <w:highlight w:val="none"/>
          <w:lang w:eastAsia="zh-CN"/>
        </w:rPr>
        <w:t>广东诚安信会计师事务所</w:t>
      </w:r>
      <w:r>
        <w:rPr>
          <w:rFonts w:hint="eastAsia" w:ascii="仿宋" w:hAnsi="仿宋" w:eastAsia="仿宋" w:cs="仿宋"/>
          <w:color w:val="auto"/>
          <w:sz w:val="28"/>
          <w:szCs w:val="28"/>
          <w:highlight w:val="none"/>
          <w:lang w:val="en-US" w:eastAsia="zh-CN"/>
        </w:rPr>
        <w:t>对湛江市民政局2022年度项目支出</w:t>
      </w:r>
      <w:r>
        <w:rPr>
          <w:rFonts w:hint="eastAsia" w:ascii="仿宋" w:hAnsi="仿宋" w:eastAsia="仿宋" w:cs="仿宋"/>
          <w:color w:val="auto"/>
          <w:sz w:val="28"/>
          <w:szCs w:val="28"/>
          <w:highlight w:val="none"/>
          <w:lang w:eastAsia="zh-CN"/>
        </w:rPr>
        <w:t>进行</w:t>
      </w:r>
      <w:r>
        <w:rPr>
          <w:rFonts w:hint="eastAsia" w:ascii="仿宋" w:hAnsi="仿宋" w:eastAsia="仿宋" w:cs="仿宋"/>
          <w:color w:val="auto"/>
          <w:sz w:val="28"/>
          <w:szCs w:val="28"/>
          <w:highlight w:val="none"/>
        </w:rPr>
        <w:t>绩效评价</w:t>
      </w:r>
      <w:r>
        <w:rPr>
          <w:rFonts w:hint="eastAsia" w:ascii="仿宋" w:hAnsi="仿宋" w:eastAsia="仿宋" w:cs="仿宋"/>
          <w:color w:val="auto"/>
          <w:kern w:val="2"/>
          <w:sz w:val="28"/>
          <w:szCs w:val="28"/>
          <w:highlight w:val="none"/>
        </w:rPr>
        <w:t>。专家小组通过对</w:t>
      </w:r>
      <w:r>
        <w:rPr>
          <w:rFonts w:hint="eastAsia" w:ascii="仿宋" w:hAnsi="仿宋" w:eastAsia="仿宋" w:cs="仿宋"/>
          <w:color w:val="auto"/>
          <w:kern w:val="2"/>
          <w:sz w:val="28"/>
          <w:szCs w:val="28"/>
          <w:highlight w:val="none"/>
          <w:lang w:eastAsia="zh-CN"/>
        </w:rPr>
        <w:t>湛江市应急管理局</w:t>
      </w:r>
      <w:r>
        <w:rPr>
          <w:rFonts w:hint="eastAsia" w:ascii="仿宋" w:hAnsi="仿宋" w:eastAsia="仿宋" w:cs="仿宋"/>
          <w:color w:val="auto"/>
          <w:kern w:val="2"/>
          <w:sz w:val="28"/>
          <w:szCs w:val="28"/>
          <w:highlight w:val="none"/>
          <w:lang w:val="en-US" w:eastAsia="zh-CN"/>
        </w:rPr>
        <w:t>的涉评材料</w:t>
      </w:r>
      <w:r>
        <w:rPr>
          <w:rFonts w:hint="eastAsia" w:ascii="仿宋" w:hAnsi="仿宋" w:eastAsia="仿宋" w:cs="仿宋"/>
          <w:color w:val="auto"/>
          <w:kern w:val="2"/>
          <w:sz w:val="28"/>
          <w:szCs w:val="28"/>
          <w:highlight w:val="none"/>
        </w:rPr>
        <w:t>审核、资金使用管理的合法、合规、合理的审</w:t>
      </w:r>
      <w:r>
        <w:rPr>
          <w:rFonts w:hint="eastAsia" w:ascii="仿宋" w:hAnsi="仿宋" w:eastAsia="仿宋" w:cs="仿宋"/>
          <w:color w:val="auto"/>
          <w:kern w:val="2"/>
          <w:sz w:val="28"/>
          <w:szCs w:val="28"/>
          <w:highlight w:val="none"/>
          <w:lang w:eastAsia="zh-CN"/>
        </w:rPr>
        <w:t>查</w:t>
      </w:r>
      <w:r>
        <w:rPr>
          <w:rFonts w:hint="eastAsia" w:ascii="仿宋" w:hAnsi="仿宋" w:eastAsia="仿宋" w:cs="仿宋"/>
          <w:color w:val="auto"/>
          <w:kern w:val="2"/>
          <w:sz w:val="28"/>
          <w:szCs w:val="28"/>
          <w:highlight w:val="none"/>
        </w:rPr>
        <w:t>，询问了解，进行综合分析、客观公正评价，得出评价结论，并形成《</w:t>
      </w:r>
      <w:r>
        <w:rPr>
          <w:rFonts w:hint="eastAsia" w:ascii="仿宋" w:hAnsi="仿宋" w:eastAsia="仿宋" w:cs="仿宋"/>
          <w:color w:val="auto"/>
          <w:sz w:val="28"/>
          <w:szCs w:val="28"/>
          <w:highlight w:val="none"/>
          <w:lang w:eastAsia="zh-CN"/>
        </w:rPr>
        <w:t>湛江市民政局202</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lang w:eastAsia="zh-CN"/>
        </w:rPr>
        <w:t>年度项目支出绩效核查报告</w:t>
      </w:r>
      <w:r>
        <w:rPr>
          <w:rFonts w:hint="eastAsia" w:ascii="仿宋" w:hAnsi="仿宋" w:eastAsia="仿宋" w:cs="仿宋"/>
          <w:color w:val="auto"/>
          <w:kern w:val="2"/>
          <w:sz w:val="28"/>
          <w:szCs w:val="28"/>
          <w:highlight w:val="none"/>
        </w:rPr>
        <w:t>》，报告内容具体如下：</w:t>
      </w:r>
    </w:p>
    <w:p w14:paraId="3253732A">
      <w:pPr>
        <w:keepNext w:val="0"/>
        <w:keepLines w:val="0"/>
        <w:pageBreakBefore w:val="0"/>
        <w:kinsoku/>
        <w:wordWrap/>
        <w:overflowPunct/>
        <w:topLinePunct w:val="0"/>
        <w:autoSpaceDE/>
        <w:autoSpaceDN/>
        <w:bidi w:val="0"/>
        <w:adjustRightInd/>
        <w:snapToGrid w:val="0"/>
        <w:spacing w:line="560" w:lineRule="exact"/>
        <w:ind w:firstLine="562" w:firstLineChars="200"/>
        <w:jc w:val="both"/>
        <w:textAlignment w:val="auto"/>
        <w:outlineLvl w:val="0"/>
        <w:rPr>
          <w:rFonts w:hint="eastAsia" w:ascii="仿宋" w:hAnsi="仿宋" w:eastAsia="仿宋" w:cs="仿宋"/>
          <w:b/>
          <w:bCs/>
          <w:color w:val="auto"/>
          <w:sz w:val="28"/>
          <w:szCs w:val="28"/>
          <w:highlight w:val="none"/>
          <w:lang w:val="en-US" w:eastAsia="zh-CN"/>
        </w:rPr>
      </w:pPr>
      <w:bookmarkStart w:id="2" w:name="_Toc17798"/>
      <w:bookmarkStart w:id="3" w:name="_Toc19058"/>
      <w:bookmarkStart w:id="4" w:name="_Toc4951"/>
      <w:r>
        <w:rPr>
          <w:rFonts w:hint="eastAsia" w:ascii="仿宋" w:hAnsi="仿宋" w:eastAsia="仿宋" w:cs="仿宋"/>
          <w:b/>
          <w:bCs/>
          <w:color w:val="auto"/>
          <w:sz w:val="28"/>
          <w:szCs w:val="28"/>
          <w:highlight w:val="none"/>
          <w:lang w:val="en-US" w:eastAsia="zh-CN"/>
        </w:rPr>
        <w:t>一</w:t>
      </w:r>
      <w:bookmarkEnd w:id="2"/>
      <w:r>
        <w:rPr>
          <w:rFonts w:hint="eastAsia" w:ascii="仿宋" w:hAnsi="仿宋" w:eastAsia="仿宋" w:cs="仿宋"/>
          <w:b/>
          <w:bCs/>
          <w:color w:val="auto"/>
          <w:sz w:val="28"/>
          <w:szCs w:val="28"/>
          <w:highlight w:val="none"/>
          <w:lang w:val="en-US" w:eastAsia="zh-CN"/>
        </w:rPr>
        <w:t>、项目</w:t>
      </w:r>
      <w:bookmarkEnd w:id="3"/>
      <w:r>
        <w:rPr>
          <w:rFonts w:hint="eastAsia" w:ascii="仿宋" w:hAnsi="仿宋" w:eastAsia="仿宋" w:cs="仿宋"/>
          <w:b/>
          <w:bCs/>
          <w:color w:val="auto"/>
          <w:sz w:val="28"/>
          <w:szCs w:val="28"/>
          <w:highlight w:val="none"/>
          <w:lang w:val="en-US" w:eastAsia="zh-CN"/>
        </w:rPr>
        <w:t>基本情况</w:t>
      </w:r>
      <w:bookmarkEnd w:id="4"/>
    </w:p>
    <w:p w14:paraId="6D8C2234">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outlineLvl w:val="1"/>
        <w:rPr>
          <w:rFonts w:hint="eastAsia" w:ascii="仿宋" w:hAnsi="仿宋" w:eastAsia="仿宋" w:cs="仿宋"/>
          <w:color w:val="auto"/>
          <w:sz w:val="28"/>
          <w:szCs w:val="28"/>
          <w:highlight w:val="none"/>
          <w:lang w:eastAsia="zh-CN"/>
        </w:rPr>
      </w:pPr>
      <w:bookmarkStart w:id="5" w:name="_Toc6078"/>
      <w:bookmarkStart w:id="6" w:name="_Toc30136"/>
      <w:bookmarkStart w:id="7" w:name="_Toc17530"/>
      <w:r>
        <w:rPr>
          <w:rFonts w:hint="eastAsia" w:ascii="仿宋" w:hAnsi="仿宋" w:eastAsia="仿宋" w:cs="仿宋"/>
          <w:color w:val="auto"/>
          <w:sz w:val="28"/>
          <w:szCs w:val="28"/>
          <w:highlight w:val="none"/>
          <w:lang w:eastAsia="zh-CN"/>
        </w:rPr>
        <w:t>（一）</w:t>
      </w:r>
      <w:bookmarkEnd w:id="5"/>
      <w:bookmarkEnd w:id="6"/>
      <w:r>
        <w:rPr>
          <w:rFonts w:hint="eastAsia" w:ascii="仿宋" w:hAnsi="仿宋" w:eastAsia="仿宋" w:cs="仿宋"/>
          <w:color w:val="auto"/>
          <w:sz w:val="28"/>
          <w:szCs w:val="28"/>
          <w:highlight w:val="none"/>
          <w:lang w:eastAsia="zh-CN"/>
        </w:rPr>
        <w:t>项目概况</w:t>
      </w:r>
      <w:bookmarkEnd w:id="7"/>
    </w:p>
    <w:p w14:paraId="7C5670FB">
      <w:pPr>
        <w:keepNext w:val="0"/>
        <w:keepLines w:val="0"/>
        <w:pageBreakBefore w:val="0"/>
        <w:kinsoku/>
        <w:wordWrap/>
        <w:overflowPunct/>
        <w:topLinePunct w:val="0"/>
        <w:autoSpaceDE/>
        <w:autoSpaceDN/>
        <w:bidi w:val="0"/>
        <w:adjustRightInd/>
        <w:snapToGrid w:val="0"/>
        <w:spacing w:line="560" w:lineRule="exact"/>
        <w:ind w:left="1959" w:leftChars="266" w:hanging="1400" w:hangingChars="500"/>
        <w:jc w:val="both"/>
        <w:textAlignment w:val="auto"/>
        <w:rPr>
          <w:rFonts w:hint="eastAsia" w:ascii="仿宋" w:hAnsi="仿宋" w:eastAsia="仿宋" w:cs="仿宋"/>
          <w:color w:val="auto"/>
          <w:sz w:val="28"/>
          <w:szCs w:val="28"/>
          <w:highlight w:val="none"/>
          <w:lang w:val="en-US" w:eastAsia="zh-CN"/>
        </w:rPr>
      </w:pPr>
      <w:bookmarkStart w:id="8" w:name="_Toc14172"/>
      <w:r>
        <w:rPr>
          <w:rFonts w:hint="eastAsia" w:ascii="仿宋" w:hAnsi="仿宋" w:eastAsia="仿宋" w:cs="仿宋"/>
          <w:color w:val="auto"/>
          <w:sz w:val="28"/>
          <w:szCs w:val="28"/>
          <w:highlight w:val="none"/>
          <w:lang w:val="en-US" w:eastAsia="zh-CN"/>
        </w:rPr>
        <w:t>项目名称：“广东兜底民生服务社会工作双百工程”项目市级补助资金</w:t>
      </w:r>
    </w:p>
    <w:p w14:paraId="5E306041">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项目单位：湛江市民政局</w:t>
      </w:r>
    </w:p>
    <w:p w14:paraId="351308E3">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项目评价金额：2214万元</w:t>
      </w:r>
      <w:bookmarkEnd w:id="8"/>
    </w:p>
    <w:p w14:paraId="6453AC57">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outlineLvl w:val="1"/>
        <w:rPr>
          <w:rFonts w:hint="eastAsia" w:ascii="仿宋" w:hAnsi="仿宋" w:eastAsia="仿宋" w:cs="仿宋"/>
          <w:color w:val="auto"/>
          <w:sz w:val="28"/>
          <w:szCs w:val="28"/>
          <w:highlight w:val="none"/>
          <w:lang w:eastAsia="zh-CN"/>
        </w:rPr>
      </w:pPr>
      <w:bookmarkStart w:id="9" w:name="_Toc17615"/>
      <w:bookmarkStart w:id="10" w:name="_Toc17257"/>
      <w:r>
        <w:rPr>
          <w:rFonts w:hint="eastAsia" w:ascii="仿宋" w:hAnsi="仿宋" w:eastAsia="仿宋" w:cs="仿宋"/>
          <w:color w:val="auto"/>
          <w:sz w:val="28"/>
          <w:szCs w:val="28"/>
          <w:highlight w:val="none"/>
          <w:lang w:eastAsia="zh-CN"/>
        </w:rPr>
        <w:t>（二）</w:t>
      </w:r>
      <w:bookmarkEnd w:id="9"/>
      <w:r>
        <w:rPr>
          <w:rFonts w:hint="eastAsia" w:ascii="仿宋" w:hAnsi="仿宋" w:eastAsia="仿宋" w:cs="仿宋"/>
          <w:color w:val="auto"/>
          <w:sz w:val="28"/>
          <w:szCs w:val="28"/>
          <w:highlight w:val="none"/>
          <w:lang w:eastAsia="zh-CN"/>
        </w:rPr>
        <w:t>项目立项依据</w:t>
      </w:r>
      <w:bookmarkEnd w:id="10"/>
    </w:p>
    <w:p w14:paraId="23D00176">
      <w:pPr>
        <w:keepNext w:val="0"/>
        <w:keepLines w:val="0"/>
        <w:pageBreakBefore w:val="0"/>
        <w:kinsoku/>
        <w:wordWrap/>
        <w:overflowPunct/>
        <w:topLinePunct w:val="0"/>
        <w:autoSpaceDE/>
        <w:autoSpaceDN/>
        <w:bidi w:val="0"/>
        <w:adjustRightInd/>
        <w:snapToGrid w:val="0"/>
        <w:spacing w:line="560" w:lineRule="exact"/>
        <w:ind w:firstLine="57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根据广东省民政厅、广东省财政厅、广东省人力资源和社会保障厅、广东省妇女联合会、广东省残疾人联合会《关于印发“广东省兜底民生服务社会工作双百工程”实施方案的通知》</w:t>
      </w:r>
      <w:r>
        <w:rPr>
          <w:rFonts w:hint="eastAsia" w:ascii="仿宋" w:hAnsi="仿宋" w:eastAsia="仿宋" w:cs="仿宋"/>
          <w:color w:val="auto"/>
          <w:kern w:val="2"/>
          <w:sz w:val="28"/>
          <w:szCs w:val="28"/>
          <w:highlight w:val="none"/>
          <w:lang w:eastAsia="zh-CN"/>
        </w:rPr>
        <w:t>（</w:t>
      </w:r>
      <w:r>
        <w:rPr>
          <w:rFonts w:hint="eastAsia" w:ascii="仿宋" w:hAnsi="仿宋" w:eastAsia="仿宋" w:cs="仿宋"/>
          <w:color w:val="auto"/>
          <w:kern w:val="2"/>
          <w:sz w:val="28"/>
          <w:szCs w:val="28"/>
          <w:highlight w:val="none"/>
          <w:lang w:val="en-US" w:eastAsia="zh-CN"/>
        </w:rPr>
        <w:t>粤民办</w:t>
      </w:r>
      <w:r>
        <w:rPr>
          <w:rFonts w:hint="eastAsia" w:ascii="仿宋" w:hAnsi="仿宋" w:eastAsia="仿宋" w:cs="仿宋"/>
          <w:color w:val="auto"/>
          <w:kern w:val="2"/>
          <w:sz w:val="28"/>
          <w:szCs w:val="28"/>
          <w:highlight w:val="none"/>
        </w:rPr>
        <w:t>〔</w:t>
      </w:r>
      <w:r>
        <w:rPr>
          <w:rFonts w:hint="eastAsia" w:ascii="仿宋" w:hAnsi="仿宋" w:eastAsia="仿宋" w:cs="仿宋"/>
          <w:color w:val="auto"/>
          <w:kern w:val="2"/>
          <w:sz w:val="28"/>
          <w:szCs w:val="28"/>
          <w:highlight w:val="none"/>
          <w:lang w:val="en-US" w:eastAsia="zh-CN"/>
        </w:rPr>
        <w:t>2021</w:t>
      </w:r>
      <w:r>
        <w:rPr>
          <w:rFonts w:hint="eastAsia" w:ascii="仿宋" w:hAnsi="仿宋" w:eastAsia="仿宋" w:cs="仿宋"/>
          <w:color w:val="auto"/>
          <w:kern w:val="2"/>
          <w:sz w:val="28"/>
          <w:szCs w:val="28"/>
          <w:highlight w:val="none"/>
        </w:rPr>
        <w:t>〕</w:t>
      </w:r>
      <w:r>
        <w:rPr>
          <w:rFonts w:hint="eastAsia" w:ascii="仿宋" w:hAnsi="仿宋" w:eastAsia="仿宋" w:cs="仿宋"/>
          <w:color w:val="auto"/>
          <w:kern w:val="2"/>
          <w:sz w:val="28"/>
          <w:szCs w:val="28"/>
          <w:highlight w:val="none"/>
          <w:lang w:val="en-US" w:eastAsia="zh-CN"/>
        </w:rPr>
        <w:t>3号</w:t>
      </w:r>
      <w:r>
        <w:rPr>
          <w:rFonts w:hint="eastAsia" w:ascii="仿宋" w:hAnsi="仿宋" w:eastAsia="仿宋" w:cs="仿宋"/>
          <w:color w:val="auto"/>
          <w:kern w:val="2"/>
          <w:sz w:val="28"/>
          <w:szCs w:val="28"/>
          <w:highlight w:val="none"/>
          <w:lang w:eastAsia="zh-CN"/>
        </w:rPr>
        <w:t>）</w:t>
      </w:r>
      <w:r>
        <w:rPr>
          <w:rFonts w:hint="eastAsia" w:ascii="仿宋" w:hAnsi="仿宋" w:eastAsia="仿宋" w:cs="仿宋"/>
          <w:color w:val="auto"/>
          <w:kern w:val="2"/>
          <w:sz w:val="28"/>
          <w:szCs w:val="28"/>
          <w:highlight w:val="none"/>
          <w:lang w:val="en-US" w:eastAsia="zh-CN"/>
        </w:rPr>
        <w:t>和《湛江市民政局 湛江市财政局等部门关于印发&lt;湛江市兜底</w:t>
      </w:r>
      <w:r>
        <w:rPr>
          <w:rFonts w:hint="eastAsia" w:ascii="仿宋" w:hAnsi="仿宋" w:eastAsia="仿宋" w:cs="仿宋"/>
          <w:color w:val="auto"/>
          <w:sz w:val="28"/>
          <w:szCs w:val="28"/>
          <w:highlight w:val="none"/>
          <w:lang w:val="en-US" w:eastAsia="zh-CN"/>
        </w:rPr>
        <w:t>民生服务社会工作双百工程实施方案</w:t>
      </w:r>
      <w:r>
        <w:rPr>
          <w:rFonts w:hint="eastAsia" w:ascii="仿宋" w:hAnsi="仿宋" w:eastAsia="仿宋" w:cs="仿宋"/>
          <w:color w:val="auto"/>
          <w:kern w:val="2"/>
          <w:sz w:val="28"/>
          <w:szCs w:val="28"/>
          <w:highlight w:val="none"/>
          <w:lang w:val="en-US" w:eastAsia="zh-CN"/>
        </w:rPr>
        <w:t>&gt;的通知》（湛民</w:t>
      </w:r>
      <w:r>
        <w:rPr>
          <w:rFonts w:hint="eastAsia" w:ascii="仿宋" w:hAnsi="仿宋" w:eastAsia="仿宋" w:cs="仿宋"/>
          <w:color w:val="auto"/>
          <w:kern w:val="2"/>
          <w:sz w:val="28"/>
          <w:szCs w:val="28"/>
          <w:highlight w:val="none"/>
        </w:rPr>
        <w:t>〔</w:t>
      </w:r>
      <w:r>
        <w:rPr>
          <w:rFonts w:hint="eastAsia" w:ascii="仿宋" w:hAnsi="仿宋" w:eastAsia="仿宋" w:cs="仿宋"/>
          <w:color w:val="auto"/>
          <w:kern w:val="2"/>
          <w:sz w:val="28"/>
          <w:szCs w:val="28"/>
          <w:highlight w:val="none"/>
          <w:lang w:val="en-US" w:eastAsia="zh-CN"/>
        </w:rPr>
        <w:t>2021</w:t>
      </w:r>
      <w:r>
        <w:rPr>
          <w:rFonts w:hint="eastAsia" w:ascii="仿宋" w:hAnsi="仿宋" w:eastAsia="仿宋" w:cs="仿宋"/>
          <w:color w:val="auto"/>
          <w:kern w:val="2"/>
          <w:sz w:val="28"/>
          <w:szCs w:val="28"/>
          <w:highlight w:val="none"/>
        </w:rPr>
        <w:t>〕</w:t>
      </w:r>
      <w:r>
        <w:rPr>
          <w:rFonts w:hint="eastAsia" w:ascii="仿宋" w:hAnsi="仿宋" w:eastAsia="仿宋" w:cs="仿宋"/>
          <w:color w:val="auto"/>
          <w:kern w:val="2"/>
          <w:sz w:val="28"/>
          <w:szCs w:val="28"/>
          <w:highlight w:val="none"/>
          <w:lang w:val="en-US" w:eastAsia="zh-CN"/>
        </w:rPr>
        <w:t>24号）文件要求，</w:t>
      </w:r>
      <w:r>
        <w:rPr>
          <w:rFonts w:hint="eastAsia" w:ascii="仿宋" w:hAnsi="仿宋" w:eastAsia="仿宋" w:cs="仿宋"/>
          <w:color w:val="auto"/>
          <w:sz w:val="28"/>
          <w:szCs w:val="28"/>
          <w:highlight w:val="none"/>
          <w:lang w:val="en-US" w:eastAsia="zh-CN"/>
        </w:rPr>
        <w:t>2021年2月1日湛江市民政局办公室印发《湛江市兜底民生服务社会工作双百工程实施方案》。</w:t>
      </w:r>
    </w:p>
    <w:p w14:paraId="563E3CA0">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outlineLvl w:val="1"/>
        <w:rPr>
          <w:rFonts w:hint="eastAsia" w:ascii="仿宋" w:hAnsi="仿宋" w:eastAsia="仿宋" w:cs="仿宋"/>
          <w:color w:val="auto"/>
          <w:sz w:val="28"/>
          <w:szCs w:val="28"/>
          <w:highlight w:val="none"/>
          <w:lang w:val="en-US" w:eastAsia="zh-CN"/>
        </w:rPr>
      </w:pPr>
      <w:bookmarkStart w:id="11" w:name="_Toc13952"/>
      <w:bookmarkStart w:id="12" w:name="_Toc7652"/>
      <w:bookmarkStart w:id="13" w:name="_Toc1156"/>
      <w:r>
        <w:rPr>
          <w:rFonts w:hint="eastAsia" w:ascii="仿宋" w:hAnsi="仿宋" w:eastAsia="仿宋" w:cs="仿宋"/>
          <w:color w:val="auto"/>
          <w:sz w:val="28"/>
          <w:szCs w:val="28"/>
          <w:highlight w:val="none"/>
          <w:lang w:eastAsia="zh-CN"/>
        </w:rPr>
        <w:t>（三）</w:t>
      </w:r>
      <w:bookmarkEnd w:id="11"/>
      <w:bookmarkEnd w:id="12"/>
      <w:r>
        <w:rPr>
          <w:rFonts w:hint="eastAsia" w:ascii="仿宋" w:hAnsi="仿宋" w:eastAsia="仿宋" w:cs="仿宋"/>
          <w:color w:val="auto"/>
          <w:sz w:val="28"/>
          <w:szCs w:val="28"/>
          <w:highlight w:val="none"/>
          <w:lang w:eastAsia="zh-CN"/>
        </w:rPr>
        <w:t>项目</w:t>
      </w:r>
      <w:r>
        <w:rPr>
          <w:rFonts w:hint="eastAsia" w:ascii="仿宋" w:hAnsi="仿宋" w:eastAsia="仿宋" w:cs="仿宋"/>
          <w:color w:val="auto"/>
          <w:sz w:val="28"/>
          <w:szCs w:val="28"/>
          <w:highlight w:val="none"/>
        </w:rPr>
        <w:t>绩效目标</w:t>
      </w:r>
      <w:bookmarkEnd w:id="13"/>
    </w:p>
    <w:p w14:paraId="5CF9C508">
      <w:pPr>
        <w:keepNext w:val="0"/>
        <w:keepLines w:val="0"/>
        <w:pageBreakBefore w:val="0"/>
        <w:kinsoku/>
        <w:wordWrap/>
        <w:overflowPunct/>
        <w:topLinePunct w:val="0"/>
        <w:autoSpaceDE/>
        <w:autoSpaceDN/>
        <w:bidi w:val="0"/>
        <w:adjustRightInd/>
        <w:snapToGrid w:val="0"/>
        <w:spacing w:line="560" w:lineRule="exact"/>
        <w:ind w:firstLine="570"/>
        <w:jc w:val="both"/>
        <w:textAlignment w:val="auto"/>
        <w:rPr>
          <w:rFonts w:hint="default" w:ascii="仿宋" w:hAnsi="仿宋" w:eastAsia="仿宋" w:cs="仿宋"/>
          <w:color w:val="auto"/>
          <w:sz w:val="28"/>
          <w:szCs w:val="28"/>
          <w:highlight w:val="none"/>
          <w:lang w:val="en-US" w:eastAsia="zh-CN"/>
        </w:rPr>
      </w:pPr>
      <w:bookmarkStart w:id="14" w:name="_Toc3963"/>
      <w:bookmarkStart w:id="15" w:name="_Toc16787"/>
      <w:r>
        <w:rPr>
          <w:rFonts w:hint="eastAsia" w:ascii="仿宋" w:hAnsi="仿宋" w:eastAsia="仿宋" w:cs="仿宋"/>
          <w:color w:val="auto"/>
          <w:sz w:val="28"/>
          <w:szCs w:val="28"/>
          <w:highlight w:val="none"/>
          <w:lang w:val="en-US" w:eastAsia="zh-CN"/>
        </w:rPr>
        <w:t>2022年底前，全市社工岗位设置总量达到2213个（其中，事务性岗位242个，服务性岗位1971个）以上。</w:t>
      </w:r>
    </w:p>
    <w:p w14:paraId="60F6F877">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outlineLvl w:val="1"/>
        <w:rPr>
          <w:rFonts w:hint="eastAsia" w:ascii="仿宋" w:hAnsi="仿宋" w:eastAsia="仿宋" w:cs="仿宋"/>
          <w:color w:val="auto"/>
          <w:sz w:val="28"/>
          <w:szCs w:val="28"/>
          <w:highlight w:val="none"/>
          <w:lang w:val="en-US" w:eastAsia="zh-CN"/>
        </w:rPr>
      </w:pPr>
      <w:bookmarkStart w:id="16" w:name="_Toc26798"/>
      <w:r>
        <w:rPr>
          <w:rFonts w:hint="eastAsia" w:ascii="仿宋" w:hAnsi="仿宋" w:eastAsia="仿宋" w:cs="仿宋"/>
          <w:color w:val="auto"/>
          <w:sz w:val="28"/>
          <w:szCs w:val="28"/>
          <w:highlight w:val="none"/>
          <w:lang w:val="en-US" w:eastAsia="zh-CN"/>
        </w:rPr>
        <w:t>（四）</w:t>
      </w:r>
      <w:bookmarkEnd w:id="14"/>
      <w:bookmarkEnd w:id="15"/>
      <w:r>
        <w:rPr>
          <w:rFonts w:hint="eastAsia" w:ascii="仿宋" w:hAnsi="仿宋" w:eastAsia="仿宋" w:cs="仿宋"/>
          <w:color w:val="auto"/>
          <w:sz w:val="28"/>
          <w:szCs w:val="28"/>
          <w:highlight w:val="none"/>
          <w:lang w:val="en-US" w:eastAsia="zh-CN"/>
        </w:rPr>
        <w:t>项目建设内容</w:t>
      </w:r>
      <w:bookmarkEnd w:id="16"/>
    </w:p>
    <w:p w14:paraId="608969DE">
      <w:pPr>
        <w:keepNext w:val="0"/>
        <w:keepLines w:val="0"/>
        <w:pageBreakBefore w:val="0"/>
        <w:kinsoku/>
        <w:wordWrap/>
        <w:overflowPunct/>
        <w:topLinePunct w:val="0"/>
        <w:autoSpaceDE/>
        <w:autoSpaceDN/>
        <w:bidi w:val="0"/>
        <w:adjustRightInd/>
        <w:snapToGrid w:val="0"/>
        <w:spacing w:line="560" w:lineRule="exact"/>
        <w:ind w:firstLine="570"/>
        <w:jc w:val="both"/>
        <w:textAlignment w:val="auto"/>
        <w:rPr>
          <w:rFonts w:hint="default" w:ascii="仿宋" w:hAnsi="仿宋" w:eastAsia="仿宋" w:cs="仿宋"/>
          <w:color w:val="auto"/>
          <w:sz w:val="28"/>
          <w:szCs w:val="28"/>
          <w:highlight w:val="none"/>
          <w:lang w:val="en-US" w:eastAsia="zh-CN"/>
        </w:rPr>
      </w:pPr>
      <w:bookmarkStart w:id="17" w:name="_Toc6754"/>
      <w:bookmarkStart w:id="18" w:name="_Toc22929"/>
      <w:r>
        <w:rPr>
          <w:rFonts w:hint="eastAsia" w:ascii="仿宋" w:hAnsi="仿宋" w:eastAsia="仿宋" w:cs="仿宋"/>
          <w:color w:val="auto"/>
          <w:sz w:val="28"/>
          <w:szCs w:val="28"/>
          <w:highlight w:val="none"/>
          <w:lang w:val="en-US" w:eastAsia="zh-CN"/>
        </w:rPr>
        <w:t>全市2213名社工工资，其中1057名社工人均1.2万元每年，新招聘1156名社工人均0.60万元半年，市辖区34个社工站每个站点2万元配套资金，市级调剂经费184万元。</w:t>
      </w:r>
    </w:p>
    <w:p w14:paraId="0A7BB916">
      <w:pPr>
        <w:keepNext w:val="0"/>
        <w:keepLines w:val="0"/>
        <w:pageBreakBefore w:val="0"/>
        <w:kinsoku/>
        <w:wordWrap/>
        <w:overflowPunct/>
        <w:topLinePunct w:val="0"/>
        <w:autoSpaceDE/>
        <w:autoSpaceDN/>
        <w:bidi w:val="0"/>
        <w:adjustRightInd/>
        <w:snapToGrid w:val="0"/>
        <w:spacing w:line="560" w:lineRule="exact"/>
        <w:ind w:firstLine="562" w:firstLineChars="200"/>
        <w:jc w:val="both"/>
        <w:textAlignment w:val="auto"/>
        <w:outlineLvl w:val="0"/>
        <w:rPr>
          <w:rFonts w:hint="eastAsia" w:ascii="仿宋" w:hAnsi="仿宋" w:eastAsia="仿宋" w:cs="仿宋"/>
          <w:b/>
          <w:bCs/>
          <w:color w:val="auto"/>
          <w:sz w:val="28"/>
          <w:szCs w:val="28"/>
          <w:highlight w:val="none"/>
          <w:lang w:eastAsia="zh-CN"/>
        </w:rPr>
      </w:pPr>
      <w:bookmarkStart w:id="19" w:name="_Toc25132"/>
      <w:r>
        <w:rPr>
          <w:rFonts w:hint="eastAsia" w:ascii="仿宋" w:hAnsi="仿宋" w:eastAsia="仿宋" w:cs="仿宋"/>
          <w:b/>
          <w:bCs/>
          <w:color w:val="auto"/>
          <w:sz w:val="28"/>
          <w:szCs w:val="28"/>
          <w:highlight w:val="none"/>
        </w:rPr>
        <w:t>二</w:t>
      </w:r>
      <w:bookmarkEnd w:id="17"/>
      <w:r>
        <w:rPr>
          <w:rFonts w:hint="eastAsia" w:ascii="仿宋" w:hAnsi="仿宋" w:eastAsia="仿宋" w:cs="仿宋"/>
          <w:b/>
          <w:bCs/>
          <w:color w:val="auto"/>
          <w:sz w:val="28"/>
          <w:szCs w:val="28"/>
          <w:highlight w:val="none"/>
          <w:lang w:eastAsia="zh-CN"/>
        </w:rPr>
        <w:t>、核查工作开展情况</w:t>
      </w:r>
      <w:bookmarkEnd w:id="18"/>
      <w:bookmarkEnd w:id="19"/>
    </w:p>
    <w:p w14:paraId="3C09A8B1">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outlineLvl w:val="1"/>
        <w:rPr>
          <w:rFonts w:hint="eastAsia" w:ascii="仿宋" w:hAnsi="仿宋" w:eastAsia="仿宋" w:cs="仿宋"/>
          <w:color w:val="auto"/>
          <w:sz w:val="28"/>
          <w:szCs w:val="28"/>
          <w:highlight w:val="none"/>
        </w:rPr>
      </w:pPr>
      <w:bookmarkStart w:id="20" w:name="_Toc7852"/>
      <w:bookmarkStart w:id="21" w:name="_Toc28273"/>
      <w:bookmarkStart w:id="22" w:name="_Toc10065"/>
      <w:bookmarkStart w:id="23" w:name="_Toc1218"/>
      <w:r>
        <w:rPr>
          <w:rFonts w:hint="eastAsia" w:ascii="仿宋" w:hAnsi="仿宋" w:eastAsia="仿宋" w:cs="仿宋"/>
          <w:color w:val="auto"/>
          <w:sz w:val="28"/>
          <w:szCs w:val="28"/>
          <w:highlight w:val="none"/>
        </w:rPr>
        <w:t>（一）评价目的</w:t>
      </w:r>
      <w:bookmarkEnd w:id="20"/>
      <w:bookmarkEnd w:id="21"/>
      <w:bookmarkEnd w:id="22"/>
    </w:p>
    <w:p w14:paraId="69F9F8C6">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通过运用科学</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规范</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合理的评价方法</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评价指标和评分标准，对财政资金的分配</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管理</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使用</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产出及效果等进行客观</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公正的测量</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分析和评判，评价绩效水平，发现存在问题，并分析问题成因，提出进一步加强资金管理的意见建议。</w:t>
      </w:r>
    </w:p>
    <w:p w14:paraId="39B511A8">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outlineLvl w:val="1"/>
        <w:rPr>
          <w:rFonts w:hint="eastAsia" w:ascii="仿宋" w:hAnsi="仿宋" w:eastAsia="仿宋" w:cs="仿宋"/>
          <w:color w:val="auto"/>
          <w:sz w:val="28"/>
          <w:szCs w:val="28"/>
          <w:highlight w:val="none"/>
        </w:rPr>
      </w:pPr>
      <w:bookmarkStart w:id="24" w:name="_Toc20897"/>
      <w:bookmarkStart w:id="25" w:name="_Toc24406"/>
      <w:bookmarkStart w:id="26" w:name="_Toc15857"/>
      <w:r>
        <w:rPr>
          <w:rFonts w:hint="eastAsia" w:ascii="仿宋" w:hAnsi="仿宋" w:eastAsia="仿宋" w:cs="仿宋"/>
          <w:color w:val="auto"/>
          <w:sz w:val="28"/>
          <w:szCs w:val="28"/>
          <w:highlight w:val="none"/>
          <w:lang w:eastAsia="zh-CN"/>
        </w:rPr>
        <w:t>（二）</w:t>
      </w:r>
      <w:r>
        <w:rPr>
          <w:rFonts w:hint="eastAsia" w:ascii="仿宋" w:hAnsi="仿宋" w:eastAsia="仿宋" w:cs="仿宋"/>
          <w:color w:val="auto"/>
          <w:sz w:val="28"/>
          <w:szCs w:val="28"/>
          <w:highlight w:val="none"/>
        </w:rPr>
        <w:t>评价过程</w:t>
      </w:r>
      <w:bookmarkEnd w:id="24"/>
      <w:bookmarkEnd w:id="25"/>
      <w:bookmarkEnd w:id="26"/>
    </w:p>
    <w:p w14:paraId="56A07194">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1</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组织与实施。</w:t>
      </w:r>
      <w:r>
        <w:rPr>
          <w:rFonts w:hint="eastAsia" w:ascii="仿宋" w:hAnsi="仿宋" w:eastAsia="仿宋" w:cs="仿宋"/>
          <w:color w:val="auto"/>
          <w:sz w:val="28"/>
          <w:szCs w:val="28"/>
          <w:highlight w:val="none"/>
          <w:lang w:val="en-US" w:eastAsia="zh-CN"/>
        </w:rPr>
        <w:t>根据</w:t>
      </w:r>
      <w:r>
        <w:rPr>
          <w:rFonts w:hint="eastAsia" w:ascii="仿宋" w:hAnsi="仿宋" w:eastAsia="仿宋" w:cs="仿宋"/>
          <w:color w:val="auto"/>
          <w:kern w:val="2"/>
          <w:sz w:val="28"/>
          <w:szCs w:val="28"/>
          <w:highlight w:val="none"/>
          <w:lang w:val="en-US" w:eastAsia="zh-CN"/>
        </w:rPr>
        <w:t>湛江市财政局</w:t>
      </w:r>
      <w:r>
        <w:rPr>
          <w:rFonts w:hint="eastAsia" w:ascii="仿宋" w:hAnsi="仿宋" w:eastAsia="仿宋" w:cs="仿宋"/>
          <w:color w:val="auto"/>
          <w:kern w:val="2"/>
          <w:sz w:val="28"/>
          <w:szCs w:val="28"/>
          <w:highlight w:val="none"/>
          <w:lang w:eastAsia="zh-CN"/>
        </w:rPr>
        <w:t>《湛江财政局关于开展</w:t>
      </w:r>
      <w:r>
        <w:rPr>
          <w:rFonts w:hint="eastAsia" w:ascii="仿宋" w:hAnsi="仿宋" w:eastAsia="仿宋" w:cs="仿宋"/>
          <w:color w:val="auto"/>
          <w:kern w:val="2"/>
          <w:sz w:val="28"/>
          <w:szCs w:val="28"/>
          <w:highlight w:val="none"/>
          <w:lang w:val="en-US" w:eastAsia="zh-CN"/>
        </w:rPr>
        <w:t>2023年市级财政资金绩效自评工作的通知</w:t>
      </w:r>
      <w:r>
        <w:rPr>
          <w:rFonts w:hint="eastAsia" w:ascii="仿宋" w:hAnsi="仿宋" w:eastAsia="仿宋" w:cs="仿宋"/>
          <w:color w:val="auto"/>
          <w:kern w:val="2"/>
          <w:sz w:val="28"/>
          <w:szCs w:val="28"/>
          <w:highlight w:val="none"/>
          <w:lang w:eastAsia="zh-CN"/>
        </w:rPr>
        <w:t>》（湛财绩</w:t>
      </w:r>
      <w:r>
        <w:rPr>
          <w:rFonts w:hint="eastAsia" w:ascii="仿宋" w:hAnsi="仿宋" w:eastAsia="仿宋" w:cs="仿宋"/>
          <w:color w:val="auto"/>
          <w:kern w:val="2"/>
          <w:sz w:val="28"/>
          <w:szCs w:val="28"/>
          <w:highlight w:val="none"/>
        </w:rPr>
        <w:t>〔</w:t>
      </w:r>
      <w:r>
        <w:rPr>
          <w:rFonts w:hint="eastAsia" w:ascii="仿宋" w:hAnsi="仿宋" w:eastAsia="仿宋" w:cs="仿宋"/>
          <w:color w:val="auto"/>
          <w:kern w:val="2"/>
          <w:sz w:val="28"/>
          <w:szCs w:val="28"/>
          <w:highlight w:val="none"/>
          <w:lang w:val="en-US" w:eastAsia="zh-CN"/>
        </w:rPr>
        <w:t>2023</w:t>
      </w:r>
      <w:r>
        <w:rPr>
          <w:rFonts w:hint="eastAsia" w:ascii="仿宋" w:hAnsi="仿宋" w:eastAsia="仿宋" w:cs="仿宋"/>
          <w:color w:val="auto"/>
          <w:kern w:val="2"/>
          <w:sz w:val="28"/>
          <w:szCs w:val="28"/>
          <w:highlight w:val="none"/>
        </w:rPr>
        <w:t>〕</w:t>
      </w:r>
      <w:r>
        <w:rPr>
          <w:rFonts w:hint="eastAsia" w:ascii="仿宋" w:hAnsi="仿宋" w:eastAsia="仿宋" w:cs="仿宋"/>
          <w:color w:val="auto"/>
          <w:kern w:val="2"/>
          <w:sz w:val="28"/>
          <w:szCs w:val="28"/>
          <w:highlight w:val="none"/>
          <w:lang w:val="en-US" w:eastAsia="zh-CN"/>
        </w:rPr>
        <w:t>2号</w:t>
      </w:r>
      <w:r>
        <w:rPr>
          <w:rFonts w:hint="eastAsia" w:ascii="仿宋" w:hAnsi="仿宋" w:eastAsia="仿宋" w:cs="仿宋"/>
          <w:color w:val="auto"/>
          <w:kern w:val="2"/>
          <w:sz w:val="28"/>
          <w:szCs w:val="28"/>
          <w:highlight w:val="none"/>
          <w:lang w:eastAsia="zh-CN"/>
        </w:rPr>
        <w:t>）</w:t>
      </w:r>
      <w:r>
        <w:rPr>
          <w:rFonts w:hint="eastAsia" w:ascii="仿宋" w:hAnsi="仿宋" w:eastAsia="仿宋" w:cs="仿宋"/>
          <w:color w:val="auto"/>
          <w:sz w:val="28"/>
          <w:szCs w:val="28"/>
          <w:highlight w:val="none"/>
        </w:rPr>
        <w:t>，明确了</w:t>
      </w:r>
      <w:r>
        <w:rPr>
          <w:rFonts w:hint="eastAsia" w:ascii="仿宋" w:hAnsi="仿宋" w:eastAsia="仿宋" w:cs="仿宋"/>
          <w:color w:val="auto"/>
          <w:sz w:val="28"/>
          <w:szCs w:val="28"/>
          <w:highlight w:val="none"/>
          <w:lang w:eastAsia="zh-CN"/>
        </w:rPr>
        <w:t>本次</w:t>
      </w:r>
      <w:r>
        <w:rPr>
          <w:rFonts w:hint="eastAsia" w:ascii="仿宋" w:hAnsi="仿宋" w:eastAsia="仿宋" w:cs="仿宋"/>
          <w:color w:val="auto"/>
          <w:sz w:val="28"/>
          <w:szCs w:val="28"/>
          <w:highlight w:val="none"/>
        </w:rPr>
        <w:t>评价工作的目的</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范围</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内容和组织实施工</w:t>
      </w:r>
      <w:r>
        <w:rPr>
          <w:rFonts w:hint="eastAsia" w:ascii="仿宋" w:hAnsi="仿宋" w:eastAsia="仿宋" w:cs="仿宋"/>
          <w:color w:val="auto"/>
          <w:sz w:val="28"/>
          <w:szCs w:val="28"/>
          <w:highlight w:val="none"/>
          <w:lang w:val="en-US" w:eastAsia="zh-CN"/>
        </w:rPr>
        <w:t>作。2023年9月，受湛江市财政局委托，本事务所高度重视，合理配备专业力量，组织绩效评价工作组，制定评价工作实施方案，以认真负责的态度，保证本次绩效评价工作的有序展开。</w:t>
      </w:r>
    </w:p>
    <w:p w14:paraId="78040DAE">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eastAsia="zh-CN"/>
        </w:rPr>
        <w:t>2</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lang w:eastAsia="zh-CN"/>
        </w:rPr>
        <w:t>核实与勘验。绩效评价工作专家小组收集评价基础资料并整理分析，作为核查参考，科学确定核查方案</w:t>
      </w:r>
      <w:r>
        <w:rPr>
          <w:rFonts w:hint="eastAsia" w:ascii="仿宋" w:hAnsi="仿宋" w:eastAsia="仿宋" w:cs="仿宋"/>
          <w:color w:val="auto"/>
          <w:sz w:val="28"/>
          <w:szCs w:val="28"/>
          <w:highlight w:val="none"/>
        </w:rPr>
        <w:t>，形成评价意见。</w:t>
      </w:r>
    </w:p>
    <w:p w14:paraId="7F10A590">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形成评价报告。依据评价结论，并参考对评价单位递交自评材料的审核结果，加强意见沟通，对财政资金支出情况进行全面分析与综合评价，形成本次绩效评价</w:t>
      </w:r>
      <w:r>
        <w:rPr>
          <w:rFonts w:hint="eastAsia" w:ascii="仿宋" w:hAnsi="仿宋" w:eastAsia="仿宋" w:cs="仿宋"/>
          <w:color w:val="auto"/>
          <w:sz w:val="28"/>
          <w:szCs w:val="28"/>
          <w:highlight w:val="none"/>
          <w:lang w:eastAsia="zh-CN"/>
        </w:rPr>
        <w:t>核查</w:t>
      </w:r>
      <w:r>
        <w:rPr>
          <w:rFonts w:hint="eastAsia" w:ascii="仿宋" w:hAnsi="仿宋" w:eastAsia="仿宋" w:cs="仿宋"/>
          <w:color w:val="auto"/>
          <w:sz w:val="28"/>
          <w:szCs w:val="28"/>
          <w:highlight w:val="none"/>
        </w:rPr>
        <w:t>报告。</w:t>
      </w:r>
    </w:p>
    <w:p w14:paraId="6F228CB0">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outlineLvl w:val="1"/>
        <w:rPr>
          <w:rFonts w:hint="eastAsia" w:ascii="仿宋" w:hAnsi="仿宋" w:eastAsia="仿宋" w:cs="仿宋"/>
          <w:color w:val="auto"/>
          <w:sz w:val="28"/>
          <w:szCs w:val="28"/>
          <w:highlight w:val="none"/>
        </w:rPr>
      </w:pPr>
      <w:bookmarkStart w:id="27" w:name="_Toc19029"/>
      <w:bookmarkStart w:id="28" w:name="_Toc3007"/>
      <w:bookmarkStart w:id="29" w:name="_Toc22988"/>
      <w:r>
        <w:rPr>
          <w:rFonts w:hint="eastAsia" w:ascii="仿宋" w:hAnsi="仿宋" w:eastAsia="仿宋" w:cs="仿宋"/>
          <w:color w:val="auto"/>
          <w:sz w:val="28"/>
          <w:szCs w:val="28"/>
          <w:highlight w:val="none"/>
        </w:rPr>
        <w:t>（三）评价原则和方法</w:t>
      </w:r>
      <w:bookmarkEnd w:id="27"/>
      <w:bookmarkEnd w:id="28"/>
      <w:bookmarkEnd w:id="29"/>
    </w:p>
    <w:p w14:paraId="09B266EB">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本次评价基于项目的“经济性</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效率性和有效性”，主要考虑</w:t>
      </w:r>
      <w:r>
        <w:rPr>
          <w:rFonts w:hint="eastAsia" w:ascii="仿宋" w:hAnsi="仿宋" w:eastAsia="仿宋" w:cs="仿宋"/>
          <w:color w:val="auto"/>
          <w:sz w:val="28"/>
          <w:szCs w:val="28"/>
          <w:highlight w:val="none"/>
          <w:lang w:eastAsia="zh-CN"/>
        </w:rPr>
        <w:t>的原则，</w:t>
      </w:r>
      <w:r>
        <w:rPr>
          <w:rFonts w:hint="eastAsia" w:ascii="仿宋" w:hAnsi="仿宋" w:eastAsia="仿宋" w:cs="仿宋"/>
          <w:color w:val="auto"/>
          <w:sz w:val="28"/>
          <w:szCs w:val="28"/>
          <w:highlight w:val="none"/>
        </w:rPr>
        <w:t>一是定性与定量分析相结合；二是实施过程与结果评价相结合；三是真实性与规范性</w:t>
      </w:r>
      <w:r>
        <w:rPr>
          <w:rFonts w:hint="eastAsia" w:ascii="仿宋" w:hAnsi="仿宋" w:eastAsia="仿宋" w:cs="仿宋"/>
          <w:color w:val="auto"/>
          <w:sz w:val="28"/>
          <w:szCs w:val="28"/>
          <w:highlight w:val="none"/>
          <w:lang w:eastAsia="zh-CN"/>
        </w:rPr>
        <w:t>相</w:t>
      </w:r>
      <w:r>
        <w:rPr>
          <w:rFonts w:hint="eastAsia" w:ascii="仿宋" w:hAnsi="仿宋" w:eastAsia="仿宋" w:cs="仿宋"/>
          <w:color w:val="auto"/>
          <w:sz w:val="28"/>
          <w:szCs w:val="28"/>
          <w:highlight w:val="none"/>
        </w:rPr>
        <w:t>结合</w:t>
      </w:r>
      <w:r>
        <w:rPr>
          <w:rFonts w:hint="eastAsia" w:ascii="仿宋" w:hAnsi="仿宋" w:eastAsia="仿宋" w:cs="仿宋"/>
          <w:color w:val="auto"/>
          <w:sz w:val="28"/>
          <w:szCs w:val="28"/>
          <w:highlight w:val="none"/>
          <w:lang w:eastAsia="zh-CN"/>
        </w:rPr>
        <w:t>等原则</w:t>
      </w:r>
      <w:r>
        <w:rPr>
          <w:rFonts w:hint="eastAsia" w:ascii="仿宋" w:hAnsi="仿宋" w:eastAsia="仿宋" w:cs="仿宋"/>
          <w:color w:val="auto"/>
          <w:sz w:val="28"/>
          <w:szCs w:val="28"/>
          <w:highlight w:val="none"/>
        </w:rPr>
        <w:t>。</w:t>
      </w:r>
    </w:p>
    <w:p w14:paraId="33CD0EF7">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根据</w:t>
      </w:r>
      <w:r>
        <w:rPr>
          <w:rFonts w:hint="eastAsia" w:ascii="仿宋" w:hAnsi="仿宋" w:eastAsia="仿宋" w:cs="仿宋"/>
          <w:color w:val="auto"/>
          <w:kern w:val="2"/>
          <w:sz w:val="28"/>
          <w:szCs w:val="28"/>
          <w:highlight w:val="none"/>
          <w:lang w:val="en-US" w:eastAsia="zh-CN"/>
        </w:rPr>
        <w:t>湛江市财政局</w:t>
      </w:r>
      <w:r>
        <w:rPr>
          <w:rFonts w:hint="eastAsia" w:ascii="仿宋" w:hAnsi="仿宋" w:eastAsia="仿宋" w:cs="仿宋"/>
          <w:color w:val="auto"/>
          <w:kern w:val="2"/>
          <w:sz w:val="28"/>
          <w:szCs w:val="28"/>
          <w:highlight w:val="none"/>
          <w:lang w:eastAsia="zh-CN"/>
        </w:rPr>
        <w:t>《湛江财政局关于开展</w:t>
      </w:r>
      <w:r>
        <w:rPr>
          <w:rFonts w:hint="eastAsia" w:ascii="仿宋" w:hAnsi="仿宋" w:eastAsia="仿宋" w:cs="仿宋"/>
          <w:color w:val="auto"/>
          <w:kern w:val="2"/>
          <w:sz w:val="28"/>
          <w:szCs w:val="28"/>
          <w:highlight w:val="none"/>
          <w:lang w:val="en-US" w:eastAsia="zh-CN"/>
        </w:rPr>
        <w:t>2023年市级财政资金绩效自评工作的通知</w:t>
      </w:r>
      <w:r>
        <w:rPr>
          <w:rFonts w:hint="eastAsia" w:ascii="仿宋" w:hAnsi="仿宋" w:eastAsia="仿宋" w:cs="仿宋"/>
          <w:color w:val="auto"/>
          <w:kern w:val="2"/>
          <w:sz w:val="28"/>
          <w:szCs w:val="28"/>
          <w:highlight w:val="none"/>
          <w:lang w:eastAsia="zh-CN"/>
        </w:rPr>
        <w:t>》（湛财绩</w:t>
      </w:r>
      <w:r>
        <w:rPr>
          <w:rFonts w:hint="eastAsia" w:ascii="仿宋" w:hAnsi="仿宋" w:eastAsia="仿宋" w:cs="仿宋"/>
          <w:color w:val="auto"/>
          <w:kern w:val="2"/>
          <w:sz w:val="28"/>
          <w:szCs w:val="28"/>
          <w:highlight w:val="none"/>
        </w:rPr>
        <w:t>〔</w:t>
      </w:r>
      <w:r>
        <w:rPr>
          <w:rFonts w:hint="eastAsia" w:ascii="仿宋" w:hAnsi="仿宋" w:eastAsia="仿宋" w:cs="仿宋"/>
          <w:color w:val="auto"/>
          <w:kern w:val="2"/>
          <w:sz w:val="28"/>
          <w:szCs w:val="28"/>
          <w:highlight w:val="none"/>
          <w:lang w:val="en-US" w:eastAsia="zh-CN"/>
        </w:rPr>
        <w:t>2023</w:t>
      </w:r>
      <w:r>
        <w:rPr>
          <w:rFonts w:hint="eastAsia" w:ascii="仿宋" w:hAnsi="仿宋" w:eastAsia="仿宋" w:cs="仿宋"/>
          <w:color w:val="auto"/>
          <w:kern w:val="2"/>
          <w:sz w:val="28"/>
          <w:szCs w:val="28"/>
          <w:highlight w:val="none"/>
        </w:rPr>
        <w:t>〕</w:t>
      </w:r>
      <w:r>
        <w:rPr>
          <w:rFonts w:hint="eastAsia" w:ascii="仿宋" w:hAnsi="仿宋" w:eastAsia="仿宋" w:cs="仿宋"/>
          <w:color w:val="auto"/>
          <w:kern w:val="2"/>
          <w:sz w:val="28"/>
          <w:szCs w:val="28"/>
          <w:highlight w:val="none"/>
          <w:lang w:val="en-US" w:eastAsia="zh-CN"/>
        </w:rPr>
        <w:t>2号</w:t>
      </w:r>
      <w:r>
        <w:rPr>
          <w:rFonts w:hint="eastAsia" w:ascii="仿宋" w:hAnsi="仿宋" w:eastAsia="仿宋" w:cs="仿宋"/>
          <w:color w:val="auto"/>
          <w:kern w:val="2"/>
          <w:sz w:val="28"/>
          <w:szCs w:val="28"/>
          <w:highlight w:val="none"/>
          <w:lang w:eastAsia="zh-CN"/>
        </w:rPr>
        <w:t>）</w:t>
      </w:r>
      <w:r>
        <w:rPr>
          <w:rFonts w:hint="eastAsia" w:ascii="仿宋" w:hAnsi="仿宋" w:eastAsia="仿宋" w:cs="仿宋"/>
          <w:color w:val="auto"/>
          <w:sz w:val="28"/>
          <w:szCs w:val="28"/>
          <w:highlight w:val="none"/>
          <w:lang w:val="en-US" w:eastAsia="zh-CN"/>
        </w:rPr>
        <w:t>的文件要求</w:t>
      </w:r>
      <w:r>
        <w:rPr>
          <w:rFonts w:hint="eastAsia" w:ascii="仿宋" w:hAnsi="仿宋" w:eastAsia="仿宋" w:cs="仿宋"/>
          <w:color w:val="auto"/>
          <w:sz w:val="28"/>
          <w:szCs w:val="28"/>
          <w:highlight w:val="none"/>
        </w:rPr>
        <w:t>，结合本</w:t>
      </w:r>
      <w:r>
        <w:rPr>
          <w:rFonts w:hint="eastAsia" w:ascii="仿宋" w:hAnsi="仿宋" w:eastAsia="仿宋" w:cs="仿宋"/>
          <w:color w:val="auto"/>
          <w:sz w:val="28"/>
          <w:szCs w:val="28"/>
          <w:highlight w:val="none"/>
          <w:lang w:eastAsia="zh-CN"/>
        </w:rPr>
        <w:t>评价项目</w:t>
      </w:r>
      <w:r>
        <w:rPr>
          <w:rFonts w:hint="eastAsia" w:ascii="仿宋" w:hAnsi="仿宋" w:eastAsia="仿宋" w:cs="仿宋"/>
          <w:color w:val="auto"/>
          <w:sz w:val="28"/>
          <w:szCs w:val="28"/>
          <w:highlight w:val="none"/>
        </w:rPr>
        <w:t>资金支出的相关内容，突出预算支出绩效评价的特点</w:t>
      </w:r>
      <w:r>
        <w:rPr>
          <w:rFonts w:hint="eastAsia" w:ascii="仿宋" w:hAnsi="仿宋" w:eastAsia="仿宋" w:cs="仿宋"/>
          <w:color w:val="auto"/>
          <w:sz w:val="28"/>
          <w:szCs w:val="28"/>
          <w:highlight w:val="none"/>
          <w:lang w:eastAsia="zh-CN"/>
        </w:rPr>
        <w:t>，以资金支出的经济、社会效益和公众满意度作为衡量主管部门资金管理绩效的重要依据，</w:t>
      </w:r>
      <w:r>
        <w:rPr>
          <w:rFonts w:hint="eastAsia" w:ascii="仿宋" w:hAnsi="仿宋" w:eastAsia="仿宋" w:cs="仿宋"/>
          <w:color w:val="auto"/>
          <w:sz w:val="28"/>
          <w:szCs w:val="28"/>
          <w:highlight w:val="none"/>
        </w:rPr>
        <w:t>采取了目标预定与实施效果</w:t>
      </w:r>
      <w:r>
        <w:rPr>
          <w:rFonts w:hint="eastAsia" w:ascii="仿宋" w:hAnsi="仿宋" w:eastAsia="仿宋" w:cs="仿宋"/>
          <w:color w:val="auto"/>
          <w:sz w:val="28"/>
          <w:szCs w:val="28"/>
          <w:highlight w:val="none"/>
          <w:lang w:eastAsia="zh-CN"/>
        </w:rPr>
        <w:t>相</w:t>
      </w:r>
      <w:r>
        <w:rPr>
          <w:rFonts w:hint="eastAsia" w:ascii="仿宋" w:hAnsi="仿宋" w:eastAsia="仿宋" w:cs="仿宋"/>
          <w:color w:val="auto"/>
          <w:sz w:val="28"/>
          <w:szCs w:val="28"/>
          <w:highlight w:val="none"/>
        </w:rPr>
        <w:t>比较的评价方法</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评价包括了定量指标分析和定性指标分析。</w:t>
      </w:r>
    </w:p>
    <w:p w14:paraId="37EC2B2D">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outlineLvl w:val="0"/>
        <w:rPr>
          <w:rFonts w:hint="eastAsia" w:ascii="仿宋" w:hAnsi="仿宋" w:eastAsia="仿宋" w:cs="仿宋"/>
          <w:color w:val="auto"/>
          <w:sz w:val="28"/>
          <w:szCs w:val="28"/>
          <w:highlight w:val="none"/>
          <w:lang w:eastAsia="zh-CN"/>
        </w:rPr>
      </w:pPr>
      <w:bookmarkStart w:id="30" w:name="_Toc2217"/>
      <w:r>
        <w:rPr>
          <w:rFonts w:hint="eastAsia" w:ascii="仿宋" w:hAnsi="仿宋" w:eastAsia="仿宋" w:cs="仿宋"/>
          <w:color w:val="auto"/>
          <w:sz w:val="28"/>
          <w:szCs w:val="28"/>
          <w:highlight w:val="none"/>
          <w:lang w:eastAsia="zh-CN"/>
        </w:rPr>
        <w:t>项目评价基准日为</w:t>
      </w:r>
      <w:r>
        <w:rPr>
          <w:rFonts w:hint="eastAsia" w:ascii="仿宋" w:hAnsi="仿宋" w:eastAsia="仿宋" w:cs="仿宋"/>
          <w:color w:val="auto"/>
          <w:sz w:val="28"/>
          <w:szCs w:val="28"/>
          <w:highlight w:val="none"/>
          <w:lang w:val="en-US" w:eastAsia="zh-CN"/>
        </w:rPr>
        <w:t>2022</w:t>
      </w:r>
      <w:r>
        <w:rPr>
          <w:rFonts w:hint="eastAsia" w:ascii="仿宋" w:hAnsi="仿宋" w:eastAsia="仿宋" w:cs="仿宋"/>
          <w:color w:val="auto"/>
          <w:sz w:val="28"/>
          <w:szCs w:val="28"/>
          <w:highlight w:val="none"/>
          <w:lang w:eastAsia="zh-CN"/>
        </w:rPr>
        <w:t>年</w:t>
      </w:r>
      <w:r>
        <w:rPr>
          <w:rFonts w:hint="eastAsia" w:ascii="仿宋" w:hAnsi="仿宋" w:eastAsia="仿宋" w:cs="仿宋"/>
          <w:color w:val="auto"/>
          <w:sz w:val="28"/>
          <w:szCs w:val="28"/>
          <w:highlight w:val="none"/>
          <w:lang w:val="en-US" w:eastAsia="zh-CN"/>
        </w:rPr>
        <w:t>12</w:t>
      </w:r>
      <w:r>
        <w:rPr>
          <w:rFonts w:hint="eastAsia" w:ascii="仿宋" w:hAnsi="仿宋" w:eastAsia="仿宋" w:cs="仿宋"/>
          <w:color w:val="auto"/>
          <w:sz w:val="28"/>
          <w:szCs w:val="28"/>
          <w:highlight w:val="none"/>
          <w:lang w:eastAsia="zh-CN"/>
        </w:rPr>
        <w:t>月</w:t>
      </w:r>
      <w:r>
        <w:rPr>
          <w:rFonts w:hint="eastAsia" w:ascii="仿宋" w:hAnsi="仿宋" w:eastAsia="仿宋" w:cs="仿宋"/>
          <w:color w:val="auto"/>
          <w:sz w:val="28"/>
          <w:szCs w:val="28"/>
          <w:highlight w:val="none"/>
          <w:lang w:val="en-US" w:eastAsia="zh-CN"/>
        </w:rPr>
        <w:t>31</w:t>
      </w:r>
      <w:r>
        <w:rPr>
          <w:rFonts w:hint="eastAsia" w:ascii="仿宋" w:hAnsi="仿宋" w:eastAsia="仿宋" w:cs="仿宋"/>
          <w:color w:val="auto"/>
          <w:sz w:val="28"/>
          <w:szCs w:val="28"/>
          <w:highlight w:val="none"/>
          <w:lang w:eastAsia="zh-CN"/>
        </w:rPr>
        <w:t>日。</w:t>
      </w:r>
      <w:bookmarkEnd w:id="30"/>
      <w:bookmarkStart w:id="31" w:name="bookmark68"/>
      <w:bookmarkEnd w:id="31"/>
    </w:p>
    <w:p w14:paraId="415EDA83">
      <w:pPr>
        <w:keepNext w:val="0"/>
        <w:keepLines w:val="0"/>
        <w:pageBreakBefore w:val="0"/>
        <w:kinsoku/>
        <w:wordWrap/>
        <w:overflowPunct/>
        <w:topLinePunct w:val="0"/>
        <w:autoSpaceDE/>
        <w:autoSpaceDN/>
        <w:bidi w:val="0"/>
        <w:adjustRightInd/>
        <w:snapToGrid w:val="0"/>
        <w:spacing w:line="560" w:lineRule="exact"/>
        <w:ind w:firstLine="562" w:firstLineChars="200"/>
        <w:jc w:val="both"/>
        <w:textAlignment w:val="auto"/>
        <w:outlineLvl w:val="0"/>
        <w:rPr>
          <w:rFonts w:hint="eastAsia" w:ascii="仿宋" w:hAnsi="仿宋" w:eastAsia="仿宋" w:cs="仿宋"/>
          <w:b/>
          <w:bCs/>
          <w:color w:val="auto"/>
          <w:sz w:val="28"/>
          <w:szCs w:val="28"/>
          <w:highlight w:val="none"/>
          <w:lang w:eastAsia="zh-CN"/>
        </w:rPr>
      </w:pPr>
      <w:bookmarkStart w:id="32" w:name="_Toc19758"/>
      <w:r>
        <w:rPr>
          <w:rFonts w:hint="eastAsia" w:ascii="仿宋" w:hAnsi="仿宋" w:eastAsia="仿宋" w:cs="仿宋"/>
          <w:b/>
          <w:bCs/>
          <w:color w:val="auto"/>
          <w:sz w:val="28"/>
          <w:szCs w:val="28"/>
          <w:highlight w:val="none"/>
          <w:lang w:eastAsia="zh-CN"/>
        </w:rPr>
        <w:t>三、项目实施情况</w:t>
      </w:r>
      <w:bookmarkEnd w:id="32"/>
    </w:p>
    <w:p w14:paraId="61701121">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outlineLvl w:val="1"/>
        <w:rPr>
          <w:rFonts w:hint="eastAsia" w:ascii="仿宋" w:hAnsi="仿宋" w:eastAsia="仿宋" w:cs="仿宋"/>
          <w:color w:val="auto"/>
          <w:sz w:val="28"/>
          <w:szCs w:val="28"/>
          <w:highlight w:val="none"/>
          <w:lang w:eastAsia="zh-CN"/>
        </w:rPr>
      </w:pPr>
      <w:bookmarkStart w:id="33" w:name="_Toc18632"/>
      <w:r>
        <w:rPr>
          <w:rFonts w:hint="eastAsia" w:ascii="仿宋" w:hAnsi="仿宋" w:eastAsia="仿宋" w:cs="仿宋"/>
          <w:color w:val="auto"/>
          <w:sz w:val="28"/>
          <w:szCs w:val="28"/>
          <w:highlight w:val="none"/>
        </w:rPr>
        <w:t>（一）</w:t>
      </w:r>
      <w:r>
        <w:rPr>
          <w:rFonts w:hint="eastAsia" w:ascii="仿宋" w:hAnsi="仿宋" w:eastAsia="仿宋" w:cs="仿宋"/>
          <w:color w:val="auto"/>
          <w:sz w:val="28"/>
          <w:szCs w:val="28"/>
          <w:highlight w:val="none"/>
          <w:lang w:eastAsia="zh-CN"/>
        </w:rPr>
        <w:t>项目实施情况</w:t>
      </w:r>
      <w:bookmarkEnd w:id="33"/>
    </w:p>
    <w:p w14:paraId="25AD62CD">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default"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2022年度共下达市级补助资金2214万元，其中社工人员经费1962万元分两批下达，第一批1057人，每人配套1.2万元，计1268.40万元，第二批1156人，每人配套0.6万元（按半年计），计693.60万元；市辖区34个社工站每个站点配套2万元，计68万元；市级调剂经费184万元，其中用于招聘考务及培训164万元，行政辅助人员经费20万元，市财政年度收回8万元，实际支出2206万元。</w:t>
      </w:r>
    </w:p>
    <w:p w14:paraId="77287E5B">
      <w:pPr>
        <w:keepNext w:val="0"/>
        <w:keepLines w:val="0"/>
        <w:pageBreakBefore w:val="0"/>
        <w:numPr>
          <w:ilvl w:val="0"/>
          <w:numId w:val="1"/>
        </w:numPr>
        <w:kinsoku/>
        <w:wordWrap/>
        <w:overflowPunct/>
        <w:topLinePunct w:val="0"/>
        <w:autoSpaceDE/>
        <w:autoSpaceDN/>
        <w:bidi w:val="0"/>
        <w:adjustRightInd/>
        <w:snapToGrid w:val="0"/>
        <w:spacing w:line="560" w:lineRule="exact"/>
        <w:ind w:firstLine="560" w:firstLineChars="200"/>
        <w:jc w:val="both"/>
        <w:textAlignment w:val="auto"/>
        <w:outlineLvl w:val="1"/>
        <w:rPr>
          <w:rFonts w:hint="eastAsia" w:ascii="仿宋" w:hAnsi="仿宋" w:eastAsia="仿宋" w:cs="仿宋"/>
          <w:color w:val="auto"/>
          <w:sz w:val="28"/>
          <w:szCs w:val="28"/>
          <w:highlight w:val="none"/>
          <w:lang w:eastAsia="zh-CN"/>
        </w:rPr>
      </w:pPr>
      <w:bookmarkStart w:id="34" w:name="_Toc18859"/>
      <w:r>
        <w:rPr>
          <w:rFonts w:hint="eastAsia" w:ascii="仿宋" w:hAnsi="仿宋" w:eastAsia="仿宋" w:cs="仿宋"/>
          <w:color w:val="auto"/>
          <w:sz w:val="28"/>
          <w:szCs w:val="28"/>
          <w:highlight w:val="none"/>
          <w:lang w:eastAsia="zh-CN"/>
        </w:rPr>
        <w:t>项目资金情况</w:t>
      </w:r>
      <w:bookmarkEnd w:id="34"/>
    </w:p>
    <w:p w14:paraId="7BA34563">
      <w:pPr>
        <w:keepNext w:val="0"/>
        <w:keepLines w:val="0"/>
        <w:pageBreakBefore w:val="0"/>
        <w:numPr>
          <w:ilvl w:val="0"/>
          <w:numId w:val="0"/>
        </w:numPr>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1.资金来源</w:t>
      </w:r>
    </w:p>
    <w:p w14:paraId="1C8B0BAA">
      <w:pPr>
        <w:keepNext w:val="0"/>
        <w:keepLines w:val="0"/>
        <w:pageBreakBefore w:val="0"/>
        <w:numPr>
          <w:ilvl w:val="0"/>
          <w:numId w:val="0"/>
        </w:numPr>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资金来源为市级补助资金</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湛财社</w:t>
      </w:r>
      <w:r>
        <w:rPr>
          <w:rFonts w:hint="eastAsia" w:ascii="仿宋" w:hAnsi="仿宋" w:eastAsia="仿宋" w:cs="仿宋"/>
          <w:color w:val="auto"/>
          <w:sz w:val="28"/>
          <w:szCs w:val="28"/>
          <w:highlight w:val="none"/>
        </w:rPr>
        <w:t>[202</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73</w:t>
      </w:r>
      <w:r>
        <w:rPr>
          <w:rFonts w:hint="eastAsia" w:ascii="仿宋" w:hAnsi="仿宋" w:eastAsia="仿宋" w:cs="仿宋"/>
          <w:color w:val="auto"/>
          <w:sz w:val="28"/>
          <w:szCs w:val="28"/>
          <w:highlight w:val="none"/>
        </w:rPr>
        <w:t>号）</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湛财社</w:t>
      </w:r>
      <w:r>
        <w:rPr>
          <w:rFonts w:hint="eastAsia" w:ascii="仿宋" w:hAnsi="仿宋" w:eastAsia="仿宋" w:cs="仿宋"/>
          <w:color w:val="auto"/>
          <w:sz w:val="28"/>
          <w:szCs w:val="28"/>
          <w:highlight w:val="none"/>
        </w:rPr>
        <w:t>[202</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138</w:t>
      </w:r>
      <w:r>
        <w:rPr>
          <w:rFonts w:hint="eastAsia" w:ascii="仿宋" w:hAnsi="仿宋" w:eastAsia="仿宋" w:cs="仿宋"/>
          <w:color w:val="auto"/>
          <w:sz w:val="28"/>
          <w:szCs w:val="28"/>
          <w:highlight w:val="none"/>
        </w:rPr>
        <w:t>号</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w:t>
      </w:r>
    </w:p>
    <w:p w14:paraId="31488754">
      <w:pPr>
        <w:keepNext w:val="0"/>
        <w:keepLines w:val="0"/>
        <w:pageBreakBefore w:val="0"/>
        <w:numPr>
          <w:ilvl w:val="0"/>
          <w:numId w:val="0"/>
        </w:numPr>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2.资金到位情况</w:t>
      </w:r>
    </w:p>
    <w:p w14:paraId="2832ED52">
      <w:pPr>
        <w:keepNext w:val="0"/>
        <w:keepLines w:val="0"/>
        <w:pageBreakBefore w:val="0"/>
        <w:numPr>
          <w:ilvl w:val="0"/>
          <w:numId w:val="0"/>
        </w:numPr>
        <w:kinsoku/>
        <w:wordWrap/>
        <w:overflowPunct/>
        <w:topLinePunct w:val="0"/>
        <w:autoSpaceDE/>
        <w:autoSpaceDN/>
        <w:bidi w:val="0"/>
        <w:adjustRightInd/>
        <w:snapToGrid w:val="0"/>
        <w:spacing w:line="560" w:lineRule="exact"/>
        <w:ind w:leftChars="20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2022年计划安排资金2214万元,实际到位资金2214万元。</w:t>
      </w:r>
    </w:p>
    <w:p w14:paraId="36634194">
      <w:pPr>
        <w:keepNext w:val="0"/>
        <w:keepLines w:val="0"/>
        <w:pageBreakBefore w:val="0"/>
        <w:numPr>
          <w:ilvl w:val="0"/>
          <w:numId w:val="0"/>
        </w:numPr>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lang w:eastAsia="zh-CN"/>
        </w:rPr>
        <w:t>资金使用情况</w:t>
      </w:r>
    </w:p>
    <w:p w14:paraId="2CB0EDB0">
      <w:pPr>
        <w:keepNext w:val="0"/>
        <w:keepLines w:val="0"/>
        <w:pageBreakBefore w:val="0"/>
        <w:numPr>
          <w:ilvl w:val="0"/>
          <w:numId w:val="0"/>
        </w:numPr>
        <w:kinsoku/>
        <w:wordWrap/>
        <w:overflowPunct/>
        <w:topLinePunct w:val="0"/>
        <w:autoSpaceDE/>
        <w:autoSpaceDN/>
        <w:bidi w:val="0"/>
        <w:adjustRightInd/>
        <w:snapToGrid w:val="0"/>
        <w:spacing w:line="560" w:lineRule="exact"/>
        <w:ind w:leftChars="200" w:firstLine="560" w:firstLineChars="200"/>
        <w:jc w:val="both"/>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截至</w:t>
      </w:r>
      <w:bookmarkStart w:id="57" w:name="_GoBack"/>
      <w:bookmarkEnd w:id="57"/>
      <w:r>
        <w:rPr>
          <w:rFonts w:hint="eastAsia" w:ascii="仿宋" w:hAnsi="仿宋" w:eastAsia="仿宋" w:cs="仿宋"/>
          <w:color w:val="auto"/>
          <w:sz w:val="28"/>
          <w:szCs w:val="28"/>
          <w:highlight w:val="none"/>
          <w:lang w:eastAsia="zh-CN"/>
        </w:rPr>
        <w:t>评价基准日，实际已支付的202</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lang w:eastAsia="zh-CN"/>
        </w:rPr>
        <w:t>年财政资金共计</w:t>
      </w:r>
      <w:r>
        <w:rPr>
          <w:rFonts w:hint="eastAsia" w:ascii="仿宋" w:hAnsi="仿宋" w:eastAsia="仿宋" w:cs="仿宋"/>
          <w:color w:val="auto"/>
          <w:sz w:val="28"/>
          <w:szCs w:val="28"/>
          <w:highlight w:val="none"/>
          <w:lang w:val="en-US" w:eastAsia="zh-CN"/>
        </w:rPr>
        <w:t>2206</w:t>
      </w:r>
      <w:r>
        <w:rPr>
          <w:rFonts w:hint="eastAsia" w:ascii="仿宋" w:hAnsi="仿宋" w:eastAsia="仿宋" w:cs="仿宋"/>
          <w:color w:val="auto"/>
          <w:sz w:val="28"/>
          <w:szCs w:val="28"/>
          <w:highlight w:val="none"/>
          <w:lang w:eastAsia="zh-CN"/>
        </w:rPr>
        <w:t>万元，资金使用率</w:t>
      </w:r>
      <w:r>
        <w:rPr>
          <w:rFonts w:hint="eastAsia" w:ascii="仿宋" w:hAnsi="仿宋" w:eastAsia="仿宋" w:cs="仿宋"/>
          <w:color w:val="auto"/>
          <w:sz w:val="28"/>
          <w:szCs w:val="28"/>
          <w:highlight w:val="none"/>
          <w:lang w:val="en-US" w:eastAsia="zh-CN"/>
        </w:rPr>
        <w:t>99.64</w:t>
      </w:r>
      <w:r>
        <w:rPr>
          <w:rFonts w:hint="eastAsia" w:ascii="仿宋" w:hAnsi="仿宋" w:eastAsia="仿宋" w:cs="仿宋"/>
          <w:color w:val="auto"/>
          <w:sz w:val="28"/>
          <w:szCs w:val="28"/>
          <w:highlight w:val="none"/>
          <w:lang w:eastAsia="zh-CN"/>
        </w:rPr>
        <w:t>%，支付明细如下：</w:t>
      </w:r>
    </w:p>
    <w:p w14:paraId="1CD13813">
      <w:pPr>
        <w:keepNext w:val="0"/>
        <w:keepLines w:val="0"/>
        <w:pageBreakBefore w:val="0"/>
        <w:numPr>
          <w:ilvl w:val="0"/>
          <w:numId w:val="0"/>
        </w:numPr>
        <w:kinsoku/>
        <w:wordWrap/>
        <w:overflowPunct/>
        <w:topLinePunct w:val="0"/>
        <w:autoSpaceDE/>
        <w:autoSpaceDN/>
        <w:bidi w:val="0"/>
        <w:adjustRightInd/>
        <w:snapToGrid w:val="0"/>
        <w:spacing w:line="560" w:lineRule="exact"/>
        <w:ind w:leftChars="20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（1）社工人员经费1962万元。</w:t>
      </w:r>
    </w:p>
    <w:p w14:paraId="069D5FA5">
      <w:pPr>
        <w:keepNext w:val="0"/>
        <w:keepLines w:val="0"/>
        <w:pageBreakBefore w:val="0"/>
        <w:numPr>
          <w:ilvl w:val="0"/>
          <w:numId w:val="0"/>
        </w:numPr>
        <w:kinsoku/>
        <w:wordWrap/>
        <w:overflowPunct/>
        <w:topLinePunct w:val="0"/>
        <w:autoSpaceDE/>
        <w:autoSpaceDN/>
        <w:bidi w:val="0"/>
        <w:adjustRightInd/>
        <w:snapToGrid w:val="0"/>
        <w:spacing w:line="560" w:lineRule="exact"/>
        <w:ind w:leftChars="20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（2）34个社工站配套支出68万元。</w:t>
      </w:r>
    </w:p>
    <w:p w14:paraId="574D2030">
      <w:pPr>
        <w:keepNext w:val="0"/>
        <w:keepLines w:val="0"/>
        <w:pageBreakBefore w:val="0"/>
        <w:numPr>
          <w:ilvl w:val="0"/>
          <w:numId w:val="0"/>
        </w:numPr>
        <w:kinsoku/>
        <w:wordWrap/>
        <w:overflowPunct/>
        <w:topLinePunct w:val="0"/>
        <w:autoSpaceDE/>
        <w:autoSpaceDN/>
        <w:bidi w:val="0"/>
        <w:adjustRightInd/>
        <w:snapToGrid w:val="0"/>
        <w:spacing w:line="560" w:lineRule="exact"/>
        <w:ind w:leftChars="20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（3）招聘考务及培训164万元。</w:t>
      </w:r>
    </w:p>
    <w:p w14:paraId="378FB23F">
      <w:pPr>
        <w:keepNext w:val="0"/>
        <w:keepLines w:val="0"/>
        <w:pageBreakBefore w:val="0"/>
        <w:numPr>
          <w:ilvl w:val="0"/>
          <w:numId w:val="0"/>
        </w:numPr>
        <w:kinsoku/>
        <w:wordWrap/>
        <w:overflowPunct/>
        <w:topLinePunct w:val="0"/>
        <w:autoSpaceDE/>
        <w:autoSpaceDN/>
        <w:bidi w:val="0"/>
        <w:adjustRightInd/>
        <w:snapToGrid w:val="0"/>
        <w:spacing w:line="560" w:lineRule="exact"/>
        <w:ind w:leftChars="200" w:firstLine="560" w:firstLineChars="200"/>
        <w:jc w:val="both"/>
        <w:textAlignment w:val="auto"/>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（4）行政辅助人员经费12万元。</w:t>
      </w:r>
    </w:p>
    <w:p w14:paraId="397C2E69">
      <w:pPr>
        <w:keepNext w:val="0"/>
        <w:keepLines w:val="0"/>
        <w:pageBreakBefore w:val="0"/>
        <w:kinsoku/>
        <w:wordWrap/>
        <w:overflowPunct/>
        <w:topLinePunct w:val="0"/>
        <w:autoSpaceDE/>
        <w:autoSpaceDN/>
        <w:bidi w:val="0"/>
        <w:adjustRightInd/>
        <w:snapToGrid w:val="0"/>
        <w:spacing w:line="560" w:lineRule="exact"/>
        <w:ind w:firstLine="562" w:firstLineChars="200"/>
        <w:jc w:val="both"/>
        <w:textAlignment w:val="auto"/>
        <w:outlineLvl w:val="0"/>
        <w:rPr>
          <w:rFonts w:hint="eastAsia" w:ascii="仿宋" w:hAnsi="仿宋" w:eastAsia="仿宋" w:cs="仿宋"/>
          <w:b/>
          <w:bCs/>
          <w:color w:val="auto"/>
          <w:sz w:val="28"/>
          <w:szCs w:val="28"/>
          <w:highlight w:val="none"/>
          <w:lang w:val="en-US" w:eastAsia="zh-CN"/>
        </w:rPr>
      </w:pPr>
      <w:bookmarkStart w:id="35" w:name="_Toc15964"/>
      <w:r>
        <w:rPr>
          <w:rFonts w:hint="eastAsia" w:ascii="仿宋" w:hAnsi="仿宋" w:eastAsia="仿宋" w:cs="仿宋"/>
          <w:b/>
          <w:bCs/>
          <w:color w:val="auto"/>
          <w:sz w:val="28"/>
          <w:szCs w:val="28"/>
          <w:highlight w:val="none"/>
          <w:lang w:eastAsia="zh-CN"/>
        </w:rPr>
        <w:t>四、核查结论</w:t>
      </w:r>
      <w:bookmarkEnd w:id="23"/>
      <w:bookmarkEnd w:id="35"/>
    </w:p>
    <w:p w14:paraId="3CFE03AD">
      <w:pPr>
        <w:keepNext w:val="0"/>
        <w:keepLines w:val="0"/>
        <w:pageBreakBefore w:val="0"/>
        <w:kinsoku/>
        <w:wordWrap/>
        <w:overflowPunct/>
        <w:topLinePunct w:val="0"/>
        <w:autoSpaceDE/>
        <w:autoSpaceDN/>
        <w:bidi w:val="0"/>
        <w:adjustRightInd/>
        <w:snapToGrid w:val="0"/>
        <w:spacing w:line="560" w:lineRule="exact"/>
        <w:ind w:firstLine="560" w:firstLineChars="200"/>
        <w:jc w:val="both"/>
        <w:textAlignment w:val="auto"/>
        <w:rPr>
          <w:rFonts w:hint="eastAsia" w:ascii="仿宋" w:hAnsi="仿宋" w:eastAsia="仿宋" w:cs="仿宋"/>
          <w:color w:val="auto"/>
          <w:sz w:val="28"/>
          <w:szCs w:val="28"/>
          <w:highlight w:val="none"/>
          <w:lang w:val="en-US" w:eastAsia="zh-CN"/>
        </w:rPr>
      </w:pPr>
      <w:bookmarkStart w:id="36" w:name="_Toc3606"/>
      <w:r>
        <w:rPr>
          <w:rFonts w:hint="eastAsia" w:ascii="仿宋" w:hAnsi="仿宋" w:eastAsia="仿宋" w:cs="仿宋"/>
          <w:color w:val="auto"/>
          <w:sz w:val="28"/>
          <w:szCs w:val="28"/>
          <w:highlight w:val="none"/>
          <w:lang w:eastAsia="zh-CN"/>
        </w:rPr>
        <w:t>绩效评价结果设置为5个等级，分别为：优（90≤X≤100分）、良（80≤X＜90分）、中（70≤X＜80分）、低（60≤X＜70分）、差（0≤X＜60分）。</w:t>
      </w:r>
      <w:r>
        <w:rPr>
          <w:rFonts w:hint="eastAsia" w:ascii="仿宋" w:hAnsi="仿宋" w:eastAsia="仿宋" w:cs="仿宋"/>
          <w:color w:val="auto"/>
          <w:sz w:val="28"/>
          <w:szCs w:val="28"/>
          <w:highlight w:val="none"/>
          <w:lang w:val="en-US" w:eastAsia="zh-CN"/>
        </w:rPr>
        <w:t>详见</w:t>
      </w:r>
      <w:r>
        <w:rPr>
          <w:rFonts w:hint="eastAsia" w:ascii="仿宋" w:hAnsi="仿宋" w:eastAsia="仿宋" w:cs="仿宋"/>
          <w:color w:val="auto"/>
          <w:sz w:val="28"/>
          <w:szCs w:val="28"/>
          <w:highlight w:val="none"/>
          <w:lang w:eastAsia="zh-CN"/>
        </w:rPr>
        <w:t>表1：</w:t>
      </w:r>
    </w:p>
    <w:p w14:paraId="5D332A14">
      <w:pPr>
        <w:keepNext w:val="0"/>
        <w:keepLines w:val="0"/>
        <w:pageBreakBefore w:val="0"/>
        <w:kinsoku/>
        <w:wordWrap/>
        <w:overflowPunct/>
        <w:topLinePunct w:val="0"/>
        <w:autoSpaceDE/>
        <w:autoSpaceDN/>
        <w:bidi w:val="0"/>
        <w:adjustRightInd/>
        <w:snapToGrid w:val="0"/>
        <w:spacing w:line="560" w:lineRule="exact"/>
        <w:ind w:firstLine="562" w:firstLineChars="200"/>
        <w:jc w:val="center"/>
        <w:textAlignment w:val="auto"/>
        <w:rPr>
          <w:rFonts w:hint="eastAsia" w:ascii="仿宋" w:hAnsi="仿宋" w:eastAsia="仿宋" w:cs="仿宋"/>
          <w:b/>
          <w:bCs/>
          <w:color w:val="auto"/>
          <w:sz w:val="28"/>
          <w:szCs w:val="28"/>
          <w:highlight w:val="none"/>
          <w:lang w:val="zh-TW" w:eastAsia="zh-TW"/>
        </w:rPr>
      </w:pPr>
      <w:r>
        <w:rPr>
          <w:rFonts w:hint="eastAsia" w:ascii="仿宋" w:hAnsi="仿宋" w:eastAsia="仿宋" w:cs="仿宋"/>
          <w:b/>
          <w:bCs/>
          <w:color w:val="auto"/>
          <w:sz w:val="28"/>
          <w:szCs w:val="28"/>
          <w:highlight w:val="none"/>
          <w:lang w:val="zh-TW" w:eastAsia="zh-TW"/>
        </w:rPr>
        <w:t>表1 绩效评价结果等级划分标准</w:t>
      </w:r>
    </w:p>
    <w:tbl>
      <w:tblPr>
        <w:tblStyle w:val="7"/>
        <w:tblW w:w="4889" w:type="pct"/>
        <w:jc w:val="center"/>
        <w:tblLayout w:type="autofit"/>
        <w:tblCellMar>
          <w:top w:w="0" w:type="dxa"/>
          <w:left w:w="10" w:type="dxa"/>
          <w:bottom w:w="0" w:type="dxa"/>
          <w:right w:w="10" w:type="dxa"/>
        </w:tblCellMar>
      </w:tblPr>
      <w:tblGrid>
        <w:gridCol w:w="1074"/>
        <w:gridCol w:w="3859"/>
        <w:gridCol w:w="3402"/>
      </w:tblGrid>
      <w:tr w14:paraId="4C237F48">
        <w:tblPrEx>
          <w:tblCellMar>
            <w:top w:w="0" w:type="dxa"/>
            <w:left w:w="10" w:type="dxa"/>
            <w:bottom w:w="0" w:type="dxa"/>
            <w:right w:w="10" w:type="dxa"/>
          </w:tblCellMar>
        </w:tblPrEx>
        <w:trPr>
          <w:trHeight w:val="475" w:hRule="exact"/>
          <w:tblHeader/>
          <w:jc w:val="center"/>
        </w:trPr>
        <w:tc>
          <w:tcPr>
            <w:tcW w:w="644" w:type="pct"/>
            <w:tcBorders>
              <w:top w:val="single" w:color="auto" w:sz="4" w:space="0"/>
              <w:left w:val="single" w:color="auto" w:sz="4" w:space="0"/>
            </w:tcBorders>
            <w:shd w:val="clear" w:color="auto" w:fill="FFFFFF"/>
            <w:noWrap w:val="0"/>
            <w:vAlign w:val="top"/>
          </w:tcPr>
          <w:p w14:paraId="1CBACD0F">
            <w:pPr>
              <w:pStyle w:val="11"/>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b/>
                <w:bCs/>
                <w:color w:val="000000"/>
                <w:spacing w:val="0"/>
                <w:w w:val="100"/>
                <w:position w:val="0"/>
                <w:sz w:val="24"/>
                <w:szCs w:val="24"/>
                <w:highlight w:val="none"/>
                <w:lang w:val="en-US" w:eastAsia="zh-CN"/>
              </w:rPr>
            </w:pPr>
            <w:r>
              <w:rPr>
                <w:rFonts w:hint="eastAsia" w:ascii="仿宋" w:hAnsi="仿宋" w:eastAsia="仿宋" w:cs="仿宋"/>
                <w:b/>
                <w:bCs/>
                <w:color w:val="000000"/>
                <w:spacing w:val="0"/>
                <w:w w:val="100"/>
                <w:position w:val="0"/>
                <w:sz w:val="24"/>
                <w:szCs w:val="24"/>
                <w:highlight w:val="none"/>
                <w:lang w:val="en-US" w:eastAsia="zh-CN"/>
              </w:rPr>
              <w:t>序号</w:t>
            </w:r>
          </w:p>
        </w:tc>
        <w:tc>
          <w:tcPr>
            <w:tcW w:w="2315" w:type="pct"/>
            <w:tcBorders>
              <w:top w:val="single" w:color="auto" w:sz="4" w:space="0"/>
              <w:left w:val="single" w:color="auto" w:sz="4" w:space="0"/>
            </w:tcBorders>
            <w:shd w:val="clear" w:color="auto" w:fill="FFFFFF"/>
            <w:noWrap w:val="0"/>
            <w:vAlign w:val="top"/>
          </w:tcPr>
          <w:p w14:paraId="21BD9FF9">
            <w:pPr>
              <w:pStyle w:val="11"/>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b/>
                <w:bCs/>
                <w:color w:val="000000"/>
                <w:spacing w:val="0"/>
                <w:w w:val="100"/>
                <w:position w:val="0"/>
                <w:sz w:val="24"/>
                <w:szCs w:val="24"/>
                <w:highlight w:val="none"/>
                <w:lang w:val="en-US" w:eastAsia="zh-CN"/>
              </w:rPr>
            </w:pPr>
            <w:r>
              <w:rPr>
                <w:rFonts w:hint="eastAsia" w:ascii="仿宋" w:hAnsi="仿宋" w:eastAsia="仿宋" w:cs="仿宋"/>
                <w:b/>
                <w:bCs/>
                <w:color w:val="000000"/>
                <w:spacing w:val="0"/>
                <w:w w:val="100"/>
                <w:position w:val="0"/>
                <w:sz w:val="24"/>
                <w:szCs w:val="24"/>
                <w:highlight w:val="none"/>
                <w:lang w:val="en-US" w:eastAsia="zh-CN"/>
              </w:rPr>
              <w:t>绩效评价分值</w:t>
            </w:r>
          </w:p>
        </w:tc>
        <w:tc>
          <w:tcPr>
            <w:tcW w:w="2041" w:type="pct"/>
            <w:tcBorders>
              <w:top w:val="single" w:color="auto" w:sz="4" w:space="0"/>
              <w:left w:val="single" w:color="auto" w:sz="4" w:space="0"/>
              <w:right w:val="single" w:color="auto" w:sz="4" w:space="0"/>
            </w:tcBorders>
            <w:shd w:val="clear" w:color="auto" w:fill="FFFFFF"/>
            <w:noWrap w:val="0"/>
            <w:vAlign w:val="top"/>
          </w:tcPr>
          <w:p w14:paraId="35E4D017">
            <w:pPr>
              <w:pStyle w:val="11"/>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b/>
                <w:bCs/>
                <w:color w:val="000000"/>
                <w:spacing w:val="0"/>
                <w:w w:val="100"/>
                <w:position w:val="0"/>
                <w:sz w:val="24"/>
                <w:szCs w:val="24"/>
                <w:highlight w:val="none"/>
                <w:lang w:val="en-US" w:eastAsia="zh-CN"/>
              </w:rPr>
            </w:pPr>
            <w:r>
              <w:rPr>
                <w:rFonts w:hint="eastAsia" w:ascii="仿宋" w:hAnsi="仿宋" w:eastAsia="仿宋" w:cs="仿宋"/>
                <w:b/>
                <w:bCs/>
                <w:color w:val="000000"/>
                <w:spacing w:val="0"/>
                <w:w w:val="100"/>
                <w:position w:val="0"/>
                <w:sz w:val="24"/>
                <w:szCs w:val="24"/>
                <w:highlight w:val="none"/>
                <w:lang w:val="en-US" w:eastAsia="zh-CN"/>
              </w:rPr>
              <w:t>绩效评价结果等级</w:t>
            </w:r>
          </w:p>
        </w:tc>
      </w:tr>
      <w:tr w14:paraId="163A1F1E">
        <w:tblPrEx>
          <w:tblCellMar>
            <w:top w:w="0" w:type="dxa"/>
            <w:left w:w="10" w:type="dxa"/>
            <w:bottom w:w="0" w:type="dxa"/>
            <w:right w:w="10" w:type="dxa"/>
          </w:tblCellMar>
        </w:tblPrEx>
        <w:trPr>
          <w:trHeight w:val="461" w:hRule="exact"/>
          <w:jc w:val="center"/>
        </w:trPr>
        <w:tc>
          <w:tcPr>
            <w:tcW w:w="644" w:type="pct"/>
            <w:tcBorders>
              <w:top w:val="single" w:color="auto" w:sz="4" w:space="0"/>
              <w:left w:val="single" w:color="auto" w:sz="4" w:space="0"/>
            </w:tcBorders>
            <w:shd w:val="clear" w:color="auto" w:fill="FFFFFF"/>
            <w:noWrap w:val="0"/>
            <w:vAlign w:val="top"/>
          </w:tcPr>
          <w:p w14:paraId="40C0878D">
            <w:pPr>
              <w:pStyle w:val="11"/>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1</w:t>
            </w:r>
          </w:p>
        </w:tc>
        <w:tc>
          <w:tcPr>
            <w:tcW w:w="2315" w:type="pct"/>
            <w:tcBorders>
              <w:top w:val="single" w:color="auto" w:sz="4" w:space="0"/>
              <w:left w:val="single" w:color="auto" w:sz="4" w:space="0"/>
            </w:tcBorders>
            <w:shd w:val="clear" w:color="auto" w:fill="FFFFFF"/>
            <w:noWrap w:val="0"/>
            <w:vAlign w:val="top"/>
          </w:tcPr>
          <w:p w14:paraId="5CE73B30">
            <w:pPr>
              <w:pStyle w:val="11"/>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90≤X≤100分</w:t>
            </w:r>
          </w:p>
        </w:tc>
        <w:tc>
          <w:tcPr>
            <w:tcW w:w="2041" w:type="pct"/>
            <w:tcBorders>
              <w:top w:val="single" w:color="auto" w:sz="4" w:space="0"/>
              <w:left w:val="single" w:color="auto" w:sz="4" w:space="0"/>
              <w:right w:val="single" w:color="auto" w:sz="4" w:space="0"/>
            </w:tcBorders>
            <w:shd w:val="clear" w:color="auto" w:fill="FFFFFF"/>
            <w:noWrap w:val="0"/>
            <w:vAlign w:val="top"/>
          </w:tcPr>
          <w:p w14:paraId="1CD49BEB">
            <w:pPr>
              <w:pStyle w:val="11"/>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优</w:t>
            </w:r>
          </w:p>
        </w:tc>
      </w:tr>
      <w:tr w14:paraId="3D120B94">
        <w:tblPrEx>
          <w:tblCellMar>
            <w:top w:w="0" w:type="dxa"/>
            <w:left w:w="10" w:type="dxa"/>
            <w:bottom w:w="0" w:type="dxa"/>
            <w:right w:w="10" w:type="dxa"/>
          </w:tblCellMar>
        </w:tblPrEx>
        <w:trPr>
          <w:trHeight w:val="461" w:hRule="exact"/>
          <w:jc w:val="center"/>
        </w:trPr>
        <w:tc>
          <w:tcPr>
            <w:tcW w:w="644" w:type="pct"/>
            <w:tcBorders>
              <w:top w:val="single" w:color="auto" w:sz="4" w:space="0"/>
              <w:left w:val="single" w:color="auto" w:sz="4" w:space="0"/>
            </w:tcBorders>
            <w:shd w:val="clear" w:color="auto" w:fill="FFFFFF"/>
            <w:noWrap w:val="0"/>
            <w:vAlign w:val="top"/>
          </w:tcPr>
          <w:p w14:paraId="50F13AB6">
            <w:pPr>
              <w:pStyle w:val="11"/>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2</w:t>
            </w:r>
          </w:p>
        </w:tc>
        <w:tc>
          <w:tcPr>
            <w:tcW w:w="2315" w:type="pct"/>
            <w:tcBorders>
              <w:top w:val="single" w:color="auto" w:sz="4" w:space="0"/>
              <w:left w:val="single" w:color="auto" w:sz="4" w:space="0"/>
            </w:tcBorders>
            <w:shd w:val="clear" w:color="auto" w:fill="FFFFFF"/>
            <w:noWrap w:val="0"/>
            <w:vAlign w:val="top"/>
          </w:tcPr>
          <w:p w14:paraId="5612D7D4">
            <w:pPr>
              <w:pStyle w:val="11"/>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80≤X＜90分</w:t>
            </w:r>
          </w:p>
        </w:tc>
        <w:tc>
          <w:tcPr>
            <w:tcW w:w="2041" w:type="pct"/>
            <w:tcBorders>
              <w:top w:val="single" w:color="auto" w:sz="4" w:space="0"/>
              <w:left w:val="single" w:color="auto" w:sz="4" w:space="0"/>
              <w:right w:val="single" w:color="auto" w:sz="4" w:space="0"/>
            </w:tcBorders>
            <w:shd w:val="clear" w:color="auto" w:fill="FFFFFF"/>
            <w:noWrap w:val="0"/>
            <w:vAlign w:val="top"/>
          </w:tcPr>
          <w:p w14:paraId="4FB9D61C">
            <w:pPr>
              <w:pStyle w:val="11"/>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良</w:t>
            </w:r>
          </w:p>
        </w:tc>
      </w:tr>
      <w:tr w14:paraId="68161B27">
        <w:tblPrEx>
          <w:tblCellMar>
            <w:top w:w="0" w:type="dxa"/>
            <w:left w:w="10" w:type="dxa"/>
            <w:bottom w:w="0" w:type="dxa"/>
            <w:right w:w="10" w:type="dxa"/>
          </w:tblCellMar>
        </w:tblPrEx>
        <w:trPr>
          <w:trHeight w:val="461" w:hRule="exact"/>
          <w:jc w:val="center"/>
        </w:trPr>
        <w:tc>
          <w:tcPr>
            <w:tcW w:w="644" w:type="pct"/>
            <w:tcBorders>
              <w:top w:val="single" w:color="auto" w:sz="4" w:space="0"/>
              <w:left w:val="single" w:color="auto" w:sz="4" w:space="0"/>
            </w:tcBorders>
            <w:shd w:val="clear" w:color="auto" w:fill="FFFFFF"/>
            <w:noWrap w:val="0"/>
            <w:vAlign w:val="top"/>
          </w:tcPr>
          <w:p w14:paraId="15D3C790">
            <w:pPr>
              <w:pStyle w:val="11"/>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3</w:t>
            </w:r>
          </w:p>
        </w:tc>
        <w:tc>
          <w:tcPr>
            <w:tcW w:w="2315" w:type="pct"/>
            <w:tcBorders>
              <w:top w:val="single" w:color="auto" w:sz="4" w:space="0"/>
              <w:left w:val="single" w:color="auto" w:sz="4" w:space="0"/>
            </w:tcBorders>
            <w:shd w:val="clear" w:color="auto" w:fill="FFFFFF"/>
            <w:noWrap w:val="0"/>
            <w:vAlign w:val="top"/>
          </w:tcPr>
          <w:p w14:paraId="500321E3">
            <w:pPr>
              <w:pStyle w:val="11"/>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70≤X＜80分</w:t>
            </w:r>
          </w:p>
        </w:tc>
        <w:tc>
          <w:tcPr>
            <w:tcW w:w="2041" w:type="pct"/>
            <w:tcBorders>
              <w:top w:val="single" w:color="auto" w:sz="4" w:space="0"/>
              <w:left w:val="single" w:color="auto" w:sz="4" w:space="0"/>
              <w:right w:val="single" w:color="auto" w:sz="4" w:space="0"/>
            </w:tcBorders>
            <w:shd w:val="clear" w:color="auto" w:fill="FFFFFF"/>
            <w:noWrap w:val="0"/>
            <w:vAlign w:val="top"/>
          </w:tcPr>
          <w:p w14:paraId="27344463">
            <w:pPr>
              <w:pStyle w:val="11"/>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中</w:t>
            </w:r>
          </w:p>
        </w:tc>
      </w:tr>
      <w:tr w14:paraId="3CA10437">
        <w:tblPrEx>
          <w:tblCellMar>
            <w:top w:w="0" w:type="dxa"/>
            <w:left w:w="10" w:type="dxa"/>
            <w:bottom w:w="0" w:type="dxa"/>
            <w:right w:w="10" w:type="dxa"/>
          </w:tblCellMar>
        </w:tblPrEx>
        <w:trPr>
          <w:trHeight w:val="456" w:hRule="exact"/>
          <w:jc w:val="center"/>
        </w:trPr>
        <w:tc>
          <w:tcPr>
            <w:tcW w:w="644" w:type="pct"/>
            <w:tcBorders>
              <w:top w:val="single" w:color="auto" w:sz="4" w:space="0"/>
              <w:left w:val="single" w:color="auto" w:sz="4" w:space="0"/>
            </w:tcBorders>
            <w:shd w:val="clear" w:color="auto" w:fill="FFFFFF"/>
            <w:noWrap w:val="0"/>
            <w:vAlign w:val="top"/>
          </w:tcPr>
          <w:p w14:paraId="507A5888">
            <w:pPr>
              <w:pStyle w:val="11"/>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4</w:t>
            </w:r>
          </w:p>
        </w:tc>
        <w:tc>
          <w:tcPr>
            <w:tcW w:w="2315" w:type="pct"/>
            <w:tcBorders>
              <w:top w:val="single" w:color="auto" w:sz="4" w:space="0"/>
              <w:left w:val="single" w:color="auto" w:sz="4" w:space="0"/>
            </w:tcBorders>
            <w:shd w:val="clear" w:color="auto" w:fill="FFFFFF"/>
            <w:noWrap w:val="0"/>
            <w:vAlign w:val="top"/>
          </w:tcPr>
          <w:p w14:paraId="2808553C">
            <w:pPr>
              <w:pStyle w:val="11"/>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60≤X＜70分</w:t>
            </w:r>
          </w:p>
        </w:tc>
        <w:tc>
          <w:tcPr>
            <w:tcW w:w="2041" w:type="pct"/>
            <w:tcBorders>
              <w:top w:val="single" w:color="auto" w:sz="4" w:space="0"/>
              <w:left w:val="single" w:color="auto" w:sz="4" w:space="0"/>
              <w:right w:val="single" w:color="auto" w:sz="4" w:space="0"/>
            </w:tcBorders>
            <w:shd w:val="clear" w:color="auto" w:fill="FFFFFF"/>
            <w:noWrap w:val="0"/>
            <w:vAlign w:val="top"/>
          </w:tcPr>
          <w:p w14:paraId="1B018748">
            <w:pPr>
              <w:pStyle w:val="11"/>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低</w:t>
            </w:r>
          </w:p>
        </w:tc>
      </w:tr>
      <w:tr w14:paraId="629119C4">
        <w:tblPrEx>
          <w:tblCellMar>
            <w:top w:w="0" w:type="dxa"/>
            <w:left w:w="10" w:type="dxa"/>
            <w:bottom w:w="0" w:type="dxa"/>
            <w:right w:w="10" w:type="dxa"/>
          </w:tblCellMar>
        </w:tblPrEx>
        <w:trPr>
          <w:trHeight w:val="475" w:hRule="exact"/>
          <w:jc w:val="center"/>
        </w:trPr>
        <w:tc>
          <w:tcPr>
            <w:tcW w:w="644" w:type="pct"/>
            <w:tcBorders>
              <w:top w:val="single" w:color="auto" w:sz="4" w:space="0"/>
              <w:left w:val="single" w:color="auto" w:sz="4" w:space="0"/>
              <w:bottom w:val="single" w:color="auto" w:sz="4" w:space="0"/>
            </w:tcBorders>
            <w:shd w:val="clear" w:color="auto" w:fill="FFFFFF"/>
            <w:noWrap w:val="0"/>
            <w:vAlign w:val="top"/>
          </w:tcPr>
          <w:p w14:paraId="47E32C76">
            <w:pPr>
              <w:pStyle w:val="11"/>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5</w:t>
            </w:r>
          </w:p>
        </w:tc>
        <w:tc>
          <w:tcPr>
            <w:tcW w:w="2315" w:type="pct"/>
            <w:tcBorders>
              <w:top w:val="single" w:color="auto" w:sz="4" w:space="0"/>
              <w:left w:val="single" w:color="auto" w:sz="4" w:space="0"/>
              <w:bottom w:val="single" w:color="auto" w:sz="4" w:space="0"/>
            </w:tcBorders>
            <w:shd w:val="clear" w:color="auto" w:fill="FFFFFF"/>
            <w:noWrap w:val="0"/>
            <w:vAlign w:val="top"/>
          </w:tcPr>
          <w:p w14:paraId="7B5BB319">
            <w:pPr>
              <w:pStyle w:val="11"/>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0≤X＜60分</w:t>
            </w:r>
          </w:p>
        </w:tc>
        <w:tc>
          <w:tcPr>
            <w:tcW w:w="2041" w:type="pct"/>
            <w:tcBorders>
              <w:top w:val="single" w:color="auto" w:sz="4" w:space="0"/>
              <w:left w:val="single" w:color="auto" w:sz="4" w:space="0"/>
              <w:bottom w:val="single" w:color="auto" w:sz="4" w:space="0"/>
              <w:right w:val="single" w:color="auto" w:sz="4" w:space="0"/>
            </w:tcBorders>
            <w:shd w:val="clear" w:color="auto" w:fill="FFFFFF"/>
            <w:noWrap w:val="0"/>
            <w:vAlign w:val="top"/>
          </w:tcPr>
          <w:p w14:paraId="328E2D2D">
            <w:pPr>
              <w:pStyle w:val="11"/>
              <w:keepNext w:val="0"/>
              <w:keepLines w:val="0"/>
              <w:pageBreakBefore w:val="0"/>
              <w:widowControl w:val="0"/>
              <w:shd w:val="clear" w:color="auto" w:fill="auto"/>
              <w:kinsoku/>
              <w:wordWrap/>
              <w:overflowPunct/>
              <w:topLinePunct w:val="0"/>
              <w:autoSpaceDE/>
              <w:autoSpaceDN/>
              <w:bidi w:val="0"/>
              <w:adjustRightInd/>
              <w:spacing w:before="0" w:after="0" w:line="360" w:lineRule="auto"/>
              <w:ind w:left="0" w:right="0" w:firstLine="0"/>
              <w:jc w:val="center"/>
              <w:outlineLvl w:val="9"/>
              <w:rPr>
                <w:rFonts w:hint="eastAsia" w:ascii="仿宋" w:hAnsi="仿宋" w:eastAsia="仿宋" w:cs="仿宋"/>
                <w:color w:val="000000"/>
                <w:spacing w:val="0"/>
                <w:w w:val="100"/>
                <w:position w:val="0"/>
                <w:sz w:val="24"/>
                <w:szCs w:val="24"/>
                <w:highlight w:val="none"/>
                <w:lang w:val="en-US" w:eastAsia="zh-CN"/>
              </w:rPr>
            </w:pPr>
            <w:r>
              <w:rPr>
                <w:rFonts w:hint="eastAsia" w:ascii="仿宋" w:hAnsi="仿宋" w:eastAsia="仿宋" w:cs="仿宋"/>
                <w:color w:val="000000"/>
                <w:spacing w:val="0"/>
                <w:w w:val="100"/>
                <w:position w:val="0"/>
                <w:sz w:val="24"/>
                <w:szCs w:val="24"/>
                <w:highlight w:val="none"/>
                <w:lang w:val="en-US" w:eastAsia="zh-CN"/>
              </w:rPr>
              <w:t>差</w:t>
            </w:r>
          </w:p>
        </w:tc>
      </w:tr>
    </w:tbl>
    <w:p w14:paraId="6262B6AD">
      <w:pPr>
        <w:pStyle w:val="11"/>
        <w:keepNext w:val="0"/>
        <w:keepLines w:val="0"/>
        <w:pageBreakBefore w:val="0"/>
        <w:widowControl w:val="0"/>
        <w:shd w:val="clear" w:color="auto" w:fill="auto"/>
        <w:kinsoku/>
        <w:wordWrap/>
        <w:overflowPunct/>
        <w:topLinePunct w:val="0"/>
        <w:autoSpaceDE/>
        <w:autoSpaceDN/>
        <w:bidi w:val="0"/>
        <w:adjustRightInd/>
        <w:spacing w:before="0" w:after="0" w:line="560" w:lineRule="exact"/>
        <w:ind w:left="0" w:right="0" w:firstLine="0"/>
        <w:jc w:val="left"/>
        <w:outlineLvl w:val="9"/>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 xml:space="preserve">    依据既定的指标体系和评分标准，结合湛江市民政局提交的自评材料及核验的评价结果，2022年项目支出绩效核查得分为90.46分，等级为优。详见表2：</w:t>
      </w:r>
    </w:p>
    <w:p w14:paraId="53DC101C">
      <w:pPr>
        <w:keepNext w:val="0"/>
        <w:keepLines w:val="0"/>
        <w:pageBreakBefore w:val="0"/>
        <w:kinsoku/>
        <w:wordWrap/>
        <w:overflowPunct/>
        <w:topLinePunct w:val="0"/>
        <w:autoSpaceDE/>
        <w:autoSpaceDN/>
        <w:bidi w:val="0"/>
        <w:adjustRightInd/>
        <w:snapToGrid w:val="0"/>
        <w:spacing w:line="560" w:lineRule="exact"/>
        <w:ind w:firstLine="562" w:firstLineChars="200"/>
        <w:jc w:val="center"/>
        <w:textAlignment w:val="auto"/>
        <w:rPr>
          <w:rFonts w:hint="eastAsia" w:ascii="仿宋" w:hAnsi="仿宋" w:eastAsia="仿宋" w:cs="仿宋"/>
          <w:b/>
          <w:bCs/>
          <w:color w:val="auto"/>
          <w:sz w:val="28"/>
          <w:szCs w:val="28"/>
          <w:highlight w:val="none"/>
        </w:rPr>
      </w:pPr>
      <w:bookmarkStart w:id="37" w:name="_Toc4575"/>
      <w:bookmarkStart w:id="38" w:name="bookmark56"/>
      <w:bookmarkStart w:id="39" w:name="_Toc1778"/>
      <w:bookmarkStart w:id="40" w:name="bookmark54"/>
      <w:bookmarkStart w:id="41" w:name="bookmark55"/>
      <w:r>
        <w:rPr>
          <w:rFonts w:hint="eastAsia" w:ascii="仿宋" w:hAnsi="仿宋" w:eastAsia="仿宋" w:cs="仿宋"/>
          <w:b/>
          <w:bCs/>
          <w:color w:val="auto"/>
          <w:sz w:val="28"/>
          <w:szCs w:val="28"/>
          <w:highlight w:val="none"/>
          <w:lang w:val="en-US" w:eastAsia="zh-CN"/>
        </w:rPr>
        <w:t>表2 项目支出</w:t>
      </w:r>
      <w:r>
        <w:rPr>
          <w:rFonts w:hint="eastAsia" w:ascii="仿宋" w:hAnsi="仿宋" w:eastAsia="仿宋" w:cs="仿宋"/>
          <w:b/>
          <w:bCs/>
          <w:color w:val="auto"/>
          <w:sz w:val="28"/>
          <w:szCs w:val="28"/>
          <w:highlight w:val="none"/>
        </w:rPr>
        <w:t>绩效</w:t>
      </w:r>
      <w:r>
        <w:rPr>
          <w:rFonts w:hint="eastAsia" w:ascii="仿宋" w:hAnsi="仿宋" w:eastAsia="仿宋" w:cs="仿宋"/>
          <w:b/>
          <w:bCs/>
          <w:color w:val="auto"/>
          <w:sz w:val="28"/>
          <w:szCs w:val="28"/>
          <w:highlight w:val="none"/>
          <w:lang w:eastAsia="zh-CN"/>
        </w:rPr>
        <w:t>核查评分汇</w:t>
      </w:r>
      <w:r>
        <w:rPr>
          <w:rFonts w:hint="eastAsia" w:ascii="仿宋" w:hAnsi="仿宋" w:eastAsia="仿宋" w:cs="仿宋"/>
          <w:b/>
          <w:bCs/>
          <w:color w:val="auto"/>
          <w:sz w:val="28"/>
          <w:szCs w:val="28"/>
          <w:highlight w:val="none"/>
        </w:rPr>
        <w:t>总表</w:t>
      </w:r>
      <w:bookmarkEnd w:id="37"/>
      <w:bookmarkEnd w:id="38"/>
      <w:bookmarkEnd w:id="39"/>
      <w:bookmarkEnd w:id="40"/>
      <w:bookmarkEnd w:id="41"/>
    </w:p>
    <w:tbl>
      <w:tblPr>
        <w:tblStyle w:val="7"/>
        <w:tblW w:w="4997" w:type="pct"/>
        <w:jc w:val="center"/>
        <w:tblLayout w:type="autofit"/>
        <w:tblCellMar>
          <w:top w:w="0" w:type="dxa"/>
          <w:left w:w="10" w:type="dxa"/>
          <w:bottom w:w="0" w:type="dxa"/>
          <w:right w:w="10" w:type="dxa"/>
        </w:tblCellMar>
      </w:tblPr>
      <w:tblGrid>
        <w:gridCol w:w="2096"/>
        <w:gridCol w:w="2088"/>
        <w:gridCol w:w="2093"/>
        <w:gridCol w:w="2242"/>
      </w:tblGrid>
      <w:tr w14:paraId="66679F93">
        <w:tblPrEx>
          <w:tblCellMar>
            <w:top w:w="0" w:type="dxa"/>
            <w:left w:w="10" w:type="dxa"/>
            <w:bottom w:w="0" w:type="dxa"/>
            <w:right w:w="10" w:type="dxa"/>
          </w:tblCellMar>
        </w:tblPrEx>
        <w:trPr>
          <w:trHeight w:val="475" w:hRule="exact"/>
          <w:tblHeader/>
          <w:jc w:val="center"/>
        </w:trPr>
        <w:tc>
          <w:tcPr>
            <w:tcW w:w="2136" w:type="dxa"/>
            <w:tcBorders>
              <w:top w:val="single" w:color="auto" w:sz="4" w:space="0"/>
              <w:left w:val="single" w:color="auto" w:sz="4" w:space="0"/>
            </w:tcBorders>
            <w:shd w:val="clear" w:color="auto" w:fill="FFFFFF"/>
            <w:vAlign w:val="center"/>
          </w:tcPr>
          <w:p w14:paraId="610806F3">
            <w:pPr>
              <w:keepNext w:val="0"/>
              <w:keepLines w:val="0"/>
              <w:widowControl/>
              <w:suppressLineNumbers w:val="0"/>
              <w:jc w:val="center"/>
              <w:textAlignment w:val="center"/>
              <w:rPr>
                <w:rFonts w:hint="eastAsia" w:ascii="仿宋" w:hAnsi="仿宋" w:eastAsia="仿宋" w:cs="仿宋"/>
                <w:b/>
                <w:bCs/>
                <w:sz w:val="24"/>
                <w:szCs w:val="24"/>
                <w:highlight w:val="none"/>
              </w:rPr>
            </w:pPr>
            <w:r>
              <w:rPr>
                <w:rFonts w:hint="default" w:ascii="仿宋" w:hAnsi="仿宋" w:eastAsia="仿宋" w:cs="仿宋"/>
                <w:b/>
                <w:bCs/>
                <w:i w:val="0"/>
                <w:iCs w:val="0"/>
                <w:color w:val="000000"/>
                <w:kern w:val="0"/>
                <w:sz w:val="24"/>
                <w:szCs w:val="24"/>
                <w:u w:val="none"/>
                <w:lang w:val="en-US" w:eastAsia="zh-CN" w:bidi="ar"/>
              </w:rPr>
              <w:t>一级指标</w:t>
            </w:r>
          </w:p>
        </w:tc>
        <w:tc>
          <w:tcPr>
            <w:tcW w:w="2125" w:type="dxa"/>
            <w:tcBorders>
              <w:top w:val="single" w:color="auto" w:sz="4" w:space="0"/>
              <w:left w:val="single" w:color="auto" w:sz="4" w:space="0"/>
            </w:tcBorders>
            <w:shd w:val="clear" w:color="auto" w:fill="FFFFFF"/>
            <w:vAlign w:val="center"/>
          </w:tcPr>
          <w:p w14:paraId="5601ED9F">
            <w:pPr>
              <w:keepNext w:val="0"/>
              <w:keepLines w:val="0"/>
              <w:widowControl/>
              <w:suppressLineNumbers w:val="0"/>
              <w:jc w:val="center"/>
              <w:textAlignment w:val="center"/>
              <w:rPr>
                <w:rFonts w:hint="eastAsia" w:ascii="仿宋" w:hAnsi="仿宋" w:eastAsia="仿宋" w:cs="仿宋"/>
                <w:b/>
                <w:bCs/>
                <w:sz w:val="24"/>
                <w:szCs w:val="24"/>
                <w:highlight w:val="none"/>
              </w:rPr>
            </w:pPr>
            <w:r>
              <w:rPr>
                <w:rFonts w:hint="default" w:ascii="仿宋" w:hAnsi="仿宋" w:eastAsia="仿宋" w:cs="仿宋"/>
                <w:b/>
                <w:bCs/>
                <w:i w:val="0"/>
                <w:iCs w:val="0"/>
                <w:color w:val="000000"/>
                <w:kern w:val="0"/>
                <w:sz w:val="24"/>
                <w:szCs w:val="24"/>
                <w:u w:val="none"/>
                <w:lang w:val="en-US" w:eastAsia="zh-CN" w:bidi="ar"/>
              </w:rPr>
              <w:t>指标分值</w:t>
            </w:r>
          </w:p>
        </w:tc>
        <w:tc>
          <w:tcPr>
            <w:tcW w:w="2125" w:type="dxa"/>
            <w:tcBorders>
              <w:top w:val="single" w:color="auto" w:sz="4" w:space="0"/>
              <w:left w:val="single" w:color="auto" w:sz="4" w:space="0"/>
            </w:tcBorders>
            <w:shd w:val="clear" w:color="auto" w:fill="FFFFFF"/>
            <w:vAlign w:val="center"/>
          </w:tcPr>
          <w:p w14:paraId="5FD5ACFE">
            <w:pPr>
              <w:keepNext w:val="0"/>
              <w:keepLines w:val="0"/>
              <w:widowControl/>
              <w:suppressLineNumbers w:val="0"/>
              <w:jc w:val="center"/>
              <w:textAlignment w:val="center"/>
              <w:rPr>
                <w:rFonts w:hint="eastAsia" w:ascii="仿宋" w:hAnsi="仿宋" w:eastAsia="仿宋" w:cs="仿宋"/>
                <w:b/>
                <w:bCs/>
                <w:sz w:val="24"/>
                <w:szCs w:val="24"/>
                <w:highlight w:val="none"/>
              </w:rPr>
            </w:pPr>
            <w:r>
              <w:rPr>
                <w:rFonts w:hint="default" w:ascii="仿宋" w:hAnsi="仿宋" w:eastAsia="仿宋" w:cs="仿宋"/>
                <w:b/>
                <w:bCs/>
                <w:i w:val="0"/>
                <w:iCs w:val="0"/>
                <w:color w:val="000000"/>
                <w:kern w:val="0"/>
                <w:sz w:val="24"/>
                <w:szCs w:val="24"/>
                <w:u w:val="none"/>
                <w:lang w:val="en-US" w:eastAsia="zh-CN" w:bidi="ar"/>
              </w:rPr>
              <w:t>评价得分</w:t>
            </w:r>
          </w:p>
        </w:tc>
        <w:tc>
          <w:tcPr>
            <w:tcW w:w="2133" w:type="dxa"/>
            <w:tcBorders>
              <w:top w:val="single" w:color="auto" w:sz="4" w:space="0"/>
              <w:left w:val="single" w:color="auto" w:sz="4" w:space="0"/>
              <w:right w:val="single" w:color="auto" w:sz="4" w:space="0"/>
            </w:tcBorders>
            <w:shd w:val="clear" w:color="auto" w:fill="FFFFFF"/>
            <w:vAlign w:val="center"/>
          </w:tcPr>
          <w:p w14:paraId="30E3B8E1">
            <w:pPr>
              <w:keepNext w:val="0"/>
              <w:keepLines w:val="0"/>
              <w:widowControl/>
              <w:suppressLineNumbers w:val="0"/>
              <w:jc w:val="center"/>
              <w:textAlignment w:val="center"/>
              <w:rPr>
                <w:rFonts w:hint="eastAsia" w:ascii="仿宋" w:hAnsi="仿宋" w:eastAsia="仿宋" w:cs="仿宋"/>
                <w:b/>
                <w:bCs/>
                <w:sz w:val="24"/>
                <w:szCs w:val="24"/>
                <w:highlight w:val="none"/>
                <w:lang w:eastAsia="zh-CN"/>
              </w:rPr>
            </w:pPr>
            <w:r>
              <w:rPr>
                <w:rFonts w:hint="default" w:ascii="仿宋" w:hAnsi="仿宋" w:eastAsia="仿宋" w:cs="仿宋"/>
                <w:b/>
                <w:bCs/>
                <w:i w:val="0"/>
                <w:iCs w:val="0"/>
                <w:color w:val="000000"/>
                <w:kern w:val="0"/>
                <w:sz w:val="24"/>
                <w:szCs w:val="24"/>
                <w:u w:val="none"/>
                <w:lang w:val="en-US" w:eastAsia="zh-CN" w:bidi="ar"/>
              </w:rPr>
              <w:t>得分率</w:t>
            </w:r>
          </w:p>
        </w:tc>
      </w:tr>
      <w:tr w14:paraId="5409F968">
        <w:tblPrEx>
          <w:tblCellMar>
            <w:top w:w="0" w:type="dxa"/>
            <w:left w:w="10" w:type="dxa"/>
            <w:bottom w:w="0" w:type="dxa"/>
            <w:right w:w="10" w:type="dxa"/>
          </w:tblCellMar>
        </w:tblPrEx>
        <w:trPr>
          <w:trHeight w:val="461" w:hRule="exact"/>
          <w:jc w:val="center"/>
        </w:trPr>
        <w:tc>
          <w:tcPr>
            <w:tcW w:w="2136" w:type="dxa"/>
            <w:tcBorders>
              <w:top w:val="single" w:color="auto" w:sz="4" w:space="0"/>
              <w:left w:val="single" w:color="auto" w:sz="4" w:space="0"/>
            </w:tcBorders>
            <w:shd w:val="clear" w:color="auto" w:fill="FFFFFF"/>
            <w:vAlign w:val="center"/>
          </w:tcPr>
          <w:p w14:paraId="3CAA7A03">
            <w:pPr>
              <w:keepNext w:val="0"/>
              <w:keepLines w:val="0"/>
              <w:widowControl/>
              <w:suppressLineNumbers w:val="0"/>
              <w:jc w:val="center"/>
              <w:textAlignment w:val="center"/>
              <w:rPr>
                <w:rFonts w:hint="eastAsia" w:ascii="仿宋" w:hAnsi="仿宋" w:eastAsia="仿宋" w:cs="仿宋"/>
                <w:color w:val="000000"/>
                <w:spacing w:val="0"/>
                <w:w w:val="100"/>
                <w:position w:val="0"/>
                <w:sz w:val="24"/>
                <w:szCs w:val="24"/>
                <w:highlight w:val="none"/>
                <w:lang w:eastAsia="zh-CN"/>
              </w:rPr>
            </w:pPr>
            <w:r>
              <w:rPr>
                <w:rStyle w:val="12"/>
                <w:lang w:val="en-US" w:eastAsia="zh-CN" w:bidi="ar"/>
              </w:rPr>
              <w:t>决策</w:t>
            </w:r>
          </w:p>
        </w:tc>
        <w:tc>
          <w:tcPr>
            <w:tcW w:w="2125" w:type="dxa"/>
            <w:tcBorders>
              <w:top w:val="single" w:color="auto" w:sz="4" w:space="0"/>
              <w:left w:val="single" w:color="auto" w:sz="4" w:space="0"/>
            </w:tcBorders>
            <w:shd w:val="clear" w:color="auto" w:fill="FFFFFF"/>
            <w:vAlign w:val="center"/>
          </w:tcPr>
          <w:p w14:paraId="7BA1EA62">
            <w:pPr>
              <w:keepNext w:val="0"/>
              <w:keepLines w:val="0"/>
              <w:widowControl/>
              <w:suppressLineNumbers w:val="0"/>
              <w:jc w:val="center"/>
              <w:textAlignment w:val="center"/>
              <w:rPr>
                <w:rFonts w:hint="default" w:ascii="仿宋" w:hAnsi="仿宋" w:eastAsia="仿宋" w:cs="仿宋"/>
                <w:color w:val="000000"/>
                <w:spacing w:val="0"/>
                <w:w w:val="100"/>
                <w:position w:val="0"/>
                <w:sz w:val="24"/>
                <w:szCs w:val="24"/>
                <w:highlight w:val="none"/>
                <w:lang w:val="en-US" w:eastAsia="zh-CN"/>
              </w:rPr>
            </w:pPr>
            <w:r>
              <w:rPr>
                <w:rFonts w:hint="default" w:ascii="仿宋" w:hAnsi="仿宋" w:eastAsia="仿宋" w:cs="仿宋"/>
                <w:i w:val="0"/>
                <w:iCs w:val="0"/>
                <w:color w:val="000000"/>
                <w:kern w:val="0"/>
                <w:sz w:val="24"/>
                <w:szCs w:val="24"/>
                <w:u w:val="none"/>
                <w:lang w:val="en-US" w:eastAsia="zh-CN" w:bidi="ar"/>
              </w:rPr>
              <w:t>18</w:t>
            </w:r>
          </w:p>
        </w:tc>
        <w:tc>
          <w:tcPr>
            <w:tcW w:w="2125" w:type="dxa"/>
            <w:tcBorders>
              <w:top w:val="single" w:color="auto" w:sz="4" w:space="0"/>
              <w:left w:val="single" w:color="auto" w:sz="4" w:space="0"/>
            </w:tcBorders>
            <w:shd w:val="clear" w:color="auto" w:fill="FFFFFF"/>
            <w:vAlign w:val="center"/>
          </w:tcPr>
          <w:p w14:paraId="78C1F5D4">
            <w:pPr>
              <w:keepNext w:val="0"/>
              <w:keepLines w:val="0"/>
              <w:widowControl/>
              <w:suppressLineNumbers w:val="0"/>
              <w:jc w:val="center"/>
              <w:textAlignment w:val="center"/>
              <w:rPr>
                <w:rFonts w:hint="default" w:ascii="仿宋" w:hAnsi="仿宋" w:eastAsia="仿宋" w:cs="仿宋"/>
                <w:color w:val="000000"/>
                <w:spacing w:val="0"/>
                <w:w w:val="100"/>
                <w:position w:val="0"/>
                <w:sz w:val="24"/>
                <w:szCs w:val="24"/>
                <w:highlight w:val="none"/>
                <w:lang w:val="en-US" w:eastAsia="zh-CN"/>
              </w:rPr>
            </w:pPr>
            <w:r>
              <w:rPr>
                <w:rFonts w:hint="default" w:ascii="仿宋" w:hAnsi="仿宋" w:eastAsia="仿宋" w:cs="仿宋"/>
                <w:i w:val="0"/>
                <w:iCs w:val="0"/>
                <w:color w:val="000000"/>
                <w:kern w:val="0"/>
                <w:sz w:val="24"/>
                <w:szCs w:val="24"/>
                <w:u w:val="none"/>
                <w:lang w:val="en-US" w:eastAsia="zh-CN" w:bidi="ar"/>
              </w:rPr>
              <w:t>16.8</w:t>
            </w:r>
          </w:p>
        </w:tc>
        <w:tc>
          <w:tcPr>
            <w:tcW w:w="2274" w:type="dxa"/>
            <w:tcBorders>
              <w:top w:val="single" w:color="auto" w:sz="4" w:space="0"/>
              <w:left w:val="single" w:color="auto" w:sz="4" w:space="0"/>
              <w:right w:val="single" w:color="auto" w:sz="4" w:space="0"/>
            </w:tcBorders>
            <w:shd w:val="clear" w:color="auto" w:fill="FFFFFF"/>
            <w:vAlign w:val="center"/>
          </w:tcPr>
          <w:p w14:paraId="286D2B73">
            <w:pPr>
              <w:keepNext w:val="0"/>
              <w:keepLines w:val="0"/>
              <w:widowControl/>
              <w:suppressLineNumbers w:val="0"/>
              <w:jc w:val="center"/>
              <w:textAlignment w:val="center"/>
              <w:rPr>
                <w:rFonts w:hint="eastAsia" w:ascii="仿宋" w:hAnsi="仿宋" w:eastAsia="仿宋" w:cs="仿宋"/>
                <w:color w:val="000000"/>
                <w:spacing w:val="0"/>
                <w:w w:val="100"/>
                <w:position w:val="0"/>
                <w:sz w:val="24"/>
                <w:szCs w:val="24"/>
                <w:highlight w:val="none"/>
                <w:lang w:val="en-US" w:eastAsia="zh-CN"/>
              </w:rPr>
            </w:pPr>
            <w:r>
              <w:rPr>
                <w:rFonts w:hint="default" w:ascii="仿宋" w:hAnsi="仿宋" w:eastAsia="仿宋" w:cs="仿宋"/>
                <w:i w:val="0"/>
                <w:iCs w:val="0"/>
                <w:color w:val="000000"/>
                <w:kern w:val="0"/>
                <w:sz w:val="24"/>
                <w:szCs w:val="24"/>
                <w:u w:val="none"/>
                <w:lang w:val="en-US" w:eastAsia="zh-CN" w:bidi="ar"/>
              </w:rPr>
              <w:t>93.33%</w:t>
            </w:r>
          </w:p>
        </w:tc>
      </w:tr>
      <w:tr w14:paraId="18ECA191">
        <w:tblPrEx>
          <w:tblCellMar>
            <w:top w:w="0" w:type="dxa"/>
            <w:left w:w="10" w:type="dxa"/>
            <w:bottom w:w="0" w:type="dxa"/>
            <w:right w:w="10" w:type="dxa"/>
          </w:tblCellMar>
        </w:tblPrEx>
        <w:trPr>
          <w:trHeight w:val="461" w:hRule="exact"/>
          <w:jc w:val="center"/>
        </w:trPr>
        <w:tc>
          <w:tcPr>
            <w:tcW w:w="2136" w:type="dxa"/>
            <w:tcBorders>
              <w:top w:val="single" w:color="auto" w:sz="4" w:space="0"/>
              <w:left w:val="single" w:color="auto" w:sz="4" w:space="0"/>
            </w:tcBorders>
            <w:shd w:val="clear" w:color="auto" w:fill="FFFFFF"/>
            <w:vAlign w:val="center"/>
          </w:tcPr>
          <w:p w14:paraId="3C75C4B6">
            <w:pPr>
              <w:keepNext w:val="0"/>
              <w:keepLines w:val="0"/>
              <w:widowControl/>
              <w:suppressLineNumbers w:val="0"/>
              <w:jc w:val="center"/>
              <w:textAlignment w:val="center"/>
              <w:rPr>
                <w:rFonts w:hint="eastAsia" w:ascii="仿宋" w:hAnsi="仿宋" w:eastAsia="仿宋" w:cs="仿宋"/>
                <w:sz w:val="24"/>
                <w:szCs w:val="24"/>
                <w:highlight w:val="none"/>
                <w:lang w:eastAsia="zh-CN"/>
              </w:rPr>
            </w:pPr>
            <w:r>
              <w:rPr>
                <w:rStyle w:val="12"/>
                <w:lang w:val="en-US" w:eastAsia="zh-CN" w:bidi="ar"/>
              </w:rPr>
              <w:t>过程</w:t>
            </w:r>
          </w:p>
        </w:tc>
        <w:tc>
          <w:tcPr>
            <w:tcW w:w="2125" w:type="dxa"/>
            <w:tcBorders>
              <w:top w:val="single" w:color="auto" w:sz="4" w:space="0"/>
              <w:left w:val="single" w:color="auto" w:sz="4" w:space="0"/>
            </w:tcBorders>
            <w:shd w:val="clear" w:color="auto" w:fill="FFFFFF"/>
            <w:vAlign w:val="center"/>
          </w:tcPr>
          <w:p w14:paraId="7E7592CE">
            <w:pPr>
              <w:keepNext w:val="0"/>
              <w:keepLines w:val="0"/>
              <w:widowControl/>
              <w:suppressLineNumbers w:val="0"/>
              <w:jc w:val="center"/>
              <w:textAlignment w:val="center"/>
              <w:rPr>
                <w:rFonts w:hint="eastAsia" w:ascii="仿宋" w:hAnsi="仿宋" w:eastAsia="仿宋" w:cs="仿宋"/>
                <w:color w:val="000000"/>
                <w:spacing w:val="0"/>
                <w:w w:val="100"/>
                <w:position w:val="0"/>
                <w:sz w:val="24"/>
                <w:szCs w:val="24"/>
                <w:highlight w:val="none"/>
                <w:lang w:val="en-US" w:eastAsia="zh-CN"/>
              </w:rPr>
            </w:pPr>
            <w:r>
              <w:rPr>
                <w:rFonts w:hint="default" w:ascii="仿宋" w:hAnsi="仿宋" w:eastAsia="仿宋" w:cs="仿宋"/>
                <w:i w:val="0"/>
                <w:iCs w:val="0"/>
                <w:color w:val="000000"/>
                <w:kern w:val="0"/>
                <w:sz w:val="24"/>
                <w:szCs w:val="24"/>
                <w:u w:val="none"/>
                <w:lang w:val="en-US" w:eastAsia="zh-CN" w:bidi="ar"/>
              </w:rPr>
              <w:t>22</w:t>
            </w:r>
          </w:p>
        </w:tc>
        <w:tc>
          <w:tcPr>
            <w:tcW w:w="2125" w:type="dxa"/>
            <w:tcBorders>
              <w:top w:val="single" w:color="auto" w:sz="4" w:space="0"/>
              <w:left w:val="single" w:color="auto" w:sz="4" w:space="0"/>
            </w:tcBorders>
            <w:shd w:val="clear" w:color="auto" w:fill="FFFFFF"/>
            <w:vAlign w:val="center"/>
          </w:tcPr>
          <w:p w14:paraId="0CDF4FB8">
            <w:pPr>
              <w:keepNext w:val="0"/>
              <w:keepLines w:val="0"/>
              <w:widowControl/>
              <w:suppressLineNumbers w:val="0"/>
              <w:jc w:val="center"/>
              <w:textAlignment w:val="center"/>
              <w:rPr>
                <w:rFonts w:hint="default" w:ascii="仿宋" w:hAnsi="仿宋" w:eastAsia="仿宋" w:cs="仿宋"/>
                <w:sz w:val="24"/>
                <w:szCs w:val="24"/>
                <w:highlight w:val="none"/>
                <w:lang w:val="en-US" w:eastAsia="zh-CN"/>
              </w:rPr>
            </w:pPr>
            <w:r>
              <w:rPr>
                <w:rFonts w:hint="default" w:ascii="仿宋" w:hAnsi="仿宋" w:eastAsia="仿宋" w:cs="仿宋"/>
                <w:i w:val="0"/>
                <w:iCs w:val="0"/>
                <w:color w:val="000000"/>
                <w:kern w:val="0"/>
                <w:sz w:val="24"/>
                <w:szCs w:val="24"/>
                <w:u w:val="none"/>
                <w:lang w:val="en-US" w:eastAsia="zh-CN" w:bidi="ar"/>
              </w:rPr>
              <w:t>20.28</w:t>
            </w:r>
          </w:p>
        </w:tc>
        <w:tc>
          <w:tcPr>
            <w:tcW w:w="2274" w:type="dxa"/>
            <w:tcBorders>
              <w:top w:val="single" w:color="auto" w:sz="4" w:space="0"/>
              <w:left w:val="single" w:color="auto" w:sz="4" w:space="0"/>
              <w:right w:val="single" w:color="auto" w:sz="4" w:space="0"/>
            </w:tcBorders>
            <w:shd w:val="clear" w:color="auto" w:fill="FFFFFF"/>
            <w:vAlign w:val="center"/>
          </w:tcPr>
          <w:p w14:paraId="7C1AB464">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default" w:ascii="仿宋" w:hAnsi="仿宋" w:eastAsia="仿宋" w:cs="仿宋"/>
                <w:i w:val="0"/>
                <w:iCs w:val="0"/>
                <w:color w:val="000000"/>
                <w:kern w:val="0"/>
                <w:sz w:val="24"/>
                <w:szCs w:val="24"/>
                <w:u w:val="none"/>
                <w:lang w:val="en-US" w:eastAsia="zh-CN" w:bidi="ar"/>
              </w:rPr>
              <w:t>92.18%</w:t>
            </w:r>
          </w:p>
        </w:tc>
      </w:tr>
      <w:tr w14:paraId="73A56C80">
        <w:tblPrEx>
          <w:tblCellMar>
            <w:top w:w="0" w:type="dxa"/>
            <w:left w:w="10" w:type="dxa"/>
            <w:bottom w:w="0" w:type="dxa"/>
            <w:right w:w="10" w:type="dxa"/>
          </w:tblCellMar>
        </w:tblPrEx>
        <w:trPr>
          <w:trHeight w:val="456" w:hRule="exact"/>
          <w:jc w:val="center"/>
        </w:trPr>
        <w:tc>
          <w:tcPr>
            <w:tcW w:w="2136" w:type="dxa"/>
            <w:tcBorders>
              <w:top w:val="single" w:color="auto" w:sz="4" w:space="0"/>
              <w:left w:val="single" w:color="auto" w:sz="4" w:space="0"/>
            </w:tcBorders>
            <w:shd w:val="clear" w:color="auto" w:fill="FFFFFF"/>
            <w:vAlign w:val="center"/>
          </w:tcPr>
          <w:p w14:paraId="6502CFB8">
            <w:pPr>
              <w:keepNext w:val="0"/>
              <w:keepLines w:val="0"/>
              <w:widowControl/>
              <w:suppressLineNumbers w:val="0"/>
              <w:jc w:val="center"/>
              <w:textAlignment w:val="center"/>
              <w:rPr>
                <w:rFonts w:hint="eastAsia" w:ascii="仿宋" w:hAnsi="仿宋" w:eastAsia="仿宋" w:cs="仿宋"/>
                <w:sz w:val="24"/>
                <w:szCs w:val="24"/>
                <w:highlight w:val="none"/>
                <w:lang w:eastAsia="zh-CN"/>
              </w:rPr>
            </w:pPr>
            <w:r>
              <w:rPr>
                <w:rStyle w:val="13"/>
                <w:lang w:val="en-US" w:eastAsia="zh-CN" w:bidi="ar"/>
              </w:rPr>
              <w:t>产出</w:t>
            </w:r>
          </w:p>
        </w:tc>
        <w:tc>
          <w:tcPr>
            <w:tcW w:w="2125" w:type="dxa"/>
            <w:tcBorders>
              <w:top w:val="single" w:color="auto" w:sz="4" w:space="0"/>
              <w:left w:val="single" w:color="auto" w:sz="4" w:space="0"/>
            </w:tcBorders>
            <w:shd w:val="clear" w:color="auto" w:fill="FFFFFF"/>
            <w:vAlign w:val="center"/>
          </w:tcPr>
          <w:p w14:paraId="3777A0C8">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default" w:ascii="仿宋" w:hAnsi="仿宋" w:eastAsia="仿宋" w:cs="仿宋"/>
                <w:i w:val="0"/>
                <w:iCs w:val="0"/>
                <w:color w:val="000000"/>
                <w:kern w:val="0"/>
                <w:sz w:val="24"/>
                <w:szCs w:val="24"/>
                <w:u w:val="none"/>
                <w:lang w:val="en-US" w:eastAsia="zh-CN" w:bidi="ar"/>
              </w:rPr>
              <w:t>30</w:t>
            </w:r>
          </w:p>
        </w:tc>
        <w:tc>
          <w:tcPr>
            <w:tcW w:w="2125" w:type="dxa"/>
            <w:tcBorders>
              <w:top w:val="single" w:color="auto" w:sz="4" w:space="0"/>
              <w:left w:val="single" w:color="auto" w:sz="4" w:space="0"/>
            </w:tcBorders>
            <w:shd w:val="clear" w:color="auto" w:fill="FFFFFF"/>
            <w:vAlign w:val="center"/>
          </w:tcPr>
          <w:p w14:paraId="278F498A">
            <w:pPr>
              <w:keepNext w:val="0"/>
              <w:keepLines w:val="0"/>
              <w:widowControl/>
              <w:suppressLineNumbers w:val="0"/>
              <w:jc w:val="center"/>
              <w:textAlignment w:val="center"/>
              <w:rPr>
                <w:rFonts w:hint="default" w:ascii="仿宋" w:hAnsi="仿宋" w:eastAsia="仿宋" w:cs="仿宋"/>
                <w:sz w:val="24"/>
                <w:szCs w:val="24"/>
                <w:highlight w:val="none"/>
                <w:lang w:val="en-US" w:eastAsia="zh-CN"/>
              </w:rPr>
            </w:pPr>
            <w:r>
              <w:rPr>
                <w:rFonts w:hint="default" w:ascii="仿宋" w:hAnsi="仿宋" w:eastAsia="仿宋" w:cs="仿宋"/>
                <w:i w:val="0"/>
                <w:iCs w:val="0"/>
                <w:color w:val="000000"/>
                <w:kern w:val="0"/>
                <w:sz w:val="24"/>
                <w:szCs w:val="24"/>
                <w:u w:val="none"/>
                <w:lang w:val="en-US" w:eastAsia="zh-CN" w:bidi="ar"/>
              </w:rPr>
              <w:t>26.88</w:t>
            </w:r>
          </w:p>
        </w:tc>
        <w:tc>
          <w:tcPr>
            <w:tcW w:w="2274" w:type="dxa"/>
            <w:tcBorders>
              <w:top w:val="single" w:color="auto" w:sz="4" w:space="0"/>
              <w:left w:val="single" w:color="auto" w:sz="4" w:space="0"/>
              <w:right w:val="single" w:color="auto" w:sz="4" w:space="0"/>
            </w:tcBorders>
            <w:shd w:val="clear" w:color="auto" w:fill="FFFFFF"/>
            <w:vAlign w:val="center"/>
          </w:tcPr>
          <w:p w14:paraId="28781F4E">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default" w:ascii="仿宋" w:hAnsi="仿宋" w:eastAsia="仿宋" w:cs="仿宋"/>
                <w:i w:val="0"/>
                <w:iCs w:val="0"/>
                <w:color w:val="000000"/>
                <w:kern w:val="0"/>
                <w:sz w:val="24"/>
                <w:szCs w:val="24"/>
                <w:u w:val="none"/>
                <w:lang w:val="en-US" w:eastAsia="zh-CN" w:bidi="ar"/>
              </w:rPr>
              <w:t>89.60%</w:t>
            </w:r>
          </w:p>
        </w:tc>
      </w:tr>
      <w:tr w14:paraId="49F80762">
        <w:tblPrEx>
          <w:tblCellMar>
            <w:top w:w="0" w:type="dxa"/>
            <w:left w:w="10" w:type="dxa"/>
            <w:bottom w:w="0" w:type="dxa"/>
            <w:right w:w="10" w:type="dxa"/>
          </w:tblCellMar>
        </w:tblPrEx>
        <w:trPr>
          <w:trHeight w:val="475" w:hRule="exact"/>
          <w:jc w:val="center"/>
        </w:trPr>
        <w:tc>
          <w:tcPr>
            <w:tcW w:w="2136" w:type="dxa"/>
            <w:tcBorders>
              <w:top w:val="single" w:color="auto" w:sz="4" w:space="0"/>
              <w:left w:val="single" w:color="auto" w:sz="4" w:space="0"/>
              <w:bottom w:val="single" w:color="auto" w:sz="4" w:space="0"/>
            </w:tcBorders>
            <w:shd w:val="clear" w:color="auto" w:fill="FFFFFF"/>
            <w:vAlign w:val="center"/>
          </w:tcPr>
          <w:p w14:paraId="33DA2E19">
            <w:pPr>
              <w:keepNext w:val="0"/>
              <w:keepLines w:val="0"/>
              <w:widowControl/>
              <w:suppressLineNumbers w:val="0"/>
              <w:jc w:val="center"/>
              <w:textAlignment w:val="center"/>
              <w:rPr>
                <w:rFonts w:hint="eastAsia" w:ascii="仿宋" w:hAnsi="仿宋" w:eastAsia="仿宋" w:cs="仿宋"/>
                <w:sz w:val="24"/>
                <w:szCs w:val="24"/>
                <w:highlight w:val="none"/>
                <w:lang w:eastAsia="zh-CN"/>
              </w:rPr>
            </w:pPr>
            <w:r>
              <w:rPr>
                <w:rStyle w:val="13"/>
                <w:lang w:val="en-US" w:eastAsia="zh-CN" w:bidi="ar"/>
              </w:rPr>
              <w:t>效益</w:t>
            </w:r>
          </w:p>
        </w:tc>
        <w:tc>
          <w:tcPr>
            <w:tcW w:w="2125" w:type="dxa"/>
            <w:tcBorders>
              <w:top w:val="single" w:color="auto" w:sz="4" w:space="0"/>
              <w:left w:val="single" w:color="auto" w:sz="4" w:space="0"/>
              <w:bottom w:val="single" w:color="auto" w:sz="4" w:space="0"/>
            </w:tcBorders>
            <w:shd w:val="clear" w:color="auto" w:fill="FFFFFF"/>
            <w:vAlign w:val="center"/>
          </w:tcPr>
          <w:p w14:paraId="3E5A2052">
            <w:pPr>
              <w:keepNext w:val="0"/>
              <w:keepLines w:val="0"/>
              <w:widowControl/>
              <w:suppressLineNumbers w:val="0"/>
              <w:jc w:val="center"/>
              <w:textAlignment w:val="center"/>
              <w:rPr>
                <w:rFonts w:hint="eastAsia" w:ascii="仿宋" w:hAnsi="仿宋" w:eastAsia="仿宋" w:cs="仿宋"/>
                <w:sz w:val="24"/>
                <w:szCs w:val="24"/>
                <w:highlight w:val="none"/>
                <w:lang w:val="en-US" w:eastAsia="zh-CN"/>
              </w:rPr>
            </w:pPr>
            <w:r>
              <w:rPr>
                <w:rFonts w:hint="default" w:ascii="仿宋" w:hAnsi="仿宋" w:eastAsia="仿宋" w:cs="仿宋"/>
                <w:i w:val="0"/>
                <w:iCs w:val="0"/>
                <w:color w:val="000000"/>
                <w:kern w:val="0"/>
                <w:sz w:val="24"/>
                <w:szCs w:val="24"/>
                <w:u w:val="none"/>
                <w:lang w:val="en-US" w:eastAsia="zh-CN" w:bidi="ar"/>
              </w:rPr>
              <w:t>30</w:t>
            </w:r>
          </w:p>
        </w:tc>
        <w:tc>
          <w:tcPr>
            <w:tcW w:w="2125" w:type="dxa"/>
            <w:tcBorders>
              <w:top w:val="single" w:color="auto" w:sz="4" w:space="0"/>
              <w:left w:val="single" w:color="auto" w:sz="4" w:space="0"/>
              <w:bottom w:val="single" w:color="auto" w:sz="4" w:space="0"/>
            </w:tcBorders>
            <w:shd w:val="clear" w:color="auto" w:fill="FFFFFF"/>
            <w:vAlign w:val="center"/>
          </w:tcPr>
          <w:p w14:paraId="2B421758">
            <w:pPr>
              <w:keepNext w:val="0"/>
              <w:keepLines w:val="0"/>
              <w:widowControl/>
              <w:suppressLineNumbers w:val="0"/>
              <w:jc w:val="center"/>
              <w:textAlignment w:val="center"/>
              <w:rPr>
                <w:rFonts w:hint="default" w:ascii="仿宋" w:hAnsi="仿宋" w:eastAsia="仿宋" w:cs="仿宋"/>
                <w:sz w:val="24"/>
                <w:szCs w:val="24"/>
                <w:highlight w:val="none"/>
                <w:lang w:val="en-US" w:eastAsia="zh-CN"/>
              </w:rPr>
            </w:pPr>
            <w:r>
              <w:rPr>
                <w:rFonts w:hint="default" w:ascii="仿宋" w:hAnsi="仿宋" w:eastAsia="仿宋" w:cs="仿宋"/>
                <w:i w:val="0"/>
                <w:iCs w:val="0"/>
                <w:color w:val="000000"/>
                <w:kern w:val="0"/>
                <w:sz w:val="24"/>
                <w:szCs w:val="24"/>
                <w:u w:val="none"/>
                <w:lang w:val="en-US" w:eastAsia="zh-CN" w:bidi="ar"/>
              </w:rPr>
              <w:t>26.5</w:t>
            </w:r>
          </w:p>
        </w:tc>
        <w:tc>
          <w:tcPr>
            <w:tcW w:w="2274" w:type="dxa"/>
            <w:tcBorders>
              <w:top w:val="single" w:color="auto" w:sz="4" w:space="0"/>
              <w:left w:val="single" w:color="auto" w:sz="4" w:space="0"/>
              <w:bottom w:val="single" w:color="auto" w:sz="4" w:space="0"/>
              <w:right w:val="single" w:color="auto" w:sz="4" w:space="0"/>
            </w:tcBorders>
            <w:shd w:val="clear" w:color="auto" w:fill="FFFFFF"/>
            <w:vAlign w:val="center"/>
          </w:tcPr>
          <w:p w14:paraId="7F3F2D56">
            <w:pPr>
              <w:keepNext w:val="0"/>
              <w:keepLines w:val="0"/>
              <w:widowControl/>
              <w:suppressLineNumbers w:val="0"/>
              <w:jc w:val="center"/>
              <w:textAlignment w:val="center"/>
              <w:rPr>
                <w:rFonts w:hint="eastAsia" w:ascii="仿宋" w:hAnsi="仿宋" w:eastAsia="仿宋" w:cs="仿宋"/>
                <w:b/>
                <w:bCs/>
                <w:sz w:val="24"/>
                <w:szCs w:val="24"/>
                <w:highlight w:val="none"/>
                <w:lang w:val="en-US" w:eastAsia="zh-CN"/>
              </w:rPr>
            </w:pPr>
            <w:r>
              <w:rPr>
                <w:rFonts w:hint="default" w:ascii="仿宋" w:hAnsi="仿宋" w:eastAsia="仿宋" w:cs="仿宋"/>
                <w:i w:val="0"/>
                <w:iCs w:val="0"/>
                <w:color w:val="000000"/>
                <w:kern w:val="0"/>
                <w:sz w:val="24"/>
                <w:szCs w:val="24"/>
                <w:u w:val="none"/>
                <w:lang w:val="en-US" w:eastAsia="zh-CN" w:bidi="ar"/>
              </w:rPr>
              <w:t>88.33%</w:t>
            </w:r>
          </w:p>
        </w:tc>
      </w:tr>
      <w:tr w14:paraId="5987FE25">
        <w:tblPrEx>
          <w:tblCellMar>
            <w:top w:w="0" w:type="dxa"/>
            <w:left w:w="10" w:type="dxa"/>
            <w:bottom w:w="0" w:type="dxa"/>
            <w:right w:w="10" w:type="dxa"/>
          </w:tblCellMar>
        </w:tblPrEx>
        <w:trPr>
          <w:trHeight w:val="475" w:hRule="exact"/>
          <w:jc w:val="center"/>
        </w:trPr>
        <w:tc>
          <w:tcPr>
            <w:tcW w:w="2136" w:type="dxa"/>
            <w:tcBorders>
              <w:top w:val="single" w:color="auto" w:sz="4" w:space="0"/>
              <w:left w:val="single" w:color="auto" w:sz="4" w:space="0"/>
              <w:bottom w:val="single" w:color="auto" w:sz="4" w:space="0"/>
            </w:tcBorders>
            <w:shd w:val="clear" w:color="auto" w:fill="FFFFFF"/>
            <w:vAlign w:val="center"/>
          </w:tcPr>
          <w:p w14:paraId="378F69F6">
            <w:pPr>
              <w:keepNext w:val="0"/>
              <w:keepLines w:val="0"/>
              <w:widowControl/>
              <w:suppressLineNumbers w:val="0"/>
              <w:jc w:val="center"/>
              <w:textAlignment w:val="center"/>
              <w:rPr>
                <w:rFonts w:hint="eastAsia" w:ascii="仿宋" w:hAnsi="仿宋" w:eastAsia="仿宋" w:cs="仿宋"/>
                <w:b/>
                <w:bCs/>
                <w:color w:val="000000"/>
                <w:spacing w:val="0"/>
                <w:w w:val="100"/>
                <w:position w:val="0"/>
                <w:sz w:val="24"/>
                <w:szCs w:val="24"/>
                <w:highlight w:val="none"/>
              </w:rPr>
            </w:pPr>
            <w:r>
              <w:rPr>
                <w:rFonts w:hint="default" w:ascii="仿宋" w:hAnsi="仿宋" w:eastAsia="仿宋" w:cs="仿宋"/>
                <w:b/>
                <w:bCs/>
                <w:i w:val="0"/>
                <w:iCs w:val="0"/>
                <w:color w:val="000000"/>
                <w:kern w:val="0"/>
                <w:sz w:val="24"/>
                <w:szCs w:val="24"/>
                <w:u w:val="none"/>
                <w:lang w:val="en-US" w:eastAsia="zh-CN" w:bidi="ar"/>
              </w:rPr>
              <w:t>评价总得分</w:t>
            </w:r>
          </w:p>
        </w:tc>
        <w:tc>
          <w:tcPr>
            <w:tcW w:w="2125" w:type="dxa"/>
            <w:tcBorders>
              <w:top w:val="single" w:color="auto" w:sz="4" w:space="0"/>
              <w:left w:val="single" w:color="auto" w:sz="4" w:space="0"/>
              <w:bottom w:val="single" w:color="auto" w:sz="4" w:space="0"/>
            </w:tcBorders>
            <w:shd w:val="clear" w:color="auto" w:fill="FFFFFF"/>
            <w:vAlign w:val="center"/>
          </w:tcPr>
          <w:p w14:paraId="1CB30C16">
            <w:pPr>
              <w:keepNext w:val="0"/>
              <w:keepLines w:val="0"/>
              <w:widowControl/>
              <w:suppressLineNumbers w:val="0"/>
              <w:jc w:val="center"/>
              <w:textAlignment w:val="center"/>
              <w:rPr>
                <w:rFonts w:hint="eastAsia" w:ascii="仿宋" w:hAnsi="仿宋" w:eastAsia="仿宋" w:cs="仿宋"/>
                <w:b/>
                <w:bCs/>
                <w:color w:val="000000"/>
                <w:spacing w:val="0"/>
                <w:w w:val="100"/>
                <w:position w:val="0"/>
                <w:sz w:val="24"/>
                <w:szCs w:val="24"/>
                <w:highlight w:val="none"/>
              </w:rPr>
            </w:pPr>
            <w:r>
              <w:rPr>
                <w:rFonts w:hint="default" w:ascii="仿宋" w:hAnsi="仿宋" w:eastAsia="仿宋" w:cs="仿宋"/>
                <w:b/>
                <w:bCs/>
                <w:i w:val="0"/>
                <w:iCs w:val="0"/>
                <w:color w:val="000000"/>
                <w:kern w:val="0"/>
                <w:sz w:val="24"/>
                <w:szCs w:val="24"/>
                <w:u w:val="none"/>
                <w:lang w:val="en-US" w:eastAsia="zh-CN" w:bidi="ar"/>
              </w:rPr>
              <w:t>100</w:t>
            </w:r>
          </w:p>
        </w:tc>
        <w:tc>
          <w:tcPr>
            <w:tcW w:w="2125" w:type="dxa"/>
            <w:tcBorders>
              <w:top w:val="single" w:color="auto" w:sz="4" w:space="0"/>
              <w:left w:val="single" w:color="auto" w:sz="4" w:space="0"/>
              <w:bottom w:val="single" w:color="auto" w:sz="4" w:space="0"/>
            </w:tcBorders>
            <w:shd w:val="clear" w:color="auto" w:fill="FFFFFF"/>
            <w:vAlign w:val="center"/>
          </w:tcPr>
          <w:p w14:paraId="05F6DC45">
            <w:pPr>
              <w:keepNext w:val="0"/>
              <w:keepLines w:val="0"/>
              <w:widowControl/>
              <w:suppressLineNumbers w:val="0"/>
              <w:jc w:val="center"/>
              <w:textAlignment w:val="center"/>
              <w:rPr>
                <w:rFonts w:hint="default" w:ascii="仿宋" w:hAnsi="仿宋" w:eastAsia="仿宋" w:cs="仿宋"/>
                <w:b/>
                <w:bCs/>
                <w:sz w:val="24"/>
                <w:szCs w:val="24"/>
                <w:highlight w:val="none"/>
                <w:lang w:val="en-US" w:eastAsia="zh-CN"/>
              </w:rPr>
            </w:pPr>
            <w:r>
              <w:rPr>
                <w:rFonts w:hint="default" w:ascii="仿宋" w:hAnsi="仿宋" w:eastAsia="仿宋" w:cs="仿宋"/>
                <w:b/>
                <w:bCs/>
                <w:i w:val="0"/>
                <w:iCs w:val="0"/>
                <w:color w:val="000000"/>
                <w:kern w:val="0"/>
                <w:sz w:val="24"/>
                <w:szCs w:val="24"/>
                <w:u w:val="none"/>
                <w:lang w:val="en-US" w:eastAsia="zh-CN" w:bidi="ar"/>
              </w:rPr>
              <w:t>90.46</w:t>
            </w:r>
          </w:p>
        </w:tc>
        <w:tc>
          <w:tcPr>
            <w:tcW w:w="2274" w:type="dxa"/>
            <w:tcBorders>
              <w:top w:val="single" w:color="auto" w:sz="4" w:space="0"/>
              <w:left w:val="single" w:color="auto" w:sz="4" w:space="0"/>
              <w:bottom w:val="single" w:color="auto" w:sz="4" w:space="0"/>
              <w:right w:val="single" w:color="auto" w:sz="4" w:space="0"/>
            </w:tcBorders>
            <w:shd w:val="clear" w:color="auto" w:fill="FFFFFF"/>
            <w:vAlign w:val="center"/>
          </w:tcPr>
          <w:p w14:paraId="5AA7F805">
            <w:pPr>
              <w:keepNext w:val="0"/>
              <w:keepLines w:val="0"/>
              <w:widowControl/>
              <w:suppressLineNumbers w:val="0"/>
              <w:jc w:val="center"/>
              <w:textAlignment w:val="center"/>
              <w:rPr>
                <w:rFonts w:hint="eastAsia" w:ascii="仿宋" w:hAnsi="仿宋" w:eastAsia="仿宋" w:cs="仿宋"/>
                <w:b/>
                <w:bCs/>
                <w:sz w:val="24"/>
                <w:szCs w:val="24"/>
                <w:highlight w:val="none"/>
                <w:lang w:val="en-US" w:eastAsia="zh-CN"/>
              </w:rPr>
            </w:pPr>
            <w:r>
              <w:rPr>
                <w:rFonts w:hint="default" w:ascii="仿宋" w:hAnsi="仿宋" w:eastAsia="仿宋" w:cs="仿宋"/>
                <w:b/>
                <w:bCs/>
                <w:i w:val="0"/>
                <w:iCs w:val="0"/>
                <w:color w:val="000000"/>
                <w:kern w:val="0"/>
                <w:sz w:val="24"/>
                <w:szCs w:val="24"/>
                <w:u w:val="none"/>
                <w:lang w:val="en-US" w:eastAsia="zh-CN" w:bidi="ar"/>
              </w:rPr>
              <w:t>90.46%</w:t>
            </w:r>
          </w:p>
        </w:tc>
      </w:tr>
      <w:bookmarkEnd w:id="36"/>
    </w:tbl>
    <w:p w14:paraId="677AB327">
      <w:pPr>
        <w:pStyle w:val="6"/>
        <w:keepNext w:val="0"/>
        <w:keepLines w:val="0"/>
        <w:pageBreakBefore w:val="0"/>
        <w:numPr>
          <w:ilvl w:val="0"/>
          <w:numId w:val="0"/>
        </w:numPr>
        <w:kinsoku/>
        <w:wordWrap/>
        <w:overflowPunct/>
        <w:topLinePunct w:val="0"/>
        <w:autoSpaceDE/>
        <w:autoSpaceDN/>
        <w:bidi w:val="0"/>
        <w:adjustRightInd/>
        <w:spacing w:before="0" w:beforeAutospacing="0" w:after="0" w:afterAutospacing="0" w:line="560" w:lineRule="exact"/>
        <w:ind w:right="45" w:rightChars="0" w:firstLine="562" w:firstLineChars="200"/>
        <w:contextualSpacing/>
        <w:jc w:val="both"/>
        <w:textAlignment w:val="auto"/>
        <w:outlineLvl w:val="0"/>
        <w:rPr>
          <w:rFonts w:hint="eastAsia" w:ascii="仿宋" w:hAnsi="仿宋" w:eastAsia="仿宋" w:cs="仿宋"/>
          <w:b/>
          <w:color w:val="auto"/>
          <w:kern w:val="2"/>
          <w:sz w:val="28"/>
          <w:szCs w:val="28"/>
          <w:highlight w:val="none"/>
        </w:rPr>
      </w:pPr>
      <w:bookmarkStart w:id="42" w:name="_Toc9575"/>
      <w:bookmarkStart w:id="43" w:name="_Toc3612"/>
      <w:bookmarkStart w:id="44" w:name="_Toc13877"/>
      <w:r>
        <w:rPr>
          <w:rFonts w:hint="eastAsia" w:ascii="仿宋" w:hAnsi="仿宋" w:eastAsia="仿宋" w:cs="仿宋"/>
          <w:b/>
          <w:color w:val="auto"/>
          <w:kern w:val="2"/>
          <w:sz w:val="28"/>
          <w:szCs w:val="28"/>
          <w:highlight w:val="none"/>
          <w:lang w:eastAsia="zh-CN"/>
        </w:rPr>
        <w:t>五、</w:t>
      </w:r>
      <w:r>
        <w:rPr>
          <w:rFonts w:hint="eastAsia" w:ascii="仿宋" w:hAnsi="仿宋" w:eastAsia="仿宋" w:cs="仿宋"/>
          <w:b/>
          <w:color w:val="auto"/>
          <w:kern w:val="2"/>
          <w:sz w:val="28"/>
          <w:szCs w:val="28"/>
          <w:highlight w:val="none"/>
        </w:rPr>
        <w:t>存在问题</w:t>
      </w:r>
      <w:bookmarkEnd w:id="42"/>
      <w:r>
        <w:rPr>
          <w:rFonts w:hint="eastAsia" w:ascii="仿宋" w:hAnsi="仿宋" w:eastAsia="仿宋" w:cs="仿宋"/>
          <w:b/>
          <w:color w:val="auto"/>
          <w:kern w:val="2"/>
          <w:sz w:val="28"/>
          <w:szCs w:val="28"/>
          <w:highlight w:val="none"/>
          <w:lang w:eastAsia="zh-CN"/>
        </w:rPr>
        <w:t>及相关建议</w:t>
      </w:r>
      <w:bookmarkEnd w:id="43"/>
      <w:bookmarkEnd w:id="44"/>
      <w:bookmarkStart w:id="45" w:name="一"/>
      <w:bookmarkEnd w:id="45"/>
    </w:p>
    <w:p w14:paraId="1248E91F">
      <w:pPr>
        <w:pStyle w:val="6"/>
        <w:keepNext w:val="0"/>
        <w:keepLines w:val="0"/>
        <w:pageBreakBefore w:val="0"/>
        <w:kinsoku/>
        <w:wordWrap/>
        <w:overflowPunct/>
        <w:topLinePunct w:val="0"/>
        <w:autoSpaceDE/>
        <w:autoSpaceDN/>
        <w:bidi w:val="0"/>
        <w:adjustRightInd/>
        <w:spacing w:before="0" w:beforeAutospacing="0" w:after="0" w:afterAutospacing="0" w:line="560" w:lineRule="exact"/>
        <w:ind w:right="45" w:firstLine="640"/>
        <w:contextualSpacing/>
        <w:jc w:val="both"/>
        <w:textAlignment w:val="auto"/>
        <w:outlineLvl w:val="1"/>
        <w:rPr>
          <w:rFonts w:hint="eastAsia" w:ascii="仿宋" w:hAnsi="仿宋" w:eastAsia="仿宋" w:cs="仿宋"/>
          <w:b w:val="0"/>
          <w:bCs w:val="0"/>
          <w:color w:val="auto"/>
          <w:kern w:val="2"/>
          <w:sz w:val="28"/>
          <w:szCs w:val="28"/>
          <w:highlight w:val="none"/>
        </w:rPr>
      </w:pPr>
      <w:bookmarkStart w:id="46" w:name="_Toc11913"/>
      <w:bookmarkStart w:id="47" w:name="_Toc1745"/>
      <w:bookmarkStart w:id="48" w:name="_Toc18552"/>
      <w:r>
        <w:rPr>
          <w:rFonts w:hint="eastAsia" w:ascii="仿宋" w:hAnsi="仿宋" w:eastAsia="仿宋" w:cs="仿宋"/>
          <w:b w:val="0"/>
          <w:bCs w:val="0"/>
          <w:color w:val="auto"/>
          <w:kern w:val="2"/>
          <w:sz w:val="28"/>
          <w:szCs w:val="28"/>
          <w:highlight w:val="none"/>
        </w:rPr>
        <w:t>（一）存在问题</w:t>
      </w:r>
      <w:bookmarkEnd w:id="46"/>
      <w:bookmarkEnd w:id="47"/>
      <w:bookmarkEnd w:id="48"/>
    </w:p>
    <w:p w14:paraId="50CFBC0B">
      <w:pPr>
        <w:pStyle w:val="6"/>
        <w:keepNext w:val="0"/>
        <w:keepLines w:val="0"/>
        <w:pageBreakBefore w:val="0"/>
        <w:kinsoku/>
        <w:wordWrap/>
        <w:overflowPunct/>
        <w:topLinePunct w:val="0"/>
        <w:autoSpaceDE/>
        <w:autoSpaceDN/>
        <w:bidi w:val="0"/>
        <w:adjustRightInd/>
        <w:spacing w:before="0" w:beforeAutospacing="0" w:after="0" w:afterAutospacing="0" w:line="560" w:lineRule="exact"/>
        <w:ind w:right="45" w:firstLine="640"/>
        <w:contextualSpacing/>
        <w:jc w:val="both"/>
        <w:textAlignment w:val="auto"/>
        <w:outlineLvl w:val="1"/>
        <w:rPr>
          <w:rFonts w:hint="eastAsia" w:ascii="仿宋" w:hAnsi="仿宋" w:eastAsia="仿宋" w:cs="仿宋"/>
          <w:b w:val="0"/>
          <w:bCs w:val="0"/>
          <w:color w:val="auto"/>
          <w:kern w:val="2"/>
          <w:sz w:val="28"/>
          <w:szCs w:val="28"/>
          <w:highlight w:val="none"/>
          <w:lang w:val="en-US" w:eastAsia="zh-CN"/>
        </w:rPr>
      </w:pPr>
      <w:bookmarkStart w:id="49" w:name="_Toc18582"/>
      <w:r>
        <w:rPr>
          <w:rFonts w:hint="eastAsia" w:ascii="仿宋" w:hAnsi="仿宋" w:eastAsia="仿宋" w:cs="仿宋"/>
          <w:b w:val="0"/>
          <w:bCs w:val="0"/>
          <w:color w:val="auto"/>
          <w:kern w:val="2"/>
          <w:sz w:val="28"/>
          <w:szCs w:val="28"/>
          <w:highlight w:val="none"/>
          <w:lang w:val="en-US" w:eastAsia="zh-CN"/>
        </w:rPr>
        <w:t>1.项目实施时效延后。根据实施方案第三阶段目标：2022年5月底前确定招聘人员名单，并于2022年6月底前完成对新招聘人员的岗前培训工作，实际岗前培训时间分两期，分别为11.8-11.9和11.10-11.11。</w:t>
      </w:r>
      <w:bookmarkEnd w:id="49"/>
    </w:p>
    <w:p w14:paraId="5F5BB73A">
      <w:pPr>
        <w:pStyle w:val="6"/>
        <w:keepNext w:val="0"/>
        <w:keepLines w:val="0"/>
        <w:pageBreakBefore w:val="0"/>
        <w:kinsoku/>
        <w:wordWrap/>
        <w:overflowPunct/>
        <w:topLinePunct w:val="0"/>
        <w:autoSpaceDE/>
        <w:autoSpaceDN/>
        <w:bidi w:val="0"/>
        <w:adjustRightInd/>
        <w:spacing w:before="0" w:beforeAutospacing="0" w:after="0" w:afterAutospacing="0" w:line="560" w:lineRule="exact"/>
        <w:ind w:right="45" w:firstLine="640"/>
        <w:contextualSpacing/>
        <w:jc w:val="both"/>
        <w:textAlignment w:val="auto"/>
        <w:outlineLvl w:val="1"/>
        <w:rPr>
          <w:rFonts w:hint="eastAsia" w:ascii="仿宋" w:hAnsi="仿宋" w:eastAsia="仿宋" w:cs="仿宋"/>
          <w:b w:val="0"/>
          <w:bCs w:val="0"/>
          <w:color w:val="auto"/>
          <w:kern w:val="2"/>
          <w:sz w:val="28"/>
          <w:szCs w:val="28"/>
          <w:highlight w:val="none"/>
          <w:lang w:val="en-US" w:eastAsia="zh-CN"/>
        </w:rPr>
      </w:pPr>
      <w:r>
        <w:rPr>
          <w:rFonts w:hint="eastAsia" w:ascii="仿宋" w:hAnsi="仿宋" w:eastAsia="仿宋" w:cs="仿宋"/>
          <w:b w:val="0"/>
          <w:bCs w:val="0"/>
          <w:color w:val="auto"/>
          <w:kern w:val="2"/>
          <w:sz w:val="28"/>
          <w:szCs w:val="28"/>
          <w:highlight w:val="none"/>
          <w:lang w:val="en-US" w:eastAsia="zh-CN"/>
        </w:rPr>
        <w:t>2.项目支出与预算计划偏差较大。根据预算计划安排，第一批1057人按全年计算，每人配套1.2万元；第二批1156人按半年计算，没人配套0.6万元，社工岗位设置总量2213人，实际社工岗位人员2042人，新招聘社工岗前培训在2022年11月，预算支出与项目实施进度不匹配。</w:t>
      </w:r>
    </w:p>
    <w:p w14:paraId="1A37247A">
      <w:pPr>
        <w:pStyle w:val="6"/>
        <w:keepNext w:val="0"/>
        <w:keepLines w:val="0"/>
        <w:pageBreakBefore w:val="0"/>
        <w:kinsoku/>
        <w:wordWrap/>
        <w:overflowPunct/>
        <w:topLinePunct w:val="0"/>
        <w:autoSpaceDE/>
        <w:autoSpaceDN/>
        <w:bidi w:val="0"/>
        <w:adjustRightInd/>
        <w:spacing w:before="0" w:beforeAutospacing="0" w:after="0" w:afterAutospacing="0" w:line="560" w:lineRule="exact"/>
        <w:ind w:right="45" w:firstLine="640"/>
        <w:contextualSpacing/>
        <w:jc w:val="both"/>
        <w:textAlignment w:val="auto"/>
        <w:outlineLvl w:val="1"/>
        <w:rPr>
          <w:rFonts w:hint="default" w:ascii="仿宋" w:hAnsi="仿宋" w:eastAsia="仿宋" w:cs="仿宋"/>
          <w:b w:val="0"/>
          <w:bCs w:val="0"/>
          <w:color w:val="auto"/>
          <w:kern w:val="2"/>
          <w:sz w:val="28"/>
          <w:szCs w:val="28"/>
          <w:highlight w:val="none"/>
          <w:lang w:val="en-US" w:eastAsia="zh-CN"/>
        </w:rPr>
      </w:pPr>
      <w:bookmarkStart w:id="50" w:name="_Toc10597"/>
      <w:r>
        <w:rPr>
          <w:rFonts w:hint="eastAsia" w:ascii="仿宋" w:hAnsi="仿宋" w:eastAsia="仿宋" w:cs="仿宋"/>
          <w:b w:val="0"/>
          <w:bCs w:val="0"/>
          <w:color w:val="auto"/>
          <w:kern w:val="2"/>
          <w:sz w:val="28"/>
          <w:szCs w:val="28"/>
          <w:highlight w:val="none"/>
          <w:lang w:val="en-US" w:eastAsia="zh-CN"/>
        </w:rPr>
        <w:t>3.</w:t>
      </w:r>
      <w:bookmarkEnd w:id="50"/>
      <w:r>
        <w:rPr>
          <w:rFonts w:hint="eastAsia" w:ascii="仿宋" w:hAnsi="仿宋" w:eastAsia="仿宋" w:cs="仿宋"/>
          <w:b w:val="0"/>
          <w:bCs w:val="0"/>
          <w:color w:val="auto"/>
          <w:kern w:val="2"/>
          <w:sz w:val="28"/>
          <w:szCs w:val="28"/>
          <w:highlight w:val="none"/>
          <w:lang w:val="en-US" w:eastAsia="zh-CN"/>
        </w:rPr>
        <w:t>绩效自评不够严谨。自评材料质量方面，相关佐证材料不完整，自评评分表为100分，自评报告显示自评得分90分。</w:t>
      </w:r>
    </w:p>
    <w:p w14:paraId="3A172488">
      <w:pPr>
        <w:pStyle w:val="6"/>
        <w:keepNext w:val="0"/>
        <w:keepLines w:val="0"/>
        <w:pageBreakBefore w:val="0"/>
        <w:shd w:val="clear"/>
        <w:kinsoku/>
        <w:wordWrap/>
        <w:overflowPunct/>
        <w:topLinePunct w:val="0"/>
        <w:autoSpaceDE/>
        <w:autoSpaceDN/>
        <w:bidi w:val="0"/>
        <w:adjustRightInd/>
        <w:spacing w:before="0" w:beforeAutospacing="0" w:after="0" w:afterAutospacing="0" w:line="560" w:lineRule="exact"/>
        <w:ind w:right="45" w:firstLine="560" w:firstLineChars="200"/>
        <w:contextualSpacing/>
        <w:jc w:val="both"/>
        <w:textAlignment w:val="auto"/>
        <w:outlineLvl w:val="1"/>
        <w:rPr>
          <w:rFonts w:hint="eastAsia" w:ascii="仿宋" w:hAnsi="仿宋" w:eastAsia="仿宋" w:cs="仿宋"/>
          <w:b w:val="0"/>
          <w:bCs/>
          <w:color w:val="auto"/>
          <w:kern w:val="2"/>
          <w:sz w:val="28"/>
          <w:szCs w:val="28"/>
          <w:highlight w:val="none"/>
          <w:lang w:eastAsia="zh-CN"/>
        </w:rPr>
      </w:pPr>
      <w:bookmarkStart w:id="51" w:name="_Toc22031"/>
      <w:bookmarkStart w:id="52" w:name="_Toc4560"/>
      <w:bookmarkStart w:id="53" w:name="_Toc24779"/>
      <w:r>
        <w:rPr>
          <w:rFonts w:hint="eastAsia" w:ascii="仿宋" w:hAnsi="仿宋" w:eastAsia="仿宋" w:cs="仿宋"/>
          <w:b w:val="0"/>
          <w:bCs/>
          <w:color w:val="auto"/>
          <w:kern w:val="2"/>
          <w:sz w:val="28"/>
          <w:szCs w:val="28"/>
          <w:highlight w:val="none"/>
        </w:rPr>
        <w:t>（二）</w:t>
      </w:r>
      <w:bookmarkEnd w:id="51"/>
      <w:r>
        <w:rPr>
          <w:rFonts w:hint="eastAsia" w:ascii="仿宋" w:hAnsi="仿宋" w:eastAsia="仿宋" w:cs="仿宋"/>
          <w:b w:val="0"/>
          <w:bCs/>
          <w:color w:val="auto"/>
          <w:kern w:val="2"/>
          <w:sz w:val="28"/>
          <w:szCs w:val="28"/>
          <w:highlight w:val="none"/>
          <w:lang w:val="en-US" w:eastAsia="zh-CN"/>
        </w:rPr>
        <w:t>相关建议</w:t>
      </w:r>
      <w:bookmarkEnd w:id="52"/>
      <w:bookmarkEnd w:id="53"/>
    </w:p>
    <w:p w14:paraId="6F720A33">
      <w:pPr>
        <w:pStyle w:val="6"/>
        <w:keepNext w:val="0"/>
        <w:keepLines w:val="0"/>
        <w:pageBreakBefore w:val="0"/>
        <w:kinsoku/>
        <w:wordWrap/>
        <w:overflowPunct/>
        <w:topLinePunct w:val="0"/>
        <w:autoSpaceDE/>
        <w:autoSpaceDN/>
        <w:bidi w:val="0"/>
        <w:adjustRightInd/>
        <w:spacing w:before="0" w:beforeAutospacing="0" w:after="0" w:afterAutospacing="0" w:line="560" w:lineRule="exact"/>
        <w:ind w:right="45" w:firstLine="640"/>
        <w:contextualSpacing/>
        <w:jc w:val="both"/>
        <w:textAlignment w:val="auto"/>
        <w:rPr>
          <w:rFonts w:hint="eastAsia" w:ascii="仿宋" w:hAnsi="仿宋" w:eastAsia="仿宋" w:cs="仿宋"/>
          <w:color w:val="auto"/>
          <w:kern w:val="2"/>
          <w:sz w:val="28"/>
          <w:szCs w:val="28"/>
          <w:highlight w:val="none"/>
          <w:lang w:val="en-US" w:eastAsia="zh-CN"/>
        </w:rPr>
      </w:pPr>
      <w:r>
        <w:rPr>
          <w:rFonts w:hint="eastAsia" w:ascii="仿宋" w:hAnsi="仿宋" w:eastAsia="仿宋" w:cs="仿宋"/>
          <w:color w:val="auto"/>
          <w:kern w:val="2"/>
          <w:sz w:val="28"/>
          <w:szCs w:val="28"/>
          <w:highlight w:val="none"/>
          <w:lang w:val="en-US" w:eastAsia="zh-CN"/>
        </w:rPr>
        <w:t>1.做好项目实施的跟踪问效检查落实工作。要定期不定期地对项目实施情况和经费使用情况进行跟踪检查，对进展缓慢，预期绩效目标较差的项目，及时进行协调和提出整改措施，确保项目预算与实施进度相匹配。</w:t>
      </w:r>
    </w:p>
    <w:p w14:paraId="5FA6D272">
      <w:pPr>
        <w:pStyle w:val="6"/>
        <w:keepNext w:val="0"/>
        <w:keepLines w:val="0"/>
        <w:pageBreakBefore w:val="0"/>
        <w:kinsoku/>
        <w:wordWrap/>
        <w:overflowPunct/>
        <w:topLinePunct w:val="0"/>
        <w:autoSpaceDE/>
        <w:autoSpaceDN/>
        <w:bidi w:val="0"/>
        <w:adjustRightInd/>
        <w:spacing w:before="0" w:beforeAutospacing="0" w:after="0" w:afterAutospacing="0" w:line="560" w:lineRule="exact"/>
        <w:ind w:right="45" w:firstLine="640"/>
        <w:contextualSpacing/>
        <w:jc w:val="both"/>
        <w:textAlignment w:val="auto"/>
        <w:rPr>
          <w:rFonts w:hint="eastAsia" w:ascii="仿宋" w:hAnsi="仿宋" w:eastAsia="仿宋" w:cs="仿宋"/>
          <w:color w:val="auto"/>
          <w:kern w:val="2"/>
          <w:sz w:val="28"/>
          <w:szCs w:val="28"/>
          <w:highlight w:val="none"/>
          <w:lang w:val="en-US" w:eastAsia="zh-CN"/>
        </w:rPr>
      </w:pPr>
      <w:r>
        <w:rPr>
          <w:rFonts w:hint="eastAsia" w:ascii="仿宋" w:hAnsi="仿宋" w:eastAsia="仿宋" w:cs="仿宋"/>
          <w:color w:val="auto"/>
          <w:kern w:val="2"/>
          <w:sz w:val="28"/>
          <w:szCs w:val="28"/>
          <w:highlight w:val="none"/>
          <w:lang w:val="en-US" w:eastAsia="zh-CN"/>
        </w:rPr>
        <w:t>2.需要加强绩效自评工作</w:t>
      </w:r>
      <w:bookmarkStart w:id="54" w:name="_Toc1386"/>
      <w:bookmarkStart w:id="55" w:name="_Toc7568"/>
      <w:bookmarkStart w:id="56" w:name="_Toc121"/>
      <w:r>
        <w:rPr>
          <w:rFonts w:hint="eastAsia" w:ascii="仿宋" w:hAnsi="仿宋" w:eastAsia="仿宋" w:cs="仿宋"/>
          <w:color w:val="auto"/>
          <w:kern w:val="2"/>
          <w:sz w:val="28"/>
          <w:szCs w:val="28"/>
          <w:highlight w:val="none"/>
          <w:lang w:val="en-US" w:eastAsia="zh-CN"/>
        </w:rPr>
        <w:t>审核把关。对于报送的自评材料完整性、准确性加以关注。</w:t>
      </w:r>
    </w:p>
    <w:p w14:paraId="78399DE7">
      <w:pPr>
        <w:pStyle w:val="6"/>
        <w:keepNext w:val="0"/>
        <w:keepLines w:val="0"/>
        <w:pageBreakBefore w:val="0"/>
        <w:kinsoku/>
        <w:wordWrap/>
        <w:overflowPunct/>
        <w:topLinePunct w:val="0"/>
        <w:autoSpaceDE/>
        <w:autoSpaceDN/>
        <w:bidi w:val="0"/>
        <w:adjustRightInd/>
        <w:spacing w:before="0" w:beforeAutospacing="0" w:after="0" w:afterAutospacing="0" w:line="560" w:lineRule="exact"/>
        <w:ind w:right="45" w:firstLine="640"/>
        <w:contextualSpacing/>
        <w:jc w:val="both"/>
        <w:textAlignment w:val="auto"/>
        <w:rPr>
          <w:rFonts w:hint="eastAsia" w:ascii="仿宋" w:hAnsi="仿宋" w:eastAsia="仿宋" w:cs="仿宋"/>
          <w:b/>
          <w:bCs/>
          <w:kern w:val="2"/>
          <w:sz w:val="28"/>
          <w:szCs w:val="28"/>
          <w:highlight w:val="none"/>
        </w:rPr>
      </w:pPr>
    </w:p>
    <w:p w14:paraId="44613538">
      <w:pPr>
        <w:pStyle w:val="6"/>
        <w:keepNext w:val="0"/>
        <w:keepLines w:val="0"/>
        <w:pageBreakBefore w:val="0"/>
        <w:kinsoku/>
        <w:wordWrap/>
        <w:overflowPunct/>
        <w:topLinePunct w:val="0"/>
        <w:autoSpaceDE/>
        <w:autoSpaceDN/>
        <w:bidi w:val="0"/>
        <w:adjustRightInd/>
        <w:spacing w:before="0" w:beforeAutospacing="0" w:after="0" w:afterAutospacing="0" w:line="560" w:lineRule="exact"/>
        <w:ind w:right="45" w:firstLine="640"/>
        <w:contextualSpacing/>
        <w:jc w:val="both"/>
        <w:textAlignment w:val="auto"/>
        <w:rPr>
          <w:rFonts w:hint="eastAsia" w:ascii="仿宋" w:hAnsi="仿宋" w:eastAsia="仿宋" w:cs="仿宋"/>
          <w:b/>
          <w:bCs/>
          <w:kern w:val="2"/>
          <w:sz w:val="28"/>
          <w:szCs w:val="28"/>
          <w:highlight w:val="none"/>
        </w:rPr>
      </w:pPr>
      <w:r>
        <w:rPr>
          <w:rFonts w:hint="eastAsia" w:ascii="仿宋" w:hAnsi="仿宋" w:eastAsia="仿宋" w:cs="仿宋"/>
          <w:b/>
          <w:bCs/>
          <w:kern w:val="2"/>
          <w:sz w:val="28"/>
          <w:szCs w:val="28"/>
          <w:highlight w:val="none"/>
        </w:rPr>
        <w:t>附件：</w:t>
      </w:r>
      <w:bookmarkEnd w:id="54"/>
      <w:r>
        <w:rPr>
          <w:rFonts w:hint="eastAsia" w:ascii="仿宋" w:hAnsi="仿宋" w:eastAsia="仿宋" w:cs="仿宋"/>
          <w:b/>
          <w:bCs/>
          <w:kern w:val="2"/>
          <w:sz w:val="28"/>
          <w:szCs w:val="28"/>
          <w:highlight w:val="none"/>
          <w:lang w:eastAsia="zh-CN"/>
        </w:rPr>
        <w:t>湛江市民政局20</w:t>
      </w:r>
      <w:r>
        <w:rPr>
          <w:rFonts w:hint="eastAsia" w:ascii="仿宋" w:hAnsi="仿宋" w:eastAsia="仿宋" w:cs="仿宋"/>
          <w:b/>
          <w:bCs/>
          <w:kern w:val="2"/>
          <w:sz w:val="28"/>
          <w:szCs w:val="28"/>
          <w:highlight w:val="none"/>
          <w:lang w:val="en-US" w:eastAsia="zh-CN"/>
        </w:rPr>
        <w:t>22</w:t>
      </w:r>
      <w:r>
        <w:rPr>
          <w:rFonts w:hint="eastAsia" w:ascii="仿宋" w:hAnsi="仿宋" w:eastAsia="仿宋" w:cs="仿宋"/>
          <w:b/>
          <w:bCs/>
          <w:kern w:val="2"/>
          <w:sz w:val="28"/>
          <w:szCs w:val="28"/>
          <w:highlight w:val="none"/>
          <w:lang w:eastAsia="zh-CN"/>
        </w:rPr>
        <w:t>年度项目支出</w:t>
      </w:r>
      <w:r>
        <w:rPr>
          <w:rFonts w:hint="eastAsia" w:ascii="仿宋" w:hAnsi="仿宋" w:eastAsia="仿宋" w:cs="仿宋"/>
          <w:b/>
          <w:bCs/>
          <w:kern w:val="2"/>
          <w:sz w:val="28"/>
          <w:szCs w:val="28"/>
          <w:highlight w:val="none"/>
        </w:rPr>
        <w:t>绩效</w:t>
      </w:r>
      <w:r>
        <w:rPr>
          <w:rFonts w:hint="eastAsia" w:ascii="仿宋" w:hAnsi="仿宋" w:eastAsia="仿宋" w:cs="仿宋"/>
          <w:b/>
          <w:bCs/>
          <w:kern w:val="2"/>
          <w:sz w:val="28"/>
          <w:szCs w:val="28"/>
          <w:highlight w:val="none"/>
          <w:lang w:val="en-US" w:eastAsia="zh-CN"/>
        </w:rPr>
        <w:t>指标评分表</w:t>
      </w:r>
      <w:bookmarkEnd w:id="55"/>
      <w:bookmarkEnd w:id="56"/>
    </w:p>
    <w:p w14:paraId="79458B93">
      <w:pPr>
        <w:pStyle w:val="6"/>
        <w:keepNext w:val="0"/>
        <w:keepLines w:val="0"/>
        <w:pageBreakBefore w:val="0"/>
        <w:kinsoku/>
        <w:wordWrap/>
        <w:overflowPunct/>
        <w:topLinePunct w:val="0"/>
        <w:autoSpaceDE/>
        <w:autoSpaceDN/>
        <w:bidi w:val="0"/>
        <w:adjustRightInd/>
        <w:spacing w:before="0" w:beforeAutospacing="0" w:after="0" w:afterAutospacing="0" w:line="560" w:lineRule="exact"/>
        <w:ind w:right="45"/>
        <w:contextualSpacing/>
        <w:jc w:val="both"/>
        <w:textAlignment w:val="auto"/>
        <w:rPr>
          <w:rFonts w:hint="eastAsia" w:ascii="仿宋" w:hAnsi="仿宋" w:eastAsia="仿宋" w:cs="仿宋"/>
          <w:color w:val="auto"/>
          <w:kern w:val="2"/>
          <w:sz w:val="28"/>
          <w:szCs w:val="28"/>
          <w:highlight w:val="none"/>
          <w:lang w:eastAsia="zh-CN"/>
        </w:rPr>
      </w:pPr>
    </w:p>
    <w:p w14:paraId="0551E21E">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ind w:right="45"/>
        <w:contextualSpacing/>
        <w:jc w:val="left"/>
        <w:textAlignment w:val="auto"/>
        <w:rPr>
          <w:rFonts w:hint="eastAsia" w:ascii="仿宋" w:hAnsi="仿宋" w:eastAsia="仿宋" w:cs="仿宋"/>
          <w:color w:val="auto"/>
          <w:kern w:val="2"/>
          <w:sz w:val="28"/>
          <w:szCs w:val="28"/>
          <w:highlight w:val="none"/>
          <w:lang w:val="en-US" w:eastAsia="zh-CN"/>
        </w:rPr>
      </w:pPr>
      <w:r>
        <w:rPr>
          <w:rFonts w:hint="eastAsia" w:ascii="仿宋" w:hAnsi="仿宋" w:eastAsia="仿宋" w:cs="仿宋"/>
          <w:color w:val="auto"/>
          <w:kern w:val="2"/>
          <w:sz w:val="28"/>
          <w:szCs w:val="28"/>
          <w:highlight w:val="none"/>
          <w:lang w:eastAsia="zh-CN"/>
        </w:rPr>
        <w:t>广东诚安信会计师事务所（</w:t>
      </w:r>
      <w:r>
        <w:rPr>
          <w:rFonts w:hint="eastAsia" w:ascii="仿宋" w:hAnsi="仿宋" w:eastAsia="仿宋" w:cs="仿宋"/>
          <w:color w:val="auto"/>
          <w:kern w:val="2"/>
          <w:sz w:val="28"/>
          <w:szCs w:val="28"/>
          <w:highlight w:val="none"/>
          <w:lang w:val="en-US" w:eastAsia="zh-CN"/>
        </w:rPr>
        <w:t>特殊普通合伙）</w:t>
      </w:r>
    </w:p>
    <w:p w14:paraId="26052BE4">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ind w:right="45" w:firstLine="1120" w:firstLineChars="400"/>
        <w:contextualSpacing/>
        <w:jc w:val="left"/>
        <w:textAlignment w:val="auto"/>
        <w:rPr>
          <w:rFonts w:hint="eastAsia" w:ascii="仿宋" w:hAnsi="仿宋" w:eastAsia="仿宋" w:cs="仿宋"/>
          <w:color w:val="auto"/>
          <w:kern w:val="2"/>
          <w:sz w:val="28"/>
          <w:szCs w:val="28"/>
          <w:highlight w:val="none"/>
          <w:lang w:val="en-US" w:eastAsia="zh-CN"/>
        </w:rPr>
      </w:pPr>
    </w:p>
    <w:p w14:paraId="184DEA0E">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ind w:right="45" w:firstLine="1120" w:firstLineChars="400"/>
        <w:contextualSpacing/>
        <w:jc w:val="left"/>
        <w:textAlignment w:val="auto"/>
        <w:rPr>
          <w:rFonts w:hint="eastAsia" w:ascii="仿宋" w:hAnsi="仿宋" w:eastAsia="仿宋" w:cs="仿宋"/>
          <w:color w:val="auto"/>
          <w:kern w:val="2"/>
          <w:sz w:val="28"/>
          <w:szCs w:val="28"/>
          <w:highlight w:val="none"/>
          <w:lang w:val="en-US" w:eastAsia="zh-CN"/>
        </w:rPr>
      </w:pPr>
    </w:p>
    <w:p w14:paraId="65FCFB0D">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ind w:right="45" w:firstLine="1120" w:firstLineChars="400"/>
        <w:contextualSpacing/>
        <w:jc w:val="left"/>
        <w:textAlignment w:val="auto"/>
        <w:rPr>
          <w:rFonts w:hint="default" w:ascii="仿宋" w:hAnsi="仿宋" w:eastAsia="仿宋" w:cs="仿宋"/>
          <w:color w:val="auto"/>
          <w:kern w:val="2"/>
          <w:sz w:val="28"/>
          <w:szCs w:val="28"/>
          <w:highlight w:val="none"/>
          <w:lang w:val="en-US" w:eastAsia="zh-CN"/>
        </w:rPr>
      </w:pPr>
      <w:r>
        <w:rPr>
          <w:rFonts w:hint="eastAsia" w:ascii="仿宋" w:hAnsi="仿宋" w:eastAsia="仿宋" w:cs="仿宋"/>
          <w:color w:val="auto"/>
          <w:kern w:val="2"/>
          <w:sz w:val="28"/>
          <w:szCs w:val="28"/>
          <w:highlight w:val="none"/>
          <w:lang w:val="en-US" w:eastAsia="zh-CN"/>
        </w:rPr>
        <w:t>中国</w:t>
      </w:r>
      <w:r>
        <w:rPr>
          <w:rFonts w:hint="eastAsia" w:ascii="微软雅黑" w:hAnsi="微软雅黑" w:eastAsia="微软雅黑" w:cs="微软雅黑"/>
          <w:color w:val="auto"/>
          <w:kern w:val="2"/>
          <w:sz w:val="28"/>
          <w:szCs w:val="28"/>
          <w:highlight w:val="none"/>
          <w:lang w:val="en-US" w:eastAsia="zh-CN"/>
        </w:rPr>
        <w:t>·</w:t>
      </w:r>
      <w:r>
        <w:rPr>
          <w:rFonts w:hint="eastAsia" w:ascii="仿宋" w:hAnsi="仿宋" w:eastAsia="仿宋" w:cs="仿宋"/>
          <w:color w:val="auto"/>
          <w:kern w:val="2"/>
          <w:sz w:val="28"/>
          <w:szCs w:val="28"/>
          <w:highlight w:val="none"/>
          <w:lang w:val="en-US" w:eastAsia="zh-CN"/>
        </w:rPr>
        <w:t>广州市</w:t>
      </w:r>
    </w:p>
    <w:p w14:paraId="2277479E">
      <w:pPr>
        <w:keepNext w:val="0"/>
        <w:keepLines w:val="0"/>
        <w:pageBreakBefore w:val="0"/>
        <w:numPr>
          <w:ilvl w:val="0"/>
          <w:numId w:val="0"/>
        </w:numPr>
        <w:kinsoku/>
        <w:wordWrap/>
        <w:overflowPunct/>
        <w:topLinePunct w:val="0"/>
        <w:autoSpaceDE/>
        <w:autoSpaceDN/>
        <w:bidi w:val="0"/>
        <w:adjustRightInd/>
        <w:snapToGrid/>
        <w:spacing w:line="560" w:lineRule="exact"/>
        <w:ind w:firstLine="5320" w:firstLineChars="19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2023年9月24日</w:t>
      </w:r>
    </w:p>
    <w:p w14:paraId="56A89832">
      <w:pPr>
        <w:keepNext w:val="0"/>
        <w:keepLines w:val="0"/>
        <w:pageBreakBefore w:val="0"/>
        <w:numPr>
          <w:ilvl w:val="0"/>
          <w:numId w:val="0"/>
        </w:numPr>
        <w:kinsoku/>
        <w:overflowPunct/>
        <w:topLinePunct w:val="0"/>
        <w:autoSpaceDE/>
        <w:autoSpaceDN/>
        <w:bidi w:val="0"/>
        <w:spacing w:line="360" w:lineRule="auto"/>
        <w:jc w:val="both"/>
        <w:textAlignment w:val="auto"/>
        <w:rPr>
          <w:rFonts w:hint="eastAsia" w:ascii="仿宋" w:hAnsi="仿宋" w:eastAsia="仿宋" w:cs="仿宋"/>
          <w:sz w:val="28"/>
          <w:szCs w:val="28"/>
          <w:highlight w:val="none"/>
          <w:lang w:val="en-US" w:eastAsia="zh-CN"/>
        </w:rPr>
      </w:pPr>
    </w:p>
    <w:p w14:paraId="3FFE2B48">
      <w:pPr>
        <w:rPr>
          <w:sz w:val="20"/>
          <w:szCs w:val="20"/>
        </w:rPr>
      </w:pPr>
    </w:p>
    <w:sectPr>
      <w:footerReference r:id="rId14" w:type="default"/>
      <w:pgSz w:w="11906" w:h="16838"/>
      <w:pgMar w:top="1134" w:right="1701" w:bottom="1361" w:left="1701"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Trebuchet MS"/>
    <w:panose1 w:val="020F0502020204030204"/>
    <w:charset w:val="00"/>
    <w:family w:val="swiss"/>
    <w:pitch w:val="default"/>
    <w:sig w:usb0="00000000" w:usb1="00000000" w:usb2="00000001" w:usb3="00000000" w:csb0="0000019F" w:csb1="00000000"/>
  </w:font>
  <w:font w:name="Trebuchet MS">
    <w:panose1 w:val="020B0603020202020204"/>
    <w:charset w:val="00"/>
    <w:family w:val="auto"/>
    <w:pitch w:val="default"/>
    <w:sig w:usb0="00000287" w:usb1="00000000" w:usb2="00000000" w:usb3="00000000" w:csb0="200000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隶书">
    <w:altName w:val="方正隶书_GBK"/>
    <w:panose1 w:val="02010509060101010101"/>
    <w:charset w:val="86"/>
    <w:family w:val="modern"/>
    <w:pitch w:val="default"/>
    <w:sig w:usb0="00000000" w:usb1="00000000" w:usb2="00000000" w:usb3="00000000" w:csb0="00040000" w:csb1="00000000"/>
  </w:font>
  <w:font w:name="方正隶书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Arial Unicode MS">
    <w:altName w:val="Arial"/>
    <w:panose1 w:val="020B0604020202020204"/>
    <w:charset w:val="86"/>
    <w:family w:val="auto"/>
    <w:pitch w:val="default"/>
    <w:sig w:usb0="00000000" w:usb1="00000000" w:usb2="0000003F" w:usb3="00000000" w:csb0="603F01FF" w:csb1="FFFF0000"/>
  </w:font>
  <w:font w:name="Arial">
    <w:panose1 w:val="020B0604020202020204"/>
    <w:charset w:val="00"/>
    <w:family w:val="auto"/>
    <w:pitch w:val="default"/>
    <w:sig w:usb0="00007A87" w:usb1="80000000" w:usb2="00000008" w:usb3="00000000" w:csb0="400001FF" w:csb1="FFFF0000"/>
  </w:font>
  <w:font w:name="微软雅黑">
    <w:altName w:val="方正黑体_GBK"/>
    <w:panose1 w:val="020B0503020204020204"/>
    <w:charset w:val="86"/>
    <w:family w:val="auto"/>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EE76D">
    <w:pPr>
      <w:pStyle w:val="3"/>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9A97D9">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1E9A97D9">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F7B86">
    <w:pPr>
      <w:pStyle w:val="3"/>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14:paraId="668DEFB4">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FDC5F">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068561">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C068561">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936C5">
    <w:pPr>
      <w:pStyle w:val="3"/>
      <w:jc w:val="center"/>
      <w:rPr>
        <w:rFonts w:hint="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3C1F1B">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E3C1F1B">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mc:Fallback>
      </mc:AlternateContent>
    </w:r>
  </w:p>
  <w:p w14:paraId="48C98FAB">
    <w:pPr>
      <w:pStyle w:val="3"/>
      <w:jc w:val="center"/>
      <w:rPr>
        <w:rFonts w:hint="eastAsia"/>
        <w:lang w:val="en-US" w:eastAsia="zh-CN"/>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079D89">
    <w:pPr>
      <w:pStyle w:val="3"/>
      <w:framePr w:wrap="around" w:vAnchor="text" w:hAnchor="margin" w:xAlign="center" w:y="1"/>
      <w:rPr>
        <w:rStyle w:val="14"/>
      </w:rPr>
    </w:pPr>
    <w:r>
      <w:fldChar w:fldCharType="begin"/>
    </w:r>
    <w:r>
      <w:rPr>
        <w:rStyle w:val="14"/>
      </w:rPr>
      <w:instrText xml:space="preserve">PAGE  </w:instrText>
    </w:r>
    <w:r>
      <w:fldChar w:fldCharType="separate"/>
    </w:r>
    <w:r>
      <w:rPr>
        <w:rStyle w:val="14"/>
      </w:rPr>
      <w:t>1</w:t>
    </w:r>
    <w:r>
      <w:fldChar w:fldCharType="end"/>
    </w:r>
  </w:p>
  <w:p w14:paraId="7927016A">
    <w:pPr>
      <w:pStyle w:val="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DC975">
    <w:pPr>
      <w:pStyle w:val="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26A4C9">
    <w:pPr>
      <w:pStyle w:val="3"/>
      <w:jc w:val="center"/>
      <w:rPr>
        <w:rFonts w:hint="eastAsia"/>
        <w:lang w:val="en-US" w:eastAsia="zh-CN"/>
      </w:rPr>
    </w:pPr>
  </w:p>
  <w:p w14:paraId="1F15B693">
    <w:pPr>
      <w:pStyle w:val="3"/>
      <w:jc w:val="center"/>
      <w:rPr>
        <w:rFonts w:hint="eastAsia"/>
        <w:lang w:val="en-US" w:eastAsia="zh-CN"/>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4F146">
    <w:pPr>
      <w:pStyle w:val="3"/>
      <w:jc w:val="center"/>
      <w:rPr>
        <w:rFonts w:hint="eastAsia"/>
        <w:lang w:val="en-US" w:eastAsia="zh-CN"/>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EED800">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BEED800">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w:t>
                    </w:r>
                    <w:r>
                      <w:rPr>
                        <w:rFonts w:hint="eastAsia"/>
                        <w:lang w:eastAsia="zh-CN"/>
                      </w:rPr>
                      <w:fldChar w:fldCharType="end"/>
                    </w:r>
                  </w:p>
                </w:txbxContent>
              </v:textbox>
            </v:shape>
          </w:pict>
        </mc:Fallback>
      </mc:AlternateContent>
    </w:r>
  </w:p>
  <w:p w14:paraId="1667AEB0">
    <w:pPr>
      <w:pStyle w:val="3"/>
      <w:jc w:val="center"/>
      <w:rPr>
        <w:rFonts w:hint="eastAsia"/>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4A96BB">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BDD84">
    <w:pPr>
      <w:pStyle w:val="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A27F2">
    <w:pPr>
      <w:pStyle w:val="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F5F5C">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8D6FB8"/>
    <w:multiLevelType w:val="singleLevel"/>
    <w:tmpl w:val="038D6FB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9CFA55A"/>
    <w:rsid w:val="9B5F97B7"/>
    <w:rsid w:val="B9DE2E67"/>
    <w:rsid w:val="E9CFA5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toc 1"/>
    <w:basedOn w:val="1"/>
    <w:next w:val="1"/>
    <w:unhideWhenUsed/>
    <w:qFormat/>
    <w:uiPriority w:val="39"/>
  </w:style>
  <w:style w:type="paragraph" w:styleId="6">
    <w:name w:val="Normal (Web)"/>
    <w:basedOn w:val="1"/>
    <w:qFormat/>
    <w:uiPriority w:val="0"/>
    <w:pPr>
      <w:widowControl/>
      <w:spacing w:before="100" w:beforeAutospacing="1" w:after="100" w:afterAutospacing="1"/>
      <w:jc w:val="left"/>
    </w:pPr>
    <w:rPr>
      <w:rFonts w:ascii="宋体" w:hAnsi="宋体" w:cs="宋体"/>
      <w:kern w:val="0"/>
      <w:sz w:val="24"/>
    </w:rPr>
  </w:style>
  <w:style w:type="paragraph" w:customStyle="1" w:styleId="9">
    <w:name w:val="_Style 1"/>
    <w:basedOn w:val="1"/>
    <w:qFormat/>
    <w:uiPriority w:val="0"/>
    <w:pPr>
      <w:ind w:firstLine="420" w:firstLineChars="200"/>
    </w:pPr>
  </w:style>
  <w:style w:type="paragraph" w:customStyle="1" w:styleId="10">
    <w:name w:val="WPSOffice手动目录 2"/>
    <w:qFormat/>
    <w:uiPriority w:val="0"/>
    <w:pPr>
      <w:ind w:leftChars="200"/>
    </w:pPr>
    <w:rPr>
      <w:rFonts w:ascii="Times New Roman" w:hAnsi="Times New Roman" w:eastAsia="宋体" w:cs="Times New Roman"/>
      <w:sz w:val="20"/>
      <w:szCs w:val="20"/>
    </w:rPr>
  </w:style>
  <w:style w:type="paragraph" w:customStyle="1" w:styleId="11">
    <w:name w:val="Other|1"/>
    <w:basedOn w:val="1"/>
    <w:qFormat/>
    <w:uiPriority w:val="0"/>
    <w:pPr>
      <w:widowControl w:val="0"/>
      <w:shd w:val="clear" w:color="auto" w:fill="auto"/>
      <w:spacing w:after="420" w:line="480" w:lineRule="auto"/>
      <w:ind w:firstLine="400"/>
    </w:pPr>
    <w:rPr>
      <w:rFonts w:ascii="宋体" w:hAnsi="宋体" w:eastAsia="宋体" w:cs="宋体"/>
      <w:sz w:val="26"/>
      <w:szCs w:val="26"/>
      <w:u w:val="none"/>
      <w:shd w:val="clear" w:color="auto" w:fill="auto"/>
      <w:lang w:val="zh-TW" w:eastAsia="zh-TW" w:bidi="zh-TW"/>
    </w:rPr>
  </w:style>
  <w:style w:type="character" w:customStyle="1" w:styleId="12">
    <w:name w:val="font21"/>
    <w:basedOn w:val="8"/>
    <w:qFormat/>
    <w:uiPriority w:val="0"/>
    <w:rPr>
      <w:rFonts w:hint="default" w:ascii="仿宋" w:hAnsi="仿宋" w:eastAsia="仿宋" w:cs="仿宋"/>
      <w:color w:val="000000"/>
      <w:sz w:val="24"/>
      <w:szCs w:val="24"/>
      <w:u w:val="none"/>
    </w:rPr>
  </w:style>
  <w:style w:type="character" w:customStyle="1" w:styleId="13">
    <w:name w:val="font31"/>
    <w:basedOn w:val="8"/>
    <w:qFormat/>
    <w:uiPriority w:val="0"/>
    <w:rPr>
      <w:rFonts w:hint="default" w:ascii="仿宋" w:hAnsi="仿宋" w:eastAsia="仿宋" w:cs="仿宋"/>
      <w:color w:val="000000"/>
      <w:sz w:val="24"/>
      <w:szCs w:val="24"/>
      <w:u w:val="none"/>
    </w:rPr>
  </w:style>
  <w:style w:type="character" w:customStyle="1" w:styleId="14">
    <w:name w:val="页码1"/>
    <w:basedOn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2023-12-26T23:55:00Z</dcterms:created>
  <dc:creator>陈文霞</dc:creator>
  <cp:lastModifiedBy>uos</cp:lastModifiedBy>
  <dcterms:modified xsi:type="dcterms:W3CDTF">2026-07-22T10:56:29Z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3F87826BFC26E35C0C878A6540EB4CC7_41</vt:lpwstr>
  </property>
</Properties>
</file>