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BFFF">
      <w:pPr>
        <w:adjustRightInd w:val="0"/>
        <w:snapToGrid w:val="0"/>
        <w:spacing w:line="560" w:lineRule="exact"/>
        <w:ind w:firstLine="0" w:firstLineChars="0"/>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2026年湛江市求职能力实训营（学员班）</w:t>
      </w:r>
    </w:p>
    <w:p w14:paraId="555C1CF8">
      <w:pPr>
        <w:adjustRightInd w:val="0"/>
        <w:snapToGrid w:val="0"/>
        <w:spacing w:line="560" w:lineRule="exact"/>
        <w:ind w:firstLine="0" w:firstLineChars="0"/>
        <w:jc w:val="center"/>
        <w:rPr>
          <w:rFonts w:eastAsia="仿宋_GB2312"/>
          <w:sz w:val="32"/>
          <w:szCs w:val="32"/>
        </w:rPr>
      </w:pPr>
      <w:r>
        <w:rPr>
          <w:rFonts w:hint="eastAsia" w:ascii="方正小标宋简体" w:hAnsi="方正小标宋简体" w:eastAsia="方正小标宋简体" w:cs="方正小标宋简体"/>
          <w:bCs/>
          <w:sz w:val="44"/>
          <w:szCs w:val="44"/>
          <w:lang w:val="en-US" w:eastAsia="zh-CN"/>
        </w:rPr>
        <w:t>项目</w:t>
      </w:r>
      <w:r>
        <w:rPr>
          <w:rFonts w:hint="eastAsia" w:ascii="方正小标宋简体" w:hAnsi="方正小标宋简体" w:eastAsia="方正小标宋简体" w:cs="方正小标宋简体"/>
          <w:bCs/>
          <w:sz w:val="44"/>
          <w:szCs w:val="44"/>
        </w:rPr>
        <w:t>评分标准</w:t>
      </w:r>
    </w:p>
    <w:p w14:paraId="2CE14CAA">
      <w:pPr>
        <w:spacing w:line="560" w:lineRule="exact"/>
        <w:rPr>
          <w:rFonts w:ascii="黑体" w:hAnsi="黑体" w:eastAsia="黑体"/>
          <w:sz w:val="32"/>
          <w:szCs w:val="32"/>
        </w:rPr>
      </w:pPr>
      <w:r>
        <w:rPr>
          <w:rFonts w:hint="eastAsia" w:ascii="黑体" w:hAnsi="黑体" w:eastAsia="黑体"/>
          <w:sz w:val="32"/>
          <w:szCs w:val="32"/>
        </w:rPr>
        <w:t>一、资格性审核表</w:t>
      </w:r>
    </w:p>
    <w:tbl>
      <w:tblPr>
        <w:tblStyle w:val="15"/>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687"/>
        <w:gridCol w:w="1123"/>
      </w:tblGrid>
      <w:tr w14:paraId="243F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vAlign w:val="center"/>
          </w:tcPr>
          <w:p w14:paraId="24883630">
            <w:pPr>
              <w:spacing w:line="560" w:lineRule="exact"/>
              <w:jc w:val="center"/>
              <w:rPr>
                <w:rFonts w:hint="eastAsia" w:ascii="仿宋_GB2312" w:hAnsi="仿宋_GB2312" w:eastAsia="仿宋_GB2312" w:cs="仿宋_GB2312"/>
                <w:b/>
                <w:bCs/>
                <w:sz w:val="32"/>
                <w:szCs w:val="32"/>
                <w:highlight w:val="none"/>
              </w:rPr>
            </w:pPr>
            <w:bookmarkStart w:id="0" w:name="_GoBack" w:colFirst="0" w:colLast="3"/>
            <w:r>
              <w:rPr>
                <w:rFonts w:hint="eastAsia" w:ascii="仿宋_GB2312" w:hAnsi="仿宋_GB2312" w:eastAsia="仿宋_GB2312" w:cs="仿宋_GB2312"/>
                <w:b/>
                <w:bCs/>
                <w:sz w:val="32"/>
                <w:szCs w:val="32"/>
                <w:highlight w:val="none"/>
              </w:rPr>
              <w:t>序号</w:t>
            </w:r>
          </w:p>
        </w:tc>
        <w:tc>
          <w:tcPr>
            <w:tcW w:w="4657" w:type="dxa"/>
            <w:shd w:val="clear" w:color="auto" w:fill="C6D9F0"/>
            <w:vAlign w:val="center"/>
          </w:tcPr>
          <w:p w14:paraId="656FDC43">
            <w:pPr>
              <w:spacing w:line="5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内容</w:t>
            </w:r>
          </w:p>
        </w:tc>
        <w:tc>
          <w:tcPr>
            <w:tcW w:w="3687" w:type="dxa"/>
            <w:shd w:val="clear" w:color="auto" w:fill="C6D9F0"/>
            <w:vAlign w:val="center"/>
          </w:tcPr>
          <w:p w14:paraId="09F2D40B">
            <w:pPr>
              <w:spacing w:line="5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需查验资料清单</w:t>
            </w:r>
          </w:p>
        </w:tc>
        <w:tc>
          <w:tcPr>
            <w:tcW w:w="1123" w:type="dxa"/>
            <w:shd w:val="clear" w:color="auto" w:fill="C6D9F0"/>
            <w:vAlign w:val="center"/>
          </w:tcPr>
          <w:p w14:paraId="7194C030">
            <w:pPr>
              <w:spacing w:line="5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是否符合</w:t>
            </w:r>
          </w:p>
        </w:tc>
      </w:tr>
      <w:bookmarkEnd w:id="0"/>
      <w:tr w14:paraId="386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14:paraId="659E02CD">
            <w:pPr>
              <w:spacing w:line="4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4657" w:type="dxa"/>
            <w:vAlign w:val="center"/>
          </w:tcPr>
          <w:p w14:paraId="726CE4D2">
            <w:pPr>
              <w:autoSpaceDE w:val="0"/>
              <w:autoSpaceDN w:val="0"/>
              <w:adjustRightInd w:val="0"/>
              <w:snapToGrid w:val="0"/>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服务供应商具有国内独立法人或具有独立承担民事责任的能力</w:t>
            </w:r>
            <w:r>
              <w:rPr>
                <w:rFonts w:hint="eastAsia" w:ascii="仿宋_GB2312" w:hAnsi="仿宋_GB2312" w:eastAsia="仿宋_GB2312" w:cs="仿宋_GB2312"/>
                <w:sz w:val="28"/>
                <w:szCs w:val="28"/>
                <w:highlight w:val="none"/>
                <w:lang w:eastAsia="zh-CN"/>
              </w:rPr>
              <w:t>的其他</w:t>
            </w:r>
            <w:r>
              <w:rPr>
                <w:rFonts w:hint="eastAsia" w:ascii="仿宋_GB2312" w:hAnsi="仿宋_GB2312" w:eastAsia="仿宋_GB2312" w:cs="仿宋_GB2312"/>
                <w:sz w:val="28"/>
                <w:szCs w:val="28"/>
                <w:highlight w:val="none"/>
              </w:rPr>
              <w:t>组织，提交有效的营业执照或单位法人证等法人证明复印件。</w:t>
            </w:r>
          </w:p>
        </w:tc>
        <w:tc>
          <w:tcPr>
            <w:tcW w:w="3687" w:type="dxa"/>
            <w:vAlign w:val="center"/>
          </w:tcPr>
          <w:p w14:paraId="7CD81678">
            <w:pPr>
              <w:autoSpaceDE w:val="0"/>
              <w:autoSpaceDN w:val="0"/>
              <w:adjustRightInd w:val="0"/>
              <w:snapToGrid w:val="0"/>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提供营业执照或单位法人证等法人证明复印件（加盖印章）</w:t>
            </w:r>
          </w:p>
        </w:tc>
        <w:tc>
          <w:tcPr>
            <w:tcW w:w="1123" w:type="dxa"/>
          </w:tcPr>
          <w:p w14:paraId="57BE6FDF">
            <w:pPr>
              <w:spacing w:line="460" w:lineRule="exact"/>
              <w:jc w:val="left"/>
              <w:rPr>
                <w:rFonts w:hint="eastAsia" w:ascii="仿宋_GB2312" w:hAnsi="仿宋_GB2312" w:eastAsia="仿宋_GB2312" w:cs="仿宋_GB2312"/>
                <w:spacing w:val="-3"/>
                <w:sz w:val="24"/>
                <w:szCs w:val="24"/>
                <w:highlight w:val="none"/>
              </w:rPr>
            </w:pPr>
          </w:p>
        </w:tc>
      </w:tr>
      <w:tr w14:paraId="0C7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538" w:type="dxa"/>
            <w:vAlign w:val="center"/>
          </w:tcPr>
          <w:p w14:paraId="2E99ADF9">
            <w:pPr>
              <w:spacing w:line="46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4657" w:type="dxa"/>
            <w:vAlign w:val="center"/>
          </w:tcPr>
          <w:p w14:paraId="0F8A1808">
            <w:pPr>
              <w:autoSpaceDE w:val="0"/>
              <w:autoSpaceDN w:val="0"/>
              <w:adjustRightInd w:val="0"/>
              <w:snapToGrid w:val="0"/>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符合《中华人民共和国政府采购法》第二十二条规定的条件。近3年未受到政府部门或行业协会等处罚，在经营活动中没有重大违法记录。</w:t>
            </w:r>
          </w:p>
        </w:tc>
        <w:tc>
          <w:tcPr>
            <w:tcW w:w="3687" w:type="dxa"/>
            <w:vAlign w:val="center"/>
          </w:tcPr>
          <w:p w14:paraId="458D4F7D">
            <w:pPr>
              <w:spacing w:line="4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由供应商在《关于供应商资格的声明函》中作出承诺</w:t>
            </w:r>
          </w:p>
        </w:tc>
        <w:tc>
          <w:tcPr>
            <w:tcW w:w="1123" w:type="dxa"/>
            <w:vAlign w:val="center"/>
          </w:tcPr>
          <w:p w14:paraId="298883FE">
            <w:pPr>
              <w:spacing w:line="460" w:lineRule="exact"/>
              <w:ind w:left="0"/>
              <w:jc w:val="left"/>
              <w:rPr>
                <w:rFonts w:hint="eastAsia" w:ascii="仿宋_GB2312" w:hAnsi="仿宋_GB2312" w:eastAsia="仿宋_GB2312" w:cs="仿宋_GB2312"/>
                <w:sz w:val="24"/>
                <w:szCs w:val="24"/>
                <w:highlight w:val="none"/>
              </w:rPr>
            </w:pPr>
          </w:p>
        </w:tc>
      </w:tr>
      <w:tr w14:paraId="3578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538" w:type="dxa"/>
            <w:vAlign w:val="center"/>
          </w:tcPr>
          <w:p w14:paraId="02298FF4">
            <w:pPr>
              <w:spacing w:line="46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4657" w:type="dxa"/>
            <w:vAlign w:val="center"/>
          </w:tcPr>
          <w:p w14:paraId="32062E06">
            <w:pPr>
              <w:autoSpaceDE w:val="0"/>
              <w:autoSpaceDN w:val="0"/>
              <w:adjustRightInd w:val="0"/>
              <w:snapToGrid w:val="0"/>
              <w:spacing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未被列入“信用中国”网站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www.creditchina.gov.cn</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“记录失信被执行人或重大税收违法案件当事人名单或政府采购严重违法失信行为”记录名单；不处于中国政府采购网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www.ccgp.gov.cn</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“政府采购严重违法失信行为信息记录”中的禁止参加政府采购活动期间</w:t>
            </w:r>
            <w:r>
              <w:rPr>
                <w:rFonts w:hint="eastAsia" w:ascii="仿宋_GB2312" w:hAnsi="仿宋_GB2312" w:eastAsia="仿宋_GB2312" w:cs="仿宋_GB2312"/>
                <w:sz w:val="28"/>
                <w:szCs w:val="28"/>
                <w:highlight w:val="none"/>
                <w:lang w:eastAsia="zh-CN"/>
              </w:rPr>
              <w:t>。</w:t>
            </w:r>
          </w:p>
        </w:tc>
        <w:tc>
          <w:tcPr>
            <w:tcW w:w="3687" w:type="dxa"/>
            <w:vAlign w:val="center"/>
          </w:tcPr>
          <w:p w14:paraId="6FEEDC9E">
            <w:pPr>
              <w:spacing w:line="4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由供应商</w:t>
            </w:r>
            <w:r>
              <w:rPr>
                <w:rFonts w:hint="eastAsia" w:ascii="仿宋_GB2312" w:hAnsi="仿宋_GB2312" w:eastAsia="仿宋_GB2312" w:cs="仿宋_GB2312"/>
                <w:sz w:val="28"/>
                <w:szCs w:val="28"/>
                <w:highlight w:val="none"/>
                <w:lang w:val="en-US" w:eastAsia="zh-CN"/>
              </w:rPr>
              <w:t>提供相关证明资料</w:t>
            </w:r>
          </w:p>
        </w:tc>
        <w:tc>
          <w:tcPr>
            <w:tcW w:w="1123" w:type="dxa"/>
            <w:vAlign w:val="center"/>
          </w:tcPr>
          <w:p w14:paraId="6AE4EFC9">
            <w:pPr>
              <w:spacing w:line="460" w:lineRule="exact"/>
              <w:ind w:left="0"/>
              <w:jc w:val="left"/>
              <w:rPr>
                <w:rFonts w:hint="eastAsia" w:ascii="仿宋_GB2312" w:hAnsi="仿宋_GB2312" w:eastAsia="仿宋_GB2312" w:cs="仿宋_GB2312"/>
                <w:sz w:val="24"/>
                <w:szCs w:val="24"/>
                <w:highlight w:val="none"/>
              </w:rPr>
            </w:pPr>
          </w:p>
        </w:tc>
      </w:tr>
      <w:tr w14:paraId="6CAD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14:paraId="2BDFA987">
            <w:pPr>
              <w:spacing w:line="46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p>
        </w:tc>
        <w:tc>
          <w:tcPr>
            <w:tcW w:w="4657" w:type="dxa"/>
            <w:vAlign w:val="center"/>
          </w:tcPr>
          <w:p w14:paraId="7ADEBB5E">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本项目不接受联合体服务。</w:t>
            </w:r>
          </w:p>
        </w:tc>
        <w:tc>
          <w:tcPr>
            <w:tcW w:w="3687" w:type="dxa"/>
            <w:vAlign w:val="center"/>
          </w:tcPr>
          <w:p w14:paraId="1E038AC7">
            <w:pPr>
              <w:spacing w:line="4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由供应商在《关于供应商资格的声明函》中作出承诺</w:t>
            </w:r>
          </w:p>
        </w:tc>
        <w:tc>
          <w:tcPr>
            <w:tcW w:w="1123" w:type="dxa"/>
            <w:vAlign w:val="center"/>
          </w:tcPr>
          <w:p w14:paraId="3ACAA362">
            <w:pPr>
              <w:spacing w:line="460" w:lineRule="exact"/>
              <w:jc w:val="left"/>
              <w:rPr>
                <w:rFonts w:hint="eastAsia" w:ascii="仿宋_GB2312" w:hAnsi="仿宋_GB2312" w:eastAsia="仿宋_GB2312" w:cs="仿宋_GB2312"/>
                <w:sz w:val="24"/>
                <w:szCs w:val="24"/>
                <w:highlight w:val="none"/>
              </w:rPr>
            </w:pPr>
          </w:p>
        </w:tc>
      </w:tr>
    </w:tbl>
    <w:p w14:paraId="35F5AD77">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二、</w:t>
      </w:r>
      <w:r>
        <w:rPr>
          <w:rFonts w:hint="eastAsia" w:ascii="黑体" w:hAnsi="黑体" w:eastAsia="黑体"/>
          <w:sz w:val="32"/>
          <w:szCs w:val="32"/>
          <w:lang w:val="en-US" w:eastAsia="zh-CN"/>
        </w:rPr>
        <w:t>评审方法</w:t>
      </w:r>
    </w:p>
    <w:p w14:paraId="5FB0AD1B">
      <w:pPr>
        <w:numPr>
          <w:ilvl w:val="-1"/>
          <w:numId w:val="0"/>
        </w:numPr>
        <w:autoSpaceDE w:val="0"/>
        <w:autoSpaceDN w:val="0"/>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由湛江市就业服务管理中心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w:t>
      </w:r>
    </w:p>
    <w:p w14:paraId="31408418">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cs="Times New Roman"/>
          <w:kern w:val="2"/>
          <w:sz w:val="32"/>
          <w:szCs w:val="32"/>
          <w:lang w:val="en-US" w:eastAsia="zh-CN" w:bidi="ar-SA"/>
        </w:rPr>
        <w:t>三、</w:t>
      </w:r>
      <w:r>
        <w:rPr>
          <w:rFonts w:hint="eastAsia" w:ascii="黑体" w:hAnsi="黑体" w:eastAsia="黑体"/>
          <w:sz w:val="32"/>
          <w:szCs w:val="32"/>
        </w:rPr>
        <w:t>评分标准</w:t>
      </w:r>
    </w:p>
    <w:tbl>
      <w:tblPr>
        <w:tblStyle w:val="15"/>
        <w:tblW w:w="52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837"/>
        <w:gridCol w:w="783"/>
        <w:gridCol w:w="7120"/>
      </w:tblGrid>
      <w:tr w14:paraId="5664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18" w:type="pct"/>
            <w:vAlign w:val="center"/>
          </w:tcPr>
          <w:p w14:paraId="762E8968">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ertAlign w:val="baseline"/>
                <w:lang w:val="en-US" w:eastAsia="zh-CN"/>
              </w:rPr>
            </w:pPr>
            <w:r>
              <w:rPr>
                <w:rFonts w:hint="eastAsia" w:hAnsi="仿宋_GB2312" w:eastAsia="仿宋_GB2312" w:cs="仿宋_GB2312"/>
                <w:b/>
                <w:bCs/>
                <w:vertAlign w:val="baseline"/>
                <w:lang w:val="en-US" w:eastAsia="zh-CN"/>
              </w:rPr>
              <w:t>序号</w:t>
            </w:r>
          </w:p>
        </w:tc>
        <w:tc>
          <w:tcPr>
            <w:tcW w:w="448" w:type="pct"/>
            <w:vAlign w:val="center"/>
          </w:tcPr>
          <w:p w14:paraId="41A79087">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ertAlign w:val="baseline"/>
                <w:lang w:val="en-US" w:eastAsia="zh-CN"/>
              </w:rPr>
            </w:pPr>
            <w:r>
              <w:rPr>
                <w:rFonts w:hint="eastAsia" w:hAnsi="仿宋_GB2312" w:eastAsia="仿宋_GB2312" w:cs="仿宋_GB2312"/>
                <w:b/>
                <w:bCs/>
                <w:vertAlign w:val="baseline"/>
                <w:lang w:val="en-US" w:eastAsia="zh-CN"/>
              </w:rPr>
              <w:t>评审项目</w:t>
            </w:r>
          </w:p>
        </w:tc>
        <w:tc>
          <w:tcPr>
            <w:tcW w:w="419" w:type="pct"/>
            <w:vAlign w:val="center"/>
          </w:tcPr>
          <w:p w14:paraId="0E38DC08">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ertAlign w:val="baseline"/>
                <w:lang w:val="en-US" w:eastAsia="zh-CN"/>
              </w:rPr>
            </w:pPr>
            <w:r>
              <w:rPr>
                <w:rFonts w:hint="eastAsia" w:hAnsi="仿宋_GB2312" w:eastAsia="仿宋_GB2312" w:cs="仿宋_GB2312"/>
                <w:b/>
                <w:bCs/>
                <w:vertAlign w:val="baseline"/>
                <w:lang w:val="en-US" w:eastAsia="zh-CN"/>
              </w:rPr>
              <w:t>分值</w:t>
            </w:r>
          </w:p>
        </w:tc>
        <w:tc>
          <w:tcPr>
            <w:tcW w:w="3812" w:type="pct"/>
            <w:vAlign w:val="center"/>
          </w:tcPr>
          <w:p w14:paraId="404AFE37">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ertAlign w:val="baseline"/>
                <w:lang w:val="en-US" w:eastAsia="zh-CN"/>
              </w:rPr>
            </w:pPr>
            <w:r>
              <w:rPr>
                <w:rFonts w:hint="eastAsia" w:hAnsi="仿宋_GB2312" w:eastAsia="仿宋_GB2312" w:cs="仿宋_GB2312"/>
                <w:b/>
                <w:bCs/>
                <w:vertAlign w:val="baseline"/>
                <w:lang w:val="en-US" w:eastAsia="zh-CN"/>
              </w:rPr>
              <w:t>评分标准</w:t>
            </w:r>
          </w:p>
        </w:tc>
      </w:tr>
      <w:tr w14:paraId="182A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318" w:type="pct"/>
            <w:vAlign w:val="center"/>
          </w:tcPr>
          <w:p w14:paraId="1F8EBBEE">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1</w:t>
            </w:r>
          </w:p>
        </w:tc>
        <w:tc>
          <w:tcPr>
            <w:tcW w:w="448" w:type="pct"/>
            <w:vAlign w:val="center"/>
          </w:tcPr>
          <w:p w14:paraId="53F95D6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项目总体方案</w:t>
            </w:r>
          </w:p>
        </w:tc>
        <w:tc>
          <w:tcPr>
            <w:tcW w:w="419" w:type="pct"/>
            <w:vAlign w:val="center"/>
          </w:tcPr>
          <w:p w14:paraId="20887884">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30</w:t>
            </w:r>
          </w:p>
        </w:tc>
        <w:tc>
          <w:tcPr>
            <w:tcW w:w="3812" w:type="pct"/>
            <w:vAlign w:val="center"/>
          </w:tcPr>
          <w:p w14:paraId="62690415">
            <w:pPr>
              <w:wordWrap w:val="0"/>
              <w:spacing w:line="360" w:lineRule="exact"/>
              <w:ind w:left="0"/>
              <w:jc w:val="both"/>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spacing w:val="-1"/>
                <w:sz w:val="28"/>
                <w:szCs w:val="28"/>
              </w:rPr>
              <w:t>根据供应商针对本项目制定的项目策划执行方案进行评审，包括方案是否科学、完整、</w:t>
            </w:r>
            <w:r>
              <w:rPr>
                <w:rFonts w:hint="eastAsia" w:ascii="仿宋_GB2312" w:hAnsi="仿宋_GB2312" w:eastAsia="仿宋_GB2312" w:cs="仿宋_GB2312"/>
                <w:color w:val="auto"/>
                <w:spacing w:val="-1"/>
                <w:sz w:val="28"/>
                <w:szCs w:val="28"/>
              </w:rPr>
              <w:t>切实可行，内容是否详细、有效、清晰，是否详细阐述各阶段的工作</w:t>
            </w:r>
            <w:r>
              <w:rPr>
                <w:rFonts w:hint="eastAsia" w:ascii="仿宋_GB2312" w:hAnsi="仿宋_GB2312" w:eastAsia="仿宋_GB2312" w:cs="仿宋_GB2312"/>
                <w:color w:val="auto"/>
                <w:spacing w:val="-1"/>
                <w:sz w:val="28"/>
                <w:szCs w:val="28"/>
                <w:lang w:val="en-US" w:eastAsia="zh-CN"/>
              </w:rPr>
              <w:t>和安全应急预案</w:t>
            </w:r>
            <w:r>
              <w:rPr>
                <w:rFonts w:hint="eastAsia" w:ascii="仿宋_GB2312" w:hAnsi="仿宋_GB2312" w:eastAsia="仿宋_GB2312" w:cs="仿宋_GB2312"/>
                <w:color w:val="auto"/>
                <w:spacing w:val="-1"/>
                <w:sz w:val="28"/>
                <w:szCs w:val="28"/>
              </w:rPr>
              <w:t>等。</w:t>
            </w:r>
          </w:p>
          <w:p w14:paraId="10314078">
            <w:pPr>
              <w:wordWrap w:val="0"/>
              <w:spacing w:line="360" w:lineRule="exact"/>
              <w:ind w:left="0"/>
              <w:jc w:val="both"/>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1</w:t>
            </w:r>
            <w:r>
              <w:rPr>
                <w:rFonts w:hint="eastAsia" w:ascii="仿宋_GB2312" w:hAnsi="仿宋_GB2312" w:eastAsia="仿宋_GB2312" w:cs="仿宋_GB2312"/>
                <w:color w:val="auto"/>
                <w:spacing w:val="-1"/>
                <w:sz w:val="28"/>
                <w:szCs w:val="28"/>
                <w:lang w:val="en-US" w:eastAsia="zh-CN"/>
              </w:rPr>
              <w:t>.</w:t>
            </w:r>
            <w:r>
              <w:rPr>
                <w:rFonts w:hint="eastAsia" w:ascii="仿宋_GB2312" w:hAnsi="仿宋_GB2312" w:eastAsia="仿宋_GB2312" w:cs="仿宋_GB2312"/>
                <w:color w:val="auto"/>
                <w:spacing w:val="-1"/>
                <w:sz w:val="28"/>
                <w:szCs w:val="28"/>
              </w:rPr>
              <w:t>执行方案完整合理、针对性强，切实可行，措施具体、成熟、操作性强，总体评价优，得</w:t>
            </w:r>
            <w:r>
              <w:rPr>
                <w:rFonts w:hint="eastAsia" w:ascii="仿宋_GB2312" w:hAnsi="仿宋_GB2312" w:eastAsia="仿宋_GB2312" w:cs="仿宋_GB2312"/>
                <w:color w:val="auto"/>
                <w:spacing w:val="-1"/>
                <w:sz w:val="28"/>
                <w:szCs w:val="28"/>
                <w:lang w:val="en-US" w:eastAsia="zh-CN"/>
              </w:rPr>
              <w:t>20</w:t>
            </w:r>
            <w:r>
              <w:rPr>
                <w:rFonts w:hint="eastAsia" w:ascii="仿宋_GB2312" w:hAnsi="仿宋_GB2312" w:eastAsia="仿宋_GB2312" w:cs="仿宋_GB2312"/>
                <w:color w:val="auto"/>
                <w:spacing w:val="-1"/>
                <w:sz w:val="28"/>
                <w:szCs w:val="28"/>
              </w:rPr>
              <w:t>～</w:t>
            </w:r>
            <w:r>
              <w:rPr>
                <w:rFonts w:hint="eastAsia" w:ascii="仿宋_GB2312" w:hAnsi="仿宋_GB2312" w:eastAsia="仿宋_GB2312" w:cs="仿宋_GB2312"/>
                <w:color w:val="auto"/>
                <w:spacing w:val="-1"/>
                <w:sz w:val="28"/>
                <w:szCs w:val="28"/>
                <w:lang w:val="en-US" w:eastAsia="zh-CN"/>
              </w:rPr>
              <w:t>25</w:t>
            </w:r>
            <w:r>
              <w:rPr>
                <w:rFonts w:hint="eastAsia" w:ascii="仿宋_GB2312" w:hAnsi="仿宋_GB2312" w:eastAsia="仿宋_GB2312" w:cs="仿宋_GB2312"/>
                <w:color w:val="auto"/>
                <w:spacing w:val="-1"/>
                <w:sz w:val="28"/>
                <w:szCs w:val="28"/>
              </w:rPr>
              <w:t>分；</w:t>
            </w:r>
          </w:p>
          <w:p w14:paraId="481DB7A7">
            <w:pPr>
              <w:wordWrap w:val="0"/>
              <w:spacing w:line="360" w:lineRule="exact"/>
              <w:ind w:left="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w:t>
            </w:r>
            <w:r>
              <w:rPr>
                <w:rFonts w:hint="eastAsia" w:ascii="仿宋_GB2312" w:hAnsi="仿宋_GB2312" w:eastAsia="仿宋_GB2312" w:cs="仿宋_GB2312"/>
                <w:spacing w:val="-1"/>
                <w:sz w:val="28"/>
                <w:szCs w:val="28"/>
                <w:lang w:val="en-US" w:eastAsia="zh-CN"/>
              </w:rPr>
              <w:t>.</w:t>
            </w:r>
            <w:r>
              <w:rPr>
                <w:rFonts w:hint="eastAsia" w:ascii="仿宋_GB2312" w:hAnsi="仿宋_GB2312" w:eastAsia="仿宋_GB2312" w:cs="仿宋_GB2312"/>
                <w:spacing w:val="-1"/>
                <w:sz w:val="28"/>
                <w:szCs w:val="28"/>
              </w:rPr>
              <w:t>执行方案不够完整、合理，可行性一般，措施、操作性不够具体、成熟，总体评价一般，得</w:t>
            </w:r>
            <w:r>
              <w:rPr>
                <w:rFonts w:hint="eastAsia" w:ascii="仿宋_GB2312" w:hAnsi="仿宋_GB2312" w:eastAsia="仿宋_GB2312" w:cs="仿宋_GB2312"/>
                <w:spacing w:val="-1"/>
                <w:sz w:val="28"/>
                <w:szCs w:val="28"/>
                <w:lang w:val="en-US" w:eastAsia="zh-CN"/>
              </w:rPr>
              <w:t>10</w:t>
            </w:r>
            <w:r>
              <w:rPr>
                <w:rFonts w:hint="eastAsia" w:ascii="仿宋_GB2312" w:hAnsi="仿宋_GB2312" w:eastAsia="仿宋_GB2312" w:cs="仿宋_GB2312"/>
                <w:spacing w:val="-1"/>
                <w:sz w:val="28"/>
                <w:szCs w:val="28"/>
              </w:rPr>
              <w:t>～</w:t>
            </w:r>
            <w:r>
              <w:rPr>
                <w:rFonts w:hint="eastAsia" w:ascii="仿宋_GB2312" w:hAnsi="仿宋_GB2312" w:eastAsia="仿宋_GB2312" w:cs="仿宋_GB2312"/>
                <w:spacing w:val="-1"/>
                <w:sz w:val="28"/>
                <w:szCs w:val="28"/>
                <w:lang w:val="en-US" w:eastAsia="zh-CN"/>
              </w:rPr>
              <w:t>19</w:t>
            </w:r>
            <w:r>
              <w:rPr>
                <w:rFonts w:hint="eastAsia" w:ascii="仿宋_GB2312" w:hAnsi="仿宋_GB2312" w:eastAsia="仿宋_GB2312" w:cs="仿宋_GB2312"/>
                <w:spacing w:val="-1"/>
                <w:sz w:val="28"/>
                <w:szCs w:val="28"/>
              </w:rPr>
              <w:t>分；</w:t>
            </w:r>
          </w:p>
          <w:p w14:paraId="33F35BFE">
            <w:pPr>
              <w:wordWrap w:val="0"/>
              <w:spacing w:line="360" w:lineRule="exact"/>
              <w:ind w:left="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rPr>
              <w:t>执行方案缺失部分较多、内容简单、针对性较差，可行性差，措施、操作性不足，总体评价差，得0～</w:t>
            </w:r>
            <w:r>
              <w:rPr>
                <w:rFonts w:hint="eastAsia" w:ascii="仿宋_GB2312" w:hAnsi="仿宋_GB2312" w:eastAsia="仿宋_GB2312" w:cs="仿宋_GB2312"/>
                <w:spacing w:val="-1"/>
                <w:sz w:val="28"/>
                <w:szCs w:val="28"/>
                <w:lang w:val="en-US" w:eastAsia="zh-CN"/>
              </w:rPr>
              <w:t>9</w:t>
            </w:r>
            <w:r>
              <w:rPr>
                <w:rFonts w:hint="eastAsia" w:ascii="仿宋_GB2312" w:hAnsi="仿宋_GB2312" w:eastAsia="仿宋_GB2312" w:cs="仿宋_GB2312"/>
                <w:spacing w:val="-1"/>
                <w:sz w:val="28"/>
                <w:szCs w:val="28"/>
              </w:rPr>
              <w:t>分。</w:t>
            </w:r>
          </w:p>
          <w:p w14:paraId="77BB07B5">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pacing w:val="-1"/>
                <w:sz w:val="28"/>
                <w:szCs w:val="28"/>
              </w:rPr>
              <w:t>注：未提供相关方案的不得分。</w:t>
            </w:r>
          </w:p>
        </w:tc>
      </w:tr>
      <w:tr w14:paraId="69A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318" w:type="pct"/>
            <w:vAlign w:val="center"/>
          </w:tcPr>
          <w:p w14:paraId="686AD19A">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2</w:t>
            </w:r>
          </w:p>
        </w:tc>
        <w:tc>
          <w:tcPr>
            <w:tcW w:w="448" w:type="pct"/>
            <w:vAlign w:val="center"/>
          </w:tcPr>
          <w:p w14:paraId="2B7DC51B">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项目进度安排</w:t>
            </w:r>
          </w:p>
        </w:tc>
        <w:tc>
          <w:tcPr>
            <w:tcW w:w="419" w:type="pct"/>
            <w:vAlign w:val="center"/>
          </w:tcPr>
          <w:p w14:paraId="3A4B3B7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vertAlign w:val="baseline"/>
                <w:lang w:val="en-US" w:eastAsia="zh-CN"/>
              </w:rPr>
            </w:pPr>
            <w:r>
              <w:rPr>
                <w:rFonts w:hint="eastAsia" w:hAnsi="仿宋_GB2312" w:eastAsia="仿宋_GB2312" w:cs="仿宋_GB2312"/>
                <w:vertAlign w:val="baseline"/>
                <w:lang w:val="en-US" w:eastAsia="zh-CN"/>
              </w:rPr>
              <w:t>15</w:t>
            </w:r>
          </w:p>
        </w:tc>
        <w:tc>
          <w:tcPr>
            <w:tcW w:w="3812" w:type="pct"/>
            <w:vAlign w:val="center"/>
          </w:tcPr>
          <w:p w14:paraId="73D0E1FF">
            <w:pPr>
              <w:wordWrap w:val="0"/>
              <w:spacing w:line="360" w:lineRule="exact"/>
              <w:ind w:left="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根据供应商的</w:t>
            </w:r>
            <w:r>
              <w:rPr>
                <w:rFonts w:hint="eastAsia" w:ascii="仿宋_GB2312" w:hAnsi="仿宋_GB2312" w:eastAsia="仿宋_GB2312" w:cs="仿宋_GB2312"/>
                <w:spacing w:val="-1"/>
                <w:sz w:val="28"/>
                <w:szCs w:val="28"/>
                <w:lang w:val="en-US" w:eastAsia="zh-CN"/>
              </w:rPr>
              <w:t>项目进度规划、活动场地安排、物资物料安排、设备设施配备</w:t>
            </w:r>
            <w:r>
              <w:rPr>
                <w:rFonts w:hint="eastAsia" w:ascii="仿宋_GB2312" w:hAnsi="仿宋_GB2312" w:eastAsia="仿宋_GB2312" w:cs="仿宋_GB2312"/>
                <w:spacing w:val="-1"/>
                <w:sz w:val="28"/>
                <w:szCs w:val="28"/>
              </w:rPr>
              <w:t>的合理化程度</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合理化建议可采纳情况进行评审：</w:t>
            </w:r>
          </w:p>
          <w:p w14:paraId="5B3DBFDC">
            <w:pPr>
              <w:wordWrap w:val="0"/>
              <w:spacing w:line="360" w:lineRule="exact"/>
              <w:ind w:left="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1.工作</w:t>
            </w:r>
            <w:r>
              <w:rPr>
                <w:rFonts w:hint="eastAsia" w:ascii="仿宋_GB2312" w:hAnsi="仿宋_GB2312" w:eastAsia="仿宋_GB2312" w:cs="仿宋_GB2312"/>
                <w:spacing w:val="-1"/>
                <w:sz w:val="28"/>
                <w:szCs w:val="28"/>
                <w:lang w:eastAsia="zh-CN"/>
              </w:rPr>
              <w:t>安排</w:t>
            </w:r>
            <w:r>
              <w:rPr>
                <w:rFonts w:hint="eastAsia" w:ascii="仿宋_GB2312" w:hAnsi="仿宋_GB2312" w:eastAsia="仿宋_GB2312" w:cs="仿宋_GB2312"/>
                <w:spacing w:val="-1"/>
                <w:sz w:val="28"/>
                <w:szCs w:val="28"/>
                <w:lang w:val="en-US" w:eastAsia="zh-CN"/>
              </w:rPr>
              <w:t>进度规划、活动场地安排、物资物料安排、设备设施配备</w:t>
            </w:r>
            <w:r>
              <w:rPr>
                <w:rFonts w:hint="eastAsia" w:ascii="仿宋_GB2312" w:hAnsi="仿宋_GB2312" w:eastAsia="仿宋_GB2312" w:cs="仿宋_GB2312"/>
                <w:spacing w:val="-1"/>
                <w:sz w:val="28"/>
                <w:szCs w:val="28"/>
              </w:rPr>
              <w:t>的合理化程度高，合理化建议高效的，得</w:t>
            </w:r>
            <w:r>
              <w:rPr>
                <w:rFonts w:hint="eastAsia" w:ascii="仿宋_GB2312" w:hAnsi="仿宋_GB2312" w:eastAsia="仿宋_GB2312" w:cs="仿宋_GB2312"/>
                <w:spacing w:val="-1"/>
                <w:sz w:val="28"/>
                <w:szCs w:val="28"/>
                <w:lang w:val="en-US" w:eastAsia="zh-CN"/>
              </w:rPr>
              <w:t>10</w:t>
            </w:r>
            <w:r>
              <w:rPr>
                <w:rFonts w:hint="eastAsia" w:ascii="仿宋_GB2312" w:hAnsi="仿宋_GB2312" w:eastAsia="仿宋_GB2312" w:cs="仿宋_GB2312"/>
                <w:spacing w:val="-1"/>
                <w:sz w:val="28"/>
                <w:szCs w:val="28"/>
              </w:rPr>
              <w:t>～1</w:t>
            </w: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rPr>
              <w:t>分。</w:t>
            </w:r>
          </w:p>
          <w:p w14:paraId="41B9F5AA">
            <w:pPr>
              <w:wordWrap w:val="0"/>
              <w:spacing w:line="360" w:lineRule="exact"/>
              <w:ind w:left="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2.工作</w:t>
            </w:r>
            <w:r>
              <w:rPr>
                <w:rFonts w:hint="eastAsia" w:ascii="仿宋_GB2312" w:hAnsi="仿宋_GB2312" w:eastAsia="仿宋_GB2312" w:cs="仿宋_GB2312"/>
                <w:spacing w:val="-1"/>
                <w:sz w:val="28"/>
                <w:szCs w:val="28"/>
                <w:lang w:eastAsia="zh-CN"/>
              </w:rPr>
              <w:t>安排</w:t>
            </w:r>
            <w:r>
              <w:rPr>
                <w:rFonts w:hint="eastAsia" w:ascii="仿宋_GB2312" w:hAnsi="仿宋_GB2312" w:eastAsia="仿宋_GB2312" w:cs="仿宋_GB2312"/>
                <w:spacing w:val="-1"/>
                <w:sz w:val="28"/>
                <w:szCs w:val="28"/>
                <w:lang w:val="en-US" w:eastAsia="zh-CN"/>
              </w:rPr>
              <w:t>进度规划、活动场地安排、物资物料安排、设备设施配备</w:t>
            </w:r>
            <w:r>
              <w:rPr>
                <w:rFonts w:hint="eastAsia" w:ascii="仿宋_GB2312" w:hAnsi="仿宋_GB2312" w:eastAsia="仿宋_GB2312" w:cs="仿宋_GB2312"/>
                <w:spacing w:val="-1"/>
                <w:sz w:val="28"/>
                <w:szCs w:val="28"/>
              </w:rPr>
              <w:t>的合理化程度一般，合理化建议一般的，得</w:t>
            </w: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rPr>
              <w:t>～</w:t>
            </w:r>
            <w:r>
              <w:rPr>
                <w:rFonts w:hint="eastAsia" w:ascii="仿宋_GB2312" w:hAnsi="仿宋_GB2312" w:eastAsia="仿宋_GB2312" w:cs="仿宋_GB2312"/>
                <w:spacing w:val="-1"/>
                <w:sz w:val="28"/>
                <w:szCs w:val="28"/>
                <w:lang w:val="en-US" w:eastAsia="zh-CN"/>
              </w:rPr>
              <w:t>9</w:t>
            </w:r>
            <w:r>
              <w:rPr>
                <w:rFonts w:hint="eastAsia" w:ascii="仿宋_GB2312" w:hAnsi="仿宋_GB2312" w:eastAsia="仿宋_GB2312" w:cs="仿宋_GB2312"/>
                <w:spacing w:val="-1"/>
                <w:sz w:val="28"/>
                <w:szCs w:val="28"/>
              </w:rPr>
              <w:t>分。</w:t>
            </w:r>
          </w:p>
          <w:p w14:paraId="034022F0">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rPr>
              <w:t>工作</w:t>
            </w:r>
            <w:r>
              <w:rPr>
                <w:rFonts w:hint="eastAsia" w:ascii="仿宋_GB2312" w:hAnsi="仿宋_GB2312" w:eastAsia="仿宋_GB2312" w:cs="仿宋_GB2312"/>
                <w:spacing w:val="-1"/>
                <w:sz w:val="28"/>
                <w:szCs w:val="28"/>
                <w:lang w:eastAsia="zh-CN"/>
              </w:rPr>
              <w:t>安排</w:t>
            </w:r>
            <w:r>
              <w:rPr>
                <w:rFonts w:hint="eastAsia" w:ascii="仿宋_GB2312" w:hAnsi="仿宋_GB2312" w:eastAsia="仿宋_GB2312" w:cs="仿宋_GB2312"/>
                <w:spacing w:val="-1"/>
                <w:sz w:val="28"/>
                <w:szCs w:val="28"/>
                <w:lang w:val="en-US" w:eastAsia="zh-CN"/>
              </w:rPr>
              <w:t>进度规划、活动场地安排、物资物料安排、设备设施配备</w:t>
            </w:r>
            <w:r>
              <w:rPr>
                <w:rFonts w:hint="eastAsia" w:ascii="仿宋_GB2312" w:hAnsi="仿宋_GB2312" w:eastAsia="仿宋_GB2312" w:cs="仿宋_GB2312"/>
                <w:spacing w:val="-1"/>
                <w:sz w:val="28"/>
                <w:szCs w:val="28"/>
              </w:rPr>
              <w:t>的合理化程度较差，合理化建议不适用的，得</w:t>
            </w: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rPr>
              <w:t>～</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rPr>
              <w:t>分。</w:t>
            </w:r>
          </w:p>
        </w:tc>
      </w:tr>
      <w:tr w14:paraId="7A87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318" w:type="pct"/>
            <w:vAlign w:val="center"/>
          </w:tcPr>
          <w:p w14:paraId="67317AE6">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3</w:t>
            </w:r>
          </w:p>
        </w:tc>
        <w:tc>
          <w:tcPr>
            <w:tcW w:w="448" w:type="pct"/>
            <w:vAlign w:val="center"/>
          </w:tcPr>
          <w:p w14:paraId="2A5DFEB0">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仿宋_GB2312" w:eastAsia="仿宋_GB2312" w:cs="仿宋_GB2312"/>
                <w:vertAlign w:val="baseline"/>
                <w:lang w:val="en-US" w:eastAsia="zh-CN"/>
              </w:rPr>
            </w:pPr>
            <w:r>
              <w:rPr>
                <w:rFonts w:hint="eastAsia" w:ascii="仿宋_GB2312" w:hAnsi="仿宋_GB2312" w:eastAsia="仿宋_GB2312" w:cs="仿宋_GB2312"/>
                <w:sz w:val="28"/>
                <w:szCs w:val="28"/>
              </w:rPr>
              <w:t>同类业绩</w:t>
            </w:r>
          </w:p>
        </w:tc>
        <w:tc>
          <w:tcPr>
            <w:tcW w:w="419" w:type="pct"/>
            <w:vAlign w:val="center"/>
          </w:tcPr>
          <w:p w14:paraId="4DFF5735">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15</w:t>
            </w:r>
          </w:p>
        </w:tc>
        <w:tc>
          <w:tcPr>
            <w:tcW w:w="3812" w:type="pct"/>
            <w:vAlign w:val="center"/>
          </w:tcPr>
          <w:p w14:paraId="78898FB6">
            <w:pPr>
              <w:wordWrap w:val="0"/>
              <w:spacing w:line="360" w:lineRule="exact"/>
              <w:ind w:left="0"/>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lang w:val="en-US" w:eastAsia="zh-CN"/>
              </w:rPr>
              <w:t>根据</w:t>
            </w:r>
            <w:r>
              <w:rPr>
                <w:rFonts w:hint="eastAsia" w:ascii="仿宋_GB2312" w:hAnsi="仿宋_GB2312" w:eastAsia="仿宋_GB2312" w:cs="仿宋_GB2312"/>
                <w:spacing w:val="-1"/>
                <w:sz w:val="28"/>
                <w:szCs w:val="28"/>
              </w:rPr>
              <w:t>供应商202</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rPr>
              <w:t>年以来（以合同签订日期</w:t>
            </w:r>
            <w:r>
              <w:rPr>
                <w:rFonts w:hint="eastAsia" w:ascii="仿宋_GB2312" w:hAnsi="仿宋_GB2312" w:eastAsia="仿宋_GB2312" w:cs="仿宋_GB2312"/>
                <w:spacing w:val="-1"/>
                <w:sz w:val="28"/>
                <w:szCs w:val="28"/>
                <w:highlight w:val="none"/>
              </w:rPr>
              <w:t>为准）有为政府部门组织</w:t>
            </w:r>
            <w:r>
              <w:rPr>
                <w:rFonts w:hint="eastAsia" w:ascii="仿宋_GB2312" w:hAnsi="仿宋_GB2312" w:eastAsia="仿宋_GB2312" w:cs="仿宋_GB2312"/>
                <w:spacing w:val="-1"/>
                <w:sz w:val="28"/>
                <w:szCs w:val="28"/>
                <w:highlight w:val="none"/>
                <w:lang w:val="en-US" w:eastAsia="zh-CN"/>
              </w:rPr>
              <w:t>过</w:t>
            </w:r>
            <w:r>
              <w:rPr>
                <w:rFonts w:hint="eastAsia" w:ascii="仿宋_GB2312" w:hAnsi="仿宋_GB2312" w:eastAsia="仿宋_GB2312" w:cs="仿宋_GB2312"/>
                <w:spacing w:val="-1"/>
                <w:sz w:val="28"/>
                <w:szCs w:val="28"/>
                <w:highlight w:val="none"/>
              </w:rPr>
              <w:t>职业指导</w:t>
            </w:r>
            <w:r>
              <w:rPr>
                <w:rFonts w:hint="eastAsia" w:ascii="仿宋_GB2312" w:hAnsi="仿宋_GB2312" w:eastAsia="仿宋_GB2312" w:cs="仿宋_GB2312"/>
                <w:spacing w:val="-1"/>
                <w:sz w:val="28"/>
                <w:szCs w:val="28"/>
                <w:highlight w:val="none"/>
                <w:lang w:val="en-US" w:eastAsia="zh-CN"/>
              </w:rPr>
              <w:t>活动、培训班、就业创业活动、高校毕业生服务、求职能力培训</w:t>
            </w:r>
            <w:r>
              <w:rPr>
                <w:rFonts w:hint="eastAsia" w:ascii="仿宋_GB2312" w:hAnsi="仿宋_GB2312" w:eastAsia="仿宋_GB2312" w:cs="仿宋_GB2312"/>
                <w:spacing w:val="-1"/>
                <w:sz w:val="28"/>
                <w:szCs w:val="28"/>
                <w:highlight w:val="none"/>
              </w:rPr>
              <w:t>活动</w:t>
            </w:r>
            <w:r>
              <w:rPr>
                <w:rFonts w:hint="eastAsia" w:ascii="仿宋_GB2312" w:hAnsi="仿宋_GB2312" w:eastAsia="仿宋_GB2312" w:cs="仿宋_GB2312"/>
                <w:spacing w:val="-1"/>
                <w:sz w:val="28"/>
                <w:szCs w:val="28"/>
                <w:highlight w:val="none"/>
                <w:lang w:eastAsia="zh-CN"/>
              </w:rPr>
              <w:t>的</w:t>
            </w:r>
            <w:r>
              <w:rPr>
                <w:rFonts w:hint="eastAsia" w:ascii="仿宋_GB2312" w:hAnsi="仿宋_GB2312" w:eastAsia="仿宋_GB2312" w:cs="仿宋_GB2312"/>
                <w:spacing w:val="-1"/>
                <w:sz w:val="28"/>
                <w:szCs w:val="28"/>
                <w:highlight w:val="none"/>
              </w:rPr>
              <w:t>经验业绩进行评审</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有</w:t>
            </w:r>
            <w:r>
              <w:rPr>
                <w:rFonts w:hint="eastAsia" w:ascii="仿宋_GB2312" w:hAnsi="仿宋_GB2312" w:eastAsia="仿宋_GB2312" w:cs="仿宋_GB2312"/>
                <w:spacing w:val="-1"/>
                <w:sz w:val="28"/>
                <w:szCs w:val="28"/>
                <w:highlight w:val="none"/>
              </w:rPr>
              <w:t>组织过</w:t>
            </w:r>
            <w:r>
              <w:rPr>
                <w:rFonts w:hint="eastAsia" w:ascii="仿宋_GB2312" w:hAnsi="仿宋_GB2312" w:eastAsia="仿宋_GB2312" w:cs="仿宋_GB2312"/>
                <w:spacing w:val="-1"/>
                <w:sz w:val="28"/>
                <w:szCs w:val="28"/>
                <w:highlight w:val="none"/>
                <w:lang w:val="en-US" w:eastAsia="zh-CN"/>
              </w:rPr>
              <w:t>上述</w:t>
            </w:r>
            <w:r>
              <w:rPr>
                <w:rFonts w:hint="eastAsia" w:ascii="仿宋_GB2312" w:hAnsi="仿宋_GB2312" w:eastAsia="仿宋_GB2312" w:cs="仿宋_GB2312"/>
                <w:spacing w:val="-1"/>
                <w:sz w:val="28"/>
                <w:szCs w:val="28"/>
                <w:highlight w:val="none"/>
              </w:rPr>
              <w:t>活动的，每</w:t>
            </w:r>
            <w:r>
              <w:rPr>
                <w:rFonts w:hint="eastAsia" w:ascii="仿宋_GB2312" w:hAnsi="仿宋_GB2312" w:eastAsia="仿宋_GB2312" w:cs="仿宋_GB2312"/>
                <w:spacing w:val="-1"/>
                <w:sz w:val="28"/>
                <w:szCs w:val="28"/>
                <w:highlight w:val="none"/>
                <w:lang w:val="en-US" w:eastAsia="zh-CN"/>
              </w:rPr>
              <w:t>场</w:t>
            </w:r>
            <w:r>
              <w:rPr>
                <w:rFonts w:hint="eastAsia" w:ascii="仿宋_GB2312" w:hAnsi="仿宋_GB2312" w:eastAsia="仿宋_GB2312" w:cs="仿宋_GB2312"/>
                <w:spacing w:val="-1"/>
                <w:sz w:val="28"/>
                <w:szCs w:val="28"/>
                <w:highlight w:val="none"/>
              </w:rPr>
              <w:t>次得</w:t>
            </w:r>
            <w:r>
              <w:rPr>
                <w:rFonts w:hint="eastAsia" w:ascii="仿宋_GB2312" w:hAnsi="仿宋_GB2312" w:eastAsia="仿宋_GB2312" w:cs="仿宋_GB2312"/>
                <w:spacing w:val="-1"/>
                <w:sz w:val="28"/>
                <w:szCs w:val="28"/>
                <w:highlight w:val="none"/>
                <w:lang w:val="en-US" w:eastAsia="zh-CN"/>
              </w:rPr>
              <w:t>3</w:t>
            </w:r>
            <w:r>
              <w:rPr>
                <w:rFonts w:hint="eastAsia" w:ascii="仿宋_GB2312" w:hAnsi="仿宋_GB2312" w:eastAsia="仿宋_GB2312" w:cs="仿宋_GB2312"/>
                <w:spacing w:val="-1"/>
                <w:sz w:val="28"/>
                <w:szCs w:val="28"/>
                <w:highlight w:val="none"/>
              </w:rPr>
              <w:t>分，不提供不得分。</w:t>
            </w:r>
          </w:p>
          <w:p w14:paraId="7CF04678">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rPr>
              <w:t>注：投标人须提供上述项</w:t>
            </w:r>
            <w:r>
              <w:rPr>
                <w:rFonts w:hint="eastAsia" w:ascii="仿宋_GB2312" w:hAnsi="仿宋_GB2312" w:eastAsia="仿宋_GB2312" w:cs="仿宋_GB2312"/>
                <w:spacing w:val="-1"/>
                <w:sz w:val="28"/>
                <w:szCs w:val="28"/>
                <w:highlight w:val="none"/>
              </w:rPr>
              <w:t>目经验的合同关键页复印件</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rPr>
              <w:t>活动签到表</w:t>
            </w:r>
            <w:r>
              <w:rPr>
                <w:rFonts w:hint="eastAsia" w:ascii="仿宋_GB2312" w:hAnsi="仿宋_GB2312" w:eastAsia="仿宋_GB2312" w:cs="仿宋_GB2312"/>
                <w:spacing w:val="-1"/>
                <w:sz w:val="28"/>
                <w:szCs w:val="28"/>
                <w:highlight w:val="none"/>
                <w:lang w:val="en-US" w:eastAsia="zh-CN"/>
              </w:rPr>
              <w:t>和</w:t>
            </w:r>
            <w:r>
              <w:rPr>
                <w:rFonts w:hint="eastAsia" w:ascii="仿宋_GB2312" w:hAnsi="仿宋_GB2312" w:eastAsia="仿宋_GB2312" w:cs="仿宋_GB2312"/>
                <w:spacing w:val="-1"/>
                <w:sz w:val="28"/>
                <w:szCs w:val="28"/>
                <w:highlight w:val="none"/>
              </w:rPr>
              <w:t>现场照片</w:t>
            </w:r>
            <w:r>
              <w:rPr>
                <w:rFonts w:hint="eastAsia" w:ascii="仿宋_GB2312" w:hAnsi="仿宋_GB2312" w:eastAsia="仿宋_GB2312" w:cs="仿宋_GB2312"/>
                <w:spacing w:val="-1"/>
                <w:sz w:val="28"/>
                <w:szCs w:val="28"/>
                <w:highlight w:val="none"/>
                <w:lang w:val="en-US" w:eastAsia="zh-CN"/>
              </w:rPr>
              <w:t>等</w:t>
            </w:r>
            <w:r>
              <w:rPr>
                <w:rFonts w:hint="eastAsia" w:ascii="仿宋_GB2312" w:hAnsi="仿宋_GB2312" w:eastAsia="仿宋_GB2312" w:cs="仿宋_GB2312"/>
                <w:spacing w:val="-1"/>
                <w:sz w:val="28"/>
                <w:szCs w:val="28"/>
                <w:highlight w:val="none"/>
              </w:rPr>
              <w:t>；同一项目中不同地市的多场活动可累加得分。</w:t>
            </w:r>
            <w:r>
              <w:rPr>
                <w:rFonts w:hint="eastAsia" w:ascii="仿宋_GB2312" w:hAnsi="仿宋_GB2312" w:eastAsia="仿宋_GB2312" w:cs="仿宋_GB2312"/>
                <w:spacing w:val="-1"/>
                <w:sz w:val="28"/>
                <w:szCs w:val="28"/>
                <w:highlight w:val="none"/>
                <w:lang w:val="en-US" w:eastAsia="zh-CN"/>
              </w:rPr>
              <w:t>上述材料需</w:t>
            </w:r>
            <w:r>
              <w:rPr>
                <w:rFonts w:hint="eastAsia" w:ascii="仿宋_GB2312" w:hAnsi="仿宋_GB2312" w:eastAsia="仿宋_GB2312" w:cs="仿宋_GB2312"/>
                <w:spacing w:val="-1"/>
                <w:sz w:val="28"/>
                <w:szCs w:val="28"/>
                <w:highlight w:val="none"/>
              </w:rPr>
              <w:t>加盖供应商单位</w:t>
            </w:r>
            <w:r>
              <w:rPr>
                <w:rFonts w:hint="eastAsia" w:ascii="仿宋_GB2312" w:hAnsi="仿宋_GB2312" w:eastAsia="仿宋_GB2312" w:cs="仿宋_GB2312"/>
                <w:spacing w:val="-1"/>
                <w:sz w:val="28"/>
                <w:szCs w:val="28"/>
              </w:rPr>
              <w:t>公章。</w:t>
            </w:r>
          </w:p>
        </w:tc>
      </w:tr>
      <w:tr w14:paraId="4941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318" w:type="pct"/>
            <w:vAlign w:val="center"/>
          </w:tcPr>
          <w:p w14:paraId="248629FB">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4</w:t>
            </w:r>
          </w:p>
        </w:tc>
        <w:tc>
          <w:tcPr>
            <w:tcW w:w="448" w:type="pct"/>
            <w:vAlign w:val="center"/>
          </w:tcPr>
          <w:p w14:paraId="7630C22B">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团队服务能力</w:t>
            </w:r>
          </w:p>
        </w:tc>
        <w:tc>
          <w:tcPr>
            <w:tcW w:w="419" w:type="pct"/>
            <w:vAlign w:val="center"/>
          </w:tcPr>
          <w:p w14:paraId="14B6D039">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10</w:t>
            </w:r>
          </w:p>
        </w:tc>
        <w:tc>
          <w:tcPr>
            <w:tcW w:w="3812" w:type="pct"/>
            <w:vAlign w:val="center"/>
          </w:tcPr>
          <w:p w14:paraId="6DD2695E">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根据供应商拟投入本项目的人员情况</w:t>
            </w:r>
            <w:r>
              <w:rPr>
                <w:rFonts w:hint="eastAsia" w:hAnsi="仿宋_GB2312" w:eastAsia="仿宋_GB2312" w:cs="仿宋_GB2312"/>
                <w:spacing w:val="-1"/>
                <w:sz w:val="28"/>
                <w:szCs w:val="28"/>
                <w:lang w:eastAsia="zh-CN"/>
              </w:rPr>
              <w:t>（</w:t>
            </w:r>
            <w:r>
              <w:rPr>
                <w:rFonts w:hint="eastAsia" w:hAnsi="仿宋_GB2312" w:eastAsia="仿宋_GB2312" w:cs="仿宋_GB2312"/>
                <w:spacing w:val="-1"/>
                <w:sz w:val="28"/>
                <w:szCs w:val="28"/>
                <w:lang w:val="en-US" w:eastAsia="zh-CN"/>
              </w:rPr>
              <w:t>含师资队伍</w:t>
            </w:r>
            <w:r>
              <w:rPr>
                <w:rFonts w:hint="eastAsia"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进行综合评审：</w:t>
            </w:r>
          </w:p>
          <w:p w14:paraId="6A716E2F">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1.供应商配备服务团队的数量充足，综合能力强，具有很强的沟通协调能力，得10分；</w:t>
            </w:r>
          </w:p>
          <w:p w14:paraId="23AF2885">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2.供应商配备服务团队的数量较充足，综合能力较强，具有较强的沟通协调能力，得7分；</w:t>
            </w:r>
          </w:p>
          <w:p w14:paraId="25A6839B">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3.响应供应商配备服务团队的数量基本满足需求，综合能力一般，沟通协调能力一般，得4分；</w:t>
            </w:r>
          </w:p>
          <w:p w14:paraId="223B7B93">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4.不提供得0分。</w:t>
            </w:r>
          </w:p>
        </w:tc>
      </w:tr>
      <w:tr w14:paraId="5105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318" w:type="pct"/>
            <w:vAlign w:val="center"/>
          </w:tcPr>
          <w:p w14:paraId="3B336141">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5</w:t>
            </w:r>
          </w:p>
        </w:tc>
        <w:tc>
          <w:tcPr>
            <w:tcW w:w="448" w:type="pct"/>
            <w:vAlign w:val="center"/>
          </w:tcPr>
          <w:p w14:paraId="28FC6DD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后续跟踪就业服务安排</w:t>
            </w:r>
          </w:p>
        </w:tc>
        <w:tc>
          <w:tcPr>
            <w:tcW w:w="419" w:type="pct"/>
            <w:vAlign w:val="center"/>
          </w:tcPr>
          <w:p w14:paraId="41A4227C">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10</w:t>
            </w:r>
          </w:p>
        </w:tc>
        <w:tc>
          <w:tcPr>
            <w:tcW w:w="3812" w:type="pct"/>
            <w:vAlign w:val="center"/>
          </w:tcPr>
          <w:p w14:paraId="79921BED">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hAnsi="仿宋_GB2312" w:eastAsia="仿宋_GB2312" w:cs="仿宋_GB2312"/>
                <w:spacing w:val="-1"/>
                <w:sz w:val="28"/>
                <w:szCs w:val="28"/>
                <w:lang w:val="en-US" w:eastAsia="zh-CN"/>
              </w:rPr>
            </w:pPr>
            <w:r>
              <w:rPr>
                <w:rFonts w:hint="default" w:hAnsi="仿宋_GB2312" w:eastAsia="仿宋_GB2312" w:cs="仿宋_GB2312"/>
                <w:spacing w:val="-1"/>
                <w:sz w:val="28"/>
                <w:szCs w:val="28"/>
                <w:lang w:val="en-US" w:eastAsia="zh-CN"/>
              </w:rPr>
              <w:t>结业后6个月</w:t>
            </w:r>
            <w:r>
              <w:rPr>
                <w:rFonts w:hint="eastAsia" w:hAnsi="仿宋_GB2312" w:eastAsia="仿宋_GB2312" w:cs="仿宋_GB2312"/>
                <w:spacing w:val="-1"/>
                <w:sz w:val="28"/>
                <w:szCs w:val="28"/>
                <w:lang w:val="en-US" w:eastAsia="zh-CN"/>
              </w:rPr>
              <w:t>内的</w:t>
            </w:r>
            <w:r>
              <w:rPr>
                <w:rFonts w:hint="default" w:hAnsi="仿宋_GB2312" w:eastAsia="仿宋_GB2312" w:cs="仿宋_GB2312"/>
                <w:spacing w:val="-1"/>
                <w:sz w:val="28"/>
                <w:szCs w:val="28"/>
                <w:lang w:val="en-US" w:eastAsia="zh-CN"/>
              </w:rPr>
              <w:t>学员跟踪就</w:t>
            </w:r>
            <w:r>
              <w:rPr>
                <w:rFonts w:hint="default" w:hAnsi="仿宋_GB2312" w:eastAsia="仿宋_GB2312" w:cs="仿宋_GB2312"/>
                <w:color w:val="auto"/>
                <w:spacing w:val="-1"/>
                <w:sz w:val="28"/>
                <w:szCs w:val="28"/>
                <w:lang w:val="en-US" w:eastAsia="zh-CN"/>
              </w:rPr>
              <w:t>业服务</w:t>
            </w:r>
            <w:r>
              <w:rPr>
                <w:rFonts w:hint="eastAsia" w:hAnsi="仿宋_GB2312" w:eastAsia="仿宋_GB2312" w:cs="仿宋_GB2312"/>
                <w:color w:val="auto"/>
                <w:spacing w:val="-1"/>
                <w:sz w:val="28"/>
                <w:szCs w:val="28"/>
                <w:lang w:val="en-US" w:eastAsia="zh-CN"/>
              </w:rPr>
              <w:t>计划安排</w:t>
            </w:r>
            <w:r>
              <w:rPr>
                <w:rFonts w:hint="eastAsia" w:hAnsi="仿宋_GB2312" w:eastAsia="仿宋_GB2312" w:cs="仿宋_GB2312"/>
                <w:spacing w:val="-1"/>
                <w:sz w:val="28"/>
                <w:szCs w:val="28"/>
                <w:lang w:val="en-US" w:eastAsia="zh-CN"/>
              </w:rPr>
              <w:t>。</w:t>
            </w:r>
          </w:p>
          <w:p w14:paraId="7B7D9859">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hAnsi="仿宋_GB2312" w:eastAsia="仿宋_GB2312" w:cs="仿宋_GB2312"/>
                <w:spacing w:val="-1"/>
                <w:sz w:val="28"/>
                <w:szCs w:val="28"/>
                <w:lang w:val="en-US" w:eastAsia="zh-CN"/>
              </w:rPr>
            </w:pPr>
            <w:r>
              <w:rPr>
                <w:rFonts w:hint="eastAsia" w:hAnsi="仿宋_GB2312" w:eastAsia="仿宋_GB2312" w:cs="仿宋_GB2312"/>
                <w:spacing w:val="-1"/>
                <w:sz w:val="28"/>
                <w:szCs w:val="28"/>
                <w:lang w:val="en-US" w:eastAsia="zh-CN"/>
              </w:rPr>
              <w:t>明确设置结业1周、3个月、6个月三阶段全覆盖回访，配套《参训学员后续支持记录表》台账制度，方案完善得10分；缺少任一回访节点扣2分，不提供方案不得分。</w:t>
            </w:r>
          </w:p>
        </w:tc>
      </w:tr>
      <w:tr w14:paraId="6F4D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318" w:type="pct"/>
            <w:vAlign w:val="center"/>
          </w:tcPr>
          <w:p w14:paraId="5F5FDC16">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6</w:t>
            </w:r>
          </w:p>
        </w:tc>
        <w:tc>
          <w:tcPr>
            <w:tcW w:w="448" w:type="pct"/>
            <w:vAlign w:val="center"/>
          </w:tcPr>
          <w:p w14:paraId="2F6838B4">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lang w:val="en-US" w:eastAsia="zh-CN"/>
              </w:rPr>
            </w:pPr>
            <w:r>
              <w:rPr>
                <w:rFonts w:hint="eastAsia" w:hAnsi="仿宋_GB2312" w:eastAsia="仿宋_GB2312" w:cs="仿宋_GB2312"/>
                <w:sz w:val="28"/>
                <w:szCs w:val="28"/>
                <w:lang w:val="en-US" w:eastAsia="zh-CN"/>
              </w:rPr>
              <w:t>价格评分</w:t>
            </w:r>
          </w:p>
        </w:tc>
        <w:tc>
          <w:tcPr>
            <w:tcW w:w="419" w:type="pct"/>
            <w:vAlign w:val="center"/>
          </w:tcPr>
          <w:p w14:paraId="5833DAF7">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hAnsi="仿宋_GB2312" w:eastAsia="仿宋_GB2312" w:cs="仿宋_GB2312"/>
                <w:vertAlign w:val="baseline"/>
                <w:lang w:val="en-US" w:eastAsia="zh-CN"/>
              </w:rPr>
            </w:pPr>
            <w:r>
              <w:rPr>
                <w:rFonts w:hint="eastAsia" w:hAnsi="仿宋_GB2312" w:eastAsia="仿宋_GB2312" w:cs="仿宋_GB2312"/>
                <w:vertAlign w:val="baseline"/>
                <w:lang w:val="en-US" w:eastAsia="zh-CN"/>
              </w:rPr>
              <w:t>20</w:t>
            </w:r>
          </w:p>
        </w:tc>
        <w:tc>
          <w:tcPr>
            <w:tcW w:w="3812" w:type="pct"/>
            <w:vAlign w:val="center"/>
          </w:tcPr>
          <w:p w14:paraId="2E597012">
            <w:pPr>
              <w:wordWrap w:val="0"/>
              <w:spacing w:line="360" w:lineRule="exact"/>
              <w:ind w:left="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计算价格评分统一采用低价优先法计算，各有效投标人的评标价中，取最低价为评标基准价，其价格为满分，其他投标人的价格分统一按照下列公式计算：价格评分=（评分基准价/评标价）×</w:t>
            </w:r>
            <w:r>
              <w:rPr>
                <w:rFonts w:hint="eastAsia" w:ascii="仿宋_GB2312" w:hAnsi="仿宋_GB2312" w:eastAsia="仿宋_GB2312" w:cs="仿宋_GB2312"/>
                <w:spacing w:val="-1"/>
                <w:sz w:val="28"/>
                <w:szCs w:val="28"/>
                <w:lang w:val="en-US" w:eastAsia="zh-CN"/>
              </w:rPr>
              <w:t>20</w:t>
            </w:r>
            <w:r>
              <w:rPr>
                <w:rFonts w:hint="eastAsia" w:ascii="仿宋_GB2312" w:hAnsi="仿宋_GB2312" w:eastAsia="仿宋_GB2312" w:cs="仿宋_GB2312"/>
                <w:spacing w:val="-1"/>
                <w:sz w:val="28"/>
                <w:szCs w:val="28"/>
              </w:rPr>
              <w:t>分</w:t>
            </w:r>
          </w:p>
          <w:p w14:paraId="371E26AB">
            <w:pPr>
              <w:pStyle w:val="6"/>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14:paraId="682DAA70">
      <w:pPr>
        <w:spacing w:after="60"/>
        <w:rPr>
          <w:vanish/>
        </w:rPr>
      </w:pPr>
    </w:p>
    <w:sectPr>
      <w:pgSz w:w="11905" w:h="16837"/>
      <w:pgMar w:top="1587" w:right="1588" w:bottom="1587" w:left="1588"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535B50"/>
    <w:rsid w:val="16137F76"/>
    <w:rsid w:val="16F36B74"/>
    <w:rsid w:val="17F418F3"/>
    <w:rsid w:val="1A755971"/>
    <w:rsid w:val="2B30453E"/>
    <w:rsid w:val="496B6B1F"/>
    <w:rsid w:val="6D001145"/>
    <w:rsid w:val="74A94BB8"/>
    <w:rsid w:val="C79D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3">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5">
    <w:name w:val="annotation text"/>
    <w:basedOn w:val="1"/>
    <w:qFormat/>
    <w:uiPriority w:val="0"/>
  </w:style>
  <w:style w:type="paragraph" w:styleId="6">
    <w:name w:val="Body Text"/>
    <w:basedOn w:val="1"/>
    <w:qFormat/>
    <w:uiPriority w:val="0"/>
    <w:pPr>
      <w:spacing w:line="360" w:lineRule="auto"/>
    </w:pPr>
    <w:rPr>
      <w:rFonts w:ascii="仿宋_GB2312"/>
      <w:sz w:val="28"/>
    </w:rPr>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qFormat/>
    <w:uiPriority w:val="99"/>
    <w:rPr>
      <w:sz w:val="18"/>
      <w:szCs w:val="18"/>
    </w:rPr>
  </w:style>
  <w:style w:type="paragraph" w:styleId="10">
    <w:name w:val="footer"/>
    <w:basedOn w:val="1"/>
    <w:next w:val="11"/>
    <w:link w:val="22"/>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宋体" w:cs="宋体"/>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3"/>
    <w:qFormat/>
    <w:uiPriority w:val="0"/>
    <w:rPr>
      <w:rFonts w:ascii="Arial" w:hAnsi="Arial" w:eastAsia="黑体" w:cs="Times New Roman"/>
      <w:b/>
      <w:bCs/>
      <w:kern w:val="0"/>
      <w:sz w:val="32"/>
      <w:szCs w:val="32"/>
    </w:rPr>
  </w:style>
  <w:style w:type="paragraph" w:customStyle="1" w:styleId="24">
    <w:name w:val="修订1"/>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3ab14497-c28a-4130-a336-1f5456539089</errorID>
      <errorWord>(</errorWord>
      <group>L1_Format</group>
      <groupName>格式问题</groupName>
      <ability>L2_HalfPunc</ability>
      <abilityName>全半角检查</abilityName>
      <candidateList>
        <item>（</item>
      </candidateList>
      <explain>文本全半角错误。</explain>
      <paraID>32062E06</paraID>
      <start>12</start>
      <end>13</end>
      <status>modified</status>
      <modifiedWord>（</modifiedWord>
      <trackRevisions>false</trackRevisions>
    </reviewItem>
    <reviewItem>
      <errorID>2635c142-2468-435c-8626-5d1ecad64891</errorID>
      <errorWord>)</errorWord>
      <group>L1_Format</group>
      <groupName>格式问题</groupName>
      <ability>L2_HalfPunc</ability>
      <abilityName>全半角检查</abilityName>
      <candidateList>
        <item>）</item>
      </candidateList>
      <explain>文本全半角错误。</explain>
      <paraID>32062E06</paraID>
      <start>35</start>
      <end>36</end>
      <status>modified</status>
      <modifiedWord>）</modifiedWord>
      <trackRevisions>false</trackRevisions>
    </reviewItem>
    <reviewItem>
      <errorID>554ba997-c02b-4a4e-86f3-fd5e3240e5c1</errorID>
      <errorWord>(</errorWord>
      <group>L1_Format</group>
      <groupName>格式问题</groupName>
      <ability>L2_HalfPunc</ability>
      <abilityName>全半角检查</abilityName>
      <candidateList>
        <item>（</item>
      </candidateList>
      <explain>文本全半角错误。</explain>
      <paraID>32062E06</paraID>
      <start>88</start>
      <end>89</end>
      <status>modified</status>
      <modifiedWord>（</modifiedWord>
      <trackRevisions>false</trackRevisions>
    </reviewItem>
    <reviewItem>
      <errorID>1c400cdf-1912-411f-9f7e-5962b050da21</errorID>
      <errorWord>)</errorWord>
      <group>L1_Format</group>
      <groupName>格式问题</groupName>
      <ability>L2_HalfPunc</ability>
      <abilityName>全半角检查</abilityName>
      <candidateList>
        <item>）</item>
      </candidateList>
      <explain>文本全半角错误。</explain>
      <paraID>32062E06</paraID>
      <start>104</start>
      <end>105</end>
      <status>modified</status>
      <modifiedWord>）</modifiedWord>
      <trackRevisions>false</trackRevisions>
    </reviewItem>
    <reviewItem>
      <errorID>c2eea298-d237-4fd4-8cce-602a58a0d7b2</errorID>
      <errorWord>建议高效的</errorWord>
      <group>L1_Word</group>
      <groupName>字词问题</groupName>
      <ability>L2_Typo</ability>
      <abilityName>字词错误</abilityName>
      <candidateList>
        <item>建立高效的</item>
      </candidateList>
      <explain/>
      <paraID>5B3DBFDC</paraID>
      <start>42</start>
      <end>47</end>
      <status>ignored</status>
      <modifiedWord/>
      <trackRevisions>false</trackRevisions>
    </reviewItem>
  </reviewItems>
  <config/>
</contractReview>
</file>

<file path=customXml/itemProps1.xml><?xml version="1.0" encoding="utf-8"?>
<ds:datastoreItem xmlns:ds="http://schemas.openxmlformats.org/officeDocument/2006/customXml" ds:itemID="{c86bc6a9-5076-44df-8e27-072fd2256ca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1683</Words>
  <Characters>1751</Characters>
  <Paragraphs>104</Paragraphs>
  <TotalTime>17</TotalTime>
  <ScaleCrop>false</ScaleCrop>
  <LinksUpToDate>false</LinksUpToDate>
  <CharactersWithSpaces>1751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2022-03-22T20:29:00Z</dcterms:created>
  <dc:creator>Y XW</dc:creator>
  <cp:lastModifiedBy>浈淼</cp:lastModifiedBy>
  <cp:lastPrinted>2024-04-15T02:22:00Z</cp:lastPrinted>
  <dcterms:modified xsi:type="dcterms:W3CDTF">2026-07-13T00:22:51Z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530FFAD9AC444B46BBEA8FFBDCED1F53_13</vt:lpwstr>
  </property>
  <property fmtid="{D5CDD505-2E9C-101B-9397-08002B2CF9AE}" pid="4" name="KSOTemplateDocerSaveRecord">
    <vt:lpwstr>eyJoZGlkIjoiMmZkNGIxZjA1NDUyZTlmMzM2ZTM4Mjc2ZDU1OWViNDIiLCJ1c2VySWQiOiIxMTQzMjYzNDYwIn0=</vt:lpwstr>
  </property>
</Properties>
</file>