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020" w:rsidRPr="007C1020" w:rsidRDefault="007C1020" w:rsidP="007C1020">
      <w:pPr>
        <w:snapToGrid w:val="0"/>
        <w:spacing w:line="300" w:lineRule="auto"/>
        <w:jc w:val="center"/>
        <w:outlineLvl w:val="0"/>
        <w:rPr>
          <w:rFonts w:ascii="黑体" w:eastAsia="黑体"/>
          <w:b/>
          <w:sz w:val="44"/>
          <w:szCs w:val="44"/>
        </w:rPr>
      </w:pPr>
      <w:r w:rsidRPr="007C1020">
        <w:rPr>
          <w:rFonts w:ascii="黑体" w:eastAsia="黑体" w:hint="eastAsia"/>
          <w:b/>
          <w:sz w:val="44"/>
          <w:szCs w:val="44"/>
        </w:rPr>
        <w:t>湛江市统计局固定资产管理</w:t>
      </w:r>
    </w:p>
    <w:p w:rsidR="007C1020" w:rsidRPr="007C1020" w:rsidRDefault="007C1020" w:rsidP="007C1020">
      <w:pPr>
        <w:snapToGrid w:val="0"/>
        <w:spacing w:line="300" w:lineRule="auto"/>
        <w:jc w:val="center"/>
        <w:outlineLvl w:val="0"/>
        <w:rPr>
          <w:rFonts w:ascii="黑体" w:eastAsia="黑体"/>
          <w:b/>
          <w:sz w:val="44"/>
          <w:szCs w:val="44"/>
        </w:rPr>
      </w:pPr>
      <w:bookmarkStart w:id="0" w:name="_Toc23434"/>
      <w:bookmarkStart w:id="1" w:name="_Toc3813"/>
      <w:bookmarkStart w:id="2" w:name="_Toc1157"/>
      <w:r w:rsidRPr="007C1020">
        <w:rPr>
          <w:rFonts w:ascii="黑体" w:eastAsia="黑体" w:hint="eastAsia"/>
          <w:b/>
          <w:sz w:val="44"/>
          <w:szCs w:val="44"/>
        </w:rPr>
        <w:t>暂行办法（试行）</w:t>
      </w:r>
      <w:bookmarkEnd w:id="0"/>
      <w:bookmarkEnd w:id="1"/>
      <w:bookmarkEnd w:id="2"/>
    </w:p>
    <w:p w:rsidR="007C1020" w:rsidRPr="007C1020" w:rsidRDefault="007C1020" w:rsidP="007C1020">
      <w:pPr>
        <w:spacing w:line="300" w:lineRule="auto"/>
        <w:ind w:firstLineChars="200" w:firstLine="640"/>
        <w:rPr>
          <w:rFonts w:ascii="宋体" w:hAnsi="宋体"/>
          <w:sz w:val="32"/>
          <w:szCs w:val="32"/>
        </w:rPr>
      </w:pP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为规范和加强我局固定资产管理，维护固定资产的安全和完整，合理配置固定资产，提高资产的使用效率，根据财政部《行政单位国有资产管理暂行办法》（财政部令第35号）的有关规定，和《湛江市关于进一步加强行政事业单位国有资产管理工作的意见》（湛财资〔2009〕21号）的有关规定，结合我局的实际情况，特制定本办法。</w:t>
      </w:r>
    </w:p>
    <w:p w:rsidR="007C1020" w:rsidRPr="007C1020" w:rsidRDefault="007C1020" w:rsidP="007C1020">
      <w:pPr>
        <w:spacing w:line="300" w:lineRule="auto"/>
        <w:ind w:firstLineChars="200" w:firstLine="643"/>
        <w:rPr>
          <w:rFonts w:ascii="黑体" w:eastAsia="黑体" w:hAnsi="宋体"/>
          <w:b/>
          <w:sz w:val="32"/>
          <w:szCs w:val="32"/>
        </w:rPr>
      </w:pPr>
      <w:r w:rsidRPr="007C1020">
        <w:rPr>
          <w:rFonts w:ascii="黑体" w:eastAsia="黑体" w:hAnsi="宋体" w:hint="eastAsia"/>
          <w:b/>
          <w:sz w:val="32"/>
          <w:szCs w:val="32"/>
        </w:rPr>
        <w:t>一、固定资产管理的主要任务</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（一）建立健全各项规章制度。</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（二）推动固定资产的合理配置和有效使用。</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（三）保障固定资产的安全和完整。</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（四）加强固定资产的监督管理，实现资产的保值增值。</w:t>
      </w:r>
    </w:p>
    <w:p w:rsidR="007C1020" w:rsidRPr="007C1020" w:rsidRDefault="007C1020" w:rsidP="007C1020">
      <w:pPr>
        <w:spacing w:line="300" w:lineRule="auto"/>
        <w:ind w:firstLineChars="200" w:firstLine="643"/>
        <w:rPr>
          <w:rFonts w:ascii="黑体" w:eastAsia="黑体" w:hAnsi="宋体"/>
          <w:b/>
          <w:sz w:val="32"/>
          <w:szCs w:val="32"/>
        </w:rPr>
      </w:pPr>
      <w:r w:rsidRPr="007C1020">
        <w:rPr>
          <w:rFonts w:ascii="黑体" w:eastAsia="黑体" w:hAnsi="宋体" w:hint="eastAsia"/>
          <w:b/>
          <w:sz w:val="32"/>
          <w:szCs w:val="32"/>
        </w:rPr>
        <w:t>二、固定资产管理应遵循的原则</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（一）固定资产管理和预算管理相结合。</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（二）固定资产管理和财务管理相结合。</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（三）固定资产管理和价值管理相结合。</w:t>
      </w:r>
    </w:p>
    <w:p w:rsidR="007C1020" w:rsidRPr="007C1020" w:rsidRDefault="007C1020" w:rsidP="007C1020">
      <w:pPr>
        <w:spacing w:line="300" w:lineRule="auto"/>
        <w:ind w:firstLineChars="200" w:firstLine="643"/>
        <w:rPr>
          <w:rFonts w:ascii="黑体" w:eastAsia="黑体" w:hAnsi="宋体"/>
          <w:b/>
          <w:sz w:val="32"/>
          <w:szCs w:val="32"/>
        </w:rPr>
      </w:pPr>
      <w:r w:rsidRPr="007C1020">
        <w:rPr>
          <w:rFonts w:ascii="黑体" w:eastAsia="黑体" w:hAnsi="宋体" w:hint="eastAsia"/>
          <w:b/>
          <w:sz w:val="32"/>
          <w:szCs w:val="32"/>
        </w:rPr>
        <w:t>三、固定资产管理的内容包括：</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资产的购置、资产的使用、资产的处置、资产清查、资产统计和监督等。</w:t>
      </w:r>
    </w:p>
    <w:p w:rsidR="007C1020" w:rsidRPr="007C1020" w:rsidRDefault="007C1020" w:rsidP="007C1020">
      <w:pPr>
        <w:spacing w:line="300" w:lineRule="auto"/>
        <w:ind w:firstLineChars="200" w:firstLine="643"/>
        <w:rPr>
          <w:rFonts w:ascii="黑体" w:eastAsia="黑体" w:hAnsi="宋体"/>
          <w:b/>
          <w:sz w:val="32"/>
          <w:szCs w:val="32"/>
        </w:rPr>
      </w:pPr>
      <w:r w:rsidRPr="007C1020">
        <w:rPr>
          <w:rFonts w:ascii="黑体" w:eastAsia="黑体" w:hAnsi="宋体" w:hint="eastAsia"/>
          <w:b/>
          <w:sz w:val="32"/>
          <w:szCs w:val="32"/>
        </w:rPr>
        <w:t>四、管理机构及其职责</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lastRenderedPageBreak/>
        <w:t>（一）市局对固定资产管理实行“归口管理，分级负责” 的管理体制，湛江市统计局资产管理小组负责清理和登记本局资产。</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二）办公室负责固定资产的日常管理工作，负责固定资产的购置、调拨、验收、领用保管、检查及维修工作，对可便于携带的贵重物品，如照相机、摄像机等必须指定人员进行统一保管，使用时应办理领用手续。做到资产与资金管理相分离，职责和权限明确且相互制约。</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三）固定资产管理工作的主要职责是：认真贯彻执行上级有关固定资产的制度、规定，结合本地实际情况，制定本系统固定资产管理办法，并组织实施和监督检查；负责办理本系统内固定资产的购置、调拨、转让手续及资产处置的审核上报和审批工作；负责对本系统固定资产自建的财务监督检查；定期、不定期组织开展本系统固定资产盘点清查工作；负责汇总、编报本系统固定资产统计报表和分析报告。</w:t>
      </w:r>
    </w:p>
    <w:p w:rsidR="007C1020" w:rsidRPr="007C1020" w:rsidRDefault="007C1020" w:rsidP="007C1020">
      <w:pPr>
        <w:spacing w:line="300" w:lineRule="auto"/>
        <w:ind w:firstLineChars="200" w:firstLine="643"/>
        <w:rPr>
          <w:rFonts w:ascii="黑体" w:eastAsia="黑体" w:hAnsi="宋体"/>
          <w:b/>
          <w:sz w:val="32"/>
          <w:szCs w:val="32"/>
        </w:rPr>
      </w:pPr>
      <w:r w:rsidRPr="007C1020">
        <w:rPr>
          <w:rFonts w:ascii="黑体" w:eastAsia="黑体" w:hAnsi="宋体" w:hint="eastAsia"/>
          <w:b/>
          <w:sz w:val="32"/>
          <w:szCs w:val="32"/>
        </w:rPr>
        <w:t>五、固定资产配置</w:t>
      </w:r>
      <w:r w:rsidRPr="007C1020">
        <w:rPr>
          <w:rFonts w:ascii="黑体" w:eastAsia="黑体" w:hAnsi="宋体" w:hint="eastAsia"/>
          <w:b/>
          <w:sz w:val="32"/>
          <w:szCs w:val="32"/>
        </w:rPr>
        <w:tab/>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（一）固定资产配置包括购进和调拨两种方式。</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（二）固定资产配置应当遵循严格执行法律、法规和有关规章制度；与单位履行职能相适应；科学合理，优化资产结构；勤俭节约，从严控制的原则。</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（三）购置有规定配备标准的固定资产，除国家另有规定外，应当按下列程序报批：</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lastRenderedPageBreak/>
        <w:t>1．局固定资产购置审批程序按局财务规定办理。</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2．购置纳入政府采购范围的资产，依法实施政府采购。</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3．固定资产完成购置程序后，取得的购买凭证（调拨固定资产移交表），由经办人、证明人、审核人、分管领导签名后交财务入账。同时，相关下属单位和局办公负责实物管理的同志要及时登记该笔资产的实物账。</w:t>
      </w:r>
    </w:p>
    <w:p w:rsidR="007C1020" w:rsidRPr="007C1020" w:rsidRDefault="007C1020" w:rsidP="007C1020">
      <w:pPr>
        <w:spacing w:line="300" w:lineRule="auto"/>
        <w:ind w:firstLineChars="200" w:firstLine="643"/>
        <w:rPr>
          <w:rFonts w:ascii="黑体" w:eastAsia="黑体" w:hAnsi="宋体"/>
          <w:b/>
          <w:sz w:val="32"/>
          <w:szCs w:val="32"/>
        </w:rPr>
      </w:pPr>
      <w:r w:rsidRPr="007C1020">
        <w:rPr>
          <w:rFonts w:ascii="黑体" w:eastAsia="黑体" w:hAnsi="宋体" w:hint="eastAsia"/>
          <w:b/>
          <w:sz w:val="32"/>
          <w:szCs w:val="32"/>
        </w:rPr>
        <w:t>六、固定资产使用</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一）为加强固定资产的管理，提高固定资产的使用效率，明晰固定资产管理责任，局成立固定资产管理小组，落实专门人员负责资产管理工作，采用固定资产使用人登记制度，谁使用，谁负责。要求账、卡、物相符，每年上半年组织固定资产管理的人员，对本单位实物和账务进行核对，做到账实相符，账账相符。</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（二）全局干部职工在固定资产的使用过程中要妥善保管，防止丢失和损坏。因管理不关，责任心不强造成的丢失和损坏的，按照有关规定给予相应的处罚。</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（三）固定资产出借（租）管理</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固定资产原则上一律不借个人使用。单位借用必须按规定的管理程序办理相关手续。出租、出借的国有资产，其所有权性质不变，所形成的收入按规定缴纳各种税费后全额上缴财政专户，实行“收支两条线管理”。</w:t>
      </w:r>
    </w:p>
    <w:p w:rsidR="007C1020" w:rsidRPr="007C1020" w:rsidRDefault="007C1020" w:rsidP="007C1020">
      <w:pPr>
        <w:spacing w:line="300" w:lineRule="auto"/>
        <w:ind w:firstLineChars="200" w:firstLine="643"/>
        <w:rPr>
          <w:rFonts w:ascii="黑体" w:eastAsia="黑体" w:hAnsi="宋体"/>
          <w:b/>
          <w:sz w:val="32"/>
          <w:szCs w:val="32"/>
        </w:rPr>
      </w:pPr>
      <w:r w:rsidRPr="007C1020">
        <w:rPr>
          <w:rFonts w:ascii="黑体" w:eastAsia="黑体" w:hAnsi="宋体" w:hint="eastAsia"/>
          <w:b/>
          <w:sz w:val="32"/>
          <w:szCs w:val="32"/>
        </w:rPr>
        <w:t>七、固定资产处置</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lastRenderedPageBreak/>
        <w:t>（一）固定资产处置是指资产产权的转移及核销，及其占有、使用的资产进行产权转让或者注销产权的行为。处置方式包括各类资产的无偿转让、置换、出售、出让、有偿转让、对外捐赠、报废、报损以及货币性资产损失核销等。</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二）国有资产处置的范围包括：闲置资产；因技术原因并经过科学论证，确需报废、淘汰的资产；因单位分立、撤销、合并、改制、隶属关系改变等原因发生的产权或者使用权转移的资产；盘亏、呆账及非正常损失的资产；已超过使用年限无法使用的资产；依照国家有关规定需要进行资产处置的其他情形。</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（三）资产处置由局资产管理小组提出意见并按审批权限报送审批。</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四）资产处置的审批权限及处置办法，除国家另有规定外，均按财政部《行政单位国有资产管理暂行办法》（财政部令第35号）、《事业单位国有资产管理暂行办法》（财政部令第36号）、《湛江市市直行政事业单位资产处置管理暂行办法》湛财资[2008]16号规定办理。</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（五）资产处置应当按照公平、公正、公开的原则进行。资产的出售与置换应当采取拍卖、招投标、协议转让及国家法律、行政法规规定的其他方式进行。</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（六）资产处置的变价收入和残值收入，全额缴入财政专户，实行“收支两条线”管理。局资产管理小组按规定对</w:t>
      </w:r>
      <w:r w:rsidRPr="007C1020">
        <w:rPr>
          <w:rFonts w:ascii="宋体" w:hAnsi="宋体" w:hint="eastAsia"/>
          <w:sz w:val="32"/>
          <w:szCs w:val="32"/>
        </w:rPr>
        <w:lastRenderedPageBreak/>
        <w:t>资产处置报批并取得处置结果的凭证，会同局财务调整有关资产、资金的账目处理。</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（七）国有资产处置严格履行审批手续，未经批准不得处置。具体程序如下：</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1．处置申报。提交固定资产处置申请函件的内容：</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（1）提供拟处置固定资产的所有权归属等资料；</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（2）待处置固定资产的现状；</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（3）固定资产处置的方式和处置理由；</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（4）填报《市直行政事业单位资产处置申报表》，由局资产管理小组审查核实后，再报市财政局审批。</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2．审批权限和方式为：</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（1）对土地、房屋及建筑物和货币性资产（包括：无形资产、应收账款、对外投资形成的股权等）的处置，由局办公室提出申请，局资产管理小组提出处置意见，经市财政局审核后，报市人民政府审批。</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（2）对交通运输设备、通用设备、专用设备、电气设备、电子产品及通信设备、家具用具等资产，按资产的价值及处置形式确定审批权限：</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A．固定资产无偿转让（调剂）、出售、置换、报损。固定资产原始价值（或批量价值）在5万元以下的，由局审批；资产原始价值（或批量价值）在5万元(含5万元)以上100万元以下的，由本局审核后报市财政局审批；固定资产原始</w:t>
      </w:r>
      <w:r w:rsidRPr="007C1020">
        <w:rPr>
          <w:rFonts w:ascii="宋体" w:hAnsi="宋体" w:hint="eastAsia"/>
          <w:sz w:val="32"/>
          <w:szCs w:val="32"/>
        </w:rPr>
        <w:lastRenderedPageBreak/>
        <w:t>价值（或一次批量价值）在100万元(含100万元)以上的，由市财政局审核后报市人民政府审批。</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B．固定资产报废。固定资产达到或超过规定使用年限需要进行报废的，由本局审批；固定资产未达到规定使用年限需要提前报废的，固定资产原始价值（或一次批量价值）在100万元以下的，由本局审核后报市财政局审批；固定资产原始价值（或一次批量价值）在100万元(含100万元)以上的，由市财政局审核后报市人民政府审批。</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3）评估。没有取得原始价格凭证的固定资产，需拍卖、有偿转让、置换的固定资产，以及国家有关规定需要进行资产评估的情形，局资产管理小组应委托具有法定资产评估资质的资产评估机构进行资产评估，评估结果须报市财政局备案，其中固定资产单位价值在100万元(含100万元)以上的，评估结果报市财政局核准。</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（4）各类国有资产的处置方式。</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A．固定资产无偿调出：调入、调出单位要办理交接手续；</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B．固定资产有偿转让：委托法定的国有资产交易机构，以资产的评估价为底价公开转让；</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C．固定资产置换：先委托资产评估机构对双方需置换的资产进行评估，再根据评估结果确定置换的条件和事项；</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D．固定资产以评估底价公开转让不成交的，经局批准</w:t>
      </w:r>
      <w:r w:rsidRPr="007C1020">
        <w:rPr>
          <w:rFonts w:ascii="宋体" w:hAnsi="宋体" w:hint="eastAsia"/>
          <w:sz w:val="32"/>
          <w:szCs w:val="32"/>
        </w:rPr>
        <w:lastRenderedPageBreak/>
        <w:t>可将评估底价下调10%以内(含10%)，重新委托国有资产交易机构公开转让。下调幅度超过评估底价10%的，必须报市财政局审批。</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（5）备案。在资产处置后一个月内，将处置结果和相关资料报市财政局备案。</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3．在申报资产处置时应提供的文件、证件及资料</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（1）固定资产无偿调出，必须提供以下资料：</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A．固定资产名称、数量、规格、性能、用途、价值凭证(如购货发票或收据、工程决算副本、记账凭单影印件、固定资产卡片等)及产权证明；</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B．固定资产目前的使用情况说明；</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C．固定资产调入单位同类资产的需求情况；</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D．因隶属关系改变而上划或下划固定资产的，须提供改变隶属关系的批文；</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E．因撤销、合并、分立而移交资产的，须提供撤销、合并、分立的批文；</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F．经国家特殊批准调拨资产的，须提供国家批准文件。</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（2）固定资产出售，必须提供以下资料：</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A．固定资产名称、数量、规格、性能、用途、价值凭证(如购货发票或收据、工程决算副本、记账凭单影印件、固定资产卡片等)及产权证明；</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B．固定资产目前的使用情况说明；</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lastRenderedPageBreak/>
        <w:t>C．固定资产评估机构出具的资产评估报告。</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（3）固定资产置换，必须提供以下资料：</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A．固定资产名称、数量、规格、性能、用途、价值凭证(如购货发票或收据、工程决算副本、记账凭单影印件、固定资产卡片等)及产权证明；</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B．固定资产目前的使用情况说明；</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C．资产评估机构出具的置换双方资产的评估报告。</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（4）固定资产报废，必须提供以下资料：</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A．固定资产名称、数量、规格、性能、用途、价值凭证(如购货发票或收据、工程决算副本、记账凭单影印件、固定资产卡片等)；</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 xml:space="preserve">B．报废价值清单及产权证明；  </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C．没有规定使用年限或未达到规定使用年限需报废的固定资产，需提供委托技术鉴定的鉴定报告，现有技术鉴定机构无法进行鉴定的，应提供资产近两年的维修记录和维修费用凭证。</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D．资产评估机构出具的资产评估报告。</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（5）固定资产报损，必须提供以下资料：</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A．固定资产名称、数量、规格、性能、用途、价值凭证(如购货发票或收据、工程决算副本、记账凭单影印件、固定资产卡片等)及产权证明；</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B．损失价值清单；</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lastRenderedPageBreak/>
        <w:t>C．造成损失的有效证明；</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D．对非正常损失责任者的处理文件。</w:t>
      </w:r>
    </w:p>
    <w:p w:rsidR="007C1020" w:rsidRPr="007C1020" w:rsidRDefault="007C1020" w:rsidP="007C1020">
      <w:pPr>
        <w:spacing w:line="300" w:lineRule="auto"/>
        <w:ind w:firstLineChars="200" w:firstLine="643"/>
        <w:rPr>
          <w:rFonts w:ascii="黑体" w:eastAsia="黑体" w:hAnsi="宋体"/>
          <w:b/>
          <w:sz w:val="32"/>
          <w:szCs w:val="32"/>
        </w:rPr>
      </w:pPr>
      <w:r w:rsidRPr="007C1020">
        <w:rPr>
          <w:rFonts w:ascii="黑体" w:eastAsia="黑体" w:hAnsi="宋体" w:hint="eastAsia"/>
          <w:b/>
          <w:sz w:val="32"/>
          <w:szCs w:val="32"/>
        </w:rPr>
        <w:t>八、附则</w:t>
      </w:r>
    </w:p>
    <w:p w:rsidR="007C1020" w:rsidRPr="007C1020" w:rsidRDefault="007C1020" w:rsidP="007C1020">
      <w:pPr>
        <w:spacing w:line="300" w:lineRule="auto"/>
        <w:ind w:firstLineChars="200" w:firstLine="640"/>
        <w:rPr>
          <w:rFonts w:ascii="宋体" w:hAnsi="宋体"/>
          <w:sz w:val="32"/>
          <w:szCs w:val="32"/>
        </w:rPr>
      </w:pPr>
      <w:r w:rsidRPr="007C1020">
        <w:rPr>
          <w:rFonts w:ascii="宋体" w:hAnsi="宋体" w:hint="eastAsia"/>
          <w:sz w:val="32"/>
          <w:szCs w:val="32"/>
        </w:rPr>
        <w:t>凡有下列行为之一的，依据《财政违法行为处罚处分条例》的规定进行处罚、处理、处分：以虚报、冒领等手段骗取财政资金的；擅自占有、使用和处置国有资产的；擅自提供担保的；未按规定缴纳国有资产收益的。</w:t>
      </w:r>
    </w:p>
    <w:p w:rsidR="00911FF3" w:rsidRPr="007C1020" w:rsidRDefault="00911FF3" w:rsidP="007C1020">
      <w:pPr>
        <w:spacing w:line="300" w:lineRule="auto"/>
        <w:ind w:firstLineChars="200" w:firstLine="640"/>
        <w:rPr>
          <w:rFonts w:ascii="宋体" w:hAnsi="宋体"/>
          <w:sz w:val="32"/>
          <w:szCs w:val="32"/>
        </w:rPr>
      </w:pPr>
    </w:p>
    <w:sectPr w:rsidR="00911FF3" w:rsidRPr="007C1020" w:rsidSect="00DB3153">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7E30" w:rsidRDefault="004C7E30" w:rsidP="007C4CFF">
      <w:r>
        <w:separator/>
      </w:r>
    </w:p>
  </w:endnote>
  <w:endnote w:type="continuationSeparator" w:id="1">
    <w:p w:rsidR="004C7E30" w:rsidRDefault="004C7E30" w:rsidP="007C4C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72085"/>
      <w:docPartObj>
        <w:docPartGallery w:val="Page Numbers (Bottom of Page)"/>
        <w:docPartUnique/>
      </w:docPartObj>
    </w:sdtPr>
    <w:sdtContent>
      <w:p w:rsidR="00DB3153" w:rsidRDefault="00DB3153">
        <w:pPr>
          <w:pStyle w:val="a4"/>
          <w:jc w:val="right"/>
        </w:pPr>
        <w:fldSimple w:instr=" PAGE   \* MERGEFORMAT ">
          <w:r w:rsidRPr="00DB3153">
            <w:rPr>
              <w:noProof/>
              <w:lang w:val="zh-CN"/>
            </w:rPr>
            <w:t>-</w:t>
          </w:r>
          <w:r>
            <w:rPr>
              <w:noProof/>
            </w:rPr>
            <w:t xml:space="preserve"> 8 -</w:t>
          </w:r>
        </w:fldSimple>
      </w:p>
    </w:sdtContent>
  </w:sdt>
  <w:p w:rsidR="007C4CFF" w:rsidRDefault="007C4CF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72089"/>
      <w:docPartObj>
        <w:docPartGallery w:val="Page Numbers (Bottom of Page)"/>
        <w:docPartUnique/>
      </w:docPartObj>
    </w:sdtPr>
    <w:sdtContent>
      <w:p w:rsidR="00DB3153" w:rsidRDefault="00DB3153">
        <w:pPr>
          <w:pStyle w:val="a4"/>
          <w:jc w:val="right"/>
        </w:pPr>
        <w:fldSimple w:instr=" PAGE   \* MERGEFORMAT ">
          <w:r w:rsidRPr="00DB3153">
            <w:rPr>
              <w:noProof/>
              <w:lang w:val="zh-CN"/>
            </w:rPr>
            <w:t>-</w:t>
          </w:r>
          <w:r>
            <w:rPr>
              <w:noProof/>
            </w:rPr>
            <w:t xml:space="preserve"> 1 -</w:t>
          </w:r>
        </w:fldSimple>
      </w:p>
    </w:sdtContent>
  </w:sdt>
  <w:p w:rsidR="007C4CFF" w:rsidRDefault="007C4CF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CFF" w:rsidRDefault="007C4CF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7E30" w:rsidRDefault="004C7E30" w:rsidP="007C4CFF">
      <w:r>
        <w:separator/>
      </w:r>
    </w:p>
  </w:footnote>
  <w:footnote w:type="continuationSeparator" w:id="1">
    <w:p w:rsidR="004C7E30" w:rsidRDefault="004C7E30" w:rsidP="007C4C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CFF" w:rsidRDefault="007C4CF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CFF" w:rsidRDefault="007C4CFF">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CFF" w:rsidRDefault="007C4CF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1020"/>
    <w:rsid w:val="00414A50"/>
    <w:rsid w:val="004C7E30"/>
    <w:rsid w:val="007C1020"/>
    <w:rsid w:val="007C4CFF"/>
    <w:rsid w:val="0080426F"/>
    <w:rsid w:val="00911FF3"/>
    <w:rsid w:val="00D45A99"/>
    <w:rsid w:val="00DB31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02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C4C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C4CFF"/>
    <w:rPr>
      <w:rFonts w:ascii="Times New Roman" w:eastAsia="宋体" w:hAnsi="Times New Roman" w:cs="Times New Roman"/>
      <w:sz w:val="18"/>
      <w:szCs w:val="18"/>
    </w:rPr>
  </w:style>
  <w:style w:type="paragraph" w:styleId="a4">
    <w:name w:val="footer"/>
    <w:basedOn w:val="a"/>
    <w:link w:val="Char0"/>
    <w:uiPriority w:val="99"/>
    <w:unhideWhenUsed/>
    <w:rsid w:val="007C4CFF"/>
    <w:pPr>
      <w:tabs>
        <w:tab w:val="center" w:pos="4153"/>
        <w:tab w:val="right" w:pos="8306"/>
      </w:tabs>
      <w:snapToGrid w:val="0"/>
      <w:jc w:val="left"/>
    </w:pPr>
    <w:rPr>
      <w:sz w:val="18"/>
      <w:szCs w:val="18"/>
    </w:rPr>
  </w:style>
  <w:style w:type="character" w:customStyle="1" w:styleId="Char0">
    <w:name w:val="页脚 Char"/>
    <w:basedOn w:val="a0"/>
    <w:link w:val="a4"/>
    <w:uiPriority w:val="99"/>
    <w:rsid w:val="007C4CF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580</Words>
  <Characters>3310</Characters>
  <Application>Microsoft Office Word</Application>
  <DocSecurity>0</DocSecurity>
  <Lines>27</Lines>
  <Paragraphs>7</Paragraphs>
  <ScaleCrop>false</ScaleCrop>
  <Company>zjtjj</Company>
  <LinksUpToDate>false</LinksUpToDate>
  <CharactersWithSpaces>3883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曾雨婷</dc:creator>
  <cp:keywords/>
  <dc:description/>
  <cp:lastModifiedBy>zjtjj01</cp:lastModifiedBy>
  <cp:revision>5</cp:revision>
  <cp:lastPrinted>2018-07-06T01:38:00Z</cp:lastPrinted>
  <dcterms:created xsi:type="dcterms:W3CDTF">2017-04-18T01:21:00Z</dcterms:created>
  <dcterms:modified xsi:type="dcterms:W3CDTF">2018-07-06T01:44:00Z</dcterms:modified>
</cp:coreProperties>
</file>