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eastAsia="华文彩云"/>
          <w:sz w:val="20"/>
          <w:szCs w:val="20"/>
        </w:rPr>
      </w:pPr>
    </w:p>
    <w:p>
      <w:pPr>
        <w:topLinePunct/>
        <w:spacing w:line="400" w:lineRule="atLeast"/>
        <w:rPr>
          <w:rStyle w:val="148"/>
          <w:b w:val="0"/>
          <w:bCs w:val="0"/>
          <w:sz w:val="27"/>
          <w:szCs w:val="27"/>
        </w:rPr>
      </w:pPr>
    </w:p>
    <w:p>
      <w:pPr>
        <w:topLinePunct/>
        <w:spacing w:line="400" w:lineRule="atLeast"/>
        <w:rPr>
          <w:rStyle w:val="148"/>
          <w:b w:val="0"/>
          <w:bCs w:val="0"/>
          <w:sz w:val="27"/>
          <w:szCs w:val="27"/>
        </w:rPr>
      </w:pPr>
    </w:p>
    <w:p>
      <w:pPr>
        <w:pStyle w:val="201"/>
        <w:spacing w:beforeLines="0" w:afterLines="0" w:line="360" w:lineRule="auto"/>
        <w:rPr>
          <w:rFonts w:ascii="黑体" w:hAnsi="黑体" w:eastAsia="黑体" w:cs="黑体"/>
          <w:b/>
          <w:spacing w:val="300"/>
          <w:sz w:val="48"/>
          <w:szCs w:val="48"/>
        </w:rPr>
      </w:pPr>
      <w:bookmarkStart w:id="0" w:name="bookmark0"/>
      <w:r>
        <w:rPr>
          <w:rFonts w:hint="eastAsia" w:ascii="黑体" w:hAnsi="黑体" w:eastAsia="黑体" w:cs="黑体"/>
          <w:b/>
          <w:spacing w:val="300"/>
          <w:sz w:val="48"/>
          <w:szCs w:val="48"/>
          <w:lang w:eastAsia="zh-CN"/>
        </w:rPr>
        <w:t>湛江市</w:t>
      </w:r>
    </w:p>
    <w:p>
      <w:pPr>
        <w:pStyle w:val="201"/>
        <w:spacing w:beforeLines="0" w:afterLines="0" w:line="360" w:lineRule="auto"/>
        <w:rPr>
          <w:rFonts w:ascii="宋体" w:hAnsi="宋体" w:eastAsia="宋体" w:cs="宋体"/>
          <w:b/>
          <w:spacing w:val="200"/>
          <w:sz w:val="52"/>
          <w:szCs w:val="52"/>
        </w:rPr>
      </w:pPr>
      <w:r>
        <w:rPr>
          <w:rFonts w:hint="eastAsia" w:ascii="黑体" w:hAnsi="黑体" w:eastAsia="黑体" w:cs="黑体"/>
          <w:b/>
          <w:spacing w:val="200"/>
          <w:sz w:val="72"/>
          <w:szCs w:val="72"/>
        </w:rPr>
        <w:t>水运工程勘察设计咨询招标文件范本</w:t>
      </w:r>
    </w:p>
    <w:p>
      <w:pPr>
        <w:pStyle w:val="208"/>
        <w:spacing w:before="240" w:line="360" w:lineRule="auto"/>
        <w:rPr>
          <w:rFonts w:ascii="宋体" w:hAnsi="宋体" w:eastAsia="宋体" w:cs="宋体"/>
          <w:spacing w:val="100"/>
          <w:sz w:val="52"/>
          <w:szCs w:val="52"/>
        </w:rPr>
      </w:pPr>
      <w:r>
        <w:rPr>
          <w:rFonts w:hint="eastAsia" w:ascii="黑体" w:hAnsi="黑体" w:eastAsia="黑体" w:cs="黑体"/>
          <w:spacing w:val="100"/>
          <w:sz w:val="52"/>
          <w:szCs w:val="52"/>
        </w:rPr>
        <w:t>(2023年版）</w:t>
      </w:r>
    </w:p>
    <w:p>
      <w:pPr>
        <w:pStyle w:val="208"/>
        <w:spacing w:beforeLines="0" w:line="360" w:lineRule="auto"/>
        <w:rPr>
          <w:rStyle w:val="205"/>
          <w:rFonts w:ascii="宋体" w:hAnsi="宋体" w:eastAsia="宋体"/>
          <w:b w:val="0"/>
        </w:rPr>
      </w:pPr>
    </w:p>
    <w:p>
      <w:pPr>
        <w:pStyle w:val="208"/>
        <w:spacing w:beforeLines="0" w:line="360" w:lineRule="auto"/>
        <w:rPr>
          <w:rStyle w:val="205"/>
          <w:rFonts w:ascii="宋体" w:hAnsi="宋体" w:eastAsia="宋体"/>
          <w:b w:val="0"/>
        </w:rPr>
      </w:pPr>
    </w:p>
    <w:p>
      <w:pPr>
        <w:pStyle w:val="208"/>
        <w:spacing w:beforeLines="0" w:line="360" w:lineRule="auto"/>
        <w:rPr>
          <w:rStyle w:val="205"/>
          <w:rFonts w:ascii="宋体" w:hAnsi="宋体" w:eastAsia="宋体"/>
          <w:b w:val="0"/>
        </w:rPr>
      </w:pPr>
    </w:p>
    <w:p>
      <w:pPr>
        <w:pStyle w:val="208"/>
        <w:spacing w:beforeLines="0" w:line="360" w:lineRule="auto"/>
        <w:rPr>
          <w:rStyle w:val="205"/>
          <w:rFonts w:ascii="宋体" w:hAnsi="宋体" w:eastAsia="宋体"/>
          <w:b w:val="0"/>
        </w:rPr>
      </w:pPr>
    </w:p>
    <w:p>
      <w:pPr>
        <w:pStyle w:val="208"/>
        <w:spacing w:beforeLines="0" w:line="360" w:lineRule="auto"/>
        <w:rPr>
          <w:rStyle w:val="205"/>
          <w:rFonts w:ascii="宋体" w:hAnsi="宋体" w:eastAsia="宋体"/>
          <w:b w:val="0"/>
        </w:rPr>
      </w:pPr>
    </w:p>
    <w:p>
      <w:pPr>
        <w:pStyle w:val="208"/>
        <w:spacing w:beforeLines="0" w:line="360" w:lineRule="auto"/>
        <w:rPr>
          <w:rStyle w:val="205"/>
          <w:rFonts w:ascii="宋体" w:hAnsi="宋体" w:eastAsia="宋体"/>
          <w:b w:val="0"/>
        </w:rPr>
      </w:pPr>
    </w:p>
    <w:p>
      <w:pPr>
        <w:pStyle w:val="208"/>
        <w:spacing w:beforeLines="0" w:line="360" w:lineRule="auto"/>
        <w:rPr>
          <w:rStyle w:val="205"/>
          <w:rFonts w:ascii="宋体" w:hAnsi="宋体" w:eastAsia="宋体"/>
          <w:b w:val="0"/>
        </w:rPr>
      </w:pPr>
    </w:p>
    <w:p>
      <w:pPr>
        <w:pStyle w:val="208"/>
        <w:widowControl/>
        <w:wordWrap w:val="0"/>
        <w:topLinePunct/>
        <w:spacing w:beforeLines="0" w:line="360" w:lineRule="auto"/>
        <w:jc w:val="center"/>
        <w:textAlignment w:val="baseline"/>
        <w:rPr>
          <w:sz w:val="20"/>
        </w:rPr>
      </w:pPr>
      <w:r>
        <w:rPr>
          <w:rFonts w:hint="eastAsia" w:ascii="黑体" w:hAnsi="黑体" w:eastAsia="黑体" w:cs="黑体"/>
          <w:sz w:val="52"/>
          <w:szCs w:val="52"/>
        </w:rPr>
        <w:t>2023年8月</w:t>
      </w:r>
      <w:bookmarkEnd w:id="0"/>
      <w:r>
        <w:rPr>
          <w:sz w:val="20"/>
        </w:rPr>
        <w:br w:type="page"/>
      </w:r>
    </w:p>
    <w:p>
      <w:pPr>
        <w:adjustRightInd w:val="0"/>
        <w:snapToGrid w:val="0"/>
        <w:spacing w:line="560" w:lineRule="atLeast"/>
        <w:jc w:val="center"/>
        <w:rPr>
          <w:rFonts w:ascii="方正小标宋简体" w:eastAsia="方正小标宋简体"/>
          <w:bCs/>
          <w:color w:val="000000"/>
          <w:sz w:val="44"/>
        </w:rPr>
      </w:pPr>
      <w:bookmarkStart w:id="1" w:name="标题"/>
      <w:bookmarkStart w:id="2" w:name="title"/>
      <w:r>
        <w:rPr>
          <w:rFonts w:hint="eastAsia" w:ascii="方正小标宋简体" w:eastAsia="方正小标宋简体"/>
          <w:bCs/>
          <w:color w:val="000000"/>
          <w:sz w:val="44"/>
        </w:rPr>
        <w:t>广东省交通运输厅关于印发广东省水运工程</w:t>
      </w:r>
    </w:p>
    <w:p>
      <w:pPr>
        <w:adjustRightInd w:val="0"/>
        <w:snapToGrid w:val="0"/>
        <w:spacing w:line="560" w:lineRule="atLeast"/>
        <w:jc w:val="center"/>
        <w:rPr>
          <w:rFonts w:ascii="方正小标宋简体" w:eastAsia="方正小标宋简体"/>
          <w:bCs/>
          <w:color w:val="000000"/>
          <w:sz w:val="44"/>
        </w:rPr>
      </w:pPr>
      <w:r>
        <w:rPr>
          <w:rFonts w:hint="eastAsia" w:ascii="方正小标宋简体" w:eastAsia="方正小标宋简体"/>
          <w:bCs/>
          <w:color w:val="000000"/>
          <w:spacing w:val="-11"/>
          <w:sz w:val="44"/>
        </w:rPr>
        <w:t>勘察设计、勘察设计咨询、施工及施工监理</w:t>
      </w:r>
    </w:p>
    <w:p>
      <w:pPr>
        <w:adjustRightInd w:val="0"/>
        <w:snapToGrid w:val="0"/>
        <w:spacing w:line="560" w:lineRule="atLeast"/>
        <w:jc w:val="center"/>
        <w:rPr>
          <w:rFonts w:ascii="方正小标宋简体" w:eastAsia="方正小标宋简体"/>
          <w:bCs/>
          <w:color w:val="000000"/>
          <w:sz w:val="44"/>
        </w:rPr>
      </w:pPr>
      <w:r>
        <w:rPr>
          <w:rFonts w:hint="eastAsia" w:ascii="方正小标宋简体" w:eastAsia="方正小标宋简体"/>
          <w:bCs/>
          <w:color w:val="000000"/>
          <w:sz w:val="44"/>
        </w:rPr>
        <w:t>招标文件范本（2023年版）的通知</w:t>
      </w:r>
      <w:bookmarkEnd w:id="1"/>
    </w:p>
    <w:p>
      <w:pPr>
        <w:adjustRightInd w:val="0"/>
        <w:snapToGrid w:val="0"/>
        <w:spacing w:line="560" w:lineRule="atLeast"/>
        <w:jc w:val="center"/>
        <w:rPr>
          <w:rFonts w:hint="eastAsia" w:ascii="仿宋_GB2312" w:hAnsi="Times New Roman" w:eastAsia="仿宋_GB2312" w:cs="Times New Roman"/>
          <w:b/>
          <w:bCs/>
          <w:kern w:val="2"/>
          <w:sz w:val="32"/>
          <w:szCs w:val="32"/>
          <w:lang w:val="en-US"/>
        </w:rPr>
      </w:pPr>
      <w:bookmarkStart w:id="3" w:name="字号"/>
      <w:r>
        <w:rPr>
          <w:rFonts w:hint="eastAsia" w:ascii="仿宋_GB2312" w:hAnsi="Times New Roman" w:eastAsia="仿宋_GB2312" w:cs="Times New Roman"/>
          <w:b/>
          <w:bCs/>
          <w:kern w:val="2"/>
          <w:sz w:val="32"/>
          <w:szCs w:val="32"/>
          <w:lang w:val="en-US" w:eastAsia="zh-CN"/>
        </w:rPr>
        <w:t>粤交基〔2023〕361</w:t>
      </w:r>
      <w:bookmarkEnd w:id="3"/>
      <w:r>
        <w:rPr>
          <w:rFonts w:hint="eastAsia" w:ascii="仿宋_GB2312" w:hAnsi="Times New Roman" w:eastAsia="仿宋_GB2312" w:cs="Times New Roman"/>
          <w:b/>
          <w:bCs/>
          <w:kern w:val="2"/>
          <w:sz w:val="32"/>
          <w:szCs w:val="32"/>
          <w:lang w:val="en-US"/>
        </w:rPr>
        <w:t>号</w:t>
      </w:r>
    </w:p>
    <w:p>
      <w:pPr>
        <w:adjustRightInd w:val="0"/>
        <w:snapToGrid w:val="0"/>
        <w:spacing w:line="560" w:lineRule="atLeast"/>
        <w:jc w:val="center"/>
        <w:rPr>
          <w:rFonts w:hint="eastAsia" w:ascii="仿宋_GB2312" w:hAnsi="Times New Roman" w:eastAsia="仿宋_GB2312" w:cs="Times New Roman"/>
          <w:b/>
          <w:bCs/>
          <w:kern w:val="2"/>
          <w:sz w:val="32"/>
          <w:szCs w:val="32"/>
          <w:lang w:val="en-US"/>
        </w:rPr>
      </w:pPr>
    </w:p>
    <w:p>
      <w:pPr>
        <w:spacing w:line="540" w:lineRule="exact"/>
        <w:jc w:val="left"/>
        <w:rPr>
          <w:rFonts w:ascii="仿宋_GB2312" w:eastAsia="仿宋_GB2312"/>
          <w:color w:val="000000"/>
          <w:sz w:val="32"/>
        </w:rPr>
      </w:pPr>
      <w:bookmarkStart w:id="4" w:name="主送"/>
      <w:r>
        <w:rPr>
          <w:rFonts w:hint="eastAsia" w:ascii="仿宋_GB2312" w:eastAsia="仿宋_GB2312"/>
          <w:color w:val="000000"/>
          <w:sz w:val="32"/>
        </w:rPr>
        <w:t>各地级以上市交通运输局，广州市港务局，省航道事务中心、省交通运输工程造价事务中心、省交通运输规划研究中心</w:t>
      </w:r>
      <w:bookmarkEnd w:id="4"/>
      <w:r>
        <w:rPr>
          <w:rFonts w:hint="eastAsia" w:ascii="仿宋_GB2312" w:eastAsia="仿宋_GB2312"/>
          <w:color w:val="000000"/>
          <w:sz w:val="32"/>
        </w:rPr>
        <w:t>：</w:t>
      </w:r>
    </w:p>
    <w:p>
      <w:pPr>
        <w:adjustRightInd w:val="0"/>
        <w:snapToGrid w:val="0"/>
        <w:spacing w:line="540" w:lineRule="exact"/>
        <w:rPr>
          <w:rFonts w:ascii="仿宋_GB2312" w:hAnsi="仿宋_GB2312" w:eastAsia="仿宋_GB2312" w:cs="仿宋_GB2312"/>
          <w:color w:val="000000"/>
          <w:sz w:val="32"/>
          <w:szCs w:val="32"/>
        </w:rPr>
      </w:pPr>
      <w:bookmarkStart w:id="5" w:name="Content"/>
      <w:r>
        <w:rPr>
          <w:rFonts w:hint="eastAsia" w:ascii="仿宋_GB2312" w:hAnsi="仿宋_GB2312" w:eastAsia="仿宋_GB2312" w:cs="仿宋_GB2312"/>
          <w:color w:val="000000"/>
          <w:kern w:val="0"/>
          <w:sz w:val="32"/>
          <w:szCs w:val="32"/>
        </w:rPr>
        <w:t xml:space="preserve">    为进一步规范我省水运工程勘察设计、勘察设计咨询、施工及施工监理招标文件</w:t>
      </w:r>
      <w:r>
        <w:rPr>
          <w:rFonts w:ascii="仿宋_GB2312" w:hAnsi="仿宋_GB2312" w:eastAsia="仿宋_GB2312" w:cs="仿宋_GB2312"/>
          <w:color w:val="000000"/>
          <w:kern w:val="0"/>
          <w:sz w:val="32"/>
          <w:szCs w:val="32"/>
        </w:rPr>
        <w:t>编制工作</w:t>
      </w:r>
      <w:r>
        <w:rPr>
          <w:rFonts w:hint="eastAsia" w:ascii="仿宋_GB2312" w:hAnsi="仿宋_GB2312" w:eastAsia="仿宋_GB2312" w:cs="仿宋_GB2312"/>
          <w:color w:val="000000"/>
          <w:kern w:val="0"/>
          <w:sz w:val="32"/>
          <w:szCs w:val="32"/>
        </w:rPr>
        <w:t>，根据《中华人民共和国招标投标法》《中华人民共和国招标投标法实施条例》《广东省实施&lt;中华人民共和国招标投标法&gt;办法》《水运工程建设项目招标投标管理办法》（交通运输部令 2021 年第 14 号）以及《广东省交通运输厅关于加强公路水运工程建设项目招标投标管理工作的通知》（粤交〔2022〕11 号）等有关规定，厅组织相关单位结合我省实际制定了广东省水运工程勘察设计、勘察设计咨询、施工监理招标文件范本，并对2022年印发的施工招标文件范本进行局部修订，形成《广东省水运工程勘察设计招标文件范本（2023年版）》《广东省水运工程勘察设计咨询招标文件范本（2023年版）》《广东省水运工程施工招标文件范本（2023年版）》《广东省水运工程施工监理招标文件范本（2023年版）》（以下简称《2023年范本》），现印发给你们，并提出</w:t>
      </w:r>
      <w:r>
        <w:rPr>
          <w:rFonts w:ascii="仿宋_GB2312" w:hAnsi="仿宋_GB2312" w:eastAsia="仿宋_GB2312" w:cs="仿宋_GB2312"/>
          <w:color w:val="000000"/>
          <w:kern w:val="0"/>
          <w:sz w:val="32"/>
          <w:szCs w:val="32"/>
        </w:rPr>
        <w:t>以下意见</w:t>
      </w:r>
      <w:r>
        <w:rPr>
          <w:rFonts w:hint="eastAsia" w:ascii="仿宋_GB2312" w:hAnsi="仿宋_GB2312" w:eastAsia="仿宋_GB2312" w:cs="仿宋_GB2312"/>
          <w:color w:val="000000"/>
          <w:kern w:val="0"/>
          <w:sz w:val="32"/>
          <w:szCs w:val="32"/>
        </w:rPr>
        <w:t>，请一并贯彻执行。</w:t>
      </w:r>
    </w:p>
    <w:p>
      <w:pPr>
        <w:adjustRightInd w:val="0"/>
        <w:snapToGrid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一、《2023年范本》适用于公开招标并采用资格后审方式的广东省港口工程、航道工程、修造船厂水工建筑物工程以及与之相配套的水运工程勘察设计、勘察设计咨询、施工、施工监理招标投标活动。</w:t>
      </w:r>
    </w:p>
    <w:p>
      <w:pPr>
        <w:adjustRightInd w:val="0"/>
        <w:snapToGrid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二、招标文件除应符合国家标准文件和我省《2023年范本》规定外，尚应符合国家现行有关法律、法规、标准的规定。原则上招标文件自备案之日起6个月内应完成招标工作。</w:t>
      </w:r>
    </w:p>
    <w:p>
      <w:pPr>
        <w:adjustRightInd w:val="0"/>
        <w:snapToGrid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2023年范本》自印发之日起施行。使用过程中如有意见建议，请径与厅基建管理处联系。《广东省交通运输厅关于印发广东省水运工程施工招标文件范本（2022年版）的通知》（粤交基〔2022〕584号）同时废止。</w:t>
      </w:r>
    </w:p>
    <w:p>
      <w:pPr>
        <w:adjustRightInd w:val="0"/>
        <w:snapToGrid w:val="0"/>
        <w:spacing w:line="540" w:lineRule="exact"/>
        <w:ind w:firstLine="640" w:firstLineChars="200"/>
        <w:rPr>
          <w:rFonts w:ascii="仿宋_GB2312" w:hAnsi="仿宋_GB2312" w:eastAsia="仿宋_GB2312" w:cs="仿宋_GB2312"/>
          <w:color w:val="000000"/>
          <w:sz w:val="32"/>
          <w:szCs w:val="32"/>
        </w:rPr>
      </w:pPr>
    </w:p>
    <w:p>
      <w:pPr>
        <w:adjustRightInd w:val="0"/>
        <w:snapToGrid w:val="0"/>
        <w:spacing w:line="54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联系电话：厅基建管理处</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020-</w:t>
      </w:r>
      <w:r>
        <w:rPr>
          <w:rFonts w:hint="eastAsia" w:ascii="仿宋_GB2312" w:hAnsi="仿宋_GB2312" w:eastAsia="仿宋_GB2312" w:cs="仿宋_GB2312"/>
          <w:color w:val="000000"/>
          <w:kern w:val="0"/>
          <w:sz w:val="32"/>
          <w:szCs w:val="32"/>
        </w:rPr>
        <w:t>83730592</w:t>
      </w:r>
      <w:r>
        <w:rPr>
          <w:rFonts w:ascii="仿宋_GB2312" w:hAnsi="仿宋_GB2312" w:eastAsia="仿宋_GB2312" w:cs="仿宋_GB2312"/>
          <w:color w:val="000000"/>
          <w:kern w:val="0"/>
          <w:sz w:val="32"/>
          <w:szCs w:val="32"/>
        </w:rPr>
        <w:t>。</w:t>
      </w:r>
    </w:p>
    <w:p>
      <w:pPr>
        <w:adjustRightInd w:val="0"/>
        <w:snapToGrid w:val="0"/>
        <w:spacing w:line="540" w:lineRule="exact"/>
        <w:ind w:firstLine="640" w:firstLineChars="200"/>
        <w:rPr>
          <w:rFonts w:ascii="仿宋_GB2312" w:hAnsi="仿宋_GB2312" w:eastAsia="仿宋_GB2312" w:cs="仿宋_GB2312"/>
          <w:color w:val="000000"/>
          <w:kern w:val="0"/>
          <w:sz w:val="32"/>
          <w:szCs w:val="32"/>
        </w:rPr>
      </w:pPr>
    </w:p>
    <w:p>
      <w:pPr>
        <w:adjustRightInd w:val="0"/>
        <w:snapToGrid w:val="0"/>
        <w:spacing w:line="54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附件：1.</w:t>
      </w:r>
      <w:r>
        <w:rPr>
          <w:rFonts w:hint="eastAsia" w:ascii="仿宋_GB2312" w:hAnsi="仿宋_GB2312" w:eastAsia="仿宋_GB2312" w:cs="仿宋_GB2312"/>
          <w:color w:val="000000"/>
          <w:spacing w:val="-6"/>
          <w:kern w:val="0"/>
          <w:sz w:val="32"/>
          <w:szCs w:val="32"/>
        </w:rPr>
        <w:t>广东省水运工程勘察设计招标文件范本（2023年版）</w:t>
      </w:r>
    </w:p>
    <w:p>
      <w:pPr>
        <w:adjustRightInd w:val="0"/>
        <w:snapToGrid w:val="0"/>
        <w:spacing w:line="540" w:lineRule="exact"/>
        <w:ind w:left="1559"/>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广东省水运工程勘察设计咨询招标文件范本（2023</w:t>
      </w:r>
    </w:p>
    <w:p>
      <w:pPr>
        <w:adjustRightInd w:val="0"/>
        <w:snapToGrid w:val="0"/>
        <w:spacing w:line="540" w:lineRule="exact"/>
        <w:ind w:left="155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年版）</w:t>
      </w:r>
    </w:p>
    <w:p>
      <w:pPr>
        <w:adjustRightInd w:val="0"/>
        <w:snapToGrid w:val="0"/>
        <w:spacing w:line="540"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3.广东省水运工程施工招标文件范本（2023年版）</w:t>
      </w:r>
    </w:p>
    <w:p>
      <w:pPr>
        <w:adjustRightInd w:val="0"/>
        <w:snapToGrid w:val="0"/>
        <w:spacing w:line="540"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spacing w:val="-11"/>
          <w:kern w:val="0"/>
          <w:sz w:val="32"/>
          <w:szCs w:val="32"/>
        </w:rPr>
        <w:t>广东省水运工程施工监理招标文件范本（2023年</w:t>
      </w:r>
      <w:r>
        <w:rPr>
          <w:rFonts w:hint="eastAsia" w:ascii="仿宋_GB2312" w:hAnsi="仿宋_GB2312" w:eastAsia="仿宋_GB2312" w:cs="仿宋_GB2312"/>
          <w:color w:val="000000"/>
          <w:kern w:val="0"/>
          <w:sz w:val="32"/>
          <w:szCs w:val="32"/>
        </w:rPr>
        <w:t>版）</w:t>
      </w:r>
    </w:p>
    <w:bookmarkEnd w:id="5"/>
    <w:p>
      <w:pPr>
        <w:widowControl/>
        <w:spacing w:line="560" w:lineRule="atLeast"/>
        <w:rPr>
          <w:rFonts w:eastAsia="仿宋_GB2312"/>
          <w:color w:val="000000"/>
          <w:kern w:val="0"/>
          <w:sz w:val="32"/>
          <w:szCs w:val="20"/>
        </w:rPr>
      </w:pPr>
    </w:p>
    <w:p>
      <w:pPr>
        <w:widowControl/>
        <w:wordWrap w:val="0"/>
        <w:spacing w:line="560" w:lineRule="atLeast"/>
        <w:jc w:val="center"/>
        <w:rPr>
          <w:rFonts w:eastAsia="仿宋_GB2312"/>
          <w:color w:val="000000"/>
          <w:kern w:val="0"/>
          <w:sz w:val="32"/>
          <w:szCs w:val="20"/>
        </w:rPr>
      </w:pPr>
      <w:bookmarkStart w:id="6" w:name="落款"/>
      <w:r>
        <w:rPr>
          <w:rFonts w:hint="eastAsia" w:eastAsia="仿宋_GB2312"/>
          <w:color w:val="000000"/>
          <w:kern w:val="0"/>
          <w:sz w:val="32"/>
          <w:szCs w:val="20"/>
          <w:lang w:val="en-US" w:eastAsia="zh-CN"/>
        </w:rPr>
        <w:t xml:space="preserve">                        </w:t>
      </w:r>
      <w:r>
        <w:rPr>
          <w:rFonts w:hint="eastAsia" w:eastAsia="仿宋_GB2312"/>
          <w:color w:val="000000"/>
          <w:kern w:val="0"/>
          <w:sz w:val="32"/>
          <w:szCs w:val="20"/>
        </w:rPr>
        <w:t>广东省交通</w:t>
      </w:r>
      <w:bookmarkStart w:id="7" w:name="imgContent"/>
      <w:r>
        <w:rPr>
          <w:rFonts w:hint="eastAsia" w:eastAsia="仿宋_GB2312"/>
          <w:color w:val="000000"/>
          <w:kern w:val="0"/>
          <w:sz w:val="32"/>
          <w:szCs w:val="20"/>
        </w:rPr>
        <w:t>运</w:t>
      </w:r>
      <w:bookmarkEnd w:id="7"/>
      <w:r>
        <w:rPr>
          <w:rFonts w:hint="eastAsia" w:eastAsia="仿宋_GB2312"/>
          <w:color w:val="000000"/>
          <w:kern w:val="0"/>
          <w:sz w:val="32"/>
          <w:szCs w:val="20"/>
        </w:rPr>
        <w:t>输厅</w:t>
      </w:r>
      <w:bookmarkEnd w:id="6"/>
    </w:p>
    <w:p>
      <w:pPr>
        <w:widowControl/>
        <w:spacing w:line="560" w:lineRule="atLeast"/>
        <w:jc w:val="center"/>
        <w:rPr>
          <w:rFonts w:ascii="仿宋" w:hAnsi="仿宋" w:eastAsia="仿宋" w:cs="仿宋"/>
          <w:color w:val="000000"/>
          <w:kern w:val="0"/>
          <w:sz w:val="28"/>
          <w:lang w:val="zh-CN"/>
        </w:rPr>
      </w:pPr>
      <w:bookmarkStart w:id="8" w:name="封发日期"/>
      <w:r>
        <w:rPr>
          <w:rFonts w:hint="eastAsia" w:eastAsia="仿宋_GB2312"/>
          <w:color w:val="000000"/>
          <w:kern w:val="0"/>
          <w:sz w:val="32"/>
          <w:szCs w:val="20"/>
          <w:lang w:val="en-US" w:eastAsia="zh-CN"/>
        </w:rPr>
        <w:t xml:space="preserve">                        </w:t>
      </w:r>
      <w:r>
        <w:rPr>
          <w:rFonts w:hint="eastAsia" w:eastAsia="仿宋_GB2312"/>
          <w:color w:val="000000"/>
          <w:kern w:val="0"/>
          <w:sz w:val="32"/>
          <w:szCs w:val="20"/>
        </w:rPr>
        <w:t>2023年8月18日</w:t>
      </w:r>
      <w:bookmarkEnd w:id="8"/>
    </w:p>
    <w:p>
      <w:pPr>
        <w:widowControl/>
        <w:spacing w:line="560" w:lineRule="atLeast"/>
        <w:jc w:val="center"/>
        <w:rPr>
          <w:rFonts w:ascii="仿宋" w:hAnsi="仿宋" w:eastAsia="仿宋" w:cs="仿宋"/>
          <w:kern w:val="0"/>
          <w:sz w:val="28"/>
        </w:rPr>
      </w:pPr>
    </w:p>
    <w:bookmarkEnd w:id="2"/>
    <w:p>
      <w:pPr>
        <w:widowControl/>
        <w:jc w:val="left"/>
        <w:rPr>
          <w:rFonts w:ascii="宋体" w:hAnsi="宋体"/>
          <w:sz w:val="32"/>
          <w:szCs w:val="20"/>
        </w:rPr>
      </w:pPr>
      <w:r>
        <w:rPr>
          <w:rFonts w:ascii="宋体" w:hAnsi="宋体"/>
          <w:sz w:val="32"/>
          <w:szCs w:val="20"/>
        </w:rPr>
        <w:br w:type="page"/>
      </w:r>
    </w:p>
    <w:p>
      <w:pPr>
        <w:spacing w:beforeLines="100" w:line="400" w:lineRule="atLeast"/>
        <w:jc w:val="center"/>
        <w:rPr>
          <w:rFonts w:hint="eastAsia" w:ascii="宋体" w:hAnsi="宋体"/>
          <w:b/>
          <w:sz w:val="36"/>
          <w:szCs w:val="20"/>
          <w:lang w:val="zh-CN"/>
        </w:rPr>
      </w:pPr>
      <w:r>
        <w:rPr>
          <w:rFonts w:hint="eastAsia" w:ascii="宋体" w:hAnsi="宋体"/>
          <w:b/>
          <w:sz w:val="36"/>
          <w:szCs w:val="20"/>
          <w:lang w:val="zh-CN"/>
        </w:rPr>
        <w:t>使 用 说 明</w:t>
      </w:r>
    </w:p>
    <w:p>
      <w:pPr>
        <w:pStyle w:val="18"/>
      </w:pPr>
    </w:p>
    <w:p>
      <w:pPr>
        <w:pStyle w:val="225"/>
        <w:spacing w:line="360" w:lineRule="auto"/>
        <w:ind w:firstLine="496"/>
        <w:rPr>
          <w:rFonts w:ascii="宋体" w:hAnsi="宋体" w:eastAsia="宋体" w:cs="宋体"/>
          <w:sz w:val="24"/>
          <w:szCs w:val="24"/>
        </w:rPr>
      </w:pPr>
      <w:r>
        <w:rPr>
          <w:rFonts w:hint="eastAsia" w:ascii="宋体" w:hAnsi="宋体" w:eastAsia="宋体" w:cs="宋体"/>
          <w:sz w:val="24"/>
          <w:szCs w:val="24"/>
        </w:rPr>
        <w:t>一、为规范我</w:t>
      </w:r>
      <w:r>
        <w:rPr>
          <w:rFonts w:hint="eastAsia" w:ascii="宋体" w:hAnsi="宋体" w:eastAsia="宋体" w:cs="宋体"/>
          <w:sz w:val="24"/>
          <w:szCs w:val="24"/>
          <w:lang w:eastAsia="zh-CN"/>
        </w:rPr>
        <w:t>市</w:t>
      </w:r>
      <w:r>
        <w:rPr>
          <w:rFonts w:hint="eastAsia" w:ascii="宋体" w:hAnsi="宋体" w:eastAsia="宋体" w:cs="宋体"/>
          <w:sz w:val="24"/>
          <w:szCs w:val="24"/>
        </w:rPr>
        <w:t>水运工程勘察设计咨询招标文件的编制工作，根据《中华人民共和国招标投标法》《中华人民共和国招标投标法实施条例》《广东省实施中华人民共和国招标投标法办法》交通运输部《水运工程建设项目招标投标管理办法》等有关规定要求，我厅组织有关单位制定《广东省水运工程勘察设计咨询招标文件范本（2023年版）》（以下简称《水运咨询招标2023年范本》）。</w:t>
      </w:r>
    </w:p>
    <w:p>
      <w:pPr>
        <w:pStyle w:val="225"/>
        <w:spacing w:line="360" w:lineRule="auto"/>
        <w:ind w:firstLine="496"/>
        <w:rPr>
          <w:rFonts w:ascii="宋体" w:hAnsi="宋体" w:eastAsia="宋体" w:cs="宋体"/>
          <w:sz w:val="24"/>
          <w:szCs w:val="24"/>
        </w:rPr>
      </w:pPr>
      <w:r>
        <w:rPr>
          <w:rFonts w:hint="eastAsia" w:ascii="宋体" w:hAnsi="宋体" w:eastAsia="宋体" w:cs="宋体"/>
          <w:sz w:val="24"/>
          <w:szCs w:val="24"/>
        </w:rPr>
        <w:t>二、本范本适用于公开招标并采用资格后审方式的</w:t>
      </w:r>
      <w:r>
        <w:rPr>
          <w:rFonts w:hint="eastAsia" w:ascii="宋体" w:hAnsi="宋体" w:eastAsia="宋体" w:cs="宋体"/>
          <w:sz w:val="24"/>
          <w:szCs w:val="24"/>
          <w:lang w:eastAsia="zh-CN"/>
        </w:rPr>
        <w:t>湛江市</w:t>
      </w:r>
      <w:r>
        <w:rPr>
          <w:rFonts w:hint="eastAsia" w:ascii="宋体" w:hAnsi="宋体" w:eastAsia="宋体" w:cs="宋体"/>
          <w:sz w:val="24"/>
          <w:szCs w:val="24"/>
        </w:rPr>
        <w:t>港口工程、航道工程、修造船厂水工建筑物工程以及与之相配套的水运工程的勘察设计咨询招标投标。如采用邀请招标方式进行招标，第一章应选择“投标邀请书(适用于邀请招标)”的格式进行编制。</w:t>
      </w:r>
    </w:p>
    <w:p>
      <w:pPr>
        <w:pStyle w:val="225"/>
        <w:spacing w:line="360" w:lineRule="auto"/>
        <w:ind w:firstLine="496"/>
        <w:rPr>
          <w:rFonts w:ascii="宋体" w:hAnsi="宋体" w:eastAsia="宋体" w:cs="宋体"/>
          <w:sz w:val="24"/>
          <w:szCs w:val="24"/>
        </w:rPr>
      </w:pPr>
      <w:r>
        <w:rPr>
          <w:rFonts w:hint="eastAsia" w:ascii="宋体" w:hAnsi="宋体" w:eastAsia="宋体" w:cs="宋体"/>
          <w:sz w:val="24"/>
          <w:szCs w:val="24"/>
        </w:rPr>
        <w:t>三、招标人编制项目的招标文件时，不得修改“投标人须知”、“评标办法”正文，但可在前附表中对相应内容进行补充、细化，补充和细化的内容不得与“投标人须知”和“评标办法”正文内容相抵触。</w:t>
      </w:r>
    </w:p>
    <w:p>
      <w:pPr>
        <w:pStyle w:val="225"/>
        <w:spacing w:line="360" w:lineRule="auto"/>
        <w:ind w:firstLine="496"/>
        <w:rPr>
          <w:rFonts w:ascii="宋体" w:hAnsi="宋体" w:eastAsia="宋体" w:cs="宋体"/>
          <w:sz w:val="24"/>
          <w:szCs w:val="24"/>
        </w:rPr>
      </w:pPr>
      <w:r>
        <w:rPr>
          <w:rFonts w:hint="eastAsia" w:ascii="宋体" w:hAnsi="宋体" w:eastAsia="宋体" w:cs="宋体"/>
          <w:sz w:val="24"/>
          <w:szCs w:val="24"/>
        </w:rPr>
        <w:t>四、招标人在根据《水运咨询招标2023年范本》编制项目招标文件中的“专用合同条款”时，可根据招标项目的具体特点和实际需要，对“通用合同条款”进行补充、细化，补充、细化或约定的不同内容，不得违反法律、行政法规的强制性规定和平等、自愿、公平和诚实信用原则。</w:t>
      </w:r>
    </w:p>
    <w:p>
      <w:pPr>
        <w:pStyle w:val="225"/>
        <w:spacing w:line="360" w:lineRule="auto"/>
        <w:ind w:firstLine="496"/>
        <w:rPr>
          <w:rFonts w:ascii="宋体" w:hAnsi="宋体" w:eastAsia="宋体" w:cs="宋体"/>
          <w:sz w:val="24"/>
          <w:szCs w:val="24"/>
        </w:rPr>
      </w:pPr>
      <w:r>
        <w:rPr>
          <w:rFonts w:hint="eastAsia" w:ascii="宋体" w:hAnsi="宋体" w:eastAsia="宋体" w:cs="宋体"/>
          <w:sz w:val="24"/>
          <w:szCs w:val="24"/>
        </w:rPr>
        <w:t>五、《水运咨询招标2023年范本》用相同序号标示的章、节、条、款、项、目，供招标人选择使用；以空格或下划线标示的部分，招标人应根据招标项目具体特点和实际需要进行填写，确实没有需要填写的，在空格中用“/”标示。</w:t>
      </w:r>
    </w:p>
    <w:p>
      <w:pPr>
        <w:pStyle w:val="225"/>
        <w:spacing w:line="360" w:lineRule="auto"/>
        <w:ind w:firstLine="496"/>
        <w:rPr>
          <w:rFonts w:ascii="宋体" w:hAnsi="宋体" w:eastAsia="宋体" w:cs="宋体"/>
          <w:sz w:val="24"/>
          <w:szCs w:val="24"/>
        </w:rPr>
      </w:pPr>
      <w:r>
        <w:rPr>
          <w:rFonts w:hint="eastAsia" w:ascii="宋体" w:hAnsi="宋体" w:eastAsia="宋体" w:cs="宋体"/>
          <w:sz w:val="24"/>
          <w:szCs w:val="24"/>
        </w:rPr>
        <w:t>六、《水运咨询招标2023年范本》第三章“评标办法”规定采用双信封的综合评分法。在满足第三章“评标办法”相关注释的前提下，各评审因素的评审标准和分值等由招标人根据项目特点和需要合理确定。</w:t>
      </w:r>
    </w:p>
    <w:p>
      <w:pPr>
        <w:pStyle w:val="225"/>
        <w:spacing w:line="360" w:lineRule="auto"/>
        <w:ind w:firstLine="496"/>
        <w:rPr>
          <w:rFonts w:ascii="宋体" w:hAnsi="宋体" w:eastAsia="宋体" w:cs="宋体"/>
          <w:sz w:val="24"/>
          <w:szCs w:val="24"/>
        </w:rPr>
      </w:pPr>
      <w:r>
        <w:rPr>
          <w:rFonts w:hint="eastAsia" w:ascii="宋体" w:hAnsi="宋体" w:eastAsia="宋体" w:cs="宋体"/>
          <w:sz w:val="24"/>
          <w:szCs w:val="24"/>
        </w:rPr>
        <w:t>七、《水运咨询招标2023年范本》第五章“发包人要求”由招标人根据招标项目具体特点和实际需要编制，并与“投标人须知”、“合同条款”相衔接。</w:t>
      </w:r>
    </w:p>
    <w:p>
      <w:pPr>
        <w:pStyle w:val="225"/>
        <w:spacing w:line="360" w:lineRule="auto"/>
        <w:ind w:firstLine="496"/>
        <w:rPr>
          <w:rFonts w:ascii="宋体" w:hAnsi="宋体" w:eastAsia="宋体" w:cs="宋体"/>
          <w:sz w:val="24"/>
          <w:szCs w:val="24"/>
        </w:rPr>
      </w:pPr>
      <w:r>
        <w:rPr>
          <w:rFonts w:hint="eastAsia" w:ascii="宋体" w:hAnsi="宋体" w:eastAsia="宋体" w:cs="宋体"/>
          <w:sz w:val="24"/>
          <w:szCs w:val="24"/>
        </w:rPr>
        <w:t>八、招标人应按照《水运咨询招标2023年范本》规定的格式和要求，结合工程实际编制水运工程勘察设计咨询招标文件，并注意收集范本的使用情况和有关意见与建议，及时反馈基建管理</w:t>
      </w:r>
      <w:r>
        <w:rPr>
          <w:rFonts w:hint="eastAsia" w:ascii="宋体" w:hAnsi="宋体" w:eastAsia="宋体" w:cs="宋体"/>
          <w:sz w:val="24"/>
          <w:szCs w:val="24"/>
          <w:lang w:eastAsia="zh-CN"/>
        </w:rPr>
        <w:t>科</w:t>
      </w:r>
      <w:r>
        <w:rPr>
          <w:rFonts w:hint="eastAsia" w:ascii="宋体" w:hAnsi="宋体" w:eastAsia="宋体" w:cs="宋体"/>
          <w:sz w:val="24"/>
          <w:szCs w:val="24"/>
        </w:rPr>
        <w:t>，以便进一步修改完善。</w:t>
      </w:r>
    </w:p>
    <w:p>
      <w:pPr>
        <w:spacing w:line="360" w:lineRule="auto"/>
        <w:ind w:firstLine="480" w:firstLineChars="200"/>
        <w:rPr>
          <w:rFonts w:ascii="宋体" w:hAnsi="宋体" w:cs="宋体"/>
          <w:sz w:val="24"/>
        </w:rPr>
      </w:pPr>
      <w:r>
        <w:rPr>
          <w:rFonts w:hint="eastAsia" w:ascii="宋体" w:hAnsi="宋体" w:cs="宋体"/>
          <w:sz w:val="24"/>
        </w:rPr>
        <w:t>九、本范本在执行过程中如国家及有关部门颁布了新的法律法规及规范性文件，则应采用最新的规定执行。</w:t>
      </w:r>
    </w:p>
    <w:p>
      <w:pPr>
        <w:spacing w:line="360" w:lineRule="auto"/>
        <w:ind w:firstLine="496" w:firstLineChars="200"/>
        <w:rPr>
          <w:rFonts w:ascii="宋体" w:hAnsi="宋体" w:cs="宋体"/>
          <w:sz w:val="24"/>
        </w:rPr>
      </w:pPr>
      <w:r>
        <w:rPr>
          <w:rFonts w:hint="eastAsia" w:ascii="宋体" w:hAnsi="宋体" w:cs="宋体"/>
          <w:spacing w:val="4"/>
          <w:sz w:val="24"/>
        </w:rPr>
        <w:t>十、</w:t>
      </w:r>
      <w:r>
        <w:rPr>
          <w:rFonts w:hint="eastAsia" w:ascii="宋体" w:hAnsi="宋体" w:cs="宋体"/>
          <w:sz w:val="24"/>
        </w:rPr>
        <w:t>招标人应简化对投标文件和投标文件的签字、盖章等要求，严禁设定逐页签字、盖章等不合理规定要求。对于招标文件中投标文件格式、投标文件格式已明确属于招标人填写的内容，招标人应在编制时完善，并不应作为否决投标的依据。</w:t>
      </w:r>
    </w:p>
    <w:p>
      <w:pPr>
        <w:pStyle w:val="28"/>
        <w:spacing w:line="400" w:lineRule="exact"/>
        <w:ind w:firstLine="480"/>
        <w:rPr>
          <w:rFonts w:cs="宋体"/>
          <w:sz w:val="24"/>
          <w:szCs w:val="24"/>
        </w:rPr>
      </w:pPr>
      <w:r>
        <w:rPr>
          <w:rFonts w:hint="eastAsia" w:cs="宋体"/>
          <w:sz w:val="24"/>
          <w:szCs w:val="24"/>
        </w:rPr>
        <w:t>十一、</w:t>
      </w:r>
      <w:r>
        <w:rPr>
          <w:rStyle w:val="210"/>
          <w:rFonts w:hint="eastAsia" w:ascii="宋体" w:eastAsia="宋体" w:cs="宋体"/>
          <w:sz w:val="24"/>
          <w:szCs w:val="24"/>
        </w:rPr>
        <w:t>范本中关于“全国水运建设市场信用信息管理系统”的相关条款的使用，待“全国水运建设市场信用信息管理系统”完善后执行。</w:t>
      </w:r>
    </w:p>
    <w:p>
      <w:pPr>
        <w:pStyle w:val="28"/>
        <w:spacing w:line="400" w:lineRule="exact"/>
        <w:ind w:firstLine="480"/>
        <w:rPr>
          <w:rFonts w:cs="宋体"/>
          <w:sz w:val="24"/>
          <w:szCs w:val="24"/>
        </w:rPr>
      </w:pPr>
      <w:r>
        <w:rPr>
          <w:rFonts w:hint="eastAsia" w:cs="宋体"/>
          <w:sz w:val="24"/>
          <w:szCs w:val="24"/>
        </w:rPr>
        <w:t>十二、如采用电子招标投标方式的，可对《水运咨询招标2023年范本》有关内容进行简化和调整。</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widowControl/>
        <w:spacing w:line="360" w:lineRule="auto"/>
        <w:ind w:firstLine="496"/>
        <w:rPr>
          <w:rFonts w:ascii="宋体" w:hAnsi="宋体" w:cs="宋体"/>
          <w:sz w:val="24"/>
        </w:rPr>
      </w:pPr>
      <w:r>
        <w:rPr>
          <w:rFonts w:ascii="宋体" w:hAnsi="宋体" w:cs="宋体"/>
          <w:spacing w:val="4"/>
          <w:kern w:val="0"/>
          <w:sz w:val="24"/>
          <w:lang w:val="zh-CN"/>
        </w:rPr>
        <w:t>参编单位：</w:t>
      </w:r>
    </w:p>
    <w:p>
      <w:pPr>
        <w:adjustRightInd w:val="0"/>
        <w:snapToGrid w:val="0"/>
        <w:spacing w:line="360" w:lineRule="auto"/>
        <w:ind w:firstLine="493"/>
        <w:jc w:val="left"/>
        <w:rPr>
          <w:rFonts w:ascii="宋体" w:hAnsi="宋体" w:cs="宋体"/>
          <w:spacing w:val="4"/>
          <w:kern w:val="0"/>
          <w:sz w:val="24"/>
          <w:lang w:val="zh-CN"/>
        </w:rPr>
      </w:pPr>
      <w:r>
        <w:rPr>
          <w:rFonts w:ascii="宋体" w:hAnsi="宋体" w:cs="宋体"/>
          <w:spacing w:val="4"/>
          <w:kern w:val="0"/>
          <w:sz w:val="24"/>
          <w:lang w:val="zh-CN"/>
        </w:rPr>
        <w:t>广东省航道事务中心</w:t>
      </w:r>
    </w:p>
    <w:p>
      <w:pPr>
        <w:adjustRightInd w:val="0"/>
        <w:snapToGrid w:val="0"/>
        <w:spacing w:line="360" w:lineRule="auto"/>
        <w:ind w:firstLine="493"/>
        <w:jc w:val="left"/>
        <w:rPr>
          <w:rFonts w:ascii="宋体" w:hAnsi="宋体" w:cs="宋体"/>
          <w:spacing w:val="4"/>
          <w:kern w:val="0"/>
          <w:sz w:val="24"/>
        </w:rPr>
      </w:pPr>
      <w:r>
        <w:rPr>
          <w:rFonts w:ascii="宋体" w:hAnsi="宋体" w:cs="宋体"/>
          <w:spacing w:val="4"/>
          <w:kern w:val="0"/>
          <w:sz w:val="24"/>
          <w:lang w:val="zh-CN"/>
        </w:rPr>
        <w:t>广州港工程管理有限公司</w:t>
      </w:r>
    </w:p>
    <w:p>
      <w:pPr>
        <w:widowControl/>
        <w:adjustRightInd w:val="0"/>
        <w:snapToGrid w:val="0"/>
        <w:spacing w:line="360" w:lineRule="auto"/>
        <w:ind w:firstLine="493"/>
        <w:rPr>
          <w:rFonts w:ascii="宋体" w:hAnsi="宋体" w:cs="宋体"/>
          <w:spacing w:val="4"/>
          <w:kern w:val="0"/>
          <w:sz w:val="24"/>
          <w:lang w:val="zh-CN"/>
        </w:rPr>
      </w:pPr>
      <w:r>
        <w:rPr>
          <w:rFonts w:ascii="宋体" w:hAnsi="宋体" w:cs="宋体"/>
          <w:spacing w:val="4"/>
          <w:kern w:val="0"/>
          <w:sz w:val="24"/>
          <w:lang w:val="zh-CN"/>
        </w:rPr>
        <w:t>广州市交正工程咨询有限公司</w:t>
      </w:r>
    </w:p>
    <w:p>
      <w:pPr>
        <w:pStyle w:val="18"/>
        <w:ind w:firstLine="496" w:firstLineChars="200"/>
        <w:rPr>
          <w:rFonts w:ascii="宋体" w:hAnsi="宋体" w:cs="宋体"/>
          <w:spacing w:val="4"/>
          <w:kern w:val="0"/>
          <w:sz w:val="24"/>
          <w:lang w:val="zh-CN"/>
        </w:rPr>
      </w:pPr>
      <w:r>
        <w:rPr>
          <w:rFonts w:ascii="宋体" w:hAnsi="宋体" w:cs="宋体"/>
          <w:spacing w:val="4"/>
          <w:kern w:val="0"/>
          <w:sz w:val="24"/>
          <w:lang w:val="zh-CN"/>
        </w:rPr>
        <w:t>广州诚信公路建设监理咨询有限公司</w:t>
      </w:r>
    </w:p>
    <w:p>
      <w:pPr>
        <w:spacing w:line="360" w:lineRule="auto"/>
        <w:ind w:firstLine="460" w:firstLineChars="200"/>
        <w:jc w:val="left"/>
        <w:rPr>
          <w:rFonts w:ascii="宋体" w:hAnsi="宋体"/>
        </w:rPr>
      </w:pPr>
      <w:r>
        <w:rPr>
          <w:rFonts w:ascii="宋体" w:hAnsi="宋体" w:cs="MingLiU_HKSCS"/>
          <w:kern w:val="0"/>
          <w:sz w:val="23"/>
          <w:szCs w:val="23"/>
          <w:lang w:val="zh-CN"/>
        </w:rPr>
        <w:br w:type="page"/>
      </w:r>
    </w:p>
    <w:p>
      <w:pPr>
        <w:pStyle w:val="28"/>
        <w:spacing w:line="440" w:lineRule="atLeast"/>
        <w:ind w:firstLine="420"/>
        <w:rPr>
          <w:sz w:val="21"/>
          <w:szCs w:val="24"/>
        </w:rPr>
      </w:pPr>
    </w:p>
    <w:p>
      <w:pPr>
        <w:topLinePunct/>
        <w:spacing w:line="360" w:lineRule="auto"/>
        <w:jc w:val="center"/>
        <w:rPr>
          <w:rStyle w:val="148"/>
          <w:rFonts w:hint="eastAsia" w:ascii="宋体" w:hAnsi="宋体" w:eastAsia="宋体"/>
          <w:b w:val="0"/>
          <w:sz w:val="27"/>
          <w:szCs w:val="27"/>
          <w:lang w:eastAsia="zh-CN"/>
        </w:rPr>
      </w:pPr>
      <w:r>
        <w:rPr>
          <w:rStyle w:val="148"/>
          <w:rFonts w:hint="eastAsia" w:ascii="宋体" w:hAnsi="宋体"/>
          <w:b w:val="0"/>
          <w:spacing w:val="40"/>
          <w:kern w:val="10"/>
          <w:sz w:val="84"/>
          <w:szCs w:val="84"/>
          <w:lang w:eastAsia="zh-CN"/>
        </w:rPr>
        <w:t>湛</w:t>
      </w:r>
      <w:r>
        <w:rPr>
          <w:rStyle w:val="148"/>
          <w:rFonts w:hint="eastAsia" w:ascii="宋体" w:hAnsi="宋体"/>
          <w:b w:val="0"/>
          <w:spacing w:val="40"/>
          <w:kern w:val="10"/>
          <w:sz w:val="84"/>
          <w:szCs w:val="84"/>
          <w:lang w:val="en-US" w:eastAsia="zh-CN"/>
        </w:rPr>
        <w:t xml:space="preserve"> </w:t>
      </w:r>
      <w:r>
        <w:rPr>
          <w:rStyle w:val="148"/>
          <w:rFonts w:hint="eastAsia" w:ascii="宋体" w:hAnsi="宋体"/>
          <w:b w:val="0"/>
          <w:spacing w:val="40"/>
          <w:kern w:val="10"/>
          <w:sz w:val="84"/>
          <w:szCs w:val="84"/>
          <w:lang w:eastAsia="zh-CN"/>
        </w:rPr>
        <w:t>江</w:t>
      </w:r>
      <w:r>
        <w:rPr>
          <w:rStyle w:val="148"/>
          <w:rFonts w:hint="eastAsia" w:ascii="宋体" w:hAnsi="宋体"/>
          <w:b w:val="0"/>
          <w:spacing w:val="40"/>
          <w:kern w:val="10"/>
          <w:sz w:val="84"/>
          <w:szCs w:val="84"/>
          <w:lang w:val="en-US" w:eastAsia="zh-CN"/>
        </w:rPr>
        <w:t xml:space="preserve"> </w:t>
      </w:r>
      <w:r>
        <w:rPr>
          <w:rStyle w:val="148"/>
          <w:rFonts w:hint="eastAsia" w:ascii="宋体" w:hAnsi="宋体"/>
          <w:b w:val="0"/>
          <w:spacing w:val="40"/>
          <w:kern w:val="10"/>
          <w:sz w:val="84"/>
          <w:szCs w:val="84"/>
          <w:lang w:eastAsia="zh-CN"/>
        </w:rPr>
        <w:t>市</w:t>
      </w:r>
    </w:p>
    <w:p>
      <w:pPr>
        <w:topLinePunct/>
        <w:spacing w:line="360" w:lineRule="auto"/>
        <w:jc w:val="center"/>
        <w:rPr>
          <w:rFonts w:ascii="宋体" w:hAnsi="宋体"/>
          <w:sz w:val="44"/>
          <w:szCs w:val="44"/>
        </w:rPr>
      </w:pPr>
      <w:r>
        <w:rPr>
          <w:rFonts w:hint="eastAsia" w:ascii="宋体" w:hAnsi="宋体"/>
          <w:sz w:val="44"/>
          <w:szCs w:val="44"/>
          <w:u w:val="single"/>
          <w:lang w:val="en-US" w:eastAsia="zh-CN"/>
        </w:rPr>
        <w:t xml:space="preserve">     </w:t>
      </w:r>
      <w:r>
        <w:rPr>
          <w:rFonts w:hint="eastAsia" w:ascii="宋体" w:hAnsi="宋体"/>
          <w:sz w:val="44"/>
          <w:szCs w:val="44"/>
          <w:u w:val="single"/>
        </w:rPr>
        <w:t>（项目名称）    标段勘察设计</w:t>
      </w:r>
    </w:p>
    <w:p>
      <w:pPr>
        <w:topLinePunct/>
        <w:spacing w:line="360" w:lineRule="auto"/>
        <w:jc w:val="center"/>
        <w:rPr>
          <w:rStyle w:val="148"/>
          <w:rFonts w:ascii="宋体" w:hAnsi="宋体"/>
          <w:b w:val="0"/>
          <w:spacing w:val="40"/>
          <w:sz w:val="44"/>
          <w:szCs w:val="44"/>
        </w:rPr>
      </w:pPr>
      <w:r>
        <w:rPr>
          <w:rFonts w:hint="eastAsia" w:ascii="宋体" w:hAnsi="宋体"/>
          <w:sz w:val="44"/>
          <w:szCs w:val="44"/>
        </w:rPr>
        <w:t>咨询</w:t>
      </w:r>
      <w:r>
        <w:rPr>
          <w:rFonts w:ascii="宋体" w:hAnsi="宋体"/>
          <w:sz w:val="44"/>
          <w:szCs w:val="44"/>
        </w:rPr>
        <w:t>招标</w:t>
      </w:r>
    </w:p>
    <w:p>
      <w:pPr>
        <w:topLinePunct/>
        <w:spacing w:line="360" w:lineRule="auto"/>
        <w:jc w:val="center"/>
        <w:rPr>
          <w:rStyle w:val="148"/>
          <w:rFonts w:ascii="宋体" w:hAnsi="宋体"/>
          <w:b w:val="0"/>
          <w:spacing w:val="40"/>
          <w:sz w:val="40"/>
          <w:szCs w:val="40"/>
        </w:rPr>
      </w:pPr>
    </w:p>
    <w:p>
      <w:pPr>
        <w:topLinePunct/>
        <w:spacing w:line="360" w:lineRule="auto"/>
        <w:jc w:val="center"/>
        <w:rPr>
          <w:rStyle w:val="148"/>
          <w:rFonts w:ascii="宋体" w:hAnsi="宋体"/>
          <w:b w:val="0"/>
          <w:spacing w:val="40"/>
          <w:sz w:val="40"/>
          <w:szCs w:val="40"/>
        </w:rPr>
      </w:pPr>
    </w:p>
    <w:p>
      <w:pPr>
        <w:topLinePunct/>
        <w:spacing w:line="360" w:lineRule="auto"/>
        <w:jc w:val="center"/>
        <w:rPr>
          <w:rStyle w:val="148"/>
          <w:rFonts w:ascii="宋体" w:hAnsi="宋体"/>
          <w:b w:val="0"/>
          <w:spacing w:val="40"/>
          <w:kern w:val="10"/>
          <w:sz w:val="84"/>
          <w:szCs w:val="84"/>
        </w:rPr>
      </w:pPr>
      <w:r>
        <w:rPr>
          <w:rStyle w:val="148"/>
          <w:rFonts w:hint="eastAsia" w:ascii="宋体" w:hAnsi="宋体"/>
          <w:b w:val="0"/>
          <w:spacing w:val="40"/>
          <w:kern w:val="10"/>
          <w:sz w:val="84"/>
          <w:szCs w:val="84"/>
        </w:rPr>
        <w:t>招标文件</w:t>
      </w:r>
    </w:p>
    <w:p>
      <w:pPr>
        <w:topLinePunct/>
        <w:spacing w:line="360" w:lineRule="auto"/>
        <w:rPr>
          <w:rFonts w:ascii="宋体" w:hAnsi="宋体"/>
          <w:sz w:val="20"/>
          <w:szCs w:val="20"/>
        </w:rPr>
      </w:pPr>
    </w:p>
    <w:p>
      <w:pPr>
        <w:topLinePunct/>
        <w:spacing w:line="360" w:lineRule="auto"/>
        <w:rPr>
          <w:rFonts w:ascii="宋体" w:hAnsi="宋体"/>
          <w:sz w:val="20"/>
          <w:szCs w:val="20"/>
        </w:rPr>
      </w:pPr>
    </w:p>
    <w:p>
      <w:pPr>
        <w:topLinePunct/>
        <w:spacing w:line="360" w:lineRule="auto"/>
        <w:rPr>
          <w:rFonts w:ascii="宋体" w:hAnsi="宋体"/>
          <w:sz w:val="20"/>
          <w:szCs w:val="20"/>
        </w:rPr>
      </w:pPr>
    </w:p>
    <w:p>
      <w:pPr>
        <w:topLinePunct/>
        <w:spacing w:line="360" w:lineRule="auto"/>
        <w:rPr>
          <w:rFonts w:ascii="宋体" w:hAnsi="宋体"/>
          <w:sz w:val="20"/>
          <w:szCs w:val="20"/>
        </w:rPr>
      </w:pPr>
    </w:p>
    <w:p>
      <w:pPr>
        <w:topLinePunct/>
        <w:spacing w:line="360" w:lineRule="auto"/>
        <w:rPr>
          <w:rFonts w:ascii="宋体" w:hAnsi="宋体"/>
          <w:sz w:val="20"/>
          <w:szCs w:val="20"/>
        </w:rPr>
      </w:pPr>
    </w:p>
    <w:p>
      <w:pPr>
        <w:topLinePunct/>
        <w:spacing w:line="360" w:lineRule="auto"/>
        <w:rPr>
          <w:rFonts w:ascii="宋体" w:hAnsi="宋体"/>
          <w:sz w:val="20"/>
          <w:szCs w:val="20"/>
        </w:rPr>
      </w:pPr>
    </w:p>
    <w:p>
      <w:pPr>
        <w:topLinePunct/>
        <w:spacing w:line="360" w:lineRule="auto"/>
        <w:rPr>
          <w:rFonts w:ascii="宋体" w:hAnsi="宋体"/>
          <w:sz w:val="20"/>
          <w:szCs w:val="20"/>
        </w:rPr>
      </w:pPr>
    </w:p>
    <w:p>
      <w:pPr>
        <w:topLinePunct/>
        <w:spacing w:line="360" w:lineRule="auto"/>
        <w:rPr>
          <w:rFonts w:ascii="宋体" w:hAnsi="宋体"/>
          <w:sz w:val="20"/>
          <w:szCs w:val="20"/>
        </w:rPr>
      </w:pPr>
    </w:p>
    <w:p>
      <w:pPr>
        <w:topLinePunct/>
        <w:spacing w:line="360" w:lineRule="auto"/>
        <w:rPr>
          <w:rFonts w:ascii="宋体" w:hAnsi="宋体"/>
          <w:sz w:val="20"/>
          <w:szCs w:val="20"/>
        </w:rPr>
      </w:pPr>
    </w:p>
    <w:p>
      <w:pPr>
        <w:topLinePunct/>
        <w:spacing w:line="360" w:lineRule="auto"/>
        <w:rPr>
          <w:rFonts w:ascii="宋体" w:hAnsi="宋体"/>
          <w:sz w:val="27"/>
          <w:szCs w:val="27"/>
        </w:rPr>
      </w:pPr>
    </w:p>
    <w:p>
      <w:pPr>
        <w:widowControl/>
        <w:spacing w:line="360" w:lineRule="auto"/>
        <w:ind w:firstLine="1500" w:firstLineChars="500"/>
        <w:jc w:val="left"/>
        <w:rPr>
          <w:rFonts w:ascii="宋体" w:hAnsi="宋体"/>
          <w:sz w:val="30"/>
          <w:u w:val="single"/>
        </w:rPr>
      </w:pPr>
      <w:r>
        <w:rPr>
          <w:rFonts w:hint="eastAsia" w:ascii="宋体" w:hAnsi="宋体"/>
          <w:sz w:val="30"/>
        </w:rPr>
        <w:t>招 标 人：______________</w:t>
      </w:r>
      <w:r>
        <w:rPr>
          <w:rFonts w:hint="eastAsia" w:ascii="宋体" w:hAnsi="宋体"/>
          <w:sz w:val="30"/>
          <w:u w:val="single"/>
        </w:rPr>
        <w:t>（盖单位章）</w:t>
      </w:r>
      <w:r>
        <w:rPr>
          <w:rStyle w:val="56"/>
          <w:rFonts w:ascii="宋体" w:hAnsi="宋体"/>
          <w:sz w:val="32"/>
          <w:szCs w:val="32"/>
          <w:u w:val="single"/>
        </w:rPr>
        <w:footnoteReference w:id="0"/>
      </w:r>
    </w:p>
    <w:p>
      <w:pPr>
        <w:spacing w:line="360" w:lineRule="auto"/>
        <w:ind w:firstLine="1500" w:firstLineChars="500"/>
        <w:rPr>
          <w:rFonts w:ascii="宋体" w:hAnsi="宋体"/>
          <w:sz w:val="30"/>
        </w:rPr>
      </w:pPr>
      <w:r>
        <w:rPr>
          <w:rFonts w:hint="eastAsia" w:ascii="宋体" w:hAnsi="宋体"/>
          <w:sz w:val="30"/>
        </w:rPr>
        <w:t>招标代理机构：__________</w:t>
      </w:r>
      <w:r>
        <w:rPr>
          <w:rFonts w:hint="eastAsia" w:ascii="宋体" w:hAnsi="宋体"/>
          <w:sz w:val="30"/>
          <w:u w:val="single"/>
        </w:rPr>
        <w:t>（盖单位章）</w:t>
      </w:r>
    </w:p>
    <w:p>
      <w:pPr>
        <w:spacing w:line="360" w:lineRule="auto"/>
        <w:ind w:firstLine="3300" w:firstLineChars="1100"/>
        <w:rPr>
          <w:rFonts w:ascii="宋体" w:hAnsi="宋体"/>
          <w:sz w:val="30"/>
        </w:rPr>
      </w:pPr>
      <w:r>
        <w:rPr>
          <w:rFonts w:hint="eastAsia" w:ascii="宋体" w:hAnsi="宋体"/>
          <w:sz w:val="30"/>
        </w:rPr>
        <w:t>_____年______月</w:t>
      </w:r>
    </w:p>
    <w:p>
      <w:pPr>
        <w:pStyle w:val="28"/>
        <w:spacing w:line="420" w:lineRule="atLeast"/>
        <w:ind w:firstLine="520"/>
        <w:rPr>
          <w:rFonts w:ascii="仿宋_GB2312" w:eastAsia="仿宋_GB2312"/>
          <w:sz w:val="26"/>
          <w:szCs w:val="26"/>
        </w:rPr>
        <w:sectPr>
          <w:footerReference r:id="rId4" w:type="default"/>
          <w:footerReference r:id="rId5" w:type="even"/>
          <w:footnotePr>
            <w:numRestart w:val="eachPage"/>
          </w:footnotePr>
          <w:pgSz w:w="11905" w:h="16838"/>
          <w:pgMar w:top="1803" w:right="1440" w:bottom="1803" w:left="1440" w:header="851" w:footer="850" w:gutter="0"/>
          <w:pgNumType w:start="0"/>
          <w:cols w:space="0" w:num="1"/>
          <w:docGrid w:linePitch="312" w:charSpace="0"/>
        </w:sectPr>
      </w:pPr>
    </w:p>
    <w:p>
      <w:pPr>
        <w:spacing w:line="400" w:lineRule="atLeast"/>
        <w:jc w:val="center"/>
        <w:rPr>
          <w:spacing w:val="20"/>
          <w:sz w:val="44"/>
        </w:rPr>
      </w:pPr>
    </w:p>
    <w:tbl>
      <w:tblPr>
        <w:tblStyle w:val="47"/>
        <w:tblpPr w:leftFromText="180" w:rightFromText="180" w:vertAnchor="page" w:horzAnchor="page" w:tblpX="2259" w:tblpY="2588"/>
        <w:tblW w:w="0" w:type="auto"/>
        <w:jc w:val="center"/>
        <w:tblLayout w:type="fixed"/>
        <w:tblCellMar>
          <w:top w:w="0" w:type="dxa"/>
          <w:left w:w="108" w:type="dxa"/>
          <w:bottom w:w="0" w:type="dxa"/>
          <w:right w:w="108" w:type="dxa"/>
        </w:tblCellMar>
      </w:tblPr>
      <w:tblGrid>
        <w:gridCol w:w="1653"/>
        <w:gridCol w:w="6050"/>
      </w:tblGrid>
      <w:tr>
        <w:tblPrEx>
          <w:tblCellMar>
            <w:top w:w="0" w:type="dxa"/>
            <w:left w:w="108" w:type="dxa"/>
            <w:bottom w:w="0" w:type="dxa"/>
            <w:right w:w="108" w:type="dxa"/>
          </w:tblCellMar>
        </w:tblPrEx>
        <w:trPr>
          <w:trHeight w:val="90" w:hRule="atLeast"/>
          <w:jc w:val="center"/>
        </w:trPr>
        <w:tc>
          <w:tcPr>
            <w:tcW w:w="7703" w:type="dxa"/>
            <w:gridSpan w:val="2"/>
          </w:tcPr>
          <w:p>
            <w:pPr>
              <w:tabs>
                <w:tab w:val="left" w:pos="3312"/>
              </w:tabs>
              <w:jc w:val="center"/>
              <w:rPr>
                <w:rFonts w:ascii="宋体" w:hAnsi="宋体"/>
                <w:spacing w:val="20"/>
                <w:sz w:val="24"/>
              </w:rPr>
            </w:pPr>
            <w:bookmarkStart w:id="9" w:name="bookmark4"/>
            <w:r>
              <w:rPr>
                <w:rFonts w:hint="eastAsia" w:ascii="宋体" w:hAnsi="宋体"/>
                <w:spacing w:val="20"/>
                <w:sz w:val="24"/>
              </w:rPr>
              <w:t>目 录</w:t>
            </w:r>
          </w:p>
          <w:p>
            <w:pPr>
              <w:tabs>
                <w:tab w:val="left" w:pos="3312"/>
              </w:tabs>
              <w:jc w:val="center"/>
              <w:rPr>
                <w:rFonts w:ascii="宋体" w:hAnsi="宋体"/>
                <w:spacing w:val="20"/>
                <w:sz w:val="24"/>
              </w:rPr>
            </w:pPr>
          </w:p>
          <w:p>
            <w:pPr>
              <w:tabs>
                <w:tab w:val="left" w:pos="3312"/>
              </w:tabs>
              <w:jc w:val="center"/>
              <w:rPr>
                <w:rFonts w:ascii="宋体" w:hAnsi="宋体"/>
                <w:spacing w:val="20"/>
                <w:sz w:val="24"/>
              </w:rPr>
            </w:pPr>
            <w:r>
              <w:rPr>
                <w:rFonts w:hint="eastAsia" w:ascii="宋体" w:hAnsi="宋体"/>
                <w:spacing w:val="20"/>
                <w:sz w:val="24"/>
              </w:rPr>
              <w:t>第一卷</w:t>
            </w:r>
          </w:p>
          <w:p>
            <w:pPr>
              <w:tabs>
                <w:tab w:val="left" w:pos="3312"/>
              </w:tabs>
              <w:jc w:val="center"/>
              <w:rPr>
                <w:rFonts w:ascii="宋体" w:hAnsi="宋体"/>
                <w:spacing w:val="20"/>
                <w:sz w:val="24"/>
              </w:rPr>
            </w:pPr>
          </w:p>
        </w:tc>
      </w:tr>
      <w:tr>
        <w:tblPrEx>
          <w:tblCellMar>
            <w:top w:w="0" w:type="dxa"/>
            <w:left w:w="108" w:type="dxa"/>
            <w:bottom w:w="0" w:type="dxa"/>
            <w:right w:w="108" w:type="dxa"/>
          </w:tblCellMar>
        </w:tblPrEx>
        <w:trPr>
          <w:trHeight w:val="680" w:hRule="atLeast"/>
          <w:jc w:val="center"/>
        </w:trPr>
        <w:tc>
          <w:tcPr>
            <w:tcW w:w="1653" w:type="dxa"/>
          </w:tcPr>
          <w:p>
            <w:pPr>
              <w:spacing w:line="360" w:lineRule="auto"/>
              <w:jc w:val="center"/>
              <w:rPr>
                <w:rFonts w:ascii="宋体" w:hAnsi="宋体"/>
                <w:spacing w:val="20"/>
              </w:rPr>
            </w:pPr>
            <w:r>
              <w:rPr>
                <w:rFonts w:hint="eastAsia" w:ascii="宋体" w:hAnsi="宋体"/>
                <w:spacing w:val="20"/>
              </w:rPr>
              <w:t>第一章</w:t>
            </w:r>
          </w:p>
        </w:tc>
        <w:tc>
          <w:tcPr>
            <w:tcW w:w="6050" w:type="dxa"/>
          </w:tcPr>
          <w:p>
            <w:pPr>
              <w:rPr>
                <w:rFonts w:ascii="宋体" w:hAnsi="宋体"/>
                <w:spacing w:val="20"/>
                <w:sz w:val="24"/>
              </w:rPr>
            </w:pPr>
            <w:r>
              <w:rPr>
                <w:rFonts w:hint="eastAsia" w:ascii="宋体" w:hAnsi="宋体"/>
                <w:spacing w:val="20"/>
                <w:sz w:val="24"/>
              </w:rPr>
              <w:t>招标公告</w:t>
            </w:r>
          </w:p>
        </w:tc>
      </w:tr>
      <w:tr>
        <w:tblPrEx>
          <w:tblCellMar>
            <w:top w:w="0" w:type="dxa"/>
            <w:left w:w="108" w:type="dxa"/>
            <w:bottom w:w="0" w:type="dxa"/>
            <w:right w:w="108" w:type="dxa"/>
          </w:tblCellMar>
        </w:tblPrEx>
        <w:trPr>
          <w:trHeight w:val="680" w:hRule="atLeast"/>
          <w:jc w:val="center"/>
        </w:trPr>
        <w:tc>
          <w:tcPr>
            <w:tcW w:w="1653" w:type="dxa"/>
          </w:tcPr>
          <w:p>
            <w:pPr>
              <w:spacing w:line="360" w:lineRule="auto"/>
              <w:jc w:val="center"/>
              <w:rPr>
                <w:rFonts w:ascii="宋体" w:hAnsi="宋体"/>
                <w:spacing w:val="20"/>
              </w:rPr>
            </w:pPr>
            <w:r>
              <w:rPr>
                <w:rFonts w:hint="eastAsia" w:ascii="宋体" w:hAnsi="宋体"/>
                <w:spacing w:val="20"/>
              </w:rPr>
              <w:t>第一章</w:t>
            </w:r>
          </w:p>
        </w:tc>
        <w:tc>
          <w:tcPr>
            <w:tcW w:w="6050" w:type="dxa"/>
          </w:tcPr>
          <w:p>
            <w:pPr>
              <w:rPr>
                <w:rFonts w:ascii="宋体" w:hAnsi="宋体"/>
                <w:spacing w:val="20"/>
                <w:sz w:val="24"/>
              </w:rPr>
            </w:pPr>
            <w:r>
              <w:rPr>
                <w:rFonts w:hint="eastAsia" w:ascii="宋体" w:hAnsi="宋体"/>
                <w:spacing w:val="20"/>
                <w:sz w:val="24"/>
              </w:rPr>
              <w:t>投标邀请书</w:t>
            </w:r>
            <w:r>
              <w:rPr>
                <w:rFonts w:ascii="宋体" w:hAnsi="宋体"/>
                <w:spacing w:val="20"/>
                <w:sz w:val="24"/>
              </w:rPr>
              <w:t>(</w:t>
            </w:r>
            <w:r>
              <w:rPr>
                <w:rFonts w:hint="eastAsia" w:ascii="宋体" w:hAnsi="宋体"/>
                <w:spacing w:val="20"/>
                <w:sz w:val="24"/>
              </w:rPr>
              <w:t>适用于邀请招标</w:t>
            </w:r>
            <w:r>
              <w:rPr>
                <w:rFonts w:ascii="宋体" w:hAnsi="宋体"/>
                <w:spacing w:val="20"/>
                <w:sz w:val="24"/>
              </w:rPr>
              <w:t>)</w:t>
            </w:r>
          </w:p>
        </w:tc>
      </w:tr>
      <w:tr>
        <w:tblPrEx>
          <w:tblCellMar>
            <w:top w:w="0" w:type="dxa"/>
            <w:left w:w="108" w:type="dxa"/>
            <w:bottom w:w="0" w:type="dxa"/>
            <w:right w:w="108" w:type="dxa"/>
          </w:tblCellMar>
        </w:tblPrEx>
        <w:trPr>
          <w:trHeight w:val="680" w:hRule="atLeast"/>
          <w:jc w:val="center"/>
        </w:trPr>
        <w:tc>
          <w:tcPr>
            <w:tcW w:w="1653" w:type="dxa"/>
          </w:tcPr>
          <w:p>
            <w:pPr>
              <w:spacing w:line="360" w:lineRule="auto"/>
              <w:jc w:val="center"/>
              <w:rPr>
                <w:rFonts w:ascii="宋体" w:hAnsi="宋体"/>
                <w:spacing w:val="20"/>
              </w:rPr>
            </w:pPr>
            <w:r>
              <w:rPr>
                <w:rFonts w:hint="eastAsia" w:ascii="宋体" w:hAnsi="宋体"/>
                <w:spacing w:val="20"/>
              </w:rPr>
              <w:t>第二章</w:t>
            </w:r>
          </w:p>
        </w:tc>
        <w:tc>
          <w:tcPr>
            <w:tcW w:w="6050" w:type="dxa"/>
          </w:tcPr>
          <w:p>
            <w:pPr>
              <w:rPr>
                <w:rFonts w:ascii="宋体" w:hAnsi="宋体"/>
                <w:spacing w:val="20"/>
                <w:sz w:val="24"/>
              </w:rPr>
            </w:pPr>
            <w:r>
              <w:rPr>
                <w:rFonts w:hint="eastAsia" w:ascii="宋体" w:hAnsi="宋体"/>
                <w:spacing w:val="20"/>
                <w:sz w:val="24"/>
              </w:rPr>
              <w:t>投标人须知</w:t>
            </w:r>
          </w:p>
        </w:tc>
      </w:tr>
      <w:tr>
        <w:tblPrEx>
          <w:tblCellMar>
            <w:top w:w="0" w:type="dxa"/>
            <w:left w:w="108" w:type="dxa"/>
            <w:bottom w:w="0" w:type="dxa"/>
            <w:right w:w="108" w:type="dxa"/>
          </w:tblCellMar>
        </w:tblPrEx>
        <w:trPr>
          <w:trHeight w:val="680" w:hRule="atLeast"/>
          <w:jc w:val="center"/>
        </w:trPr>
        <w:tc>
          <w:tcPr>
            <w:tcW w:w="1653" w:type="dxa"/>
          </w:tcPr>
          <w:p>
            <w:pPr>
              <w:spacing w:line="360" w:lineRule="auto"/>
              <w:jc w:val="center"/>
              <w:rPr>
                <w:rFonts w:ascii="宋体" w:hAnsi="宋体"/>
                <w:spacing w:val="20"/>
              </w:rPr>
            </w:pPr>
            <w:r>
              <w:rPr>
                <w:rFonts w:hint="eastAsia" w:ascii="宋体" w:hAnsi="宋体"/>
                <w:spacing w:val="20"/>
              </w:rPr>
              <w:t>第三章</w:t>
            </w:r>
          </w:p>
        </w:tc>
        <w:tc>
          <w:tcPr>
            <w:tcW w:w="6050" w:type="dxa"/>
          </w:tcPr>
          <w:p>
            <w:pPr>
              <w:rPr>
                <w:rFonts w:ascii="宋体" w:hAnsi="宋体"/>
                <w:spacing w:val="20"/>
                <w:sz w:val="24"/>
              </w:rPr>
            </w:pPr>
            <w:r>
              <w:rPr>
                <w:rFonts w:hint="eastAsia" w:ascii="宋体" w:hAnsi="宋体"/>
                <w:spacing w:val="20"/>
                <w:sz w:val="24"/>
              </w:rPr>
              <w:t>评标办法</w:t>
            </w:r>
            <w:r>
              <w:rPr>
                <w:rFonts w:ascii="宋体" w:hAnsi="宋体"/>
                <w:spacing w:val="20"/>
                <w:sz w:val="24"/>
              </w:rPr>
              <w:t>(</w:t>
            </w:r>
            <w:r>
              <w:rPr>
                <w:rFonts w:hint="eastAsia" w:ascii="宋体" w:hAnsi="宋体"/>
                <w:spacing w:val="20"/>
                <w:sz w:val="24"/>
              </w:rPr>
              <w:t>双信封的综合评分法</w:t>
            </w:r>
            <w:r>
              <w:rPr>
                <w:rFonts w:ascii="宋体" w:hAnsi="宋体"/>
                <w:spacing w:val="20"/>
                <w:sz w:val="24"/>
              </w:rPr>
              <w:t>)</w:t>
            </w:r>
          </w:p>
        </w:tc>
      </w:tr>
      <w:tr>
        <w:tblPrEx>
          <w:tblCellMar>
            <w:top w:w="0" w:type="dxa"/>
            <w:left w:w="108" w:type="dxa"/>
            <w:bottom w:w="0" w:type="dxa"/>
            <w:right w:w="108" w:type="dxa"/>
          </w:tblCellMar>
        </w:tblPrEx>
        <w:trPr>
          <w:trHeight w:val="680" w:hRule="atLeast"/>
          <w:jc w:val="center"/>
        </w:trPr>
        <w:tc>
          <w:tcPr>
            <w:tcW w:w="1653" w:type="dxa"/>
          </w:tcPr>
          <w:p>
            <w:pPr>
              <w:spacing w:line="360" w:lineRule="auto"/>
              <w:jc w:val="center"/>
              <w:rPr>
                <w:rFonts w:ascii="宋体" w:hAnsi="宋体"/>
                <w:spacing w:val="20"/>
              </w:rPr>
            </w:pPr>
            <w:r>
              <w:rPr>
                <w:rFonts w:hint="eastAsia" w:ascii="宋体" w:hAnsi="宋体"/>
                <w:spacing w:val="20"/>
              </w:rPr>
              <w:t>第四章</w:t>
            </w:r>
          </w:p>
        </w:tc>
        <w:tc>
          <w:tcPr>
            <w:tcW w:w="6050" w:type="dxa"/>
          </w:tcPr>
          <w:p>
            <w:pPr>
              <w:rPr>
                <w:rFonts w:ascii="宋体" w:hAnsi="宋体"/>
                <w:spacing w:val="20"/>
                <w:sz w:val="24"/>
              </w:rPr>
            </w:pPr>
            <w:r>
              <w:rPr>
                <w:rFonts w:hint="eastAsia" w:ascii="宋体" w:hAnsi="宋体"/>
                <w:spacing w:val="20"/>
                <w:sz w:val="24"/>
              </w:rPr>
              <w:t>合同条款及格式</w:t>
            </w:r>
          </w:p>
        </w:tc>
      </w:tr>
      <w:tr>
        <w:tblPrEx>
          <w:tblCellMar>
            <w:top w:w="0" w:type="dxa"/>
            <w:left w:w="108" w:type="dxa"/>
            <w:bottom w:w="0" w:type="dxa"/>
            <w:right w:w="108" w:type="dxa"/>
          </w:tblCellMar>
        </w:tblPrEx>
        <w:trPr>
          <w:trHeight w:val="680" w:hRule="atLeast"/>
          <w:jc w:val="center"/>
        </w:trPr>
        <w:tc>
          <w:tcPr>
            <w:tcW w:w="7703" w:type="dxa"/>
            <w:gridSpan w:val="2"/>
          </w:tcPr>
          <w:p>
            <w:pPr>
              <w:jc w:val="center"/>
              <w:rPr>
                <w:rFonts w:ascii="宋体" w:hAnsi="宋体"/>
                <w:spacing w:val="20"/>
                <w:sz w:val="24"/>
              </w:rPr>
            </w:pPr>
            <w:r>
              <w:rPr>
                <w:rFonts w:hint="eastAsia" w:ascii="宋体" w:hAnsi="宋体"/>
                <w:spacing w:val="20"/>
                <w:sz w:val="24"/>
              </w:rPr>
              <w:t>第二卷</w:t>
            </w:r>
          </w:p>
        </w:tc>
      </w:tr>
      <w:tr>
        <w:tblPrEx>
          <w:tblCellMar>
            <w:top w:w="0" w:type="dxa"/>
            <w:left w:w="108" w:type="dxa"/>
            <w:bottom w:w="0" w:type="dxa"/>
            <w:right w:w="108" w:type="dxa"/>
          </w:tblCellMar>
        </w:tblPrEx>
        <w:trPr>
          <w:trHeight w:val="680" w:hRule="atLeast"/>
          <w:jc w:val="center"/>
        </w:trPr>
        <w:tc>
          <w:tcPr>
            <w:tcW w:w="1653" w:type="dxa"/>
          </w:tcPr>
          <w:p>
            <w:pPr>
              <w:spacing w:line="360" w:lineRule="auto"/>
              <w:jc w:val="center"/>
              <w:rPr>
                <w:rFonts w:ascii="宋体" w:hAnsi="宋体"/>
                <w:spacing w:val="20"/>
              </w:rPr>
            </w:pPr>
            <w:r>
              <w:rPr>
                <w:rFonts w:hint="eastAsia" w:ascii="宋体" w:hAnsi="宋体"/>
                <w:spacing w:val="20"/>
              </w:rPr>
              <w:t>第五章</w:t>
            </w:r>
          </w:p>
        </w:tc>
        <w:tc>
          <w:tcPr>
            <w:tcW w:w="6050" w:type="dxa"/>
          </w:tcPr>
          <w:p>
            <w:pPr>
              <w:rPr>
                <w:rFonts w:ascii="宋体" w:hAnsi="宋体"/>
                <w:spacing w:val="20"/>
                <w:sz w:val="24"/>
              </w:rPr>
            </w:pPr>
            <w:r>
              <w:rPr>
                <w:rFonts w:hint="eastAsia" w:ascii="宋体" w:hAnsi="宋体"/>
                <w:spacing w:val="20"/>
                <w:sz w:val="24"/>
              </w:rPr>
              <w:t>发包人要求</w:t>
            </w:r>
          </w:p>
        </w:tc>
      </w:tr>
      <w:tr>
        <w:tblPrEx>
          <w:tblCellMar>
            <w:top w:w="0" w:type="dxa"/>
            <w:left w:w="108" w:type="dxa"/>
            <w:bottom w:w="0" w:type="dxa"/>
            <w:right w:w="108" w:type="dxa"/>
          </w:tblCellMar>
        </w:tblPrEx>
        <w:trPr>
          <w:trHeight w:val="680" w:hRule="atLeast"/>
          <w:jc w:val="center"/>
        </w:trPr>
        <w:tc>
          <w:tcPr>
            <w:tcW w:w="7703" w:type="dxa"/>
            <w:gridSpan w:val="2"/>
          </w:tcPr>
          <w:p>
            <w:pPr>
              <w:jc w:val="center"/>
              <w:rPr>
                <w:rFonts w:ascii="宋体" w:hAnsi="宋体"/>
                <w:spacing w:val="20"/>
                <w:sz w:val="24"/>
              </w:rPr>
            </w:pPr>
            <w:r>
              <w:rPr>
                <w:rFonts w:hint="eastAsia" w:ascii="宋体" w:hAnsi="宋体"/>
                <w:spacing w:val="20"/>
                <w:sz w:val="24"/>
              </w:rPr>
              <w:t>第三卷</w:t>
            </w:r>
          </w:p>
        </w:tc>
      </w:tr>
      <w:tr>
        <w:tblPrEx>
          <w:tblCellMar>
            <w:top w:w="0" w:type="dxa"/>
            <w:left w:w="108" w:type="dxa"/>
            <w:bottom w:w="0" w:type="dxa"/>
            <w:right w:w="108" w:type="dxa"/>
          </w:tblCellMar>
        </w:tblPrEx>
        <w:trPr>
          <w:trHeight w:val="680" w:hRule="atLeast"/>
          <w:jc w:val="center"/>
        </w:trPr>
        <w:tc>
          <w:tcPr>
            <w:tcW w:w="1653" w:type="dxa"/>
          </w:tcPr>
          <w:p>
            <w:pPr>
              <w:spacing w:line="360" w:lineRule="auto"/>
              <w:jc w:val="center"/>
              <w:rPr>
                <w:rFonts w:ascii="宋体" w:hAnsi="宋体"/>
                <w:spacing w:val="20"/>
              </w:rPr>
            </w:pPr>
            <w:r>
              <w:rPr>
                <w:rFonts w:hint="eastAsia" w:ascii="宋体" w:hAnsi="宋体"/>
                <w:spacing w:val="20"/>
              </w:rPr>
              <w:t>第六章</w:t>
            </w:r>
          </w:p>
        </w:tc>
        <w:tc>
          <w:tcPr>
            <w:tcW w:w="6050" w:type="dxa"/>
          </w:tcPr>
          <w:p>
            <w:pPr>
              <w:rPr>
                <w:rFonts w:ascii="宋体" w:hAnsi="宋体"/>
                <w:spacing w:val="20"/>
                <w:sz w:val="24"/>
              </w:rPr>
            </w:pPr>
            <w:r>
              <w:rPr>
                <w:rFonts w:hint="eastAsia" w:ascii="宋体" w:hAnsi="宋体"/>
                <w:spacing w:val="20"/>
                <w:sz w:val="24"/>
              </w:rPr>
              <w:t>投标文件格式</w:t>
            </w:r>
          </w:p>
        </w:tc>
      </w:tr>
      <w:bookmarkEnd w:id="9"/>
    </w:tbl>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sectPr>
          <w:headerReference r:id="rId6" w:type="default"/>
          <w:footerReference r:id="rId8" w:type="default"/>
          <w:headerReference r:id="rId7" w:type="even"/>
          <w:footerReference r:id="rId9" w:type="even"/>
          <w:footnotePr>
            <w:numRestart w:val="eachPage"/>
          </w:footnotePr>
          <w:pgSz w:w="11905" w:h="16838"/>
          <w:pgMar w:top="1803" w:right="1440" w:bottom="1803" w:left="1440" w:header="851" w:footer="850" w:gutter="0"/>
          <w:pgNumType w:start="1"/>
          <w:cols w:space="0" w:num="1"/>
          <w:docGrid w:linePitch="312" w:charSpace="0"/>
        </w:sectPr>
      </w:pPr>
    </w:p>
    <w:p/>
    <w:p/>
    <w:p/>
    <w:p/>
    <w:p/>
    <w:p/>
    <w:p/>
    <w:p/>
    <w:p/>
    <w:p/>
    <w:p/>
    <w:p/>
    <w:p/>
    <w:p/>
    <w:p>
      <w:pPr>
        <w:widowControl/>
        <w:jc w:val="center"/>
        <w:rPr>
          <w:rFonts w:eastAsia="黑体"/>
          <w:sz w:val="36"/>
          <w:szCs w:val="36"/>
        </w:rPr>
      </w:pPr>
      <w:r>
        <w:rPr>
          <w:rStyle w:val="234"/>
          <w:rFonts w:ascii="宋体" w:hAnsi="宋体" w:eastAsia="宋体"/>
          <w:b/>
          <w:sz w:val="48"/>
          <w:szCs w:val="48"/>
        </w:rPr>
        <w:t>第一卷</w:t>
      </w:r>
    </w:p>
    <w:p>
      <w:pPr>
        <w:topLinePunct/>
        <w:spacing w:line="240" w:lineRule="atLeast"/>
        <w:ind w:right="31" w:rightChars="15"/>
        <w:jc w:val="center"/>
        <w:rPr>
          <w:rFonts w:eastAsia="黑体"/>
          <w:sz w:val="56"/>
          <w:szCs w:val="56"/>
        </w:rPr>
      </w:pPr>
      <w:bookmarkStart w:id="10" w:name="_Toc234832844"/>
    </w:p>
    <w:p>
      <w:pPr>
        <w:topLinePunct/>
        <w:spacing w:line="240" w:lineRule="atLeast"/>
        <w:ind w:right="31" w:rightChars="15"/>
        <w:jc w:val="center"/>
        <w:rPr>
          <w:rFonts w:eastAsia="黑体"/>
          <w:sz w:val="56"/>
          <w:szCs w:val="56"/>
        </w:rPr>
      </w:pPr>
    </w:p>
    <w:p>
      <w:pPr>
        <w:rPr>
          <w:rFonts w:eastAsia="黑体"/>
          <w:sz w:val="56"/>
          <w:szCs w:val="56"/>
        </w:rPr>
      </w:pPr>
      <w:r>
        <w:rPr>
          <w:rFonts w:eastAsia="黑体"/>
          <w:sz w:val="56"/>
          <w:szCs w:val="56"/>
        </w:rPr>
        <w:br w:type="page"/>
      </w:r>
    </w:p>
    <w:p>
      <w:pPr>
        <w:pStyle w:val="18"/>
      </w:pPr>
    </w:p>
    <w:p>
      <w:pPr>
        <w:topLinePunct/>
        <w:spacing w:line="240" w:lineRule="atLeast"/>
        <w:ind w:right="31" w:rightChars="15"/>
        <w:jc w:val="center"/>
        <w:rPr>
          <w:rFonts w:eastAsia="黑体"/>
          <w:sz w:val="56"/>
          <w:szCs w:val="56"/>
        </w:rPr>
      </w:pPr>
    </w:p>
    <w:p>
      <w:pPr>
        <w:pStyle w:val="2"/>
        <w:rPr>
          <w:rFonts w:eastAsia="黑体"/>
          <w:sz w:val="56"/>
          <w:szCs w:val="56"/>
        </w:rPr>
      </w:pPr>
      <w:bookmarkStart w:id="11" w:name="_Toc508984043"/>
      <w:bookmarkStart w:id="12" w:name="_Toc508984241"/>
    </w:p>
    <w:p>
      <w:pPr>
        <w:pStyle w:val="2"/>
        <w:jc w:val="center"/>
        <w:rPr>
          <w:rFonts w:ascii="宋体" w:hAnsi="宋体"/>
          <w:sz w:val="48"/>
          <w:szCs w:val="48"/>
        </w:rPr>
      </w:pPr>
      <w:r>
        <w:rPr>
          <w:rFonts w:ascii="宋体" w:hAnsi="宋体"/>
          <w:sz w:val="48"/>
          <w:szCs w:val="48"/>
        </w:rPr>
        <w:t>第一章  招标公告/投标邀请书</w:t>
      </w:r>
      <w:bookmarkEnd w:id="11"/>
      <w:bookmarkEnd w:id="12"/>
    </w:p>
    <w:p>
      <w:pPr>
        <w:spacing w:line="440" w:lineRule="exact"/>
        <w:jc w:val="center"/>
        <w:rPr>
          <w:rFonts w:ascii="宋体" w:hAnsi="宋体"/>
          <w:sz w:val="36"/>
          <w:szCs w:val="36"/>
        </w:rPr>
      </w:pPr>
      <w:r>
        <w:rPr>
          <w:rStyle w:val="149"/>
          <w:rFonts w:ascii="黑体" w:eastAsia="黑体"/>
          <w:sz w:val="42"/>
          <w:szCs w:val="42"/>
        </w:rPr>
        <w:br w:type="page"/>
      </w:r>
      <w:bookmarkStart w:id="13" w:name="_Toc508984044"/>
      <w:bookmarkStart w:id="14" w:name="_Toc503235713"/>
      <w:bookmarkStart w:id="15" w:name="_Toc508984242"/>
      <w:r>
        <w:rPr>
          <w:rStyle w:val="149"/>
          <w:rFonts w:hint="eastAsia" w:ascii="宋体" w:hAnsi="宋体"/>
          <w:sz w:val="36"/>
          <w:szCs w:val="36"/>
        </w:rPr>
        <w:t>第一章  招标公告</w:t>
      </w:r>
      <w:bookmarkEnd w:id="10"/>
      <w:bookmarkEnd w:id="13"/>
      <w:bookmarkEnd w:id="14"/>
      <w:bookmarkEnd w:id="15"/>
      <w:r>
        <w:rPr>
          <w:rStyle w:val="56"/>
          <w:rFonts w:ascii="宋体" w:hAnsi="宋体"/>
          <w:sz w:val="36"/>
          <w:szCs w:val="36"/>
        </w:rPr>
        <w:footnoteReference w:id="1"/>
      </w:r>
    </w:p>
    <w:p>
      <w:pPr>
        <w:tabs>
          <w:tab w:val="center" w:pos="4153"/>
        </w:tabs>
        <w:spacing w:line="440" w:lineRule="exact"/>
        <w:jc w:val="center"/>
        <w:rPr>
          <w:rFonts w:eastAsia="黑体"/>
          <w:sz w:val="17"/>
          <w:szCs w:val="17"/>
        </w:rPr>
      </w:pPr>
    </w:p>
    <w:p>
      <w:pPr>
        <w:spacing w:line="440" w:lineRule="exact"/>
        <w:jc w:val="center"/>
        <w:rPr>
          <w:rFonts w:ascii="宋体" w:hAnsi="宋体"/>
          <w:sz w:val="28"/>
          <w:szCs w:val="28"/>
        </w:rPr>
      </w:pPr>
      <w:r>
        <w:rPr>
          <w:rFonts w:ascii="宋体" w:hAnsi="宋体"/>
          <w:sz w:val="28"/>
          <w:szCs w:val="28"/>
          <w:u w:val="single"/>
        </w:rPr>
        <w:t xml:space="preserve">            （项目名称）     标段勘察设计</w:t>
      </w:r>
      <w:r>
        <w:rPr>
          <w:rFonts w:ascii="宋体" w:hAnsi="宋体"/>
          <w:sz w:val="28"/>
          <w:szCs w:val="28"/>
        </w:rPr>
        <w:t>咨询招标公告</w:t>
      </w:r>
    </w:p>
    <w:p>
      <w:pPr>
        <w:spacing w:line="440" w:lineRule="exact"/>
        <w:jc w:val="center"/>
        <w:rPr>
          <w:rFonts w:eastAsia="黑体"/>
          <w:sz w:val="20"/>
          <w:szCs w:val="20"/>
        </w:rPr>
      </w:pPr>
    </w:p>
    <w:p>
      <w:pPr>
        <w:pStyle w:val="2"/>
        <w:spacing w:before="240" w:after="240" w:line="240" w:lineRule="atLeast"/>
        <w:rPr>
          <w:rFonts w:ascii="宋体" w:hAnsi="宋体"/>
          <w:sz w:val="24"/>
          <w:szCs w:val="24"/>
        </w:rPr>
      </w:pPr>
      <w:bookmarkStart w:id="16" w:name="_Toc503235714"/>
      <w:bookmarkStart w:id="17" w:name="_Toc508984045"/>
      <w:bookmarkStart w:id="18" w:name="_Toc508984243"/>
      <w:bookmarkStart w:id="19" w:name="_Toc234832845"/>
      <w:r>
        <w:rPr>
          <w:rFonts w:ascii="宋体" w:hAnsi="宋体"/>
          <w:sz w:val="24"/>
          <w:szCs w:val="24"/>
        </w:rPr>
        <w:t>1. 招标条件</w:t>
      </w:r>
      <w:bookmarkEnd w:id="16"/>
      <w:bookmarkEnd w:id="17"/>
      <w:bookmarkEnd w:id="18"/>
      <w:bookmarkEnd w:id="19"/>
    </w:p>
    <w:p>
      <w:pPr>
        <w:spacing w:line="360" w:lineRule="auto"/>
        <w:ind w:firstLine="480" w:firstLineChars="200"/>
        <w:jc w:val="left"/>
        <w:rPr>
          <w:rFonts w:ascii="宋体" w:hAnsi="宋体"/>
          <w:sz w:val="24"/>
        </w:rPr>
      </w:pPr>
      <w:r>
        <w:rPr>
          <w:rFonts w:ascii="宋体" w:hAnsi="宋体"/>
          <w:sz w:val="24"/>
        </w:rPr>
        <w:t>本招标项目</w:t>
      </w:r>
      <w:r>
        <w:rPr>
          <w:rFonts w:hint="eastAsia" w:ascii="宋体" w:hAnsi="宋体"/>
          <w:sz w:val="24"/>
        </w:rPr>
        <w:t>____________________________</w:t>
      </w:r>
      <w:r>
        <w:rPr>
          <w:rFonts w:ascii="宋体" w:hAnsi="宋体"/>
          <w:sz w:val="24"/>
        </w:rPr>
        <w:t>（项目名称）已由</w:t>
      </w:r>
      <w:r>
        <w:rPr>
          <w:rFonts w:hint="eastAsia" w:ascii="宋体" w:hAnsi="宋体"/>
          <w:sz w:val="24"/>
        </w:rPr>
        <w:t>______________</w:t>
      </w:r>
      <w:r>
        <w:rPr>
          <w:rFonts w:ascii="宋体" w:hAnsi="宋体"/>
          <w:sz w:val="24"/>
        </w:rPr>
        <w:t>（项目审批、核准或备案机关名称）以</w:t>
      </w:r>
      <w:r>
        <w:rPr>
          <w:rFonts w:hint="eastAsia" w:ascii="宋体" w:hAnsi="宋体"/>
          <w:sz w:val="24"/>
        </w:rPr>
        <w:t>_____________________</w:t>
      </w:r>
      <w:r>
        <w:rPr>
          <w:rFonts w:ascii="宋体" w:hAnsi="宋体"/>
          <w:sz w:val="24"/>
        </w:rPr>
        <w:t>（批文名称及编号）批准建设，项目业主为</w:t>
      </w:r>
      <w:r>
        <w:rPr>
          <w:rFonts w:hint="eastAsia" w:ascii="宋体" w:hAnsi="宋体"/>
          <w:sz w:val="24"/>
        </w:rPr>
        <w:t>______________</w:t>
      </w:r>
      <w:r>
        <w:rPr>
          <w:rFonts w:ascii="宋体" w:hAnsi="宋体"/>
          <w:sz w:val="24"/>
        </w:rPr>
        <w:t>，建设资金来自</w:t>
      </w:r>
      <w:r>
        <w:rPr>
          <w:rFonts w:hint="eastAsia" w:ascii="宋体" w:hAnsi="宋体"/>
          <w:sz w:val="24"/>
        </w:rPr>
        <w:t>_______</w:t>
      </w:r>
      <w:r>
        <w:rPr>
          <w:rFonts w:ascii="宋体" w:hAnsi="宋体"/>
          <w:sz w:val="24"/>
        </w:rPr>
        <w:t>（资金来源），出资比例为</w:t>
      </w:r>
      <w:r>
        <w:rPr>
          <w:rFonts w:hint="eastAsia" w:ascii="宋体" w:hAnsi="宋体"/>
          <w:sz w:val="24"/>
        </w:rPr>
        <w:t>_______</w:t>
      </w:r>
      <w:r>
        <w:rPr>
          <w:rFonts w:ascii="宋体" w:hAnsi="宋体"/>
          <w:sz w:val="24"/>
        </w:rPr>
        <w:t>，招标人为。项目已具备招标条件，现对该项目的勘察设计咨询</w:t>
      </w:r>
      <w:r>
        <w:rPr>
          <w:rFonts w:hint="eastAsia" w:ascii="宋体" w:hAnsi="宋体"/>
          <w:sz w:val="24"/>
        </w:rPr>
        <w:t>采用资格后审方式</w:t>
      </w:r>
      <w:r>
        <w:rPr>
          <w:rFonts w:ascii="宋体" w:hAnsi="宋体"/>
          <w:sz w:val="24"/>
        </w:rPr>
        <w:t xml:space="preserve">进行公开招标。 </w:t>
      </w:r>
    </w:p>
    <w:p>
      <w:pPr>
        <w:pStyle w:val="2"/>
        <w:spacing w:before="240" w:after="240" w:line="240" w:lineRule="atLeast"/>
        <w:rPr>
          <w:rFonts w:ascii="宋体" w:hAnsi="宋体"/>
          <w:sz w:val="24"/>
          <w:szCs w:val="24"/>
        </w:rPr>
      </w:pPr>
      <w:bookmarkStart w:id="20" w:name="_Toc508984046"/>
      <w:bookmarkStart w:id="21" w:name="_Toc508984244"/>
      <w:bookmarkStart w:id="22" w:name="_Toc234832846"/>
      <w:bookmarkStart w:id="23" w:name="_Toc503235715"/>
      <w:r>
        <w:rPr>
          <w:rFonts w:ascii="宋体" w:hAnsi="宋体"/>
          <w:sz w:val="24"/>
          <w:szCs w:val="24"/>
        </w:rPr>
        <w:t>2. 项目概况与招标范围</w:t>
      </w:r>
      <w:bookmarkEnd w:id="20"/>
      <w:bookmarkEnd w:id="21"/>
      <w:bookmarkEnd w:id="22"/>
      <w:bookmarkEnd w:id="23"/>
    </w:p>
    <w:p>
      <w:pPr>
        <w:topLinePunct/>
        <w:spacing w:line="360" w:lineRule="auto"/>
        <w:ind w:firstLine="480" w:firstLineChars="200"/>
        <w:rPr>
          <w:rFonts w:ascii="宋体" w:hAnsi="宋体" w:cs="宋体"/>
          <w:sz w:val="24"/>
        </w:rPr>
      </w:pPr>
      <w:r>
        <w:rPr>
          <w:rFonts w:hint="eastAsia" w:ascii="宋体" w:hAnsi="宋体" w:cs="宋体"/>
          <w:sz w:val="24"/>
        </w:rPr>
        <w:t xml:space="preserve">2.1 </w:t>
      </w:r>
      <w:r>
        <w:rPr>
          <w:rFonts w:hint="eastAsia" w:ascii="宋体" w:hAnsi="宋体" w:cs="宋体"/>
          <w:bCs/>
          <w:sz w:val="24"/>
        </w:rPr>
        <w:t>项目概况：</w:t>
      </w:r>
      <w:r>
        <w:rPr>
          <w:rFonts w:hint="eastAsia"/>
          <w:sz w:val="24"/>
        </w:rPr>
        <w:t>___________</w:t>
      </w:r>
      <w:r>
        <w:rPr>
          <w:rStyle w:val="210"/>
          <w:rFonts w:hint="eastAsia" w:ascii="宋体" w:hAnsi="宋体" w:eastAsia="宋体" w:cs="宋体"/>
          <w:spacing w:val="0"/>
          <w:sz w:val="24"/>
          <w:szCs w:val="24"/>
        </w:rPr>
        <w:t xml:space="preserve"> (说明本次招标项目的建设地点、规模、最高投标限价等）</w:t>
      </w:r>
    </w:p>
    <w:p>
      <w:pPr>
        <w:spacing w:line="360" w:lineRule="auto"/>
        <w:ind w:firstLine="480" w:firstLineChars="200"/>
        <w:rPr>
          <w:rFonts w:ascii="宋体" w:hAnsi="宋体" w:cs="宋体"/>
          <w:sz w:val="24"/>
        </w:rPr>
      </w:pPr>
      <w:r>
        <w:rPr>
          <w:rFonts w:hint="eastAsia" w:ascii="宋体" w:hAnsi="宋体" w:cs="宋体"/>
          <w:sz w:val="24"/>
        </w:rPr>
        <w:t>2.2 咨询服务期限</w:t>
      </w:r>
      <w:r>
        <w:rPr>
          <w:rStyle w:val="56"/>
          <w:rFonts w:hint="eastAsia" w:ascii="宋体" w:hAnsi="宋体" w:cs="宋体"/>
          <w:kern w:val="0"/>
          <w:sz w:val="32"/>
          <w:szCs w:val="32"/>
        </w:rPr>
        <w:footnoteReference w:id="2"/>
      </w:r>
      <w:r>
        <w:rPr>
          <w:rFonts w:hint="eastAsia" w:ascii="宋体" w:hAnsi="宋体" w:cs="宋体"/>
          <w:sz w:val="24"/>
        </w:rPr>
        <w:t>：与本项目的勘察设计进度相匹配，自勘察设计咨询合同签订之日起至</w:t>
      </w:r>
      <w:r>
        <w:rPr>
          <w:rFonts w:hint="eastAsia" w:ascii="宋体" w:hAnsi="宋体" w:cs="宋体"/>
          <w:sz w:val="24"/>
          <w:u w:val="single"/>
        </w:rPr>
        <w:t>初步设计正式批复/施工图设计正式审查（批）。</w:t>
      </w:r>
    </w:p>
    <w:p>
      <w:pPr>
        <w:topLinePunct/>
        <w:spacing w:line="360" w:lineRule="auto"/>
        <w:ind w:firstLine="480" w:firstLineChars="200"/>
        <w:rPr>
          <w:rFonts w:ascii="宋体" w:hAnsi="宋体" w:cs="宋体"/>
          <w:sz w:val="24"/>
        </w:rPr>
      </w:pPr>
      <w:r>
        <w:rPr>
          <w:rFonts w:hint="eastAsia" w:ascii="宋体" w:hAnsi="宋体" w:cs="宋体"/>
          <w:sz w:val="24"/>
        </w:rPr>
        <w:t>2.3 招标范围及标段划分</w:t>
      </w:r>
    </w:p>
    <w:p>
      <w:pPr>
        <w:topLinePunct/>
        <w:spacing w:line="360" w:lineRule="auto"/>
        <w:ind w:firstLine="480" w:firstLineChars="200"/>
        <w:rPr>
          <w:rFonts w:ascii="宋体" w:hAnsi="宋体" w:cs="宋体"/>
          <w:sz w:val="24"/>
        </w:rPr>
      </w:pPr>
      <w:r>
        <w:rPr>
          <w:rFonts w:hint="eastAsia" w:ascii="宋体" w:hAnsi="宋体" w:cs="宋体"/>
          <w:sz w:val="24"/>
        </w:rPr>
        <w:t>本次招标共分个标段，具体见下表：</w:t>
      </w:r>
    </w:p>
    <w:tbl>
      <w:tblPr>
        <w:tblStyle w:val="47"/>
        <w:tblW w:w="88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03"/>
        <w:gridCol w:w="80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427" w:hRule="atLeast"/>
          <w:jc w:val="center"/>
        </w:trPr>
        <w:tc>
          <w:tcPr>
            <w:tcW w:w="803" w:type="dxa"/>
            <w:tcBorders>
              <w:top w:val="outset" w:color="auto" w:sz="6" w:space="0"/>
              <w:left w:val="outset" w:color="auto" w:sz="6" w:space="0"/>
              <w:bottom w:val="outset" w:color="auto" w:sz="6" w:space="0"/>
              <w:right w:val="single" w:color="auto" w:sz="4" w:space="0"/>
            </w:tcBorders>
            <w:vAlign w:val="center"/>
          </w:tcPr>
          <w:p>
            <w:pPr>
              <w:wordWrap w:val="0"/>
              <w:topLinePunct/>
              <w:jc w:val="center"/>
              <w:rPr>
                <w:rFonts w:ascii="宋体" w:hAnsi="宋体"/>
                <w:b/>
                <w:sz w:val="24"/>
              </w:rPr>
            </w:pPr>
            <w:r>
              <w:rPr>
                <w:rFonts w:hint="eastAsia" w:ascii="宋体" w:hAnsi="宋体"/>
                <w:b/>
                <w:sz w:val="24"/>
              </w:rPr>
              <w:t>标段</w:t>
            </w:r>
          </w:p>
        </w:tc>
        <w:tc>
          <w:tcPr>
            <w:tcW w:w="8091" w:type="dxa"/>
            <w:tcBorders>
              <w:top w:val="outset" w:color="auto" w:sz="6" w:space="0"/>
              <w:left w:val="outset" w:color="auto" w:sz="6" w:space="0"/>
              <w:bottom w:val="outset" w:color="auto" w:sz="6" w:space="0"/>
              <w:right w:val="outset" w:color="auto" w:sz="6" w:space="0"/>
            </w:tcBorders>
            <w:vAlign w:val="center"/>
          </w:tcPr>
          <w:p>
            <w:pPr>
              <w:wordWrap w:val="0"/>
              <w:topLinePunct/>
              <w:jc w:val="center"/>
              <w:rPr>
                <w:rFonts w:ascii="宋体" w:hAnsi="宋体"/>
                <w:b/>
                <w:sz w:val="24"/>
              </w:rPr>
            </w:pPr>
            <w:r>
              <w:rPr>
                <w:rFonts w:hint="eastAsia" w:ascii="宋体" w:hAnsi="宋体"/>
                <w:b/>
                <w:sz w:val="24"/>
              </w:rPr>
              <w:t>招标范围</w:t>
            </w:r>
            <w:r>
              <w:rPr>
                <w:rStyle w:val="56"/>
                <w:rFonts w:ascii="宋体" w:hAnsi="宋体"/>
                <w:sz w:val="32"/>
                <w:szCs w:val="32"/>
              </w:rPr>
              <w:footnoteReference w:id="3"/>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803" w:type="dxa"/>
            <w:tcBorders>
              <w:top w:val="single" w:color="auto" w:sz="4" w:space="0"/>
              <w:left w:val="outset" w:color="auto" w:sz="6" w:space="0"/>
              <w:bottom w:val="single" w:color="auto" w:sz="4" w:space="0"/>
              <w:right w:val="single" w:color="auto" w:sz="4" w:space="0"/>
            </w:tcBorders>
            <w:vAlign w:val="center"/>
          </w:tcPr>
          <w:p>
            <w:pPr>
              <w:wordWrap w:val="0"/>
              <w:topLinePunct/>
              <w:jc w:val="center"/>
              <w:rPr>
                <w:rFonts w:ascii="宋体" w:hAnsi="宋体"/>
                <w:sz w:val="24"/>
              </w:rPr>
            </w:pPr>
          </w:p>
        </w:tc>
        <w:tc>
          <w:tcPr>
            <w:tcW w:w="8091" w:type="dxa"/>
            <w:tcBorders>
              <w:top w:val="single" w:color="auto" w:sz="4" w:space="0"/>
              <w:left w:val="outset" w:color="auto" w:sz="6" w:space="0"/>
              <w:bottom w:val="single" w:color="auto" w:sz="4" w:space="0"/>
              <w:right w:val="outset" w:color="auto" w:sz="6" w:space="0"/>
            </w:tcBorders>
            <w:vAlign w:val="center"/>
          </w:tcPr>
          <w:p>
            <w:pPr>
              <w:wordWrap w:val="0"/>
              <w:topLinePunct/>
              <w:spacing w:line="360" w:lineRule="auto"/>
              <w:rPr>
                <w:rFonts w:ascii="宋体" w:hAnsi="宋体"/>
                <w:sz w:val="24"/>
              </w:rPr>
            </w:pPr>
            <w:r>
              <w:rPr>
                <w:rFonts w:hint="eastAsia" w:ascii="宋体" w:hAnsi="宋体"/>
                <w:sz w:val="24"/>
                <w:u w:val="single"/>
              </w:rPr>
              <w:t>港口工程、航道工程、修造船厂水工工程、通航建筑工程、水上交通管制工程、港口装卸工艺</w:t>
            </w:r>
            <w:r>
              <w:rPr>
                <w:rFonts w:hint="eastAsia" w:ascii="宋体" w:hAnsi="宋体"/>
                <w:sz w:val="24"/>
              </w:rPr>
              <w:t>的</w:t>
            </w:r>
            <w:r>
              <w:rPr>
                <w:rFonts w:hint="eastAsia" w:ascii="宋体" w:hAnsi="宋体"/>
                <w:sz w:val="24"/>
                <w:u w:val="single"/>
              </w:rPr>
              <w:t>勘察设计</w:t>
            </w:r>
            <w:r>
              <w:rPr>
                <w:rFonts w:hint="eastAsia" w:ascii="宋体" w:hAnsi="宋体"/>
                <w:sz w:val="24"/>
              </w:rPr>
              <w:t>咨询；</w:t>
            </w:r>
          </w:p>
          <w:p>
            <w:pPr>
              <w:wordWrap w:val="0"/>
              <w:topLinePunct/>
              <w:spacing w:line="360" w:lineRule="auto"/>
              <w:jc w:val="left"/>
              <w:rPr>
                <w:rFonts w:ascii="宋体" w:hAnsi="宋体"/>
                <w:sz w:val="24"/>
              </w:rPr>
            </w:pPr>
            <w:r>
              <w:rPr>
                <w:rFonts w:hint="eastAsia" w:ascii="宋体" w:hAnsi="宋体"/>
                <w:sz w:val="24"/>
              </w:rPr>
              <w:t>上述勘察设计咨询包括初勘初测咨询、初步设计咨询（含技术设计咨询，如有）、详勘定测咨询、施工图设计咨询、概预算文件审核等。</w:t>
            </w:r>
            <w:r>
              <w:rPr>
                <w:rStyle w:val="56"/>
                <w:rFonts w:ascii="宋体" w:hAnsi="宋体"/>
                <w:sz w:val="32"/>
                <w:szCs w:val="32"/>
              </w:rPr>
              <w:footnoteReference w:id="4"/>
            </w:r>
          </w:p>
        </w:tc>
      </w:tr>
    </w:tbl>
    <w:p>
      <w:pPr>
        <w:pStyle w:val="2"/>
        <w:spacing w:before="240" w:after="240" w:line="240" w:lineRule="atLeast"/>
        <w:rPr>
          <w:rFonts w:ascii="宋体" w:hAnsi="宋体"/>
          <w:sz w:val="24"/>
          <w:szCs w:val="24"/>
        </w:rPr>
      </w:pPr>
      <w:bookmarkStart w:id="24" w:name="_Toc508984245"/>
      <w:bookmarkStart w:id="25" w:name="_Toc508984047"/>
      <w:bookmarkStart w:id="26" w:name="_Toc234832847"/>
      <w:bookmarkStart w:id="27" w:name="_Toc503235716"/>
      <w:r>
        <w:rPr>
          <w:rFonts w:ascii="宋体" w:hAnsi="宋体"/>
          <w:sz w:val="24"/>
          <w:szCs w:val="24"/>
        </w:rPr>
        <w:t>3. 投标人资格要求</w:t>
      </w:r>
      <w:bookmarkEnd w:id="24"/>
      <w:bookmarkEnd w:id="25"/>
      <w:bookmarkEnd w:id="26"/>
      <w:bookmarkEnd w:id="27"/>
    </w:p>
    <w:p>
      <w:pPr>
        <w:spacing w:line="360" w:lineRule="auto"/>
        <w:ind w:firstLine="480" w:firstLineChars="200"/>
        <w:jc w:val="left"/>
        <w:rPr>
          <w:rFonts w:ascii="宋体" w:hAnsi="宋体"/>
          <w:sz w:val="24"/>
        </w:rPr>
      </w:pPr>
      <w:r>
        <w:rPr>
          <w:rFonts w:ascii="宋体" w:hAnsi="宋体"/>
          <w:sz w:val="24"/>
        </w:rPr>
        <w:t>3.1本次招标要求投标人须</w:t>
      </w:r>
      <w:r>
        <w:rPr>
          <w:rFonts w:hint="eastAsia" w:ascii="宋体" w:hAnsi="宋体"/>
          <w:sz w:val="24"/>
          <w:u w:val="single"/>
        </w:rPr>
        <w:t>同时</w:t>
      </w:r>
      <w:r>
        <w:rPr>
          <w:rFonts w:ascii="宋体" w:hAnsi="宋体"/>
          <w:sz w:val="24"/>
        </w:rPr>
        <w:t>具备</w:t>
      </w:r>
      <w:r>
        <w:rPr>
          <w:rFonts w:hint="eastAsia" w:ascii="宋体" w:hAnsi="宋体"/>
          <w:sz w:val="24"/>
        </w:rPr>
        <w:t>以下</w:t>
      </w:r>
      <w:r>
        <w:rPr>
          <w:rFonts w:ascii="宋体" w:hAnsi="宋体"/>
          <w:sz w:val="24"/>
        </w:rPr>
        <w:t>资质</w:t>
      </w:r>
      <w:r>
        <w:rPr>
          <w:rFonts w:hint="eastAsia" w:ascii="宋体" w:hAnsi="宋体"/>
          <w:sz w:val="24"/>
        </w:rPr>
        <w:t>、</w:t>
      </w:r>
      <w:r>
        <w:rPr>
          <w:rFonts w:ascii="宋体" w:hAnsi="宋体"/>
          <w:sz w:val="24"/>
        </w:rPr>
        <w:t>业绩，并在人员等方面具有相应的勘察设计咨询能力。</w:t>
      </w:r>
    </w:p>
    <w:p>
      <w:pPr>
        <w:overflowPunct w:val="0"/>
        <w:autoSpaceDN w:val="0"/>
        <w:spacing w:line="360" w:lineRule="auto"/>
        <w:ind w:firstLine="424" w:firstLineChars="177"/>
        <w:jc w:val="left"/>
        <w:rPr>
          <w:rFonts w:ascii="宋体" w:hAnsi="宋体" w:cs="SimSun-Identity-H"/>
          <w:sz w:val="24"/>
        </w:rPr>
      </w:pPr>
      <w:bookmarkStart w:id="28" w:name="_Toc441148214"/>
      <w:bookmarkStart w:id="29" w:name="_Toc429403429"/>
      <w:r>
        <w:rPr>
          <w:rFonts w:hint="eastAsia" w:ascii="宋体" w:hAnsi="宋体" w:cs="SimSun-Identity-H"/>
          <w:sz w:val="24"/>
        </w:rPr>
        <w:t>（1）工程勘察综合类甲级资质或</w:t>
      </w:r>
      <w:r>
        <w:rPr>
          <w:rFonts w:hint="eastAsia" w:ascii="宋体" w:hAnsi="宋体" w:cs="SimSun-Identity-H"/>
          <w:sz w:val="24"/>
          <w:u w:val="single"/>
        </w:rPr>
        <w:t>同时具备工程勘察专业类岩土工程勘察级和工程勘察专业类工程测量级资质</w:t>
      </w:r>
      <w:r>
        <w:rPr>
          <w:rFonts w:hint="eastAsia" w:ascii="宋体" w:hAnsi="宋体" w:cs="SimSun-Identity-H"/>
          <w:sz w:val="24"/>
        </w:rPr>
        <w:t>；</w:t>
      </w:r>
      <w:bookmarkEnd w:id="28"/>
      <w:bookmarkEnd w:id="29"/>
    </w:p>
    <w:p>
      <w:pPr>
        <w:overflowPunct w:val="0"/>
        <w:autoSpaceDN w:val="0"/>
        <w:spacing w:line="360" w:lineRule="auto"/>
        <w:ind w:firstLine="424" w:firstLineChars="177"/>
        <w:jc w:val="left"/>
        <w:rPr>
          <w:rFonts w:ascii="宋体" w:hAnsi="宋体" w:cs="SimSun-Identity-H"/>
          <w:sz w:val="24"/>
        </w:rPr>
      </w:pPr>
      <w:bookmarkStart w:id="30" w:name="_Toc429403430"/>
      <w:bookmarkStart w:id="31" w:name="_Toc441148215"/>
      <w:r>
        <w:rPr>
          <w:rFonts w:hint="eastAsia" w:ascii="宋体" w:hAnsi="宋体" w:cs="SimSun-Identity-H"/>
          <w:sz w:val="24"/>
        </w:rPr>
        <w:t>（2）工程设计综合甲级资质或工程设计水运行业</w:t>
      </w:r>
      <w:r>
        <w:rPr>
          <w:rFonts w:hint="eastAsia" w:ascii="宋体" w:hAnsi="宋体" w:cs="SimSun-Identity-H"/>
          <w:sz w:val="24"/>
          <w:u w:val="single"/>
        </w:rPr>
        <w:t>级</w:t>
      </w:r>
      <w:r>
        <w:rPr>
          <w:rFonts w:hint="eastAsia" w:ascii="宋体" w:hAnsi="宋体" w:cs="SimSun-Identity-H"/>
          <w:sz w:val="24"/>
        </w:rPr>
        <w:t>资质或工程设计水运行业（</w:t>
      </w:r>
      <w:r>
        <w:rPr>
          <w:rFonts w:hint="eastAsia" w:ascii="宋体" w:hAnsi="宋体" w:cs="SimSun-Identity-H"/>
          <w:sz w:val="24"/>
          <w:u w:val="single"/>
        </w:rPr>
        <w:t>港口工程、航道工程、修造船厂水工工程、通航建筑工程、水上交通管制工程、港口装卸工艺</w:t>
      </w:r>
      <w:r>
        <w:rPr>
          <w:rFonts w:hint="eastAsia" w:ascii="宋体" w:hAnsi="宋体" w:cs="SimSun-Identity-H"/>
          <w:sz w:val="24"/>
        </w:rPr>
        <w:t>）专业</w:t>
      </w:r>
      <w:r>
        <w:rPr>
          <w:rFonts w:hint="eastAsia" w:ascii="宋体" w:hAnsi="宋体" w:cs="SimSun-Identity-H"/>
          <w:sz w:val="24"/>
          <w:u w:val="single"/>
        </w:rPr>
        <w:t>级</w:t>
      </w:r>
      <w:r>
        <w:rPr>
          <w:rFonts w:hint="eastAsia" w:ascii="宋体" w:hAnsi="宋体" w:cs="SimSun-Identity-H"/>
          <w:sz w:val="24"/>
        </w:rPr>
        <w:t>资质；</w:t>
      </w:r>
      <w:bookmarkEnd w:id="30"/>
      <w:bookmarkEnd w:id="31"/>
    </w:p>
    <w:p>
      <w:pPr>
        <w:spacing w:line="360" w:lineRule="auto"/>
        <w:ind w:firstLine="424" w:firstLineChars="177"/>
        <w:jc w:val="left"/>
        <w:rPr>
          <w:rFonts w:ascii="宋体" w:hAnsi="宋体"/>
          <w:sz w:val="24"/>
          <w:u w:val="single"/>
        </w:rPr>
      </w:pPr>
      <w:bookmarkStart w:id="32" w:name="_Toc441148216"/>
      <w:bookmarkStart w:id="33" w:name="_Toc429403431"/>
      <w:r>
        <w:rPr>
          <w:rFonts w:hint="eastAsia" w:ascii="宋体" w:hAnsi="宋体" w:cs="SimSun-Identity-H"/>
          <w:sz w:val="24"/>
        </w:rPr>
        <w:t>（3）</w:t>
      </w:r>
      <w:r>
        <w:rPr>
          <w:rFonts w:hint="eastAsia" w:ascii="宋体" w:hAnsi="宋体" w:cs="SimSun-Identity-H"/>
          <w:sz w:val="24"/>
          <w:u w:val="single"/>
        </w:rPr>
        <w:t>通过全国投资项目在线审批监管平台备案（备案专业为水运）的工程咨询单位</w:t>
      </w:r>
      <w:r>
        <w:rPr>
          <w:rFonts w:hint="eastAsia" w:ascii="宋体" w:hAnsi="宋体" w:cs="SimSun-Identity-H"/>
          <w:sz w:val="24"/>
        </w:rPr>
        <w:t>。</w:t>
      </w:r>
      <w:bookmarkEnd w:id="32"/>
      <w:bookmarkEnd w:id="33"/>
    </w:p>
    <w:p>
      <w:pPr>
        <w:spacing w:line="360" w:lineRule="auto"/>
        <w:ind w:firstLine="480" w:firstLineChars="200"/>
        <w:jc w:val="left"/>
        <w:rPr>
          <w:rFonts w:ascii="宋体" w:hAnsi="宋体"/>
          <w:sz w:val="24"/>
        </w:rPr>
      </w:pPr>
      <w:r>
        <w:rPr>
          <w:rFonts w:ascii="宋体" w:hAnsi="宋体"/>
          <w:sz w:val="24"/>
        </w:rPr>
        <w:t>3.2</w:t>
      </w:r>
      <w:r>
        <w:rPr>
          <w:rStyle w:val="56"/>
          <w:rFonts w:ascii="宋体" w:hAnsi="宋体"/>
          <w:sz w:val="24"/>
        </w:rPr>
        <w:footnoteReference w:id="5"/>
      </w:r>
      <w:r>
        <w:rPr>
          <w:rFonts w:ascii="宋体" w:hAnsi="宋体"/>
          <w:sz w:val="24"/>
        </w:rPr>
        <w:t>本次招标</w:t>
      </w:r>
      <w:r>
        <w:rPr>
          <w:rFonts w:hint="eastAsia" w:ascii="宋体" w:hAnsi="宋体"/>
          <w:sz w:val="24"/>
        </w:rPr>
        <w:t>_______</w:t>
      </w:r>
      <w:r>
        <w:rPr>
          <w:rFonts w:ascii="宋体" w:hAnsi="宋体"/>
          <w:sz w:val="24"/>
        </w:rPr>
        <w:t>（接受或不接受）联合体投标。联合体投标的，应满足下列要求：</w:t>
      </w:r>
    </w:p>
    <w:p>
      <w:pPr>
        <w:spacing w:line="360" w:lineRule="auto"/>
        <w:ind w:firstLine="480" w:firstLineChars="200"/>
        <w:jc w:val="left"/>
        <w:rPr>
          <w:rFonts w:ascii="宋体" w:hAnsi="宋体"/>
          <w:sz w:val="24"/>
        </w:rPr>
      </w:pPr>
      <w:r>
        <w:rPr>
          <w:rFonts w:ascii="宋体" w:hAnsi="宋体"/>
          <w:sz w:val="24"/>
        </w:rPr>
        <w:t>（1）联合体各方应按招标文件提供的格式签订联合体协议书，明确联合体牵头人和各方权利义务，并承诺就中标项目向招标人承担连带责任；</w:t>
      </w:r>
    </w:p>
    <w:p>
      <w:pPr>
        <w:spacing w:line="360" w:lineRule="auto"/>
        <w:ind w:firstLine="480" w:firstLineChars="200"/>
        <w:jc w:val="left"/>
        <w:rPr>
          <w:rFonts w:ascii="宋体" w:hAnsi="宋体"/>
          <w:sz w:val="24"/>
        </w:rPr>
      </w:pPr>
      <w:r>
        <w:rPr>
          <w:rFonts w:ascii="宋体" w:hAnsi="宋体"/>
          <w:sz w:val="24"/>
        </w:rPr>
        <w:t>（2）由同一专业的单位组成的联合体，按照资质等级较低的单位确定资质等级；</w:t>
      </w:r>
      <w:r>
        <w:rPr>
          <w:rStyle w:val="56"/>
          <w:rFonts w:ascii="宋体" w:hAnsi="宋体"/>
          <w:kern w:val="0"/>
          <w:sz w:val="24"/>
        </w:rPr>
        <w:footnoteReference w:id="6"/>
      </w:r>
    </w:p>
    <w:p>
      <w:pPr>
        <w:spacing w:line="360" w:lineRule="auto"/>
        <w:ind w:firstLine="480" w:firstLineChars="200"/>
        <w:jc w:val="left"/>
        <w:rPr>
          <w:rFonts w:ascii="宋体" w:hAnsi="宋体"/>
          <w:sz w:val="24"/>
        </w:rPr>
      </w:pPr>
      <w:r>
        <w:rPr>
          <w:rFonts w:ascii="宋体" w:hAnsi="宋体"/>
          <w:sz w:val="24"/>
        </w:rPr>
        <w:t>（3）联合体各方不得再以自己名义单独或参加其他联合体在同一标段中投标；</w:t>
      </w:r>
    </w:p>
    <w:p>
      <w:pPr>
        <w:spacing w:line="360" w:lineRule="auto"/>
        <w:ind w:firstLine="480" w:firstLineChars="200"/>
        <w:jc w:val="left"/>
        <w:rPr>
          <w:rFonts w:ascii="宋体" w:hAnsi="宋体"/>
          <w:sz w:val="24"/>
        </w:rPr>
      </w:pPr>
      <w:r>
        <w:rPr>
          <w:rFonts w:ascii="宋体" w:hAnsi="宋体"/>
          <w:sz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spacing w:line="360" w:lineRule="auto"/>
        <w:ind w:firstLine="480" w:firstLineChars="200"/>
        <w:jc w:val="left"/>
        <w:rPr>
          <w:rFonts w:ascii="宋体" w:hAnsi="宋体"/>
          <w:sz w:val="24"/>
        </w:rPr>
      </w:pPr>
      <w:r>
        <w:rPr>
          <w:rFonts w:ascii="宋体" w:hAnsi="宋体"/>
          <w:sz w:val="24"/>
        </w:rPr>
        <w:t>（5）尽管委任了联合体牵头人，但联合体各成员在投标、</w:t>
      </w:r>
      <w:r>
        <w:rPr>
          <w:rFonts w:hint="eastAsia" w:ascii="宋体" w:hAnsi="宋体"/>
          <w:sz w:val="24"/>
        </w:rPr>
        <w:t>签订合同</w:t>
      </w:r>
      <w:r>
        <w:rPr>
          <w:rFonts w:ascii="宋体" w:hAnsi="宋体"/>
          <w:sz w:val="24"/>
        </w:rPr>
        <w:t>与履行合同过程中，仍负有连带的和各自的法律责任</w:t>
      </w:r>
      <w:r>
        <w:rPr>
          <w:rFonts w:hint="eastAsia" w:ascii="宋体" w:hAnsi="宋体"/>
          <w:sz w:val="24"/>
        </w:rPr>
        <w:t>；</w:t>
      </w:r>
    </w:p>
    <w:p>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）联合体牵头人应同时具备上述</w:t>
      </w:r>
      <w:r>
        <w:rPr>
          <w:rFonts w:ascii="宋体" w:hAnsi="宋体"/>
          <w:sz w:val="24"/>
        </w:rPr>
        <w:t>3.1</w:t>
      </w:r>
      <w:r>
        <w:rPr>
          <w:rFonts w:hint="eastAsia" w:ascii="宋体" w:hAnsi="宋体"/>
          <w:sz w:val="24"/>
        </w:rPr>
        <w:t>款（</w:t>
      </w:r>
      <w:r>
        <w:rPr>
          <w:rFonts w:ascii="宋体" w:hAnsi="宋体"/>
          <w:sz w:val="24"/>
        </w:rPr>
        <w:t>1</w:t>
      </w:r>
      <w:r>
        <w:rPr>
          <w:rFonts w:hint="eastAsia" w:ascii="宋体" w:hAnsi="宋体"/>
          <w:sz w:val="24"/>
        </w:rPr>
        <w:t>）及（</w:t>
      </w:r>
      <w:r>
        <w:rPr>
          <w:rFonts w:ascii="宋体" w:hAnsi="宋体"/>
          <w:sz w:val="24"/>
        </w:rPr>
        <w:t>2</w:t>
      </w:r>
      <w:r>
        <w:rPr>
          <w:rFonts w:hint="eastAsia" w:ascii="宋体" w:hAnsi="宋体"/>
          <w:sz w:val="24"/>
        </w:rPr>
        <w:t>）的资质或单独具备（</w:t>
      </w:r>
      <w:r>
        <w:rPr>
          <w:rFonts w:ascii="宋体" w:hAnsi="宋体"/>
          <w:sz w:val="24"/>
        </w:rPr>
        <w:t>3</w:t>
      </w:r>
      <w:r>
        <w:rPr>
          <w:rFonts w:hint="eastAsia" w:ascii="宋体" w:hAnsi="宋体"/>
          <w:sz w:val="24"/>
        </w:rPr>
        <w:t>）的资质，</w:t>
      </w:r>
      <w:r>
        <w:rPr>
          <w:rFonts w:hint="eastAsia" w:ascii="宋体" w:hAnsi="宋体" w:cs="宋体"/>
          <w:sz w:val="24"/>
        </w:rPr>
        <w:t>联合体所有成员（含牵头人）数量不得超过</w:t>
      </w:r>
      <w:r>
        <w:rPr>
          <w:rFonts w:hint="eastAsia" w:ascii="宋体" w:hAnsi="宋体"/>
          <w:sz w:val="24"/>
        </w:rPr>
        <w:t>__</w:t>
      </w:r>
      <w:r>
        <w:rPr>
          <w:rFonts w:hint="eastAsia" w:ascii="宋体" w:hAnsi="宋体" w:cs="宋体"/>
          <w:sz w:val="24"/>
        </w:rPr>
        <w:t>个</w:t>
      </w:r>
      <w:r>
        <w:rPr>
          <w:rFonts w:hint="eastAsia" w:ascii="宋体" w:hAnsi="宋体"/>
          <w:sz w:val="24"/>
        </w:rPr>
        <w:t>；</w:t>
      </w:r>
    </w:p>
    <w:p>
      <w:pPr>
        <w:spacing w:line="360" w:lineRule="auto"/>
        <w:ind w:firstLine="480" w:firstLineChars="200"/>
        <w:jc w:val="left"/>
        <w:rPr>
          <w:rFonts w:ascii="宋体" w:hAnsi="宋体"/>
          <w:sz w:val="24"/>
        </w:rPr>
      </w:pPr>
      <w:r>
        <w:rPr>
          <w:rFonts w:hint="eastAsia" w:ascii="宋体" w:hAnsi="宋体"/>
          <w:sz w:val="24"/>
          <w:u w:val="single"/>
        </w:rPr>
        <w:t>（7）</w:t>
      </w:r>
      <w:r>
        <w:rPr>
          <w:rFonts w:ascii="宋体" w:hAnsi="宋体"/>
          <w:sz w:val="24"/>
          <w:u w:val="single"/>
        </w:rPr>
        <w:t xml:space="preserve"> ……                  </w:t>
      </w:r>
      <w:r>
        <w:rPr>
          <w:rFonts w:ascii="宋体" w:hAnsi="宋体"/>
          <w:sz w:val="24"/>
        </w:rPr>
        <w:t>。</w:t>
      </w:r>
    </w:p>
    <w:p>
      <w:pPr>
        <w:spacing w:line="360" w:lineRule="auto"/>
        <w:ind w:firstLine="480" w:firstLineChars="200"/>
        <w:jc w:val="left"/>
        <w:rPr>
          <w:rFonts w:ascii="宋体" w:hAnsi="宋体"/>
          <w:sz w:val="24"/>
        </w:rPr>
      </w:pPr>
      <w:r>
        <w:rPr>
          <w:rFonts w:ascii="宋体" w:hAnsi="宋体"/>
          <w:sz w:val="24"/>
        </w:rPr>
        <w:t>3.3</w:t>
      </w:r>
      <w:r>
        <w:rPr>
          <w:rStyle w:val="56"/>
          <w:rFonts w:ascii="宋体" w:hAnsi="宋体"/>
          <w:sz w:val="24"/>
        </w:rPr>
        <w:footnoteReference w:id="7"/>
      </w:r>
      <w:r>
        <w:rPr>
          <w:rFonts w:hint="eastAsia" w:ascii="宋体" w:hAnsi="宋体" w:cs="宋体"/>
          <w:sz w:val="24"/>
        </w:rPr>
        <w:t>在本次招标中，被</w:t>
      </w:r>
      <w:r>
        <w:rPr>
          <w:rFonts w:hint="eastAsia" w:ascii="宋体" w:hAnsi="宋体" w:cs="宋体"/>
          <w:sz w:val="24"/>
          <w:lang w:eastAsia="zh-CN"/>
        </w:rPr>
        <w:t>湛江市</w:t>
      </w:r>
      <w:r>
        <w:rPr>
          <w:rFonts w:hint="eastAsia" w:ascii="宋体" w:hAnsi="宋体" w:cs="宋体"/>
          <w:sz w:val="24"/>
        </w:rPr>
        <w:t>交通运输厅评为级信用等级的投标人，最多可对其中的个标段进行投标，但只允许中个标段。（本款所指的信用等级为</w:t>
      </w:r>
      <w:r>
        <w:rPr>
          <w:rFonts w:hint="eastAsia" w:ascii="宋体" w:hAnsi="宋体" w:cs="宋体"/>
          <w:sz w:val="24"/>
          <w:lang w:eastAsia="zh-CN"/>
        </w:rPr>
        <w:t>湛江市</w:t>
      </w:r>
      <w:r>
        <w:rPr>
          <w:rFonts w:hint="eastAsia" w:ascii="宋体" w:hAnsi="宋体" w:cs="宋体"/>
          <w:sz w:val="24"/>
        </w:rPr>
        <w:t>交通运输厅最新年度发布的水运工程从业单位信用等级（工程咨询单位），投标登记阶段无需承诺是否在此次投标过程中使用）</w:t>
      </w:r>
      <w:r>
        <w:rPr>
          <w:rFonts w:hint="eastAsia" w:ascii="宋体" w:hAnsi="宋体" w:cs="宋体"/>
        </w:rPr>
        <w:t>。</w:t>
      </w:r>
    </w:p>
    <w:p>
      <w:pPr>
        <w:spacing w:line="360" w:lineRule="auto"/>
        <w:ind w:firstLine="480" w:firstLineChars="200"/>
        <w:rPr>
          <w:rFonts w:ascii="宋体" w:hAnsi="宋体"/>
          <w:sz w:val="24"/>
        </w:rPr>
      </w:pPr>
      <w:r>
        <w:rPr>
          <w:rFonts w:ascii="宋体" w:hAnsi="宋体"/>
          <w:sz w:val="24"/>
        </w:rPr>
        <w:t>3.4</w:t>
      </w:r>
      <w:r>
        <w:rPr>
          <w:rFonts w:hint="eastAsia" w:ascii="宋体" w:hAnsi="宋体"/>
          <w:sz w:val="24"/>
        </w:rPr>
        <w:t>本项目的勘察设计中标单位及与其存在利害关系的单位均不得参加本项目的勘察设计咨询投标。</w:t>
      </w:r>
    </w:p>
    <w:p>
      <w:pPr>
        <w:tabs>
          <w:tab w:val="left" w:pos="360"/>
        </w:tabs>
        <w:spacing w:line="360" w:lineRule="auto"/>
        <w:ind w:firstLine="480" w:firstLineChars="200"/>
        <w:rPr>
          <w:rFonts w:ascii="宋体" w:hAnsi="宋体"/>
          <w:sz w:val="24"/>
        </w:rPr>
      </w:pPr>
      <w:bookmarkStart w:id="34" w:name="_Hlk493498874"/>
      <w:r>
        <w:rPr>
          <w:rFonts w:ascii="宋体" w:hAnsi="宋体"/>
          <w:sz w:val="24"/>
        </w:rPr>
        <w:t>3.5</w:t>
      </w:r>
      <w:r>
        <w:rPr>
          <w:rFonts w:hint="eastAsia" w:ascii="宋体" w:hAnsi="宋体"/>
          <w:sz w:val="24"/>
        </w:rPr>
        <w:t>与招标人存在利害关系可能影响招标公正性的单位，不得参加投标；若单位负责人</w:t>
      </w:r>
      <w:r>
        <w:rPr>
          <w:rStyle w:val="56"/>
          <w:rFonts w:ascii="宋体" w:hAnsi="宋体"/>
          <w:sz w:val="32"/>
          <w:szCs w:val="32"/>
        </w:rPr>
        <w:footnoteReference w:id="8"/>
      </w:r>
      <w:r>
        <w:rPr>
          <w:rFonts w:hint="eastAsia" w:ascii="宋体" w:hAnsi="宋体"/>
          <w:sz w:val="24"/>
        </w:rPr>
        <w:t>为同一人、或者存在控股</w:t>
      </w:r>
      <w:r>
        <w:rPr>
          <w:rStyle w:val="56"/>
          <w:rFonts w:ascii="宋体" w:hAnsi="宋体"/>
          <w:sz w:val="32"/>
          <w:szCs w:val="32"/>
        </w:rPr>
        <w:footnoteReference w:id="9"/>
      </w:r>
      <w:r>
        <w:rPr>
          <w:rFonts w:hint="eastAsia" w:ascii="宋体" w:hAnsi="宋体"/>
          <w:sz w:val="24"/>
        </w:rPr>
        <w:t>、管理关系</w:t>
      </w:r>
      <w:r>
        <w:rPr>
          <w:rStyle w:val="56"/>
          <w:rFonts w:ascii="宋体" w:hAnsi="宋体"/>
          <w:sz w:val="32"/>
          <w:szCs w:val="32"/>
        </w:rPr>
        <w:footnoteReference w:id="10"/>
      </w:r>
      <w:r>
        <w:rPr>
          <w:rFonts w:hint="eastAsia" w:ascii="宋体" w:hAnsi="宋体"/>
          <w:sz w:val="24"/>
        </w:rPr>
        <w:t>的不同单位，不得参加同一标段投标或者未划分标段的同一招标项目投标，否则相关投标均无效。</w:t>
      </w:r>
      <w:bookmarkEnd w:id="34"/>
    </w:p>
    <w:p>
      <w:pPr>
        <w:tabs>
          <w:tab w:val="left" w:pos="360"/>
        </w:tabs>
        <w:spacing w:line="360" w:lineRule="auto"/>
        <w:ind w:firstLine="480" w:firstLineChars="200"/>
        <w:rPr>
          <w:sz w:val="24"/>
        </w:rPr>
      </w:pPr>
      <w:r>
        <w:rPr>
          <w:rFonts w:ascii="宋体" w:hAnsi="宋体"/>
          <w:sz w:val="24"/>
        </w:rPr>
        <w:t>3.6</w:t>
      </w:r>
      <w:r>
        <w:rPr>
          <w:rFonts w:hint="eastAsia" w:ascii="宋体" w:hAnsi="宋体"/>
          <w:sz w:val="24"/>
        </w:rPr>
        <w:t>在“信用中国”网站（</w:t>
      </w:r>
      <w:r>
        <w:fldChar w:fldCharType="begin"/>
      </w:r>
      <w:r>
        <w:instrText xml:space="preserve"> HYPERLINK "http://www.creditchina.gov.cn/)%e4%b8%ad%e8%a2%ab%e5%88%97%e5%85%a5%e5%a4%b1%e4%bf%a1%e8%a2%ab%e6%89%a7" </w:instrText>
      </w:r>
      <w:r>
        <w:fldChar w:fldCharType="separate"/>
      </w:r>
      <w:r>
        <w:rPr>
          <w:rFonts w:ascii="宋体" w:hAnsi="宋体"/>
          <w:sz w:val="24"/>
        </w:rPr>
        <w:t>http://www.creditchina.gov.cn/)中被列入失信被执</w:t>
      </w:r>
      <w:r>
        <w:rPr>
          <w:rFonts w:ascii="宋体" w:hAnsi="宋体"/>
          <w:sz w:val="24"/>
        </w:rPr>
        <w:fldChar w:fldCharType="end"/>
      </w:r>
      <w:r>
        <w:rPr>
          <w:rFonts w:hint="eastAsia" w:ascii="宋体" w:hAnsi="宋体"/>
          <w:sz w:val="24"/>
        </w:rPr>
        <w:t>行人名单的投标人；在国家企业信用信息公示系统（</w:t>
      </w:r>
      <w:r>
        <w:rPr>
          <w:rFonts w:ascii="宋体" w:hAnsi="宋体"/>
          <w:sz w:val="24"/>
        </w:rPr>
        <w:t>www.gsxt.gov.cn）中被列入严重违法失信</w:t>
      </w:r>
      <w:r>
        <w:rPr>
          <w:sz w:val="24"/>
        </w:rPr>
        <w:t>企业名单的</w:t>
      </w:r>
      <w:r>
        <w:rPr>
          <w:rFonts w:hint="eastAsia"/>
          <w:sz w:val="24"/>
        </w:rPr>
        <w:t>投标人，</w:t>
      </w:r>
      <w:r>
        <w:rPr>
          <w:rFonts w:hint="eastAsia" w:ascii="宋体" w:hAnsi="宋体" w:cs="宋体"/>
          <w:sz w:val="24"/>
        </w:rPr>
        <w:t>均按否决投标处理。</w:t>
      </w:r>
    </w:p>
    <w:p>
      <w:pPr>
        <w:pStyle w:val="2"/>
        <w:spacing w:before="240" w:after="240" w:line="240" w:lineRule="atLeast"/>
        <w:rPr>
          <w:rFonts w:eastAsia="黑体"/>
          <w:sz w:val="28"/>
          <w:szCs w:val="28"/>
        </w:rPr>
      </w:pPr>
      <w:bookmarkStart w:id="35" w:name="_Toc234832848"/>
      <w:bookmarkStart w:id="36" w:name="_Toc508984048"/>
      <w:bookmarkStart w:id="37" w:name="_Toc503235718"/>
      <w:bookmarkStart w:id="38" w:name="_Toc508984246"/>
      <w:r>
        <w:rPr>
          <w:rFonts w:hint="eastAsia" w:eastAsia="黑体"/>
          <w:sz w:val="28"/>
          <w:szCs w:val="28"/>
        </w:rPr>
        <w:t>4</w:t>
      </w:r>
      <w:r>
        <w:rPr>
          <w:rFonts w:eastAsia="黑体"/>
          <w:sz w:val="28"/>
          <w:szCs w:val="28"/>
        </w:rPr>
        <w:t>. 招标文件的获取</w:t>
      </w:r>
      <w:bookmarkEnd w:id="35"/>
      <w:bookmarkEnd w:id="36"/>
      <w:bookmarkEnd w:id="37"/>
      <w:bookmarkEnd w:id="38"/>
    </w:p>
    <w:p>
      <w:pPr>
        <w:tabs>
          <w:tab w:val="left" w:pos="360"/>
        </w:tabs>
        <w:spacing w:line="360" w:lineRule="auto"/>
        <w:ind w:firstLine="480" w:firstLineChars="200"/>
        <w:jc w:val="left"/>
        <w:rPr>
          <w:rFonts w:ascii="宋体" w:hAnsi="宋体"/>
          <w:sz w:val="24"/>
        </w:rPr>
      </w:pPr>
      <w:r>
        <w:rPr>
          <w:rFonts w:hint="eastAsia" w:ascii="宋体" w:hAnsi="宋体"/>
          <w:sz w:val="24"/>
        </w:rPr>
        <w:t>4</w:t>
      </w:r>
      <w:r>
        <w:rPr>
          <w:rFonts w:ascii="宋体" w:hAnsi="宋体"/>
          <w:sz w:val="24"/>
        </w:rPr>
        <w:t>.1</w:t>
      </w:r>
      <w:r>
        <w:rPr>
          <w:rStyle w:val="56"/>
          <w:rFonts w:ascii="宋体" w:hAnsi="宋体"/>
          <w:sz w:val="24"/>
        </w:rPr>
        <w:footnoteReference w:id="11"/>
      </w:r>
      <w:r>
        <w:rPr>
          <w:rFonts w:hint="eastAsia" w:ascii="宋体" w:hAnsi="宋体" w:cs="宋体"/>
          <w:sz w:val="24"/>
        </w:rPr>
        <w:t>凡有意参加投标者，请于_____</w:t>
      </w:r>
      <w:r>
        <w:rPr>
          <w:rFonts w:ascii="宋体" w:hAnsi="宋体" w:cs="宋体"/>
          <w:sz w:val="24"/>
        </w:rPr>
        <w:t>年</w:t>
      </w:r>
      <w:r>
        <w:rPr>
          <w:rFonts w:hint="eastAsia" w:ascii="宋体" w:hAnsi="宋体" w:cs="宋体"/>
          <w:sz w:val="24"/>
        </w:rPr>
        <w:t>_____</w:t>
      </w:r>
      <w:r>
        <w:rPr>
          <w:rFonts w:ascii="宋体" w:hAnsi="宋体" w:cs="宋体"/>
          <w:sz w:val="24"/>
        </w:rPr>
        <w:t>月</w:t>
      </w:r>
      <w:r>
        <w:rPr>
          <w:rFonts w:hint="eastAsia" w:ascii="宋体" w:hAnsi="宋体" w:cs="宋体"/>
          <w:sz w:val="24"/>
        </w:rPr>
        <w:t>_____</w:t>
      </w:r>
      <w:r>
        <w:rPr>
          <w:rFonts w:ascii="宋体" w:hAnsi="宋体" w:cs="宋体"/>
          <w:sz w:val="24"/>
        </w:rPr>
        <w:t>日至</w:t>
      </w:r>
      <w:r>
        <w:rPr>
          <w:rFonts w:hint="eastAsia" w:ascii="宋体" w:hAnsi="宋体" w:cs="宋体"/>
          <w:sz w:val="24"/>
        </w:rPr>
        <w:t>_____</w:t>
      </w:r>
      <w:r>
        <w:rPr>
          <w:rFonts w:ascii="宋体" w:hAnsi="宋体" w:cs="宋体"/>
          <w:sz w:val="24"/>
        </w:rPr>
        <w:t>年</w:t>
      </w:r>
      <w:r>
        <w:rPr>
          <w:rFonts w:hint="eastAsia" w:ascii="宋体" w:hAnsi="宋体" w:cs="宋体"/>
          <w:sz w:val="24"/>
        </w:rPr>
        <w:t>_____</w:t>
      </w:r>
      <w:r>
        <w:rPr>
          <w:rFonts w:ascii="宋体" w:hAnsi="宋体" w:cs="宋体"/>
          <w:sz w:val="24"/>
        </w:rPr>
        <w:t>月</w:t>
      </w:r>
      <w:r>
        <w:rPr>
          <w:rFonts w:hint="eastAsia" w:ascii="宋体" w:hAnsi="宋体" w:cs="宋体"/>
          <w:sz w:val="24"/>
        </w:rPr>
        <w:t>_____</w:t>
      </w:r>
      <w:r>
        <w:rPr>
          <w:rFonts w:ascii="宋体" w:hAnsi="宋体" w:cs="宋体"/>
          <w:sz w:val="24"/>
        </w:rPr>
        <w:t>日，每日上午</w:t>
      </w:r>
      <w:r>
        <w:rPr>
          <w:rFonts w:hint="eastAsia" w:ascii="宋体" w:hAnsi="宋体" w:cs="宋体"/>
          <w:sz w:val="24"/>
        </w:rPr>
        <w:t>_____时_____</w:t>
      </w:r>
      <w:r>
        <w:rPr>
          <w:rFonts w:ascii="宋体" w:hAnsi="宋体" w:cs="宋体"/>
          <w:sz w:val="24"/>
        </w:rPr>
        <w:t>分至</w:t>
      </w:r>
      <w:r>
        <w:rPr>
          <w:rFonts w:hint="eastAsia" w:ascii="宋体" w:hAnsi="宋体" w:cs="宋体"/>
          <w:sz w:val="24"/>
        </w:rPr>
        <w:t>_____时_____</w:t>
      </w:r>
      <w:r>
        <w:rPr>
          <w:rFonts w:ascii="宋体" w:hAnsi="宋体" w:cs="宋体"/>
          <w:sz w:val="24"/>
        </w:rPr>
        <w:t>分，下午</w:t>
      </w:r>
      <w:r>
        <w:rPr>
          <w:rFonts w:hint="eastAsia" w:ascii="宋体" w:hAnsi="宋体" w:cs="宋体"/>
          <w:sz w:val="24"/>
        </w:rPr>
        <w:t>_____时_____</w:t>
      </w:r>
      <w:r>
        <w:rPr>
          <w:rFonts w:ascii="宋体" w:hAnsi="宋体" w:cs="宋体"/>
          <w:sz w:val="24"/>
        </w:rPr>
        <w:t>分至</w:t>
      </w:r>
      <w:r>
        <w:rPr>
          <w:rFonts w:hint="eastAsia" w:ascii="宋体" w:hAnsi="宋体" w:cs="宋体"/>
          <w:sz w:val="24"/>
        </w:rPr>
        <w:t>_____时_____</w:t>
      </w:r>
      <w:r>
        <w:rPr>
          <w:rFonts w:ascii="宋体" w:hAnsi="宋体" w:cs="宋体"/>
          <w:sz w:val="24"/>
        </w:rPr>
        <w:t>分（北京</w:t>
      </w:r>
      <w:r>
        <w:rPr>
          <w:rFonts w:hint="eastAsia" w:ascii="宋体" w:hAnsi="宋体" w:cs="宋体"/>
          <w:sz w:val="24"/>
        </w:rPr>
        <w:t>时间，下同），登录</w:t>
      </w:r>
      <w:r>
        <w:rPr>
          <w:rFonts w:ascii="宋体" w:hAnsi="宋体" w:cs="宋体"/>
          <w:sz w:val="24"/>
        </w:rPr>
        <w:t>公共</w:t>
      </w:r>
      <w:r>
        <w:rPr>
          <w:rFonts w:hint="eastAsia" w:ascii="宋体" w:hAnsi="宋体" w:cs="宋体"/>
          <w:sz w:val="24"/>
        </w:rPr>
        <w:t>资源交易中心网站，并选择对应招标项目进行投标登记</w:t>
      </w:r>
      <w:r>
        <w:rPr>
          <w:rFonts w:hint="eastAsia" w:ascii="宋体" w:hAnsi="宋体" w:cs="宋体"/>
          <w:sz w:val="24"/>
          <w:u w:val="single"/>
        </w:rPr>
        <w:t>，投标登记成功后，招标文件通过邮寄或电子邮件的形式发送给投标人。投标人参加多个标段投标的，应按所投标段分别进行投标登记，并按所投标段分别递交投标文件</w:t>
      </w:r>
      <w:r>
        <w:rPr>
          <w:rStyle w:val="210"/>
          <w:rFonts w:hint="eastAsia" w:ascii="宋体" w:hAnsi="宋体" w:eastAsia="宋体" w:cs="宋体"/>
          <w:spacing w:val="0"/>
          <w:sz w:val="24"/>
          <w:szCs w:val="24"/>
          <w:shd w:val="clear" w:color="auto" w:fill="auto"/>
        </w:rPr>
        <w:t>。</w:t>
      </w:r>
    </w:p>
    <w:p>
      <w:pPr>
        <w:spacing w:line="360" w:lineRule="auto"/>
        <w:ind w:firstLine="480" w:firstLineChars="200"/>
        <w:jc w:val="left"/>
        <w:rPr>
          <w:rFonts w:ascii="宋体" w:hAnsi="宋体"/>
          <w:sz w:val="24"/>
        </w:rPr>
      </w:pPr>
      <w:r>
        <w:rPr>
          <w:rFonts w:hint="eastAsia" w:ascii="宋体" w:hAnsi="宋体"/>
          <w:sz w:val="24"/>
        </w:rPr>
        <w:t>4</w:t>
      </w:r>
      <w:r>
        <w:rPr>
          <w:rFonts w:ascii="宋体" w:hAnsi="宋体"/>
          <w:sz w:val="24"/>
        </w:rPr>
        <w:t>.2 招标文件每套售价</w:t>
      </w:r>
      <w:r>
        <w:rPr>
          <w:rFonts w:hint="eastAsia" w:ascii="宋体" w:hAnsi="宋体" w:cs="宋体"/>
          <w:sz w:val="24"/>
        </w:rPr>
        <w:t>____</w:t>
      </w:r>
      <w:r>
        <w:rPr>
          <w:rFonts w:ascii="宋体" w:hAnsi="宋体"/>
          <w:sz w:val="24"/>
        </w:rPr>
        <w:t>元，</w:t>
      </w:r>
      <w:r>
        <w:rPr>
          <w:rFonts w:hint="eastAsia" w:ascii="宋体" w:hAnsi="宋体" w:cs="宋体"/>
          <w:sz w:val="24"/>
        </w:rPr>
        <w:t>前期技术资料</w:t>
      </w:r>
      <w:r>
        <w:rPr>
          <w:rFonts w:hint="eastAsia" w:ascii="宋体" w:hAnsi="宋体" w:cs="宋体"/>
          <w:sz w:val="24"/>
          <w:u w:val="single"/>
        </w:rPr>
        <w:t>等参考资料每套</w:t>
      </w:r>
      <w:r>
        <w:rPr>
          <w:rFonts w:ascii="宋体" w:hAnsi="宋体" w:cs="宋体"/>
          <w:sz w:val="24"/>
          <w:u w:val="single"/>
        </w:rPr>
        <w:t>售价</w:t>
      </w:r>
      <w:r>
        <w:rPr>
          <w:rFonts w:hint="eastAsia" w:ascii="宋体" w:hAnsi="宋体" w:cs="宋体"/>
          <w:sz w:val="24"/>
        </w:rPr>
        <w:t>___</w:t>
      </w:r>
      <w:r>
        <w:rPr>
          <w:rFonts w:ascii="宋体" w:hAnsi="宋体" w:cs="宋体"/>
          <w:sz w:val="24"/>
          <w:u w:val="single"/>
        </w:rPr>
        <w:t>元</w:t>
      </w:r>
      <w:r>
        <w:rPr>
          <w:rFonts w:hint="eastAsia" w:ascii="宋体" w:hAnsi="宋体" w:cs="宋体"/>
          <w:sz w:val="24"/>
          <w:u w:val="single"/>
        </w:rPr>
        <w:t>，</w:t>
      </w:r>
      <w:r>
        <w:rPr>
          <w:rFonts w:ascii="宋体" w:hAnsi="宋体" w:cs="宋体"/>
          <w:sz w:val="24"/>
        </w:rPr>
        <w:t>售后不退</w:t>
      </w:r>
      <w:r>
        <w:rPr>
          <w:rStyle w:val="56"/>
          <w:rFonts w:ascii="宋体" w:hAnsi="宋体"/>
          <w:sz w:val="32"/>
          <w:szCs w:val="32"/>
        </w:rPr>
        <w:footnoteReference w:id="12"/>
      </w:r>
      <w:r>
        <w:rPr>
          <w:rFonts w:hint="eastAsia" w:ascii="宋体" w:hAnsi="宋体"/>
          <w:sz w:val="24"/>
        </w:rPr>
        <w:t>。</w:t>
      </w:r>
    </w:p>
    <w:p>
      <w:pPr>
        <w:pStyle w:val="2"/>
        <w:spacing w:before="240" w:after="240" w:line="240" w:lineRule="atLeast"/>
        <w:rPr>
          <w:rFonts w:eastAsia="黑体"/>
          <w:sz w:val="28"/>
          <w:szCs w:val="28"/>
        </w:rPr>
      </w:pPr>
      <w:bookmarkStart w:id="39" w:name="_Toc234832849"/>
      <w:bookmarkStart w:id="40" w:name="_Toc508984247"/>
      <w:bookmarkStart w:id="41" w:name="_Toc508984049"/>
      <w:bookmarkStart w:id="42" w:name="_Toc503235719"/>
      <w:r>
        <w:rPr>
          <w:rFonts w:hint="eastAsia" w:eastAsia="黑体"/>
          <w:sz w:val="28"/>
          <w:szCs w:val="28"/>
        </w:rPr>
        <w:t>5</w:t>
      </w:r>
      <w:r>
        <w:rPr>
          <w:rFonts w:eastAsia="黑体"/>
          <w:sz w:val="28"/>
          <w:szCs w:val="28"/>
        </w:rPr>
        <w:t>. 投标文件的递交及相关事宜</w:t>
      </w:r>
      <w:bookmarkEnd w:id="39"/>
      <w:bookmarkEnd w:id="40"/>
      <w:bookmarkEnd w:id="41"/>
      <w:bookmarkEnd w:id="42"/>
    </w:p>
    <w:p>
      <w:pPr>
        <w:spacing w:line="360" w:lineRule="auto"/>
        <w:ind w:firstLine="480" w:firstLineChars="200"/>
        <w:jc w:val="left"/>
        <w:rPr>
          <w:sz w:val="24"/>
        </w:rPr>
      </w:pPr>
      <w:r>
        <w:rPr>
          <w:rFonts w:hint="eastAsia"/>
          <w:sz w:val="24"/>
        </w:rPr>
        <w:t>5</w:t>
      </w:r>
      <w:r>
        <w:rPr>
          <w:sz w:val="24"/>
        </w:rPr>
        <w:t>.1 招标人将于下列时间和地点组织进行工程现场踏勘并召开投标预备会。</w:t>
      </w:r>
      <w:r>
        <w:rPr>
          <w:rFonts w:hint="eastAsia" w:ascii="宋体" w:hAnsi="宋体" w:cs="宋体"/>
          <w:b/>
          <w:i/>
          <w:sz w:val="24"/>
        </w:rPr>
        <w:t>适用于组织踏勘和投标预备会的）</w:t>
      </w:r>
    </w:p>
    <w:p>
      <w:pPr>
        <w:pStyle w:val="236"/>
        <w:shd w:val="clear" w:color="auto" w:fill="auto"/>
        <w:tabs>
          <w:tab w:val="left" w:leader="underscore" w:pos="8632"/>
        </w:tabs>
        <w:spacing w:before="0" w:line="360" w:lineRule="auto"/>
        <w:ind w:firstLine="520"/>
        <w:jc w:val="left"/>
        <w:rPr>
          <w:rFonts w:ascii="宋体" w:hAnsi="宋体" w:eastAsia="宋体" w:cs="宋体"/>
          <w:spacing w:val="0"/>
          <w:sz w:val="24"/>
          <w:szCs w:val="24"/>
        </w:rPr>
      </w:pPr>
      <w:r>
        <w:rPr>
          <w:rStyle w:val="235"/>
          <w:rFonts w:hint="eastAsia" w:ascii="宋体" w:hAnsi="宋体" w:eastAsia="宋体" w:cs="宋体"/>
          <w:spacing w:val="0"/>
          <w:sz w:val="24"/>
          <w:szCs w:val="24"/>
        </w:rPr>
        <w:t>踏勘现场时间：</w:t>
      </w:r>
      <w:r>
        <w:rPr>
          <w:rFonts w:ascii="宋体" w:hAnsi="宋体" w:eastAsia="宋体" w:cs="宋体"/>
          <w:spacing w:val="0"/>
          <w:kern w:val="2"/>
          <w:sz w:val="24"/>
          <w:szCs w:val="24"/>
        </w:rPr>
        <w:t>____</w:t>
      </w:r>
      <w:r>
        <w:rPr>
          <w:rStyle w:val="235"/>
          <w:rFonts w:hint="eastAsia" w:ascii="宋体" w:hAnsi="宋体" w:eastAsia="宋体" w:cs="宋体"/>
          <w:spacing w:val="0"/>
          <w:sz w:val="24"/>
          <w:szCs w:val="24"/>
        </w:rPr>
        <w:t>年</w:t>
      </w:r>
      <w:r>
        <w:rPr>
          <w:rFonts w:ascii="宋体" w:hAnsi="宋体" w:eastAsia="宋体" w:cs="宋体"/>
          <w:spacing w:val="0"/>
          <w:kern w:val="2"/>
          <w:sz w:val="24"/>
          <w:szCs w:val="24"/>
        </w:rPr>
        <w:t>____</w:t>
      </w:r>
      <w:r>
        <w:rPr>
          <w:rStyle w:val="235"/>
          <w:rFonts w:hint="eastAsia" w:ascii="宋体" w:hAnsi="宋体" w:eastAsia="宋体" w:cs="宋体"/>
          <w:spacing w:val="0"/>
          <w:sz w:val="24"/>
          <w:szCs w:val="24"/>
        </w:rPr>
        <w:t>月</w:t>
      </w:r>
      <w:r>
        <w:rPr>
          <w:rFonts w:ascii="宋体" w:hAnsi="宋体" w:eastAsia="宋体" w:cs="宋体"/>
          <w:spacing w:val="0"/>
          <w:kern w:val="2"/>
          <w:sz w:val="24"/>
          <w:szCs w:val="24"/>
        </w:rPr>
        <w:t>____</w:t>
      </w:r>
      <w:r>
        <w:rPr>
          <w:rStyle w:val="235"/>
          <w:rFonts w:hint="eastAsia" w:ascii="宋体" w:hAnsi="宋体" w:eastAsia="宋体" w:cs="宋体"/>
          <w:spacing w:val="0"/>
          <w:sz w:val="24"/>
          <w:szCs w:val="24"/>
        </w:rPr>
        <w:t>日</w:t>
      </w:r>
      <w:r>
        <w:rPr>
          <w:rFonts w:ascii="宋体" w:hAnsi="宋体" w:eastAsia="宋体" w:cs="宋体"/>
          <w:spacing w:val="0"/>
          <w:kern w:val="2"/>
          <w:sz w:val="24"/>
          <w:szCs w:val="24"/>
        </w:rPr>
        <w:t>____</w:t>
      </w:r>
      <w:r>
        <w:rPr>
          <w:rStyle w:val="235"/>
          <w:rFonts w:hint="eastAsia" w:ascii="宋体" w:hAnsi="宋体" w:eastAsia="宋体" w:cs="宋体"/>
          <w:spacing w:val="0"/>
          <w:sz w:val="24"/>
          <w:szCs w:val="24"/>
        </w:rPr>
        <w:t>时</w:t>
      </w:r>
      <w:r>
        <w:rPr>
          <w:rFonts w:ascii="宋体" w:hAnsi="宋体" w:eastAsia="宋体" w:cs="宋体"/>
          <w:spacing w:val="0"/>
          <w:kern w:val="2"/>
          <w:sz w:val="24"/>
          <w:szCs w:val="24"/>
        </w:rPr>
        <w:t>____</w:t>
      </w:r>
      <w:r>
        <w:rPr>
          <w:rStyle w:val="235"/>
          <w:rFonts w:hint="eastAsia" w:ascii="宋体" w:hAnsi="宋体" w:eastAsia="宋体" w:cs="宋体"/>
          <w:spacing w:val="0"/>
          <w:sz w:val="24"/>
          <w:szCs w:val="24"/>
        </w:rPr>
        <w:t>分，集中地点：</w:t>
      </w:r>
      <w:r>
        <w:rPr>
          <w:rFonts w:ascii="宋体" w:hAnsi="宋体" w:eastAsia="宋体" w:cs="宋体"/>
          <w:spacing w:val="0"/>
          <w:kern w:val="2"/>
          <w:sz w:val="24"/>
          <w:szCs w:val="24"/>
        </w:rPr>
        <w:t>____</w:t>
      </w:r>
      <w:r>
        <w:rPr>
          <w:rStyle w:val="235"/>
          <w:rFonts w:hint="eastAsia" w:ascii="宋体" w:hAnsi="宋体" w:eastAsia="宋体" w:cs="宋体"/>
          <w:spacing w:val="0"/>
          <w:sz w:val="24"/>
          <w:szCs w:val="24"/>
        </w:rPr>
        <w:t>；</w:t>
      </w:r>
    </w:p>
    <w:p>
      <w:pPr>
        <w:spacing w:line="360" w:lineRule="auto"/>
        <w:ind w:firstLine="480" w:firstLineChars="200"/>
        <w:jc w:val="left"/>
        <w:rPr>
          <w:rFonts w:ascii="宋体" w:hAnsi="宋体"/>
          <w:sz w:val="24"/>
        </w:rPr>
      </w:pPr>
      <w:r>
        <w:rPr>
          <w:rStyle w:val="235"/>
          <w:rFonts w:hint="eastAsia" w:ascii="宋体" w:hAnsi="宋体" w:eastAsia="宋体" w:cs="宋体"/>
          <w:spacing w:val="0"/>
          <w:sz w:val="24"/>
        </w:rPr>
        <w:t>投标预备会时间：</w:t>
      </w:r>
      <w:r>
        <w:rPr>
          <w:rFonts w:ascii="宋体" w:hAnsi="宋体" w:cs="宋体"/>
          <w:sz w:val="24"/>
        </w:rPr>
        <w:t>____</w:t>
      </w:r>
      <w:r>
        <w:rPr>
          <w:rStyle w:val="235"/>
          <w:rFonts w:hint="eastAsia" w:ascii="宋体" w:hAnsi="宋体" w:eastAsia="宋体" w:cs="宋体"/>
          <w:spacing w:val="0"/>
          <w:sz w:val="24"/>
        </w:rPr>
        <w:t>年</w:t>
      </w:r>
      <w:r>
        <w:rPr>
          <w:rFonts w:ascii="宋体" w:hAnsi="宋体" w:cs="宋体"/>
          <w:sz w:val="24"/>
        </w:rPr>
        <w:t>____</w:t>
      </w:r>
      <w:r>
        <w:rPr>
          <w:rStyle w:val="235"/>
          <w:rFonts w:hint="eastAsia" w:ascii="宋体" w:hAnsi="宋体" w:eastAsia="宋体" w:cs="宋体"/>
          <w:spacing w:val="0"/>
          <w:sz w:val="24"/>
        </w:rPr>
        <w:t>月</w:t>
      </w:r>
      <w:r>
        <w:rPr>
          <w:rFonts w:ascii="宋体" w:hAnsi="宋体" w:cs="宋体"/>
          <w:sz w:val="24"/>
        </w:rPr>
        <w:t>____</w:t>
      </w:r>
      <w:r>
        <w:rPr>
          <w:rStyle w:val="235"/>
          <w:rFonts w:hint="eastAsia" w:ascii="宋体" w:hAnsi="宋体" w:eastAsia="宋体" w:cs="宋体"/>
          <w:spacing w:val="0"/>
          <w:sz w:val="24"/>
        </w:rPr>
        <w:t>日</w:t>
      </w:r>
      <w:r>
        <w:rPr>
          <w:rFonts w:ascii="宋体" w:hAnsi="宋体" w:cs="宋体"/>
          <w:sz w:val="24"/>
        </w:rPr>
        <w:t>____</w:t>
      </w:r>
      <w:r>
        <w:rPr>
          <w:rStyle w:val="235"/>
          <w:rFonts w:hint="eastAsia" w:ascii="宋体" w:hAnsi="宋体" w:eastAsia="宋体" w:cs="宋体"/>
          <w:spacing w:val="0"/>
          <w:sz w:val="24"/>
        </w:rPr>
        <w:t>时</w:t>
      </w:r>
      <w:r>
        <w:rPr>
          <w:rFonts w:ascii="宋体" w:hAnsi="宋体" w:cs="宋体"/>
          <w:sz w:val="24"/>
        </w:rPr>
        <w:t>____</w:t>
      </w:r>
      <w:r>
        <w:rPr>
          <w:rStyle w:val="235"/>
          <w:rFonts w:hint="eastAsia" w:ascii="宋体" w:hAnsi="宋体" w:eastAsia="宋体" w:cs="宋体"/>
          <w:spacing w:val="0"/>
          <w:sz w:val="24"/>
        </w:rPr>
        <w:t>分，地点：</w:t>
      </w:r>
      <w:r>
        <w:rPr>
          <w:rFonts w:ascii="宋体" w:hAnsi="宋体" w:cs="宋体"/>
          <w:sz w:val="24"/>
        </w:rPr>
        <w:t>____</w:t>
      </w:r>
      <w:r>
        <w:rPr>
          <w:rStyle w:val="235"/>
          <w:rFonts w:hint="eastAsia" w:ascii="宋体" w:hAnsi="宋体" w:eastAsia="宋体" w:cs="宋体"/>
          <w:spacing w:val="0"/>
          <w:sz w:val="24"/>
        </w:rPr>
        <w:t>。</w:t>
      </w:r>
    </w:p>
    <w:p>
      <w:pPr>
        <w:spacing w:line="360" w:lineRule="auto"/>
        <w:ind w:firstLine="480" w:firstLineChars="200"/>
        <w:jc w:val="left"/>
        <w:rPr>
          <w:sz w:val="24"/>
        </w:rPr>
      </w:pPr>
      <w:r>
        <w:rPr>
          <w:rFonts w:hint="eastAsia"/>
          <w:sz w:val="24"/>
        </w:rPr>
        <w:t>5.1</w:t>
      </w:r>
      <w:r>
        <w:rPr>
          <w:rFonts w:hint="eastAsia" w:ascii="宋体" w:hAnsi="宋体" w:cs="宋体"/>
          <w:sz w:val="24"/>
        </w:rPr>
        <w:t>招标人将不组织踏勘现场和投标预备会。</w:t>
      </w:r>
      <w:r>
        <w:rPr>
          <w:rFonts w:hint="eastAsia" w:ascii="宋体" w:hAnsi="宋体" w:cs="宋体"/>
          <w:b/>
          <w:i/>
          <w:sz w:val="24"/>
        </w:rPr>
        <w:t>（适用于不组织踏勘和投标预备会的）</w:t>
      </w:r>
    </w:p>
    <w:p>
      <w:pPr>
        <w:spacing w:line="360" w:lineRule="auto"/>
        <w:ind w:firstLine="480" w:firstLineChars="200"/>
        <w:jc w:val="left"/>
        <w:rPr>
          <w:sz w:val="24"/>
        </w:rPr>
      </w:pPr>
      <w:r>
        <w:rPr>
          <w:rFonts w:hint="eastAsia"/>
          <w:sz w:val="24"/>
        </w:rPr>
        <w:t>5</w:t>
      </w:r>
      <w:r>
        <w:rPr>
          <w:sz w:val="24"/>
        </w:rPr>
        <w:t>.2 投标文件递交的截止时间（投标截止时间，下同）为</w:t>
      </w:r>
      <w:r>
        <w:rPr>
          <w:rFonts w:ascii="宋体" w:hAnsi="宋体" w:cs="宋体"/>
          <w:sz w:val="24"/>
        </w:rPr>
        <w:t>____</w:t>
      </w:r>
      <w:r>
        <w:rPr>
          <w:sz w:val="24"/>
        </w:rPr>
        <w:t>年</w:t>
      </w:r>
      <w:r>
        <w:rPr>
          <w:rFonts w:ascii="宋体" w:hAnsi="宋体" w:cs="宋体"/>
          <w:sz w:val="24"/>
        </w:rPr>
        <w:t>____</w:t>
      </w:r>
      <w:r>
        <w:rPr>
          <w:sz w:val="24"/>
        </w:rPr>
        <w:t>月</w:t>
      </w:r>
      <w:r>
        <w:rPr>
          <w:rFonts w:ascii="宋体" w:hAnsi="宋体" w:cs="宋体"/>
          <w:sz w:val="24"/>
        </w:rPr>
        <w:t>____</w:t>
      </w:r>
      <w:r>
        <w:rPr>
          <w:sz w:val="24"/>
        </w:rPr>
        <w:t>日</w:t>
      </w:r>
      <w:r>
        <w:rPr>
          <w:rFonts w:ascii="宋体" w:hAnsi="宋体" w:cs="宋体"/>
          <w:sz w:val="24"/>
        </w:rPr>
        <w:t>____</w:t>
      </w:r>
      <w:r>
        <w:rPr>
          <w:sz w:val="24"/>
        </w:rPr>
        <w:t>时</w:t>
      </w:r>
      <w:r>
        <w:rPr>
          <w:rFonts w:ascii="宋体" w:hAnsi="宋体" w:cs="宋体"/>
          <w:sz w:val="24"/>
        </w:rPr>
        <w:t>____</w:t>
      </w:r>
      <w:r>
        <w:rPr>
          <w:sz w:val="24"/>
        </w:rPr>
        <w:t>分</w:t>
      </w:r>
      <w:r>
        <w:rPr>
          <w:rStyle w:val="56"/>
          <w:rFonts w:ascii="宋体" w:hAnsi="宋体"/>
          <w:sz w:val="32"/>
          <w:szCs w:val="32"/>
        </w:rPr>
        <w:footnoteReference w:id="13"/>
      </w:r>
      <w:r>
        <w:rPr>
          <w:sz w:val="24"/>
        </w:rPr>
        <w:t>，投标人应于当日</w:t>
      </w:r>
      <w:r>
        <w:rPr>
          <w:rFonts w:ascii="宋体" w:hAnsi="宋体" w:cs="宋体"/>
          <w:sz w:val="24"/>
        </w:rPr>
        <w:t>____</w:t>
      </w:r>
      <w:r>
        <w:rPr>
          <w:sz w:val="24"/>
        </w:rPr>
        <w:t>时</w:t>
      </w:r>
      <w:r>
        <w:rPr>
          <w:rFonts w:ascii="宋体" w:hAnsi="宋体" w:cs="宋体"/>
          <w:sz w:val="24"/>
        </w:rPr>
        <w:t>____</w:t>
      </w:r>
      <w:r>
        <w:rPr>
          <w:sz w:val="24"/>
        </w:rPr>
        <w:t>分至</w:t>
      </w:r>
      <w:r>
        <w:rPr>
          <w:rFonts w:ascii="宋体" w:hAnsi="宋体" w:cs="宋体"/>
          <w:sz w:val="24"/>
        </w:rPr>
        <w:t>____</w:t>
      </w:r>
      <w:r>
        <w:rPr>
          <w:sz w:val="24"/>
        </w:rPr>
        <w:t>时</w:t>
      </w:r>
      <w:r>
        <w:rPr>
          <w:rFonts w:ascii="宋体" w:hAnsi="宋体" w:cs="宋体"/>
          <w:sz w:val="24"/>
        </w:rPr>
        <w:t>____</w:t>
      </w:r>
      <w:r>
        <w:rPr>
          <w:sz w:val="24"/>
        </w:rPr>
        <w:t>分将投标文件递交至</w:t>
      </w:r>
      <w:r>
        <w:rPr>
          <w:rFonts w:ascii="宋体" w:hAnsi="宋体" w:cs="宋体"/>
          <w:sz w:val="24"/>
        </w:rPr>
        <w:t>________</w:t>
      </w:r>
      <w:r>
        <w:rPr>
          <w:sz w:val="24"/>
          <w:u w:val="single"/>
        </w:rPr>
        <w:t>（详细地址）</w:t>
      </w:r>
      <w:r>
        <w:rPr>
          <w:sz w:val="24"/>
        </w:rPr>
        <w:t>。</w:t>
      </w:r>
    </w:p>
    <w:p>
      <w:pPr>
        <w:spacing w:line="360" w:lineRule="auto"/>
        <w:ind w:firstLine="480" w:firstLineChars="200"/>
        <w:jc w:val="left"/>
        <w:rPr>
          <w:sz w:val="24"/>
        </w:rPr>
      </w:pPr>
      <w:r>
        <w:rPr>
          <w:rFonts w:hint="eastAsia"/>
          <w:sz w:val="24"/>
        </w:rPr>
        <w:t>5</w:t>
      </w:r>
      <w:r>
        <w:rPr>
          <w:sz w:val="24"/>
        </w:rPr>
        <w:t>.3 逾期送达的</w:t>
      </w:r>
      <w:r>
        <w:rPr>
          <w:rFonts w:hint="eastAsia"/>
          <w:sz w:val="24"/>
        </w:rPr>
        <w:t>、</w:t>
      </w:r>
      <w:r>
        <w:rPr>
          <w:sz w:val="24"/>
        </w:rPr>
        <w:t>未送达指定地点的</w:t>
      </w:r>
      <w:r>
        <w:rPr>
          <w:rFonts w:hint="eastAsia"/>
          <w:sz w:val="24"/>
        </w:rPr>
        <w:t>或不按照招标文件要求密封</w:t>
      </w:r>
      <w:r>
        <w:rPr>
          <w:sz w:val="24"/>
        </w:rPr>
        <w:t>的投标文件，招标人将予以拒收。</w:t>
      </w:r>
    </w:p>
    <w:p>
      <w:pPr>
        <w:pStyle w:val="2"/>
        <w:spacing w:before="240" w:after="240" w:line="240" w:lineRule="atLeast"/>
        <w:rPr>
          <w:rFonts w:eastAsia="黑体"/>
          <w:sz w:val="28"/>
          <w:szCs w:val="28"/>
        </w:rPr>
      </w:pPr>
      <w:bookmarkStart w:id="43" w:name="_Toc508984050"/>
      <w:bookmarkStart w:id="44" w:name="_Toc234832850"/>
      <w:bookmarkStart w:id="45" w:name="_Toc508984248"/>
      <w:bookmarkStart w:id="46" w:name="_Toc503235720"/>
      <w:r>
        <w:rPr>
          <w:rFonts w:hint="eastAsia" w:eastAsia="黑体"/>
          <w:sz w:val="28"/>
          <w:szCs w:val="28"/>
        </w:rPr>
        <w:t>6</w:t>
      </w:r>
      <w:r>
        <w:rPr>
          <w:rFonts w:eastAsia="黑体"/>
          <w:sz w:val="28"/>
          <w:szCs w:val="28"/>
        </w:rPr>
        <w:t>.发布公告的媒介</w:t>
      </w:r>
      <w:bookmarkEnd w:id="43"/>
      <w:bookmarkEnd w:id="44"/>
      <w:bookmarkEnd w:id="45"/>
      <w:bookmarkEnd w:id="46"/>
    </w:p>
    <w:p>
      <w:pPr>
        <w:pStyle w:val="17"/>
        <w:topLinePunct/>
        <w:spacing w:line="360" w:lineRule="auto"/>
        <w:ind w:firstLine="480" w:firstLineChars="200"/>
        <w:rPr>
          <w:rFonts w:ascii="Times New Roman" w:hAnsi="宋体"/>
          <w:szCs w:val="24"/>
        </w:rPr>
      </w:pPr>
      <w:r>
        <w:rPr>
          <w:rFonts w:hint="eastAsia" w:hAnsi="宋体" w:cs="宋体"/>
          <w:szCs w:val="24"/>
        </w:rPr>
        <w:t>本次招标公告</w:t>
      </w:r>
      <w:r>
        <w:rPr>
          <w:rStyle w:val="56"/>
          <w:rFonts w:hAnsi="宋体"/>
          <w:sz w:val="32"/>
          <w:szCs w:val="32"/>
        </w:rPr>
        <w:footnoteReference w:id="14"/>
      </w:r>
      <w:r>
        <w:rPr>
          <w:rFonts w:hint="eastAsia" w:hAnsi="宋体" w:cs="宋体"/>
          <w:szCs w:val="24"/>
        </w:rPr>
        <w:t>同时在</w:t>
      </w:r>
      <w:r>
        <w:rPr>
          <w:rFonts w:hint="eastAsia" w:hAnsi="宋体" w:cs="宋体"/>
          <w:szCs w:val="24"/>
          <w:u w:val="single"/>
        </w:rPr>
        <w:t>广东省招标投标监管网、广东省公共资源交易平台（湛江市）</w:t>
      </w:r>
      <w:r>
        <w:rPr>
          <w:rFonts w:hint="eastAsia" w:hAnsi="宋体" w:cs="宋体"/>
          <w:szCs w:val="24"/>
        </w:rPr>
        <w:t>上发布。</w:t>
      </w:r>
      <w:r>
        <w:rPr>
          <w:rFonts w:hint="eastAsia" w:hAnsi="宋体"/>
        </w:rPr>
        <w:t>如公告详细内容不一致者，以</w:t>
      </w:r>
      <w:r>
        <w:rPr>
          <w:rFonts w:hint="eastAsia" w:hAnsi="宋体" w:cs="宋体"/>
          <w:szCs w:val="24"/>
          <w:u w:val="single"/>
        </w:rPr>
        <w:t>广东省招标投标监管网</w:t>
      </w:r>
      <w:r>
        <w:rPr>
          <w:rFonts w:hint="eastAsia" w:hAnsi="宋体"/>
        </w:rPr>
        <w:t>公告为准</w:t>
      </w:r>
      <w:r>
        <w:rPr>
          <w:rFonts w:ascii="Times New Roman" w:hAnsi="宋体"/>
          <w:szCs w:val="24"/>
        </w:rPr>
        <w:t>。</w:t>
      </w:r>
    </w:p>
    <w:p>
      <w:pPr>
        <w:pStyle w:val="17"/>
        <w:topLinePunct/>
        <w:spacing w:line="360" w:lineRule="auto"/>
        <w:ind w:firstLine="480" w:firstLineChars="200"/>
        <w:rPr>
          <w:rFonts w:ascii="Times New Roman"/>
          <w:szCs w:val="24"/>
        </w:rPr>
      </w:pPr>
      <w:r>
        <w:rPr>
          <w:rFonts w:hint="eastAsia" w:hAnsi="宋体"/>
          <w:szCs w:val="21"/>
        </w:rPr>
        <w:t>在规定的投标登记期间，如</w:t>
      </w:r>
      <w:r>
        <w:rPr>
          <w:rFonts w:hint="eastAsia" w:hAnsi="宋体"/>
          <w:szCs w:val="21"/>
          <w:u w:val="single"/>
        </w:rPr>
        <w:t>某个标段</w:t>
      </w:r>
      <w:r>
        <w:rPr>
          <w:rFonts w:hint="eastAsia" w:hAnsi="宋体"/>
          <w:szCs w:val="21"/>
        </w:rPr>
        <w:t>投标登记并购买招标文件的投标人不足3家时，招标人依法有权选择以下任一方式：（1）</w:t>
      </w:r>
      <w:r>
        <w:rPr>
          <w:rFonts w:hint="eastAsia" w:hAnsi="宋体"/>
          <w:szCs w:val="21"/>
          <w:u w:val="single"/>
        </w:rPr>
        <w:t>在广东省招标投标监管网及广东省公共资源交易平台（湛江市）</w:t>
      </w:r>
      <w:r>
        <w:rPr>
          <w:rFonts w:hint="eastAsia" w:hAnsi="宋体"/>
          <w:szCs w:val="21"/>
        </w:rPr>
        <w:t>发布公告延长上述投标人家数不足的</w:t>
      </w:r>
      <w:r>
        <w:rPr>
          <w:rFonts w:hint="eastAsia" w:hAnsi="宋体"/>
          <w:szCs w:val="21"/>
          <w:u w:val="single"/>
        </w:rPr>
        <w:t>标段</w:t>
      </w:r>
      <w:r>
        <w:rPr>
          <w:rFonts w:hint="eastAsia" w:hAnsi="宋体"/>
          <w:szCs w:val="21"/>
        </w:rPr>
        <w:t>投标登记时间，在延期投标登记时间内，已投标登记投标人的资料仍有效并可自行补充资料，未投标登记的投标人可根据公告的约定进行投标登记；（2）对上述投标人家数不足的</w:t>
      </w:r>
      <w:r>
        <w:rPr>
          <w:rFonts w:hint="eastAsia" w:hAnsi="宋体"/>
          <w:szCs w:val="21"/>
          <w:u w:val="single"/>
        </w:rPr>
        <w:t>标段</w:t>
      </w:r>
      <w:r>
        <w:rPr>
          <w:rFonts w:hint="eastAsia" w:hAnsi="宋体"/>
          <w:szCs w:val="21"/>
        </w:rPr>
        <w:t>依法重新组织招标或不再招标。</w:t>
      </w:r>
      <w:r>
        <w:rPr>
          <w:rStyle w:val="56"/>
          <w:rFonts w:hAnsi="宋体" w:cs="宋体"/>
        </w:rPr>
        <w:footnoteReference w:id="15"/>
      </w:r>
    </w:p>
    <w:p>
      <w:pPr>
        <w:pStyle w:val="2"/>
        <w:spacing w:before="240" w:after="240" w:line="240" w:lineRule="atLeast"/>
        <w:rPr>
          <w:rFonts w:eastAsia="黑体"/>
          <w:sz w:val="28"/>
          <w:szCs w:val="28"/>
        </w:rPr>
      </w:pPr>
      <w:bookmarkStart w:id="47" w:name="_Toc508984051"/>
      <w:bookmarkStart w:id="48" w:name="_Toc503235721"/>
      <w:bookmarkStart w:id="49" w:name="_Toc508984249"/>
      <w:bookmarkStart w:id="50" w:name="_Toc234832851"/>
      <w:r>
        <w:rPr>
          <w:rFonts w:hint="eastAsia" w:eastAsia="黑体"/>
          <w:sz w:val="28"/>
          <w:szCs w:val="28"/>
        </w:rPr>
        <w:t>7</w:t>
      </w:r>
      <w:r>
        <w:rPr>
          <w:rFonts w:eastAsia="黑体"/>
          <w:sz w:val="28"/>
          <w:szCs w:val="28"/>
        </w:rPr>
        <w:t>. 联系方式</w:t>
      </w:r>
      <w:bookmarkEnd w:id="47"/>
      <w:bookmarkEnd w:id="48"/>
      <w:bookmarkEnd w:id="49"/>
      <w:bookmarkEnd w:id="50"/>
    </w:p>
    <w:p>
      <w:pPr>
        <w:spacing w:line="360" w:lineRule="auto"/>
        <w:rPr>
          <w:rFonts w:hint="eastAsia" w:ascii="宋体" w:hAnsi="宋体" w:cs="宋体"/>
          <w:color w:val="auto"/>
          <w:sz w:val="24"/>
          <w:szCs w:val="24"/>
          <w:u w:val="single"/>
          <w:lang w:val="en-US"/>
        </w:rPr>
      </w:pPr>
      <w:r>
        <w:rPr>
          <w:rFonts w:hint="eastAsia" w:ascii="宋体" w:hAnsi="宋体" w:cs="宋体"/>
          <w:color w:val="auto"/>
          <w:sz w:val="24"/>
          <w:szCs w:val="24"/>
          <w:lang w:val="en-US"/>
        </w:rPr>
        <w:t>招标人：</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r>
        <w:rPr>
          <w:rFonts w:hint="eastAsia" w:ascii="宋体" w:hAnsi="宋体" w:cs="宋体"/>
          <w:color w:val="auto"/>
          <w:sz w:val="24"/>
          <w:szCs w:val="24"/>
          <w:lang w:val="en-US"/>
        </w:rPr>
        <w:t xml:space="preserve">        招标代理机构:</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p>
    <w:p>
      <w:pPr>
        <w:spacing w:line="360" w:lineRule="auto"/>
        <w:rPr>
          <w:rFonts w:hint="eastAsia" w:ascii="宋体" w:hAnsi="宋体" w:cs="宋体"/>
          <w:color w:val="auto"/>
          <w:sz w:val="24"/>
          <w:szCs w:val="24"/>
          <w:lang w:val="en-US"/>
        </w:rPr>
      </w:pPr>
      <w:r>
        <w:rPr>
          <w:rFonts w:hint="eastAsia" w:ascii="宋体" w:hAnsi="宋体" w:cs="宋体"/>
          <w:color w:val="auto"/>
          <w:sz w:val="24"/>
          <w:szCs w:val="24"/>
          <w:lang w:val="en-US"/>
        </w:rPr>
        <w:t>地址：</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r>
        <w:rPr>
          <w:rFonts w:hint="eastAsia" w:ascii="宋体" w:hAnsi="宋体" w:cs="宋体"/>
          <w:color w:val="auto"/>
          <w:sz w:val="24"/>
          <w:szCs w:val="24"/>
          <w:lang w:val="en-US"/>
        </w:rPr>
        <w:tab/>
      </w:r>
      <w:r>
        <w:rPr>
          <w:rFonts w:hint="eastAsia" w:ascii="宋体" w:hAnsi="宋体" w:cs="宋体"/>
          <w:color w:val="auto"/>
          <w:sz w:val="24"/>
          <w:szCs w:val="24"/>
          <w:lang w:val="en-US"/>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val="en-US"/>
        </w:rPr>
        <w:t>地址：</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r>
        <w:rPr>
          <w:rFonts w:hint="eastAsia" w:ascii="宋体" w:hAnsi="宋体" w:cs="宋体"/>
          <w:color w:val="auto"/>
          <w:sz w:val="24"/>
          <w:szCs w:val="24"/>
          <w:u w:val="single"/>
          <w:lang w:val="en-US"/>
        </w:rPr>
        <w:t xml:space="preserve">  </w:t>
      </w:r>
    </w:p>
    <w:p>
      <w:pPr>
        <w:tabs>
          <w:tab w:val="left" w:pos="4410"/>
        </w:tabs>
        <w:spacing w:line="360" w:lineRule="auto"/>
        <w:rPr>
          <w:rFonts w:hint="eastAsia" w:ascii="宋体" w:hAnsi="宋体" w:cs="宋体"/>
          <w:color w:val="auto"/>
          <w:sz w:val="24"/>
          <w:szCs w:val="24"/>
          <w:u w:val="single"/>
          <w:lang w:val="en-US"/>
        </w:rPr>
      </w:pPr>
      <w:r>
        <w:rPr>
          <w:rFonts w:hint="eastAsia" w:ascii="宋体" w:hAnsi="宋体" w:cs="宋体"/>
          <w:color w:val="auto"/>
          <w:sz w:val="24"/>
          <w:szCs w:val="24"/>
          <w:lang w:val="en-US"/>
        </w:rPr>
        <w:t>邮政编码：</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val="en-US"/>
        </w:rPr>
        <w:t>邮政编码：</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rPr>
        <w:t xml:space="preserve">  </w:t>
      </w:r>
    </w:p>
    <w:p>
      <w:pPr>
        <w:spacing w:line="360" w:lineRule="auto"/>
        <w:rPr>
          <w:rFonts w:hint="default" w:ascii="宋体" w:hAnsi="宋体" w:cs="宋体"/>
          <w:color w:val="auto"/>
          <w:sz w:val="24"/>
          <w:szCs w:val="24"/>
          <w:u w:val="single"/>
          <w:lang w:val="en-US"/>
        </w:rPr>
      </w:pPr>
      <w:r>
        <w:rPr>
          <w:rFonts w:hint="eastAsia" w:ascii="宋体" w:hAnsi="宋体" w:cs="宋体"/>
          <w:color w:val="auto"/>
          <w:sz w:val="24"/>
          <w:szCs w:val="24"/>
          <w:lang w:val="en-US"/>
        </w:rPr>
        <w:t>电子邮件：</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r>
        <w:rPr>
          <w:rFonts w:hint="eastAsia" w:ascii="宋体" w:hAnsi="宋体" w:cs="宋体"/>
          <w:color w:val="auto"/>
          <w:sz w:val="24"/>
          <w:szCs w:val="24"/>
          <w:lang w:val="en-US"/>
        </w:rPr>
        <w:tab/>
      </w:r>
      <w:r>
        <w:rPr>
          <w:rFonts w:hint="eastAsia" w:ascii="宋体" w:hAnsi="宋体" w:cs="宋体"/>
          <w:color w:val="auto"/>
          <w:sz w:val="24"/>
          <w:szCs w:val="24"/>
          <w:lang w:val="en-US"/>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val="en-US"/>
        </w:rPr>
        <w:t>电子邮件：</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eastAsia="zh-CN"/>
        </w:rPr>
        <w:t xml:space="preserve">      </w:t>
      </w:r>
    </w:p>
    <w:p>
      <w:pPr>
        <w:spacing w:line="360" w:lineRule="auto"/>
        <w:rPr>
          <w:rFonts w:hint="eastAsia" w:ascii="宋体" w:hAnsi="宋体" w:cs="宋体"/>
          <w:color w:val="auto"/>
          <w:sz w:val="24"/>
          <w:szCs w:val="24"/>
          <w:lang w:val="en-US"/>
        </w:rPr>
      </w:pPr>
      <w:r>
        <w:rPr>
          <w:rFonts w:hint="eastAsia" w:ascii="宋体" w:hAnsi="宋体" w:cs="宋体"/>
          <w:color w:val="auto"/>
          <w:sz w:val="24"/>
          <w:szCs w:val="24"/>
          <w:lang w:val="en-US"/>
        </w:rPr>
        <w:t>联系人：</w:t>
      </w:r>
      <w:r>
        <w:rPr>
          <w:rFonts w:hint="eastAsia" w:ascii="宋体" w:hAnsi="宋体" w:cs="宋体"/>
          <w:color w:val="auto"/>
          <w:sz w:val="24"/>
          <w:szCs w:val="24"/>
          <w:u w:val="single"/>
          <w:lang w:val="en-US"/>
        </w:rPr>
        <w:tab/>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rPr>
        <w:t xml:space="preserve">  </w:t>
      </w:r>
      <w:r>
        <w:rPr>
          <w:rFonts w:hint="eastAsia" w:ascii="宋体" w:hAnsi="宋体" w:cs="宋体"/>
          <w:color w:val="auto"/>
          <w:sz w:val="24"/>
          <w:szCs w:val="24"/>
          <w:lang w:val="en-US"/>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val="en-US"/>
        </w:rPr>
        <w:t>联系人：</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r>
        <w:rPr>
          <w:rFonts w:hint="eastAsia" w:ascii="宋体" w:hAnsi="宋体" w:cs="宋体"/>
          <w:color w:val="auto"/>
          <w:sz w:val="24"/>
          <w:szCs w:val="24"/>
          <w:u w:val="single"/>
          <w:lang w:val="en-US"/>
        </w:rPr>
        <w:t xml:space="preserve">  </w:t>
      </w:r>
    </w:p>
    <w:p>
      <w:pPr>
        <w:spacing w:line="360" w:lineRule="auto"/>
        <w:rPr>
          <w:rFonts w:hint="eastAsia" w:ascii="宋体" w:hAnsi="宋体" w:cs="宋体"/>
          <w:color w:val="auto"/>
          <w:sz w:val="24"/>
          <w:szCs w:val="24"/>
          <w:lang w:val="en-US"/>
        </w:rPr>
      </w:pPr>
      <w:r>
        <w:rPr>
          <w:rFonts w:hint="eastAsia" w:ascii="宋体" w:hAnsi="宋体" w:cs="宋体"/>
          <w:color w:val="auto"/>
          <w:sz w:val="24"/>
          <w:szCs w:val="24"/>
          <w:lang w:val="en-US"/>
        </w:rPr>
        <w:t>电 话：</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r>
        <w:rPr>
          <w:rFonts w:hint="eastAsia" w:ascii="宋体" w:hAnsi="宋体" w:cs="宋体"/>
          <w:color w:val="auto"/>
          <w:sz w:val="24"/>
          <w:szCs w:val="24"/>
          <w:lang w:val="en-US"/>
        </w:rPr>
        <w:tab/>
      </w:r>
      <w:r>
        <w:rPr>
          <w:rFonts w:hint="eastAsia" w:ascii="宋体" w:hAnsi="宋体" w:cs="宋体"/>
          <w:color w:val="auto"/>
          <w:sz w:val="24"/>
          <w:szCs w:val="24"/>
          <w:lang w:val="en-US"/>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val="en-US"/>
        </w:rPr>
        <w:t>电 话：</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rPr>
        <w:t xml:space="preserve"> </w:t>
      </w:r>
      <w:r>
        <w:rPr>
          <w:rFonts w:hint="eastAsia" w:ascii="宋体" w:hAnsi="宋体" w:cs="宋体"/>
          <w:color w:val="auto"/>
          <w:sz w:val="24"/>
          <w:szCs w:val="24"/>
          <w:lang w:val="en-US"/>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rPr>
        <w:t>传 真：</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r>
        <w:rPr>
          <w:rFonts w:hint="eastAsia" w:ascii="宋体" w:hAnsi="宋体" w:cs="宋体"/>
          <w:color w:val="auto"/>
          <w:sz w:val="24"/>
          <w:szCs w:val="24"/>
          <w:lang w:val="en-US"/>
        </w:rPr>
        <w:tab/>
      </w:r>
      <w:r>
        <w:rPr>
          <w:rFonts w:hint="eastAsia" w:ascii="宋体" w:hAnsi="宋体" w:cs="宋体"/>
          <w:color w:val="auto"/>
          <w:sz w:val="24"/>
          <w:szCs w:val="24"/>
          <w:lang w:val="en-US"/>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val="en-US"/>
        </w:rPr>
        <w:t>传 真：</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rPr>
        <w:tab/>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rPr>
        <w:t xml:space="preserve">  </w:t>
      </w:r>
    </w:p>
    <w:p>
      <w:pPr>
        <w:topLinePunct/>
        <w:spacing w:line="400" w:lineRule="atLeast"/>
        <w:ind w:firstLine="480" w:firstLineChars="200"/>
        <w:jc w:val="right"/>
        <w:rPr>
          <w:sz w:val="24"/>
        </w:rPr>
      </w:pPr>
      <w:r>
        <w:rPr>
          <w:rFonts w:hint="eastAsia" w:ascii="宋体" w:hAnsi="宋体" w:cs="宋体"/>
          <w:color w:val="auto"/>
          <w:sz w:val="24"/>
          <w:szCs w:val="24"/>
        </w:rPr>
        <w:t>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年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spacing w:line="400" w:lineRule="atLeast"/>
        <w:rPr>
          <w:sz w:val="24"/>
        </w:rPr>
      </w:pPr>
    </w:p>
    <w:p>
      <w:pPr>
        <w:spacing w:line="360" w:lineRule="auto"/>
        <w:ind w:firstLine="480" w:firstLineChars="200"/>
        <w:rPr>
          <w:rFonts w:ascii="宋体" w:hAnsi="宋体" w:cs="宋体"/>
          <w:sz w:val="24"/>
        </w:rPr>
      </w:pPr>
      <w:r>
        <w:rPr>
          <w:rFonts w:hint="eastAsia" w:ascii="宋体" w:hAnsi="宋体" w:cs="宋体"/>
          <w:sz w:val="24"/>
        </w:rPr>
        <w:t>招标公告附件</w:t>
      </w:r>
      <w:r>
        <w:rPr>
          <w:rStyle w:val="56"/>
          <w:rFonts w:ascii="宋体" w:hAnsi="宋体" w:cs="宋体"/>
          <w:sz w:val="24"/>
        </w:rPr>
        <w:footnoteReference w:id="16"/>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附件1：资格审查条件</w:t>
      </w:r>
    </w:p>
    <w:p>
      <w:pPr>
        <w:spacing w:line="360" w:lineRule="auto"/>
        <w:ind w:firstLine="480" w:firstLineChars="200"/>
        <w:rPr>
          <w:rFonts w:eastAsia="黑体"/>
          <w:sz w:val="28"/>
          <w:szCs w:val="29"/>
        </w:rPr>
      </w:pPr>
      <w:r>
        <w:rPr>
          <w:rFonts w:hint="eastAsia" w:ascii="宋体" w:hAnsi="宋体" w:cs="宋体"/>
          <w:sz w:val="24"/>
        </w:rPr>
        <w:t>附件2：评标办法</w:t>
      </w:r>
    </w:p>
    <w:p>
      <w:pPr>
        <w:spacing w:line="440" w:lineRule="exact"/>
        <w:jc w:val="center"/>
        <w:rPr>
          <w:rStyle w:val="149"/>
          <w:rFonts w:ascii="黑体" w:eastAsia="黑体"/>
          <w:sz w:val="44"/>
          <w:szCs w:val="44"/>
        </w:rPr>
        <w:sectPr>
          <w:footerReference r:id="rId10" w:type="default"/>
          <w:footnotePr>
            <w:numRestart w:val="eachPage"/>
          </w:footnotePr>
          <w:pgSz w:w="11905" w:h="16838"/>
          <w:pgMar w:top="1803" w:right="1440" w:bottom="1803" w:left="1440" w:header="851" w:footer="850" w:gutter="0"/>
          <w:pgNumType w:start="1"/>
          <w:cols w:space="0" w:num="1"/>
          <w:docGrid w:linePitch="312" w:charSpace="0"/>
        </w:sectPr>
      </w:pPr>
      <w:bookmarkStart w:id="51" w:name="_Toc234832852"/>
    </w:p>
    <w:p>
      <w:pPr>
        <w:spacing w:line="440" w:lineRule="exact"/>
        <w:jc w:val="center"/>
        <w:rPr>
          <w:rFonts w:ascii="宋体" w:hAnsi="宋体"/>
          <w:sz w:val="42"/>
          <w:szCs w:val="42"/>
        </w:rPr>
      </w:pPr>
      <w:bookmarkStart w:id="52" w:name="_Toc508984052"/>
      <w:bookmarkStart w:id="53" w:name="_Toc508984250"/>
      <w:bookmarkStart w:id="54" w:name="_Toc503235722"/>
      <w:r>
        <w:rPr>
          <w:rStyle w:val="149"/>
          <w:rFonts w:ascii="宋体" w:hAnsi="宋体"/>
          <w:sz w:val="42"/>
          <w:szCs w:val="42"/>
        </w:rPr>
        <w:t>第一章</w:t>
      </w:r>
      <w:r>
        <w:rPr>
          <w:rStyle w:val="149"/>
          <w:rFonts w:ascii="宋体" w:hAnsi="宋体"/>
          <w:sz w:val="42"/>
          <w:szCs w:val="42"/>
        </w:rPr>
        <w:tab/>
      </w:r>
      <w:r>
        <w:rPr>
          <w:rStyle w:val="149"/>
          <w:rFonts w:ascii="宋体" w:hAnsi="宋体"/>
          <w:sz w:val="42"/>
          <w:szCs w:val="42"/>
        </w:rPr>
        <w:t>投标邀请书（适用于邀请招标）</w:t>
      </w:r>
      <w:bookmarkEnd w:id="51"/>
      <w:bookmarkEnd w:id="52"/>
      <w:bookmarkEnd w:id="53"/>
      <w:bookmarkEnd w:id="54"/>
      <w:r>
        <w:rPr>
          <w:rStyle w:val="56"/>
          <w:rFonts w:ascii="宋体" w:hAnsi="宋体"/>
          <w:sz w:val="32"/>
          <w:szCs w:val="32"/>
        </w:rPr>
        <w:footnoteReference w:id="17"/>
      </w:r>
    </w:p>
    <w:p>
      <w:pPr>
        <w:spacing w:line="440" w:lineRule="exact"/>
        <w:jc w:val="center"/>
        <w:rPr>
          <w:rFonts w:eastAsia="黑体"/>
          <w:sz w:val="20"/>
          <w:szCs w:val="20"/>
        </w:rPr>
      </w:pPr>
    </w:p>
    <w:p>
      <w:pPr>
        <w:spacing w:line="440" w:lineRule="exact"/>
        <w:ind w:firstLine="960" w:firstLineChars="400"/>
        <w:rPr>
          <w:rFonts w:ascii="宋体" w:hAnsi="宋体"/>
          <w:sz w:val="28"/>
          <w:szCs w:val="28"/>
          <w:u w:val="single"/>
        </w:rPr>
      </w:pPr>
      <w:r>
        <w:rPr>
          <w:rFonts w:hint="eastAsia" w:ascii="宋体" w:hAnsi="宋体"/>
          <w:sz w:val="24"/>
          <w:u w:val="single"/>
          <w:lang w:val="en-US" w:eastAsia="zh-CN"/>
        </w:rPr>
        <w:t xml:space="preserve">     </w:t>
      </w:r>
      <w:r>
        <w:rPr>
          <w:rFonts w:ascii="宋体" w:hAnsi="宋体"/>
          <w:sz w:val="28"/>
          <w:szCs w:val="28"/>
          <w:u w:val="single"/>
        </w:rPr>
        <w:t>（项目名称）</w:t>
      </w:r>
      <w:r>
        <w:rPr>
          <w:rFonts w:hint="eastAsia" w:ascii="宋体" w:hAnsi="宋体"/>
          <w:sz w:val="24"/>
          <w:u w:val="single"/>
          <w:lang w:val="en-US" w:eastAsia="zh-CN"/>
        </w:rPr>
        <w:t xml:space="preserve">    </w:t>
      </w:r>
      <w:r>
        <w:rPr>
          <w:rFonts w:ascii="宋体" w:hAnsi="宋体"/>
          <w:sz w:val="28"/>
          <w:szCs w:val="28"/>
          <w:u w:val="single"/>
        </w:rPr>
        <w:t>标段勘察设计咨询投标邀请书</w:t>
      </w:r>
    </w:p>
    <w:p>
      <w:pPr>
        <w:spacing w:line="440" w:lineRule="exact"/>
        <w:rPr>
          <w:rFonts w:eastAsia="黑体"/>
          <w:sz w:val="27"/>
          <w:szCs w:val="27"/>
          <w:u w:val="single"/>
        </w:rPr>
      </w:pPr>
    </w:p>
    <w:p>
      <w:pPr>
        <w:spacing w:line="400" w:lineRule="exact"/>
        <w:rPr>
          <w:sz w:val="24"/>
        </w:rPr>
      </w:pPr>
      <w:r>
        <w:rPr>
          <w:rFonts w:hint="eastAsia"/>
          <w:sz w:val="24"/>
        </w:rPr>
        <w:t>________</w:t>
      </w:r>
      <w:r>
        <w:rPr>
          <w:sz w:val="24"/>
        </w:rPr>
        <w:t>（被邀请单位名称）：</w:t>
      </w:r>
    </w:p>
    <w:p>
      <w:pPr>
        <w:pStyle w:val="2"/>
        <w:spacing w:before="240" w:after="240" w:line="240" w:lineRule="atLeast"/>
        <w:rPr>
          <w:rFonts w:ascii="宋体" w:hAnsi="宋体"/>
          <w:sz w:val="28"/>
          <w:szCs w:val="28"/>
        </w:rPr>
      </w:pPr>
      <w:bookmarkStart w:id="55" w:name="_Toc234832853"/>
      <w:bookmarkStart w:id="56" w:name="_Toc503235723"/>
      <w:bookmarkStart w:id="57" w:name="_Toc508984251"/>
      <w:bookmarkStart w:id="58" w:name="_Toc508984053"/>
      <w:r>
        <w:rPr>
          <w:rFonts w:ascii="宋体" w:hAnsi="宋体"/>
          <w:sz w:val="28"/>
          <w:szCs w:val="28"/>
        </w:rPr>
        <w:t>1. 招标条件</w:t>
      </w:r>
      <w:bookmarkEnd w:id="55"/>
      <w:bookmarkEnd w:id="56"/>
      <w:bookmarkEnd w:id="57"/>
      <w:bookmarkEnd w:id="58"/>
    </w:p>
    <w:p>
      <w:pPr>
        <w:spacing w:line="360" w:lineRule="auto"/>
        <w:ind w:firstLine="480" w:firstLineChars="200"/>
        <w:jc w:val="left"/>
        <w:rPr>
          <w:sz w:val="24"/>
        </w:rPr>
      </w:pPr>
      <w:r>
        <w:rPr>
          <w:sz w:val="24"/>
        </w:rPr>
        <w:t>本招标项目</w:t>
      </w:r>
      <w:r>
        <w:rPr>
          <w:rFonts w:hint="eastAsia"/>
          <w:sz w:val="24"/>
        </w:rPr>
        <w:t>_______</w:t>
      </w:r>
      <w:r>
        <w:rPr>
          <w:sz w:val="24"/>
        </w:rPr>
        <w:t>（项目名称）已由</w:t>
      </w:r>
      <w:r>
        <w:rPr>
          <w:rFonts w:hint="eastAsia"/>
          <w:sz w:val="24"/>
        </w:rPr>
        <w:t>_______</w:t>
      </w:r>
      <w:r>
        <w:rPr>
          <w:sz w:val="24"/>
        </w:rPr>
        <w:t>（项目审批、核准或备案机关名称）以</w:t>
      </w:r>
      <w:r>
        <w:rPr>
          <w:rFonts w:hint="eastAsia"/>
          <w:sz w:val="24"/>
        </w:rPr>
        <w:t>_______</w:t>
      </w:r>
      <w:r>
        <w:rPr>
          <w:sz w:val="24"/>
        </w:rPr>
        <w:t>（批文名称及编号）批准建设，项目业主为</w:t>
      </w:r>
      <w:r>
        <w:rPr>
          <w:rFonts w:hint="eastAsia"/>
          <w:sz w:val="24"/>
        </w:rPr>
        <w:t>_______</w:t>
      </w:r>
      <w:r>
        <w:rPr>
          <w:sz w:val="24"/>
        </w:rPr>
        <w:t>，建设资金来自</w:t>
      </w:r>
      <w:r>
        <w:rPr>
          <w:rFonts w:hint="eastAsia"/>
          <w:sz w:val="24"/>
        </w:rPr>
        <w:t>_______</w:t>
      </w:r>
      <w:r>
        <w:rPr>
          <w:sz w:val="24"/>
        </w:rPr>
        <w:t>（资金来源），出资比例为</w:t>
      </w:r>
      <w:r>
        <w:rPr>
          <w:rFonts w:hint="eastAsia"/>
          <w:sz w:val="24"/>
        </w:rPr>
        <w:t>_______</w:t>
      </w:r>
      <w:r>
        <w:rPr>
          <w:sz w:val="24"/>
        </w:rPr>
        <w:t>，招标人为</w:t>
      </w:r>
      <w:r>
        <w:rPr>
          <w:rFonts w:hint="eastAsia"/>
          <w:sz w:val="24"/>
        </w:rPr>
        <w:t>_______</w:t>
      </w:r>
      <w:r>
        <w:rPr>
          <w:sz w:val="24"/>
        </w:rPr>
        <w:t>。项目已具备招标条件，现邀请你单位参加</w:t>
      </w:r>
      <w:r>
        <w:rPr>
          <w:rFonts w:hint="eastAsia"/>
          <w:sz w:val="24"/>
        </w:rPr>
        <w:t>_______</w:t>
      </w:r>
      <w:r>
        <w:rPr>
          <w:sz w:val="24"/>
          <w:u w:val="single"/>
        </w:rPr>
        <w:t xml:space="preserve">（项目名称） </w:t>
      </w:r>
      <w:r>
        <w:rPr>
          <w:rFonts w:hint="eastAsia"/>
          <w:sz w:val="24"/>
          <w:u w:val="single"/>
          <w:lang w:val="en-US" w:eastAsia="zh-CN"/>
        </w:rPr>
        <w:t xml:space="preserve">  </w:t>
      </w:r>
      <w:r>
        <w:rPr>
          <w:sz w:val="24"/>
          <w:u w:val="single"/>
        </w:rPr>
        <w:t>标段</w:t>
      </w:r>
      <w:r>
        <w:rPr>
          <w:sz w:val="24"/>
        </w:rPr>
        <w:t>勘察设计咨询投标。</w:t>
      </w:r>
    </w:p>
    <w:p>
      <w:pPr>
        <w:pStyle w:val="2"/>
        <w:spacing w:before="240" w:after="240" w:line="240" w:lineRule="atLeast"/>
        <w:rPr>
          <w:rFonts w:ascii="宋体" w:hAnsi="宋体"/>
          <w:sz w:val="28"/>
          <w:szCs w:val="28"/>
        </w:rPr>
      </w:pPr>
      <w:bookmarkStart w:id="59" w:name="_Toc234832854"/>
      <w:bookmarkStart w:id="60" w:name="_Toc508984054"/>
      <w:bookmarkStart w:id="61" w:name="_Toc508984252"/>
      <w:bookmarkStart w:id="62" w:name="_Toc503235724"/>
      <w:r>
        <w:rPr>
          <w:rFonts w:ascii="宋体" w:hAnsi="宋体"/>
          <w:sz w:val="28"/>
          <w:szCs w:val="28"/>
        </w:rPr>
        <w:t>2. 项目概况与招标范围</w:t>
      </w:r>
      <w:bookmarkEnd w:id="59"/>
      <w:bookmarkEnd w:id="60"/>
      <w:bookmarkEnd w:id="61"/>
      <w:bookmarkEnd w:id="62"/>
    </w:p>
    <w:p>
      <w:pPr>
        <w:topLinePunct/>
        <w:spacing w:line="360" w:lineRule="auto"/>
        <w:ind w:firstLine="480" w:firstLineChars="200"/>
        <w:jc w:val="left"/>
        <w:rPr>
          <w:rFonts w:ascii="宋体" w:hAnsi="宋体"/>
          <w:sz w:val="24"/>
        </w:rPr>
      </w:pPr>
      <w:r>
        <w:rPr>
          <w:rFonts w:hint="eastAsia" w:ascii="宋体" w:hAnsi="宋体"/>
          <w:sz w:val="24"/>
        </w:rPr>
        <w:t xml:space="preserve">2.1 </w:t>
      </w:r>
      <w:r>
        <w:rPr>
          <w:rFonts w:hint="eastAsia" w:ascii="宋体" w:hAnsi="宋体" w:cs="宋体"/>
          <w:bCs/>
          <w:sz w:val="24"/>
        </w:rPr>
        <w:t>项目概况：</w:t>
      </w:r>
      <w:r>
        <w:rPr>
          <w:rStyle w:val="210"/>
          <w:rFonts w:hint="eastAsia" w:ascii="宋体" w:hAnsi="宋体" w:eastAsia="宋体" w:cs="宋体"/>
          <w:spacing w:val="0"/>
          <w:sz w:val="24"/>
          <w:szCs w:val="24"/>
        </w:rPr>
        <w:t>(说明本次招标项目的建设地点、规模、最高投标限价等）</w:t>
      </w:r>
      <w:r>
        <w:rPr>
          <w:rFonts w:hint="eastAsia" w:ascii="宋体" w:hAnsi="宋体"/>
          <w:sz w:val="24"/>
        </w:rPr>
        <w:t>：</w:t>
      </w:r>
    </w:p>
    <w:p>
      <w:pPr>
        <w:spacing w:line="360" w:lineRule="auto"/>
        <w:ind w:firstLine="480" w:firstLineChars="200"/>
        <w:jc w:val="left"/>
        <w:rPr>
          <w:rFonts w:ascii="宋体" w:hAnsi="宋体"/>
          <w:sz w:val="24"/>
        </w:rPr>
      </w:pPr>
      <w:r>
        <w:rPr>
          <w:rFonts w:hint="eastAsia" w:ascii="宋体" w:hAnsi="宋体"/>
          <w:sz w:val="24"/>
        </w:rPr>
        <w:t>2.2咨询服务期限：详见第一章招标公告2.2条。</w:t>
      </w:r>
    </w:p>
    <w:p>
      <w:pPr>
        <w:topLinePunct/>
        <w:spacing w:line="360" w:lineRule="auto"/>
        <w:ind w:firstLine="480" w:firstLineChars="200"/>
        <w:jc w:val="left"/>
        <w:rPr>
          <w:rFonts w:ascii="宋体" w:hAnsi="宋体"/>
          <w:sz w:val="24"/>
        </w:rPr>
      </w:pPr>
      <w:r>
        <w:rPr>
          <w:rFonts w:hint="eastAsia" w:ascii="宋体" w:hAnsi="宋体"/>
          <w:sz w:val="24"/>
        </w:rPr>
        <w:t>2.3 招标范围及标段划分</w:t>
      </w:r>
    </w:p>
    <w:p>
      <w:pPr>
        <w:topLinePunct/>
        <w:spacing w:line="360" w:lineRule="auto"/>
        <w:ind w:firstLine="480" w:firstLineChars="200"/>
        <w:jc w:val="left"/>
        <w:rPr>
          <w:rFonts w:ascii="宋体" w:hAnsi="宋体"/>
          <w:sz w:val="24"/>
        </w:rPr>
      </w:pPr>
      <w:r>
        <w:rPr>
          <w:rFonts w:hint="eastAsia" w:ascii="宋体" w:hAnsi="宋体"/>
          <w:sz w:val="24"/>
        </w:rPr>
        <w:t>本次招标共分个标段，具体见下表：</w:t>
      </w:r>
    </w:p>
    <w:tbl>
      <w:tblPr>
        <w:tblStyle w:val="47"/>
        <w:tblW w:w="852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03"/>
        <w:gridCol w:w="7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427" w:hRule="atLeast"/>
          <w:jc w:val="center"/>
        </w:trPr>
        <w:tc>
          <w:tcPr>
            <w:tcW w:w="803" w:type="dxa"/>
            <w:tcBorders>
              <w:top w:val="outset" w:color="auto" w:sz="6" w:space="0"/>
              <w:left w:val="outset" w:color="auto" w:sz="6" w:space="0"/>
              <w:bottom w:val="outset" w:color="auto" w:sz="6" w:space="0"/>
              <w:right w:val="single" w:color="auto" w:sz="4" w:space="0"/>
            </w:tcBorders>
            <w:vAlign w:val="center"/>
          </w:tcPr>
          <w:p>
            <w:pPr>
              <w:wordWrap w:val="0"/>
              <w:topLinePunct/>
              <w:jc w:val="center"/>
              <w:rPr>
                <w:b/>
                <w:sz w:val="24"/>
              </w:rPr>
            </w:pPr>
            <w:r>
              <w:rPr>
                <w:rFonts w:hint="eastAsia"/>
                <w:b/>
                <w:sz w:val="24"/>
              </w:rPr>
              <w:t>标段</w:t>
            </w:r>
          </w:p>
        </w:tc>
        <w:tc>
          <w:tcPr>
            <w:tcW w:w="7725" w:type="dxa"/>
            <w:tcBorders>
              <w:top w:val="outset" w:color="auto" w:sz="6" w:space="0"/>
              <w:left w:val="single" w:color="auto" w:sz="4" w:space="0"/>
              <w:bottom w:val="outset" w:color="auto" w:sz="6" w:space="0"/>
              <w:right w:val="outset" w:color="auto" w:sz="6" w:space="0"/>
            </w:tcBorders>
            <w:vAlign w:val="center"/>
          </w:tcPr>
          <w:p>
            <w:pPr>
              <w:wordWrap w:val="0"/>
              <w:topLinePunct/>
              <w:jc w:val="center"/>
              <w:rPr>
                <w:b/>
                <w:sz w:val="24"/>
              </w:rPr>
            </w:pPr>
            <w:r>
              <w:rPr>
                <w:rFonts w:hint="eastAsia"/>
                <w:b/>
                <w:sz w:val="24"/>
              </w:rPr>
              <w:t>工作内容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581" w:hRule="atLeast"/>
          <w:jc w:val="center"/>
        </w:trPr>
        <w:tc>
          <w:tcPr>
            <w:tcW w:w="8528" w:type="dxa"/>
            <w:gridSpan w:val="2"/>
            <w:tcBorders>
              <w:top w:val="single" w:color="auto" w:sz="4" w:space="0"/>
              <w:left w:val="outset" w:color="auto" w:sz="6" w:space="0"/>
              <w:bottom w:val="single" w:color="auto" w:sz="4" w:space="0"/>
              <w:right w:val="outset" w:color="auto" w:sz="6" w:space="0"/>
            </w:tcBorders>
            <w:vAlign w:val="center"/>
          </w:tcPr>
          <w:p>
            <w:pPr>
              <w:topLinePunct/>
              <w:jc w:val="center"/>
              <w:rPr>
                <w:sz w:val="24"/>
              </w:rPr>
            </w:pPr>
            <w:r>
              <w:rPr>
                <w:rFonts w:hint="eastAsia"/>
                <w:sz w:val="24"/>
              </w:rPr>
              <w:t>详见第一章招标公告2.3条</w:t>
            </w:r>
          </w:p>
        </w:tc>
      </w:tr>
    </w:tbl>
    <w:p>
      <w:pPr>
        <w:pStyle w:val="2"/>
        <w:spacing w:before="240" w:after="240" w:line="240" w:lineRule="atLeast"/>
        <w:rPr>
          <w:rFonts w:ascii="宋体" w:hAnsi="宋体"/>
          <w:sz w:val="28"/>
          <w:szCs w:val="28"/>
        </w:rPr>
      </w:pPr>
      <w:bookmarkStart w:id="63" w:name="_Toc503235725"/>
      <w:bookmarkStart w:id="64" w:name="_Toc508984055"/>
      <w:bookmarkStart w:id="65" w:name="_Toc234832855"/>
      <w:bookmarkStart w:id="66" w:name="_Toc508984253"/>
      <w:r>
        <w:rPr>
          <w:rFonts w:ascii="宋体" w:hAnsi="宋体"/>
          <w:sz w:val="28"/>
          <w:szCs w:val="28"/>
        </w:rPr>
        <w:t>3. 投标人资格要求</w:t>
      </w:r>
      <w:bookmarkEnd w:id="63"/>
      <w:bookmarkEnd w:id="64"/>
      <w:bookmarkEnd w:id="65"/>
      <w:bookmarkEnd w:id="66"/>
    </w:p>
    <w:p>
      <w:pPr>
        <w:spacing w:line="360" w:lineRule="auto"/>
        <w:ind w:firstLine="480" w:firstLineChars="200"/>
        <w:rPr>
          <w:sz w:val="24"/>
        </w:rPr>
      </w:pPr>
      <w:r>
        <w:rPr>
          <w:sz w:val="24"/>
        </w:rPr>
        <w:t>3.1本次招标要求投标人须</w:t>
      </w:r>
      <w:r>
        <w:rPr>
          <w:rFonts w:hint="eastAsia"/>
          <w:sz w:val="24"/>
          <w:u w:val="single"/>
        </w:rPr>
        <w:t>同时</w:t>
      </w:r>
      <w:r>
        <w:rPr>
          <w:sz w:val="24"/>
        </w:rPr>
        <w:t>具备</w:t>
      </w:r>
      <w:r>
        <w:rPr>
          <w:rFonts w:hint="eastAsia"/>
          <w:sz w:val="24"/>
        </w:rPr>
        <w:t>以下</w:t>
      </w:r>
      <w:r>
        <w:rPr>
          <w:sz w:val="24"/>
        </w:rPr>
        <w:t>资质</w:t>
      </w:r>
      <w:r>
        <w:rPr>
          <w:rFonts w:hint="eastAsia"/>
          <w:sz w:val="24"/>
        </w:rPr>
        <w:t>、</w:t>
      </w:r>
      <w:r>
        <w:rPr>
          <w:sz w:val="24"/>
        </w:rPr>
        <w:t>业绩，并在人员等方面具有相应的勘察设计咨询能力。</w:t>
      </w:r>
    </w:p>
    <w:p>
      <w:pPr>
        <w:overflowPunct w:val="0"/>
        <w:autoSpaceDN w:val="0"/>
        <w:spacing w:line="360" w:lineRule="auto"/>
        <w:ind w:firstLine="424" w:firstLineChars="177"/>
        <w:rPr>
          <w:rFonts w:ascii="宋体" w:hAnsi="宋体" w:cs="SimSun-Identity-H"/>
          <w:sz w:val="24"/>
        </w:rPr>
      </w:pPr>
      <w:r>
        <w:rPr>
          <w:rFonts w:hint="eastAsia" w:ascii="宋体" w:hAnsi="宋体" w:cs="SimSun-Identity-H"/>
          <w:sz w:val="24"/>
        </w:rPr>
        <w:t>（1）工程勘察综合类甲级资质或</w:t>
      </w:r>
      <w:r>
        <w:rPr>
          <w:rFonts w:hint="eastAsia" w:ascii="宋体" w:hAnsi="宋体" w:cs="SimSun-Identity-H"/>
          <w:sz w:val="24"/>
          <w:u w:val="single"/>
        </w:rPr>
        <w:t>同时具备工程勘察专业类岩土工程勘察级和工程勘察专业类工程测量级资质</w:t>
      </w:r>
      <w:r>
        <w:rPr>
          <w:rFonts w:hint="eastAsia" w:ascii="宋体" w:hAnsi="宋体" w:cs="SimSun-Identity-H"/>
          <w:sz w:val="24"/>
        </w:rPr>
        <w:t>；</w:t>
      </w:r>
    </w:p>
    <w:p>
      <w:pPr>
        <w:overflowPunct w:val="0"/>
        <w:autoSpaceDN w:val="0"/>
        <w:spacing w:line="360" w:lineRule="auto"/>
        <w:ind w:firstLine="424" w:firstLineChars="177"/>
        <w:rPr>
          <w:rFonts w:ascii="宋体" w:hAnsi="宋体" w:cs="SimSun-Identity-H"/>
          <w:sz w:val="24"/>
        </w:rPr>
      </w:pPr>
      <w:r>
        <w:rPr>
          <w:rFonts w:hint="eastAsia" w:ascii="宋体" w:hAnsi="宋体" w:cs="SimSun-Identity-H"/>
          <w:sz w:val="24"/>
        </w:rPr>
        <w:t>（2）工程设计综合甲级资质或工程设计水运行业</w:t>
      </w:r>
      <w:r>
        <w:rPr>
          <w:rFonts w:hint="eastAsia" w:ascii="宋体" w:hAnsi="宋体" w:cs="SimSun-Identity-H"/>
          <w:sz w:val="24"/>
          <w:u w:val="single"/>
        </w:rPr>
        <w:t>级</w:t>
      </w:r>
      <w:r>
        <w:rPr>
          <w:rFonts w:hint="eastAsia" w:ascii="宋体" w:hAnsi="宋体" w:cs="SimSun-Identity-H"/>
          <w:sz w:val="24"/>
        </w:rPr>
        <w:t>资质或工程设计水运行业（</w:t>
      </w:r>
      <w:r>
        <w:rPr>
          <w:rFonts w:hint="eastAsia" w:ascii="宋体" w:hAnsi="宋体" w:cs="SimSun-Identity-H"/>
          <w:sz w:val="24"/>
          <w:u w:val="single"/>
        </w:rPr>
        <w:t>港口工程、航道工程、修造船厂水工工程、通航建筑工程、水上交通管制工程、港口装卸工艺</w:t>
      </w:r>
      <w:r>
        <w:rPr>
          <w:rFonts w:hint="eastAsia" w:ascii="宋体" w:hAnsi="宋体" w:cs="SimSun-Identity-H"/>
          <w:sz w:val="24"/>
        </w:rPr>
        <w:t>）专业</w:t>
      </w:r>
      <w:r>
        <w:rPr>
          <w:rFonts w:hint="eastAsia" w:ascii="宋体" w:hAnsi="宋体" w:cs="SimSun-Identity-H"/>
          <w:sz w:val="24"/>
          <w:u w:val="single"/>
        </w:rPr>
        <w:t>级</w:t>
      </w:r>
      <w:r>
        <w:rPr>
          <w:rFonts w:hint="eastAsia" w:ascii="宋体" w:hAnsi="宋体" w:cs="SimSun-Identity-H"/>
          <w:sz w:val="24"/>
        </w:rPr>
        <w:t>资质；</w:t>
      </w:r>
    </w:p>
    <w:p>
      <w:pPr>
        <w:spacing w:line="360" w:lineRule="auto"/>
        <w:ind w:firstLine="424" w:firstLineChars="177"/>
        <w:rPr>
          <w:sz w:val="24"/>
          <w:u w:val="single"/>
        </w:rPr>
      </w:pPr>
      <w:r>
        <w:rPr>
          <w:rFonts w:hint="eastAsia" w:ascii="宋体" w:hAnsi="宋体" w:cs="SimSun-Identity-H"/>
          <w:sz w:val="24"/>
        </w:rPr>
        <w:t>（3）</w:t>
      </w:r>
      <w:r>
        <w:rPr>
          <w:rFonts w:hint="eastAsia" w:ascii="宋体" w:hAnsi="宋体" w:cs="SimSun-Identity-H"/>
          <w:sz w:val="24"/>
          <w:u w:val="single"/>
        </w:rPr>
        <w:t>通过全国投资项目在线审批监管平台备案（备案专业为水运）的工程咨询单位。</w:t>
      </w:r>
    </w:p>
    <w:p>
      <w:pPr>
        <w:spacing w:line="360" w:lineRule="auto"/>
        <w:ind w:firstLine="480" w:firstLineChars="200"/>
        <w:rPr>
          <w:rFonts w:ascii="宋体" w:hAnsi="宋体"/>
          <w:sz w:val="24"/>
        </w:rPr>
      </w:pPr>
      <w:r>
        <w:rPr>
          <w:rFonts w:ascii="宋体" w:hAnsi="宋体"/>
          <w:sz w:val="24"/>
        </w:rPr>
        <w:t>3.2</w:t>
      </w:r>
      <w:r>
        <w:rPr>
          <w:rStyle w:val="56"/>
          <w:rFonts w:ascii="宋体" w:hAnsi="宋体"/>
          <w:sz w:val="32"/>
          <w:szCs w:val="32"/>
        </w:rPr>
        <w:footnoteReference w:id="18"/>
      </w:r>
      <w:r>
        <w:rPr>
          <w:rFonts w:ascii="宋体" w:hAnsi="宋体"/>
          <w:sz w:val="24"/>
        </w:rPr>
        <w:t>本次招标（接受或不接受）联合体投标。联合体投标的，应满足下列要求：</w:t>
      </w:r>
    </w:p>
    <w:p>
      <w:pPr>
        <w:spacing w:line="360" w:lineRule="auto"/>
        <w:ind w:firstLine="480" w:firstLineChars="200"/>
        <w:rPr>
          <w:rFonts w:ascii="宋体" w:hAnsi="宋体"/>
          <w:sz w:val="24"/>
        </w:rPr>
      </w:pPr>
      <w:r>
        <w:rPr>
          <w:rFonts w:ascii="宋体" w:hAnsi="宋体"/>
          <w:sz w:val="24"/>
        </w:rPr>
        <w:t>（1）联合体各方应按招标文件提供的格式签订联合体协议书，明确联合体牵头人和各方权利义务，并承诺就中标项目向招标人承担连带责任；</w:t>
      </w:r>
    </w:p>
    <w:p>
      <w:pPr>
        <w:spacing w:line="360" w:lineRule="auto"/>
        <w:ind w:firstLine="480" w:firstLineChars="200"/>
        <w:rPr>
          <w:rFonts w:ascii="宋体" w:hAnsi="宋体"/>
          <w:sz w:val="24"/>
        </w:rPr>
      </w:pPr>
      <w:r>
        <w:rPr>
          <w:rFonts w:ascii="宋体" w:hAnsi="宋体"/>
          <w:sz w:val="24"/>
        </w:rPr>
        <w:t>（2）由同一专业的单位组成的联合体，按照资质等级较低的单位确定资质等级</w:t>
      </w:r>
      <w:r>
        <w:rPr>
          <w:rStyle w:val="56"/>
          <w:rFonts w:ascii="宋体" w:hAnsi="宋体"/>
          <w:sz w:val="24"/>
        </w:rPr>
        <w:footnoteReference w:id="19"/>
      </w:r>
      <w:r>
        <w:rPr>
          <w:rFonts w:ascii="宋体" w:hAnsi="宋体"/>
          <w:sz w:val="24"/>
        </w:rPr>
        <w:t>；</w:t>
      </w:r>
    </w:p>
    <w:p>
      <w:pPr>
        <w:spacing w:line="360" w:lineRule="auto"/>
        <w:ind w:firstLine="480" w:firstLineChars="200"/>
        <w:rPr>
          <w:rFonts w:ascii="宋体" w:hAnsi="宋体"/>
          <w:sz w:val="24"/>
        </w:rPr>
      </w:pPr>
      <w:r>
        <w:rPr>
          <w:rFonts w:ascii="宋体" w:hAnsi="宋体"/>
          <w:sz w:val="24"/>
        </w:rPr>
        <w:t>（3）联合体各方不得再以自己名义单独或参加其他联合体在同一标段中投标；</w:t>
      </w:r>
    </w:p>
    <w:p>
      <w:pPr>
        <w:spacing w:line="360" w:lineRule="auto"/>
        <w:ind w:firstLine="480" w:firstLineChars="200"/>
        <w:rPr>
          <w:rFonts w:ascii="宋体" w:hAnsi="宋体"/>
          <w:sz w:val="24"/>
        </w:rPr>
      </w:pPr>
      <w:r>
        <w:rPr>
          <w:rFonts w:ascii="宋体" w:hAnsi="宋体"/>
          <w:sz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spacing w:line="360" w:lineRule="auto"/>
        <w:ind w:firstLine="480" w:firstLineChars="200"/>
        <w:rPr>
          <w:rFonts w:ascii="宋体" w:hAnsi="宋体"/>
          <w:sz w:val="24"/>
        </w:rPr>
      </w:pPr>
      <w:r>
        <w:rPr>
          <w:rFonts w:ascii="宋体" w:hAnsi="宋体"/>
          <w:sz w:val="24"/>
        </w:rPr>
        <w:t>（5）尽管委任了联合体牵头人，但联合体各成员在投标、</w:t>
      </w:r>
      <w:r>
        <w:rPr>
          <w:rFonts w:hint="eastAsia" w:ascii="宋体" w:hAnsi="宋体"/>
          <w:sz w:val="24"/>
        </w:rPr>
        <w:t>签订合同</w:t>
      </w:r>
      <w:r>
        <w:rPr>
          <w:rFonts w:ascii="宋体" w:hAnsi="宋体"/>
          <w:sz w:val="24"/>
        </w:rPr>
        <w:t>与履行合同过程中，仍负有连带的和各自的法律责任</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（6）联合体牵头人应同时具备上述</w:t>
      </w:r>
      <w:r>
        <w:rPr>
          <w:rFonts w:ascii="宋体" w:hAnsi="宋体"/>
          <w:sz w:val="24"/>
        </w:rPr>
        <w:t>3.1</w:t>
      </w:r>
      <w:r>
        <w:rPr>
          <w:rFonts w:hint="eastAsia" w:ascii="宋体" w:hAnsi="宋体"/>
          <w:sz w:val="24"/>
        </w:rPr>
        <w:t>款（1）及（2）的资质或单独具备（3）的资质，</w:t>
      </w:r>
      <w:r>
        <w:rPr>
          <w:rFonts w:hint="eastAsia" w:ascii="宋体" w:hAnsi="宋体" w:cs="宋体"/>
          <w:sz w:val="24"/>
        </w:rPr>
        <w:t>联合体所有成员（含牵头人）数量不得超过____个</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u w:val="single"/>
        </w:rPr>
        <w:t>（7）</w:t>
      </w:r>
      <w:r>
        <w:rPr>
          <w:rFonts w:ascii="宋体" w:hAnsi="宋体"/>
          <w:sz w:val="24"/>
          <w:u w:val="single"/>
        </w:rPr>
        <w:t xml:space="preserve">……                  </w:t>
      </w:r>
      <w:r>
        <w:rPr>
          <w:rFonts w:ascii="宋体" w:hAnsi="宋体"/>
          <w:sz w:val="24"/>
        </w:rPr>
        <w:t>。</w:t>
      </w:r>
    </w:p>
    <w:p>
      <w:pPr>
        <w:pStyle w:val="2"/>
        <w:spacing w:before="0" w:after="0" w:line="360" w:lineRule="auto"/>
        <w:rPr>
          <w:rFonts w:ascii="宋体" w:hAnsi="宋体"/>
          <w:sz w:val="28"/>
          <w:szCs w:val="28"/>
        </w:rPr>
      </w:pPr>
      <w:bookmarkStart w:id="67" w:name="_Toc508984056"/>
      <w:bookmarkStart w:id="68" w:name="_Toc503235727"/>
      <w:bookmarkStart w:id="69" w:name="_Toc234832856"/>
      <w:bookmarkStart w:id="70" w:name="_Toc508984254"/>
      <w:r>
        <w:rPr>
          <w:rFonts w:hint="eastAsia" w:ascii="宋体" w:hAnsi="宋体"/>
          <w:sz w:val="28"/>
          <w:szCs w:val="28"/>
        </w:rPr>
        <w:t>4</w:t>
      </w:r>
      <w:r>
        <w:rPr>
          <w:rFonts w:ascii="宋体" w:hAnsi="宋体"/>
          <w:sz w:val="28"/>
          <w:szCs w:val="28"/>
        </w:rPr>
        <w:t>. 招标文件的获取</w:t>
      </w:r>
      <w:bookmarkEnd w:id="67"/>
      <w:bookmarkEnd w:id="68"/>
      <w:bookmarkEnd w:id="69"/>
      <w:bookmarkEnd w:id="70"/>
    </w:p>
    <w:p>
      <w:pPr>
        <w:spacing w:line="360" w:lineRule="auto"/>
        <w:ind w:firstLine="480" w:firstLineChars="200"/>
        <w:jc w:val="left"/>
        <w:rPr>
          <w:rFonts w:ascii="宋体" w:hAnsi="宋体"/>
          <w:sz w:val="24"/>
        </w:rPr>
      </w:pPr>
      <w:r>
        <w:rPr>
          <w:rFonts w:hint="eastAsia" w:ascii="宋体" w:hAnsi="宋体"/>
          <w:sz w:val="24"/>
        </w:rPr>
        <w:t>4</w:t>
      </w:r>
      <w:r>
        <w:rPr>
          <w:rFonts w:ascii="宋体" w:hAnsi="宋体"/>
          <w:sz w:val="24"/>
        </w:rPr>
        <w:t>.1请于</w:t>
      </w:r>
      <w:r>
        <w:rPr>
          <w:rFonts w:hint="eastAsia" w:ascii="宋体" w:hAnsi="宋体" w:cs="宋体"/>
          <w:sz w:val="24"/>
        </w:rPr>
        <w:t>____</w:t>
      </w:r>
      <w:r>
        <w:rPr>
          <w:rFonts w:ascii="宋体" w:hAnsi="宋体"/>
          <w:sz w:val="24"/>
        </w:rPr>
        <w:t>年</w:t>
      </w:r>
      <w:r>
        <w:rPr>
          <w:rFonts w:hint="eastAsia" w:ascii="宋体" w:hAnsi="宋体" w:cs="宋体"/>
          <w:sz w:val="24"/>
        </w:rPr>
        <w:t>____</w:t>
      </w:r>
      <w:r>
        <w:rPr>
          <w:rFonts w:ascii="宋体" w:hAnsi="宋体"/>
          <w:sz w:val="24"/>
        </w:rPr>
        <w:t>月</w:t>
      </w:r>
      <w:r>
        <w:rPr>
          <w:rFonts w:hint="eastAsia" w:ascii="宋体" w:hAnsi="宋体" w:cs="宋体"/>
          <w:sz w:val="24"/>
        </w:rPr>
        <w:t>____</w:t>
      </w:r>
      <w:r>
        <w:rPr>
          <w:rFonts w:ascii="宋体" w:hAnsi="宋体"/>
          <w:sz w:val="24"/>
        </w:rPr>
        <w:t>日至</w:t>
      </w:r>
      <w:r>
        <w:rPr>
          <w:rFonts w:hint="eastAsia" w:ascii="宋体" w:hAnsi="宋体" w:cs="宋体"/>
          <w:sz w:val="24"/>
        </w:rPr>
        <w:t>____</w:t>
      </w:r>
      <w:r>
        <w:rPr>
          <w:rFonts w:ascii="宋体" w:hAnsi="宋体"/>
          <w:sz w:val="24"/>
        </w:rPr>
        <w:t>年</w:t>
      </w:r>
      <w:r>
        <w:rPr>
          <w:rFonts w:hint="eastAsia" w:ascii="宋体" w:hAnsi="宋体" w:cs="宋体"/>
          <w:sz w:val="24"/>
        </w:rPr>
        <w:t>____</w:t>
      </w:r>
      <w:r>
        <w:rPr>
          <w:rFonts w:ascii="宋体" w:hAnsi="宋体"/>
          <w:sz w:val="24"/>
        </w:rPr>
        <w:t>月</w:t>
      </w:r>
      <w:r>
        <w:rPr>
          <w:rFonts w:hint="eastAsia" w:ascii="宋体" w:hAnsi="宋体" w:cs="宋体"/>
          <w:sz w:val="24"/>
        </w:rPr>
        <w:t>____</w:t>
      </w:r>
      <w:r>
        <w:rPr>
          <w:rFonts w:ascii="宋体" w:hAnsi="宋体"/>
          <w:sz w:val="24"/>
        </w:rPr>
        <w:t>日，每日上午</w:t>
      </w:r>
      <w:r>
        <w:rPr>
          <w:rFonts w:hint="eastAsia" w:ascii="宋体" w:hAnsi="宋体" w:cs="宋体"/>
          <w:sz w:val="24"/>
        </w:rPr>
        <w:t>____</w:t>
      </w:r>
      <w:r>
        <w:rPr>
          <w:rFonts w:ascii="宋体" w:hAnsi="宋体"/>
          <w:sz w:val="24"/>
        </w:rPr>
        <w:t>时</w:t>
      </w:r>
      <w:r>
        <w:rPr>
          <w:rFonts w:hint="eastAsia" w:ascii="宋体" w:hAnsi="宋体" w:cs="宋体"/>
          <w:sz w:val="24"/>
        </w:rPr>
        <w:t>____</w:t>
      </w:r>
      <w:r>
        <w:rPr>
          <w:rFonts w:hint="eastAsia" w:ascii="宋体" w:hAnsi="宋体"/>
          <w:sz w:val="24"/>
        </w:rPr>
        <w:t>分</w:t>
      </w:r>
      <w:r>
        <w:rPr>
          <w:rFonts w:ascii="宋体" w:hAnsi="宋体"/>
          <w:sz w:val="24"/>
        </w:rPr>
        <w:t>至</w:t>
      </w:r>
      <w:r>
        <w:rPr>
          <w:rFonts w:hint="eastAsia" w:ascii="宋体" w:hAnsi="宋体" w:cs="宋体"/>
          <w:sz w:val="24"/>
        </w:rPr>
        <w:t>____</w:t>
      </w:r>
      <w:r>
        <w:rPr>
          <w:rFonts w:ascii="宋体" w:hAnsi="宋体"/>
          <w:sz w:val="24"/>
        </w:rPr>
        <w:t>时</w:t>
      </w:r>
      <w:r>
        <w:rPr>
          <w:rFonts w:hint="eastAsia" w:ascii="宋体" w:hAnsi="宋体" w:cs="宋体"/>
          <w:sz w:val="24"/>
        </w:rPr>
        <w:t>____</w:t>
      </w:r>
      <w:r>
        <w:rPr>
          <w:rFonts w:hint="eastAsia" w:ascii="宋体" w:hAnsi="宋体"/>
          <w:sz w:val="24"/>
        </w:rPr>
        <w:t>分</w:t>
      </w:r>
      <w:r>
        <w:rPr>
          <w:rFonts w:ascii="宋体" w:hAnsi="宋体"/>
          <w:sz w:val="24"/>
        </w:rPr>
        <w:t>，下午</w:t>
      </w:r>
      <w:r>
        <w:rPr>
          <w:rFonts w:hint="eastAsia" w:ascii="宋体" w:hAnsi="宋体" w:cs="宋体"/>
          <w:sz w:val="24"/>
        </w:rPr>
        <w:t>____</w:t>
      </w:r>
      <w:r>
        <w:rPr>
          <w:rFonts w:ascii="宋体" w:hAnsi="宋体"/>
          <w:sz w:val="24"/>
        </w:rPr>
        <w:t>时</w:t>
      </w:r>
      <w:r>
        <w:rPr>
          <w:rFonts w:hint="eastAsia" w:ascii="宋体" w:hAnsi="宋体" w:cs="宋体"/>
          <w:sz w:val="24"/>
        </w:rPr>
        <w:t>____</w:t>
      </w:r>
      <w:r>
        <w:rPr>
          <w:rFonts w:hint="eastAsia" w:ascii="宋体" w:hAnsi="宋体"/>
          <w:sz w:val="24"/>
        </w:rPr>
        <w:t>分</w:t>
      </w:r>
      <w:r>
        <w:rPr>
          <w:rFonts w:ascii="宋体" w:hAnsi="宋体"/>
          <w:sz w:val="24"/>
        </w:rPr>
        <w:t>至</w:t>
      </w:r>
      <w:r>
        <w:rPr>
          <w:rFonts w:hint="eastAsia" w:ascii="宋体" w:hAnsi="宋体" w:cs="宋体"/>
          <w:sz w:val="24"/>
        </w:rPr>
        <w:t>____</w:t>
      </w:r>
      <w:r>
        <w:rPr>
          <w:rFonts w:ascii="宋体" w:hAnsi="宋体"/>
          <w:sz w:val="24"/>
        </w:rPr>
        <w:t>时</w:t>
      </w:r>
      <w:r>
        <w:rPr>
          <w:rFonts w:hint="eastAsia" w:ascii="宋体" w:hAnsi="宋体" w:cs="宋体"/>
          <w:sz w:val="24"/>
        </w:rPr>
        <w:t>____</w:t>
      </w:r>
      <w:r>
        <w:rPr>
          <w:rFonts w:hint="eastAsia" w:ascii="宋体" w:hAnsi="宋体"/>
          <w:sz w:val="24"/>
        </w:rPr>
        <w:t>分</w:t>
      </w:r>
      <w:r>
        <w:rPr>
          <w:rFonts w:ascii="宋体" w:hAnsi="宋体"/>
          <w:sz w:val="24"/>
        </w:rPr>
        <w:t>（北京时间，下同），</w:t>
      </w:r>
      <w:r>
        <w:rPr>
          <w:rFonts w:hint="eastAsia" w:ascii="宋体" w:hAnsi="宋体" w:cs="宋体"/>
          <w:sz w:val="24"/>
        </w:rPr>
        <w:t>持单位介绍信（或授权委托书）、本邀请书原件或复印件或扫描件、经办人身份证复印件（原件核对），在</w:t>
      </w:r>
      <w:r>
        <w:rPr>
          <w:rFonts w:hint="eastAsia" w:ascii="宋体" w:hAnsi="宋体" w:cs="宋体"/>
          <w:i/>
          <w:iCs/>
          <w:sz w:val="24"/>
          <w:u w:val="single"/>
        </w:rPr>
        <w:t>（详细地址）</w:t>
      </w:r>
      <w:r>
        <w:rPr>
          <w:rFonts w:hint="eastAsia" w:ascii="宋体" w:hAnsi="宋体" w:cs="宋体"/>
          <w:sz w:val="24"/>
        </w:rPr>
        <w:t>购买招标文件。投标人参加多个标段投标的，应按所投标段分别递交上述资料并分别购买招标文件，并按所投标段分别递交投标文件。</w:t>
      </w:r>
    </w:p>
    <w:p>
      <w:pPr>
        <w:spacing w:line="360" w:lineRule="auto"/>
        <w:ind w:firstLine="480" w:firstLineChars="200"/>
        <w:jc w:val="left"/>
        <w:rPr>
          <w:rFonts w:ascii="宋体" w:hAnsi="宋体"/>
          <w:sz w:val="24"/>
        </w:rPr>
      </w:pPr>
      <w:r>
        <w:rPr>
          <w:rFonts w:hint="eastAsia" w:ascii="宋体" w:hAnsi="宋体"/>
          <w:sz w:val="24"/>
        </w:rPr>
        <w:t>4</w:t>
      </w:r>
      <w:r>
        <w:rPr>
          <w:rFonts w:ascii="宋体" w:hAnsi="宋体"/>
          <w:sz w:val="24"/>
        </w:rPr>
        <w:t>.2招标文件每套售价</w:t>
      </w:r>
      <w:r>
        <w:rPr>
          <w:rFonts w:hint="eastAsia" w:ascii="宋体" w:hAnsi="宋体" w:cs="宋体"/>
          <w:sz w:val="24"/>
        </w:rPr>
        <w:t>____</w:t>
      </w:r>
      <w:r>
        <w:rPr>
          <w:rFonts w:ascii="宋体" w:hAnsi="宋体"/>
          <w:sz w:val="24"/>
        </w:rPr>
        <w:t>元，</w:t>
      </w:r>
      <w:r>
        <w:rPr>
          <w:rFonts w:hint="eastAsia" w:ascii="宋体" w:hAnsi="宋体" w:cs="宋体"/>
          <w:sz w:val="24"/>
        </w:rPr>
        <w:t>前期技术资料等参考资料每套</w:t>
      </w:r>
      <w:r>
        <w:rPr>
          <w:rFonts w:ascii="宋体" w:hAnsi="宋体" w:cs="宋体"/>
          <w:sz w:val="24"/>
        </w:rPr>
        <w:t>售价</w:t>
      </w:r>
      <w:r>
        <w:rPr>
          <w:rFonts w:hint="eastAsia" w:ascii="宋体" w:hAnsi="宋体" w:cs="宋体"/>
          <w:sz w:val="24"/>
        </w:rPr>
        <w:t>____</w:t>
      </w:r>
      <w:r>
        <w:rPr>
          <w:rFonts w:ascii="宋体" w:hAnsi="宋体" w:cs="宋体"/>
          <w:sz w:val="24"/>
        </w:rPr>
        <w:t>元</w:t>
      </w:r>
      <w:r>
        <w:rPr>
          <w:rFonts w:hint="eastAsia" w:ascii="宋体" w:hAnsi="宋体" w:cs="宋体"/>
          <w:sz w:val="24"/>
        </w:rPr>
        <w:t>，</w:t>
      </w:r>
      <w:r>
        <w:rPr>
          <w:rFonts w:ascii="宋体" w:hAnsi="宋体"/>
          <w:sz w:val="24"/>
        </w:rPr>
        <w:t>售后不退</w:t>
      </w:r>
      <w:r>
        <w:rPr>
          <w:rStyle w:val="56"/>
          <w:rFonts w:ascii="宋体" w:hAnsi="宋体"/>
          <w:sz w:val="32"/>
          <w:szCs w:val="32"/>
        </w:rPr>
        <w:footnoteReference w:id="20"/>
      </w:r>
      <w:r>
        <w:rPr>
          <w:rFonts w:ascii="宋体" w:hAnsi="宋体"/>
          <w:sz w:val="24"/>
        </w:rPr>
        <w:t>。</w:t>
      </w:r>
    </w:p>
    <w:p>
      <w:pPr>
        <w:pStyle w:val="2"/>
        <w:spacing w:before="0" w:after="0" w:line="360" w:lineRule="auto"/>
        <w:jc w:val="left"/>
        <w:rPr>
          <w:rFonts w:ascii="宋体" w:hAnsi="宋体"/>
          <w:sz w:val="28"/>
          <w:szCs w:val="28"/>
        </w:rPr>
      </w:pPr>
      <w:bookmarkStart w:id="71" w:name="_Toc508984057"/>
      <w:bookmarkStart w:id="72" w:name="_Toc508984255"/>
      <w:bookmarkStart w:id="73" w:name="_Toc234832857"/>
      <w:bookmarkStart w:id="74" w:name="_Toc503235728"/>
      <w:r>
        <w:rPr>
          <w:rFonts w:hint="eastAsia" w:ascii="宋体" w:hAnsi="宋体"/>
          <w:sz w:val="28"/>
          <w:szCs w:val="28"/>
        </w:rPr>
        <w:t>5</w:t>
      </w:r>
      <w:r>
        <w:rPr>
          <w:rFonts w:ascii="宋体" w:hAnsi="宋体"/>
          <w:sz w:val="28"/>
          <w:szCs w:val="28"/>
        </w:rPr>
        <w:t>. 投标文件的递交及相关事宜</w:t>
      </w:r>
      <w:bookmarkEnd w:id="71"/>
      <w:bookmarkEnd w:id="72"/>
      <w:bookmarkEnd w:id="73"/>
      <w:bookmarkEnd w:id="74"/>
    </w:p>
    <w:p>
      <w:pPr>
        <w:spacing w:line="360" w:lineRule="auto"/>
        <w:ind w:firstLine="480" w:firstLineChars="200"/>
        <w:jc w:val="left"/>
        <w:rPr>
          <w:rFonts w:ascii="宋体" w:hAnsi="宋体"/>
          <w:sz w:val="24"/>
        </w:rPr>
      </w:pPr>
      <w:r>
        <w:rPr>
          <w:rFonts w:hint="eastAsia" w:ascii="宋体" w:hAnsi="宋体"/>
          <w:sz w:val="24"/>
        </w:rPr>
        <w:t>5</w:t>
      </w:r>
      <w:r>
        <w:rPr>
          <w:rFonts w:ascii="宋体" w:hAnsi="宋体"/>
          <w:sz w:val="24"/>
        </w:rPr>
        <w:t>.1 招标人将于下列时间和地点组织进行工程现场踏勘并召开投标预备会。</w:t>
      </w:r>
      <w:r>
        <w:rPr>
          <w:rFonts w:hint="eastAsia" w:ascii="宋体" w:hAnsi="宋体" w:cs="宋体"/>
          <w:b/>
          <w:i/>
          <w:sz w:val="24"/>
        </w:rPr>
        <w:t>（适用于组织踏勘和投标预备会的）</w:t>
      </w:r>
    </w:p>
    <w:p>
      <w:pPr>
        <w:pStyle w:val="236"/>
        <w:shd w:val="clear" w:color="auto" w:fill="auto"/>
        <w:tabs>
          <w:tab w:val="left" w:leader="underscore" w:pos="8629"/>
        </w:tabs>
        <w:spacing w:before="0" w:line="360" w:lineRule="auto"/>
        <w:ind w:firstLine="480" w:firstLineChars="200"/>
        <w:jc w:val="left"/>
        <w:rPr>
          <w:rFonts w:ascii="宋体" w:hAnsi="宋体" w:eastAsia="宋体" w:cs="宋体"/>
          <w:spacing w:val="0"/>
          <w:sz w:val="24"/>
          <w:szCs w:val="24"/>
        </w:rPr>
      </w:pPr>
      <w:r>
        <w:rPr>
          <w:rStyle w:val="235"/>
          <w:rFonts w:hint="eastAsia" w:ascii="宋体" w:hAnsi="宋体" w:eastAsia="宋体" w:cs="宋体"/>
          <w:spacing w:val="0"/>
          <w:sz w:val="24"/>
          <w:szCs w:val="24"/>
        </w:rPr>
        <w:t>踏勘现场时间：年月日时分，集中地点：；</w:t>
      </w:r>
    </w:p>
    <w:p>
      <w:pPr>
        <w:spacing w:line="360" w:lineRule="auto"/>
        <w:ind w:firstLine="480" w:firstLineChars="200"/>
        <w:jc w:val="left"/>
        <w:rPr>
          <w:rFonts w:ascii="宋体" w:hAnsi="宋体"/>
          <w:sz w:val="24"/>
        </w:rPr>
      </w:pPr>
      <w:r>
        <w:rPr>
          <w:rStyle w:val="235"/>
          <w:rFonts w:hint="eastAsia" w:ascii="宋体" w:hAnsi="宋体" w:eastAsia="宋体" w:cs="宋体"/>
          <w:spacing w:val="0"/>
          <w:sz w:val="24"/>
        </w:rPr>
        <w:t>投标预备会时间：年月日时分，地点：。</w:t>
      </w:r>
    </w:p>
    <w:p>
      <w:pPr>
        <w:spacing w:line="360" w:lineRule="auto"/>
        <w:ind w:firstLine="480" w:firstLineChars="200"/>
        <w:jc w:val="left"/>
        <w:rPr>
          <w:rFonts w:ascii="宋体" w:hAnsi="宋体"/>
          <w:sz w:val="24"/>
        </w:rPr>
      </w:pPr>
      <w:r>
        <w:rPr>
          <w:rFonts w:hint="eastAsia" w:ascii="宋体" w:hAnsi="宋体"/>
          <w:sz w:val="24"/>
        </w:rPr>
        <w:t>5.1</w:t>
      </w:r>
      <w:r>
        <w:rPr>
          <w:rFonts w:hint="eastAsia" w:ascii="宋体" w:hAnsi="宋体" w:cs="宋体"/>
          <w:sz w:val="24"/>
        </w:rPr>
        <w:t>招标人将不组织踏勘现场和投标预备会。</w:t>
      </w:r>
      <w:r>
        <w:rPr>
          <w:rFonts w:hint="eastAsia" w:ascii="宋体" w:hAnsi="宋体" w:cs="宋体"/>
          <w:b/>
          <w:i/>
          <w:sz w:val="24"/>
        </w:rPr>
        <w:t>（适用于不组织踏勘和投标预备会的）</w:t>
      </w:r>
    </w:p>
    <w:p>
      <w:pPr>
        <w:spacing w:line="360" w:lineRule="auto"/>
        <w:ind w:firstLine="480" w:firstLineChars="200"/>
        <w:jc w:val="left"/>
        <w:rPr>
          <w:rFonts w:ascii="宋体" w:hAnsi="宋体"/>
          <w:sz w:val="24"/>
        </w:rPr>
      </w:pPr>
      <w:r>
        <w:rPr>
          <w:rFonts w:hint="eastAsia" w:ascii="宋体" w:hAnsi="宋体"/>
          <w:sz w:val="24"/>
        </w:rPr>
        <w:t>5</w:t>
      </w:r>
      <w:r>
        <w:rPr>
          <w:rFonts w:ascii="宋体" w:hAnsi="宋体"/>
          <w:sz w:val="24"/>
        </w:rPr>
        <w:t>.2投标文件递交的截止时间（投标截止时间，下同）为</w:t>
      </w:r>
      <w:r>
        <w:rPr>
          <w:rFonts w:hint="eastAsia" w:ascii="宋体" w:hAnsi="宋体"/>
          <w:sz w:val="24"/>
        </w:rPr>
        <w:t>___</w:t>
      </w:r>
      <w:r>
        <w:rPr>
          <w:rFonts w:ascii="宋体" w:hAnsi="宋体"/>
          <w:sz w:val="24"/>
        </w:rPr>
        <w:t>年</w:t>
      </w:r>
      <w:r>
        <w:rPr>
          <w:rFonts w:hint="eastAsia" w:ascii="宋体" w:hAnsi="宋体"/>
          <w:sz w:val="24"/>
        </w:rPr>
        <w:t>___</w:t>
      </w:r>
      <w:r>
        <w:rPr>
          <w:rFonts w:ascii="宋体" w:hAnsi="宋体"/>
          <w:sz w:val="24"/>
        </w:rPr>
        <w:t>月</w:t>
      </w:r>
      <w:r>
        <w:rPr>
          <w:rFonts w:hint="eastAsia" w:ascii="宋体" w:hAnsi="宋体"/>
          <w:sz w:val="24"/>
        </w:rPr>
        <w:t>___</w:t>
      </w:r>
      <w:r>
        <w:rPr>
          <w:rFonts w:ascii="宋体" w:hAnsi="宋体"/>
          <w:sz w:val="24"/>
        </w:rPr>
        <w:t>日</w:t>
      </w:r>
      <w:r>
        <w:rPr>
          <w:rFonts w:hint="eastAsia" w:ascii="宋体" w:hAnsi="宋体"/>
          <w:sz w:val="24"/>
        </w:rPr>
        <w:t>___</w:t>
      </w:r>
      <w:r>
        <w:rPr>
          <w:rFonts w:ascii="宋体" w:hAnsi="宋体"/>
          <w:sz w:val="24"/>
        </w:rPr>
        <w:t>时</w:t>
      </w:r>
      <w:r>
        <w:rPr>
          <w:rFonts w:hint="eastAsia" w:ascii="宋体" w:hAnsi="宋体"/>
          <w:sz w:val="24"/>
        </w:rPr>
        <w:t>___</w:t>
      </w:r>
      <w:r>
        <w:rPr>
          <w:rFonts w:ascii="宋体" w:hAnsi="宋体"/>
          <w:sz w:val="24"/>
        </w:rPr>
        <w:t>分，投标人应于当日</w:t>
      </w:r>
      <w:r>
        <w:rPr>
          <w:rFonts w:hint="eastAsia" w:ascii="宋体" w:hAnsi="宋体"/>
          <w:sz w:val="24"/>
        </w:rPr>
        <w:t>___</w:t>
      </w:r>
      <w:r>
        <w:rPr>
          <w:rFonts w:ascii="宋体" w:hAnsi="宋体"/>
          <w:sz w:val="24"/>
        </w:rPr>
        <w:t>时</w:t>
      </w:r>
      <w:r>
        <w:rPr>
          <w:rFonts w:hint="eastAsia" w:ascii="宋体" w:hAnsi="宋体"/>
          <w:sz w:val="24"/>
        </w:rPr>
        <w:t>___</w:t>
      </w:r>
      <w:r>
        <w:rPr>
          <w:rFonts w:ascii="宋体" w:hAnsi="宋体"/>
          <w:sz w:val="24"/>
        </w:rPr>
        <w:t>分至</w:t>
      </w:r>
      <w:r>
        <w:rPr>
          <w:rFonts w:hint="eastAsia" w:ascii="宋体" w:hAnsi="宋体"/>
          <w:sz w:val="24"/>
        </w:rPr>
        <w:t>___</w:t>
      </w:r>
      <w:r>
        <w:rPr>
          <w:rFonts w:ascii="宋体" w:hAnsi="宋体"/>
          <w:sz w:val="24"/>
        </w:rPr>
        <w:t>时</w:t>
      </w:r>
      <w:r>
        <w:rPr>
          <w:rFonts w:hint="eastAsia" w:ascii="宋体" w:hAnsi="宋体"/>
          <w:sz w:val="24"/>
        </w:rPr>
        <w:t>___</w:t>
      </w:r>
      <w:r>
        <w:rPr>
          <w:rFonts w:ascii="宋体" w:hAnsi="宋体"/>
          <w:sz w:val="24"/>
        </w:rPr>
        <w:t>分将投标文件递交至</w:t>
      </w:r>
      <w:r>
        <w:rPr>
          <w:rFonts w:hint="eastAsia" w:ascii="宋体" w:hAnsi="宋体"/>
          <w:sz w:val="24"/>
        </w:rPr>
        <w:t>___</w:t>
      </w:r>
      <w:r>
        <w:rPr>
          <w:rFonts w:ascii="宋体" w:hAnsi="宋体"/>
          <w:sz w:val="24"/>
        </w:rPr>
        <w:t>（详细地址）。</w:t>
      </w:r>
    </w:p>
    <w:p>
      <w:pPr>
        <w:spacing w:line="360" w:lineRule="auto"/>
        <w:ind w:firstLine="480" w:firstLineChars="200"/>
        <w:jc w:val="left"/>
        <w:rPr>
          <w:rFonts w:ascii="宋体" w:hAnsi="宋体"/>
          <w:sz w:val="24"/>
        </w:rPr>
      </w:pPr>
      <w:r>
        <w:rPr>
          <w:rFonts w:hint="eastAsia" w:ascii="宋体" w:hAnsi="宋体"/>
          <w:sz w:val="24"/>
        </w:rPr>
        <w:t>5</w:t>
      </w:r>
      <w:r>
        <w:rPr>
          <w:rFonts w:ascii="宋体" w:hAnsi="宋体"/>
          <w:sz w:val="24"/>
        </w:rPr>
        <w:t>.3逾期送达的</w:t>
      </w:r>
      <w:r>
        <w:rPr>
          <w:rFonts w:hint="eastAsia" w:ascii="宋体" w:hAnsi="宋体"/>
          <w:sz w:val="24"/>
        </w:rPr>
        <w:t>、</w:t>
      </w:r>
      <w:r>
        <w:rPr>
          <w:rFonts w:ascii="宋体" w:hAnsi="宋体"/>
          <w:sz w:val="24"/>
        </w:rPr>
        <w:t>未送达指定地点的</w:t>
      </w:r>
      <w:r>
        <w:rPr>
          <w:rFonts w:hint="eastAsia" w:ascii="宋体" w:hAnsi="宋体"/>
          <w:sz w:val="24"/>
        </w:rPr>
        <w:t>或不按照招标文件要求密封</w:t>
      </w:r>
      <w:r>
        <w:rPr>
          <w:rFonts w:ascii="宋体" w:hAnsi="宋体"/>
          <w:sz w:val="24"/>
        </w:rPr>
        <w:t>的投标文件，招标人将予以拒收</w:t>
      </w:r>
      <w:r>
        <w:rPr>
          <w:rFonts w:hint="eastAsia" w:ascii="宋体" w:hAnsi="宋体"/>
          <w:sz w:val="24"/>
        </w:rPr>
        <w:t>。</w:t>
      </w:r>
    </w:p>
    <w:p>
      <w:pPr>
        <w:pStyle w:val="2"/>
        <w:spacing w:before="0" w:after="0" w:line="360" w:lineRule="auto"/>
        <w:rPr>
          <w:rFonts w:ascii="宋体" w:hAnsi="宋体"/>
          <w:sz w:val="28"/>
          <w:szCs w:val="28"/>
        </w:rPr>
      </w:pPr>
      <w:bookmarkStart w:id="75" w:name="_Toc234832858"/>
      <w:bookmarkStart w:id="76" w:name="_Toc508984058"/>
      <w:bookmarkStart w:id="77" w:name="_Toc508984256"/>
      <w:bookmarkStart w:id="78" w:name="_Toc503235729"/>
      <w:r>
        <w:rPr>
          <w:rFonts w:hint="eastAsia" w:ascii="宋体" w:hAnsi="宋体"/>
          <w:sz w:val="28"/>
          <w:szCs w:val="28"/>
        </w:rPr>
        <w:t>6</w:t>
      </w:r>
      <w:r>
        <w:rPr>
          <w:rFonts w:ascii="宋体" w:hAnsi="宋体"/>
          <w:sz w:val="28"/>
          <w:szCs w:val="28"/>
        </w:rPr>
        <w:t>. 确认</w:t>
      </w:r>
      <w:bookmarkEnd w:id="75"/>
      <w:bookmarkEnd w:id="76"/>
      <w:bookmarkEnd w:id="77"/>
      <w:bookmarkEnd w:id="78"/>
    </w:p>
    <w:p>
      <w:pPr>
        <w:spacing w:line="360" w:lineRule="auto"/>
        <w:ind w:firstLine="480" w:firstLineChars="200"/>
        <w:rPr>
          <w:sz w:val="24"/>
        </w:rPr>
      </w:pPr>
      <w:r>
        <w:rPr>
          <w:sz w:val="24"/>
        </w:rPr>
        <w:t>你单位收到本邀请书后，请于</w:t>
      </w:r>
      <w:r>
        <w:rPr>
          <w:rFonts w:hint="eastAsia" w:ascii="宋体" w:hAnsi="宋体"/>
          <w:sz w:val="24"/>
        </w:rPr>
        <w:t>___</w:t>
      </w:r>
      <w:r>
        <w:rPr>
          <w:sz w:val="24"/>
        </w:rPr>
        <w:t>年</w:t>
      </w:r>
      <w:r>
        <w:rPr>
          <w:rFonts w:hint="eastAsia" w:ascii="宋体" w:hAnsi="宋体"/>
          <w:sz w:val="24"/>
        </w:rPr>
        <w:t>___</w:t>
      </w:r>
      <w:r>
        <w:rPr>
          <w:sz w:val="24"/>
        </w:rPr>
        <w:t>月</w:t>
      </w:r>
      <w:r>
        <w:rPr>
          <w:rFonts w:hint="eastAsia" w:ascii="宋体" w:hAnsi="宋体"/>
          <w:sz w:val="24"/>
        </w:rPr>
        <w:t>___</w:t>
      </w:r>
      <w:r>
        <w:rPr>
          <w:sz w:val="24"/>
        </w:rPr>
        <w:t>日</w:t>
      </w:r>
      <w:r>
        <w:rPr>
          <w:rFonts w:hint="eastAsia" w:ascii="宋体" w:hAnsi="宋体"/>
          <w:sz w:val="24"/>
        </w:rPr>
        <w:t>___</w:t>
      </w:r>
      <w:r>
        <w:rPr>
          <w:sz w:val="24"/>
        </w:rPr>
        <w:t>时</w:t>
      </w:r>
      <w:r>
        <w:rPr>
          <w:rFonts w:hint="eastAsia" w:ascii="宋体" w:hAnsi="宋体"/>
          <w:sz w:val="24"/>
        </w:rPr>
        <w:t>___</w:t>
      </w:r>
      <w:r>
        <w:rPr>
          <w:rFonts w:hint="eastAsia"/>
          <w:sz w:val="24"/>
        </w:rPr>
        <w:t>分</w:t>
      </w:r>
      <w:r>
        <w:rPr>
          <w:sz w:val="24"/>
        </w:rPr>
        <w:t>前，以书面形式确认是否参加投标。在本邀请书规定的时间内未表示是否参加投标或明确表示不参加投标的，不得再参加投标。</w:t>
      </w:r>
    </w:p>
    <w:p>
      <w:pPr>
        <w:pStyle w:val="2"/>
        <w:spacing w:before="0" w:after="0" w:line="360" w:lineRule="auto"/>
        <w:rPr>
          <w:rFonts w:ascii="宋体" w:hAnsi="宋体"/>
          <w:sz w:val="28"/>
          <w:szCs w:val="28"/>
        </w:rPr>
      </w:pPr>
      <w:bookmarkStart w:id="79" w:name="_Toc508984059"/>
      <w:bookmarkStart w:id="80" w:name="_Toc508984257"/>
      <w:bookmarkStart w:id="81" w:name="_Toc234832859"/>
      <w:bookmarkStart w:id="82" w:name="_Toc503235730"/>
      <w:r>
        <w:rPr>
          <w:rFonts w:hint="eastAsia" w:ascii="宋体" w:hAnsi="宋体"/>
          <w:sz w:val="28"/>
          <w:szCs w:val="28"/>
        </w:rPr>
        <w:t>7</w:t>
      </w:r>
      <w:r>
        <w:rPr>
          <w:rFonts w:ascii="宋体" w:hAnsi="宋体"/>
          <w:sz w:val="28"/>
          <w:szCs w:val="28"/>
        </w:rPr>
        <w:t>.联系方式</w:t>
      </w:r>
      <w:bookmarkEnd w:id="79"/>
      <w:bookmarkEnd w:id="80"/>
      <w:bookmarkEnd w:id="81"/>
      <w:bookmarkEnd w:id="82"/>
    </w:p>
    <w:p>
      <w:pPr>
        <w:spacing w:line="360" w:lineRule="auto"/>
        <w:rPr>
          <w:rFonts w:ascii="宋体" w:hAnsi="宋体" w:cs="宋体"/>
          <w:u w:val="single"/>
        </w:rPr>
      </w:pPr>
      <w:r>
        <w:rPr>
          <w:rFonts w:hint="eastAsia" w:ascii="宋体" w:hAnsi="宋体" w:cs="宋体"/>
        </w:rPr>
        <w:t>招标人：</w:t>
      </w:r>
      <w:r>
        <w:rPr>
          <w:rFonts w:hint="eastAsia" w:ascii="宋体" w:hAnsi="宋体" w:cs="宋体"/>
          <w:u w:val="single"/>
        </w:rPr>
        <w:tab/>
      </w:r>
      <w:r>
        <w:rPr>
          <w:rFonts w:hint="eastAsia" w:ascii="宋体" w:hAnsi="宋体" w:cs="宋体"/>
        </w:rPr>
        <w:t xml:space="preserve">        招标代理机构:</w:t>
      </w:r>
      <w:r>
        <w:rPr>
          <w:rFonts w:hint="eastAsia" w:ascii="宋体" w:hAnsi="宋体" w:cs="宋体"/>
          <w:u w:val="single"/>
        </w:rPr>
        <w:tab/>
      </w:r>
    </w:p>
    <w:p>
      <w:pPr>
        <w:spacing w:line="360" w:lineRule="auto"/>
        <w:rPr>
          <w:rFonts w:ascii="宋体" w:hAnsi="宋体" w:cs="宋体"/>
        </w:rPr>
      </w:pPr>
      <w:r>
        <w:rPr>
          <w:rFonts w:hint="eastAsia" w:ascii="宋体" w:hAnsi="宋体" w:cs="宋体"/>
        </w:rPr>
        <w:t>地址：</w:t>
      </w:r>
      <w:r>
        <w:rPr>
          <w:rFonts w:hint="eastAsia" w:ascii="宋体" w:hAnsi="宋体" w:cs="宋体"/>
          <w:u w:val="single"/>
        </w:rPr>
        <w:tab/>
      </w:r>
      <w:r>
        <w:rPr>
          <w:rFonts w:hint="eastAsia" w:ascii="宋体" w:hAnsi="宋体" w:cs="宋体"/>
        </w:rPr>
        <w:tab/>
      </w:r>
      <w:r>
        <w:rPr>
          <w:rFonts w:hint="eastAsia" w:ascii="宋体" w:hAnsi="宋体" w:cs="宋体"/>
        </w:rPr>
        <w:t>地址：</w:t>
      </w:r>
      <w:r>
        <w:rPr>
          <w:rFonts w:hint="eastAsia" w:ascii="宋体" w:hAnsi="宋体" w:cs="宋体"/>
          <w:u w:val="single"/>
        </w:rPr>
        <w:tab/>
      </w:r>
    </w:p>
    <w:p>
      <w:pPr>
        <w:spacing w:line="360" w:lineRule="auto"/>
        <w:rPr>
          <w:rFonts w:ascii="宋体" w:hAnsi="宋体" w:cs="宋体"/>
          <w:u w:val="single"/>
        </w:rPr>
      </w:pPr>
      <w:r>
        <w:rPr>
          <w:rFonts w:hint="eastAsia" w:ascii="宋体" w:hAnsi="宋体" w:cs="宋体"/>
        </w:rPr>
        <w:t>邮政编码：</w:t>
      </w:r>
      <w:r>
        <w:rPr>
          <w:rFonts w:hint="eastAsia" w:ascii="宋体" w:hAnsi="宋体" w:cs="宋体"/>
          <w:u w:val="single"/>
        </w:rPr>
        <w:tab/>
      </w:r>
      <w:r>
        <w:rPr>
          <w:rFonts w:hint="eastAsia" w:ascii="宋体" w:hAnsi="宋体" w:cs="宋体"/>
        </w:rPr>
        <w:t xml:space="preserve">        邮政编码：</w:t>
      </w:r>
      <w:r>
        <w:rPr>
          <w:rFonts w:hint="eastAsia" w:ascii="宋体" w:hAnsi="宋体" w:cs="宋体"/>
          <w:u w:val="single"/>
        </w:rPr>
        <w:tab/>
      </w:r>
    </w:p>
    <w:p>
      <w:pPr>
        <w:spacing w:line="360" w:lineRule="auto"/>
        <w:rPr>
          <w:rFonts w:ascii="宋体" w:hAnsi="宋体" w:cs="宋体"/>
          <w:u w:val="single"/>
        </w:rPr>
      </w:pPr>
      <w:r>
        <w:rPr>
          <w:rFonts w:hint="eastAsia" w:ascii="宋体" w:hAnsi="宋体" w:cs="宋体"/>
        </w:rPr>
        <w:t>电子邮件：</w:t>
      </w:r>
      <w:r>
        <w:rPr>
          <w:rFonts w:hint="eastAsia" w:ascii="宋体" w:hAnsi="宋体" w:cs="宋体"/>
          <w:u w:val="single"/>
        </w:rPr>
        <w:tab/>
      </w:r>
      <w:r>
        <w:rPr>
          <w:rFonts w:hint="eastAsia" w:ascii="宋体" w:hAnsi="宋体" w:cs="宋体"/>
        </w:rPr>
        <w:tab/>
      </w:r>
      <w:r>
        <w:rPr>
          <w:rFonts w:hint="eastAsia" w:ascii="宋体" w:hAnsi="宋体" w:cs="宋体"/>
        </w:rPr>
        <w:t xml:space="preserve"> 电子邮件：</w:t>
      </w:r>
      <w:r>
        <w:rPr>
          <w:rFonts w:hint="eastAsia" w:ascii="宋体" w:hAnsi="宋体" w:cs="宋体"/>
          <w:u w:val="single"/>
        </w:rPr>
        <w:tab/>
      </w:r>
    </w:p>
    <w:p>
      <w:pPr>
        <w:spacing w:line="360" w:lineRule="auto"/>
        <w:rPr>
          <w:rFonts w:ascii="宋体" w:hAnsi="宋体" w:cs="宋体"/>
        </w:rPr>
      </w:pPr>
      <w:r>
        <w:rPr>
          <w:rFonts w:hint="eastAsia" w:ascii="宋体" w:hAnsi="宋体" w:cs="宋体"/>
        </w:rPr>
        <w:t>联系人：</w:t>
      </w:r>
      <w:r>
        <w:rPr>
          <w:rFonts w:hint="eastAsia" w:ascii="宋体" w:hAnsi="宋体" w:cs="宋体"/>
          <w:u w:val="single"/>
        </w:rPr>
        <w:tab/>
      </w:r>
      <w:r>
        <w:rPr>
          <w:rFonts w:hint="eastAsia" w:ascii="宋体" w:hAnsi="宋体" w:cs="宋体"/>
        </w:rPr>
        <w:t xml:space="preserve">        联系人：</w:t>
      </w:r>
    </w:p>
    <w:p>
      <w:pPr>
        <w:spacing w:line="360" w:lineRule="auto"/>
        <w:rPr>
          <w:rFonts w:ascii="宋体" w:hAnsi="宋体" w:cs="宋体"/>
        </w:rPr>
      </w:pPr>
      <w:r>
        <w:rPr>
          <w:rFonts w:hint="eastAsia" w:ascii="宋体" w:hAnsi="宋体" w:cs="宋体"/>
        </w:rPr>
        <w:t>电 话：</w:t>
      </w:r>
      <w:r>
        <w:rPr>
          <w:rFonts w:hint="eastAsia" w:ascii="宋体" w:hAnsi="宋体" w:cs="宋体"/>
          <w:u w:val="single"/>
        </w:rPr>
        <w:tab/>
      </w:r>
      <w:r>
        <w:rPr>
          <w:rFonts w:hint="eastAsia" w:ascii="宋体" w:hAnsi="宋体" w:cs="宋体"/>
        </w:rPr>
        <w:tab/>
      </w:r>
      <w:r>
        <w:rPr>
          <w:rFonts w:hint="eastAsia" w:ascii="宋体" w:hAnsi="宋体" w:cs="宋体"/>
        </w:rPr>
        <w:t>电 话：</w:t>
      </w:r>
    </w:p>
    <w:p>
      <w:pPr>
        <w:spacing w:line="360" w:lineRule="auto"/>
        <w:rPr>
          <w:rStyle w:val="237"/>
          <w:rFonts w:ascii="宋体" w:hAnsi="宋体" w:cs="宋体"/>
          <w:sz w:val="24"/>
        </w:rPr>
      </w:pPr>
      <w:r>
        <w:rPr>
          <w:rFonts w:hint="eastAsia" w:ascii="宋体" w:hAnsi="宋体" w:cs="宋体"/>
        </w:rPr>
        <w:t>传 真：</w:t>
      </w:r>
      <w:r>
        <w:rPr>
          <w:rFonts w:hint="eastAsia" w:ascii="宋体" w:hAnsi="宋体" w:cs="宋体"/>
          <w:u w:val="single"/>
        </w:rPr>
        <w:tab/>
      </w:r>
      <w:r>
        <w:rPr>
          <w:rFonts w:hint="eastAsia" w:ascii="宋体" w:hAnsi="宋体" w:cs="宋体"/>
        </w:rPr>
        <w:tab/>
      </w:r>
      <w:r>
        <w:rPr>
          <w:rFonts w:hint="eastAsia" w:ascii="宋体" w:hAnsi="宋体" w:cs="宋体"/>
        </w:rPr>
        <w:t>传 真：</w:t>
      </w:r>
    </w:p>
    <w:p>
      <w:pPr>
        <w:pStyle w:val="238"/>
        <w:shd w:val="clear" w:color="auto" w:fill="auto"/>
        <w:spacing w:line="360" w:lineRule="auto"/>
        <w:jc w:val="both"/>
        <w:rPr>
          <w:rStyle w:val="237"/>
          <w:rFonts w:ascii="宋体" w:hAnsi="宋体" w:eastAsia="宋体" w:cs="宋体"/>
          <w:sz w:val="24"/>
          <w:szCs w:val="24"/>
        </w:rPr>
      </w:pPr>
    </w:p>
    <w:p>
      <w:pPr>
        <w:spacing w:line="400" w:lineRule="atLeast"/>
        <w:ind w:firstLine="200"/>
        <w:jc w:val="right"/>
        <w:rPr>
          <w:rStyle w:val="149"/>
          <w:rFonts w:ascii="黑体" w:eastAsia="黑体"/>
          <w:spacing w:val="-4"/>
          <w:sz w:val="44"/>
          <w:szCs w:val="44"/>
        </w:rPr>
        <w:sectPr>
          <w:footerReference r:id="rId12" w:type="default"/>
          <w:headerReference r:id="rId11" w:type="even"/>
          <w:footerReference r:id="rId13" w:type="even"/>
          <w:footnotePr>
            <w:numRestart w:val="eachPage"/>
          </w:footnotePr>
          <w:pgSz w:w="11905" w:h="16838"/>
          <w:pgMar w:top="1803" w:right="1440" w:bottom="1803" w:left="1440" w:header="851" w:footer="850" w:gutter="0"/>
          <w:cols w:space="0" w:num="1"/>
          <w:docGrid w:linePitch="312" w:charSpace="0"/>
        </w:sectPr>
      </w:pPr>
      <w:r>
        <w:rPr>
          <w:rStyle w:val="210"/>
          <w:rFonts w:hint="eastAsia" w:ascii="宋体" w:hAnsi="宋体" w:eastAsia="宋体" w:cs="宋体"/>
          <w:sz w:val="24"/>
          <w:szCs w:val="24"/>
          <w:u w:val="single"/>
        </w:rPr>
        <w:tab/>
      </w:r>
      <w:r>
        <w:rPr>
          <w:rStyle w:val="210"/>
          <w:rFonts w:hint="eastAsia" w:ascii="宋体" w:hAnsi="宋体" w:eastAsia="宋体" w:cs="宋体"/>
          <w:sz w:val="24"/>
          <w:szCs w:val="24"/>
        </w:rPr>
        <w:t>年</w:t>
      </w:r>
      <w:r>
        <w:rPr>
          <w:rStyle w:val="210"/>
          <w:rFonts w:hint="eastAsia" w:ascii="宋体" w:hAnsi="宋体" w:eastAsia="宋体" w:cs="宋体"/>
          <w:sz w:val="24"/>
          <w:szCs w:val="24"/>
          <w:u w:val="single"/>
        </w:rPr>
        <w:tab/>
      </w:r>
      <w:r>
        <w:rPr>
          <w:rStyle w:val="210"/>
          <w:rFonts w:hint="eastAsia" w:ascii="宋体" w:hAnsi="宋体" w:eastAsia="宋体" w:cs="宋体"/>
          <w:sz w:val="24"/>
          <w:szCs w:val="24"/>
        </w:rPr>
        <w:t>月</w:t>
      </w:r>
      <w:r>
        <w:rPr>
          <w:rStyle w:val="210"/>
          <w:rFonts w:hint="eastAsia" w:ascii="宋体" w:hAnsi="宋体" w:eastAsia="宋体" w:cs="宋体"/>
          <w:sz w:val="24"/>
          <w:szCs w:val="24"/>
          <w:u w:val="single"/>
        </w:rPr>
        <w:tab/>
      </w:r>
      <w:r>
        <w:rPr>
          <w:rStyle w:val="210"/>
          <w:rFonts w:hint="eastAsia" w:ascii="宋体" w:hAnsi="宋体" w:eastAsia="宋体" w:cs="宋体"/>
          <w:sz w:val="24"/>
          <w:szCs w:val="24"/>
        </w:rPr>
        <w:t>日</w:t>
      </w:r>
      <w:bookmarkStart w:id="83" w:name="_Toc234832860"/>
    </w:p>
    <w:p>
      <w:pPr>
        <w:pStyle w:val="5"/>
        <w:widowControl w:val="0"/>
        <w:tabs>
          <w:tab w:val="clear" w:pos="425"/>
          <w:tab w:val="clear" w:pos="3229"/>
        </w:tabs>
        <w:spacing w:before="0" w:after="0"/>
        <w:jc w:val="both"/>
        <w:rPr>
          <w:rFonts w:ascii="宋体" w:hAnsi="宋体"/>
          <w:b w:val="0"/>
          <w:kern w:val="2"/>
          <w:sz w:val="28"/>
        </w:rPr>
      </w:pPr>
      <w:bookmarkStart w:id="84" w:name="_Toc503235731"/>
      <w:bookmarkStart w:id="85" w:name="_Toc508984258"/>
      <w:r>
        <w:rPr>
          <w:rFonts w:hint="eastAsia" w:ascii="宋体" w:hAnsi="宋体"/>
          <w:b w:val="0"/>
          <w:kern w:val="2"/>
          <w:sz w:val="28"/>
        </w:rPr>
        <w:t>附件：确认通知</w:t>
      </w:r>
      <w:bookmarkEnd w:id="84"/>
      <w:bookmarkEnd w:id="85"/>
    </w:p>
    <w:p>
      <w:pPr>
        <w:spacing w:line="400" w:lineRule="exact"/>
      </w:pPr>
    </w:p>
    <w:p>
      <w:pPr>
        <w:spacing w:line="400" w:lineRule="exact"/>
        <w:jc w:val="center"/>
        <w:rPr>
          <w:rFonts w:eastAsia="黑体"/>
          <w:sz w:val="28"/>
        </w:rPr>
      </w:pPr>
      <w:r>
        <w:rPr>
          <w:rFonts w:eastAsia="黑体"/>
          <w:sz w:val="28"/>
        </w:rPr>
        <w:t>确认通知</w:t>
      </w:r>
    </w:p>
    <w:p>
      <w:pPr>
        <w:spacing w:line="400" w:lineRule="atLeast"/>
        <w:ind w:firstLine="420" w:firstLineChars="200"/>
      </w:pPr>
    </w:p>
    <w:p>
      <w:pPr>
        <w:spacing w:line="400" w:lineRule="atLeast"/>
        <w:ind w:firstLine="420" w:firstLineChars="200"/>
      </w:pPr>
    </w:p>
    <w:p>
      <w:pPr>
        <w:spacing w:line="360" w:lineRule="auto"/>
        <w:jc w:val="left"/>
        <w:rPr>
          <w:rFonts w:ascii="宋体" w:hAnsi="宋体"/>
          <w:sz w:val="24"/>
        </w:rPr>
      </w:pPr>
      <w:r>
        <w:rPr>
          <w:rFonts w:hint="eastAsia" w:ascii="宋体" w:hAnsi="宋体"/>
          <w:sz w:val="24"/>
        </w:rPr>
        <w:t>______</w:t>
      </w:r>
      <w:r>
        <w:rPr>
          <w:rFonts w:ascii="宋体" w:hAnsi="宋体"/>
          <w:sz w:val="24"/>
        </w:rPr>
        <w:t>（招标人名称）：</w:t>
      </w:r>
    </w:p>
    <w:p>
      <w:pPr>
        <w:spacing w:line="360" w:lineRule="auto"/>
        <w:ind w:firstLine="480" w:firstLineChars="200"/>
        <w:jc w:val="left"/>
        <w:rPr>
          <w:rFonts w:ascii="宋体" w:hAnsi="宋体"/>
          <w:sz w:val="24"/>
        </w:rPr>
      </w:pPr>
      <w:r>
        <w:rPr>
          <w:rFonts w:ascii="宋体" w:hAnsi="宋体"/>
          <w:sz w:val="24"/>
        </w:rPr>
        <w:t>我方已于</w:t>
      </w:r>
      <w:r>
        <w:rPr>
          <w:rFonts w:hint="eastAsia" w:ascii="宋体" w:hAnsi="宋体"/>
          <w:sz w:val="24"/>
        </w:rPr>
        <w:t>______</w:t>
      </w:r>
      <w:r>
        <w:rPr>
          <w:rFonts w:ascii="宋体" w:hAnsi="宋体"/>
          <w:sz w:val="24"/>
        </w:rPr>
        <w:t>年</w:t>
      </w:r>
      <w:r>
        <w:rPr>
          <w:rFonts w:hint="eastAsia" w:ascii="宋体" w:hAnsi="宋体"/>
          <w:sz w:val="24"/>
        </w:rPr>
        <w:t>______</w:t>
      </w:r>
      <w:r>
        <w:rPr>
          <w:rFonts w:ascii="宋体" w:hAnsi="宋体"/>
          <w:sz w:val="24"/>
        </w:rPr>
        <w:t>月</w:t>
      </w:r>
      <w:r>
        <w:rPr>
          <w:rFonts w:hint="eastAsia" w:ascii="宋体" w:hAnsi="宋体"/>
          <w:sz w:val="24"/>
        </w:rPr>
        <w:t>______</w:t>
      </w:r>
      <w:r>
        <w:rPr>
          <w:rFonts w:ascii="宋体" w:hAnsi="宋体"/>
          <w:sz w:val="24"/>
        </w:rPr>
        <w:t>日收到你方</w:t>
      </w:r>
      <w:r>
        <w:rPr>
          <w:rFonts w:hint="eastAsia" w:ascii="宋体" w:hAnsi="宋体"/>
          <w:sz w:val="24"/>
        </w:rPr>
        <w:t>______</w:t>
      </w:r>
      <w:r>
        <w:rPr>
          <w:rFonts w:ascii="宋体" w:hAnsi="宋体"/>
          <w:sz w:val="24"/>
        </w:rPr>
        <w:t>年</w:t>
      </w:r>
      <w:r>
        <w:rPr>
          <w:rFonts w:hint="eastAsia" w:ascii="宋体" w:hAnsi="宋体"/>
          <w:sz w:val="24"/>
        </w:rPr>
        <w:t>______</w:t>
      </w:r>
      <w:r>
        <w:rPr>
          <w:rFonts w:ascii="宋体" w:hAnsi="宋体"/>
          <w:sz w:val="24"/>
        </w:rPr>
        <w:t>月</w:t>
      </w:r>
      <w:r>
        <w:rPr>
          <w:rFonts w:hint="eastAsia" w:ascii="宋体" w:hAnsi="宋体"/>
          <w:sz w:val="24"/>
        </w:rPr>
        <w:t>______</w:t>
      </w:r>
      <w:r>
        <w:rPr>
          <w:rFonts w:ascii="宋体" w:hAnsi="宋体"/>
          <w:sz w:val="24"/>
        </w:rPr>
        <w:t>日发出的</w:t>
      </w:r>
      <w:r>
        <w:rPr>
          <w:rFonts w:ascii="宋体" w:hAnsi="宋体"/>
          <w:sz w:val="24"/>
          <w:u w:val="single"/>
        </w:rPr>
        <w:t>（项目名称）</w:t>
      </w:r>
      <w:r>
        <w:rPr>
          <w:rFonts w:hint="eastAsia" w:ascii="宋体" w:hAnsi="宋体"/>
          <w:sz w:val="24"/>
          <w:u w:val="single"/>
          <w:lang w:val="en-US" w:eastAsia="zh-CN"/>
        </w:rPr>
        <w:t xml:space="preserve">     </w:t>
      </w:r>
      <w:r>
        <w:rPr>
          <w:rFonts w:ascii="宋体" w:hAnsi="宋体"/>
          <w:sz w:val="24"/>
          <w:u w:val="single"/>
        </w:rPr>
        <w:t>标段</w:t>
      </w:r>
      <w:r>
        <w:rPr>
          <w:rFonts w:ascii="宋体" w:hAnsi="宋体"/>
          <w:sz w:val="24"/>
        </w:rPr>
        <w:t>勘察设计咨询招标的投标邀请书，并确认</w:t>
      </w:r>
      <w:r>
        <w:rPr>
          <w:rFonts w:hint="eastAsia" w:ascii="宋体" w:hAnsi="宋体"/>
          <w:sz w:val="24"/>
        </w:rPr>
        <w:t>_____</w:t>
      </w:r>
      <w:r>
        <w:rPr>
          <w:rFonts w:ascii="宋体" w:hAnsi="宋体"/>
          <w:sz w:val="24"/>
          <w:u w:val="single"/>
        </w:rPr>
        <w:t>（参加/不参加）投</w:t>
      </w:r>
      <w:r>
        <w:rPr>
          <w:rFonts w:ascii="宋体" w:hAnsi="宋体"/>
          <w:sz w:val="24"/>
        </w:rPr>
        <w:t>标。</w:t>
      </w:r>
    </w:p>
    <w:p>
      <w:pPr>
        <w:spacing w:line="360" w:lineRule="auto"/>
        <w:ind w:firstLine="480" w:firstLineChars="200"/>
        <w:jc w:val="left"/>
        <w:rPr>
          <w:rFonts w:ascii="宋体" w:hAnsi="宋体"/>
          <w:sz w:val="24"/>
        </w:rPr>
      </w:pPr>
      <w:r>
        <w:rPr>
          <w:rFonts w:ascii="宋体" w:hAnsi="宋体"/>
          <w:sz w:val="24"/>
        </w:rPr>
        <w:t>特此确认。</w:t>
      </w:r>
    </w:p>
    <w:p>
      <w:pPr>
        <w:spacing w:line="400" w:lineRule="atLeast"/>
        <w:ind w:firstLine="480" w:firstLineChars="200"/>
        <w:rPr>
          <w:sz w:val="24"/>
        </w:rPr>
      </w:pPr>
    </w:p>
    <w:p>
      <w:pPr>
        <w:spacing w:line="400" w:lineRule="atLeast"/>
        <w:ind w:firstLine="480" w:firstLineChars="200"/>
        <w:rPr>
          <w:sz w:val="24"/>
        </w:rPr>
      </w:pPr>
    </w:p>
    <w:p>
      <w:pPr>
        <w:spacing w:line="400" w:lineRule="atLeast"/>
        <w:ind w:firstLine="3360" w:firstLineChars="1400"/>
        <w:rPr>
          <w:sz w:val="24"/>
        </w:rPr>
      </w:pPr>
      <w:r>
        <w:rPr>
          <w:sz w:val="24"/>
        </w:rPr>
        <w:t>被邀请单位名称：</w:t>
      </w:r>
      <w:r>
        <w:rPr>
          <w:rFonts w:hint="eastAsia"/>
          <w:sz w:val="24"/>
        </w:rPr>
        <w:t>______</w:t>
      </w:r>
      <w:r>
        <w:rPr>
          <w:sz w:val="24"/>
        </w:rPr>
        <w:t>（盖单位章）</w:t>
      </w:r>
    </w:p>
    <w:p>
      <w:pPr>
        <w:spacing w:line="400" w:lineRule="atLeast"/>
        <w:ind w:firstLine="480" w:firstLineChars="200"/>
        <w:rPr>
          <w:sz w:val="24"/>
        </w:rPr>
      </w:pPr>
    </w:p>
    <w:p>
      <w:pPr>
        <w:spacing w:line="400" w:lineRule="atLeast"/>
        <w:ind w:firstLine="480" w:firstLineChars="200"/>
        <w:jc w:val="center"/>
        <w:rPr>
          <w:rStyle w:val="149"/>
          <w:rFonts w:ascii="黑体" w:eastAsia="黑体"/>
          <w:spacing w:val="-4"/>
          <w:sz w:val="24"/>
        </w:rPr>
      </w:pPr>
      <w:r>
        <w:rPr>
          <w:rFonts w:hint="eastAsia"/>
          <w:sz w:val="24"/>
        </w:rPr>
        <w:t>______</w:t>
      </w:r>
      <w:r>
        <w:rPr>
          <w:sz w:val="24"/>
        </w:rPr>
        <w:t>年</w:t>
      </w:r>
      <w:r>
        <w:rPr>
          <w:rFonts w:hint="eastAsia"/>
          <w:sz w:val="24"/>
        </w:rPr>
        <w:t>______</w:t>
      </w:r>
      <w:r>
        <w:rPr>
          <w:sz w:val="24"/>
        </w:rPr>
        <w:t>月</w:t>
      </w:r>
      <w:r>
        <w:rPr>
          <w:rFonts w:hint="eastAsia"/>
          <w:sz w:val="24"/>
        </w:rPr>
        <w:t>______</w:t>
      </w:r>
      <w:r>
        <w:rPr>
          <w:sz w:val="24"/>
        </w:rPr>
        <w:t>日</w:t>
      </w:r>
    </w:p>
    <w:p>
      <w:pPr>
        <w:widowControl/>
        <w:spacing w:line="400" w:lineRule="atLeast"/>
        <w:ind w:firstLine="466" w:firstLineChars="200"/>
        <w:jc w:val="left"/>
        <w:rPr>
          <w:rStyle w:val="149"/>
          <w:rFonts w:ascii="黑体" w:eastAsia="黑体"/>
          <w:spacing w:val="-4"/>
          <w:sz w:val="24"/>
        </w:rPr>
      </w:pPr>
      <w:r>
        <w:rPr>
          <w:rStyle w:val="149"/>
          <w:rFonts w:ascii="黑体" w:eastAsia="黑体"/>
          <w:spacing w:val="-4"/>
          <w:sz w:val="24"/>
        </w:rPr>
        <w:br w:type="page"/>
      </w:r>
    </w:p>
    <w:bookmarkEnd w:id="83"/>
    <w:p>
      <w:pPr>
        <w:topLinePunct/>
        <w:spacing w:line="440" w:lineRule="exact"/>
        <w:ind w:right="31" w:rightChars="15"/>
        <w:jc w:val="center"/>
        <w:rPr>
          <w:rFonts w:eastAsia="黑体"/>
          <w:sz w:val="29"/>
          <w:szCs w:val="29"/>
        </w:rPr>
      </w:pPr>
    </w:p>
    <w:p>
      <w:pPr>
        <w:topLinePunct/>
        <w:spacing w:line="440" w:lineRule="exact"/>
        <w:ind w:right="31" w:rightChars="15"/>
        <w:jc w:val="center"/>
        <w:rPr>
          <w:rFonts w:eastAsia="黑体"/>
          <w:sz w:val="29"/>
          <w:szCs w:val="29"/>
        </w:rPr>
      </w:pPr>
    </w:p>
    <w:p>
      <w:pPr>
        <w:topLinePunct/>
        <w:spacing w:line="440" w:lineRule="exact"/>
        <w:ind w:right="31" w:rightChars="15"/>
        <w:jc w:val="center"/>
        <w:rPr>
          <w:rFonts w:eastAsia="黑体"/>
          <w:sz w:val="29"/>
          <w:szCs w:val="29"/>
        </w:rPr>
      </w:pPr>
    </w:p>
    <w:p>
      <w:pPr>
        <w:topLinePunct/>
        <w:spacing w:line="440" w:lineRule="exact"/>
        <w:ind w:right="31" w:rightChars="15"/>
        <w:jc w:val="center"/>
        <w:rPr>
          <w:rFonts w:eastAsia="黑体"/>
          <w:sz w:val="29"/>
          <w:szCs w:val="29"/>
        </w:rPr>
      </w:pPr>
    </w:p>
    <w:p>
      <w:pPr>
        <w:topLinePunct/>
        <w:spacing w:line="440" w:lineRule="exact"/>
        <w:ind w:right="31" w:rightChars="15"/>
        <w:rPr>
          <w:rFonts w:eastAsia="黑体"/>
          <w:sz w:val="29"/>
          <w:szCs w:val="29"/>
        </w:rPr>
      </w:pPr>
    </w:p>
    <w:p>
      <w:pPr>
        <w:topLinePunct/>
        <w:spacing w:line="440" w:lineRule="exact"/>
        <w:ind w:right="31" w:rightChars="15"/>
        <w:jc w:val="center"/>
        <w:rPr>
          <w:rFonts w:eastAsia="黑体"/>
          <w:sz w:val="29"/>
          <w:szCs w:val="29"/>
        </w:rPr>
      </w:pPr>
    </w:p>
    <w:p>
      <w:pPr>
        <w:topLinePunct/>
        <w:spacing w:line="440" w:lineRule="exact"/>
        <w:ind w:right="31" w:rightChars="15"/>
        <w:jc w:val="center"/>
        <w:rPr>
          <w:rFonts w:eastAsia="黑体"/>
          <w:sz w:val="29"/>
          <w:szCs w:val="29"/>
        </w:rPr>
      </w:pPr>
    </w:p>
    <w:p>
      <w:pPr>
        <w:topLinePunct/>
        <w:spacing w:line="440" w:lineRule="exact"/>
        <w:ind w:right="31" w:rightChars="15"/>
        <w:jc w:val="center"/>
        <w:rPr>
          <w:rFonts w:eastAsia="黑体"/>
          <w:sz w:val="29"/>
          <w:szCs w:val="29"/>
        </w:rPr>
      </w:pPr>
    </w:p>
    <w:p>
      <w:pPr>
        <w:topLinePunct/>
        <w:spacing w:line="240" w:lineRule="atLeast"/>
        <w:ind w:right="31" w:rightChars="15"/>
        <w:jc w:val="center"/>
        <w:rPr>
          <w:rFonts w:eastAsia="黑体"/>
          <w:sz w:val="56"/>
          <w:szCs w:val="56"/>
        </w:rPr>
      </w:pPr>
    </w:p>
    <w:p>
      <w:pPr>
        <w:topLinePunct/>
        <w:spacing w:line="240" w:lineRule="atLeast"/>
        <w:ind w:right="31" w:rightChars="15"/>
        <w:jc w:val="center"/>
        <w:rPr>
          <w:rFonts w:eastAsia="黑体"/>
          <w:sz w:val="56"/>
          <w:szCs w:val="56"/>
        </w:rPr>
      </w:pPr>
    </w:p>
    <w:p>
      <w:pPr>
        <w:topLinePunct/>
        <w:spacing w:line="240" w:lineRule="atLeast"/>
        <w:ind w:right="31" w:rightChars="15"/>
        <w:jc w:val="center"/>
        <w:rPr>
          <w:rFonts w:ascii="宋体" w:hAnsi="宋体"/>
          <w:sz w:val="48"/>
          <w:szCs w:val="48"/>
        </w:rPr>
      </w:pPr>
      <w:r>
        <w:rPr>
          <w:rFonts w:ascii="宋体" w:hAnsi="宋体"/>
          <w:sz w:val="48"/>
          <w:szCs w:val="48"/>
        </w:rPr>
        <w:t>第二章  投标人须知</w:t>
      </w:r>
    </w:p>
    <w:p>
      <w:pPr>
        <w:topLinePunct/>
        <w:spacing w:line="240" w:lineRule="atLeast"/>
        <w:ind w:right="31" w:rightChars="15"/>
        <w:jc w:val="center"/>
        <w:rPr>
          <w:rFonts w:eastAsia="黑体"/>
          <w:sz w:val="56"/>
          <w:szCs w:val="56"/>
        </w:rPr>
      </w:pPr>
    </w:p>
    <w:p>
      <w:pPr>
        <w:topLinePunct/>
        <w:spacing w:line="240" w:lineRule="atLeast"/>
        <w:ind w:right="31" w:rightChars="15"/>
        <w:jc w:val="center"/>
        <w:rPr>
          <w:rFonts w:eastAsia="黑体"/>
          <w:sz w:val="56"/>
          <w:szCs w:val="56"/>
        </w:rPr>
      </w:pPr>
    </w:p>
    <w:p>
      <w:pPr>
        <w:topLinePunct/>
        <w:spacing w:line="240" w:lineRule="atLeast"/>
        <w:ind w:right="31" w:rightChars="15"/>
        <w:jc w:val="center"/>
        <w:rPr>
          <w:rFonts w:eastAsia="黑体"/>
          <w:sz w:val="56"/>
          <w:szCs w:val="56"/>
        </w:rPr>
      </w:pPr>
    </w:p>
    <w:p>
      <w:pPr>
        <w:topLinePunct/>
        <w:spacing w:line="240" w:lineRule="atLeast"/>
        <w:ind w:right="31" w:rightChars="15"/>
        <w:jc w:val="center"/>
        <w:rPr>
          <w:rFonts w:eastAsia="黑体"/>
          <w:sz w:val="56"/>
          <w:szCs w:val="56"/>
        </w:rPr>
        <w:sectPr>
          <w:footnotePr>
            <w:numRestart w:val="eachPage"/>
          </w:footnotePr>
          <w:pgSz w:w="11905" w:h="16838"/>
          <w:pgMar w:top="1803" w:right="1440" w:bottom="1803" w:left="1440" w:header="851" w:footer="850" w:gutter="0"/>
          <w:cols w:space="0" w:num="1"/>
          <w:docGrid w:linePitch="312" w:charSpace="0"/>
        </w:sectPr>
      </w:pPr>
    </w:p>
    <w:p>
      <w:pPr>
        <w:pStyle w:val="2"/>
        <w:spacing w:line="240" w:lineRule="auto"/>
        <w:jc w:val="center"/>
        <w:rPr>
          <w:rStyle w:val="149"/>
          <w:rFonts w:ascii="宋体" w:hAnsi="宋体"/>
          <w:b w:val="0"/>
          <w:sz w:val="36"/>
          <w:szCs w:val="36"/>
        </w:rPr>
      </w:pPr>
      <w:bookmarkStart w:id="86" w:name="_Toc234832861"/>
      <w:bookmarkStart w:id="87" w:name="_Toc508984060"/>
      <w:bookmarkStart w:id="88" w:name="_Toc508984259"/>
      <w:bookmarkStart w:id="89" w:name="_Toc503235734"/>
      <w:r>
        <w:rPr>
          <w:rStyle w:val="149"/>
          <w:rFonts w:ascii="宋体" w:hAnsi="宋体"/>
          <w:b w:val="0"/>
          <w:sz w:val="36"/>
          <w:szCs w:val="36"/>
        </w:rPr>
        <w:t>第二章  投标人须知</w:t>
      </w:r>
      <w:bookmarkEnd w:id="86"/>
      <w:bookmarkEnd w:id="87"/>
      <w:bookmarkEnd w:id="88"/>
      <w:bookmarkEnd w:id="89"/>
    </w:p>
    <w:p>
      <w:pPr>
        <w:pStyle w:val="2"/>
        <w:spacing w:before="240" w:after="240" w:line="240" w:lineRule="atLeast"/>
        <w:rPr>
          <w:rFonts w:ascii="宋体" w:hAnsi="宋体"/>
          <w:sz w:val="24"/>
          <w:szCs w:val="24"/>
        </w:rPr>
      </w:pPr>
      <w:bookmarkStart w:id="90" w:name="_Toc503235735"/>
      <w:bookmarkStart w:id="91" w:name="_Toc508984260"/>
      <w:bookmarkStart w:id="92" w:name="_Toc234832862"/>
      <w:bookmarkStart w:id="93" w:name="_Toc508984061"/>
      <w:r>
        <w:rPr>
          <w:rFonts w:hint="eastAsia" w:ascii="宋体" w:hAnsi="宋体"/>
          <w:sz w:val="24"/>
          <w:szCs w:val="24"/>
        </w:rPr>
        <w:t>投标人须知前附表</w:t>
      </w:r>
      <w:r>
        <w:rPr>
          <w:rStyle w:val="56"/>
          <w:rFonts w:ascii="宋体" w:hAnsi="宋体"/>
          <w:b w:val="0"/>
          <w:bCs w:val="0"/>
          <w:kern w:val="2"/>
          <w:sz w:val="24"/>
          <w:szCs w:val="24"/>
        </w:rPr>
        <w:footnoteReference w:id="21"/>
      </w:r>
      <w:bookmarkEnd w:id="90"/>
      <w:bookmarkEnd w:id="91"/>
      <w:bookmarkEnd w:id="92"/>
      <w:bookmarkEnd w:id="93"/>
    </w:p>
    <w:tbl>
      <w:tblPr>
        <w:tblStyle w:val="47"/>
        <w:tblW w:w="9220" w:type="dxa"/>
        <w:tblInd w:w="0" w:type="dxa"/>
        <w:tblLayout w:type="fixed"/>
        <w:tblCellMar>
          <w:top w:w="0" w:type="dxa"/>
          <w:left w:w="108" w:type="dxa"/>
          <w:bottom w:w="0" w:type="dxa"/>
          <w:right w:w="108" w:type="dxa"/>
        </w:tblCellMar>
      </w:tblPr>
      <w:tblGrid>
        <w:gridCol w:w="933"/>
        <w:gridCol w:w="73"/>
        <w:gridCol w:w="2389"/>
        <w:gridCol w:w="5825"/>
      </w:tblGrid>
      <w:tr>
        <w:tblPrEx>
          <w:tblCellMar>
            <w:top w:w="0" w:type="dxa"/>
            <w:left w:w="108" w:type="dxa"/>
            <w:bottom w:w="0" w:type="dxa"/>
            <w:right w:w="108" w:type="dxa"/>
          </w:tblCellMar>
        </w:tblPrEx>
        <w:trPr>
          <w:trHeight w:val="172" w:hRule="atLeast"/>
          <w:tblHeader/>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条款号</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条  款  名  称</w:t>
            </w:r>
          </w:p>
        </w:tc>
        <w:tc>
          <w:tcPr>
            <w:tcW w:w="58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编  列  内  容</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1.1.2</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招标人</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名称：</w:t>
            </w:r>
          </w:p>
          <w:p>
            <w:pPr>
              <w:rPr>
                <w:rFonts w:ascii="宋体" w:hAnsi="宋体"/>
                <w:szCs w:val="21"/>
              </w:rPr>
            </w:pPr>
            <w:r>
              <w:rPr>
                <w:rFonts w:ascii="宋体" w:hAnsi="宋体"/>
                <w:szCs w:val="21"/>
              </w:rPr>
              <w:t>地址：</w:t>
            </w:r>
          </w:p>
          <w:p>
            <w:pPr>
              <w:rPr>
                <w:rFonts w:ascii="宋体" w:hAnsi="宋体"/>
                <w:szCs w:val="21"/>
              </w:rPr>
            </w:pPr>
            <w:r>
              <w:rPr>
                <w:rFonts w:ascii="宋体" w:hAnsi="宋体"/>
                <w:szCs w:val="21"/>
              </w:rPr>
              <w:t>联系人：</w:t>
            </w:r>
          </w:p>
          <w:p>
            <w:pPr>
              <w:rPr>
                <w:rFonts w:ascii="宋体" w:hAnsi="宋体"/>
                <w:szCs w:val="21"/>
              </w:rPr>
            </w:pPr>
            <w:r>
              <w:rPr>
                <w:rFonts w:ascii="宋体" w:hAnsi="宋体"/>
                <w:szCs w:val="21"/>
              </w:rPr>
              <w:t>电话：</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1.1.3</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招标代理机构</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名称：</w:t>
            </w:r>
          </w:p>
          <w:p>
            <w:pPr>
              <w:rPr>
                <w:rFonts w:ascii="宋体" w:hAnsi="宋体"/>
                <w:szCs w:val="21"/>
              </w:rPr>
            </w:pPr>
            <w:r>
              <w:rPr>
                <w:rFonts w:ascii="宋体" w:hAnsi="宋体"/>
                <w:szCs w:val="21"/>
              </w:rPr>
              <w:t>地址：</w:t>
            </w:r>
          </w:p>
          <w:p>
            <w:pPr>
              <w:rPr>
                <w:rFonts w:ascii="宋体" w:hAnsi="宋体"/>
                <w:szCs w:val="21"/>
              </w:rPr>
            </w:pPr>
            <w:r>
              <w:rPr>
                <w:rFonts w:ascii="宋体" w:hAnsi="宋体"/>
                <w:szCs w:val="21"/>
              </w:rPr>
              <w:t>联系人：</w:t>
            </w:r>
          </w:p>
          <w:p>
            <w:pPr>
              <w:rPr>
                <w:rFonts w:ascii="宋体" w:hAnsi="宋体"/>
                <w:szCs w:val="21"/>
              </w:rPr>
            </w:pPr>
            <w:r>
              <w:rPr>
                <w:rFonts w:ascii="宋体" w:hAnsi="宋体"/>
                <w:szCs w:val="21"/>
              </w:rPr>
              <w:t>电话：</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1.1.4</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招标项目名称</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1.1.5</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标段</w:t>
            </w:r>
            <w:r>
              <w:rPr>
                <w:rFonts w:ascii="宋体" w:hAnsi="宋体"/>
                <w:szCs w:val="21"/>
              </w:rPr>
              <w:t>建设地点</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r>
              <w:rPr>
                <w:rFonts w:hint="eastAsia" w:ascii="宋体" w:hAnsi="宋体"/>
                <w:szCs w:val="21"/>
              </w:rPr>
              <w:t>6</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标段</w:t>
            </w:r>
            <w:r>
              <w:rPr>
                <w:rFonts w:ascii="宋体" w:hAnsi="宋体"/>
                <w:szCs w:val="21"/>
              </w:rPr>
              <w:t>建设规模</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r>
              <w:rPr>
                <w:rFonts w:hint="eastAsia" w:ascii="宋体" w:hAnsi="宋体"/>
                <w:szCs w:val="21"/>
              </w:rPr>
              <w:t>7</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标段</w:t>
            </w:r>
            <w:r>
              <w:rPr>
                <w:rFonts w:ascii="宋体" w:hAnsi="宋体"/>
                <w:szCs w:val="21"/>
              </w:rPr>
              <w:t>投资估算</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1.2.1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资金来源及比例</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1.2.</w:t>
            </w:r>
            <w:r>
              <w:rPr>
                <w:rFonts w:hint="eastAsia" w:ascii="宋体" w:hAnsi="宋体"/>
                <w:szCs w:val="21"/>
              </w:rPr>
              <w:t>2</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资金落实情况</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招标范围</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勘察咨询：</w:t>
            </w:r>
            <w:r>
              <w:rPr>
                <w:rFonts w:hint="eastAsia" w:ascii="宋体" w:hAnsi="宋体"/>
                <w:szCs w:val="21"/>
                <w:u w:val="single"/>
              </w:rPr>
              <w:t>□初勘、初测//□详勘、定测</w:t>
            </w:r>
          </w:p>
          <w:p>
            <w:pPr>
              <w:rPr>
                <w:rFonts w:ascii="宋体" w:hAnsi="宋体"/>
                <w:szCs w:val="21"/>
              </w:rPr>
            </w:pPr>
            <w:r>
              <w:rPr>
                <w:rFonts w:hint="eastAsia" w:ascii="宋体" w:hAnsi="宋体"/>
                <w:szCs w:val="21"/>
              </w:rPr>
              <w:t>设计咨询：</w:t>
            </w:r>
            <w:r>
              <w:rPr>
                <w:rFonts w:hint="eastAsia" w:ascii="宋体" w:hAnsi="宋体"/>
                <w:szCs w:val="21"/>
                <w:u w:val="single"/>
              </w:rPr>
              <w:t>□初步设计/□施工图设计</w:t>
            </w:r>
          </w:p>
          <w:p>
            <w:pPr>
              <w:rPr>
                <w:rFonts w:ascii="宋体" w:hAnsi="宋体"/>
                <w:szCs w:val="21"/>
              </w:rPr>
            </w:pPr>
            <w:r>
              <w:rPr>
                <w:rFonts w:hint="eastAsia" w:ascii="宋体" w:hAnsi="宋体"/>
                <w:szCs w:val="21"/>
              </w:rPr>
              <w:t>主要工作内容：</w:t>
            </w:r>
          </w:p>
          <w:p>
            <w:pPr>
              <w:rPr>
                <w:rFonts w:ascii="宋体" w:hAnsi="宋体"/>
                <w:szCs w:val="21"/>
              </w:rPr>
            </w:pPr>
            <w:r>
              <w:rPr>
                <w:rFonts w:hint="eastAsia" w:ascii="宋体" w:hAnsi="宋体"/>
                <w:szCs w:val="21"/>
              </w:rPr>
              <w:t>其他：</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1.3.2</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咨询</w:t>
            </w:r>
            <w:r>
              <w:rPr>
                <w:rFonts w:ascii="宋体" w:hAnsi="宋体"/>
                <w:szCs w:val="21"/>
              </w:rPr>
              <w:t>服务期限</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详见</w:t>
            </w:r>
            <w:r>
              <w:rPr>
                <w:rFonts w:hint="eastAsia" w:ascii="宋体" w:hAnsi="宋体"/>
                <w:szCs w:val="21"/>
                <w:u w:val="single"/>
              </w:rPr>
              <w:t>招标公告</w:t>
            </w:r>
            <w:r>
              <w:rPr>
                <w:rFonts w:ascii="宋体" w:hAnsi="宋体"/>
                <w:szCs w:val="21"/>
                <w:u w:val="single"/>
              </w:rPr>
              <w:t>/投标邀请书</w:t>
            </w:r>
            <w:r>
              <w:rPr>
                <w:rFonts w:ascii="宋体" w:hAnsi="宋体"/>
                <w:szCs w:val="21"/>
              </w:rPr>
              <w:t>2.2款</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1.3.3</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质量要求</w:t>
            </w:r>
            <w:r>
              <w:rPr>
                <w:rStyle w:val="56"/>
                <w:rFonts w:ascii="宋体" w:hAnsi="宋体"/>
                <w:sz w:val="32"/>
                <w:szCs w:val="32"/>
              </w:rPr>
              <w:footnoteReference w:id="22"/>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u w:val="single"/>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Cs/>
                <w:szCs w:val="21"/>
              </w:rPr>
              <w:t>1.3.4</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安全目标</w:t>
            </w:r>
            <w:r>
              <w:rPr>
                <w:rStyle w:val="56"/>
                <w:rFonts w:ascii="宋体" w:hAnsi="宋体"/>
                <w:sz w:val="32"/>
                <w:szCs w:val="32"/>
              </w:rPr>
              <w:footnoteReference w:id="23"/>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1"/>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br w:type="page"/>
            </w:r>
            <w:r>
              <w:rPr>
                <w:rFonts w:ascii="宋体" w:hAnsi="宋体"/>
                <w:szCs w:val="21"/>
              </w:rPr>
              <w:t>1.4.1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投标人资质条件、能力</w:t>
            </w:r>
            <w:r>
              <w:rPr>
                <w:rFonts w:hint="eastAsia" w:ascii="宋体" w:hAnsi="宋体"/>
                <w:szCs w:val="21"/>
              </w:rPr>
              <w:t>和</w:t>
            </w:r>
            <w:r>
              <w:rPr>
                <w:rFonts w:ascii="宋体" w:hAnsi="宋体"/>
                <w:szCs w:val="21"/>
              </w:rPr>
              <w:t>信誉</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cs="宋体"/>
                <w:sz w:val="21"/>
                <w:szCs w:val="21"/>
              </w:rPr>
            </w:pPr>
            <w:r>
              <w:rPr>
                <w:rFonts w:hint="eastAsia" w:hAnsi="宋体" w:cs="宋体"/>
                <w:sz w:val="21"/>
                <w:szCs w:val="21"/>
              </w:rPr>
              <w:t>资质要求：见附录1</w:t>
            </w:r>
          </w:p>
          <w:p>
            <w:pPr>
              <w:pStyle w:val="17"/>
              <w:topLinePunct/>
              <w:rPr>
                <w:rFonts w:hAnsi="宋体" w:cs="宋体"/>
                <w:sz w:val="21"/>
                <w:szCs w:val="21"/>
              </w:rPr>
            </w:pPr>
            <w:r>
              <w:rPr>
                <w:rFonts w:hint="eastAsia" w:hAnsi="宋体" w:cs="宋体"/>
                <w:sz w:val="21"/>
                <w:szCs w:val="21"/>
              </w:rPr>
              <w:t>业绩要求：见附录2</w:t>
            </w:r>
          </w:p>
          <w:p>
            <w:pPr>
              <w:pStyle w:val="17"/>
              <w:topLinePunct/>
              <w:rPr>
                <w:rFonts w:hAnsi="宋体" w:cs="宋体"/>
                <w:sz w:val="21"/>
                <w:szCs w:val="21"/>
              </w:rPr>
            </w:pPr>
            <w:r>
              <w:rPr>
                <w:rFonts w:hint="eastAsia" w:hAnsi="宋体" w:cs="宋体"/>
                <w:sz w:val="21"/>
                <w:szCs w:val="21"/>
              </w:rPr>
              <w:t>信誉要求：见附录3</w:t>
            </w:r>
          </w:p>
          <w:p>
            <w:pPr>
              <w:pStyle w:val="17"/>
              <w:topLinePunct/>
              <w:rPr>
                <w:rFonts w:hAnsi="宋体" w:cs="宋体"/>
                <w:sz w:val="21"/>
                <w:szCs w:val="21"/>
              </w:rPr>
            </w:pPr>
            <w:r>
              <w:rPr>
                <w:rFonts w:hint="eastAsia" w:hAnsi="宋体" w:cs="宋体"/>
                <w:sz w:val="21"/>
                <w:szCs w:val="21"/>
              </w:rPr>
              <w:t>项目负责人资格：见附录4</w:t>
            </w:r>
          </w:p>
          <w:p>
            <w:pPr>
              <w:rPr>
                <w:rFonts w:ascii="宋体" w:hAnsi="宋体"/>
                <w:szCs w:val="21"/>
              </w:rPr>
            </w:pPr>
            <w:r>
              <w:rPr>
                <w:rFonts w:ascii="宋体" w:hAnsi="宋体"/>
                <w:szCs w:val="21"/>
              </w:rPr>
              <w:t>其他要求</w:t>
            </w:r>
            <w:r>
              <w:rPr>
                <w:rStyle w:val="56"/>
                <w:rFonts w:ascii="宋体" w:hAnsi="宋体"/>
                <w:sz w:val="32"/>
                <w:szCs w:val="32"/>
              </w:rPr>
              <w:footnoteReference w:id="24"/>
            </w:r>
            <w:r>
              <w:rPr>
                <w:rFonts w:ascii="宋体" w:hAnsi="宋体"/>
                <w:szCs w:val="21"/>
              </w:rPr>
              <w:t>：</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1.4.2</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是否接受联合体投标</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 w:val="32"/>
              </w:rPr>
              <w:t>□</w:t>
            </w:r>
            <w:r>
              <w:rPr>
                <w:rFonts w:ascii="宋体" w:hAnsi="宋体"/>
                <w:szCs w:val="21"/>
              </w:rPr>
              <w:t>不接受</w:t>
            </w:r>
          </w:p>
          <w:p>
            <w:pPr>
              <w:rPr>
                <w:rFonts w:ascii="宋体" w:hAnsi="宋体"/>
                <w:szCs w:val="21"/>
              </w:rPr>
            </w:pPr>
            <w:r>
              <w:rPr>
                <w:rFonts w:ascii="宋体" w:hAnsi="宋体"/>
                <w:sz w:val="32"/>
              </w:rPr>
              <w:t>□</w:t>
            </w:r>
            <w:r>
              <w:rPr>
                <w:rFonts w:ascii="宋体" w:hAnsi="宋体"/>
                <w:szCs w:val="21"/>
              </w:rPr>
              <w:t>接受，应满足下列要求：</w:t>
            </w:r>
          </w:p>
          <w:p>
            <w:pPr>
              <w:ind w:firstLine="525" w:firstLineChars="250"/>
              <w:rPr>
                <w:rFonts w:ascii="宋体" w:hAnsi="宋体"/>
                <w:szCs w:val="21"/>
              </w:rPr>
            </w:pPr>
            <w:r>
              <w:rPr>
                <w:rFonts w:hint="eastAsia" w:ascii="宋体" w:hAnsi="宋体"/>
                <w:szCs w:val="21"/>
              </w:rPr>
              <w:t>（1）</w:t>
            </w:r>
            <w:r>
              <w:rPr>
                <w:rFonts w:ascii="宋体" w:hAnsi="宋体"/>
                <w:szCs w:val="21"/>
              </w:rPr>
              <w:t>联合体所有成员数量不得超过家；</w:t>
            </w:r>
          </w:p>
          <w:p>
            <w:pPr>
              <w:ind w:firstLine="525" w:firstLineChars="25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）联合体牵头人应具有</w:t>
            </w:r>
            <w:r>
              <w:rPr>
                <w:rFonts w:hint="eastAsia" w:ascii="宋体" w:hAnsi="宋体"/>
                <w:szCs w:val="21"/>
                <w:u w:val="single"/>
              </w:rPr>
              <w:t>招标公告中第</w:t>
            </w:r>
            <w:r>
              <w:rPr>
                <w:rFonts w:ascii="宋体" w:hAnsi="宋体"/>
                <w:szCs w:val="21"/>
                <w:u w:val="single"/>
              </w:rPr>
              <w:t>3.1</w:t>
            </w:r>
            <w:r>
              <w:rPr>
                <w:rFonts w:hint="eastAsia" w:ascii="宋体" w:hAnsi="宋体"/>
                <w:szCs w:val="21"/>
                <w:u w:val="single"/>
              </w:rPr>
              <w:t>款（</w:t>
            </w:r>
            <w:r>
              <w:rPr>
                <w:rFonts w:ascii="宋体" w:hAnsi="宋体"/>
                <w:szCs w:val="21"/>
                <w:u w:val="single"/>
              </w:rPr>
              <w:t>1</w:t>
            </w:r>
            <w:r>
              <w:rPr>
                <w:rFonts w:hint="eastAsia" w:ascii="宋体" w:hAnsi="宋体"/>
                <w:szCs w:val="21"/>
                <w:u w:val="single"/>
              </w:rPr>
              <w:t>）及（</w:t>
            </w:r>
            <w:r>
              <w:rPr>
                <w:rFonts w:ascii="宋体" w:hAnsi="宋体"/>
                <w:szCs w:val="21"/>
                <w:u w:val="single"/>
              </w:rPr>
              <w:t>2</w:t>
            </w:r>
            <w:r>
              <w:rPr>
                <w:rFonts w:hint="eastAsia" w:ascii="宋体" w:hAnsi="宋体"/>
                <w:szCs w:val="21"/>
                <w:u w:val="single"/>
              </w:rPr>
              <w:t>）的资质或单独具备（</w:t>
            </w:r>
            <w:r>
              <w:rPr>
                <w:rFonts w:ascii="宋体" w:hAnsi="宋体"/>
                <w:szCs w:val="21"/>
                <w:u w:val="single"/>
              </w:rPr>
              <w:t>3</w:t>
            </w:r>
            <w:r>
              <w:rPr>
                <w:rFonts w:hint="eastAsia" w:ascii="宋体" w:hAnsi="宋体"/>
                <w:szCs w:val="21"/>
                <w:u w:val="single"/>
              </w:rPr>
              <w:t>）</w:t>
            </w:r>
            <w:r>
              <w:rPr>
                <w:rFonts w:hint="eastAsia" w:ascii="宋体" w:hAnsi="宋体" w:cs="MingLiU"/>
                <w:sz w:val="20"/>
                <w:szCs w:val="21"/>
              </w:rPr>
              <w:t>资质；</w:t>
            </w:r>
          </w:p>
          <w:p>
            <w:pPr>
              <w:ind w:firstLine="525" w:firstLineChars="250"/>
              <w:rPr>
                <w:rFonts w:ascii="宋体" w:hAnsi="宋体"/>
                <w:szCs w:val="21"/>
              </w:rPr>
            </w:pPr>
            <w:r>
              <w:rPr>
                <w:rFonts w:hint="eastAsia" w:ascii="宋体" w:hAnsi="宋体"/>
                <w:szCs w:val="21"/>
              </w:rPr>
              <w:t>……</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1.4.3</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投标人不得存在的</w:t>
            </w:r>
            <w:r>
              <w:rPr>
                <w:rFonts w:hint="eastAsia" w:ascii="宋体" w:hAnsi="宋体"/>
                <w:szCs w:val="21"/>
              </w:rPr>
              <w:t>其他关联</w:t>
            </w:r>
            <w:r>
              <w:rPr>
                <w:rFonts w:ascii="宋体" w:hAnsi="宋体"/>
                <w:szCs w:val="21"/>
              </w:rPr>
              <w:t>情形</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10"/>
                <w:szCs w:val="21"/>
                <w:bdr w:val="single" w:color="auto" w:sz="4" w:space="0"/>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1.4.</w:t>
            </w:r>
            <w:r>
              <w:rPr>
                <w:rFonts w:hint="eastAsia" w:ascii="宋体" w:hAnsi="宋体"/>
              </w:rPr>
              <w:t>4</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投标人不得存在的其他</w:t>
            </w:r>
            <w:r>
              <w:rPr>
                <w:rFonts w:hint="eastAsia" w:ascii="宋体" w:hAnsi="宋体"/>
                <w:szCs w:val="21"/>
              </w:rPr>
              <w:t>不良状况或不良信用记录</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10"/>
                <w:szCs w:val="21"/>
                <w:bdr w:val="single" w:color="auto" w:sz="4" w:space="0"/>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pStyle w:val="211"/>
              <w:shd w:val="clear" w:color="auto" w:fill="auto"/>
              <w:spacing w:before="0" w:line="240" w:lineRule="auto"/>
              <w:jc w:val="center"/>
              <w:rPr>
                <w:rFonts w:ascii="宋体" w:hAnsi="宋体" w:eastAsia="宋体"/>
                <w:spacing w:val="0"/>
                <w:sz w:val="21"/>
                <w:szCs w:val="21"/>
              </w:rPr>
            </w:pPr>
            <w:r>
              <w:rPr>
                <w:rStyle w:val="214"/>
                <w:rFonts w:hint="eastAsia" w:ascii="宋体" w:hAnsi="宋体" w:eastAsia="宋体"/>
                <w:sz w:val="21"/>
                <w:szCs w:val="21"/>
              </w:rPr>
              <w:t>1.9.1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pStyle w:val="211"/>
              <w:shd w:val="clear" w:color="auto" w:fill="auto"/>
              <w:spacing w:before="0" w:line="240" w:lineRule="auto"/>
              <w:jc w:val="center"/>
              <w:rPr>
                <w:rFonts w:ascii="宋体" w:hAnsi="宋体" w:eastAsia="宋体"/>
                <w:spacing w:val="0"/>
                <w:sz w:val="21"/>
                <w:szCs w:val="21"/>
              </w:rPr>
            </w:pPr>
            <w:r>
              <w:rPr>
                <w:rStyle w:val="214"/>
                <w:rFonts w:hint="eastAsia" w:ascii="宋体" w:hAnsi="宋体" w:eastAsia="宋体"/>
                <w:sz w:val="21"/>
                <w:szCs w:val="21"/>
              </w:rPr>
              <w:t>踏勘现场</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□不组织</w:t>
            </w:r>
          </w:p>
          <w:p>
            <w:pPr>
              <w:rPr>
                <w:rFonts w:ascii="宋体" w:hAnsi="宋体"/>
                <w:szCs w:val="21"/>
                <w:u w:val="single"/>
              </w:rPr>
            </w:pPr>
            <w:r>
              <w:rPr>
                <w:rFonts w:hint="eastAsia" w:ascii="宋体" w:hAnsi="宋体"/>
                <w:szCs w:val="21"/>
              </w:rPr>
              <w:t>□组织，踏勘时间：</w:t>
            </w:r>
            <w:r>
              <w:rPr>
                <w:rFonts w:ascii="宋体" w:hAnsi="宋体" w:cs="Times New Roman"/>
                <w:color w:val="auto"/>
                <w:kern w:val="2"/>
                <w:sz w:val="21"/>
                <w:szCs w:val="21"/>
                <w:u w:val="single"/>
                <w:lang w:val="en-US"/>
              </w:rPr>
              <w:t xml:space="preserve"> </w:t>
            </w:r>
            <w:r>
              <w:rPr>
                <w:rFonts w:hint="eastAsia" w:ascii="宋体" w:hAnsi="宋体" w:cs="Times New Roman"/>
                <w:color w:val="auto"/>
                <w:kern w:val="2"/>
                <w:sz w:val="21"/>
                <w:szCs w:val="21"/>
                <w:u w:val="single"/>
                <w:lang w:val="en-US"/>
              </w:rPr>
              <w:t xml:space="preserve">      </w:t>
            </w:r>
            <w:r>
              <w:rPr>
                <w:rFonts w:ascii="宋体" w:hAnsi="宋体" w:cs="Times New Roman"/>
                <w:color w:val="auto"/>
                <w:kern w:val="2"/>
                <w:sz w:val="21"/>
                <w:szCs w:val="21"/>
                <w:u w:val="single"/>
                <w:lang w:val="en-US"/>
              </w:rPr>
              <w:t xml:space="preserve"> </w:t>
            </w:r>
          </w:p>
          <w:p>
            <w:pPr>
              <w:rPr>
                <w:rFonts w:ascii="宋体" w:hAnsi="宋体"/>
                <w:szCs w:val="21"/>
              </w:rPr>
            </w:pPr>
            <w:r>
              <w:rPr>
                <w:rFonts w:hint="eastAsia" w:ascii="宋体" w:hAnsi="宋体"/>
                <w:szCs w:val="21"/>
              </w:rPr>
              <w:t>踏勘集中地点</w:t>
            </w:r>
            <w:r>
              <w:rPr>
                <w:rFonts w:ascii="宋体" w:hAnsi="宋体" w:cs="Times New Roman"/>
                <w:color w:val="auto"/>
                <w:kern w:val="2"/>
                <w:sz w:val="21"/>
                <w:szCs w:val="21"/>
                <w:u w:val="single"/>
                <w:lang w:val="en-US"/>
              </w:rPr>
              <w:t xml:space="preserve"> </w:t>
            </w:r>
            <w:r>
              <w:rPr>
                <w:rFonts w:hint="eastAsia" w:ascii="宋体" w:hAnsi="宋体" w:cs="Times New Roman"/>
                <w:color w:val="auto"/>
                <w:kern w:val="2"/>
                <w:sz w:val="21"/>
                <w:szCs w:val="21"/>
                <w:u w:val="single"/>
                <w:lang w:val="en-US"/>
              </w:rPr>
              <w:t xml:space="preserve">      </w:t>
            </w:r>
            <w:r>
              <w:rPr>
                <w:rFonts w:ascii="宋体" w:hAnsi="宋体" w:cs="Times New Roman"/>
                <w:color w:val="auto"/>
                <w:kern w:val="2"/>
                <w:sz w:val="21"/>
                <w:szCs w:val="21"/>
                <w:u w:val="single"/>
                <w:lang w:val="en-US"/>
              </w:rPr>
              <w:t xml:space="preserve"> </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pStyle w:val="211"/>
              <w:shd w:val="clear" w:color="auto" w:fill="auto"/>
              <w:spacing w:before="0" w:line="240" w:lineRule="auto"/>
              <w:jc w:val="center"/>
              <w:rPr>
                <w:rFonts w:ascii="宋体" w:hAnsi="宋体" w:eastAsia="宋体"/>
                <w:spacing w:val="0"/>
                <w:sz w:val="21"/>
                <w:szCs w:val="21"/>
              </w:rPr>
            </w:pPr>
            <w:r>
              <w:rPr>
                <w:rStyle w:val="214"/>
                <w:rFonts w:hint="eastAsia" w:ascii="宋体" w:hAnsi="宋体" w:eastAsia="宋体"/>
                <w:sz w:val="21"/>
                <w:szCs w:val="21"/>
              </w:rPr>
              <w:t>1.10.1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pStyle w:val="211"/>
              <w:shd w:val="clear" w:color="auto" w:fill="auto"/>
              <w:spacing w:before="0" w:line="240" w:lineRule="auto"/>
              <w:jc w:val="center"/>
              <w:rPr>
                <w:rFonts w:ascii="宋体" w:hAnsi="宋体" w:eastAsia="宋体"/>
                <w:spacing w:val="0"/>
                <w:sz w:val="21"/>
                <w:szCs w:val="21"/>
              </w:rPr>
            </w:pPr>
            <w:r>
              <w:rPr>
                <w:rStyle w:val="214"/>
                <w:rFonts w:hint="eastAsia" w:ascii="宋体" w:hAnsi="宋体" w:eastAsia="宋体"/>
                <w:sz w:val="21"/>
                <w:szCs w:val="21"/>
              </w:rPr>
              <w:t>投标预备会</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□不召开</w:t>
            </w:r>
          </w:p>
          <w:p>
            <w:pPr>
              <w:rPr>
                <w:rFonts w:ascii="宋体" w:hAnsi="宋体"/>
                <w:szCs w:val="21"/>
                <w:u w:val="single"/>
              </w:rPr>
            </w:pPr>
            <w:r>
              <w:rPr>
                <w:rFonts w:hint="eastAsia" w:ascii="宋体" w:hAnsi="宋体"/>
                <w:szCs w:val="21"/>
              </w:rPr>
              <w:t>□召开，召开时间：</w:t>
            </w:r>
            <w:r>
              <w:rPr>
                <w:rFonts w:ascii="宋体" w:hAnsi="宋体" w:cs="Times New Roman"/>
                <w:color w:val="auto"/>
                <w:kern w:val="2"/>
                <w:sz w:val="21"/>
                <w:szCs w:val="21"/>
                <w:u w:val="single"/>
                <w:lang w:val="en-US"/>
              </w:rPr>
              <w:t xml:space="preserve"> </w:t>
            </w:r>
            <w:r>
              <w:rPr>
                <w:rFonts w:hint="eastAsia" w:ascii="宋体" w:hAnsi="宋体" w:cs="Times New Roman"/>
                <w:color w:val="auto"/>
                <w:kern w:val="2"/>
                <w:sz w:val="21"/>
                <w:szCs w:val="21"/>
                <w:u w:val="single"/>
                <w:lang w:val="en-US"/>
              </w:rPr>
              <w:t xml:space="preserve">      </w:t>
            </w:r>
            <w:r>
              <w:rPr>
                <w:rFonts w:ascii="宋体" w:hAnsi="宋体" w:cs="Times New Roman"/>
                <w:color w:val="auto"/>
                <w:kern w:val="2"/>
                <w:sz w:val="21"/>
                <w:szCs w:val="21"/>
                <w:u w:val="single"/>
                <w:lang w:val="en-US"/>
              </w:rPr>
              <w:t xml:space="preserve"> </w:t>
            </w:r>
          </w:p>
          <w:p>
            <w:pPr>
              <w:rPr>
                <w:rFonts w:ascii="宋体" w:hAnsi="宋体"/>
                <w:szCs w:val="21"/>
              </w:rPr>
            </w:pPr>
            <w:r>
              <w:rPr>
                <w:rFonts w:hint="eastAsia" w:ascii="宋体" w:hAnsi="宋体"/>
                <w:szCs w:val="21"/>
              </w:rPr>
              <w:t>召开地点</w:t>
            </w:r>
            <w:r>
              <w:rPr>
                <w:rFonts w:ascii="宋体" w:hAnsi="宋体" w:cs="Times New Roman"/>
                <w:color w:val="auto"/>
                <w:kern w:val="2"/>
                <w:sz w:val="21"/>
                <w:szCs w:val="21"/>
                <w:u w:val="single"/>
                <w:lang w:val="en-US"/>
              </w:rPr>
              <w:t xml:space="preserve"> </w:t>
            </w:r>
            <w:r>
              <w:rPr>
                <w:rFonts w:hint="eastAsia" w:ascii="宋体" w:hAnsi="宋体" w:cs="Times New Roman"/>
                <w:color w:val="auto"/>
                <w:kern w:val="2"/>
                <w:sz w:val="21"/>
                <w:szCs w:val="21"/>
                <w:u w:val="single"/>
                <w:lang w:val="en-US"/>
              </w:rPr>
              <w:t xml:space="preserve">      </w:t>
            </w:r>
            <w:r>
              <w:rPr>
                <w:rFonts w:ascii="宋体" w:hAnsi="宋体" w:cs="Times New Roman"/>
                <w:color w:val="auto"/>
                <w:kern w:val="2"/>
                <w:sz w:val="21"/>
                <w:szCs w:val="21"/>
                <w:u w:val="single"/>
                <w:lang w:val="en-US"/>
              </w:rPr>
              <w:t xml:space="preserve"> </w:t>
            </w:r>
          </w:p>
        </w:tc>
      </w:tr>
      <w:tr>
        <w:tblPrEx>
          <w:tblCellMar>
            <w:top w:w="0" w:type="dxa"/>
            <w:left w:w="108" w:type="dxa"/>
            <w:bottom w:w="0" w:type="dxa"/>
            <w:right w:w="108" w:type="dxa"/>
          </w:tblCellMar>
        </w:tblPrEx>
        <w:trPr>
          <w:trHeight w:val="465" w:hRule="atLeast"/>
        </w:trPr>
        <w:tc>
          <w:tcPr>
            <w:tcW w:w="93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ascii="宋体" w:hAnsi="宋体"/>
                <w:szCs w:val="21"/>
              </w:rPr>
              <w:t>1.10.2</w:t>
            </w:r>
          </w:p>
        </w:tc>
        <w:tc>
          <w:tcPr>
            <w:tcW w:w="2462"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ascii="宋体" w:hAnsi="宋体"/>
              </w:rPr>
              <w:t>投标人在投标预备会前提出问题</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时间：投标预备会召开</w:t>
            </w:r>
            <w:r>
              <w:rPr>
                <w:rFonts w:ascii="宋体" w:hAnsi="宋体"/>
                <w:szCs w:val="21"/>
              </w:rPr>
              <w:t>之日</w:t>
            </w:r>
            <w:r>
              <w:rPr>
                <w:rFonts w:hint="eastAsia" w:ascii="宋体" w:hAnsi="宋体"/>
                <w:szCs w:val="21"/>
                <w:u w:val="single"/>
                <w:lang w:val="en-US" w:eastAsia="zh-CN"/>
              </w:rPr>
              <w:t xml:space="preserve">    </w:t>
            </w:r>
            <w:r>
              <w:rPr>
                <w:rFonts w:ascii="宋体" w:hAnsi="宋体"/>
                <w:szCs w:val="21"/>
              </w:rPr>
              <w:t>天前</w:t>
            </w:r>
          </w:p>
        </w:tc>
      </w:tr>
      <w:tr>
        <w:tblPrEx>
          <w:tblCellMar>
            <w:top w:w="0" w:type="dxa"/>
            <w:left w:w="108" w:type="dxa"/>
            <w:bottom w:w="0" w:type="dxa"/>
            <w:right w:w="108" w:type="dxa"/>
          </w:tblCellMar>
        </w:tblPrEx>
        <w:trPr>
          <w:trHeight w:val="505" w:hRule="atLeast"/>
        </w:trPr>
        <w:tc>
          <w:tcPr>
            <w:tcW w:w="93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2462"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rPr>
            </w:pP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形式：</w:t>
            </w:r>
            <w:r>
              <w:rPr>
                <w:rFonts w:hint="eastAsia" w:ascii="宋体" w:hAnsi="宋体"/>
                <w:szCs w:val="21"/>
                <w:u w:val="single"/>
              </w:rPr>
              <w:t>传真或电子邮件</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1.11</w:t>
            </w:r>
            <w:r>
              <w:rPr>
                <w:rFonts w:hint="eastAsia" w:ascii="宋体" w:hAnsi="宋体"/>
                <w:szCs w:val="21"/>
              </w:rPr>
              <w:t>.1</w:t>
            </w:r>
            <w:r>
              <w:rPr>
                <w:rStyle w:val="56"/>
                <w:rFonts w:ascii="宋体" w:hAnsi="宋体"/>
                <w:sz w:val="32"/>
                <w:szCs w:val="32"/>
              </w:rPr>
              <w:footnoteReference w:id="25"/>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分  包</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 w:val="32"/>
              </w:rPr>
              <w:t>□</w:t>
            </w:r>
            <w:r>
              <w:rPr>
                <w:rFonts w:ascii="宋体" w:hAnsi="宋体"/>
                <w:szCs w:val="21"/>
              </w:rPr>
              <w:t>不允许</w:t>
            </w:r>
          </w:p>
          <w:p>
            <w:pPr>
              <w:pStyle w:val="15"/>
              <w:jc w:val="both"/>
              <w:rPr>
                <w:rFonts w:ascii="宋体" w:hAnsi="宋体"/>
                <w:szCs w:val="21"/>
              </w:rPr>
            </w:pPr>
            <w:r>
              <w:rPr>
                <w:rFonts w:ascii="宋体" w:hAnsi="宋体"/>
                <w:sz w:val="32"/>
              </w:rPr>
              <w:t>□</w:t>
            </w:r>
            <w:r>
              <w:rPr>
                <w:rFonts w:ascii="宋体" w:hAnsi="宋体"/>
                <w:szCs w:val="21"/>
              </w:rPr>
              <w:t>允许</w:t>
            </w:r>
            <w:r>
              <w:rPr>
                <w:rFonts w:hint="eastAsia" w:ascii="宋体" w:hAnsi="宋体"/>
                <w:szCs w:val="21"/>
              </w:rPr>
              <w:t>，允许</w:t>
            </w:r>
            <w:r>
              <w:rPr>
                <w:rFonts w:ascii="宋体" w:hAnsi="宋体"/>
                <w:szCs w:val="21"/>
              </w:rPr>
              <w:t>分包的工程</w:t>
            </w:r>
            <w:r>
              <w:rPr>
                <w:rFonts w:hint="eastAsia" w:ascii="宋体" w:hAnsi="宋体"/>
                <w:szCs w:val="21"/>
              </w:rPr>
              <w:t>（或不</w:t>
            </w:r>
            <w:r>
              <w:rPr>
                <w:rFonts w:ascii="宋体" w:hAnsi="宋体"/>
                <w:szCs w:val="21"/>
              </w:rPr>
              <w:t>允许分包的工程</w:t>
            </w:r>
            <w:r>
              <w:rPr>
                <w:rFonts w:hint="eastAsia" w:ascii="宋体" w:hAnsi="宋体"/>
                <w:szCs w:val="21"/>
              </w:rPr>
              <w:t>）</w:t>
            </w:r>
            <w:r>
              <w:rPr>
                <w:rFonts w:ascii="宋体" w:hAnsi="宋体"/>
                <w:szCs w:val="21"/>
              </w:rPr>
              <w:t>：</w:t>
            </w:r>
            <w:r>
              <w:rPr>
                <w:rFonts w:hint="eastAsia" w:ascii="宋体" w:hAnsi="宋体"/>
                <w:szCs w:val="21"/>
              </w:rPr>
              <w:t>_____</w:t>
            </w:r>
          </w:p>
          <w:p>
            <w:pPr>
              <w:pStyle w:val="15"/>
              <w:ind w:firstLine="105" w:firstLineChars="50"/>
              <w:jc w:val="both"/>
              <w:rPr>
                <w:rFonts w:ascii="宋体" w:hAnsi="宋体"/>
                <w:szCs w:val="21"/>
              </w:rPr>
            </w:pPr>
            <w:r>
              <w:rPr>
                <w:rFonts w:hint="eastAsia" w:ascii="宋体" w:hAnsi="宋体"/>
                <w:szCs w:val="21"/>
              </w:rPr>
              <w:t>对</w:t>
            </w:r>
            <w:r>
              <w:rPr>
                <w:rFonts w:ascii="宋体" w:hAnsi="宋体"/>
                <w:szCs w:val="21"/>
              </w:rPr>
              <w:t>分包人的资格要求：</w:t>
            </w:r>
            <w:r>
              <w:rPr>
                <w:rFonts w:hint="eastAsia" w:ascii="宋体" w:hAnsi="宋体"/>
                <w:szCs w:val="21"/>
              </w:rPr>
              <w:t>____</w:t>
            </w:r>
          </w:p>
        </w:tc>
      </w:tr>
      <w:tr>
        <w:tblPrEx>
          <w:tblCellMar>
            <w:top w:w="0" w:type="dxa"/>
            <w:left w:w="108" w:type="dxa"/>
            <w:bottom w:w="0" w:type="dxa"/>
            <w:right w:w="108" w:type="dxa"/>
          </w:tblCellMar>
        </w:tblPrEx>
        <w:trPr>
          <w:trHeight w:val="513"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构成招标文件的其他资料</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19" w:hRule="atLeast"/>
        </w:trPr>
        <w:tc>
          <w:tcPr>
            <w:tcW w:w="93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ascii="宋体" w:hAnsi="宋体"/>
                <w:szCs w:val="21"/>
              </w:rPr>
              <w:t>2.2.1</w:t>
            </w:r>
          </w:p>
        </w:tc>
        <w:tc>
          <w:tcPr>
            <w:tcW w:w="2462"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投标人要求澄清招标文件</w:t>
            </w:r>
          </w:p>
        </w:tc>
        <w:tc>
          <w:tcPr>
            <w:tcW w:w="5825" w:type="dxa"/>
            <w:tcBorders>
              <w:top w:val="single" w:color="auto" w:sz="4" w:space="0"/>
              <w:left w:val="single" w:color="auto" w:sz="4" w:space="0"/>
              <w:bottom w:val="single" w:color="auto" w:sz="4" w:space="0"/>
              <w:right w:val="single" w:color="auto" w:sz="4" w:space="0"/>
            </w:tcBorders>
            <w:vAlign w:val="center"/>
          </w:tcPr>
          <w:p>
            <w:pPr>
              <w:pStyle w:val="211"/>
              <w:keepNext/>
              <w:keepLines/>
              <w:shd w:val="clear" w:color="auto" w:fill="auto"/>
              <w:spacing w:before="0" w:line="240" w:lineRule="auto"/>
              <w:jc w:val="both"/>
              <w:rPr>
                <w:rFonts w:ascii="宋体" w:hAnsi="宋体" w:eastAsia="宋体"/>
                <w:sz w:val="21"/>
                <w:szCs w:val="21"/>
              </w:rPr>
            </w:pPr>
            <w:r>
              <w:rPr>
                <w:rStyle w:val="214"/>
                <w:rFonts w:hint="eastAsia" w:ascii="宋体" w:hAnsi="宋体" w:eastAsia="宋体"/>
                <w:sz w:val="21"/>
                <w:szCs w:val="21"/>
                <w:lang w:val="zh-CN"/>
              </w:rPr>
              <w:t>时间：</w:t>
            </w:r>
            <w:r>
              <w:rPr>
                <w:rStyle w:val="214"/>
                <w:rFonts w:ascii="宋体" w:hAnsi="宋体" w:eastAsia="宋体"/>
                <w:sz w:val="21"/>
                <w:szCs w:val="21"/>
              </w:rPr>
              <w:t>递交</w:t>
            </w:r>
            <w:r>
              <w:rPr>
                <w:rStyle w:val="214"/>
                <w:rFonts w:hint="eastAsia" w:ascii="宋体" w:hAnsi="宋体" w:eastAsia="宋体"/>
                <w:sz w:val="21"/>
                <w:szCs w:val="21"/>
              </w:rPr>
              <w:t>投标</w:t>
            </w:r>
            <w:r>
              <w:rPr>
                <w:rStyle w:val="214"/>
                <w:rFonts w:ascii="宋体" w:hAnsi="宋体" w:eastAsia="宋体"/>
                <w:sz w:val="21"/>
                <w:szCs w:val="21"/>
              </w:rPr>
              <w:t>文件截止之日</w:t>
            </w:r>
            <w:r>
              <w:rPr>
                <w:rFonts w:hint="eastAsia" w:ascii="宋体" w:hAnsi="宋体" w:eastAsia="宋体" w:cs="Times New Roman"/>
                <w:spacing w:val="0"/>
                <w:kern w:val="2"/>
                <w:sz w:val="21"/>
                <w:szCs w:val="21"/>
              </w:rPr>
              <w:t>____</w:t>
            </w:r>
            <w:r>
              <w:rPr>
                <w:rStyle w:val="214"/>
                <w:rFonts w:hint="eastAsia" w:ascii="宋体" w:hAnsi="宋体" w:eastAsia="宋体"/>
                <w:sz w:val="21"/>
                <w:szCs w:val="21"/>
                <w:lang w:val="zh-CN"/>
              </w:rPr>
              <w:t>天前</w:t>
            </w:r>
          </w:p>
        </w:tc>
      </w:tr>
      <w:tr>
        <w:tblPrEx>
          <w:tblCellMar>
            <w:top w:w="0" w:type="dxa"/>
            <w:left w:w="108" w:type="dxa"/>
            <w:bottom w:w="0" w:type="dxa"/>
            <w:right w:w="108" w:type="dxa"/>
          </w:tblCellMar>
        </w:tblPrEx>
        <w:trPr>
          <w:trHeight w:val="419" w:hRule="atLeast"/>
        </w:trPr>
        <w:tc>
          <w:tcPr>
            <w:tcW w:w="93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2462"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5825" w:type="dxa"/>
            <w:tcBorders>
              <w:top w:val="single" w:color="auto" w:sz="4" w:space="0"/>
              <w:left w:val="single" w:color="auto" w:sz="4" w:space="0"/>
              <w:bottom w:val="single" w:color="auto" w:sz="4" w:space="0"/>
              <w:right w:val="single" w:color="auto" w:sz="4" w:space="0"/>
            </w:tcBorders>
            <w:vAlign w:val="center"/>
          </w:tcPr>
          <w:p>
            <w:pPr>
              <w:pStyle w:val="211"/>
              <w:keepNext/>
              <w:keepLines/>
              <w:shd w:val="clear" w:color="auto" w:fill="auto"/>
              <w:spacing w:before="0" w:line="240" w:lineRule="auto"/>
              <w:jc w:val="both"/>
              <w:rPr>
                <w:rFonts w:ascii="宋体" w:hAnsi="宋体" w:eastAsia="宋体"/>
                <w:sz w:val="21"/>
                <w:szCs w:val="21"/>
              </w:rPr>
            </w:pPr>
            <w:r>
              <w:rPr>
                <w:rStyle w:val="214"/>
                <w:rFonts w:hint="eastAsia" w:ascii="宋体" w:hAnsi="宋体" w:eastAsia="宋体"/>
                <w:sz w:val="21"/>
                <w:szCs w:val="21"/>
                <w:lang w:val="zh-CN"/>
              </w:rPr>
              <w:t>形式：</w:t>
            </w:r>
            <w:r>
              <w:rPr>
                <w:rStyle w:val="214"/>
                <w:rFonts w:hint="eastAsia" w:ascii="宋体" w:hAnsi="宋体" w:eastAsia="宋体"/>
                <w:sz w:val="21"/>
                <w:szCs w:val="21"/>
                <w:u w:val="single"/>
                <w:lang w:val="zh-CN"/>
              </w:rPr>
              <w:t>传真或电子邮件</w:t>
            </w:r>
          </w:p>
        </w:tc>
      </w:tr>
      <w:tr>
        <w:tblPrEx>
          <w:tblCellMar>
            <w:top w:w="0" w:type="dxa"/>
            <w:left w:w="108" w:type="dxa"/>
            <w:bottom w:w="0" w:type="dxa"/>
            <w:right w:w="108" w:type="dxa"/>
          </w:tblCellMar>
        </w:tblPrEx>
        <w:trPr>
          <w:trHeight w:val="55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2.2.2</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招标文件澄清发出的形式</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u w:val="single"/>
              </w:rPr>
            </w:pPr>
            <w:r>
              <w:rPr>
                <w:rFonts w:hint="eastAsia" w:ascii="宋体" w:hAnsi="宋体"/>
                <w:u w:val="single"/>
              </w:rPr>
              <w:t>传真或电子邮件或网站公告（</w:t>
            </w:r>
            <w:r>
              <w:rPr>
                <w:rFonts w:ascii="宋体" w:hAnsi="宋体"/>
                <w:u w:val="single"/>
              </w:rPr>
              <w:t xml:space="preserve">http://  </w:t>
            </w:r>
            <w:r>
              <w:rPr>
                <w:rFonts w:hint="eastAsia" w:ascii="宋体" w:hAnsi="宋体"/>
                <w:u w:val="single"/>
              </w:rPr>
              <w:t>）</w:t>
            </w:r>
          </w:p>
        </w:tc>
      </w:tr>
      <w:tr>
        <w:tblPrEx>
          <w:tblCellMar>
            <w:top w:w="0" w:type="dxa"/>
            <w:left w:w="108" w:type="dxa"/>
            <w:bottom w:w="0" w:type="dxa"/>
            <w:right w:w="108" w:type="dxa"/>
          </w:tblCellMar>
        </w:tblPrEx>
        <w:trPr>
          <w:trHeight w:val="419" w:hRule="atLeast"/>
        </w:trPr>
        <w:tc>
          <w:tcPr>
            <w:tcW w:w="93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ascii="宋体" w:hAnsi="宋体"/>
                <w:szCs w:val="21"/>
              </w:rPr>
              <w:t>2.2.3</w:t>
            </w:r>
          </w:p>
        </w:tc>
        <w:tc>
          <w:tcPr>
            <w:tcW w:w="2462"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投标人确认收到招标文件澄清</w:t>
            </w:r>
          </w:p>
        </w:tc>
        <w:tc>
          <w:tcPr>
            <w:tcW w:w="5825" w:type="dxa"/>
            <w:tcBorders>
              <w:top w:val="single" w:color="auto" w:sz="4" w:space="0"/>
              <w:left w:val="single" w:color="auto" w:sz="4" w:space="0"/>
              <w:bottom w:val="single" w:color="auto" w:sz="4" w:space="0"/>
              <w:right w:val="single" w:color="auto" w:sz="4" w:space="0"/>
            </w:tcBorders>
            <w:vAlign w:val="center"/>
          </w:tcPr>
          <w:p>
            <w:pPr>
              <w:pStyle w:val="211"/>
              <w:keepNext/>
              <w:keepLines/>
              <w:shd w:val="clear" w:color="auto" w:fill="auto"/>
              <w:spacing w:before="0" w:line="240" w:lineRule="auto"/>
              <w:jc w:val="both"/>
              <w:rPr>
                <w:rStyle w:val="214"/>
                <w:rFonts w:ascii="宋体" w:hAnsi="宋体" w:eastAsia="宋体"/>
                <w:sz w:val="21"/>
                <w:szCs w:val="21"/>
                <w:lang w:val="zh-CN"/>
              </w:rPr>
            </w:pPr>
            <w:r>
              <w:rPr>
                <w:rStyle w:val="214"/>
                <w:rFonts w:hint="eastAsia" w:ascii="宋体" w:hAnsi="宋体" w:eastAsia="宋体"/>
                <w:sz w:val="21"/>
                <w:szCs w:val="21"/>
                <w:lang w:val="zh-CN"/>
              </w:rPr>
              <w:t>时间：收到澄清后</w:t>
            </w:r>
            <w:r>
              <w:rPr>
                <w:rFonts w:hint="eastAsia" w:ascii="宋体" w:hAnsi="宋体" w:eastAsia="宋体" w:cs="Times New Roman"/>
                <w:spacing w:val="0"/>
                <w:kern w:val="2"/>
                <w:sz w:val="21"/>
                <w:szCs w:val="21"/>
              </w:rPr>
              <w:t>____</w:t>
            </w:r>
            <w:r>
              <w:rPr>
                <w:rStyle w:val="214"/>
                <w:rFonts w:hint="eastAsia" w:ascii="宋体" w:hAnsi="宋体" w:eastAsia="宋体"/>
                <w:sz w:val="21"/>
                <w:szCs w:val="21"/>
                <w:lang w:val="zh-CN"/>
              </w:rPr>
              <w:t>小时内（以发出时间为准）</w:t>
            </w:r>
          </w:p>
        </w:tc>
      </w:tr>
      <w:tr>
        <w:tblPrEx>
          <w:tblCellMar>
            <w:top w:w="0" w:type="dxa"/>
            <w:left w:w="108" w:type="dxa"/>
            <w:bottom w:w="0" w:type="dxa"/>
            <w:right w:w="108" w:type="dxa"/>
          </w:tblCellMar>
        </w:tblPrEx>
        <w:trPr>
          <w:trHeight w:val="419" w:hRule="atLeast"/>
        </w:trPr>
        <w:tc>
          <w:tcPr>
            <w:tcW w:w="93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2462"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5825" w:type="dxa"/>
            <w:tcBorders>
              <w:top w:val="single" w:color="auto" w:sz="4" w:space="0"/>
              <w:left w:val="single" w:color="auto" w:sz="4" w:space="0"/>
              <w:bottom w:val="single" w:color="auto" w:sz="4" w:space="0"/>
              <w:right w:val="single" w:color="auto" w:sz="4" w:space="0"/>
            </w:tcBorders>
            <w:vAlign w:val="center"/>
          </w:tcPr>
          <w:p>
            <w:pPr>
              <w:pStyle w:val="211"/>
              <w:keepNext/>
              <w:keepLines/>
              <w:shd w:val="clear" w:color="auto" w:fill="auto"/>
              <w:spacing w:before="0" w:line="240" w:lineRule="auto"/>
              <w:jc w:val="both"/>
              <w:rPr>
                <w:rFonts w:ascii="宋体" w:hAnsi="宋体" w:eastAsia="宋体"/>
                <w:sz w:val="21"/>
                <w:szCs w:val="21"/>
              </w:rPr>
            </w:pPr>
            <w:r>
              <w:rPr>
                <w:rStyle w:val="214"/>
                <w:rFonts w:hint="eastAsia" w:ascii="宋体" w:hAnsi="宋体" w:eastAsia="宋体"/>
                <w:sz w:val="21"/>
                <w:szCs w:val="21"/>
                <w:lang w:val="zh-CN"/>
              </w:rPr>
              <w:t>形式：</w:t>
            </w:r>
            <w:r>
              <w:rPr>
                <w:rStyle w:val="214"/>
                <w:rFonts w:hint="eastAsia" w:ascii="宋体" w:hAnsi="宋体" w:eastAsia="宋体"/>
                <w:sz w:val="21"/>
                <w:szCs w:val="21"/>
                <w:u w:val="single"/>
                <w:lang w:val="zh-CN"/>
              </w:rPr>
              <w:t>传真或电子邮件</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2.3.1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招标文件修改发出的形式</w:t>
            </w:r>
          </w:p>
        </w:tc>
        <w:tc>
          <w:tcPr>
            <w:tcW w:w="5825" w:type="dxa"/>
            <w:tcBorders>
              <w:top w:val="single" w:color="auto" w:sz="4" w:space="0"/>
              <w:left w:val="single" w:color="auto" w:sz="4" w:space="0"/>
              <w:bottom w:val="single" w:color="auto" w:sz="4" w:space="0"/>
              <w:right w:val="single" w:color="auto" w:sz="4" w:space="0"/>
            </w:tcBorders>
          </w:tcPr>
          <w:p>
            <w:pPr>
              <w:rPr>
                <w:rFonts w:ascii="宋体" w:hAnsi="宋体"/>
                <w:u w:val="single"/>
              </w:rPr>
            </w:pPr>
            <w:r>
              <w:rPr>
                <w:rFonts w:hint="eastAsia" w:ascii="宋体" w:hAnsi="宋体"/>
                <w:u w:val="single"/>
              </w:rPr>
              <w:t>传真或电子邮件或网站公告（</w:t>
            </w:r>
            <w:r>
              <w:rPr>
                <w:rFonts w:ascii="宋体" w:hAnsi="宋体"/>
                <w:u w:val="single"/>
              </w:rPr>
              <w:t xml:space="preserve">http://  </w:t>
            </w:r>
            <w:r>
              <w:rPr>
                <w:rFonts w:hint="eastAsia" w:ascii="宋体" w:hAnsi="宋体"/>
                <w:u w:val="single"/>
              </w:rPr>
              <w:t>）</w:t>
            </w:r>
          </w:p>
        </w:tc>
      </w:tr>
      <w:tr>
        <w:tblPrEx>
          <w:tblCellMar>
            <w:top w:w="0" w:type="dxa"/>
            <w:left w:w="108" w:type="dxa"/>
            <w:bottom w:w="0" w:type="dxa"/>
            <w:right w:w="108" w:type="dxa"/>
          </w:tblCellMar>
        </w:tblPrEx>
        <w:trPr>
          <w:trHeight w:val="419" w:hRule="atLeast"/>
        </w:trPr>
        <w:tc>
          <w:tcPr>
            <w:tcW w:w="93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ascii="宋体" w:hAnsi="宋体"/>
                <w:szCs w:val="21"/>
              </w:rPr>
              <w:t>2.3.2</w:t>
            </w:r>
          </w:p>
        </w:tc>
        <w:tc>
          <w:tcPr>
            <w:tcW w:w="2462"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投标人确认收到招标文件修改</w:t>
            </w:r>
          </w:p>
        </w:tc>
        <w:tc>
          <w:tcPr>
            <w:tcW w:w="5825" w:type="dxa"/>
            <w:tcBorders>
              <w:top w:val="single" w:color="auto" w:sz="4" w:space="0"/>
              <w:left w:val="single" w:color="auto" w:sz="4" w:space="0"/>
              <w:bottom w:val="single" w:color="auto" w:sz="4" w:space="0"/>
              <w:right w:val="single" w:color="auto" w:sz="4" w:space="0"/>
            </w:tcBorders>
            <w:vAlign w:val="center"/>
          </w:tcPr>
          <w:p>
            <w:pPr>
              <w:pStyle w:val="211"/>
              <w:keepNext/>
              <w:keepLines/>
              <w:shd w:val="clear" w:color="auto" w:fill="auto"/>
              <w:spacing w:before="0" w:line="240" w:lineRule="auto"/>
              <w:jc w:val="both"/>
              <w:rPr>
                <w:rFonts w:ascii="宋体" w:hAnsi="宋体" w:eastAsia="宋体"/>
                <w:sz w:val="21"/>
                <w:szCs w:val="21"/>
              </w:rPr>
            </w:pPr>
            <w:r>
              <w:rPr>
                <w:rStyle w:val="214"/>
                <w:rFonts w:hint="eastAsia" w:ascii="宋体" w:hAnsi="宋体" w:eastAsia="宋体"/>
                <w:sz w:val="21"/>
                <w:szCs w:val="21"/>
                <w:lang w:val="zh-CN"/>
              </w:rPr>
              <w:t>时间：收到修改后</w:t>
            </w:r>
            <w:r>
              <w:rPr>
                <w:rFonts w:hint="eastAsia" w:ascii="宋体" w:hAnsi="宋体" w:eastAsia="宋体" w:cs="Times New Roman"/>
                <w:spacing w:val="0"/>
                <w:kern w:val="2"/>
                <w:sz w:val="21"/>
                <w:szCs w:val="21"/>
              </w:rPr>
              <w:t>____</w:t>
            </w:r>
            <w:r>
              <w:rPr>
                <w:rStyle w:val="214"/>
                <w:rFonts w:hint="eastAsia" w:ascii="宋体" w:hAnsi="宋体" w:eastAsia="宋体"/>
                <w:sz w:val="21"/>
                <w:szCs w:val="21"/>
                <w:lang w:val="zh-CN"/>
              </w:rPr>
              <w:t>小时内（以发出时间为准）</w:t>
            </w:r>
          </w:p>
        </w:tc>
      </w:tr>
      <w:tr>
        <w:tblPrEx>
          <w:tblCellMar>
            <w:top w:w="0" w:type="dxa"/>
            <w:left w:w="108" w:type="dxa"/>
            <w:bottom w:w="0" w:type="dxa"/>
            <w:right w:w="108" w:type="dxa"/>
          </w:tblCellMar>
        </w:tblPrEx>
        <w:trPr>
          <w:trHeight w:val="419" w:hRule="atLeast"/>
        </w:trPr>
        <w:tc>
          <w:tcPr>
            <w:tcW w:w="93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2462"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5825" w:type="dxa"/>
            <w:tcBorders>
              <w:top w:val="single" w:color="auto" w:sz="4" w:space="0"/>
              <w:left w:val="single" w:color="auto" w:sz="4" w:space="0"/>
              <w:bottom w:val="single" w:color="auto" w:sz="4" w:space="0"/>
              <w:right w:val="single" w:color="auto" w:sz="4" w:space="0"/>
            </w:tcBorders>
            <w:vAlign w:val="center"/>
          </w:tcPr>
          <w:p>
            <w:pPr>
              <w:pStyle w:val="211"/>
              <w:keepNext/>
              <w:keepLines/>
              <w:shd w:val="clear" w:color="auto" w:fill="auto"/>
              <w:spacing w:before="0" w:line="240" w:lineRule="auto"/>
              <w:jc w:val="both"/>
              <w:rPr>
                <w:rFonts w:ascii="宋体" w:hAnsi="宋体" w:eastAsia="宋体"/>
                <w:sz w:val="21"/>
                <w:szCs w:val="21"/>
              </w:rPr>
            </w:pPr>
            <w:r>
              <w:rPr>
                <w:rStyle w:val="214"/>
                <w:rFonts w:hint="eastAsia" w:ascii="宋体" w:hAnsi="宋体" w:eastAsia="宋体"/>
                <w:sz w:val="21"/>
                <w:szCs w:val="21"/>
                <w:lang w:val="zh-CN"/>
              </w:rPr>
              <w:t>形式：</w:t>
            </w:r>
            <w:r>
              <w:rPr>
                <w:rStyle w:val="214"/>
                <w:rFonts w:hint="eastAsia" w:ascii="宋体" w:hAnsi="宋体" w:eastAsia="宋体"/>
                <w:sz w:val="21"/>
                <w:szCs w:val="21"/>
                <w:u w:val="single"/>
              </w:rPr>
              <w:t>传真或电子邮件</w:t>
            </w:r>
          </w:p>
        </w:tc>
      </w:tr>
      <w:tr>
        <w:tblPrEx>
          <w:tblCellMar>
            <w:top w:w="0" w:type="dxa"/>
            <w:left w:w="108" w:type="dxa"/>
            <w:bottom w:w="0" w:type="dxa"/>
            <w:right w:w="108" w:type="dxa"/>
          </w:tblCellMar>
        </w:tblPrEx>
        <w:trPr>
          <w:trHeight w:val="529"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3.1.1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构成投标文件的其他</w:t>
            </w:r>
            <w:r>
              <w:rPr>
                <w:rFonts w:hint="eastAsia" w:ascii="宋体" w:hAnsi="宋体"/>
                <w:szCs w:val="21"/>
              </w:rPr>
              <w:t>资料</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564"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3.2.1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增值税税金的计算方法</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br w:type="page"/>
            </w:r>
            <w:r>
              <w:rPr>
                <w:rFonts w:hint="eastAsia" w:ascii="宋体" w:hAnsi="宋体"/>
                <w:szCs w:val="21"/>
              </w:rPr>
              <w:t>3.2.3</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报价方式</w:t>
            </w:r>
          </w:p>
        </w:tc>
        <w:tc>
          <w:tcPr>
            <w:tcW w:w="5825" w:type="dxa"/>
            <w:tcBorders>
              <w:top w:val="single" w:color="auto" w:sz="4" w:space="0"/>
              <w:left w:val="single" w:color="auto" w:sz="4" w:space="0"/>
              <w:bottom w:val="single" w:color="auto" w:sz="4" w:space="0"/>
              <w:right w:val="single" w:color="auto" w:sz="4" w:space="0"/>
            </w:tcBorders>
            <w:vAlign w:val="center"/>
          </w:tcPr>
          <w:p>
            <w:pPr>
              <w:pStyle w:val="211"/>
              <w:shd w:val="clear" w:color="auto" w:fill="auto"/>
              <w:spacing w:before="0" w:line="240" w:lineRule="auto"/>
              <w:jc w:val="both"/>
              <w:rPr>
                <w:rFonts w:ascii="宋体" w:hAnsi="宋体" w:eastAsia="宋体"/>
                <w:sz w:val="21"/>
                <w:szCs w:val="21"/>
              </w:rPr>
            </w:pPr>
            <w:r>
              <w:rPr>
                <w:rStyle w:val="214"/>
                <w:rFonts w:hint="eastAsia" w:ascii="宋体" w:hAnsi="宋体" w:eastAsia="宋体"/>
                <w:sz w:val="21"/>
                <w:szCs w:val="21"/>
              </w:rPr>
              <w:t>□单价</w:t>
            </w:r>
          </w:p>
          <w:p>
            <w:pPr>
              <w:pStyle w:val="17"/>
              <w:topLinePunct/>
              <w:rPr>
                <w:rFonts w:hAnsi="宋体"/>
                <w:sz w:val="21"/>
                <w:szCs w:val="22"/>
              </w:rPr>
            </w:pPr>
            <w:r>
              <w:rPr>
                <w:rStyle w:val="214"/>
                <w:rFonts w:hint="eastAsia" w:ascii="宋体" w:hAnsi="宋体" w:eastAsia="宋体"/>
                <w:sz w:val="21"/>
                <w:szCs w:val="21"/>
              </w:rPr>
              <w:t>□总价</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3.2.</w:t>
            </w:r>
            <w:r>
              <w:rPr>
                <w:rFonts w:hint="eastAsia" w:ascii="宋体" w:hAnsi="宋体"/>
                <w:szCs w:val="21"/>
              </w:rPr>
              <w:t>4</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最高投标限价</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2"/>
              </w:rPr>
            </w:pPr>
            <w:r>
              <w:rPr>
                <w:rStyle w:val="214"/>
                <w:rFonts w:hint="eastAsia" w:ascii="宋体" w:hAnsi="宋体" w:eastAsia="宋体"/>
                <w:sz w:val="21"/>
                <w:szCs w:val="21"/>
              </w:rPr>
              <w:t>□</w:t>
            </w:r>
            <w:r>
              <w:rPr>
                <w:rFonts w:hAnsi="宋体"/>
                <w:sz w:val="21"/>
                <w:szCs w:val="22"/>
              </w:rPr>
              <w:t>无</w:t>
            </w:r>
          </w:p>
          <w:p>
            <w:pPr>
              <w:pStyle w:val="17"/>
              <w:topLinePunct/>
              <w:rPr>
                <w:rFonts w:hAnsi="宋体"/>
                <w:sz w:val="21"/>
                <w:szCs w:val="22"/>
              </w:rPr>
            </w:pPr>
            <w:r>
              <w:rPr>
                <w:rStyle w:val="214"/>
                <w:rFonts w:hint="eastAsia" w:ascii="宋体" w:hAnsi="宋体" w:eastAsia="宋体"/>
                <w:sz w:val="21"/>
                <w:szCs w:val="21"/>
              </w:rPr>
              <w:t>□</w:t>
            </w:r>
            <w:r>
              <w:rPr>
                <w:rFonts w:hAnsi="宋体"/>
                <w:sz w:val="21"/>
                <w:szCs w:val="22"/>
              </w:rPr>
              <w:t>有，</w:t>
            </w:r>
            <w:r>
              <w:rPr>
                <w:rFonts w:hint="eastAsia" w:hAnsi="宋体"/>
                <w:sz w:val="21"/>
                <w:szCs w:val="22"/>
                <w:u w:val="single"/>
              </w:rPr>
              <w:t>最高投标限价    元</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3.2.</w:t>
            </w:r>
            <w:r>
              <w:rPr>
                <w:rFonts w:hint="eastAsia" w:ascii="宋体" w:hAnsi="宋体"/>
                <w:szCs w:val="21"/>
              </w:rPr>
              <w:t>5</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投标报价的其他要求</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2"/>
              </w:rPr>
            </w:pP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3.3.1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投标有效期</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2"/>
              </w:rPr>
            </w:pPr>
            <w:r>
              <w:rPr>
                <w:rFonts w:hint="eastAsia" w:hAnsi="宋体"/>
                <w:sz w:val="21"/>
                <w:szCs w:val="22"/>
              </w:rPr>
              <w:t>自投标人提交投标文件截止之日起计算</w:t>
            </w:r>
            <w:r>
              <w:rPr>
                <w:rFonts w:hint="eastAsia" w:hAnsi="宋体"/>
                <w:sz w:val="21"/>
                <w:szCs w:val="21"/>
              </w:rPr>
              <w:t>____</w:t>
            </w:r>
            <w:r>
              <w:rPr>
                <w:rFonts w:hint="eastAsia" w:hAnsi="宋体"/>
                <w:sz w:val="21"/>
                <w:szCs w:val="22"/>
              </w:rPr>
              <w:t>日</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3.4.1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投标保证金</w:t>
            </w:r>
          </w:p>
        </w:tc>
        <w:tc>
          <w:tcPr>
            <w:tcW w:w="5825" w:type="dxa"/>
            <w:tcBorders>
              <w:top w:val="single" w:color="auto" w:sz="4" w:space="0"/>
              <w:left w:val="single" w:color="auto" w:sz="4" w:space="0"/>
              <w:bottom w:val="single" w:color="auto" w:sz="4" w:space="0"/>
              <w:right w:val="single" w:color="auto" w:sz="4" w:space="0"/>
            </w:tcBorders>
            <w:vAlign w:val="center"/>
          </w:tcPr>
          <w:p>
            <w:pPr>
              <w:pStyle w:val="211"/>
              <w:shd w:val="clear" w:color="auto" w:fill="auto"/>
              <w:tabs>
                <w:tab w:val="left" w:pos="403"/>
              </w:tabs>
              <w:spacing w:before="0" w:line="240" w:lineRule="auto"/>
              <w:ind w:right="124" w:rightChars="59"/>
              <w:jc w:val="left"/>
              <w:rPr>
                <w:rStyle w:val="214"/>
                <w:rFonts w:ascii="宋体" w:hAnsi="宋体" w:eastAsia="宋体"/>
                <w:sz w:val="21"/>
                <w:szCs w:val="21"/>
              </w:rPr>
            </w:pPr>
            <w:r>
              <w:rPr>
                <w:rStyle w:val="214"/>
                <w:rFonts w:hint="eastAsia" w:ascii="宋体" w:hAnsi="宋体" w:eastAsia="宋体"/>
                <w:sz w:val="21"/>
                <w:szCs w:val="21"/>
              </w:rPr>
              <w:t>是否要求投标人递交投标保证金：</w:t>
            </w:r>
          </w:p>
          <w:p>
            <w:pPr>
              <w:pStyle w:val="211"/>
              <w:shd w:val="clear" w:color="auto" w:fill="auto"/>
              <w:tabs>
                <w:tab w:val="left" w:pos="403"/>
              </w:tabs>
              <w:spacing w:before="0" w:line="240" w:lineRule="auto"/>
              <w:ind w:right="124" w:rightChars="59"/>
              <w:jc w:val="left"/>
              <w:rPr>
                <w:rStyle w:val="214"/>
                <w:rFonts w:ascii="宋体" w:hAnsi="宋体" w:eastAsia="宋体"/>
                <w:sz w:val="21"/>
                <w:szCs w:val="21"/>
              </w:rPr>
            </w:pPr>
            <w:r>
              <w:rPr>
                <w:rStyle w:val="214"/>
                <w:rFonts w:hint="eastAsia" w:ascii="宋体" w:hAnsi="宋体" w:eastAsia="宋体"/>
                <w:sz w:val="21"/>
                <w:szCs w:val="21"/>
              </w:rPr>
              <w:t>□要求，投标保证金的金额：____________</w:t>
            </w:r>
            <w:r>
              <w:rPr>
                <w:rStyle w:val="56"/>
                <w:rFonts w:ascii="宋体" w:hAnsi="宋体" w:eastAsia="宋体" w:cs="Times New Roman"/>
                <w:spacing w:val="0"/>
                <w:kern w:val="2"/>
                <w:sz w:val="32"/>
                <w:szCs w:val="32"/>
              </w:rPr>
              <w:footnoteReference w:id="26"/>
            </w:r>
          </w:p>
          <w:p>
            <w:pPr>
              <w:pStyle w:val="211"/>
              <w:shd w:val="clear" w:color="auto" w:fill="auto"/>
              <w:tabs>
                <w:tab w:val="left" w:pos="403"/>
              </w:tabs>
              <w:spacing w:before="0" w:line="240" w:lineRule="auto"/>
              <w:ind w:right="124" w:rightChars="59"/>
              <w:jc w:val="left"/>
              <w:rPr>
                <w:rStyle w:val="214"/>
                <w:rFonts w:ascii="宋体" w:hAnsi="宋体" w:eastAsia="宋体"/>
                <w:sz w:val="21"/>
                <w:szCs w:val="21"/>
              </w:rPr>
            </w:pPr>
            <w:r>
              <w:rPr>
                <w:rStyle w:val="214"/>
                <w:rFonts w:hint="eastAsia" w:ascii="宋体" w:hAnsi="宋体" w:eastAsia="宋体"/>
                <w:sz w:val="21"/>
                <w:szCs w:val="21"/>
              </w:rPr>
              <w:t>投标保证金可采用的其他形式：____________</w:t>
            </w:r>
            <w:r>
              <w:rPr>
                <w:rStyle w:val="56"/>
                <w:rFonts w:ascii="宋体" w:hAnsi="宋体" w:eastAsia="宋体" w:cs="Times New Roman"/>
                <w:spacing w:val="0"/>
                <w:kern w:val="2"/>
                <w:sz w:val="32"/>
                <w:szCs w:val="32"/>
              </w:rPr>
              <w:footnoteReference w:id="27"/>
            </w:r>
          </w:p>
          <w:p>
            <w:pPr>
              <w:pStyle w:val="211"/>
              <w:shd w:val="clear" w:color="auto" w:fill="auto"/>
              <w:tabs>
                <w:tab w:val="left" w:pos="403"/>
              </w:tabs>
              <w:spacing w:before="0" w:line="240" w:lineRule="auto"/>
              <w:ind w:right="124" w:rightChars="59"/>
              <w:jc w:val="left"/>
              <w:rPr>
                <w:rStyle w:val="214"/>
                <w:rFonts w:ascii="宋体" w:hAnsi="宋体" w:eastAsia="宋体"/>
                <w:sz w:val="21"/>
                <w:szCs w:val="21"/>
              </w:rPr>
            </w:pPr>
            <w:r>
              <w:rPr>
                <w:rStyle w:val="214"/>
                <w:rFonts w:hint="eastAsia" w:ascii="宋体" w:hAnsi="宋体" w:eastAsia="宋体"/>
                <w:sz w:val="21"/>
                <w:szCs w:val="21"/>
              </w:rPr>
              <w:t>招标人指定的开户银行及账号如下：</w:t>
            </w:r>
          </w:p>
          <w:p>
            <w:pPr>
              <w:pStyle w:val="211"/>
              <w:shd w:val="clear" w:color="auto" w:fill="auto"/>
              <w:tabs>
                <w:tab w:val="left" w:pos="403"/>
              </w:tabs>
              <w:spacing w:before="0" w:line="240" w:lineRule="auto"/>
              <w:ind w:right="124" w:rightChars="59"/>
              <w:jc w:val="left"/>
              <w:rPr>
                <w:rStyle w:val="214"/>
                <w:rFonts w:ascii="宋体" w:hAnsi="宋体" w:eastAsia="宋体"/>
                <w:sz w:val="21"/>
                <w:szCs w:val="21"/>
                <w:u w:val="single"/>
              </w:rPr>
            </w:pPr>
            <w:r>
              <w:rPr>
                <w:rStyle w:val="214"/>
                <w:rFonts w:hint="eastAsia" w:ascii="宋体" w:hAnsi="宋体" w:eastAsia="宋体"/>
                <w:sz w:val="21"/>
                <w:szCs w:val="21"/>
              </w:rPr>
              <w:t>账户名称：______；</w:t>
            </w:r>
          </w:p>
          <w:p>
            <w:pPr>
              <w:pStyle w:val="211"/>
              <w:shd w:val="clear" w:color="auto" w:fill="auto"/>
              <w:tabs>
                <w:tab w:val="left" w:pos="403"/>
              </w:tabs>
              <w:spacing w:before="0" w:line="240" w:lineRule="auto"/>
              <w:ind w:right="124" w:rightChars="59"/>
              <w:jc w:val="left"/>
              <w:rPr>
                <w:rStyle w:val="214"/>
                <w:rFonts w:ascii="宋体" w:hAnsi="宋体" w:eastAsia="宋体"/>
                <w:sz w:val="21"/>
                <w:szCs w:val="21"/>
              </w:rPr>
            </w:pPr>
            <w:r>
              <w:rPr>
                <w:rStyle w:val="214"/>
                <w:rFonts w:hint="eastAsia" w:ascii="宋体" w:hAnsi="宋体" w:eastAsia="宋体"/>
                <w:sz w:val="21"/>
                <w:szCs w:val="21"/>
              </w:rPr>
              <w:t>开户银行：______；</w:t>
            </w:r>
          </w:p>
          <w:p>
            <w:pPr>
              <w:pStyle w:val="211"/>
              <w:shd w:val="clear" w:color="auto" w:fill="auto"/>
              <w:tabs>
                <w:tab w:val="left" w:pos="403"/>
              </w:tabs>
              <w:spacing w:before="0" w:line="240" w:lineRule="auto"/>
              <w:ind w:right="124" w:rightChars="59"/>
              <w:jc w:val="left"/>
              <w:rPr>
                <w:rStyle w:val="214"/>
                <w:rFonts w:ascii="宋体" w:hAnsi="宋体" w:eastAsia="宋体"/>
                <w:sz w:val="21"/>
                <w:szCs w:val="21"/>
              </w:rPr>
            </w:pPr>
            <w:r>
              <w:rPr>
                <w:rStyle w:val="214"/>
                <w:rFonts w:hint="eastAsia" w:ascii="宋体" w:hAnsi="宋体" w:eastAsia="宋体"/>
                <w:sz w:val="21"/>
                <w:szCs w:val="21"/>
              </w:rPr>
              <w:t>账号：______。</w:t>
            </w:r>
          </w:p>
          <w:p>
            <w:pPr>
              <w:pStyle w:val="211"/>
              <w:shd w:val="clear" w:color="auto" w:fill="auto"/>
              <w:tabs>
                <w:tab w:val="left" w:pos="403"/>
              </w:tabs>
              <w:spacing w:before="0" w:line="240" w:lineRule="auto"/>
              <w:ind w:right="124" w:rightChars="59"/>
              <w:jc w:val="both"/>
              <w:rPr>
                <w:rStyle w:val="214"/>
                <w:rFonts w:ascii="宋体" w:hAnsi="宋体" w:eastAsia="宋体"/>
                <w:sz w:val="21"/>
                <w:szCs w:val="21"/>
              </w:rPr>
            </w:pPr>
            <w:r>
              <w:rPr>
                <w:rStyle w:val="214"/>
                <w:rFonts w:hint="eastAsia" w:ascii="宋体" w:hAnsi="宋体" w:eastAsia="宋体"/>
                <w:sz w:val="21"/>
                <w:szCs w:val="21"/>
              </w:rPr>
              <w:t>财务负责人联系方式：。</w:t>
            </w:r>
          </w:p>
          <w:p>
            <w:pPr>
              <w:pStyle w:val="211"/>
              <w:shd w:val="clear" w:color="auto" w:fill="auto"/>
              <w:tabs>
                <w:tab w:val="left" w:pos="403"/>
              </w:tabs>
              <w:spacing w:before="0" w:line="240" w:lineRule="auto"/>
              <w:ind w:right="124" w:rightChars="59"/>
              <w:jc w:val="both"/>
              <w:rPr>
                <w:rStyle w:val="214"/>
                <w:rFonts w:ascii="宋体" w:hAnsi="宋体" w:eastAsia="宋体"/>
                <w:sz w:val="21"/>
                <w:szCs w:val="21"/>
              </w:rPr>
            </w:pPr>
            <w:r>
              <w:rPr>
                <w:rStyle w:val="214"/>
                <w:rFonts w:hint="eastAsia" w:ascii="宋体" w:hAnsi="宋体" w:eastAsia="宋体"/>
                <w:sz w:val="21"/>
                <w:szCs w:val="21"/>
              </w:rPr>
              <w:t>采用现金或支票方式：投标保证金到达招标人指定账户时间为：</w:t>
            </w:r>
            <w:r>
              <w:rPr>
                <w:rFonts w:hint="eastAsia" w:ascii="宋体" w:hAnsi="宋体" w:eastAsia="宋体" w:cs="宋体"/>
                <w:spacing w:val="-8"/>
                <w:sz w:val="21"/>
                <w:szCs w:val="21"/>
                <w:u w:val="single"/>
              </w:rPr>
              <w:t>投标文件递交截止时间</w:t>
            </w:r>
            <w:r>
              <w:rPr>
                <w:rFonts w:hint="eastAsia" w:ascii="宋体" w:hAnsi="宋体" w:eastAsia="宋体" w:cs="宋体"/>
                <w:spacing w:val="-8"/>
                <w:sz w:val="21"/>
                <w:szCs w:val="21"/>
              </w:rPr>
              <w:t>前</w:t>
            </w:r>
            <w:r>
              <w:rPr>
                <w:rStyle w:val="214"/>
                <w:rFonts w:hint="eastAsia" w:ascii="宋体" w:hAnsi="宋体" w:eastAsia="宋体"/>
                <w:sz w:val="21"/>
                <w:szCs w:val="21"/>
              </w:rPr>
              <w:t>；</w:t>
            </w:r>
          </w:p>
          <w:p>
            <w:pPr>
              <w:pStyle w:val="211"/>
              <w:shd w:val="clear" w:color="auto" w:fill="auto"/>
              <w:tabs>
                <w:tab w:val="left" w:pos="403"/>
              </w:tabs>
              <w:spacing w:before="0" w:line="240" w:lineRule="auto"/>
              <w:ind w:right="124" w:rightChars="59"/>
              <w:jc w:val="both"/>
              <w:rPr>
                <w:rStyle w:val="214"/>
                <w:rFonts w:ascii="宋体" w:hAnsi="宋体" w:eastAsia="宋体"/>
                <w:sz w:val="21"/>
                <w:szCs w:val="21"/>
              </w:rPr>
            </w:pPr>
            <w:r>
              <w:rPr>
                <w:rStyle w:val="214"/>
                <w:rFonts w:hint="eastAsia" w:ascii="宋体" w:hAnsi="宋体" w:eastAsia="宋体"/>
                <w:sz w:val="21"/>
                <w:szCs w:val="21"/>
              </w:rPr>
              <w:t>采用银行保函时，</w:t>
            </w:r>
            <w:r>
              <w:rPr>
                <w:rFonts w:hint="eastAsia" w:ascii="宋体" w:hAnsi="宋体" w:eastAsia="宋体" w:cs="宋体"/>
                <w:sz w:val="21"/>
                <w:szCs w:val="21"/>
              </w:rPr>
              <w:t>出具保函的银行级别：</w:t>
            </w:r>
            <w:r>
              <w:rPr>
                <w:rFonts w:hint="eastAsia" w:ascii="宋体" w:hAnsi="宋体" w:eastAsia="宋体" w:cs="宋体"/>
                <w:sz w:val="21"/>
                <w:szCs w:val="21"/>
                <w:u w:val="single"/>
              </w:rPr>
              <w:t>投标人基本账户开户行</w:t>
            </w:r>
            <w:r>
              <w:rPr>
                <w:rStyle w:val="214"/>
                <w:rFonts w:hint="eastAsia" w:ascii="宋体" w:hAnsi="宋体" w:eastAsia="宋体"/>
                <w:sz w:val="21"/>
                <w:szCs w:val="21"/>
              </w:rPr>
              <w:t>，若基本账户银行不能开具，可由上级银行出具并附相关证明材料，否则视为无效。</w:t>
            </w:r>
            <w:r>
              <w:rPr>
                <w:rStyle w:val="214"/>
                <w:rFonts w:ascii="宋体" w:hAnsi="宋体" w:eastAsia="宋体"/>
                <w:sz w:val="21"/>
                <w:szCs w:val="21"/>
              </w:rPr>
              <w:t>且银行保函原件在</w:t>
            </w:r>
            <w:r>
              <w:rPr>
                <w:rStyle w:val="214"/>
                <w:rFonts w:hint="eastAsia" w:ascii="宋体" w:hAnsi="宋体" w:eastAsia="宋体"/>
                <w:sz w:val="21"/>
                <w:szCs w:val="21"/>
              </w:rPr>
              <w:t>递交</w:t>
            </w:r>
            <w:r>
              <w:rPr>
                <w:rStyle w:val="214"/>
                <w:rFonts w:ascii="宋体" w:hAnsi="宋体" w:eastAsia="宋体"/>
                <w:sz w:val="21"/>
                <w:szCs w:val="21"/>
              </w:rPr>
              <w:t>投标文件</w:t>
            </w:r>
            <w:r>
              <w:rPr>
                <w:rStyle w:val="214"/>
                <w:rFonts w:hint="eastAsia" w:ascii="宋体" w:hAnsi="宋体" w:eastAsia="宋体"/>
                <w:sz w:val="21"/>
                <w:szCs w:val="21"/>
              </w:rPr>
              <w:t>时单独密封递交，其复印件装订在投标文件中</w:t>
            </w:r>
            <w:r>
              <w:rPr>
                <w:rStyle w:val="214"/>
                <w:rFonts w:ascii="宋体" w:hAnsi="宋体" w:eastAsia="宋体"/>
                <w:sz w:val="21"/>
                <w:szCs w:val="21"/>
              </w:rPr>
              <w:t>。</w:t>
            </w:r>
          </w:p>
          <w:p>
            <w:pPr>
              <w:pStyle w:val="211"/>
              <w:shd w:val="clear" w:color="auto" w:fill="auto"/>
              <w:tabs>
                <w:tab w:val="left" w:pos="403"/>
              </w:tabs>
              <w:spacing w:before="0" w:line="240" w:lineRule="auto"/>
              <w:ind w:right="124" w:rightChars="59"/>
              <w:jc w:val="left"/>
              <w:rPr>
                <w:rStyle w:val="214"/>
                <w:rFonts w:ascii="宋体" w:hAnsi="宋体" w:eastAsia="宋体"/>
                <w:sz w:val="21"/>
                <w:szCs w:val="21"/>
              </w:rPr>
            </w:pPr>
            <w:r>
              <w:rPr>
                <w:rStyle w:val="214"/>
                <w:rFonts w:hint="eastAsia" w:ascii="宋体" w:hAnsi="宋体" w:eastAsia="宋体"/>
                <w:sz w:val="21"/>
                <w:szCs w:val="21"/>
              </w:rPr>
              <w:t>采用其他形式时：</w:t>
            </w:r>
            <w:r>
              <w:rPr>
                <w:rStyle w:val="55"/>
                <w:rFonts w:hint="eastAsia" w:ascii="宋体" w:hAnsi="宋体" w:eastAsia="宋体"/>
                <w:spacing w:val="0"/>
                <w:kern w:val="2"/>
              </w:rPr>
              <w:t>。</w:t>
            </w:r>
          </w:p>
          <w:p>
            <w:pPr>
              <w:jc w:val="left"/>
              <w:rPr>
                <w:rFonts w:ascii="宋体" w:hAnsi="宋体"/>
                <w:szCs w:val="21"/>
              </w:rPr>
            </w:pPr>
            <w:r>
              <w:rPr>
                <w:rStyle w:val="214"/>
                <w:rFonts w:hint="eastAsia" w:ascii="宋体" w:hAnsi="宋体" w:eastAsia="宋体"/>
                <w:sz w:val="21"/>
                <w:szCs w:val="21"/>
              </w:rPr>
              <w:t>□不要求</w:t>
            </w:r>
          </w:p>
        </w:tc>
      </w:tr>
      <w:tr>
        <w:tblPrEx>
          <w:tblCellMar>
            <w:top w:w="0" w:type="dxa"/>
            <w:left w:w="108" w:type="dxa"/>
            <w:bottom w:w="0" w:type="dxa"/>
            <w:right w:w="108" w:type="dxa"/>
          </w:tblCellMar>
        </w:tblPrEx>
        <w:trPr>
          <w:trHeight w:val="2310"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3.4.3</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投标保证金的利息计算原则</w:t>
            </w:r>
            <w:r>
              <w:rPr>
                <w:rStyle w:val="56"/>
                <w:rFonts w:hint="eastAsia" w:ascii="宋体" w:hAnsi="宋体" w:cs="宋体"/>
                <w:szCs w:val="21"/>
              </w:rPr>
              <w:footnoteReference w:id="28"/>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1"/>
              </w:rPr>
            </w:pPr>
            <w:r>
              <w:rPr>
                <w:rFonts w:hint="eastAsia" w:hAnsi="宋体"/>
                <w:sz w:val="21"/>
                <w:szCs w:val="21"/>
              </w:rPr>
              <w:t>（1）计算利息的起始日期为投标截止当日，终止日期为招标人退还投标保证金日期的前一日；</w:t>
            </w:r>
          </w:p>
          <w:p>
            <w:pPr>
              <w:pStyle w:val="17"/>
              <w:topLinePunct/>
              <w:rPr>
                <w:rFonts w:hAnsi="宋体"/>
                <w:sz w:val="21"/>
                <w:szCs w:val="21"/>
              </w:rPr>
            </w:pPr>
            <w:r>
              <w:rPr>
                <w:rFonts w:hint="eastAsia" w:hAnsi="宋体"/>
                <w:sz w:val="21"/>
                <w:szCs w:val="21"/>
              </w:rPr>
              <w:t>（2）投标保证金的利息按照第（1）款所述计息时间段内招标人指定汇入银行公告的活期存款利率计付，并扣除招标人汇款手续费；</w:t>
            </w:r>
          </w:p>
          <w:p>
            <w:pPr>
              <w:pStyle w:val="17"/>
              <w:topLinePunct/>
              <w:rPr>
                <w:rFonts w:hAnsi="宋体"/>
                <w:sz w:val="21"/>
                <w:szCs w:val="21"/>
              </w:rPr>
            </w:pPr>
            <w:r>
              <w:rPr>
                <w:rFonts w:hint="eastAsia" w:hAnsi="宋体"/>
                <w:sz w:val="21"/>
                <w:szCs w:val="21"/>
              </w:rPr>
              <w:t>（3）利息金额计算至分位，分以下尾数四舍五入。</w:t>
            </w:r>
          </w:p>
          <w:p>
            <w:pPr>
              <w:pStyle w:val="17"/>
              <w:topLinePunct/>
              <w:rPr>
                <w:rFonts w:hAnsi="宋体"/>
                <w:sz w:val="21"/>
                <w:szCs w:val="21"/>
              </w:rPr>
            </w:pPr>
            <w:r>
              <w:rPr>
                <w:rFonts w:hint="eastAsia" w:hAnsi="宋体" w:cs="宋体"/>
                <w:sz w:val="21"/>
                <w:szCs w:val="21"/>
              </w:rPr>
              <w:t>（</w:t>
            </w:r>
            <w:r>
              <w:rPr>
                <w:rFonts w:hAnsi="宋体" w:cs="宋体"/>
                <w:sz w:val="21"/>
                <w:szCs w:val="21"/>
              </w:rPr>
              <w:t>4）利息退</w:t>
            </w:r>
            <w:r>
              <w:rPr>
                <w:rFonts w:hint="eastAsia" w:hAnsi="宋体" w:cs="宋体"/>
                <w:sz w:val="21"/>
                <w:szCs w:val="21"/>
              </w:rPr>
              <w:t>还方式按</w:t>
            </w:r>
            <w:r>
              <w:rPr>
                <w:rFonts w:hint="eastAsia" w:hAnsi="宋体" w:cs="宋体"/>
                <w:sz w:val="21"/>
                <w:szCs w:val="21"/>
                <w:u w:val="single"/>
                <w:lang w:val="en-US" w:eastAsia="zh-CN"/>
              </w:rPr>
              <w:t xml:space="preserve">     </w:t>
            </w:r>
            <w:r>
              <w:rPr>
                <w:rFonts w:hAnsi="宋体" w:cs="宋体"/>
                <w:sz w:val="21"/>
                <w:szCs w:val="21"/>
              </w:rPr>
              <w:t>公共</w:t>
            </w:r>
            <w:r>
              <w:rPr>
                <w:rFonts w:hint="eastAsia" w:hAnsi="宋体" w:cs="宋体"/>
                <w:sz w:val="21"/>
                <w:szCs w:val="21"/>
              </w:rPr>
              <w:t>资源交易中心规定办理</w:t>
            </w:r>
            <w:r>
              <w:rPr>
                <w:rStyle w:val="56"/>
                <w:rFonts w:hAnsi="宋体" w:cs="宋体"/>
                <w:sz w:val="21"/>
                <w:szCs w:val="21"/>
              </w:rPr>
              <w:footnoteReference w:id="29"/>
            </w:r>
            <w:r>
              <w:rPr>
                <w:rFonts w:hint="eastAsia" w:hAnsi="宋体" w:cs="宋体"/>
                <w:sz w:val="21"/>
                <w:szCs w:val="21"/>
              </w:rPr>
              <w:t>。</w:t>
            </w:r>
          </w:p>
        </w:tc>
      </w:tr>
      <w:tr>
        <w:tblPrEx>
          <w:tblCellMar>
            <w:top w:w="0" w:type="dxa"/>
            <w:left w:w="108" w:type="dxa"/>
            <w:bottom w:w="0" w:type="dxa"/>
            <w:right w:w="108" w:type="dxa"/>
          </w:tblCellMar>
        </w:tblPrEx>
        <w:trPr>
          <w:trHeight w:val="1844"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3.4.4</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其他可以不予退还投标保证金的情形</w:t>
            </w:r>
          </w:p>
        </w:tc>
        <w:tc>
          <w:tcPr>
            <w:tcW w:w="5825" w:type="dxa"/>
            <w:tcBorders>
              <w:top w:val="single" w:color="auto" w:sz="4" w:space="0"/>
              <w:left w:val="single" w:color="auto" w:sz="4" w:space="0"/>
              <w:bottom w:val="single" w:color="auto" w:sz="4" w:space="0"/>
              <w:right w:val="single" w:color="auto" w:sz="4" w:space="0"/>
            </w:tcBorders>
            <w:vAlign w:val="center"/>
          </w:tcPr>
          <w:p>
            <w:pPr>
              <w:snapToGrid w:val="0"/>
              <w:jc w:val="left"/>
              <w:outlineLvl w:val="0"/>
              <w:rPr>
                <w:rFonts w:ascii="宋体" w:hAnsi="宋体" w:cs="MingLiU_HKSCS"/>
                <w:b/>
                <w:bCs/>
                <w:kern w:val="0"/>
                <w:sz w:val="28"/>
                <w:szCs w:val="21"/>
                <w:lang w:val="zh-CN"/>
              </w:rPr>
            </w:pPr>
            <w:bookmarkStart w:id="94" w:name="_Toc508984261"/>
            <w:bookmarkStart w:id="95" w:name="_Toc508984062"/>
            <w:r>
              <w:rPr>
                <w:rFonts w:hint="eastAsia" w:ascii="宋体" w:hAnsi="宋体" w:cs="MingLiU_HKSCS"/>
                <w:bCs/>
                <w:kern w:val="0"/>
                <w:szCs w:val="21"/>
                <w:lang w:val="zh-CN"/>
              </w:rPr>
              <w:t>（4）串通投标；或</w:t>
            </w:r>
            <w:bookmarkEnd w:id="94"/>
            <w:bookmarkEnd w:id="95"/>
          </w:p>
          <w:p>
            <w:pPr>
              <w:snapToGrid w:val="0"/>
              <w:jc w:val="left"/>
              <w:outlineLvl w:val="0"/>
              <w:rPr>
                <w:rFonts w:ascii="宋体" w:hAnsi="宋体" w:cs="MingLiU_HKSCS"/>
                <w:b/>
                <w:bCs/>
                <w:kern w:val="0"/>
                <w:sz w:val="28"/>
                <w:szCs w:val="21"/>
                <w:lang w:val="zh-CN"/>
              </w:rPr>
            </w:pPr>
            <w:bookmarkStart w:id="96" w:name="_Toc508984063"/>
            <w:bookmarkStart w:id="97" w:name="_Toc508984262"/>
            <w:r>
              <w:rPr>
                <w:rFonts w:hint="eastAsia" w:ascii="宋体" w:hAnsi="宋体" w:cs="MingLiU_HKSCS"/>
                <w:bCs/>
                <w:kern w:val="0"/>
                <w:szCs w:val="21"/>
                <w:lang w:val="zh-CN"/>
              </w:rPr>
              <w:t>（5）评标、中标</w:t>
            </w:r>
            <w:r>
              <w:rPr>
                <w:rFonts w:hint="eastAsia" w:ascii="宋体" w:hAnsi="宋体"/>
                <w:szCs w:val="21"/>
              </w:rPr>
              <w:t>候选人</w:t>
            </w:r>
            <w:r>
              <w:rPr>
                <w:rFonts w:hint="eastAsia" w:ascii="宋体" w:hAnsi="宋体" w:cs="MingLiU_HKSCS"/>
                <w:bCs/>
                <w:kern w:val="0"/>
                <w:szCs w:val="21"/>
                <w:lang w:val="zh-CN"/>
              </w:rPr>
              <w:t>公示</w:t>
            </w:r>
            <w:r>
              <w:rPr>
                <w:rFonts w:hint="eastAsia" w:ascii="宋体" w:hAnsi="宋体"/>
                <w:szCs w:val="21"/>
              </w:rPr>
              <w:t>、签订合同前</w:t>
            </w:r>
            <w:r>
              <w:rPr>
                <w:rFonts w:hint="eastAsia" w:ascii="宋体" w:hAnsi="宋体" w:cs="MingLiU_HKSCS"/>
                <w:bCs/>
                <w:kern w:val="0"/>
                <w:szCs w:val="21"/>
                <w:lang w:val="zh-CN"/>
              </w:rPr>
              <w:t>等环节因作假而被取消中标资格；或</w:t>
            </w:r>
            <w:bookmarkEnd w:id="96"/>
            <w:bookmarkEnd w:id="97"/>
          </w:p>
          <w:p>
            <w:pPr>
              <w:snapToGrid w:val="0"/>
              <w:jc w:val="left"/>
              <w:outlineLvl w:val="0"/>
              <w:rPr>
                <w:rFonts w:ascii="宋体" w:hAnsi="宋体" w:cs="MingLiU_HKSCS"/>
                <w:b/>
                <w:bCs/>
                <w:kern w:val="0"/>
                <w:sz w:val="28"/>
                <w:szCs w:val="21"/>
                <w:lang w:val="zh-CN"/>
              </w:rPr>
            </w:pPr>
            <w:bookmarkStart w:id="98" w:name="_Toc508984263"/>
            <w:bookmarkStart w:id="99" w:name="_Toc508984064"/>
            <w:r>
              <w:rPr>
                <w:rFonts w:hint="eastAsia" w:ascii="宋体" w:hAnsi="宋体" w:cs="MingLiU_HKSCS"/>
                <w:bCs/>
                <w:kern w:val="0"/>
                <w:szCs w:val="21"/>
                <w:lang w:val="zh-CN"/>
              </w:rPr>
              <w:t>（6）因投诉属实取消</w:t>
            </w:r>
            <w:r>
              <w:rPr>
                <w:rFonts w:hint="eastAsia" w:ascii="宋体" w:hAnsi="宋体"/>
                <w:szCs w:val="21"/>
              </w:rPr>
              <w:t>投标</w:t>
            </w:r>
            <w:r>
              <w:rPr>
                <w:rFonts w:hint="eastAsia" w:ascii="宋体" w:hAnsi="宋体" w:cs="MingLiU_HKSCS"/>
                <w:bCs/>
                <w:kern w:val="0"/>
                <w:szCs w:val="21"/>
                <w:lang w:val="zh-CN"/>
              </w:rPr>
              <w:t>资格的；或</w:t>
            </w:r>
            <w:bookmarkEnd w:id="98"/>
            <w:bookmarkEnd w:id="99"/>
          </w:p>
          <w:p>
            <w:pPr>
              <w:topLinePunct/>
              <w:ind w:firstLine="105" w:firstLineChars="50"/>
              <w:rPr>
                <w:rFonts w:ascii="宋体" w:hAnsi="宋体"/>
                <w:b/>
                <w:bCs/>
                <w:kern w:val="0"/>
                <w:sz w:val="28"/>
                <w:szCs w:val="21"/>
              </w:rPr>
            </w:pPr>
            <w:r>
              <w:rPr>
                <w:rFonts w:hint="eastAsia" w:ascii="宋体" w:hAnsi="宋体" w:cs="MingLiU_HKSCS"/>
                <w:bCs/>
                <w:kern w:val="0"/>
                <w:szCs w:val="21"/>
                <w:lang w:val="zh-CN"/>
              </w:rPr>
              <w:t>（7）其他违反规定、妨碍公平竞争准则的行为</w:t>
            </w:r>
            <w:r>
              <w:rPr>
                <w:rFonts w:hint="eastAsia" w:ascii="宋体" w:hAnsi="宋体"/>
                <w:kern w:val="0"/>
                <w:szCs w:val="21"/>
              </w:rPr>
              <w:t>；或</w:t>
            </w:r>
          </w:p>
          <w:p>
            <w:pPr>
              <w:pStyle w:val="17"/>
              <w:topLinePunct/>
              <w:rPr>
                <w:rFonts w:hAnsi="宋体"/>
                <w:b/>
                <w:bCs/>
                <w:sz w:val="21"/>
                <w:szCs w:val="21"/>
                <w:u w:val="single"/>
              </w:rPr>
            </w:pPr>
            <w:r>
              <w:rPr>
                <w:rFonts w:hAnsi="宋体"/>
                <w:kern w:val="0"/>
                <w:sz w:val="21"/>
                <w:szCs w:val="21"/>
              </w:rPr>
              <w:t>……</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3.5</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资格审查资料</w:t>
            </w:r>
            <w:r>
              <w:rPr>
                <w:rFonts w:ascii="宋体" w:hAnsi="宋体"/>
                <w:szCs w:val="21"/>
              </w:rPr>
              <w:t>的特殊要求</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1"/>
              </w:rPr>
            </w:pPr>
            <w:r>
              <w:rPr>
                <w:rFonts w:hAnsi="宋体"/>
                <w:sz w:val="32"/>
              </w:rPr>
              <w:t>□</w:t>
            </w:r>
            <w:r>
              <w:rPr>
                <w:rFonts w:hAnsi="宋体"/>
                <w:sz w:val="21"/>
                <w:szCs w:val="22"/>
              </w:rPr>
              <w:t>无</w:t>
            </w:r>
          </w:p>
          <w:p>
            <w:pPr>
              <w:pStyle w:val="17"/>
              <w:topLinePunct/>
              <w:rPr>
                <w:rFonts w:hAnsi="宋体"/>
                <w:sz w:val="21"/>
                <w:szCs w:val="21"/>
                <w:u w:val="single"/>
              </w:rPr>
            </w:pPr>
            <w:r>
              <w:rPr>
                <w:rFonts w:hAnsi="宋体"/>
                <w:sz w:val="32"/>
              </w:rPr>
              <w:t>□</w:t>
            </w:r>
            <w:r>
              <w:rPr>
                <w:rFonts w:hAnsi="宋体"/>
                <w:sz w:val="21"/>
                <w:szCs w:val="22"/>
              </w:rPr>
              <w:t>有，具体要求：</w:t>
            </w:r>
            <w:r>
              <w:rPr>
                <w:rFonts w:hint="eastAsia" w:hAnsi="宋体"/>
                <w:sz w:val="21"/>
                <w:szCs w:val="22"/>
              </w:rPr>
              <w:t>_______</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3.5.</w:t>
            </w:r>
            <w:r>
              <w:rPr>
                <w:rFonts w:hint="eastAsia" w:ascii="宋体" w:hAnsi="宋体"/>
                <w:szCs w:val="21"/>
              </w:rPr>
              <w:t>2</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近年完成的类似项目情况</w:t>
            </w:r>
            <w:r>
              <w:rPr>
                <w:rFonts w:hint="eastAsia" w:ascii="宋体" w:hAnsi="宋体"/>
              </w:rPr>
              <w:t>的</w:t>
            </w:r>
            <w:r>
              <w:rPr>
                <w:rFonts w:ascii="宋体" w:hAnsi="宋体"/>
              </w:rPr>
              <w:t>时间要求</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hAnsi="宋体"/>
                <w:szCs w:val="22"/>
              </w:rPr>
              <w:t>_____</w:t>
            </w:r>
            <w:r>
              <w:rPr>
                <w:rFonts w:ascii="宋体" w:hAnsi="宋体"/>
                <w:szCs w:val="21"/>
              </w:rPr>
              <w:t>年</w:t>
            </w:r>
            <w:r>
              <w:rPr>
                <w:rFonts w:hint="eastAsia" w:hAnsi="宋体"/>
                <w:szCs w:val="22"/>
              </w:rPr>
              <w:t>_____</w:t>
            </w:r>
            <w:r>
              <w:rPr>
                <w:rFonts w:ascii="宋体" w:hAnsi="宋体"/>
                <w:szCs w:val="21"/>
              </w:rPr>
              <w:t>月</w:t>
            </w:r>
            <w:r>
              <w:rPr>
                <w:rFonts w:hint="eastAsia" w:hAnsi="宋体"/>
                <w:szCs w:val="22"/>
              </w:rPr>
              <w:t>_____</w:t>
            </w:r>
            <w:r>
              <w:rPr>
                <w:rFonts w:ascii="宋体" w:hAnsi="宋体"/>
                <w:szCs w:val="21"/>
              </w:rPr>
              <w:t>日至</w:t>
            </w:r>
            <w:r>
              <w:rPr>
                <w:rFonts w:hint="eastAsia" w:ascii="宋体" w:hAnsi="宋体" w:cs="宋体"/>
                <w:szCs w:val="21"/>
              </w:rPr>
              <w:t>投标文件递交截止之日止</w:t>
            </w:r>
            <w:r>
              <w:rPr>
                <w:rStyle w:val="214"/>
                <w:rFonts w:hint="eastAsia" w:ascii="宋体" w:hAnsi="宋体" w:eastAsia="宋体"/>
                <w:sz w:val="21"/>
                <w:szCs w:val="21"/>
              </w:rPr>
              <w:t>，以</w:t>
            </w:r>
            <w:r>
              <w:rPr>
                <w:rStyle w:val="214"/>
                <w:rFonts w:hint="eastAsia" w:ascii="宋体" w:hAnsi="宋体" w:eastAsia="宋体"/>
                <w:sz w:val="21"/>
                <w:szCs w:val="21"/>
                <w:u w:val="single"/>
              </w:rPr>
              <w:t>初步设计正式批复/施工图设计正式审查（批）</w:t>
            </w:r>
            <w:r>
              <w:rPr>
                <w:rStyle w:val="214"/>
                <w:rFonts w:hint="eastAsia" w:ascii="宋体" w:hAnsi="宋体" w:eastAsia="宋体"/>
                <w:sz w:val="21"/>
                <w:szCs w:val="21"/>
              </w:rPr>
              <w:t>的时间为准。</w:t>
            </w:r>
            <w:r>
              <w:rPr>
                <w:rStyle w:val="56"/>
                <w:rFonts w:ascii="宋体" w:hAnsi="宋体"/>
                <w:sz w:val="32"/>
                <w:szCs w:val="32"/>
                <w:lang w:val="zh-CN"/>
              </w:rPr>
              <w:footnoteReference w:id="30"/>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3.6.1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是否允许递交备选投标方案</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2"/>
              </w:rPr>
            </w:pPr>
            <w:r>
              <w:rPr>
                <w:rFonts w:hAnsi="宋体"/>
                <w:sz w:val="32"/>
              </w:rPr>
              <w:t>□</w:t>
            </w:r>
            <w:r>
              <w:rPr>
                <w:rFonts w:hAnsi="宋体"/>
                <w:sz w:val="21"/>
                <w:szCs w:val="22"/>
              </w:rPr>
              <w:t>不允许</w:t>
            </w:r>
          </w:p>
          <w:p>
            <w:pPr>
              <w:rPr>
                <w:rFonts w:ascii="宋体" w:hAnsi="宋体"/>
                <w:szCs w:val="21"/>
              </w:rPr>
            </w:pPr>
            <w:r>
              <w:rPr>
                <w:rFonts w:ascii="宋体" w:hAnsi="宋体"/>
                <w:sz w:val="32"/>
              </w:rPr>
              <w:t>□</w:t>
            </w:r>
            <w:r>
              <w:rPr>
                <w:rFonts w:ascii="宋体" w:hAnsi="宋体"/>
              </w:rPr>
              <w:t>允许</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br w:type="page"/>
            </w:r>
            <w:r>
              <w:rPr>
                <w:rFonts w:ascii="宋体" w:hAnsi="宋体"/>
                <w:szCs w:val="21"/>
              </w:rPr>
              <w:t>3.7.4</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投标文件副本份数及其他要求</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1"/>
              </w:rPr>
            </w:pPr>
            <w:r>
              <w:rPr>
                <w:rFonts w:hint="eastAsia" w:hAnsi="宋体"/>
                <w:sz w:val="21"/>
                <w:szCs w:val="21"/>
              </w:rPr>
              <w:t>投标文件副本份数：</w:t>
            </w:r>
            <w:r>
              <w:rPr>
                <w:rFonts w:hint="eastAsia" w:hAnsi="宋体"/>
                <w:sz w:val="21"/>
                <w:szCs w:val="22"/>
              </w:rPr>
              <w:t>_____</w:t>
            </w:r>
            <w:r>
              <w:rPr>
                <w:rFonts w:hint="eastAsia" w:hAnsi="宋体"/>
                <w:sz w:val="21"/>
                <w:szCs w:val="21"/>
              </w:rPr>
              <w:t>份</w:t>
            </w:r>
          </w:p>
          <w:p>
            <w:pPr>
              <w:pStyle w:val="17"/>
              <w:topLinePunct/>
              <w:rPr>
                <w:rFonts w:hAnsi="宋体"/>
                <w:sz w:val="21"/>
                <w:szCs w:val="21"/>
              </w:rPr>
            </w:pPr>
            <w:r>
              <w:rPr>
                <w:rFonts w:hint="eastAsia" w:hAnsi="宋体"/>
                <w:sz w:val="21"/>
                <w:szCs w:val="21"/>
              </w:rPr>
              <w:t>是否要求提交电子版文件：是，1份电子文件</w:t>
            </w:r>
          </w:p>
          <w:p>
            <w:pPr>
              <w:pStyle w:val="17"/>
              <w:topLinePunct/>
              <w:rPr>
                <w:rFonts w:hAnsi="宋体"/>
                <w:b/>
                <w:bCs/>
                <w:sz w:val="21"/>
                <w:szCs w:val="21"/>
              </w:rPr>
            </w:pPr>
            <w:r>
              <w:rPr>
                <w:rFonts w:hint="eastAsia" w:hAnsi="宋体"/>
                <w:sz w:val="21"/>
                <w:szCs w:val="21"/>
              </w:rPr>
              <w:t>其他要求：副本可以为正本的复印件。</w:t>
            </w:r>
            <w:r>
              <w:rPr>
                <w:rFonts w:hint="eastAsia" w:hAnsi="宋体" w:cs="宋体"/>
                <w:sz w:val="21"/>
                <w:szCs w:val="21"/>
                <w:u w:val="single"/>
              </w:rPr>
              <w:t>电子文件以P</w:t>
            </w:r>
            <w:r>
              <w:rPr>
                <w:rFonts w:hAnsi="宋体" w:cs="宋体"/>
                <w:sz w:val="21"/>
                <w:szCs w:val="21"/>
                <w:u w:val="single"/>
              </w:rPr>
              <w:t>DF</w:t>
            </w:r>
            <w:r>
              <w:rPr>
                <w:rFonts w:hint="eastAsia" w:hAnsi="宋体" w:cs="宋体"/>
                <w:sz w:val="21"/>
                <w:szCs w:val="21"/>
                <w:u w:val="single"/>
              </w:rPr>
              <w:t>格式和word或excel格式拷贝至投标人自备的U盘中密封在第二个信封（报价文件）中。</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3.7.5</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装订</w:t>
            </w:r>
            <w:r>
              <w:rPr>
                <w:rFonts w:hint="eastAsia" w:ascii="宋体" w:hAnsi="宋体"/>
              </w:rPr>
              <w:t>的</w:t>
            </w:r>
            <w:r>
              <w:rPr>
                <w:rFonts w:ascii="宋体" w:hAnsi="宋体"/>
              </w:rPr>
              <w:t>其他要求</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1"/>
              </w:rPr>
            </w:pPr>
          </w:p>
        </w:tc>
      </w:tr>
      <w:tr>
        <w:tblPrEx>
          <w:tblCellMar>
            <w:top w:w="0" w:type="dxa"/>
            <w:left w:w="108" w:type="dxa"/>
            <w:bottom w:w="0" w:type="dxa"/>
            <w:right w:w="108" w:type="dxa"/>
          </w:tblCellMar>
        </w:tblPrEx>
        <w:trPr>
          <w:trHeight w:val="6832" w:hRule="atLeast"/>
        </w:trPr>
        <w:tc>
          <w:tcPr>
            <w:tcW w:w="933"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ascii="宋体" w:hAnsi="宋体"/>
                <w:szCs w:val="21"/>
              </w:rPr>
              <w:t>4.1.2</w:t>
            </w:r>
          </w:p>
        </w:tc>
        <w:tc>
          <w:tcPr>
            <w:tcW w:w="2462" w:type="dxa"/>
            <w:gridSpan w:val="2"/>
            <w:tcBorders>
              <w:top w:val="single" w:color="auto" w:sz="4" w:space="0"/>
              <w:left w:val="single" w:color="auto" w:sz="4" w:space="0"/>
              <w:right w:val="single" w:color="auto" w:sz="4" w:space="0"/>
            </w:tcBorders>
            <w:vAlign w:val="center"/>
          </w:tcPr>
          <w:p>
            <w:pPr>
              <w:jc w:val="center"/>
              <w:rPr>
                <w:rFonts w:ascii="宋体" w:hAnsi="宋体"/>
              </w:rPr>
            </w:pPr>
            <w:r>
              <w:rPr>
                <w:rFonts w:ascii="宋体" w:hAnsi="宋体"/>
              </w:rPr>
              <w:t>封套上应载明的信息</w:t>
            </w:r>
          </w:p>
        </w:tc>
        <w:tc>
          <w:tcPr>
            <w:tcW w:w="5825" w:type="dxa"/>
            <w:tcBorders>
              <w:top w:val="single" w:color="auto" w:sz="4" w:space="0"/>
              <w:left w:val="single" w:color="auto" w:sz="4" w:space="0"/>
              <w:right w:val="single" w:color="auto" w:sz="4" w:space="0"/>
            </w:tcBorders>
            <w:vAlign w:val="center"/>
          </w:tcPr>
          <w:p>
            <w:pPr>
              <w:pStyle w:val="17"/>
              <w:topLinePunct/>
              <w:rPr>
                <w:rFonts w:hAnsi="宋体"/>
                <w:b/>
                <w:bCs/>
                <w:sz w:val="21"/>
                <w:szCs w:val="21"/>
              </w:rPr>
            </w:pPr>
            <w:r>
              <w:rPr>
                <w:rFonts w:hAnsi="宋体"/>
                <w:b/>
                <w:bCs/>
                <w:sz w:val="21"/>
                <w:szCs w:val="21"/>
              </w:rPr>
              <w:t>投标文件第一个信封（商务及技术文件）封套：</w:t>
            </w:r>
          </w:p>
          <w:p>
            <w:pPr>
              <w:pStyle w:val="17"/>
              <w:topLinePunct/>
              <w:rPr>
                <w:rFonts w:hAnsi="宋体"/>
                <w:b/>
                <w:bCs/>
                <w:sz w:val="21"/>
                <w:szCs w:val="21"/>
              </w:rPr>
            </w:pPr>
            <w:r>
              <w:rPr>
                <w:rFonts w:hAnsi="宋体"/>
                <w:sz w:val="21"/>
                <w:szCs w:val="21"/>
              </w:rPr>
              <w:t>招标人名称：</w:t>
            </w:r>
            <w:r>
              <w:rPr>
                <w:rFonts w:hint="eastAsia" w:hAnsi="宋体"/>
                <w:sz w:val="21"/>
                <w:szCs w:val="22"/>
              </w:rPr>
              <w:t>_______________</w:t>
            </w:r>
          </w:p>
          <w:p>
            <w:pPr>
              <w:pStyle w:val="17"/>
              <w:topLinePunct/>
              <w:rPr>
                <w:rFonts w:hAnsi="宋体"/>
                <w:b/>
                <w:bCs/>
                <w:sz w:val="21"/>
                <w:szCs w:val="21"/>
              </w:rPr>
            </w:pPr>
            <w:r>
              <w:rPr>
                <w:rFonts w:hAnsi="宋体"/>
                <w:sz w:val="21"/>
                <w:szCs w:val="21"/>
              </w:rPr>
              <w:t>招标人地址：</w:t>
            </w:r>
            <w:r>
              <w:rPr>
                <w:rFonts w:hint="eastAsia" w:hAnsi="宋体"/>
                <w:sz w:val="21"/>
                <w:szCs w:val="22"/>
              </w:rPr>
              <w:t>_______________</w:t>
            </w:r>
          </w:p>
          <w:p>
            <w:pPr>
              <w:pStyle w:val="17"/>
              <w:topLinePunct/>
              <w:rPr>
                <w:rFonts w:hAnsi="宋体"/>
                <w:b/>
                <w:bCs/>
                <w:sz w:val="21"/>
                <w:szCs w:val="21"/>
              </w:rPr>
            </w:pPr>
            <w:r>
              <w:rPr>
                <w:rFonts w:hAnsi="宋体"/>
                <w:sz w:val="21"/>
                <w:szCs w:val="21"/>
                <w:u w:val="single"/>
              </w:rPr>
              <w:t>（项目名称）</w:t>
            </w:r>
            <w:r>
              <w:rPr>
                <w:rFonts w:hint="eastAsia" w:hAnsi="宋体"/>
                <w:sz w:val="21"/>
                <w:szCs w:val="21"/>
                <w:u w:val="single"/>
                <w:lang w:val="en-US" w:eastAsia="zh-CN"/>
              </w:rPr>
              <w:t xml:space="preserve">   </w:t>
            </w:r>
            <w:r>
              <w:rPr>
                <w:rFonts w:hAnsi="宋体"/>
                <w:sz w:val="21"/>
                <w:szCs w:val="21"/>
                <w:u w:val="single"/>
              </w:rPr>
              <w:t>标段</w:t>
            </w:r>
            <w:r>
              <w:rPr>
                <w:rFonts w:hAnsi="宋体"/>
                <w:sz w:val="21"/>
                <w:szCs w:val="21"/>
              </w:rPr>
              <w:t>勘察设计咨询招标第一个信封（商务及技术文件）投标文件</w:t>
            </w:r>
          </w:p>
          <w:p>
            <w:pPr>
              <w:pStyle w:val="17"/>
              <w:topLinePunct/>
              <w:rPr>
                <w:rFonts w:hAnsi="宋体"/>
                <w:b/>
                <w:bCs/>
                <w:sz w:val="21"/>
                <w:szCs w:val="21"/>
              </w:rPr>
            </w:pPr>
            <w:r>
              <w:rPr>
                <w:rFonts w:hAnsi="宋体"/>
                <w:sz w:val="21"/>
                <w:szCs w:val="21"/>
              </w:rPr>
              <w:t>在</w:t>
            </w:r>
            <w:r>
              <w:rPr>
                <w:rFonts w:hint="eastAsia" w:hAnsi="宋体"/>
                <w:sz w:val="21"/>
                <w:szCs w:val="22"/>
              </w:rPr>
              <w:t>___</w:t>
            </w:r>
            <w:r>
              <w:rPr>
                <w:rFonts w:hAnsi="宋体"/>
                <w:sz w:val="21"/>
                <w:szCs w:val="21"/>
              </w:rPr>
              <w:t>年</w:t>
            </w:r>
            <w:r>
              <w:rPr>
                <w:rFonts w:hint="eastAsia" w:hAnsi="宋体"/>
                <w:sz w:val="21"/>
                <w:szCs w:val="22"/>
              </w:rPr>
              <w:t>___</w:t>
            </w:r>
            <w:r>
              <w:rPr>
                <w:rFonts w:hAnsi="宋体"/>
                <w:sz w:val="21"/>
                <w:szCs w:val="21"/>
              </w:rPr>
              <w:t>月</w:t>
            </w:r>
            <w:r>
              <w:rPr>
                <w:rFonts w:hint="eastAsia" w:hAnsi="宋体"/>
                <w:sz w:val="21"/>
                <w:szCs w:val="22"/>
              </w:rPr>
              <w:t>___</w:t>
            </w:r>
            <w:r>
              <w:rPr>
                <w:rFonts w:hAnsi="宋体"/>
                <w:sz w:val="21"/>
                <w:szCs w:val="21"/>
              </w:rPr>
              <w:t>日</w:t>
            </w:r>
            <w:r>
              <w:rPr>
                <w:rFonts w:hint="eastAsia" w:hAnsi="宋体"/>
                <w:sz w:val="21"/>
                <w:szCs w:val="22"/>
              </w:rPr>
              <w:t>___</w:t>
            </w:r>
            <w:r>
              <w:rPr>
                <w:rFonts w:hAnsi="宋体"/>
                <w:sz w:val="21"/>
                <w:szCs w:val="21"/>
              </w:rPr>
              <w:t>时</w:t>
            </w:r>
            <w:r>
              <w:rPr>
                <w:rFonts w:hint="eastAsia" w:hAnsi="宋体"/>
                <w:sz w:val="21"/>
                <w:szCs w:val="22"/>
              </w:rPr>
              <w:t>___</w:t>
            </w:r>
            <w:r>
              <w:rPr>
                <w:rFonts w:hAnsi="宋体"/>
                <w:sz w:val="21"/>
                <w:szCs w:val="21"/>
              </w:rPr>
              <w:t>分前不得开启</w:t>
            </w:r>
          </w:p>
          <w:p>
            <w:pPr>
              <w:pStyle w:val="17"/>
              <w:topLinePunct/>
              <w:rPr>
                <w:rFonts w:hAnsi="宋体"/>
                <w:b/>
                <w:bCs/>
                <w:sz w:val="21"/>
                <w:szCs w:val="21"/>
              </w:rPr>
            </w:pPr>
            <w:r>
              <w:rPr>
                <w:rFonts w:hAnsi="宋体"/>
                <w:sz w:val="21"/>
                <w:szCs w:val="21"/>
              </w:rPr>
              <w:t>投标人名称：</w:t>
            </w:r>
            <w:r>
              <w:rPr>
                <w:rFonts w:hint="eastAsia" w:hAnsi="宋体"/>
                <w:sz w:val="21"/>
                <w:szCs w:val="22"/>
              </w:rPr>
              <w:t>_______________</w:t>
            </w:r>
          </w:p>
          <w:p>
            <w:pPr>
              <w:pStyle w:val="17"/>
              <w:topLinePunct/>
              <w:rPr>
                <w:rFonts w:hAnsi="宋体"/>
                <w:sz w:val="21"/>
                <w:szCs w:val="21"/>
              </w:rPr>
            </w:pPr>
          </w:p>
          <w:p>
            <w:pPr>
              <w:pStyle w:val="17"/>
              <w:topLinePunct/>
              <w:rPr>
                <w:rFonts w:hAnsi="宋体"/>
                <w:b/>
                <w:bCs/>
                <w:sz w:val="21"/>
                <w:szCs w:val="21"/>
              </w:rPr>
            </w:pPr>
            <w:r>
              <w:rPr>
                <w:rFonts w:hAnsi="宋体"/>
                <w:b/>
                <w:bCs/>
                <w:sz w:val="21"/>
                <w:szCs w:val="21"/>
              </w:rPr>
              <w:t>投标文件第二个信封（报价文件）封套：</w:t>
            </w:r>
          </w:p>
          <w:p>
            <w:pPr>
              <w:pStyle w:val="17"/>
              <w:topLinePunct/>
              <w:rPr>
                <w:rFonts w:hAnsi="宋体"/>
                <w:sz w:val="21"/>
                <w:szCs w:val="21"/>
              </w:rPr>
            </w:pPr>
            <w:r>
              <w:rPr>
                <w:rFonts w:hAnsi="宋体"/>
                <w:sz w:val="21"/>
                <w:szCs w:val="21"/>
              </w:rPr>
              <w:t>招标人名称：</w:t>
            </w:r>
            <w:r>
              <w:rPr>
                <w:rFonts w:hint="eastAsia" w:hAnsi="宋体"/>
                <w:sz w:val="21"/>
                <w:szCs w:val="22"/>
              </w:rPr>
              <w:t>_______________</w:t>
            </w:r>
          </w:p>
          <w:p>
            <w:pPr>
              <w:pStyle w:val="17"/>
              <w:topLinePunct/>
              <w:rPr>
                <w:rFonts w:hAnsi="宋体"/>
                <w:sz w:val="21"/>
                <w:szCs w:val="21"/>
              </w:rPr>
            </w:pPr>
            <w:r>
              <w:rPr>
                <w:rFonts w:hAnsi="宋体"/>
                <w:sz w:val="21"/>
                <w:szCs w:val="21"/>
              </w:rPr>
              <w:t>招标人地址：</w:t>
            </w:r>
            <w:r>
              <w:rPr>
                <w:rFonts w:hint="eastAsia" w:hAnsi="宋体"/>
                <w:sz w:val="21"/>
                <w:szCs w:val="22"/>
              </w:rPr>
              <w:t>_______________</w:t>
            </w:r>
          </w:p>
          <w:p>
            <w:pPr>
              <w:pStyle w:val="17"/>
              <w:topLinePunct/>
              <w:rPr>
                <w:rFonts w:hAnsi="宋体"/>
                <w:sz w:val="21"/>
                <w:szCs w:val="21"/>
              </w:rPr>
            </w:pPr>
            <w:r>
              <w:rPr>
                <w:rFonts w:hAnsi="宋体"/>
                <w:sz w:val="21"/>
                <w:szCs w:val="21"/>
                <w:u w:val="single"/>
              </w:rPr>
              <w:t>（项目名称）</w:t>
            </w:r>
            <w:r>
              <w:rPr>
                <w:rFonts w:hint="eastAsia" w:hAnsi="宋体"/>
                <w:sz w:val="21"/>
                <w:szCs w:val="21"/>
                <w:u w:val="single"/>
                <w:lang w:val="en-US" w:eastAsia="zh-CN"/>
              </w:rPr>
              <w:t xml:space="preserve">   </w:t>
            </w:r>
            <w:r>
              <w:rPr>
                <w:rFonts w:hAnsi="宋体"/>
                <w:sz w:val="21"/>
                <w:szCs w:val="21"/>
                <w:u w:val="single"/>
              </w:rPr>
              <w:t>标段</w:t>
            </w:r>
            <w:r>
              <w:rPr>
                <w:rFonts w:hAnsi="宋体"/>
                <w:sz w:val="21"/>
                <w:szCs w:val="21"/>
              </w:rPr>
              <w:t>勘察设计咨询招标第二个信封（报价文件）投标文件</w:t>
            </w:r>
          </w:p>
          <w:p>
            <w:pPr>
              <w:pStyle w:val="17"/>
              <w:topLinePunct/>
              <w:rPr>
                <w:rFonts w:hAnsi="宋体"/>
                <w:sz w:val="21"/>
                <w:szCs w:val="21"/>
              </w:rPr>
            </w:pPr>
            <w:r>
              <w:rPr>
                <w:rFonts w:hAnsi="宋体"/>
                <w:sz w:val="21"/>
                <w:szCs w:val="21"/>
              </w:rPr>
              <w:t>在投标文件第二个信封（报价文件）</w:t>
            </w:r>
            <w:r>
              <w:rPr>
                <w:rFonts w:hint="eastAsia" w:hAnsi="宋体"/>
                <w:sz w:val="21"/>
                <w:szCs w:val="21"/>
              </w:rPr>
              <w:t>开标</w:t>
            </w:r>
            <w:r>
              <w:rPr>
                <w:rFonts w:hAnsi="宋体"/>
                <w:sz w:val="21"/>
                <w:szCs w:val="21"/>
              </w:rPr>
              <w:t>前不得开启</w:t>
            </w:r>
          </w:p>
          <w:p>
            <w:pPr>
              <w:pStyle w:val="17"/>
              <w:topLinePunct/>
              <w:rPr>
                <w:rFonts w:hAnsi="宋体"/>
                <w:sz w:val="21"/>
                <w:szCs w:val="21"/>
                <w:u w:val="single"/>
              </w:rPr>
            </w:pPr>
            <w:r>
              <w:rPr>
                <w:rFonts w:hAnsi="宋体"/>
                <w:sz w:val="21"/>
                <w:szCs w:val="21"/>
              </w:rPr>
              <w:t>投标人名称：</w:t>
            </w:r>
            <w:r>
              <w:rPr>
                <w:rFonts w:hint="eastAsia" w:hAnsi="宋体"/>
                <w:sz w:val="21"/>
                <w:szCs w:val="22"/>
              </w:rPr>
              <w:t>_______________</w:t>
            </w:r>
          </w:p>
          <w:p>
            <w:pPr>
              <w:pStyle w:val="17"/>
              <w:topLinePunct/>
              <w:rPr>
                <w:rFonts w:hAnsi="宋体"/>
                <w:sz w:val="21"/>
                <w:szCs w:val="21"/>
                <w:u w:val="single"/>
              </w:rPr>
            </w:pPr>
            <w:r>
              <w:rPr>
                <w:rFonts w:hint="eastAsia" w:hAnsi="宋体"/>
                <w:sz w:val="21"/>
                <w:szCs w:val="21"/>
              </w:rPr>
              <w:t>投标人地址：</w:t>
            </w:r>
            <w:r>
              <w:rPr>
                <w:rFonts w:hint="eastAsia" w:hAnsi="宋体"/>
                <w:sz w:val="21"/>
                <w:szCs w:val="22"/>
              </w:rPr>
              <w:t>_______________</w:t>
            </w:r>
          </w:p>
          <w:p>
            <w:pPr>
              <w:pStyle w:val="17"/>
              <w:topLinePunct/>
              <w:rPr>
                <w:rFonts w:hAnsi="宋体"/>
                <w:sz w:val="21"/>
                <w:szCs w:val="21"/>
              </w:rPr>
            </w:pPr>
          </w:p>
          <w:p>
            <w:pPr>
              <w:pStyle w:val="211"/>
              <w:shd w:val="clear" w:color="auto" w:fill="auto"/>
              <w:spacing w:before="0" w:line="240" w:lineRule="auto"/>
              <w:ind w:right="124" w:rightChars="59"/>
              <w:jc w:val="both"/>
              <w:rPr>
                <w:rFonts w:ascii="宋体" w:hAnsi="宋体" w:eastAsia="宋体"/>
                <w:b/>
                <w:sz w:val="21"/>
                <w:szCs w:val="21"/>
              </w:rPr>
            </w:pPr>
            <w:r>
              <w:rPr>
                <w:rStyle w:val="214"/>
                <w:rFonts w:hint="eastAsia" w:ascii="宋体" w:hAnsi="宋体" w:eastAsia="宋体"/>
                <w:b/>
                <w:sz w:val="21"/>
                <w:szCs w:val="21"/>
              </w:rPr>
              <w:t>银行保函（或其他形式投标保证金凭证）封套</w:t>
            </w:r>
            <w:r>
              <w:rPr>
                <w:rFonts w:hint="eastAsia" w:ascii="宋体" w:hAnsi="宋体" w:eastAsia="宋体" w:cs="宋体"/>
                <w:sz w:val="21"/>
                <w:szCs w:val="21"/>
              </w:rPr>
              <w:t>（如有）</w:t>
            </w:r>
            <w:r>
              <w:rPr>
                <w:rStyle w:val="214"/>
                <w:rFonts w:hint="eastAsia" w:ascii="宋体" w:hAnsi="宋体" w:eastAsia="宋体"/>
                <w:b/>
                <w:sz w:val="21"/>
                <w:szCs w:val="21"/>
              </w:rPr>
              <w:t>：</w:t>
            </w:r>
          </w:p>
          <w:p>
            <w:pPr>
              <w:pStyle w:val="211"/>
              <w:shd w:val="clear" w:color="auto" w:fill="auto"/>
              <w:spacing w:before="0" w:line="240" w:lineRule="auto"/>
              <w:ind w:right="124" w:rightChars="59"/>
              <w:jc w:val="both"/>
              <w:rPr>
                <w:rFonts w:ascii="宋体" w:hAnsi="宋体" w:eastAsia="宋体"/>
                <w:sz w:val="21"/>
                <w:szCs w:val="21"/>
              </w:rPr>
            </w:pPr>
            <w:r>
              <w:rPr>
                <w:rStyle w:val="214"/>
                <w:rFonts w:hint="eastAsia" w:ascii="宋体" w:hAnsi="宋体" w:eastAsia="宋体"/>
                <w:sz w:val="21"/>
                <w:szCs w:val="21"/>
              </w:rPr>
              <w:t>招标人名称：</w:t>
            </w:r>
          </w:p>
          <w:p>
            <w:pPr>
              <w:pStyle w:val="17"/>
              <w:topLinePunct/>
              <w:rPr>
                <w:rFonts w:hAnsi="宋体"/>
                <w:sz w:val="21"/>
                <w:szCs w:val="21"/>
              </w:rPr>
            </w:pPr>
            <w:r>
              <w:rPr>
                <w:rStyle w:val="214"/>
                <w:rFonts w:hint="eastAsia" w:ascii="宋体" w:hAnsi="宋体" w:eastAsia="宋体"/>
                <w:sz w:val="21"/>
                <w:szCs w:val="21"/>
              </w:rPr>
              <w:t>招标人地址：</w:t>
            </w:r>
          </w:p>
          <w:p>
            <w:pPr>
              <w:pStyle w:val="17"/>
              <w:topLinePunct/>
              <w:rPr>
                <w:rFonts w:hAnsi="宋体"/>
                <w:sz w:val="21"/>
                <w:szCs w:val="21"/>
              </w:rPr>
            </w:pPr>
            <w:r>
              <w:rPr>
                <w:rFonts w:hAnsi="宋体"/>
                <w:sz w:val="21"/>
                <w:szCs w:val="21"/>
                <w:u w:val="single"/>
              </w:rPr>
              <w:t>（项目名称）</w:t>
            </w:r>
            <w:r>
              <w:rPr>
                <w:rFonts w:hint="eastAsia" w:hAnsi="宋体"/>
                <w:sz w:val="21"/>
                <w:szCs w:val="21"/>
                <w:u w:val="single"/>
                <w:lang w:val="en-US" w:eastAsia="zh-CN"/>
              </w:rPr>
              <w:t xml:space="preserve">   </w:t>
            </w:r>
            <w:r>
              <w:rPr>
                <w:rFonts w:hAnsi="宋体"/>
                <w:sz w:val="21"/>
                <w:szCs w:val="21"/>
                <w:u w:val="single"/>
              </w:rPr>
              <w:t>标段</w:t>
            </w:r>
            <w:r>
              <w:rPr>
                <w:rFonts w:hAnsi="宋体"/>
                <w:sz w:val="21"/>
                <w:szCs w:val="21"/>
              </w:rPr>
              <w:t>勘察设计咨询招标</w:t>
            </w:r>
            <w:r>
              <w:rPr>
                <w:rFonts w:hint="eastAsia" w:hAnsi="宋体"/>
                <w:sz w:val="21"/>
                <w:szCs w:val="21"/>
              </w:rPr>
              <w:t>投标</w:t>
            </w:r>
            <w:r>
              <w:rPr>
                <w:rFonts w:hAnsi="宋体"/>
                <w:sz w:val="21"/>
                <w:szCs w:val="21"/>
              </w:rPr>
              <w:t>保证金</w:t>
            </w:r>
            <w:r>
              <w:rPr>
                <w:rFonts w:hint="eastAsia" w:hAnsi="宋体"/>
                <w:sz w:val="21"/>
                <w:szCs w:val="21"/>
              </w:rPr>
              <w:t>（银行保函原件）</w:t>
            </w:r>
          </w:p>
          <w:p>
            <w:pPr>
              <w:pStyle w:val="17"/>
              <w:topLinePunct/>
              <w:rPr>
                <w:rFonts w:hAnsi="宋体"/>
                <w:sz w:val="21"/>
                <w:szCs w:val="21"/>
              </w:rPr>
            </w:pPr>
            <w:r>
              <w:rPr>
                <w:rFonts w:hAnsi="宋体"/>
                <w:sz w:val="21"/>
                <w:szCs w:val="21"/>
              </w:rPr>
              <w:t>投标人名称：</w:t>
            </w:r>
            <w:r>
              <w:rPr>
                <w:rFonts w:hint="eastAsia" w:hAnsi="宋体"/>
                <w:sz w:val="21"/>
                <w:szCs w:val="22"/>
              </w:rPr>
              <w:t>_______________</w:t>
            </w:r>
          </w:p>
        </w:tc>
      </w:tr>
      <w:tr>
        <w:tblPrEx>
          <w:tblCellMar>
            <w:top w:w="0" w:type="dxa"/>
            <w:left w:w="108" w:type="dxa"/>
            <w:bottom w:w="0" w:type="dxa"/>
            <w:right w:w="108" w:type="dxa"/>
          </w:tblCellMar>
        </w:tblPrEx>
        <w:trPr>
          <w:trHeight w:val="664"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4.2.3</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是否退还投标文件</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1"/>
              </w:rPr>
            </w:pPr>
            <w:r>
              <w:rPr>
                <w:rFonts w:hint="eastAsia" w:hAnsi="宋体"/>
                <w:sz w:val="21"/>
                <w:szCs w:val="21"/>
              </w:rPr>
              <w:t>□否</w:t>
            </w:r>
          </w:p>
          <w:p>
            <w:pPr>
              <w:rPr>
                <w:rFonts w:ascii="宋体" w:hAnsi="宋体"/>
                <w:szCs w:val="21"/>
              </w:rPr>
            </w:pPr>
            <w:r>
              <w:rPr>
                <w:rFonts w:hint="eastAsia" w:ascii="宋体" w:hAnsi="宋体"/>
                <w:szCs w:val="21"/>
              </w:rPr>
              <w:t>□</w:t>
            </w:r>
            <w:r>
              <w:rPr>
                <w:rFonts w:ascii="宋体" w:hAnsi="宋体"/>
                <w:szCs w:val="21"/>
              </w:rPr>
              <w:t>是，退还时间：</w:t>
            </w:r>
            <w:r>
              <w:rPr>
                <w:rFonts w:hint="eastAsia" w:hAnsi="宋体"/>
                <w:szCs w:val="22"/>
              </w:rPr>
              <w:t>_______________</w:t>
            </w:r>
          </w:p>
        </w:tc>
      </w:tr>
      <w:tr>
        <w:tblPrEx>
          <w:tblCellMar>
            <w:top w:w="0" w:type="dxa"/>
            <w:left w:w="108" w:type="dxa"/>
            <w:bottom w:w="0" w:type="dxa"/>
            <w:right w:w="108" w:type="dxa"/>
          </w:tblCellMar>
        </w:tblPrEx>
        <w:trPr>
          <w:trHeight w:val="2779"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开标时间和地点</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投标文件第一个信封（商务及技术文件）开标时间：同投标截止时间</w:t>
            </w:r>
          </w:p>
          <w:p>
            <w:pPr>
              <w:rPr>
                <w:rFonts w:ascii="宋体" w:hAnsi="宋体"/>
                <w:szCs w:val="21"/>
              </w:rPr>
            </w:pPr>
            <w:r>
              <w:rPr>
                <w:rFonts w:ascii="宋体" w:hAnsi="宋体"/>
                <w:szCs w:val="21"/>
              </w:rPr>
              <w:t>投标文件第一个信封（商务及技术文件）开标地点：</w:t>
            </w:r>
            <w:r>
              <w:rPr>
                <w:rFonts w:hint="eastAsia" w:ascii="宋体" w:hAnsi="宋体"/>
                <w:szCs w:val="21"/>
              </w:rPr>
              <w:t>同递交投标文件地点</w:t>
            </w:r>
          </w:p>
          <w:p>
            <w:pPr>
              <w:adjustRightInd w:val="0"/>
              <w:snapToGrid w:val="0"/>
              <w:spacing w:line="360" w:lineRule="auto"/>
              <w:jc w:val="left"/>
              <w:rPr>
                <w:rFonts w:ascii="宋体" w:hAnsi="宋体" w:cs="MingLiU_HKSCS"/>
              </w:rPr>
            </w:pPr>
            <w:r>
              <w:rPr>
                <w:rFonts w:ascii="宋体" w:hAnsi="宋体" w:cs="MingLiU_HKSCS"/>
              </w:rPr>
              <w:t>投标文件第二个信封（报价文件）开标时间：</w:t>
            </w:r>
          </w:p>
          <w:p>
            <w:pPr>
              <w:adjustRightInd w:val="0"/>
              <w:snapToGrid w:val="0"/>
              <w:spacing w:line="360" w:lineRule="auto"/>
              <w:jc w:val="left"/>
              <w:rPr>
                <w:rFonts w:ascii="宋体" w:hAnsi="宋体" w:cs="MingLiU_HKSCS"/>
              </w:rPr>
            </w:pPr>
            <w:r>
              <w:rPr>
                <w:rFonts w:ascii="宋体" w:hAnsi="宋体" w:cs="MingLiU_HKSCS"/>
                <w:u w:val="single"/>
              </w:rPr>
              <w:t>第一个信封（商务及技术文件）评审结束后，另行通知</w:t>
            </w:r>
          </w:p>
          <w:p>
            <w:pPr>
              <w:adjustRightInd w:val="0"/>
              <w:snapToGrid w:val="0"/>
              <w:spacing w:line="360" w:lineRule="auto"/>
              <w:jc w:val="left"/>
              <w:rPr>
                <w:rFonts w:ascii="宋体" w:hAnsi="宋体" w:cs="MingLiU_HKSCS"/>
              </w:rPr>
            </w:pPr>
            <w:r>
              <w:rPr>
                <w:rFonts w:ascii="宋体" w:hAnsi="宋体" w:cs="MingLiU_HKSCS"/>
              </w:rPr>
              <w:t>投标文件第二个信封（报价文件）开标地点：</w:t>
            </w:r>
          </w:p>
          <w:p>
            <w:pPr>
              <w:rPr>
                <w:rFonts w:ascii="宋体" w:hAnsi="宋体"/>
                <w:szCs w:val="21"/>
              </w:rPr>
            </w:pPr>
            <w:r>
              <w:rPr>
                <w:rFonts w:ascii="宋体" w:hAnsi="宋体" w:cs="MingLiU_HKSCS"/>
                <w:u w:val="single"/>
              </w:rPr>
              <w:t>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br w:type="page"/>
            </w:r>
            <w:r>
              <w:rPr>
                <w:rFonts w:ascii="宋体" w:hAnsi="宋体"/>
                <w:szCs w:val="21"/>
              </w:rPr>
              <w:t>5.2.1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第一个信封（商务及技术文件）</w:t>
            </w:r>
            <w:r>
              <w:rPr>
                <w:rFonts w:ascii="宋体" w:hAnsi="宋体"/>
                <w:szCs w:val="21"/>
              </w:rPr>
              <w:t>开标程序</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（4）密封情况检查：</w:t>
            </w:r>
            <w:r>
              <w:rPr>
                <w:rFonts w:hint="eastAsia" w:ascii="宋体" w:hAnsi="宋体"/>
                <w:szCs w:val="21"/>
              </w:rPr>
              <w:t>检查</w:t>
            </w:r>
            <w:r>
              <w:rPr>
                <w:rFonts w:ascii="宋体" w:hAnsi="宋体"/>
                <w:szCs w:val="21"/>
              </w:rPr>
              <w:t>商务及技术文件是否存在提前开启情况</w:t>
            </w:r>
          </w:p>
          <w:p>
            <w:pPr>
              <w:rPr>
                <w:rFonts w:ascii="宋体" w:hAnsi="宋体"/>
                <w:szCs w:val="21"/>
              </w:rPr>
            </w:pPr>
            <w:r>
              <w:rPr>
                <w:rFonts w:ascii="宋体" w:hAnsi="宋体"/>
                <w:szCs w:val="21"/>
              </w:rPr>
              <w:t>（5）开标顺序：</w:t>
            </w:r>
            <w:r>
              <w:rPr>
                <w:rStyle w:val="214"/>
                <w:rFonts w:hint="eastAsia" w:ascii="宋体" w:hAnsi="宋体" w:eastAsia="宋体" w:cs="宋体"/>
                <w:sz w:val="21"/>
                <w:szCs w:val="21"/>
                <w:lang w:val="zh-CN" w:eastAsia="zh-CN"/>
              </w:rPr>
              <w:t>随机启封、逐一公布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5.2.</w:t>
            </w:r>
            <w:r>
              <w:rPr>
                <w:rFonts w:hint="eastAsia" w:ascii="宋体" w:hAnsi="宋体"/>
                <w:szCs w:val="21"/>
              </w:rPr>
              <w:t>3</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第二个信封（报价文件）</w:t>
            </w:r>
            <w:r>
              <w:rPr>
                <w:rFonts w:ascii="宋体" w:hAnsi="宋体"/>
                <w:szCs w:val="21"/>
              </w:rPr>
              <w:t>开标程序</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（4）密封情况检查：</w:t>
            </w:r>
            <w:r>
              <w:rPr>
                <w:rFonts w:hint="eastAsia" w:ascii="宋体" w:hAnsi="宋体"/>
                <w:szCs w:val="21"/>
              </w:rPr>
              <w:t>检查报价</w:t>
            </w:r>
            <w:r>
              <w:rPr>
                <w:rFonts w:ascii="宋体" w:hAnsi="宋体"/>
                <w:szCs w:val="21"/>
              </w:rPr>
              <w:t>文件是否存在提前开启情况</w:t>
            </w:r>
          </w:p>
          <w:p>
            <w:pPr>
              <w:rPr>
                <w:rFonts w:ascii="宋体" w:hAnsi="宋体"/>
                <w:szCs w:val="21"/>
              </w:rPr>
            </w:pPr>
            <w:r>
              <w:rPr>
                <w:rFonts w:ascii="宋体" w:hAnsi="宋体"/>
                <w:szCs w:val="21"/>
              </w:rPr>
              <w:t>（</w:t>
            </w:r>
            <w:r>
              <w:rPr>
                <w:rFonts w:hint="eastAsia" w:ascii="宋体" w:hAnsi="宋体"/>
                <w:szCs w:val="21"/>
              </w:rPr>
              <w:t>5</w:t>
            </w:r>
            <w:r>
              <w:rPr>
                <w:rFonts w:ascii="宋体" w:hAnsi="宋体"/>
                <w:szCs w:val="21"/>
              </w:rPr>
              <w:t>）开标顺序：</w:t>
            </w:r>
            <w:r>
              <w:rPr>
                <w:rStyle w:val="214"/>
                <w:rFonts w:hint="eastAsia" w:ascii="宋体" w:hAnsi="宋体" w:eastAsia="宋体" w:cs="宋体"/>
                <w:sz w:val="21"/>
                <w:szCs w:val="21"/>
                <w:lang w:val="zh-CN" w:eastAsia="zh-CN"/>
              </w:rPr>
              <w:t>随机启封、逐一公布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3" w:type="dxa"/>
            <w:tcBorders>
              <w:bottom w:val="single" w:color="auto" w:sz="4" w:space="0"/>
            </w:tcBorders>
            <w:vAlign w:val="center"/>
          </w:tcPr>
          <w:p>
            <w:pPr>
              <w:jc w:val="center"/>
              <w:rPr>
                <w:rFonts w:ascii="宋体" w:hAnsi="宋体"/>
                <w:szCs w:val="21"/>
              </w:rPr>
            </w:pPr>
            <w:r>
              <w:rPr>
                <w:rFonts w:ascii="宋体" w:hAnsi="宋体"/>
                <w:szCs w:val="21"/>
              </w:rPr>
              <w:t>6.1.1</w:t>
            </w:r>
          </w:p>
        </w:tc>
        <w:tc>
          <w:tcPr>
            <w:tcW w:w="2462" w:type="dxa"/>
            <w:gridSpan w:val="2"/>
            <w:tcBorders>
              <w:bottom w:val="single" w:color="auto" w:sz="4" w:space="0"/>
            </w:tcBorders>
            <w:vAlign w:val="center"/>
          </w:tcPr>
          <w:p>
            <w:pPr>
              <w:jc w:val="center"/>
              <w:rPr>
                <w:rFonts w:ascii="宋体" w:hAnsi="宋体"/>
                <w:szCs w:val="21"/>
              </w:rPr>
            </w:pPr>
            <w:r>
              <w:rPr>
                <w:rFonts w:hint="eastAsia" w:ascii="宋体" w:hAnsi="宋体"/>
              </w:rPr>
              <w:t>评标委员会的组建</w:t>
            </w:r>
            <w:r>
              <w:rPr>
                <w:rStyle w:val="56"/>
                <w:rFonts w:ascii="宋体" w:hAnsi="宋体"/>
                <w:sz w:val="32"/>
                <w:szCs w:val="32"/>
                <w:lang w:val="zh-CN"/>
              </w:rPr>
              <w:footnoteReference w:id="31"/>
            </w:r>
          </w:p>
        </w:tc>
        <w:tc>
          <w:tcPr>
            <w:tcW w:w="5825" w:type="dxa"/>
            <w:tcBorders>
              <w:bottom w:val="single" w:color="auto" w:sz="4" w:space="0"/>
            </w:tcBorders>
            <w:vAlign w:val="center"/>
          </w:tcPr>
          <w:p>
            <w:pPr>
              <w:rPr>
                <w:rFonts w:ascii="宋体" w:hAnsi="宋体"/>
                <w:szCs w:val="21"/>
              </w:rPr>
            </w:pPr>
            <w:r>
              <w:rPr>
                <w:rFonts w:hint="eastAsia" w:ascii="宋体" w:hAnsi="宋体"/>
                <w:szCs w:val="21"/>
              </w:rPr>
              <w:t>评标委员会构成：</w:t>
            </w:r>
            <w:r>
              <w:rPr>
                <w:rFonts w:hint="eastAsia" w:hAnsi="宋体"/>
                <w:szCs w:val="22"/>
              </w:rPr>
              <w:t>_____</w:t>
            </w:r>
            <w:r>
              <w:rPr>
                <w:rStyle w:val="214"/>
                <w:rFonts w:hint="eastAsia" w:ascii="宋体" w:hAnsi="宋体" w:eastAsia="宋体"/>
                <w:sz w:val="21"/>
                <w:szCs w:val="21"/>
              </w:rPr>
              <w:t>人，评标委员会由招标人代表和有关专家组成，其中技术、经济等方面的专家不得少于成员总数的三分之二</w:t>
            </w:r>
            <w:r>
              <w:rPr>
                <w:rFonts w:hint="eastAsia" w:ascii="宋体" w:hAnsi="宋体"/>
                <w:szCs w:val="21"/>
              </w:rPr>
              <w:t>。</w:t>
            </w:r>
          </w:p>
          <w:p>
            <w:pPr>
              <w:rPr>
                <w:rFonts w:ascii="宋体" w:hAnsi="宋体"/>
                <w:szCs w:val="21"/>
              </w:rPr>
            </w:pPr>
            <w:r>
              <w:rPr>
                <w:rFonts w:hint="eastAsia" w:ascii="宋体" w:hAnsi="宋体"/>
                <w:szCs w:val="21"/>
              </w:rPr>
              <w:t>评标专家确定方式：依法从相应评标专家库中随机抽取</w:t>
            </w:r>
            <w:r>
              <w:rPr>
                <w:rStyle w:val="56"/>
                <w:rFonts w:ascii="宋体" w:hAnsi="宋体"/>
                <w:sz w:val="32"/>
                <w:szCs w:val="32"/>
              </w:rPr>
              <w:footnoteReference w:id="32"/>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3" w:type="dxa"/>
            <w:tcBorders>
              <w:bottom w:val="single" w:color="auto" w:sz="4" w:space="0"/>
            </w:tcBorders>
            <w:vAlign w:val="center"/>
          </w:tcPr>
          <w:p>
            <w:pPr>
              <w:jc w:val="center"/>
              <w:rPr>
                <w:rFonts w:ascii="宋体" w:hAnsi="宋体"/>
                <w:szCs w:val="21"/>
              </w:rPr>
            </w:pPr>
            <w:r>
              <w:rPr>
                <w:rFonts w:ascii="宋体" w:hAnsi="宋体"/>
              </w:rPr>
              <w:t>6.3.2</w:t>
            </w:r>
          </w:p>
        </w:tc>
        <w:tc>
          <w:tcPr>
            <w:tcW w:w="2462" w:type="dxa"/>
            <w:gridSpan w:val="2"/>
            <w:tcBorders>
              <w:bottom w:val="single" w:color="auto" w:sz="4" w:space="0"/>
            </w:tcBorders>
            <w:vAlign w:val="center"/>
          </w:tcPr>
          <w:p>
            <w:pPr>
              <w:jc w:val="center"/>
              <w:rPr>
                <w:rFonts w:ascii="宋体" w:hAnsi="宋体"/>
                <w:szCs w:val="21"/>
              </w:rPr>
            </w:pPr>
            <w:r>
              <w:rPr>
                <w:rFonts w:ascii="宋体" w:hAnsi="宋体"/>
              </w:rPr>
              <w:t>评标委员会推荐中标候选人的人数</w:t>
            </w:r>
          </w:p>
        </w:tc>
        <w:tc>
          <w:tcPr>
            <w:tcW w:w="5825" w:type="dxa"/>
            <w:tcBorders>
              <w:bottom w:val="single" w:color="auto" w:sz="4" w:space="0"/>
            </w:tcBorders>
            <w:vAlign w:val="center"/>
          </w:tcPr>
          <w:p>
            <w:pPr>
              <w:rPr>
                <w:rFonts w:ascii="宋体" w:hAnsi="宋体"/>
                <w:spacing w:val="10"/>
                <w:szCs w:val="21"/>
                <w:bdr w:val="single" w:color="auto" w:sz="4" w:space="0"/>
              </w:rPr>
            </w:pPr>
            <w:r>
              <w:rPr>
                <w:rFonts w:hint="eastAsia" w:ascii="宋体" w:hAnsi="宋体"/>
                <w:szCs w:val="21"/>
                <w:u w:val="single"/>
              </w:rPr>
              <w:t>原则上3个</w:t>
            </w:r>
            <w:r>
              <w:rPr>
                <w:rStyle w:val="56"/>
                <w:rFonts w:ascii="宋体" w:hAnsi="宋体"/>
                <w:sz w:val="32"/>
                <w:szCs w:val="32"/>
                <w:lang w:val="zh-CN"/>
              </w:rPr>
              <w:footnoteReference w:id="33"/>
            </w:r>
            <w:r>
              <w:rPr>
                <w:rFonts w:hint="eastAsia" w:ascii="宋体" w:hAnsi="宋体"/>
                <w:szCs w:val="21"/>
              </w:rPr>
              <w:t>（评标办法规定的特殊情况除外）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nil"/>
              <w:right w:val="single" w:color="auto" w:sz="4" w:space="0"/>
            </w:tcBorders>
            <w:vAlign w:val="center"/>
          </w:tcPr>
          <w:p>
            <w:pPr>
              <w:jc w:val="center"/>
              <w:rPr>
                <w:rFonts w:ascii="宋体" w:hAnsi="宋体"/>
                <w:szCs w:val="21"/>
              </w:rPr>
            </w:pPr>
            <w:r>
              <w:rPr>
                <w:rFonts w:ascii="宋体" w:hAnsi="宋体"/>
              </w:rPr>
              <w:t>7.1</w:t>
            </w:r>
          </w:p>
        </w:tc>
        <w:tc>
          <w:tcPr>
            <w:tcW w:w="2462" w:type="dxa"/>
            <w:gridSpan w:val="2"/>
            <w:tcBorders>
              <w:top w:val="single" w:color="auto" w:sz="4" w:space="0"/>
              <w:left w:val="single" w:color="auto" w:sz="4" w:space="0"/>
              <w:bottom w:val="nil"/>
              <w:right w:val="single" w:color="auto" w:sz="4" w:space="0"/>
            </w:tcBorders>
            <w:vAlign w:val="center"/>
          </w:tcPr>
          <w:p>
            <w:pPr>
              <w:jc w:val="center"/>
              <w:rPr>
                <w:rFonts w:ascii="宋体" w:hAnsi="宋体"/>
                <w:szCs w:val="21"/>
              </w:rPr>
            </w:pPr>
            <w:r>
              <w:rPr>
                <w:rFonts w:ascii="宋体" w:hAnsi="宋体"/>
              </w:rPr>
              <w:t>中标候选人公示媒介及期限</w:t>
            </w:r>
          </w:p>
        </w:tc>
        <w:tc>
          <w:tcPr>
            <w:tcW w:w="5825" w:type="dxa"/>
            <w:tcBorders>
              <w:top w:val="single" w:color="auto" w:sz="4" w:space="0"/>
              <w:left w:val="single" w:color="auto" w:sz="4" w:space="0"/>
              <w:bottom w:val="nil"/>
              <w:right w:val="single" w:color="auto" w:sz="4" w:space="0"/>
            </w:tcBorders>
            <w:vAlign w:val="center"/>
          </w:tcPr>
          <w:p>
            <w:pPr>
              <w:jc w:val="left"/>
              <w:rPr>
                <w:rFonts w:ascii="宋体" w:hAnsi="宋体" w:cs="MingLiU"/>
                <w:kern w:val="0"/>
                <w:szCs w:val="21"/>
                <w:u w:val="single"/>
              </w:rPr>
            </w:pPr>
            <w:r>
              <w:rPr>
                <w:rFonts w:hint="eastAsia" w:ascii="宋体" w:hAnsi="宋体" w:cs="MingLiU"/>
                <w:kern w:val="0"/>
                <w:lang w:val="zh-CN"/>
              </w:rPr>
              <w:t>公示媒介</w:t>
            </w:r>
            <w:r>
              <w:rPr>
                <w:rStyle w:val="56"/>
                <w:rFonts w:ascii="宋体" w:hAnsi="宋体"/>
                <w:sz w:val="32"/>
                <w:szCs w:val="32"/>
              </w:rPr>
              <w:footnoteReference w:id="34"/>
            </w:r>
            <w:r>
              <w:rPr>
                <w:rFonts w:hint="eastAsia" w:ascii="宋体" w:hAnsi="宋体" w:cs="MingLiU"/>
                <w:kern w:val="0"/>
                <w:lang w:val="zh-CN"/>
              </w:rPr>
              <w:t>：</w:t>
            </w:r>
            <w:r>
              <w:rPr>
                <w:rFonts w:hint="eastAsia" w:ascii="宋体" w:hAnsi="宋体" w:cs="MingLiU"/>
                <w:kern w:val="0"/>
                <w:szCs w:val="21"/>
                <w:u w:val="single"/>
              </w:rPr>
              <w:t>广东省招标投标监管网、广东省公共资源交易平台（湛江市）</w:t>
            </w:r>
          </w:p>
          <w:p>
            <w:pPr>
              <w:jc w:val="left"/>
              <w:rPr>
                <w:rStyle w:val="214"/>
                <w:rFonts w:ascii="宋体" w:hAnsi="宋体" w:eastAsia="宋体"/>
                <w:sz w:val="21"/>
                <w:szCs w:val="21"/>
              </w:rPr>
            </w:pPr>
            <w:r>
              <w:rPr>
                <w:rFonts w:hint="eastAsia" w:ascii="宋体" w:hAnsi="宋体" w:cs="MingLiU"/>
                <w:kern w:val="0"/>
                <w:lang w:val="zh-CN"/>
              </w:rPr>
              <w:t>公示期限：</w:t>
            </w:r>
            <w:r>
              <w:rPr>
                <w:rStyle w:val="214"/>
                <w:rFonts w:hint="eastAsia" w:ascii="宋体" w:hAnsi="宋体" w:eastAsia="宋体"/>
                <w:sz w:val="21"/>
                <w:szCs w:val="21"/>
              </w:rPr>
              <w:t>3日</w:t>
            </w:r>
            <w:r>
              <w:rPr>
                <w:rStyle w:val="56"/>
                <w:rFonts w:ascii="宋体" w:hAnsi="宋体"/>
                <w:sz w:val="32"/>
                <w:szCs w:val="32"/>
                <w:lang w:val="zh-CN"/>
              </w:rPr>
              <w:footnoteReference w:id="35"/>
            </w:r>
          </w:p>
          <w:p>
            <w:pPr>
              <w:jc w:val="left"/>
              <w:rPr>
                <w:rFonts w:ascii="宋体" w:hAnsi="宋体"/>
                <w:szCs w:val="21"/>
              </w:rPr>
            </w:pPr>
            <w:r>
              <w:rPr>
                <w:rFonts w:hint="eastAsia" w:ascii="宋体" w:hAnsi="宋体" w:cs="宋体"/>
                <w:szCs w:val="21"/>
              </w:rPr>
              <w:t>公示的其他内容：</w:t>
            </w:r>
            <w:r>
              <w:rPr>
                <w:rFonts w:hint="eastAsia" w:ascii="宋体" w:hAnsi="宋体" w:cs="宋体"/>
                <w:szCs w:val="21"/>
                <w:u w:val="single"/>
              </w:rPr>
              <w:t>最新一年度AA、A级投标人的信用等级使用情况及所有承诺使用最新一年度</w:t>
            </w:r>
            <w:r>
              <w:rPr>
                <w:rFonts w:ascii="宋体" w:hAnsi="宋体" w:cs="宋体"/>
                <w:szCs w:val="21"/>
                <w:u w:val="single"/>
              </w:rPr>
              <w:t>AA、A</w:t>
            </w:r>
            <w:r>
              <w:rPr>
                <w:rFonts w:hint="eastAsia" w:ascii="宋体" w:hAnsi="宋体" w:cs="宋体"/>
                <w:szCs w:val="21"/>
                <w:u w:val="single"/>
              </w:rPr>
              <w:t>级投标人的年度信用等级使用情况。</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7.4</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是否授权评标委员会确定中标人</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ascii="宋体" w:hAnsi="宋体"/>
                <w:sz w:val="32"/>
              </w:rPr>
              <w:t>□</w:t>
            </w:r>
            <w:r>
              <w:rPr>
                <w:rFonts w:ascii="宋体" w:hAnsi="宋体"/>
              </w:rPr>
              <w:t>是</w:t>
            </w:r>
          </w:p>
          <w:p>
            <w:pPr>
              <w:snapToGrid w:val="0"/>
              <w:rPr>
                <w:rFonts w:ascii="宋体" w:hAnsi="宋体"/>
                <w:szCs w:val="21"/>
              </w:rPr>
            </w:pPr>
            <w:r>
              <w:rPr>
                <w:rFonts w:ascii="宋体" w:hAnsi="宋体"/>
                <w:sz w:val="32"/>
              </w:rPr>
              <w:t>□</w:t>
            </w:r>
            <w:r>
              <w:rPr>
                <w:rFonts w:ascii="宋体" w:hAnsi="宋体"/>
              </w:rPr>
              <w:t>否</w:t>
            </w:r>
          </w:p>
        </w:tc>
      </w:tr>
      <w:tr>
        <w:tblPrEx>
          <w:tblCellMar>
            <w:top w:w="0" w:type="dxa"/>
            <w:left w:w="108" w:type="dxa"/>
            <w:bottom w:w="0" w:type="dxa"/>
            <w:right w:w="108" w:type="dxa"/>
          </w:tblCellMar>
        </w:tblPrEx>
        <w:trPr>
          <w:trHeight w:val="1040"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7.5</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中标通知书和中标结果通知发出的形式</w:t>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Style w:val="214"/>
                <w:rFonts w:hint="eastAsia" w:ascii="宋体" w:hAnsi="宋体" w:eastAsia="宋体"/>
                <w:sz w:val="21"/>
                <w:szCs w:val="21"/>
              </w:rPr>
              <w:t>中标通知书以书面或电子形式发出；中标结果在广东省招投标监管网及</w:t>
            </w:r>
            <w:r>
              <w:rPr>
                <w:rStyle w:val="214"/>
                <w:rFonts w:hint="eastAsia" w:ascii="宋体" w:hAnsi="宋体" w:eastAsia="宋体"/>
                <w:sz w:val="21"/>
                <w:szCs w:val="21"/>
                <w:lang w:val="zh-CN" w:eastAsia="zh-CN"/>
              </w:rPr>
              <w:t>广东省公共资源交易平台（湛江市）</w:t>
            </w:r>
            <w:r>
              <w:rPr>
                <w:rStyle w:val="214"/>
                <w:rFonts w:hint="eastAsia" w:ascii="宋体" w:hAnsi="宋体" w:eastAsia="宋体"/>
                <w:sz w:val="21"/>
                <w:szCs w:val="21"/>
              </w:rPr>
              <w:t>发布，视为已送达未中标的投标人，不再另行通知。</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7.</w:t>
            </w:r>
            <w:r>
              <w:rPr>
                <w:rFonts w:hint="eastAsia" w:ascii="宋体" w:hAnsi="宋体"/>
              </w:rPr>
              <w:t>6</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pStyle w:val="211"/>
              <w:shd w:val="clear" w:color="auto" w:fill="auto"/>
              <w:spacing w:before="0" w:line="240" w:lineRule="auto"/>
              <w:jc w:val="center"/>
              <w:rPr>
                <w:rFonts w:ascii="宋体" w:hAnsi="宋体" w:eastAsia="宋体"/>
                <w:szCs w:val="21"/>
              </w:rPr>
            </w:pPr>
            <w:r>
              <w:rPr>
                <w:rStyle w:val="214"/>
                <w:rFonts w:hint="eastAsia" w:ascii="宋体" w:hAnsi="宋体" w:eastAsia="宋体"/>
                <w:sz w:val="21"/>
                <w:szCs w:val="21"/>
              </w:rPr>
              <w:t>中标结果公告媒介及期限</w:t>
            </w:r>
          </w:p>
        </w:tc>
        <w:tc>
          <w:tcPr>
            <w:tcW w:w="582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cs="宋体"/>
                <w:szCs w:val="21"/>
              </w:rPr>
              <w:t>公告媒介：广东省招标投标监管网</w:t>
            </w:r>
            <w:r>
              <w:rPr>
                <w:rStyle w:val="56"/>
                <w:rFonts w:ascii="宋体" w:hAnsi="宋体"/>
                <w:sz w:val="32"/>
                <w:szCs w:val="32"/>
              </w:rPr>
              <w:footnoteReference w:id="36"/>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r>
              <w:rPr>
                <w:rFonts w:hint="eastAsia" w:ascii="宋体" w:hAnsi="宋体"/>
                <w:szCs w:val="21"/>
              </w:rPr>
              <w:t>8</w:t>
            </w:r>
            <w:r>
              <w:rPr>
                <w:rFonts w:ascii="宋体" w:hAnsi="宋体"/>
                <w:szCs w:val="21"/>
              </w:rPr>
              <w:t>.1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履约</w:t>
            </w:r>
            <w:r>
              <w:rPr>
                <w:rFonts w:hint="eastAsia" w:ascii="宋体" w:hAnsi="宋体"/>
                <w:szCs w:val="21"/>
              </w:rPr>
              <w:t>保证金</w:t>
            </w:r>
          </w:p>
        </w:tc>
        <w:tc>
          <w:tcPr>
            <w:tcW w:w="5825" w:type="dxa"/>
            <w:tcBorders>
              <w:top w:val="single" w:color="auto" w:sz="4" w:space="0"/>
              <w:left w:val="single" w:color="auto" w:sz="4" w:space="0"/>
              <w:bottom w:val="single" w:color="auto" w:sz="4" w:space="0"/>
              <w:right w:val="single" w:color="auto" w:sz="4" w:space="0"/>
            </w:tcBorders>
            <w:vAlign w:val="center"/>
          </w:tcPr>
          <w:p>
            <w:pPr>
              <w:pStyle w:val="17"/>
              <w:topLinePunct/>
              <w:rPr>
                <w:rFonts w:hAnsi="宋体"/>
                <w:sz w:val="21"/>
                <w:szCs w:val="21"/>
              </w:rPr>
            </w:pPr>
            <w:r>
              <w:rPr>
                <w:rFonts w:hAnsi="宋体"/>
                <w:sz w:val="21"/>
                <w:szCs w:val="21"/>
              </w:rPr>
              <w:t>是否要求中标人提交履约保证金：</w:t>
            </w:r>
          </w:p>
          <w:p>
            <w:pPr>
              <w:pStyle w:val="17"/>
              <w:topLinePunct/>
              <w:rPr>
                <w:rFonts w:hAnsi="宋体"/>
                <w:sz w:val="21"/>
                <w:szCs w:val="21"/>
              </w:rPr>
            </w:pPr>
            <w:r>
              <w:rPr>
                <w:rFonts w:hAnsi="宋体"/>
                <w:sz w:val="32"/>
              </w:rPr>
              <w:t>□</w:t>
            </w:r>
            <w:r>
              <w:rPr>
                <w:rFonts w:hAnsi="宋体"/>
                <w:sz w:val="21"/>
                <w:szCs w:val="21"/>
              </w:rPr>
              <w:t>要求</w:t>
            </w:r>
            <w:r>
              <w:rPr>
                <w:rFonts w:hint="eastAsia" w:hAnsi="宋体"/>
                <w:sz w:val="21"/>
                <w:szCs w:val="21"/>
              </w:rPr>
              <w:t>，</w:t>
            </w:r>
            <w:r>
              <w:rPr>
                <w:rFonts w:hAnsi="宋体"/>
                <w:sz w:val="21"/>
                <w:szCs w:val="21"/>
              </w:rPr>
              <w:t>履约保证金的形式：</w:t>
            </w:r>
            <w:r>
              <w:rPr>
                <w:rFonts w:hint="eastAsia" w:hAnsi="宋体"/>
                <w:sz w:val="21"/>
                <w:szCs w:val="21"/>
                <w:u w:val="single"/>
              </w:rPr>
              <w:t>由投标人自主选择采用现金（或支票）、或银行保函或其他合法形式</w:t>
            </w:r>
            <w:r>
              <w:rPr>
                <w:rStyle w:val="56"/>
                <w:rFonts w:hint="eastAsia" w:hAnsi="宋体"/>
                <w:kern w:val="0"/>
                <w:sz w:val="30"/>
                <w:szCs w:val="24"/>
              </w:rPr>
              <w:footnoteReference w:id="37"/>
            </w:r>
          </w:p>
          <w:p>
            <w:pPr>
              <w:rPr>
                <w:rFonts w:ascii="宋体" w:hAnsi="宋体"/>
                <w:b/>
                <w:bCs/>
                <w:sz w:val="28"/>
                <w:szCs w:val="21"/>
              </w:rPr>
            </w:pPr>
            <w:r>
              <w:rPr>
                <w:rFonts w:ascii="宋体" w:hAnsi="宋体"/>
                <w:szCs w:val="21"/>
              </w:rPr>
              <w:t>履约保证金的金额：</w:t>
            </w:r>
            <w:r>
              <w:rPr>
                <w:rFonts w:hint="eastAsia" w:ascii="宋体" w:hAnsi="宋体"/>
                <w:szCs w:val="21"/>
              </w:rPr>
              <w:t>_____%</w:t>
            </w:r>
            <w:r>
              <w:rPr>
                <w:rStyle w:val="56"/>
                <w:rFonts w:ascii="宋体" w:hAnsi="宋体"/>
                <w:sz w:val="32"/>
                <w:szCs w:val="32"/>
              </w:rPr>
              <w:footnoteReference w:id="38"/>
            </w:r>
            <w:r>
              <w:rPr>
                <w:rFonts w:hint="eastAsia" w:ascii="宋体" w:hAnsi="宋体"/>
                <w:szCs w:val="21"/>
              </w:rPr>
              <w:t>签约合同价</w:t>
            </w:r>
          </w:p>
          <w:p>
            <w:pPr>
              <w:rPr>
                <w:rFonts w:ascii="宋体" w:hAnsi="宋体"/>
                <w:b/>
                <w:bCs/>
                <w:sz w:val="28"/>
                <w:szCs w:val="21"/>
              </w:rPr>
            </w:pPr>
            <w:r>
              <w:rPr>
                <w:rFonts w:ascii="宋体" w:hAnsi="宋体"/>
                <w:spacing w:val="-8"/>
                <w:szCs w:val="21"/>
              </w:rPr>
              <w:t>采用银行保函时，出具</w:t>
            </w:r>
            <w:r>
              <w:rPr>
                <w:rFonts w:hint="eastAsia" w:ascii="宋体" w:hAnsi="宋体"/>
                <w:spacing w:val="-8"/>
                <w:szCs w:val="21"/>
              </w:rPr>
              <w:t>保函</w:t>
            </w:r>
            <w:r>
              <w:rPr>
                <w:rFonts w:ascii="宋体" w:hAnsi="宋体"/>
                <w:spacing w:val="-8"/>
                <w:szCs w:val="21"/>
              </w:rPr>
              <w:t>的银行级别</w:t>
            </w:r>
            <w:r>
              <w:rPr>
                <w:rFonts w:ascii="宋体" w:hAnsi="宋体"/>
                <w:szCs w:val="21"/>
              </w:rPr>
              <w:t>：</w:t>
            </w:r>
            <w:r>
              <w:rPr>
                <w:rFonts w:hint="eastAsia" w:ascii="宋体" w:hAnsi="宋体"/>
                <w:szCs w:val="21"/>
                <w:u w:val="single"/>
              </w:rPr>
              <w:t>投标人公司注册所在地的全国性国有商业银行或股份制商业银行的分支机构。</w:t>
            </w:r>
          </w:p>
          <w:p>
            <w:pPr>
              <w:rPr>
                <w:rFonts w:ascii="宋体" w:hAnsi="宋体"/>
                <w:szCs w:val="21"/>
              </w:rPr>
            </w:pPr>
            <w:r>
              <w:rPr>
                <w:rFonts w:ascii="宋体" w:hAnsi="宋体"/>
                <w:sz w:val="32"/>
              </w:rPr>
              <w:t>□</w:t>
            </w:r>
            <w:r>
              <w:rPr>
                <w:rFonts w:ascii="宋体" w:hAnsi="宋体"/>
                <w:szCs w:val="22"/>
              </w:rPr>
              <w:t>不要求</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br w:type="page"/>
            </w:r>
            <w:r>
              <w:rPr>
                <w:rFonts w:hint="eastAsia" w:ascii="宋体" w:hAnsi="宋体"/>
                <w:szCs w:val="21"/>
              </w:rPr>
              <w:t>8</w:t>
            </w:r>
            <w:r>
              <w:rPr>
                <w:rFonts w:ascii="宋体" w:hAnsi="宋体"/>
                <w:szCs w:val="21"/>
              </w:rPr>
              <w:t>.5</w:t>
            </w:r>
            <w:r>
              <w:rPr>
                <w:rFonts w:hint="eastAsia" w:ascii="宋体" w:hAnsi="宋体"/>
                <w:szCs w:val="21"/>
              </w:rPr>
              <w:t>.1</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监督部门</w:t>
            </w:r>
          </w:p>
        </w:tc>
        <w:tc>
          <w:tcPr>
            <w:tcW w:w="5825" w:type="dxa"/>
            <w:tcBorders>
              <w:top w:val="single" w:color="auto" w:sz="4" w:space="0"/>
              <w:left w:val="single" w:color="auto" w:sz="4" w:space="0"/>
              <w:bottom w:val="single" w:color="auto" w:sz="4" w:space="0"/>
              <w:right w:val="single" w:color="auto" w:sz="4" w:space="0"/>
            </w:tcBorders>
            <w:vAlign w:val="center"/>
          </w:tcPr>
          <w:p>
            <w:pPr>
              <w:ind w:right="124" w:rightChars="59"/>
              <w:rPr>
                <w:rFonts w:ascii="宋体" w:hAnsi="宋体" w:cs="MingLiU"/>
                <w:szCs w:val="21"/>
              </w:rPr>
            </w:pPr>
            <w:r>
              <w:rPr>
                <w:rFonts w:hint="eastAsia" w:ascii="宋体" w:hAnsi="宋体" w:cs="MingLiU"/>
                <w:szCs w:val="21"/>
              </w:rPr>
              <w:t>监督部门</w:t>
            </w:r>
            <w:r>
              <w:rPr>
                <w:rStyle w:val="56"/>
                <w:rFonts w:ascii="宋体" w:hAnsi="宋体"/>
                <w:sz w:val="32"/>
                <w:szCs w:val="32"/>
              </w:rPr>
              <w:footnoteReference w:id="39"/>
            </w:r>
            <w:r>
              <w:rPr>
                <w:rFonts w:hint="eastAsia" w:ascii="宋体" w:hAnsi="宋体" w:cs="MingLiU"/>
                <w:szCs w:val="21"/>
              </w:rPr>
              <w:t>：__________</w:t>
            </w:r>
          </w:p>
          <w:p>
            <w:pPr>
              <w:ind w:right="124" w:rightChars="59"/>
              <w:rPr>
                <w:rFonts w:ascii="宋体" w:hAnsi="宋体" w:cs="MingLiU"/>
                <w:szCs w:val="21"/>
              </w:rPr>
            </w:pPr>
            <w:r>
              <w:rPr>
                <w:rFonts w:hint="eastAsia" w:ascii="宋体" w:hAnsi="宋体" w:cs="MingLiU"/>
                <w:szCs w:val="21"/>
              </w:rPr>
              <w:t>电话： __________</w:t>
            </w:r>
          </w:p>
          <w:p>
            <w:pPr>
              <w:ind w:right="124" w:rightChars="59"/>
              <w:rPr>
                <w:rFonts w:ascii="宋体" w:hAnsi="宋体" w:cs="MingLiU"/>
                <w:szCs w:val="21"/>
              </w:rPr>
            </w:pPr>
            <w:r>
              <w:rPr>
                <w:rFonts w:hint="eastAsia" w:ascii="宋体" w:hAnsi="宋体" w:cs="MingLiU"/>
                <w:szCs w:val="21"/>
              </w:rPr>
              <w:t>传真： __________</w:t>
            </w:r>
          </w:p>
          <w:p>
            <w:pPr>
              <w:ind w:right="124" w:rightChars="59"/>
              <w:rPr>
                <w:rFonts w:ascii="宋体" w:hAnsi="宋体" w:cs="MingLiU"/>
                <w:szCs w:val="21"/>
              </w:rPr>
            </w:pPr>
            <w:r>
              <w:rPr>
                <w:rFonts w:hint="eastAsia" w:ascii="宋体" w:hAnsi="宋体" w:cs="MingLiU"/>
                <w:szCs w:val="21"/>
              </w:rPr>
              <w:t>通信地址：__________</w:t>
            </w:r>
          </w:p>
          <w:p>
            <w:pPr>
              <w:ind w:right="124" w:rightChars="59"/>
              <w:rPr>
                <w:rFonts w:ascii="宋体" w:hAnsi="宋体" w:cs="MingLiU"/>
                <w:szCs w:val="21"/>
              </w:rPr>
            </w:pPr>
            <w:r>
              <w:rPr>
                <w:rFonts w:hint="eastAsia" w:ascii="宋体" w:hAnsi="宋体" w:cs="MingLiU"/>
                <w:szCs w:val="21"/>
              </w:rPr>
              <w:t>邮政编码：__________</w:t>
            </w:r>
          </w:p>
          <w:p>
            <w:pPr>
              <w:ind w:right="124" w:rightChars="59"/>
              <w:rPr>
                <w:rFonts w:ascii="宋体" w:hAnsi="宋体" w:cs="MingLiU"/>
                <w:szCs w:val="21"/>
              </w:rPr>
            </w:pPr>
          </w:p>
          <w:p>
            <w:pPr>
              <w:ind w:right="124" w:rightChars="59"/>
              <w:rPr>
                <w:rFonts w:ascii="宋体" w:hAnsi="宋体" w:cs="MingLiU"/>
                <w:szCs w:val="21"/>
              </w:rPr>
            </w:pPr>
            <w:r>
              <w:rPr>
                <w:rFonts w:hint="eastAsia" w:ascii="宋体" w:hAnsi="宋体" w:cs="MingLiU"/>
                <w:szCs w:val="21"/>
              </w:rPr>
              <w:t>××交通运输主管部门（或项目上级管理单位）：</w:t>
            </w:r>
            <w:r>
              <w:rPr>
                <w:rFonts w:ascii="宋体" w:hAnsi="宋体" w:cs="MingLiU"/>
                <w:szCs w:val="21"/>
                <w:u w:val="single"/>
              </w:rPr>
              <w:t>（按项目隶属管理关系可选）</w:t>
            </w:r>
          </w:p>
          <w:p>
            <w:pPr>
              <w:ind w:right="124" w:rightChars="59"/>
              <w:rPr>
                <w:rFonts w:ascii="宋体" w:hAnsi="宋体" w:cs="MingLiU"/>
                <w:szCs w:val="21"/>
              </w:rPr>
            </w:pPr>
            <w:r>
              <w:rPr>
                <w:rFonts w:hint="eastAsia" w:ascii="宋体" w:hAnsi="宋体" w:cs="MingLiU"/>
                <w:szCs w:val="21"/>
              </w:rPr>
              <w:t>电话：__________</w:t>
            </w:r>
          </w:p>
          <w:p>
            <w:pPr>
              <w:ind w:right="124" w:rightChars="59"/>
              <w:rPr>
                <w:rFonts w:ascii="宋体" w:hAnsi="宋体" w:cs="MingLiU"/>
                <w:szCs w:val="21"/>
              </w:rPr>
            </w:pPr>
            <w:r>
              <w:rPr>
                <w:rFonts w:hint="eastAsia" w:ascii="宋体" w:hAnsi="宋体" w:cs="MingLiU"/>
                <w:szCs w:val="21"/>
              </w:rPr>
              <w:t>传真：__________</w:t>
            </w:r>
          </w:p>
          <w:p>
            <w:pPr>
              <w:ind w:right="124" w:rightChars="59"/>
              <w:rPr>
                <w:rFonts w:ascii="宋体" w:hAnsi="宋体" w:cs="MingLiU"/>
                <w:szCs w:val="21"/>
              </w:rPr>
            </w:pPr>
            <w:r>
              <w:rPr>
                <w:rFonts w:hint="eastAsia" w:ascii="宋体" w:hAnsi="宋体" w:cs="MingLiU"/>
                <w:szCs w:val="21"/>
              </w:rPr>
              <w:t>通信地址：__________</w:t>
            </w:r>
          </w:p>
          <w:p>
            <w:pPr>
              <w:ind w:right="124" w:rightChars="59"/>
              <w:rPr>
                <w:rFonts w:ascii="宋体" w:hAnsi="宋体" w:cs="MingLiU"/>
                <w:szCs w:val="21"/>
              </w:rPr>
            </w:pPr>
            <w:r>
              <w:rPr>
                <w:rFonts w:hint="eastAsia" w:ascii="宋体" w:hAnsi="宋体" w:cs="MingLiU"/>
                <w:szCs w:val="21"/>
              </w:rPr>
              <w:t>邮政编码：__________</w:t>
            </w:r>
          </w:p>
          <w:p>
            <w:pPr>
              <w:ind w:right="124" w:rightChars="59"/>
              <w:rPr>
                <w:rFonts w:ascii="宋体" w:hAnsi="宋体" w:cs="MingLiU"/>
                <w:szCs w:val="21"/>
              </w:rPr>
            </w:pPr>
          </w:p>
          <w:p>
            <w:pPr>
              <w:ind w:right="124" w:rightChars="59"/>
              <w:rPr>
                <w:rFonts w:ascii="宋体" w:hAnsi="宋体" w:cs="MingLiU"/>
                <w:szCs w:val="21"/>
              </w:rPr>
            </w:pPr>
            <w:r>
              <w:rPr>
                <w:rFonts w:hint="eastAsia" w:ascii="宋体" w:hAnsi="宋体" w:cs="MingLiU"/>
                <w:szCs w:val="21"/>
              </w:rPr>
              <w:t>项目管理单位监督机构：</w:t>
            </w:r>
            <w:r>
              <w:rPr>
                <w:rFonts w:ascii="宋体" w:hAnsi="宋体" w:cs="MingLiU"/>
                <w:szCs w:val="21"/>
                <w:u w:val="single"/>
              </w:rPr>
              <w:t>（按项目管理情况可选）</w:t>
            </w:r>
          </w:p>
          <w:p>
            <w:pPr>
              <w:ind w:right="124" w:rightChars="59"/>
              <w:rPr>
                <w:rFonts w:ascii="宋体" w:hAnsi="宋体" w:cs="MingLiU"/>
                <w:szCs w:val="21"/>
              </w:rPr>
            </w:pPr>
            <w:r>
              <w:rPr>
                <w:rFonts w:hint="eastAsia" w:ascii="宋体" w:hAnsi="宋体" w:cs="MingLiU"/>
                <w:szCs w:val="21"/>
              </w:rPr>
              <w:t>电话：__________</w:t>
            </w:r>
          </w:p>
          <w:p>
            <w:pPr>
              <w:ind w:right="124" w:rightChars="59"/>
              <w:rPr>
                <w:rFonts w:ascii="宋体" w:hAnsi="宋体" w:cs="MingLiU"/>
                <w:szCs w:val="21"/>
              </w:rPr>
            </w:pPr>
            <w:r>
              <w:rPr>
                <w:rFonts w:hint="eastAsia" w:ascii="宋体" w:hAnsi="宋体" w:cs="MingLiU"/>
                <w:szCs w:val="21"/>
              </w:rPr>
              <w:t>传真：__________</w:t>
            </w:r>
          </w:p>
          <w:p>
            <w:pPr>
              <w:ind w:right="124" w:rightChars="59"/>
              <w:rPr>
                <w:rFonts w:ascii="宋体" w:hAnsi="宋体" w:cs="MingLiU"/>
                <w:szCs w:val="21"/>
              </w:rPr>
            </w:pPr>
            <w:r>
              <w:rPr>
                <w:rFonts w:hint="eastAsia" w:ascii="宋体" w:hAnsi="宋体" w:cs="MingLiU"/>
                <w:szCs w:val="21"/>
              </w:rPr>
              <w:t>通信地址：__________</w:t>
            </w:r>
          </w:p>
          <w:p>
            <w:pPr>
              <w:rPr>
                <w:rFonts w:ascii="宋体" w:hAnsi="宋体"/>
                <w:szCs w:val="21"/>
                <w:u w:val="single"/>
              </w:rPr>
            </w:pPr>
            <w:r>
              <w:rPr>
                <w:rFonts w:hint="eastAsia" w:ascii="宋体" w:hAnsi="宋体" w:cs="MingLiU"/>
                <w:szCs w:val="21"/>
              </w:rPr>
              <w:t>邮政编码：__________</w:t>
            </w:r>
          </w:p>
        </w:tc>
      </w:tr>
      <w:tr>
        <w:tblPrEx>
          <w:tblCellMar>
            <w:top w:w="0" w:type="dxa"/>
            <w:left w:w="108" w:type="dxa"/>
            <w:bottom w:w="0" w:type="dxa"/>
            <w:right w:w="108" w:type="dxa"/>
          </w:tblCellMar>
        </w:tblPrEx>
        <w:trPr>
          <w:trHeight w:val="172" w:hRule="atLeast"/>
        </w:trPr>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9</w:t>
            </w:r>
          </w:p>
        </w:tc>
        <w:tc>
          <w:tcPr>
            <w:tcW w:w="24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rPr>
              <w:t>是否采用电子招标投标</w:t>
            </w:r>
            <w:r>
              <w:rPr>
                <w:rStyle w:val="56"/>
                <w:rFonts w:hint="eastAsia" w:ascii="宋体" w:hAnsi="宋体"/>
                <w:kern w:val="0"/>
                <w:sz w:val="30"/>
              </w:rPr>
              <w:footnoteReference w:id="40"/>
            </w:r>
          </w:p>
        </w:tc>
        <w:tc>
          <w:tcPr>
            <w:tcW w:w="582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ascii="宋体" w:hAnsi="宋体"/>
                <w:sz w:val="32"/>
              </w:rPr>
              <w:t>□</w:t>
            </w:r>
            <w:r>
              <w:rPr>
                <w:rFonts w:ascii="宋体" w:hAnsi="宋体"/>
              </w:rPr>
              <w:t>否</w:t>
            </w:r>
          </w:p>
          <w:p>
            <w:pPr>
              <w:rPr>
                <w:rFonts w:ascii="宋体" w:hAnsi="宋体"/>
                <w:szCs w:val="21"/>
              </w:rPr>
            </w:pPr>
            <w:r>
              <w:rPr>
                <w:rFonts w:ascii="宋体" w:hAnsi="宋体"/>
                <w:sz w:val="32"/>
              </w:rPr>
              <w:t>□</w:t>
            </w:r>
            <w:r>
              <w:rPr>
                <w:rFonts w:ascii="宋体" w:hAnsi="宋体"/>
              </w:rPr>
              <w:t>是，具体要求：</w:t>
            </w:r>
          </w:p>
        </w:tc>
      </w:tr>
      <w:tr>
        <w:tblPrEx>
          <w:tblCellMar>
            <w:top w:w="0" w:type="dxa"/>
            <w:left w:w="108" w:type="dxa"/>
            <w:bottom w:w="0" w:type="dxa"/>
            <w:right w:w="108" w:type="dxa"/>
          </w:tblCellMar>
        </w:tblPrEx>
        <w:trPr>
          <w:trHeight w:val="172" w:hRule="atLeast"/>
        </w:trPr>
        <w:tc>
          <w:tcPr>
            <w:tcW w:w="9220"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ascii="宋体" w:hAnsi="宋体"/>
                <w:b/>
                <w:szCs w:val="21"/>
              </w:rPr>
              <w:t>需要补充的其他内容</w:t>
            </w:r>
          </w:p>
        </w:tc>
      </w:tr>
      <w:tr>
        <w:tblPrEx>
          <w:tblCellMar>
            <w:top w:w="0" w:type="dxa"/>
            <w:left w:w="108" w:type="dxa"/>
            <w:bottom w:w="0" w:type="dxa"/>
            <w:right w:w="108" w:type="dxa"/>
          </w:tblCellMar>
        </w:tblPrEx>
        <w:trPr>
          <w:trHeight w:val="172" w:hRule="atLeast"/>
        </w:trPr>
        <w:tc>
          <w:tcPr>
            <w:tcW w:w="10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bookmarkStart w:id="860" w:name="_GoBack"/>
            <w:bookmarkEnd w:id="860"/>
            <w:r>
              <w:rPr>
                <w:rFonts w:ascii="宋体" w:hAnsi="宋体" w:cs="宋体"/>
                <w:kern w:val="0"/>
                <w:szCs w:val="21"/>
                <w:lang w:val="zh-CN"/>
              </w:rPr>
              <w:t>10</w:t>
            </w:r>
          </w:p>
        </w:tc>
        <w:tc>
          <w:tcPr>
            <w:tcW w:w="8214" w:type="dxa"/>
            <w:gridSpan w:val="2"/>
            <w:tcBorders>
              <w:top w:val="single" w:color="auto" w:sz="4" w:space="0"/>
              <w:left w:val="single" w:color="auto" w:sz="4" w:space="0"/>
              <w:bottom w:val="single" w:color="auto" w:sz="4" w:space="0"/>
              <w:right w:val="single" w:color="auto" w:sz="4" w:space="0"/>
            </w:tcBorders>
          </w:tcPr>
          <w:p>
            <w:pPr>
              <w:rPr>
                <w:rFonts w:ascii="宋体" w:hAnsi="宋体" w:cs="宋体"/>
                <w:b/>
                <w:kern w:val="0"/>
                <w:szCs w:val="21"/>
                <w:lang w:val="zh-CN"/>
              </w:rPr>
            </w:pPr>
            <w:r>
              <w:rPr>
                <w:rFonts w:ascii="宋体" w:hAnsi="宋体" w:cs="宋体"/>
                <w:b/>
                <w:kern w:val="0"/>
                <w:szCs w:val="21"/>
                <w:lang w:val="zh-CN"/>
              </w:rPr>
              <w:t>在10.1款后增加如下条款</w:t>
            </w:r>
            <w:r>
              <w:rPr>
                <w:rFonts w:hint="eastAsia" w:ascii="宋体" w:hAnsi="宋体" w:cs="宋体"/>
                <w:b/>
                <w:kern w:val="0"/>
                <w:szCs w:val="21"/>
                <w:lang w:val="zh-CN"/>
              </w:rPr>
              <w:t>10.2</w:t>
            </w:r>
            <w:r>
              <w:rPr>
                <w:rFonts w:ascii="宋体" w:hAnsi="宋体" w:cs="宋体"/>
                <w:b/>
                <w:kern w:val="0"/>
                <w:szCs w:val="21"/>
                <w:lang w:val="zh-CN"/>
              </w:rPr>
              <w:t>款</w:t>
            </w:r>
            <w:r>
              <w:rPr>
                <w:rFonts w:hint="eastAsia" w:ascii="宋体" w:hAnsi="宋体" w:cs="宋体"/>
                <w:b/>
                <w:kern w:val="0"/>
                <w:szCs w:val="21"/>
                <w:lang w:val="zh-CN"/>
              </w:rPr>
              <w:t>、10.3</w:t>
            </w:r>
            <w:r>
              <w:rPr>
                <w:rFonts w:ascii="宋体" w:hAnsi="宋体" w:cs="宋体"/>
                <w:b/>
                <w:kern w:val="0"/>
                <w:szCs w:val="21"/>
                <w:lang w:val="zh-CN"/>
              </w:rPr>
              <w:t>款</w:t>
            </w:r>
            <w:r>
              <w:rPr>
                <w:rFonts w:hint="eastAsia" w:ascii="宋体" w:hAnsi="宋体" w:cs="宋体"/>
                <w:b/>
                <w:kern w:val="0"/>
                <w:szCs w:val="21"/>
                <w:lang w:val="zh-CN"/>
              </w:rPr>
              <w:t>、10.4</w:t>
            </w:r>
            <w:r>
              <w:rPr>
                <w:rFonts w:ascii="宋体" w:hAnsi="宋体" w:cs="宋体"/>
                <w:b/>
                <w:kern w:val="0"/>
                <w:szCs w:val="21"/>
                <w:lang w:val="zh-CN"/>
              </w:rPr>
              <w:t>款</w:t>
            </w:r>
            <w:r>
              <w:rPr>
                <w:rFonts w:hint="eastAsia" w:ascii="宋体" w:hAnsi="宋体" w:cs="宋体"/>
                <w:b/>
                <w:kern w:val="0"/>
                <w:szCs w:val="21"/>
                <w:lang w:val="zh-CN"/>
              </w:rPr>
              <w:t>、10.5</w:t>
            </w:r>
            <w:r>
              <w:rPr>
                <w:rFonts w:ascii="宋体" w:hAnsi="宋体" w:cs="宋体"/>
                <w:b/>
                <w:kern w:val="0"/>
                <w:szCs w:val="21"/>
                <w:lang w:val="zh-CN"/>
              </w:rPr>
              <w:t>款</w:t>
            </w:r>
            <w:r>
              <w:rPr>
                <w:rFonts w:hint="eastAsia" w:ascii="宋体" w:hAnsi="宋体" w:cs="宋体"/>
                <w:b/>
                <w:kern w:val="0"/>
                <w:szCs w:val="21"/>
                <w:lang w:val="zh-CN"/>
              </w:rPr>
              <w:t>、10.</w:t>
            </w:r>
            <w:r>
              <w:rPr>
                <w:rFonts w:hint="eastAsia" w:ascii="宋体" w:hAnsi="宋体" w:cs="宋体"/>
                <w:b/>
                <w:kern w:val="0"/>
                <w:szCs w:val="21"/>
              </w:rPr>
              <w:t>6</w:t>
            </w:r>
            <w:r>
              <w:rPr>
                <w:rFonts w:hint="eastAsia" w:ascii="宋体" w:hAnsi="宋体" w:cs="宋体"/>
                <w:b/>
                <w:kern w:val="0"/>
                <w:szCs w:val="21"/>
                <w:lang w:val="zh-CN"/>
              </w:rPr>
              <w:t>款、10.</w:t>
            </w:r>
            <w:r>
              <w:rPr>
                <w:rFonts w:hint="eastAsia" w:ascii="宋体" w:hAnsi="宋体" w:cs="宋体"/>
                <w:b/>
                <w:kern w:val="0"/>
                <w:szCs w:val="21"/>
              </w:rPr>
              <w:t>7</w:t>
            </w:r>
            <w:r>
              <w:rPr>
                <w:rFonts w:hint="eastAsia" w:ascii="宋体" w:hAnsi="宋体" w:cs="宋体"/>
                <w:b/>
                <w:kern w:val="0"/>
                <w:szCs w:val="21"/>
                <w:lang w:val="zh-CN"/>
              </w:rPr>
              <w:t>款</w:t>
            </w:r>
            <w:r>
              <w:rPr>
                <w:rFonts w:ascii="宋体" w:hAnsi="宋体" w:cs="宋体"/>
                <w:b/>
                <w:kern w:val="0"/>
                <w:szCs w:val="21"/>
                <w:lang w:val="zh-CN"/>
              </w:rPr>
              <w:t>：</w:t>
            </w:r>
          </w:p>
          <w:p>
            <w:pPr>
              <w:topLinePunct/>
              <w:adjustRightInd w:val="0"/>
              <w:snapToGrid w:val="0"/>
              <w:ind w:left="-19" w:right="124" w:rightChars="59"/>
              <w:rPr>
                <w:rFonts w:ascii="宋体" w:hAnsi="宋体" w:cs="宋体"/>
                <w:szCs w:val="21"/>
              </w:rPr>
            </w:pPr>
            <w:r>
              <w:rPr>
                <w:rFonts w:hint="eastAsia" w:ascii="宋体" w:hAnsi="宋体" w:cs="宋体"/>
                <w:szCs w:val="21"/>
              </w:rPr>
              <w:t>10.2信用等级的确定原则：</w:t>
            </w:r>
          </w:p>
          <w:p>
            <w:pPr>
              <w:adjustRightInd w:val="0"/>
              <w:snapToGrid w:val="0"/>
              <w:ind w:right="124" w:rightChars="59" w:firstLine="315" w:firstLineChars="150"/>
              <w:rPr>
                <w:rFonts w:ascii="宋体" w:hAnsi="宋体" w:cs="宋体"/>
                <w:szCs w:val="21"/>
              </w:rPr>
            </w:pPr>
            <w:r>
              <w:rPr>
                <w:rFonts w:hint="eastAsia" w:ascii="宋体" w:hAnsi="宋体" w:cs="宋体"/>
                <w:szCs w:val="21"/>
              </w:rPr>
              <w:t>10.2  信用等级的确定原则：</w:t>
            </w:r>
          </w:p>
          <w:p>
            <w:pPr>
              <w:adjustRightInd w:val="0"/>
              <w:snapToGrid w:val="0"/>
              <w:ind w:right="124" w:rightChars="59" w:firstLine="315" w:firstLineChars="150"/>
              <w:rPr>
                <w:rFonts w:ascii="宋体" w:hAnsi="宋体" w:cs="宋体"/>
                <w:szCs w:val="21"/>
              </w:rPr>
            </w:pPr>
            <w:r>
              <w:rPr>
                <w:rFonts w:hint="eastAsia" w:ascii="宋体" w:hAnsi="宋体" w:cs="宋体"/>
                <w:szCs w:val="21"/>
              </w:rPr>
              <w:t>10.2.1 招标文件中的信用等级指的是</w:t>
            </w:r>
            <w:r>
              <w:rPr>
                <w:rFonts w:hint="eastAsia" w:ascii="宋体" w:hAnsi="宋体" w:cs="宋体"/>
                <w:szCs w:val="21"/>
                <w:lang w:eastAsia="zh-CN"/>
              </w:rPr>
              <w:t>湛江市</w:t>
            </w:r>
            <w:r>
              <w:rPr>
                <w:rFonts w:hint="eastAsia" w:ascii="宋体" w:hAnsi="宋体" w:cs="宋体"/>
                <w:szCs w:val="21"/>
              </w:rPr>
              <w:t>交通运输</w:t>
            </w:r>
            <w:r>
              <w:rPr>
                <w:rFonts w:hint="eastAsia" w:ascii="宋体" w:hAnsi="宋体" w:cs="宋体"/>
                <w:szCs w:val="21"/>
                <w:lang w:eastAsia="zh-CN"/>
              </w:rPr>
              <w:t>局</w:t>
            </w:r>
            <w:r>
              <w:rPr>
                <w:rFonts w:hint="eastAsia" w:ascii="宋体" w:hAnsi="宋体" w:cs="宋体"/>
                <w:szCs w:val="21"/>
              </w:rPr>
              <w:t>最新年度的信用评价结果。如无</w:t>
            </w:r>
            <w:r>
              <w:rPr>
                <w:rFonts w:hint="eastAsia" w:ascii="宋体" w:hAnsi="宋体" w:cs="宋体"/>
                <w:szCs w:val="21"/>
                <w:lang w:eastAsia="zh-CN"/>
              </w:rPr>
              <w:t>湛江市</w:t>
            </w:r>
            <w:r>
              <w:rPr>
                <w:rFonts w:hint="eastAsia" w:ascii="宋体" w:hAnsi="宋体" w:cs="宋体"/>
                <w:szCs w:val="21"/>
              </w:rPr>
              <w:t>最新年度信用等级而有上一年度</w:t>
            </w:r>
            <w:r>
              <w:rPr>
                <w:rFonts w:hint="eastAsia" w:ascii="宋体" w:hAnsi="宋体" w:cs="宋体"/>
                <w:szCs w:val="21"/>
                <w:lang w:eastAsia="zh-CN"/>
              </w:rPr>
              <w:t>湛江市</w:t>
            </w:r>
            <w:r>
              <w:rPr>
                <w:rFonts w:hint="eastAsia" w:ascii="宋体" w:hAnsi="宋体" w:cs="宋体"/>
                <w:szCs w:val="21"/>
              </w:rPr>
              <w:t>信用等级的，则其原信用等级可延续一年，但在递交投标文件时信用等级的使用次数应按上一年度公布的信用评价结果顺延上一年度的使用次数。具体使用次数有关规定如下：</w:t>
            </w:r>
          </w:p>
          <w:p>
            <w:pPr>
              <w:adjustRightInd w:val="0"/>
              <w:snapToGrid w:val="0"/>
              <w:ind w:right="124" w:rightChars="59" w:firstLine="315" w:firstLineChars="150"/>
              <w:rPr>
                <w:rFonts w:ascii="宋体" w:hAnsi="宋体" w:cs="宋体"/>
                <w:szCs w:val="21"/>
              </w:rPr>
            </w:pPr>
            <w:r>
              <w:rPr>
                <w:rFonts w:hint="eastAsia" w:ascii="宋体" w:hAnsi="宋体" w:cs="宋体"/>
                <w:szCs w:val="21"/>
              </w:rPr>
              <w:t>1.对于信用等级为AA级的从业单位:</w:t>
            </w:r>
          </w:p>
          <w:p>
            <w:pPr>
              <w:adjustRightInd w:val="0"/>
              <w:snapToGrid w:val="0"/>
              <w:ind w:right="124" w:rightChars="59" w:firstLine="315" w:firstLineChars="150"/>
              <w:rPr>
                <w:rFonts w:ascii="宋体" w:hAnsi="宋体" w:cs="宋体"/>
                <w:szCs w:val="21"/>
              </w:rPr>
            </w:pPr>
            <w:r>
              <w:rPr>
                <w:rFonts w:hint="eastAsia" w:ascii="宋体" w:hAnsi="宋体" w:cs="宋体"/>
                <w:szCs w:val="21"/>
              </w:rPr>
              <w:t>(1)仅最新一年度信用等级为AA级的从业单位在参加</w:t>
            </w:r>
            <w:r>
              <w:rPr>
                <w:rFonts w:hint="eastAsia" w:ascii="宋体" w:hAnsi="宋体" w:cs="宋体"/>
                <w:szCs w:val="21"/>
                <w:lang w:eastAsia="zh-CN"/>
              </w:rPr>
              <w:t>湛江市</w:t>
            </w:r>
            <w:r>
              <w:rPr>
                <w:rFonts w:hint="eastAsia" w:ascii="宋体" w:hAnsi="宋体" w:cs="宋体"/>
                <w:szCs w:val="21"/>
              </w:rPr>
              <w:t>水运工程建设项目投标活动（以递交资格预审申请文件或资格后审递交投标文件时间为准）时，可申请使用AA级分值8次，用完8次后信用等级分值将按A级分值取定；</w:t>
            </w:r>
          </w:p>
          <w:p>
            <w:pPr>
              <w:adjustRightInd w:val="0"/>
              <w:snapToGrid w:val="0"/>
              <w:ind w:right="124" w:rightChars="59" w:firstLine="315" w:firstLineChars="150"/>
              <w:rPr>
                <w:rFonts w:ascii="宋体" w:hAnsi="宋体" w:cs="宋体"/>
                <w:szCs w:val="21"/>
              </w:rPr>
            </w:pPr>
            <w:r>
              <w:rPr>
                <w:rFonts w:hint="eastAsia" w:ascii="宋体" w:hAnsi="宋体" w:cs="宋体"/>
                <w:szCs w:val="21"/>
              </w:rPr>
              <w:t>(2)连续最近两个年度信用等级为AA级的单位在参加</w:t>
            </w:r>
            <w:r>
              <w:rPr>
                <w:rFonts w:hint="eastAsia" w:ascii="宋体" w:hAnsi="宋体" w:cs="宋体"/>
                <w:szCs w:val="21"/>
                <w:lang w:eastAsia="zh-CN"/>
              </w:rPr>
              <w:t>湛江市</w:t>
            </w:r>
            <w:r>
              <w:rPr>
                <w:rFonts w:hint="eastAsia" w:ascii="宋体" w:hAnsi="宋体" w:cs="宋体"/>
                <w:szCs w:val="21"/>
              </w:rPr>
              <w:t>水运工程投标活动（以递交资格预审申请文件或资格后审递交投标文件时间为准）时，可申请使用AA级分值12次，用完12次后信用等级分值将按A级取定；</w:t>
            </w:r>
          </w:p>
          <w:p>
            <w:pPr>
              <w:adjustRightInd w:val="0"/>
              <w:snapToGrid w:val="0"/>
              <w:ind w:right="124" w:rightChars="59" w:firstLine="315" w:firstLineChars="150"/>
              <w:rPr>
                <w:rFonts w:ascii="宋体" w:hAnsi="宋体" w:cs="宋体"/>
                <w:szCs w:val="21"/>
              </w:rPr>
            </w:pPr>
            <w:r>
              <w:rPr>
                <w:rFonts w:hint="eastAsia" w:ascii="宋体" w:hAnsi="宋体" w:cs="宋体"/>
                <w:szCs w:val="21"/>
              </w:rPr>
              <w:t>2.对于信用等级为A级的从业单位:当年度信用等级A级单位在参加</w:t>
            </w:r>
            <w:r>
              <w:rPr>
                <w:rFonts w:hint="eastAsia" w:ascii="宋体" w:hAnsi="宋体" w:cs="宋体"/>
                <w:szCs w:val="21"/>
                <w:lang w:eastAsia="zh-CN"/>
              </w:rPr>
              <w:t>湛江市</w:t>
            </w:r>
            <w:r>
              <w:rPr>
                <w:rFonts w:hint="eastAsia" w:ascii="宋体" w:hAnsi="宋体" w:cs="宋体"/>
                <w:szCs w:val="21"/>
              </w:rPr>
              <w:t>水运工程建设项目招投标活动（以递交资格预审申请文件或资格后审递交投标文件时间为准）时，可申请使用A级分值12次，用完12次后信用等级分值将按B级分值取定。</w:t>
            </w:r>
          </w:p>
          <w:p>
            <w:pPr>
              <w:adjustRightInd w:val="0"/>
              <w:snapToGrid w:val="0"/>
              <w:ind w:right="124" w:rightChars="59" w:firstLine="315" w:firstLineChars="150"/>
              <w:rPr>
                <w:rFonts w:ascii="宋体" w:hAnsi="宋体" w:cs="宋体"/>
                <w:szCs w:val="21"/>
              </w:rPr>
            </w:pPr>
            <w:r>
              <w:rPr>
                <w:rFonts w:hint="eastAsia" w:ascii="宋体" w:hAnsi="宋体" w:cs="宋体"/>
                <w:szCs w:val="21"/>
              </w:rPr>
              <w:t>3.当年度信用等级为AA、A级的从业单位未承诺使用的信用等级分值的，AA级信用等级企业按A级对待、A级信用等级企业按B级对待。</w:t>
            </w:r>
          </w:p>
          <w:p>
            <w:pPr>
              <w:adjustRightInd w:val="0"/>
              <w:snapToGrid w:val="0"/>
              <w:ind w:right="124" w:rightChars="59" w:firstLine="315" w:firstLineChars="150"/>
              <w:rPr>
                <w:rFonts w:ascii="宋体" w:hAnsi="宋体" w:cs="宋体"/>
                <w:szCs w:val="21"/>
              </w:rPr>
            </w:pPr>
            <w:r>
              <w:rPr>
                <w:rFonts w:hint="eastAsia" w:ascii="宋体" w:hAnsi="宋体" w:cs="宋体"/>
                <w:szCs w:val="21"/>
              </w:rPr>
              <w:t>4.若从业企业在信用评价年度信用等级由AA降级为A级时，AA级信用等级已使用次数纳入A级信用等级使用次数合并累计。</w:t>
            </w:r>
          </w:p>
          <w:p>
            <w:pPr>
              <w:adjustRightInd w:val="0"/>
              <w:snapToGrid w:val="0"/>
              <w:ind w:right="124" w:rightChars="59" w:firstLine="210" w:firstLineChars="100"/>
              <w:rPr>
                <w:rFonts w:ascii="宋体" w:hAnsi="宋体" w:cs="宋体"/>
                <w:szCs w:val="21"/>
              </w:rPr>
            </w:pPr>
            <w:r>
              <w:rPr>
                <w:rFonts w:hint="eastAsia" w:ascii="宋体" w:hAnsi="宋体" w:cs="宋体"/>
                <w:szCs w:val="21"/>
              </w:rPr>
              <w:t>10.2.2信用等级延续1年后仍无信用评价等级的，按照初次进入</w:t>
            </w:r>
            <w:r>
              <w:rPr>
                <w:rFonts w:hint="eastAsia" w:ascii="宋体" w:hAnsi="宋体" w:cs="宋体"/>
                <w:szCs w:val="21"/>
                <w:lang w:eastAsia="zh-CN"/>
              </w:rPr>
              <w:t>湛江市</w:t>
            </w:r>
            <w:r>
              <w:rPr>
                <w:rFonts w:hint="eastAsia" w:ascii="宋体" w:hAnsi="宋体" w:cs="宋体"/>
                <w:szCs w:val="21"/>
              </w:rPr>
              <w:t>确定，原则上按B级对待，但下列情况除外：</w:t>
            </w:r>
            <w:r>
              <w:rPr>
                <w:rFonts w:hint="eastAsia" w:ascii="宋体" w:hAnsi="宋体" w:cs="宋体"/>
                <w:color w:val="auto"/>
                <w:sz w:val="21"/>
                <w:szCs w:val="21"/>
              </w:rPr>
              <w:t>最新年度的</w:t>
            </w:r>
            <w:r>
              <w:rPr>
                <w:rFonts w:hint="eastAsia" w:ascii="宋体" w:hAnsi="宋体" w:cs="宋体"/>
                <w:color w:val="auto"/>
                <w:sz w:val="21"/>
                <w:szCs w:val="21"/>
                <w:lang w:eastAsia="zh-CN"/>
              </w:rPr>
              <w:t>广东省</w:t>
            </w:r>
            <w:r>
              <w:rPr>
                <w:rFonts w:hint="eastAsia" w:ascii="宋体" w:hAnsi="宋体" w:cs="宋体"/>
                <w:color w:val="auto"/>
                <w:sz w:val="21"/>
                <w:szCs w:val="21"/>
                <w:lang w:val="en-US" w:eastAsia="zh-CN"/>
              </w:rPr>
              <w:t>/全国</w:t>
            </w:r>
            <w:r>
              <w:rPr>
                <w:rFonts w:hint="eastAsia" w:ascii="宋体" w:hAnsi="宋体" w:cs="宋体"/>
                <w:color w:val="auto"/>
                <w:sz w:val="21"/>
                <w:szCs w:val="21"/>
              </w:rPr>
              <w:t>水运从业单位（</w:t>
            </w:r>
            <w:r>
              <w:rPr>
                <w:rFonts w:hint="eastAsia" w:ascii="宋体" w:hAnsi="宋体" w:cs="宋体"/>
                <w:color w:val="auto"/>
                <w:sz w:val="21"/>
                <w:szCs w:val="21"/>
                <w:lang w:val="en-US"/>
              </w:rPr>
              <w:t>设计</w:t>
            </w:r>
            <w:r>
              <w:rPr>
                <w:rFonts w:hint="eastAsia" w:ascii="宋体" w:hAnsi="宋体" w:cs="宋体"/>
                <w:color w:val="auto"/>
                <w:sz w:val="21"/>
                <w:szCs w:val="21"/>
              </w:rPr>
              <w:t>单位）信用评价结果为C级或D级的，则按最新年度的</w:t>
            </w:r>
            <w:r>
              <w:rPr>
                <w:rFonts w:hint="eastAsia" w:ascii="宋体" w:hAnsi="宋体" w:cs="宋体"/>
                <w:color w:val="auto"/>
                <w:sz w:val="21"/>
                <w:szCs w:val="21"/>
                <w:lang w:eastAsia="zh-CN"/>
              </w:rPr>
              <w:t>广东省</w:t>
            </w:r>
            <w:r>
              <w:rPr>
                <w:rFonts w:hint="eastAsia" w:ascii="宋体" w:hAnsi="宋体" w:cs="宋体"/>
                <w:color w:val="auto"/>
                <w:sz w:val="21"/>
                <w:szCs w:val="21"/>
                <w:lang w:val="en-US" w:eastAsia="zh-CN"/>
              </w:rPr>
              <w:t>/全国</w:t>
            </w:r>
            <w:r>
              <w:rPr>
                <w:rFonts w:hint="eastAsia" w:ascii="宋体" w:hAnsi="宋体" w:cs="宋体"/>
                <w:color w:val="auto"/>
                <w:sz w:val="21"/>
                <w:szCs w:val="21"/>
              </w:rPr>
              <w:t>水运从业单位（</w:t>
            </w:r>
            <w:r>
              <w:rPr>
                <w:rFonts w:hint="eastAsia" w:ascii="宋体" w:hAnsi="宋体" w:cs="宋体"/>
                <w:color w:val="auto"/>
                <w:sz w:val="21"/>
                <w:szCs w:val="21"/>
                <w:lang w:val="en-US"/>
              </w:rPr>
              <w:t>设计</w:t>
            </w:r>
            <w:r>
              <w:rPr>
                <w:rFonts w:hint="eastAsia" w:ascii="宋体" w:hAnsi="宋体" w:cs="宋体"/>
                <w:color w:val="auto"/>
                <w:sz w:val="21"/>
                <w:szCs w:val="21"/>
              </w:rPr>
              <w:t>单位）信用评价结果对待；或最新年度的</w:t>
            </w:r>
            <w:r>
              <w:rPr>
                <w:rFonts w:hint="eastAsia" w:ascii="宋体" w:hAnsi="宋体" w:cs="宋体"/>
                <w:color w:val="auto"/>
                <w:sz w:val="21"/>
                <w:szCs w:val="21"/>
                <w:lang w:eastAsia="zh-CN"/>
              </w:rPr>
              <w:t>广东省</w:t>
            </w:r>
            <w:r>
              <w:rPr>
                <w:rFonts w:hint="eastAsia" w:ascii="宋体" w:hAnsi="宋体" w:cs="宋体"/>
                <w:color w:val="auto"/>
                <w:sz w:val="21"/>
                <w:szCs w:val="21"/>
                <w:lang w:val="en-US" w:eastAsia="zh-CN"/>
              </w:rPr>
              <w:t>/</w:t>
            </w:r>
            <w:r>
              <w:rPr>
                <w:rFonts w:hint="eastAsia" w:ascii="宋体" w:hAnsi="宋体" w:cs="宋体"/>
                <w:color w:val="auto"/>
                <w:sz w:val="21"/>
                <w:szCs w:val="21"/>
              </w:rPr>
              <w:t>全国水运从业单位（</w:t>
            </w:r>
            <w:r>
              <w:rPr>
                <w:rFonts w:hint="eastAsia" w:ascii="宋体" w:hAnsi="宋体" w:cs="宋体"/>
                <w:color w:val="auto"/>
                <w:sz w:val="21"/>
                <w:szCs w:val="21"/>
                <w:lang w:val="en-US"/>
              </w:rPr>
              <w:t>设计</w:t>
            </w:r>
            <w:r>
              <w:rPr>
                <w:rFonts w:hint="eastAsia" w:ascii="宋体" w:hAnsi="宋体" w:cs="宋体"/>
                <w:color w:val="auto"/>
                <w:sz w:val="21"/>
                <w:szCs w:val="21"/>
              </w:rPr>
              <w:t>单位）信用评价结果未被评为C级或D级的，但在</w:t>
            </w:r>
            <w:r>
              <w:rPr>
                <w:rFonts w:hint="eastAsia" w:ascii="宋体" w:hAnsi="宋体" w:cs="宋体"/>
                <w:color w:val="auto"/>
                <w:sz w:val="21"/>
                <w:szCs w:val="21"/>
                <w:lang w:eastAsia="zh-CN"/>
              </w:rPr>
              <w:t>湛江市</w:t>
            </w:r>
            <w:r>
              <w:rPr>
                <w:rFonts w:hint="eastAsia" w:ascii="宋体" w:hAnsi="宋体" w:cs="宋体"/>
                <w:color w:val="auto"/>
                <w:sz w:val="21"/>
                <w:szCs w:val="21"/>
              </w:rPr>
              <w:t>最近年度原评价等级为D级的，则按C级对待。</w:t>
            </w:r>
            <w:r>
              <w:rPr>
                <w:rFonts w:hint="eastAsia" w:ascii="宋体" w:hAnsi="宋体" w:cs="宋体"/>
                <w:color w:val="auto"/>
                <w:sz w:val="21"/>
                <w:szCs w:val="21"/>
                <w:lang w:val="en-US" w:eastAsia="zh-CN"/>
              </w:rPr>
              <w:t xml:space="preserve">                    </w:t>
            </w:r>
            <w:r>
              <w:rPr>
                <w:rFonts w:hint="eastAsia" w:ascii="宋体" w:hAnsi="宋体" w:cs="宋体"/>
                <w:szCs w:val="21"/>
              </w:rPr>
              <w:t>10.2.3 AA、A级单位是指使用</w:t>
            </w:r>
            <w:r>
              <w:rPr>
                <w:rFonts w:hint="eastAsia" w:ascii="宋体" w:hAnsi="宋体" w:cs="宋体"/>
                <w:szCs w:val="21"/>
                <w:lang w:eastAsia="zh-CN"/>
              </w:rPr>
              <w:t>湛江市</w:t>
            </w:r>
            <w:r>
              <w:rPr>
                <w:rFonts w:hint="eastAsia" w:ascii="宋体" w:hAnsi="宋体" w:cs="宋体"/>
                <w:szCs w:val="21"/>
              </w:rPr>
              <w:t>信用评价等级申请承诺书的单位。提交申请承诺书未使用AA、A时，在评标过程中，AA级信用等级企业按A级对待、A级信用等级企业按B级对待。</w:t>
            </w:r>
          </w:p>
          <w:p>
            <w:pPr>
              <w:adjustRightInd w:val="0"/>
              <w:snapToGrid w:val="0"/>
              <w:ind w:right="124" w:rightChars="59" w:firstLine="315" w:firstLineChars="150"/>
              <w:rPr>
                <w:rFonts w:ascii="宋体" w:hAnsi="宋体" w:cs="宋体"/>
                <w:szCs w:val="21"/>
              </w:rPr>
            </w:pPr>
            <w:r>
              <w:rPr>
                <w:rFonts w:hint="eastAsia" w:ascii="宋体" w:hAnsi="宋体" w:cs="宋体"/>
                <w:szCs w:val="21"/>
              </w:rPr>
              <w:t>10.2.4 在招标评标中，信用评价等级采用按次、按标段或标类申请使用的原则，即在同一次招标中的多个标段的投标，可自愿对其中部分或全部标段申请使用AA或A信用等级，无论中标与否，均应根据申请递交投标（或申请）文件情况按标段计算使用次数（非投标人原因导致招标失败的情况除外）。</w:t>
            </w:r>
          </w:p>
          <w:p>
            <w:pPr>
              <w:rPr>
                <w:rFonts w:ascii="宋体" w:hAnsi="宋体" w:cs="宋体"/>
                <w:szCs w:val="21"/>
              </w:rPr>
            </w:pPr>
            <w:r>
              <w:rPr>
                <w:rFonts w:hint="eastAsia" w:ascii="宋体" w:hAnsi="宋体" w:cs="宋体"/>
                <w:szCs w:val="21"/>
              </w:rPr>
              <w:t>10.2.5以联合体形式投标的，信用等级以联合体中信用等级较低的为准。如联合体成员中存在不属于</w:t>
            </w:r>
            <w:r>
              <w:rPr>
                <w:rFonts w:hint="eastAsia" w:ascii="宋体" w:hAnsi="宋体" w:cs="宋体"/>
                <w:szCs w:val="21"/>
                <w:lang w:eastAsia="zh-CN"/>
              </w:rPr>
              <w:t>湛江市</w:t>
            </w:r>
            <w:r>
              <w:rPr>
                <w:rFonts w:hint="eastAsia" w:ascii="宋体" w:hAnsi="宋体" w:cs="宋体"/>
                <w:szCs w:val="21"/>
              </w:rPr>
              <w:t>水运工程从业企业信用评价体系的参评范围的单位，其信用评价等级视为B级。</w:t>
            </w:r>
          </w:p>
          <w:p>
            <w:pPr>
              <w:rPr>
                <w:rFonts w:ascii="宋体" w:hAnsi="宋体" w:cs="宋体"/>
                <w:b/>
                <w:bCs/>
                <w:sz w:val="20"/>
                <w:szCs w:val="21"/>
                <w:lang w:val="zh-CN"/>
              </w:rPr>
            </w:pPr>
            <w:r>
              <w:rPr>
                <w:rFonts w:ascii="宋体" w:hAnsi="宋体" w:cs="宋体"/>
                <w:kern w:val="0"/>
                <w:szCs w:val="21"/>
                <w:lang w:val="zh-CN"/>
              </w:rPr>
              <w:t>10.</w:t>
            </w:r>
            <w:r>
              <w:rPr>
                <w:rFonts w:hint="eastAsia" w:ascii="宋体" w:hAnsi="宋体" w:cs="宋体"/>
                <w:kern w:val="0"/>
                <w:szCs w:val="21"/>
              </w:rPr>
              <w:t>3</w:t>
            </w:r>
            <w:r>
              <w:rPr>
                <w:rFonts w:ascii="宋体" w:hAnsi="宋体" w:cs="宋体"/>
                <w:kern w:val="0"/>
                <w:szCs w:val="21"/>
                <w:lang w:val="zh-CN"/>
              </w:rPr>
              <w:t>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w:t>
            </w:r>
            <w:r>
              <w:rPr>
                <w:rFonts w:hint="eastAsia" w:ascii="宋体" w:hAnsi="宋体" w:cs="宋体"/>
                <w:kern w:val="0"/>
                <w:szCs w:val="21"/>
                <w:lang w:val="zh-CN"/>
              </w:rPr>
              <w:t>，</w:t>
            </w:r>
            <w:r>
              <w:rPr>
                <w:rFonts w:ascii="宋体" w:hAnsi="宋体" w:cs="宋体"/>
                <w:kern w:val="0"/>
                <w:szCs w:val="21"/>
                <w:lang w:val="zh-CN"/>
              </w:rPr>
              <w:t>或重新组织招标，以此类推</w:t>
            </w:r>
            <w:r>
              <w:rPr>
                <w:rFonts w:hint="eastAsia" w:ascii="宋体" w:hAnsi="宋体" w:cs="宋体"/>
                <w:sz w:val="20"/>
                <w:szCs w:val="21"/>
                <w:lang w:val="zh-CN"/>
              </w:rPr>
              <w:t>。</w:t>
            </w:r>
          </w:p>
          <w:p>
            <w:pPr>
              <w:jc w:val="left"/>
              <w:rPr>
                <w:rFonts w:ascii="宋体" w:hAnsi="宋体" w:cs="宋体"/>
                <w:kern w:val="0"/>
                <w:szCs w:val="21"/>
                <w:lang w:val="zh-CN"/>
              </w:rPr>
            </w:pPr>
            <w:r>
              <w:rPr>
                <w:rFonts w:ascii="宋体" w:hAnsi="宋体" w:cs="宋体"/>
                <w:kern w:val="0"/>
                <w:szCs w:val="21"/>
                <w:lang w:val="zh-CN"/>
              </w:rPr>
              <w:t>10.</w:t>
            </w:r>
            <w:r>
              <w:rPr>
                <w:rFonts w:hint="eastAsia" w:ascii="宋体" w:hAnsi="宋体" w:cs="宋体"/>
                <w:kern w:val="0"/>
                <w:szCs w:val="21"/>
              </w:rPr>
              <w:t>4</w:t>
            </w:r>
            <w:r>
              <w:rPr>
                <w:rFonts w:ascii="宋体" w:hAnsi="宋体" w:cs="宋体"/>
                <w:kern w:val="0"/>
                <w:szCs w:val="21"/>
                <w:lang w:val="zh-CN"/>
              </w:rPr>
              <w:t>如果开标后至中标通知</w:t>
            </w:r>
            <w:r>
              <w:rPr>
                <w:rFonts w:hint="eastAsia" w:ascii="宋体" w:hAnsi="宋体" w:cs="宋体"/>
                <w:kern w:val="0"/>
                <w:szCs w:val="21"/>
                <w:lang w:val="zh-CN"/>
              </w:rPr>
              <w:t>书发出前，第一中标候选人发生投标人须知1.4.4项（1）至（</w:t>
            </w:r>
            <w:r>
              <w:rPr>
                <w:rFonts w:ascii="宋体" w:hAnsi="宋体" w:cs="宋体"/>
                <w:kern w:val="0"/>
                <w:szCs w:val="21"/>
                <w:lang w:val="zh-CN"/>
              </w:rPr>
              <w:t>7</w:t>
            </w:r>
            <w:r>
              <w:rPr>
                <w:rFonts w:hint="eastAsia" w:ascii="宋体" w:hAnsi="宋体" w:cs="宋体"/>
                <w:kern w:val="0"/>
                <w:szCs w:val="21"/>
                <w:lang w:val="zh-CN"/>
              </w:rPr>
              <w:t>）目中的情形，则取消其中标资格，招标人按推荐中标候选人排名顺序依次确定中标人，或重新组织招标。</w:t>
            </w:r>
          </w:p>
          <w:p>
            <w:pPr>
              <w:wordWrap w:val="0"/>
              <w:topLinePunct/>
              <w:rPr>
                <w:rFonts w:ascii="宋体" w:hAnsi="宋体" w:cs="宋体"/>
                <w:kern w:val="0"/>
                <w:szCs w:val="21"/>
                <w:lang w:val="zh-CN"/>
              </w:rPr>
            </w:pPr>
            <w:r>
              <w:rPr>
                <w:rFonts w:hint="eastAsia" w:ascii="宋体" w:hAnsi="宋体" w:cs="宋体"/>
                <w:kern w:val="0"/>
                <w:szCs w:val="21"/>
                <w:lang w:val="zh-CN"/>
              </w:rPr>
              <w:t>10.</w:t>
            </w:r>
            <w:r>
              <w:rPr>
                <w:rFonts w:hint="eastAsia" w:ascii="宋体" w:hAnsi="宋体" w:cs="宋体"/>
                <w:kern w:val="0"/>
                <w:szCs w:val="21"/>
              </w:rPr>
              <w:t>5</w:t>
            </w:r>
            <w:r>
              <w:rPr>
                <w:rFonts w:hint="eastAsia" w:ascii="宋体" w:hAnsi="宋体" w:cs="宋体"/>
                <w:kern w:val="0"/>
                <w:szCs w:val="21"/>
                <w:lang w:val="zh-CN"/>
              </w:rPr>
              <w:t>本招标文件中所有 “类似工程”</w:t>
            </w:r>
            <w:r>
              <w:rPr>
                <w:rStyle w:val="56"/>
                <w:rFonts w:ascii="宋体" w:hAnsi="宋体"/>
                <w:sz w:val="32"/>
                <w:szCs w:val="32"/>
                <w:lang w:val="zh-CN"/>
              </w:rPr>
              <w:footnoteReference w:id="41"/>
            </w:r>
            <w:r>
              <w:rPr>
                <w:rFonts w:hint="eastAsia" w:ascii="宋体" w:hAnsi="宋体" w:cs="宋体"/>
                <w:kern w:val="0"/>
                <w:szCs w:val="21"/>
                <w:lang w:val="zh-CN"/>
              </w:rPr>
              <w:t>均指</w:t>
            </w:r>
            <w:r>
              <w:rPr>
                <w:rFonts w:hint="eastAsia" w:ascii="宋体" w:hAnsi="宋体"/>
                <w:szCs w:val="21"/>
                <w:u w:val="single"/>
              </w:rPr>
              <w:t>新建或改、扩建(技术规模)水运</w:t>
            </w:r>
            <w:r>
              <w:rPr>
                <w:rFonts w:ascii="宋体" w:hAnsi="宋体" w:cs="宋体"/>
                <w:kern w:val="0"/>
                <w:szCs w:val="21"/>
                <w:lang w:val="zh-CN"/>
              </w:rPr>
              <w:t>项目</w:t>
            </w:r>
            <w:r>
              <w:rPr>
                <w:rFonts w:hint="eastAsia" w:ascii="宋体" w:hAnsi="宋体" w:cs="宋体"/>
                <w:kern w:val="0"/>
                <w:szCs w:val="21"/>
                <w:lang w:val="zh-CN"/>
              </w:rPr>
              <w:t>。</w:t>
            </w:r>
          </w:p>
          <w:p>
            <w:pPr>
              <w:wordWrap w:val="0"/>
              <w:topLinePunct/>
              <w:rPr>
                <w:rFonts w:ascii="宋体" w:hAnsi="宋体"/>
                <w:szCs w:val="21"/>
              </w:rPr>
            </w:pPr>
            <w:r>
              <w:rPr>
                <w:rFonts w:hint="eastAsia" w:ascii="宋体" w:hAnsi="宋体"/>
                <w:szCs w:val="21"/>
              </w:rPr>
              <w:t>10.6若投标人在递交投标文件期间，出现采取不正当手段妨碍其他投标人投标的过激行为，或出现在开标会现场扰乱招投标市场秩序的行为，招标人有权将投标人此行为上报省级交通主管部门，作为不良记录。</w:t>
            </w:r>
          </w:p>
          <w:p>
            <w:pPr>
              <w:wordWrap w:val="0"/>
              <w:topLinePunct/>
              <w:rPr>
                <w:rFonts w:ascii="宋体" w:hAnsi="宋体"/>
                <w:b/>
                <w:szCs w:val="21"/>
              </w:rPr>
            </w:pPr>
            <w:r>
              <w:rPr>
                <w:rFonts w:ascii="宋体" w:hAnsi="宋体"/>
                <w:szCs w:val="21"/>
              </w:rPr>
              <w:t>10.</w:t>
            </w:r>
            <w:r>
              <w:rPr>
                <w:rFonts w:hint="eastAsia" w:ascii="宋体" w:hAnsi="宋体"/>
                <w:szCs w:val="21"/>
              </w:rPr>
              <w:t>7同时对两个及两个以上标段进行投标的投标人，不能使用同一套人员。（如果最终只允许中一个标段，则允许使用同一套人员）</w:t>
            </w:r>
            <w:r>
              <w:rPr>
                <w:rFonts w:ascii="宋体" w:hAnsi="宋体"/>
                <w:szCs w:val="21"/>
              </w:rPr>
              <w:t>。</w:t>
            </w:r>
          </w:p>
        </w:tc>
      </w:tr>
      <w:tr>
        <w:tblPrEx>
          <w:tblCellMar>
            <w:top w:w="0" w:type="dxa"/>
            <w:left w:w="108" w:type="dxa"/>
            <w:bottom w:w="0" w:type="dxa"/>
            <w:right w:w="108" w:type="dxa"/>
          </w:tblCellMar>
        </w:tblPrEx>
        <w:trPr>
          <w:trHeight w:val="172" w:hRule="atLeast"/>
        </w:trPr>
        <w:tc>
          <w:tcPr>
            <w:tcW w:w="10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highlight w:val="cyan"/>
                <w:lang w:val="zh-CN"/>
              </w:rPr>
            </w:pPr>
            <w:r>
              <w:rPr>
                <w:rFonts w:hint="eastAsia" w:ascii="宋体" w:hAnsi="宋体"/>
                <w:szCs w:val="21"/>
              </w:rPr>
              <w:t>...</w:t>
            </w:r>
          </w:p>
        </w:tc>
        <w:tc>
          <w:tcPr>
            <w:tcW w:w="8214" w:type="dxa"/>
            <w:gridSpan w:val="2"/>
            <w:tcBorders>
              <w:top w:val="single" w:color="auto" w:sz="4" w:space="0"/>
              <w:left w:val="single" w:color="auto" w:sz="4" w:space="0"/>
              <w:bottom w:val="single" w:color="auto" w:sz="4" w:space="0"/>
              <w:right w:val="single" w:color="auto" w:sz="4" w:space="0"/>
            </w:tcBorders>
            <w:vAlign w:val="center"/>
          </w:tcPr>
          <w:p>
            <w:pPr>
              <w:ind w:right="124" w:rightChars="59" w:firstLine="315" w:firstLineChars="150"/>
              <w:rPr>
                <w:rFonts w:ascii="宋体" w:hAnsi="宋体"/>
                <w:szCs w:val="21"/>
                <w:highlight w:val="cyan"/>
              </w:rPr>
            </w:pPr>
            <w:r>
              <w:rPr>
                <w:rFonts w:hint="eastAsia" w:ascii="宋体" w:hAnsi="宋体"/>
                <w:szCs w:val="21"/>
              </w:rPr>
              <w:t>...</w:t>
            </w:r>
          </w:p>
        </w:tc>
      </w:tr>
    </w:tbl>
    <w:p>
      <w:pPr>
        <w:widowControl/>
        <w:spacing w:line="360" w:lineRule="auto"/>
        <w:ind w:firstLine="315" w:firstLineChars="150"/>
        <w:jc w:val="left"/>
        <w:rPr>
          <w:rFonts w:ascii="宋体" w:hAnsi="宋体"/>
          <w:szCs w:val="21"/>
        </w:rPr>
      </w:pPr>
    </w:p>
    <w:p>
      <w:pPr>
        <w:spacing w:line="20" w:lineRule="exact"/>
        <w:jc w:val="center"/>
        <w:rPr>
          <w:rFonts w:eastAsia="黑体"/>
          <w:b/>
          <w:sz w:val="18"/>
          <w:szCs w:val="18"/>
        </w:rPr>
      </w:pPr>
    </w:p>
    <w:p>
      <w:pPr>
        <w:pStyle w:val="2"/>
        <w:spacing w:before="240" w:after="240" w:line="240" w:lineRule="atLeast"/>
        <w:jc w:val="center"/>
        <w:rPr>
          <w:rFonts w:ascii="黑体" w:eastAsia="黑体"/>
          <w:sz w:val="28"/>
          <w:szCs w:val="28"/>
        </w:rPr>
        <w:sectPr>
          <w:footerReference r:id="rId15" w:type="default"/>
          <w:headerReference r:id="rId14" w:type="even"/>
          <w:footerReference r:id="rId16" w:type="even"/>
          <w:footnotePr>
            <w:numRestart w:val="eachPage"/>
          </w:footnotePr>
          <w:pgSz w:w="11905" w:h="16838"/>
          <w:pgMar w:top="1803" w:right="1440" w:bottom="1803" w:left="1440" w:header="851" w:footer="850" w:gutter="0"/>
          <w:cols w:space="0" w:num="1"/>
          <w:docGrid w:linePitch="312" w:charSpace="0"/>
        </w:sectPr>
      </w:pPr>
      <w:bookmarkStart w:id="100" w:name="_Toc503235736"/>
      <w:bookmarkStart w:id="101" w:name="_Toc508984264"/>
      <w:bookmarkStart w:id="102" w:name="_Toc234832863"/>
      <w:bookmarkStart w:id="103" w:name="_Toc508984065"/>
    </w:p>
    <w:p>
      <w:pPr>
        <w:pStyle w:val="2"/>
        <w:spacing w:before="240" w:after="240" w:line="240" w:lineRule="atLeast"/>
        <w:jc w:val="center"/>
      </w:pPr>
      <w:r>
        <w:rPr>
          <w:rFonts w:hint="eastAsia" w:ascii="黑体" w:eastAsia="黑体"/>
          <w:sz w:val="28"/>
          <w:szCs w:val="28"/>
        </w:rPr>
        <w:t>附录1  资格审查条件（资质最低要求）</w:t>
      </w:r>
      <w:r>
        <w:rPr>
          <w:rStyle w:val="56"/>
          <w:rFonts w:ascii="宋体" w:hAnsi="宋体"/>
          <w:b w:val="0"/>
          <w:bCs w:val="0"/>
          <w:kern w:val="2"/>
          <w:sz w:val="32"/>
          <w:szCs w:val="32"/>
        </w:rPr>
        <w:footnoteReference w:id="42"/>
      </w:r>
      <w:bookmarkEnd w:id="100"/>
      <w:bookmarkEnd w:id="101"/>
      <w:bookmarkEnd w:id="102"/>
      <w:bookmarkEnd w:id="103"/>
    </w:p>
    <w:tbl>
      <w:tblPr>
        <w:tblStyle w:val="47"/>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888" w:type="dxa"/>
            <w:vAlign w:val="center"/>
          </w:tcPr>
          <w:p>
            <w:pPr>
              <w:adjustRightInd w:val="0"/>
              <w:snapToGrid w:val="0"/>
              <w:spacing w:line="400" w:lineRule="atLeast"/>
              <w:jc w:val="center"/>
              <w:rPr>
                <w:szCs w:val="21"/>
              </w:rPr>
            </w:pPr>
            <w:r>
              <w:rPr>
                <w:szCs w:val="21"/>
              </w:rPr>
              <w:t>勘察设计咨询企业资质等级要求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6" w:hRule="atLeast"/>
          <w:jc w:val="center"/>
        </w:trPr>
        <w:tc>
          <w:tcPr>
            <w:tcW w:w="8888" w:type="dxa"/>
            <w:vAlign w:val="center"/>
          </w:tcPr>
          <w:p>
            <w:pPr>
              <w:overflowPunct w:val="0"/>
              <w:autoSpaceDN w:val="0"/>
              <w:spacing w:line="360" w:lineRule="auto"/>
              <w:rPr>
                <w:rFonts w:ascii="宋体" w:hAnsi="宋体" w:cs="SimSun-Identity-H"/>
                <w:szCs w:val="21"/>
              </w:rPr>
            </w:pPr>
            <w:r>
              <w:rPr>
                <w:rFonts w:hint="eastAsia"/>
                <w:szCs w:val="21"/>
              </w:rPr>
              <w:t>投标人</w:t>
            </w:r>
            <w:r>
              <w:rPr>
                <w:szCs w:val="21"/>
              </w:rPr>
              <w:t>须</w:t>
            </w:r>
            <w:r>
              <w:rPr>
                <w:rFonts w:hint="eastAsia"/>
                <w:szCs w:val="21"/>
                <w:u w:val="single"/>
              </w:rPr>
              <w:t>同时</w:t>
            </w:r>
            <w:r>
              <w:rPr>
                <w:szCs w:val="21"/>
              </w:rPr>
              <w:t>具备</w:t>
            </w:r>
            <w:r>
              <w:rPr>
                <w:rFonts w:hint="eastAsia"/>
                <w:szCs w:val="21"/>
              </w:rPr>
              <w:t>以下</w:t>
            </w:r>
            <w:r>
              <w:rPr>
                <w:szCs w:val="21"/>
              </w:rPr>
              <w:t>资质</w:t>
            </w:r>
            <w:r>
              <w:rPr>
                <w:rFonts w:hint="eastAsia"/>
                <w:szCs w:val="21"/>
              </w:rPr>
              <w:t>：</w:t>
            </w:r>
          </w:p>
          <w:p>
            <w:pPr>
              <w:overflowPunct w:val="0"/>
              <w:autoSpaceDN w:val="0"/>
              <w:spacing w:line="360" w:lineRule="auto"/>
              <w:ind w:firstLine="371" w:firstLineChars="177"/>
              <w:rPr>
                <w:rFonts w:ascii="宋体" w:hAnsi="宋体" w:cs="SimSun-Identity-H"/>
                <w:szCs w:val="21"/>
              </w:rPr>
            </w:pPr>
            <w:r>
              <w:rPr>
                <w:rFonts w:hint="eastAsia" w:ascii="宋体" w:hAnsi="宋体" w:cs="SimSun-Identity-H"/>
                <w:szCs w:val="21"/>
              </w:rPr>
              <w:t>（1）工程勘察综合类甲级资质或</w:t>
            </w:r>
            <w:r>
              <w:rPr>
                <w:rFonts w:hint="eastAsia" w:ascii="宋体" w:hAnsi="宋体" w:cs="SimSun-Identity-H"/>
                <w:szCs w:val="21"/>
                <w:u w:val="single"/>
              </w:rPr>
              <w:t>同时具备工程勘察专业类岩土工程勘察</w:t>
            </w:r>
            <w:r>
              <w:rPr>
                <w:rFonts w:hint="eastAsia" w:ascii="宋体" w:hAnsi="宋体" w:cs="SimSun-Identity-H"/>
                <w:szCs w:val="21"/>
                <w:u w:val="single"/>
                <w:lang w:val="en-US" w:eastAsia="zh-CN"/>
              </w:rPr>
              <w:t xml:space="preserve">  </w:t>
            </w:r>
            <w:r>
              <w:rPr>
                <w:rFonts w:hint="eastAsia" w:ascii="宋体" w:hAnsi="宋体" w:cs="SimSun-Identity-H"/>
                <w:szCs w:val="21"/>
                <w:u w:val="single"/>
              </w:rPr>
              <w:t>级和工程勘察专业类工程测量</w:t>
            </w:r>
            <w:r>
              <w:rPr>
                <w:rFonts w:hint="eastAsia" w:ascii="宋体" w:hAnsi="宋体" w:cs="SimSun-Identity-H"/>
                <w:szCs w:val="21"/>
                <w:u w:val="single"/>
                <w:lang w:val="en-US" w:eastAsia="zh-CN"/>
              </w:rPr>
              <w:t xml:space="preserve">   </w:t>
            </w:r>
            <w:r>
              <w:rPr>
                <w:rFonts w:hint="eastAsia" w:ascii="宋体" w:hAnsi="宋体" w:cs="SimSun-Identity-H"/>
                <w:szCs w:val="21"/>
                <w:u w:val="single"/>
              </w:rPr>
              <w:t>级资质</w:t>
            </w:r>
            <w:r>
              <w:rPr>
                <w:rFonts w:hint="eastAsia" w:ascii="宋体" w:hAnsi="宋体" w:cs="SimSun-Identity-H"/>
                <w:szCs w:val="21"/>
              </w:rPr>
              <w:t>；</w:t>
            </w:r>
          </w:p>
          <w:p>
            <w:pPr>
              <w:overflowPunct w:val="0"/>
              <w:autoSpaceDN w:val="0"/>
              <w:spacing w:line="360" w:lineRule="auto"/>
              <w:ind w:firstLine="371" w:firstLineChars="177"/>
              <w:rPr>
                <w:rFonts w:ascii="宋体" w:hAnsi="宋体" w:cs="SimSun-Identity-H"/>
                <w:szCs w:val="21"/>
              </w:rPr>
            </w:pPr>
            <w:r>
              <w:rPr>
                <w:rFonts w:hint="eastAsia" w:ascii="宋体" w:hAnsi="宋体" w:cs="SimSun-Identity-H"/>
                <w:szCs w:val="21"/>
              </w:rPr>
              <w:t>（2）工程设计综合甲级资质或工程设计水运行业</w:t>
            </w:r>
            <w:r>
              <w:rPr>
                <w:rFonts w:hint="eastAsia" w:ascii="宋体" w:hAnsi="宋体" w:cs="SimSun-Identity-H"/>
                <w:szCs w:val="21"/>
                <w:u w:val="single"/>
                <w:lang w:val="en-US" w:eastAsia="zh-CN"/>
              </w:rPr>
              <w:t xml:space="preserve">       </w:t>
            </w:r>
            <w:r>
              <w:rPr>
                <w:rFonts w:hint="eastAsia" w:ascii="宋体" w:hAnsi="宋体" w:cs="SimSun-Identity-H"/>
                <w:szCs w:val="21"/>
                <w:u w:val="single"/>
              </w:rPr>
              <w:t>级</w:t>
            </w:r>
            <w:r>
              <w:rPr>
                <w:rFonts w:hint="eastAsia" w:ascii="宋体" w:hAnsi="宋体" w:cs="SimSun-Identity-H"/>
                <w:szCs w:val="21"/>
              </w:rPr>
              <w:t>资质或工程设计水运行业（</w:t>
            </w:r>
            <w:r>
              <w:rPr>
                <w:rFonts w:hint="eastAsia" w:ascii="宋体" w:hAnsi="宋体" w:cs="SimSun-Identity-H"/>
                <w:szCs w:val="21"/>
                <w:u w:val="single"/>
              </w:rPr>
              <w:t>港口工程、航道工程、修造船厂水工工程、通航建筑工程、水上交通管制工程、港口装卸工艺</w:t>
            </w:r>
            <w:r>
              <w:rPr>
                <w:rFonts w:hint="eastAsia" w:ascii="宋体" w:hAnsi="宋体" w:cs="SimSun-Identity-H"/>
                <w:szCs w:val="21"/>
              </w:rPr>
              <w:t>）专业</w:t>
            </w:r>
            <w:r>
              <w:rPr>
                <w:rFonts w:hint="eastAsia" w:ascii="宋体" w:hAnsi="宋体" w:cs="SimSun-Identity-H"/>
                <w:szCs w:val="21"/>
                <w:u w:val="single"/>
                <w:lang w:val="en-US" w:eastAsia="zh-CN"/>
              </w:rPr>
              <w:t xml:space="preserve">     </w:t>
            </w:r>
            <w:r>
              <w:rPr>
                <w:rFonts w:hint="eastAsia" w:ascii="宋体" w:hAnsi="宋体" w:cs="SimSun-Identity-H"/>
                <w:szCs w:val="21"/>
                <w:u w:val="single"/>
              </w:rPr>
              <w:t>级</w:t>
            </w:r>
            <w:r>
              <w:rPr>
                <w:rFonts w:hint="eastAsia" w:ascii="宋体" w:hAnsi="宋体" w:cs="SimSun-Identity-H"/>
                <w:szCs w:val="21"/>
              </w:rPr>
              <w:t>资质；</w:t>
            </w:r>
          </w:p>
          <w:p>
            <w:pPr>
              <w:adjustRightInd w:val="0"/>
              <w:snapToGrid w:val="0"/>
              <w:spacing w:line="400" w:lineRule="atLeast"/>
              <w:ind w:firstLine="315" w:firstLineChars="150"/>
              <w:rPr>
                <w:szCs w:val="21"/>
              </w:rPr>
            </w:pPr>
            <w:r>
              <w:rPr>
                <w:rFonts w:hint="eastAsia" w:ascii="宋体" w:hAnsi="宋体" w:cs="SimSun-Identity-H"/>
                <w:szCs w:val="21"/>
              </w:rPr>
              <w:t>（3）</w:t>
            </w:r>
            <w:r>
              <w:rPr>
                <w:rFonts w:hint="eastAsia" w:ascii="宋体" w:hAnsi="宋体" w:cs="SimSun-Identity-H"/>
                <w:szCs w:val="21"/>
                <w:u w:val="single"/>
              </w:rPr>
              <w:t>通过全国投资项目在线审批监管平台备案（备案专业为水运）的工程咨询单位</w:t>
            </w:r>
            <w:r>
              <w:rPr>
                <w:rFonts w:hint="eastAsia" w:ascii="宋体" w:hAnsi="宋体" w:cs="SimSun-Identity-H"/>
                <w:szCs w:val="21"/>
              </w:rPr>
              <w:t>。</w:t>
            </w:r>
          </w:p>
        </w:tc>
      </w:tr>
    </w:tbl>
    <w:p>
      <w:pPr>
        <w:adjustRightInd w:val="0"/>
        <w:snapToGrid w:val="0"/>
        <w:spacing w:line="300" w:lineRule="exact"/>
        <w:rPr>
          <w:rFonts w:eastAsia="隶书"/>
          <w:b/>
          <w:sz w:val="32"/>
        </w:rPr>
      </w:pPr>
    </w:p>
    <w:p>
      <w:pPr>
        <w:adjustRightInd w:val="0"/>
        <w:snapToGrid w:val="0"/>
        <w:spacing w:line="300" w:lineRule="exact"/>
        <w:rPr>
          <w:rFonts w:ascii="宋体" w:hAnsi="宋体" w:cs="宋体"/>
          <w:b/>
          <w:szCs w:val="21"/>
        </w:rPr>
      </w:pPr>
      <w:r>
        <w:rPr>
          <w:rFonts w:hint="eastAsia" w:ascii="宋体" w:hAnsi="宋体" w:cs="宋体"/>
          <w:szCs w:val="21"/>
        </w:rPr>
        <w:t>注：以联合体形式参与投标的，联合体牵头人应同时具备本表（1）及（2）的资质或单独具备（3）的资质。</w:t>
      </w:r>
    </w:p>
    <w:p>
      <w:pPr>
        <w:pStyle w:val="2"/>
        <w:spacing w:before="240" w:after="240" w:line="240" w:lineRule="atLeast"/>
        <w:jc w:val="center"/>
        <w:rPr>
          <w:rFonts w:ascii="黑体" w:eastAsia="黑体"/>
          <w:sz w:val="28"/>
          <w:szCs w:val="28"/>
        </w:rPr>
      </w:pPr>
      <w:r>
        <w:rPr>
          <w:rFonts w:eastAsia="黑体"/>
          <w:sz w:val="24"/>
        </w:rPr>
        <w:br w:type="page"/>
      </w:r>
      <w:bookmarkStart w:id="104" w:name="_Toc508984066"/>
      <w:bookmarkStart w:id="105" w:name="_Toc508984265"/>
      <w:bookmarkStart w:id="106" w:name="_Toc234832865"/>
      <w:bookmarkStart w:id="107" w:name="_Toc503235737"/>
      <w:r>
        <w:rPr>
          <w:rFonts w:ascii="黑体" w:eastAsia="黑体"/>
          <w:sz w:val="28"/>
          <w:szCs w:val="28"/>
        </w:rPr>
        <w:t>附录2 资格审查条件（业绩最低要求</w:t>
      </w:r>
      <w:r>
        <w:rPr>
          <w:rFonts w:hint="eastAsia" w:ascii="黑体" w:eastAsia="黑体"/>
          <w:sz w:val="28"/>
          <w:szCs w:val="28"/>
        </w:rPr>
        <w:t>）</w:t>
      </w:r>
      <w:r>
        <w:rPr>
          <w:rStyle w:val="56"/>
          <w:rFonts w:ascii="宋体" w:hAnsi="宋体"/>
          <w:b w:val="0"/>
          <w:bCs w:val="0"/>
          <w:kern w:val="2"/>
          <w:sz w:val="32"/>
          <w:szCs w:val="32"/>
        </w:rPr>
        <w:footnoteReference w:id="43"/>
      </w:r>
      <w:bookmarkEnd w:id="104"/>
      <w:bookmarkEnd w:id="105"/>
      <w:bookmarkEnd w:id="106"/>
      <w:bookmarkEnd w:id="107"/>
    </w:p>
    <w:tbl>
      <w:tblPr>
        <w:tblStyle w:val="47"/>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014" w:type="dxa"/>
            <w:vAlign w:val="center"/>
          </w:tcPr>
          <w:p>
            <w:pPr>
              <w:adjustRightInd w:val="0"/>
              <w:snapToGrid w:val="0"/>
              <w:spacing w:line="400" w:lineRule="atLeast"/>
              <w:jc w:val="center"/>
              <w:rPr>
                <w:rFonts w:ascii="宋体" w:hAnsi="宋体" w:cs="宋体"/>
                <w:szCs w:val="21"/>
              </w:rPr>
            </w:pPr>
            <w:r>
              <w:rPr>
                <w:rFonts w:hint="eastAsia" w:ascii="宋体" w:hAnsi="宋体" w:cs="宋体"/>
                <w:szCs w:val="21"/>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0" w:hRule="atLeast"/>
          <w:jc w:val="center"/>
        </w:trPr>
        <w:tc>
          <w:tcPr>
            <w:tcW w:w="9014" w:type="dxa"/>
            <w:vAlign w:val="center"/>
          </w:tcPr>
          <w:p>
            <w:pPr>
              <w:topLinePunct/>
              <w:adjustRightInd w:val="0"/>
              <w:spacing w:line="360" w:lineRule="exact"/>
              <w:jc w:val="left"/>
              <w:textAlignment w:val="baseline"/>
              <w:rPr>
                <w:rFonts w:ascii="宋体" w:hAnsi="宋体" w:cs="宋体"/>
                <w:kern w:val="0"/>
                <w:szCs w:val="21"/>
              </w:rPr>
            </w:pPr>
            <w:r>
              <w:rPr>
                <w:rFonts w:hint="eastAsia" w:ascii="宋体" w:hAnsi="宋体" w:cs="宋体"/>
                <w:kern w:val="0"/>
                <w:szCs w:val="21"/>
                <w:u w:val="single"/>
              </w:rPr>
              <w:t>近</w:t>
            </w:r>
            <w:r>
              <w:rPr>
                <w:rFonts w:hint="eastAsia" w:ascii="宋体" w:hAnsi="宋体" w:cs="宋体"/>
                <w:szCs w:val="21"/>
                <w:u w:val="single"/>
              </w:rPr>
              <w:t>五年</w:t>
            </w:r>
            <w:r>
              <w:rPr>
                <w:rFonts w:hint="eastAsia" w:ascii="宋体" w:hAnsi="宋体" w:cs="宋体"/>
                <w:kern w:val="0"/>
                <w:szCs w:val="21"/>
                <w:u w:val="single"/>
              </w:rPr>
              <w:t>内</w:t>
            </w:r>
            <w:r>
              <w:rPr>
                <w:rFonts w:hint="eastAsia" w:ascii="宋体" w:hAnsi="宋体" w:cs="宋体"/>
                <w:kern w:val="0"/>
                <w:szCs w:val="21"/>
              </w:rPr>
              <w:t>，成功地完成以下工程的</w:t>
            </w:r>
            <w:r>
              <w:rPr>
                <w:rFonts w:hint="eastAsia" w:ascii="宋体" w:hAnsi="宋体" w:cs="宋体"/>
                <w:kern w:val="0"/>
                <w:szCs w:val="21"/>
                <w:u w:val="single"/>
              </w:rPr>
              <w:t>勘察设计咨</w:t>
            </w:r>
            <w:r>
              <w:rPr>
                <w:rFonts w:hint="eastAsia" w:ascii="宋体" w:hAnsi="宋体" w:cs="宋体"/>
                <w:kern w:val="0"/>
                <w:szCs w:val="21"/>
              </w:rPr>
              <w:t>询：</w:t>
            </w:r>
          </w:p>
          <w:p>
            <w:pPr>
              <w:numPr>
                <w:ilvl w:val="0"/>
                <w:numId w:val="2"/>
              </w:numPr>
              <w:adjustRightInd w:val="0"/>
              <w:snapToGrid w:val="0"/>
              <w:spacing w:line="360" w:lineRule="exact"/>
              <w:rPr>
                <w:rFonts w:ascii="宋体" w:hAnsi="宋体" w:cs="宋体"/>
                <w:szCs w:val="21"/>
                <w:u w:val="single"/>
              </w:rPr>
            </w:pPr>
            <w:r>
              <w:rPr>
                <w:rFonts w:hint="eastAsia" w:ascii="宋体" w:hAnsi="宋体" w:cs="宋体"/>
                <w:szCs w:val="21"/>
                <w:u w:val="single"/>
              </w:rPr>
              <w:t>沿海不少于     吨级码头</w:t>
            </w:r>
            <w:r>
              <w:rPr>
                <w:rFonts w:hint="eastAsia" w:ascii="宋体" w:hAnsi="宋体" w:cs="宋体"/>
                <w:szCs w:val="21"/>
              </w:rPr>
              <w:t>工程</w:t>
            </w:r>
            <w:r>
              <w:rPr>
                <w:rFonts w:hint="eastAsia" w:ascii="宋体" w:hAnsi="宋体" w:cs="宋体"/>
                <w:szCs w:val="21"/>
                <w:u w:val="single"/>
              </w:rPr>
              <w:t xml:space="preserve">     个。</w:t>
            </w:r>
          </w:p>
          <w:p>
            <w:pPr>
              <w:numPr>
                <w:ilvl w:val="255"/>
                <w:numId w:val="0"/>
              </w:numPr>
              <w:adjustRightInd w:val="0"/>
              <w:snapToGrid w:val="0"/>
              <w:spacing w:line="360" w:lineRule="exact"/>
              <w:rPr>
                <w:rFonts w:ascii="宋体" w:hAnsi="宋体" w:cs="宋体"/>
                <w:szCs w:val="21"/>
                <w:u w:val="single"/>
              </w:rPr>
            </w:pPr>
            <w:r>
              <w:rPr>
                <w:rFonts w:hint="eastAsia" w:ascii="宋体" w:hAnsi="宋体" w:cs="宋体"/>
                <w:szCs w:val="21"/>
                <w:u w:val="single"/>
              </w:rPr>
              <w:t>内河不少于     吨级码头</w:t>
            </w:r>
            <w:r>
              <w:rPr>
                <w:rFonts w:hint="eastAsia" w:ascii="宋体" w:hAnsi="宋体" w:cs="宋体"/>
                <w:szCs w:val="21"/>
              </w:rPr>
              <w:t>工程</w:t>
            </w:r>
            <w:r>
              <w:rPr>
                <w:rFonts w:hint="eastAsia" w:ascii="宋体" w:hAnsi="宋体" w:cs="宋体"/>
                <w:szCs w:val="21"/>
                <w:u w:val="single"/>
              </w:rPr>
              <w:t xml:space="preserve">     个。</w:t>
            </w:r>
          </w:p>
          <w:p>
            <w:pPr>
              <w:numPr>
                <w:ilvl w:val="255"/>
                <w:numId w:val="0"/>
              </w:numPr>
              <w:adjustRightInd w:val="0"/>
              <w:snapToGrid w:val="0"/>
              <w:spacing w:line="360" w:lineRule="exact"/>
              <w:rPr>
                <w:rFonts w:ascii="宋体" w:hAnsi="宋体" w:cs="宋体"/>
                <w:szCs w:val="21"/>
                <w:u w:val="single"/>
              </w:rPr>
            </w:pPr>
            <w:r>
              <w:rPr>
                <w:rFonts w:hint="eastAsia" w:ascii="宋体" w:hAnsi="宋体" w:cs="宋体"/>
                <w:szCs w:val="21"/>
                <w:u w:val="single"/>
              </w:rPr>
              <w:t>水深不少于     米的防波堤、导流堤、海上人工岛等水上建筑</w:t>
            </w:r>
            <w:r>
              <w:rPr>
                <w:rFonts w:hint="eastAsia" w:ascii="宋体" w:hAnsi="宋体" w:cs="宋体"/>
                <w:szCs w:val="21"/>
              </w:rPr>
              <w:t>工程</w:t>
            </w:r>
            <w:r>
              <w:rPr>
                <w:rFonts w:hint="eastAsia" w:ascii="宋体" w:hAnsi="宋体" w:cs="宋体"/>
                <w:szCs w:val="21"/>
                <w:u w:val="single"/>
              </w:rPr>
              <w:t>不少于   米。</w:t>
            </w:r>
            <w:r>
              <w:rPr>
                <w:rFonts w:hint="eastAsia" w:ascii="宋体" w:hAnsi="宋体" w:cs="宋体"/>
                <w:szCs w:val="21"/>
              </w:rPr>
              <w:t>或</w:t>
            </w:r>
          </w:p>
          <w:p>
            <w:pPr>
              <w:numPr>
                <w:ilvl w:val="255"/>
                <w:numId w:val="0"/>
              </w:numPr>
              <w:adjustRightInd w:val="0"/>
              <w:snapToGrid w:val="0"/>
              <w:spacing w:line="360" w:lineRule="exact"/>
              <w:rPr>
                <w:rFonts w:ascii="宋体" w:hAnsi="宋体" w:cs="宋体"/>
                <w:szCs w:val="21"/>
                <w:u w:val="single"/>
              </w:rPr>
            </w:pPr>
            <w:r>
              <w:rPr>
                <w:rFonts w:hint="eastAsia" w:ascii="宋体" w:hAnsi="宋体"/>
                <w:szCs w:val="21"/>
                <w:u w:val="single"/>
              </w:rPr>
              <w:t>水深</w:t>
            </w:r>
            <w:r>
              <w:rPr>
                <w:rFonts w:hint="eastAsia" w:ascii="宋体" w:hAnsi="宋体" w:cs="宋体"/>
                <w:szCs w:val="21"/>
                <w:u w:val="single"/>
              </w:rPr>
              <w:t>不少于</w:t>
            </w:r>
            <w:r>
              <w:rPr>
                <w:rFonts w:hint="eastAsia" w:ascii="宋体" w:hAnsi="宋体"/>
                <w:szCs w:val="21"/>
                <w:u w:val="single"/>
              </w:rPr>
              <w:t xml:space="preserve">   米的</w:t>
            </w:r>
            <w:r>
              <w:rPr>
                <w:rFonts w:hint="eastAsia" w:ascii="宋体" w:hAnsi="宋体" w:cs="宋体"/>
                <w:szCs w:val="21"/>
                <w:u w:val="single"/>
              </w:rPr>
              <w:t>防波堤、导流堤、海上人工岛等水上建筑</w:t>
            </w:r>
            <w:r>
              <w:rPr>
                <w:rFonts w:hint="eastAsia" w:ascii="宋体" w:hAnsi="宋体" w:cs="宋体"/>
                <w:szCs w:val="21"/>
              </w:rPr>
              <w:t>工程</w:t>
            </w:r>
            <w:r>
              <w:rPr>
                <w:rFonts w:hint="eastAsia" w:ascii="宋体" w:hAnsi="宋体"/>
                <w:szCs w:val="21"/>
                <w:u w:val="single"/>
              </w:rPr>
              <w:t>单项合同金额不少于    万元。</w:t>
            </w:r>
          </w:p>
          <w:p>
            <w:pPr>
              <w:numPr>
                <w:ilvl w:val="255"/>
                <w:numId w:val="0"/>
              </w:numPr>
              <w:adjustRightInd w:val="0"/>
              <w:snapToGrid w:val="0"/>
              <w:spacing w:line="360" w:lineRule="exact"/>
              <w:rPr>
                <w:rFonts w:ascii="宋体" w:hAnsi="宋体" w:cs="宋体"/>
                <w:szCs w:val="21"/>
                <w:u w:val="single"/>
              </w:rPr>
            </w:pPr>
            <w:r>
              <w:rPr>
                <w:rFonts w:hint="eastAsia" w:ascii="宋体" w:hAnsi="宋体" w:cs="宋体"/>
                <w:szCs w:val="21"/>
                <w:u w:val="single"/>
              </w:rPr>
              <w:t>水深不少于 米的护岸、引堤、海墙等建筑防护</w:t>
            </w:r>
            <w:r>
              <w:rPr>
                <w:rFonts w:hint="eastAsia" w:ascii="宋体" w:hAnsi="宋体" w:cs="宋体"/>
                <w:szCs w:val="21"/>
              </w:rPr>
              <w:t>工程</w:t>
            </w:r>
            <w:r>
              <w:rPr>
                <w:rFonts w:hint="eastAsia" w:ascii="宋体" w:hAnsi="宋体" w:cs="宋体"/>
                <w:szCs w:val="21"/>
                <w:u w:val="single"/>
              </w:rPr>
              <w:t>不少于    米。</w:t>
            </w:r>
            <w:r>
              <w:rPr>
                <w:rFonts w:hint="eastAsia" w:ascii="宋体" w:hAnsi="宋体" w:cs="宋体"/>
                <w:szCs w:val="21"/>
              </w:rPr>
              <w:t>或</w:t>
            </w:r>
          </w:p>
          <w:p>
            <w:pPr>
              <w:adjustRightInd w:val="0"/>
              <w:snapToGrid w:val="0"/>
              <w:spacing w:line="360" w:lineRule="exact"/>
              <w:rPr>
                <w:rFonts w:ascii="宋体" w:hAnsi="宋体" w:cs="宋体"/>
                <w:szCs w:val="21"/>
                <w:u w:val="single"/>
              </w:rPr>
            </w:pPr>
            <w:r>
              <w:rPr>
                <w:rFonts w:hint="eastAsia" w:ascii="宋体" w:hAnsi="宋体"/>
                <w:szCs w:val="21"/>
                <w:u w:val="single"/>
              </w:rPr>
              <w:t>水深</w:t>
            </w:r>
            <w:r>
              <w:rPr>
                <w:rFonts w:hint="eastAsia" w:ascii="宋体" w:hAnsi="宋体" w:cs="宋体"/>
                <w:szCs w:val="21"/>
                <w:u w:val="single"/>
              </w:rPr>
              <w:t>不少于</w:t>
            </w:r>
            <w:r>
              <w:rPr>
                <w:rFonts w:hint="eastAsia" w:ascii="宋体" w:hAnsi="宋体"/>
                <w:szCs w:val="21"/>
                <w:u w:val="single"/>
              </w:rPr>
              <w:t xml:space="preserve">   米的</w:t>
            </w:r>
            <w:r>
              <w:rPr>
                <w:rFonts w:hint="eastAsia" w:ascii="宋体" w:hAnsi="宋体" w:cs="宋体"/>
                <w:szCs w:val="21"/>
                <w:u w:val="single"/>
              </w:rPr>
              <w:t>护岸、引堤、海墙等建筑防护</w:t>
            </w:r>
            <w:r>
              <w:rPr>
                <w:rFonts w:hint="eastAsia" w:ascii="宋体" w:hAnsi="宋体" w:cs="宋体"/>
                <w:szCs w:val="21"/>
              </w:rPr>
              <w:t>工程</w:t>
            </w:r>
            <w:r>
              <w:rPr>
                <w:rFonts w:hint="eastAsia" w:ascii="宋体" w:hAnsi="宋体"/>
                <w:szCs w:val="21"/>
                <w:u w:val="single"/>
              </w:rPr>
              <w:t>单项合同金额不少于    万元。</w:t>
            </w:r>
          </w:p>
          <w:p>
            <w:pPr>
              <w:adjustRightInd w:val="0"/>
              <w:snapToGrid w:val="0"/>
              <w:spacing w:line="360" w:lineRule="exact"/>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沿海/内河不少于    </w:t>
            </w:r>
            <w:r>
              <w:rPr>
                <w:rFonts w:hint="eastAsia" w:ascii="宋体" w:hAnsi="宋体" w:cs="宋体"/>
                <w:szCs w:val="21"/>
              </w:rPr>
              <w:t>吨级/等级航道工程</w:t>
            </w:r>
            <w:r>
              <w:rPr>
                <w:rFonts w:hint="eastAsia" w:ascii="宋体" w:hAnsi="宋体" w:cs="宋体"/>
                <w:szCs w:val="21"/>
                <w:u w:val="single"/>
              </w:rPr>
              <w:t xml:space="preserve">     个。</w:t>
            </w:r>
          </w:p>
          <w:p>
            <w:pPr>
              <w:numPr>
                <w:ilvl w:val="255"/>
                <w:numId w:val="0"/>
              </w:numPr>
              <w:adjustRightInd w:val="0"/>
              <w:snapToGrid w:val="0"/>
              <w:spacing w:line="360" w:lineRule="exact"/>
              <w:rPr>
                <w:rFonts w:ascii="宋体" w:hAnsi="宋体" w:cs="宋体"/>
                <w:szCs w:val="21"/>
              </w:rPr>
            </w:pPr>
            <w:r>
              <w:rPr>
                <w:rFonts w:hint="eastAsia" w:ascii="宋体" w:hAnsi="宋体" w:cs="宋体"/>
                <w:szCs w:val="21"/>
                <w:u w:val="single"/>
              </w:rPr>
              <w:t>不少于     吨级/等级内河整治</w:t>
            </w:r>
            <w:r>
              <w:rPr>
                <w:rFonts w:hint="eastAsia" w:ascii="宋体" w:hAnsi="宋体" w:cs="宋体"/>
                <w:szCs w:val="21"/>
              </w:rPr>
              <w:t>工程</w:t>
            </w:r>
            <w:r>
              <w:rPr>
                <w:rFonts w:hint="eastAsia" w:ascii="宋体" w:hAnsi="宋体" w:cs="宋体"/>
                <w:szCs w:val="21"/>
                <w:u w:val="single"/>
              </w:rPr>
              <w:t xml:space="preserve">     个。</w:t>
            </w:r>
          </w:p>
          <w:p>
            <w:pPr>
              <w:numPr>
                <w:ilvl w:val="255"/>
                <w:numId w:val="0"/>
              </w:numPr>
              <w:adjustRightInd w:val="0"/>
              <w:snapToGrid w:val="0"/>
              <w:spacing w:line="360" w:lineRule="exact"/>
              <w:rPr>
                <w:rFonts w:ascii="宋体" w:hAnsi="宋体" w:cs="宋体"/>
                <w:szCs w:val="21"/>
                <w:u w:val="single"/>
              </w:rPr>
            </w:pPr>
            <w:r>
              <w:rPr>
                <w:rFonts w:hint="eastAsia" w:ascii="宋体" w:hAnsi="宋体" w:cs="宋体"/>
                <w:szCs w:val="21"/>
                <w:u w:val="single"/>
              </w:rPr>
              <w:t>疏浚、吹填工程不少于     立方米</w:t>
            </w:r>
            <w:r>
              <w:rPr>
                <w:rFonts w:hint="eastAsia" w:ascii="宋体" w:hAnsi="宋体" w:cs="宋体"/>
                <w:szCs w:val="21"/>
              </w:rPr>
              <w:t>。或</w:t>
            </w:r>
          </w:p>
          <w:p>
            <w:pPr>
              <w:adjustRightInd w:val="0"/>
              <w:snapToGrid w:val="0"/>
              <w:spacing w:line="360" w:lineRule="exact"/>
              <w:rPr>
                <w:rFonts w:ascii="宋体" w:hAnsi="宋体"/>
                <w:szCs w:val="21"/>
                <w:u w:val="single"/>
              </w:rPr>
            </w:pPr>
            <w:r>
              <w:rPr>
                <w:rFonts w:hint="eastAsia" w:ascii="宋体" w:hAnsi="宋体" w:cs="宋体"/>
                <w:szCs w:val="21"/>
                <w:u w:val="single"/>
              </w:rPr>
              <w:t>疏浚、吹填工程</w:t>
            </w:r>
            <w:r>
              <w:rPr>
                <w:rFonts w:hint="eastAsia" w:ascii="宋体" w:hAnsi="宋体"/>
                <w:szCs w:val="21"/>
                <w:u w:val="single"/>
              </w:rPr>
              <w:t>单项合同金额不少于    万元。</w:t>
            </w:r>
          </w:p>
          <w:p>
            <w:pPr>
              <w:adjustRightInd w:val="0"/>
              <w:snapToGrid w:val="0"/>
              <w:spacing w:line="360" w:lineRule="exact"/>
              <w:rPr>
                <w:rFonts w:ascii="宋体" w:hAnsi="宋体" w:cs="宋体"/>
                <w:szCs w:val="21"/>
                <w:u w:val="single"/>
              </w:rPr>
            </w:pPr>
            <w:r>
              <w:rPr>
                <w:rFonts w:hint="eastAsia" w:ascii="宋体" w:hAnsi="宋体"/>
                <w:szCs w:val="21"/>
              </w:rPr>
              <w:t>3、</w:t>
            </w:r>
            <w:r>
              <w:rPr>
                <w:rFonts w:hint="eastAsia" w:ascii="宋体" w:hAnsi="宋体" w:cs="宋体"/>
                <w:szCs w:val="21"/>
                <w:u w:val="single"/>
              </w:rPr>
              <w:t>船舶吨位不少于    吨级</w:t>
            </w:r>
            <w:r>
              <w:rPr>
                <w:rFonts w:hint="eastAsia" w:ascii="宋体" w:hAnsi="宋体" w:cs="宋体"/>
                <w:szCs w:val="21"/>
              </w:rPr>
              <w:t>船坞工程</w:t>
            </w:r>
            <w:r>
              <w:rPr>
                <w:rFonts w:hint="eastAsia" w:ascii="宋体" w:hAnsi="宋体" w:cs="宋体"/>
                <w:szCs w:val="21"/>
                <w:u w:val="single"/>
                <w:lang w:val="en-US" w:eastAsia="zh-CN"/>
              </w:rPr>
              <w:t xml:space="preserve">    </w:t>
            </w:r>
            <w:r>
              <w:rPr>
                <w:rFonts w:hint="eastAsia" w:ascii="宋体" w:hAnsi="宋体" w:cs="宋体"/>
                <w:szCs w:val="21"/>
                <w:u w:val="single"/>
              </w:rPr>
              <w:t>个</w:t>
            </w:r>
            <w:r>
              <w:rPr>
                <w:rFonts w:hint="eastAsia" w:ascii="宋体" w:hAnsi="宋体" w:cs="宋体"/>
                <w:szCs w:val="21"/>
              </w:rPr>
              <w:t>。或</w:t>
            </w:r>
          </w:p>
          <w:p>
            <w:pPr>
              <w:pStyle w:val="18"/>
              <w:numPr>
                <w:ilvl w:val="255"/>
                <w:numId w:val="0"/>
              </w:numPr>
              <w:spacing w:after="0" w:line="360" w:lineRule="exact"/>
            </w:pPr>
            <w:r>
              <w:rPr>
                <w:rFonts w:hint="eastAsia" w:ascii="宋体" w:hAnsi="宋体" w:cs="宋体"/>
                <w:szCs w:val="21"/>
                <w:u w:val="single"/>
              </w:rPr>
              <w:t>船坞工程单项合同额不少于       万元。</w:t>
            </w:r>
          </w:p>
          <w:p>
            <w:pPr>
              <w:numPr>
                <w:ilvl w:val="255"/>
                <w:numId w:val="0"/>
              </w:numPr>
              <w:adjustRightInd w:val="0"/>
              <w:snapToGrid w:val="0"/>
              <w:spacing w:line="360" w:lineRule="exact"/>
              <w:rPr>
                <w:rFonts w:ascii="宋体" w:hAnsi="宋体" w:cs="宋体"/>
                <w:szCs w:val="21"/>
                <w:u w:val="single"/>
              </w:rPr>
            </w:pPr>
            <w:r>
              <w:rPr>
                <w:rFonts w:hint="eastAsia" w:ascii="宋体" w:hAnsi="宋体" w:cs="宋体"/>
                <w:szCs w:val="21"/>
                <w:u w:val="single"/>
              </w:rPr>
              <w:t>船体重量不少于    吨级的船台、滑道</w:t>
            </w:r>
            <w:r>
              <w:rPr>
                <w:rFonts w:hint="eastAsia" w:ascii="宋体" w:hAnsi="宋体" w:cs="宋体"/>
                <w:szCs w:val="21"/>
              </w:rPr>
              <w:t>工程</w:t>
            </w:r>
            <w:r>
              <w:rPr>
                <w:rFonts w:hint="eastAsia" w:ascii="宋体" w:hAnsi="宋体" w:cs="宋体"/>
                <w:szCs w:val="21"/>
                <w:u w:val="single"/>
              </w:rPr>
              <w:t xml:space="preserve">     个。</w:t>
            </w:r>
          </w:p>
          <w:p>
            <w:pPr>
              <w:numPr>
                <w:ilvl w:val="255"/>
                <w:numId w:val="0"/>
              </w:numPr>
              <w:adjustRightInd w:val="0"/>
              <w:snapToGrid w:val="0"/>
              <w:spacing w:line="360" w:lineRule="exact"/>
              <w:rPr>
                <w:rFonts w:ascii="宋体" w:hAnsi="宋体" w:cs="宋体"/>
                <w:szCs w:val="21"/>
                <w:u w:val="single"/>
              </w:rPr>
            </w:pPr>
            <w:r>
              <w:rPr>
                <w:rFonts w:hint="eastAsia" w:ascii="宋体" w:hAnsi="宋体" w:cs="宋体"/>
                <w:szCs w:val="21"/>
                <w:u w:val="single"/>
              </w:rPr>
              <w:t>不少于    吨级舾装码头</w:t>
            </w:r>
            <w:r>
              <w:rPr>
                <w:rFonts w:hint="eastAsia" w:ascii="宋体" w:hAnsi="宋体" w:cs="宋体"/>
                <w:szCs w:val="21"/>
              </w:rPr>
              <w:t>工程</w:t>
            </w:r>
            <w:r>
              <w:rPr>
                <w:rFonts w:hint="eastAsia" w:ascii="宋体" w:hAnsi="宋体" w:cs="宋体"/>
                <w:szCs w:val="21"/>
                <w:u w:val="single"/>
              </w:rPr>
              <w:t xml:space="preserve">     个。</w:t>
            </w:r>
          </w:p>
          <w:p>
            <w:pPr>
              <w:adjustRightInd w:val="0"/>
              <w:snapToGrid w:val="0"/>
              <w:spacing w:line="360" w:lineRule="exact"/>
              <w:rPr>
                <w:rFonts w:ascii="宋体" w:hAnsi="宋体" w:cs="宋体"/>
                <w:szCs w:val="21"/>
              </w:rPr>
            </w:pPr>
            <w:r>
              <w:rPr>
                <w:rFonts w:hint="eastAsia" w:ascii="宋体" w:hAnsi="宋体" w:cs="宋体"/>
                <w:szCs w:val="21"/>
              </w:rPr>
              <w:t>4、</w:t>
            </w:r>
            <w:r>
              <w:rPr>
                <w:rFonts w:hint="eastAsia" w:ascii="宋体" w:hAnsi="宋体" w:cs="宋体"/>
                <w:szCs w:val="21"/>
                <w:u w:val="single"/>
              </w:rPr>
              <w:t>不少于      吨级渠化枢纽、船闸、升船机</w:t>
            </w:r>
            <w:r>
              <w:rPr>
                <w:rFonts w:hint="eastAsia" w:ascii="宋体" w:hAnsi="宋体" w:cs="宋体"/>
                <w:szCs w:val="21"/>
              </w:rPr>
              <w:t>工程</w:t>
            </w:r>
            <w:r>
              <w:rPr>
                <w:rFonts w:hint="eastAsia" w:ascii="宋体" w:hAnsi="宋体" w:cs="宋体"/>
                <w:szCs w:val="21"/>
                <w:u w:val="single"/>
              </w:rPr>
              <w:t xml:space="preserve">     个。</w:t>
            </w:r>
          </w:p>
          <w:p>
            <w:pPr>
              <w:adjustRightInd w:val="0"/>
              <w:snapToGrid w:val="0"/>
              <w:spacing w:line="360" w:lineRule="exact"/>
              <w:rPr>
                <w:rFonts w:ascii="宋体" w:hAnsi="宋体" w:cs="宋体"/>
                <w:szCs w:val="21"/>
                <w:u w:val="single"/>
              </w:rPr>
            </w:pPr>
            <w:r>
              <w:rPr>
                <w:rFonts w:hint="eastAsia" w:ascii="宋体" w:hAnsi="宋体" w:cs="宋体"/>
                <w:szCs w:val="21"/>
              </w:rPr>
              <w:t>5、</w:t>
            </w:r>
            <w:r>
              <w:rPr>
                <w:rFonts w:hint="eastAsia" w:ascii="宋体" w:hAnsi="宋体" w:cs="宋体"/>
                <w:szCs w:val="21"/>
                <w:u w:val="single"/>
              </w:rPr>
              <w:t>投资不少于  万元航标、船舶交通管理系统、通信导航系统</w:t>
            </w:r>
            <w:r>
              <w:rPr>
                <w:rFonts w:hint="eastAsia" w:ascii="宋体" w:hAnsi="宋体" w:cs="宋体"/>
                <w:szCs w:val="21"/>
              </w:rPr>
              <w:t>工程</w:t>
            </w:r>
            <w:r>
              <w:rPr>
                <w:rFonts w:hint="eastAsia" w:ascii="宋体" w:hAnsi="宋体" w:cs="宋体"/>
                <w:szCs w:val="21"/>
                <w:u w:val="single"/>
              </w:rPr>
              <w:t xml:space="preserve">     个。</w:t>
            </w:r>
          </w:p>
          <w:p>
            <w:pPr>
              <w:adjustRightInd w:val="0"/>
              <w:snapToGrid w:val="0"/>
              <w:spacing w:line="360" w:lineRule="exact"/>
              <w:rPr>
                <w:rFonts w:ascii="宋体" w:hAnsi="宋体" w:cs="宋体"/>
                <w:szCs w:val="21"/>
              </w:rPr>
            </w:pPr>
            <w:r>
              <w:rPr>
                <w:rFonts w:hint="eastAsia" w:ascii="宋体" w:hAnsi="宋体" w:cs="宋体"/>
                <w:szCs w:val="21"/>
              </w:rPr>
              <w:t>6、</w:t>
            </w:r>
            <w:r>
              <w:rPr>
                <w:rFonts w:hint="eastAsia" w:ascii="宋体" w:hAnsi="宋体" w:cs="宋体"/>
                <w:szCs w:val="21"/>
                <w:u w:val="single"/>
              </w:rPr>
              <w:t>（大、中）型港口工程相应装卸工艺工程     个</w:t>
            </w:r>
            <w:r>
              <w:rPr>
                <w:rFonts w:hint="eastAsia" w:ascii="宋体" w:hAnsi="宋体" w:cs="宋体"/>
                <w:szCs w:val="21"/>
              </w:rPr>
              <w:t>。</w:t>
            </w:r>
          </w:p>
          <w:p>
            <w:pPr>
              <w:adjustRightInd w:val="0"/>
              <w:snapToGrid w:val="0"/>
              <w:spacing w:line="360" w:lineRule="exact"/>
              <w:rPr>
                <w:rFonts w:ascii="宋体" w:hAnsi="宋体" w:cs="宋体"/>
                <w:szCs w:val="21"/>
              </w:rPr>
            </w:pPr>
            <w:r>
              <w:rPr>
                <w:rFonts w:hint="eastAsia" w:ascii="宋体" w:hAnsi="宋体" w:cs="宋体"/>
                <w:szCs w:val="21"/>
                <w:u w:val="single"/>
              </w:rPr>
              <w:t>7、其它业绩（应符合招标项目具体特点和实际情况）</w:t>
            </w:r>
            <w:r>
              <w:rPr>
                <w:rFonts w:hint="eastAsia" w:ascii="宋体" w:hAnsi="宋体" w:cs="宋体"/>
                <w:szCs w:val="21"/>
              </w:rPr>
              <w:t>。</w:t>
            </w:r>
          </w:p>
        </w:tc>
      </w:tr>
    </w:tbl>
    <w:p>
      <w:pPr>
        <w:topLinePunct/>
        <w:adjustRightInd w:val="0"/>
        <w:jc w:val="left"/>
        <w:textAlignment w:val="baseline"/>
        <w:rPr>
          <w:rFonts w:hAnsi="Calibri"/>
          <w:kern w:val="0"/>
          <w:sz w:val="18"/>
          <w:szCs w:val="18"/>
        </w:rPr>
      </w:pPr>
    </w:p>
    <w:p>
      <w:pPr>
        <w:topLinePunct/>
        <w:adjustRightInd w:val="0"/>
        <w:jc w:val="left"/>
        <w:textAlignment w:val="baseline"/>
        <w:rPr>
          <w:rFonts w:hAnsi="Calibri"/>
          <w:kern w:val="0"/>
          <w:sz w:val="18"/>
          <w:szCs w:val="18"/>
        </w:rPr>
      </w:pPr>
      <w:r>
        <w:rPr>
          <w:rFonts w:hAnsi="Calibri"/>
          <w:kern w:val="0"/>
          <w:sz w:val="18"/>
          <w:szCs w:val="18"/>
        </w:rPr>
        <w:t>注：</w:t>
      </w:r>
    </w:p>
    <w:p>
      <w:pPr>
        <w:numPr>
          <w:ilvl w:val="255"/>
          <w:numId w:val="0"/>
        </w:numPr>
        <w:topLinePunct/>
        <w:adjustRightInd w:val="0"/>
        <w:spacing w:line="280" w:lineRule="exact"/>
        <w:ind w:firstLine="360" w:firstLineChars="200"/>
        <w:jc w:val="left"/>
        <w:textAlignment w:val="baseline"/>
        <w:rPr>
          <w:rFonts w:hint="eastAsia" w:hAnsi="Calibri"/>
          <w:kern w:val="0"/>
          <w:sz w:val="18"/>
          <w:szCs w:val="18"/>
        </w:rPr>
      </w:pPr>
      <w:r>
        <w:rPr>
          <w:rFonts w:hint="eastAsia" w:hAnsi="Calibri"/>
          <w:kern w:val="0"/>
          <w:sz w:val="18"/>
          <w:szCs w:val="18"/>
          <w:lang w:val="en-US" w:eastAsia="zh-CN"/>
        </w:rPr>
        <w:t>1、</w:t>
      </w:r>
      <w:r>
        <w:rPr>
          <w:rFonts w:hint="eastAsia" w:hAnsi="Calibri"/>
          <w:kern w:val="0"/>
          <w:sz w:val="18"/>
          <w:szCs w:val="18"/>
        </w:rPr>
        <w:t>本附录所要求的业绩仅限中华人民共和国境内业绩。</w:t>
      </w:r>
    </w:p>
    <w:p>
      <w:pPr>
        <w:numPr>
          <w:ilvl w:val="255"/>
          <w:numId w:val="0"/>
        </w:numPr>
        <w:topLinePunct/>
        <w:adjustRightInd w:val="0"/>
        <w:spacing w:line="280" w:lineRule="exact"/>
        <w:ind w:firstLine="360" w:firstLineChars="200"/>
        <w:jc w:val="left"/>
        <w:textAlignment w:val="baseline"/>
        <w:rPr>
          <w:rFonts w:hAnsi="Calibri"/>
          <w:kern w:val="0"/>
          <w:sz w:val="18"/>
          <w:szCs w:val="18"/>
        </w:rPr>
      </w:pPr>
      <w:r>
        <w:rPr>
          <w:rFonts w:hint="eastAsia" w:hAnsi="Calibri"/>
          <w:kern w:val="0"/>
          <w:sz w:val="18"/>
          <w:szCs w:val="18"/>
          <w:lang w:val="en-US" w:eastAsia="zh-CN"/>
        </w:rPr>
        <w:t>2</w:t>
      </w:r>
      <w:r>
        <w:rPr>
          <w:rFonts w:hint="eastAsia" w:hAnsi="Calibri"/>
          <w:kern w:val="0"/>
          <w:sz w:val="18"/>
          <w:szCs w:val="18"/>
        </w:rPr>
        <w:t>、</w:t>
      </w:r>
      <w:r>
        <w:rPr>
          <w:rFonts w:hAnsi="Calibri"/>
          <w:kern w:val="0"/>
          <w:sz w:val="18"/>
          <w:szCs w:val="18"/>
        </w:rPr>
        <w:t>勘察设计咨询工作须包括</w:t>
      </w:r>
      <w:r>
        <w:rPr>
          <w:rFonts w:hint="eastAsia" w:hAnsi="Calibri"/>
          <w:kern w:val="0"/>
          <w:sz w:val="18"/>
          <w:szCs w:val="18"/>
          <w:u w:val="single"/>
        </w:rPr>
        <w:t>初步设计和（或）施工图设计</w:t>
      </w:r>
      <w:r>
        <w:rPr>
          <w:rFonts w:hAnsi="Calibri"/>
          <w:kern w:val="0"/>
          <w:sz w:val="18"/>
          <w:szCs w:val="18"/>
        </w:rPr>
        <w:t>阶段</w:t>
      </w:r>
      <w:r>
        <w:rPr>
          <w:rFonts w:hint="eastAsia" w:hAnsi="Calibri"/>
          <w:kern w:val="0"/>
          <w:sz w:val="18"/>
          <w:szCs w:val="18"/>
        </w:rPr>
        <w:t>的咨询工作</w:t>
      </w:r>
      <w:r>
        <w:rPr>
          <w:rFonts w:hAnsi="Calibri"/>
          <w:kern w:val="0"/>
          <w:sz w:val="18"/>
          <w:szCs w:val="18"/>
        </w:rPr>
        <w:t>，否则视为无效业绩。</w:t>
      </w:r>
      <w:r>
        <w:rPr>
          <w:rFonts w:hint="eastAsia" w:hAnsi="Calibri"/>
          <w:kern w:val="0"/>
          <w:sz w:val="18"/>
          <w:szCs w:val="18"/>
        </w:rPr>
        <w:t>（</w:t>
      </w:r>
      <w:r>
        <w:rPr>
          <w:rFonts w:hAnsi="Calibri"/>
          <w:kern w:val="0"/>
          <w:sz w:val="18"/>
          <w:szCs w:val="18"/>
        </w:rPr>
        <w:t>可结合</w:t>
      </w:r>
      <w:r>
        <w:rPr>
          <w:rFonts w:hint="eastAsia" w:hAnsi="Calibri"/>
          <w:kern w:val="0"/>
          <w:sz w:val="18"/>
          <w:szCs w:val="18"/>
        </w:rPr>
        <w:t>招标</w:t>
      </w:r>
      <w:r>
        <w:rPr>
          <w:rFonts w:hAnsi="Calibri"/>
          <w:kern w:val="0"/>
          <w:sz w:val="18"/>
          <w:szCs w:val="18"/>
        </w:rPr>
        <w:t>项目</w:t>
      </w:r>
      <w:r>
        <w:rPr>
          <w:rFonts w:hint="eastAsia" w:hAnsi="Calibri"/>
          <w:kern w:val="0"/>
          <w:sz w:val="18"/>
          <w:szCs w:val="18"/>
        </w:rPr>
        <w:t>的工作内容选择相应的阶段）</w:t>
      </w:r>
    </w:p>
    <w:p>
      <w:pPr>
        <w:numPr>
          <w:ilvl w:val="255"/>
          <w:numId w:val="0"/>
        </w:numPr>
        <w:topLinePunct/>
        <w:adjustRightInd w:val="0"/>
        <w:spacing w:line="280" w:lineRule="exact"/>
        <w:ind w:firstLine="360" w:firstLineChars="200"/>
        <w:jc w:val="left"/>
        <w:textAlignment w:val="baseline"/>
        <w:rPr>
          <w:rFonts w:hAnsi="Calibri"/>
          <w:kern w:val="0"/>
          <w:sz w:val="18"/>
          <w:szCs w:val="18"/>
        </w:rPr>
      </w:pPr>
      <w:r>
        <w:rPr>
          <w:rFonts w:hint="eastAsia" w:hAnsi="Calibri"/>
          <w:kern w:val="0"/>
          <w:sz w:val="18"/>
          <w:szCs w:val="18"/>
          <w:lang w:val="en-US" w:eastAsia="zh-CN"/>
        </w:rPr>
        <w:t>3</w:t>
      </w:r>
      <w:r>
        <w:rPr>
          <w:rFonts w:hint="eastAsia" w:hAnsi="Calibri"/>
          <w:kern w:val="0"/>
          <w:sz w:val="18"/>
          <w:szCs w:val="18"/>
        </w:rPr>
        <w:t>、</w:t>
      </w:r>
      <w:r>
        <w:rPr>
          <w:rFonts w:hAnsi="Calibri"/>
          <w:kern w:val="0"/>
          <w:sz w:val="18"/>
          <w:szCs w:val="18"/>
        </w:rPr>
        <w:t>“成功地完成”是指</w:t>
      </w:r>
      <w:r>
        <w:rPr>
          <w:rFonts w:hint="eastAsia" w:hAnsi="Calibri"/>
          <w:kern w:val="0"/>
          <w:sz w:val="18"/>
          <w:szCs w:val="18"/>
        </w:rPr>
        <w:t>勘察设计咨询工作已完成并取得</w:t>
      </w:r>
      <w:r>
        <w:rPr>
          <w:rFonts w:hint="eastAsia" w:hAnsi="Calibri"/>
          <w:kern w:val="0"/>
          <w:sz w:val="18"/>
          <w:szCs w:val="18"/>
          <w:u w:val="single"/>
        </w:rPr>
        <w:t>初步设计批复意见</w:t>
      </w:r>
      <w:r>
        <w:rPr>
          <w:rFonts w:hAnsi="Calibri"/>
          <w:kern w:val="0"/>
          <w:sz w:val="18"/>
          <w:szCs w:val="18"/>
          <w:u w:val="single"/>
        </w:rPr>
        <w:t>和</w:t>
      </w:r>
      <w:r>
        <w:rPr>
          <w:rFonts w:hint="eastAsia" w:hAnsi="Calibri"/>
          <w:kern w:val="0"/>
          <w:sz w:val="18"/>
          <w:szCs w:val="18"/>
          <w:u w:val="single"/>
        </w:rPr>
        <w:t>（或）施工图设计审查（批）意见</w:t>
      </w:r>
      <w:r>
        <w:rPr>
          <w:rFonts w:hAnsi="Calibri"/>
          <w:kern w:val="0"/>
          <w:sz w:val="18"/>
          <w:szCs w:val="18"/>
        </w:rPr>
        <w:t>。</w:t>
      </w:r>
      <w:r>
        <w:rPr>
          <w:rFonts w:hint="eastAsia" w:hAnsi="Calibri"/>
          <w:kern w:val="0"/>
          <w:sz w:val="18"/>
          <w:szCs w:val="18"/>
        </w:rPr>
        <w:t>（可结合招标项目的工作内容选择相应的阶段）</w:t>
      </w:r>
    </w:p>
    <w:p>
      <w:pPr>
        <w:numPr>
          <w:ilvl w:val="255"/>
          <w:numId w:val="0"/>
        </w:numPr>
        <w:adjustRightInd w:val="0"/>
        <w:spacing w:line="280" w:lineRule="exact"/>
        <w:ind w:firstLine="360" w:firstLineChars="200"/>
        <w:jc w:val="left"/>
        <w:textAlignment w:val="baseline"/>
        <w:rPr>
          <w:rFonts w:hAnsi="Calibri"/>
          <w:kern w:val="0"/>
          <w:sz w:val="18"/>
          <w:szCs w:val="18"/>
        </w:rPr>
      </w:pPr>
      <w:r>
        <w:rPr>
          <w:rFonts w:hint="eastAsia" w:hAnsi="Calibri"/>
          <w:kern w:val="0"/>
          <w:sz w:val="18"/>
          <w:szCs w:val="18"/>
          <w:lang w:val="en-US" w:eastAsia="zh-CN"/>
        </w:rPr>
        <w:t>4</w:t>
      </w:r>
      <w:r>
        <w:rPr>
          <w:rFonts w:hint="eastAsia" w:hAnsi="Calibri"/>
          <w:kern w:val="0"/>
          <w:sz w:val="18"/>
          <w:szCs w:val="18"/>
        </w:rPr>
        <w:t>、若投标人提供的业绩证明为联合体业绩，则按其所提供的证明材料（</w:t>
      </w:r>
      <w:r>
        <w:rPr>
          <w:rFonts w:hint="eastAsia" w:hAnsi="Calibri"/>
          <w:kern w:val="0"/>
          <w:sz w:val="18"/>
          <w:szCs w:val="18"/>
          <w:u w:val="single"/>
        </w:rPr>
        <w:t>勘察</w:t>
      </w:r>
      <w:r>
        <w:rPr>
          <w:rFonts w:hint="eastAsia" w:hAnsi="Calibri"/>
          <w:kern w:val="0"/>
          <w:sz w:val="18"/>
          <w:szCs w:val="18"/>
        </w:rPr>
        <w:t>设计咨询业绩指联合体协议书或业主有效证明材料）体现其完成的工作量认定，无法界定其完成的工作量，此业绩不予认定。</w:t>
      </w:r>
    </w:p>
    <w:p>
      <w:pPr>
        <w:numPr>
          <w:ilvl w:val="255"/>
          <w:numId w:val="0"/>
        </w:numPr>
        <w:topLinePunct/>
        <w:adjustRightInd w:val="0"/>
        <w:ind w:firstLine="360" w:firstLineChars="200"/>
        <w:jc w:val="left"/>
        <w:textAlignment w:val="baseline"/>
        <w:rPr>
          <w:rFonts w:hAnsi="Calibri"/>
          <w:kern w:val="0"/>
          <w:sz w:val="18"/>
          <w:szCs w:val="18"/>
        </w:rPr>
      </w:pPr>
      <w:r>
        <w:rPr>
          <w:rFonts w:hint="eastAsia" w:hAnsi="Calibri"/>
          <w:kern w:val="0"/>
          <w:sz w:val="18"/>
          <w:szCs w:val="18"/>
          <w:lang w:val="en-US" w:eastAsia="zh-CN"/>
        </w:rPr>
        <w:t>5</w:t>
      </w:r>
      <w:r>
        <w:rPr>
          <w:rFonts w:hint="eastAsia" w:hAnsi="Calibri"/>
          <w:kern w:val="0"/>
          <w:sz w:val="18"/>
          <w:szCs w:val="18"/>
        </w:rPr>
        <w:t>、若为联合体投标，投标人业绩的资格审查条件和加分条件（如有）的认定原则如下</w:t>
      </w:r>
      <w:r>
        <w:rPr>
          <w:rStyle w:val="56"/>
          <w:rFonts w:hint="eastAsia" w:ascii="宋体" w:hAnsi="宋体"/>
          <w:kern w:val="0"/>
          <w:sz w:val="32"/>
          <w:szCs w:val="32"/>
        </w:rPr>
        <w:footnoteReference w:id="44"/>
      </w:r>
      <w:r>
        <w:rPr>
          <w:rFonts w:hint="eastAsia" w:hAnsi="Calibri"/>
          <w:kern w:val="0"/>
          <w:sz w:val="18"/>
          <w:szCs w:val="18"/>
        </w:rPr>
        <w:t>：</w:t>
      </w:r>
    </w:p>
    <w:p>
      <w:pPr>
        <w:pStyle w:val="18"/>
      </w:pPr>
      <w:r>
        <w:rPr>
          <w:rFonts w:hint="eastAsia" w:ascii="宋体" w:hAnsi="宋体"/>
          <w:bCs/>
          <w:sz w:val="24"/>
          <w:szCs w:val="16"/>
          <w:u w:val="single"/>
        </w:rPr>
        <w:t xml:space="preserve">                                                                     。</w:t>
      </w:r>
    </w:p>
    <w:p>
      <w:pPr>
        <w:pStyle w:val="2"/>
        <w:spacing w:before="240" w:after="240" w:line="240" w:lineRule="atLeast"/>
        <w:jc w:val="center"/>
        <w:rPr>
          <w:rFonts w:ascii="黑体" w:eastAsia="黑体"/>
          <w:sz w:val="28"/>
          <w:szCs w:val="28"/>
        </w:rPr>
      </w:pPr>
      <w:bookmarkStart w:id="108" w:name="_Toc508984067"/>
      <w:bookmarkStart w:id="109" w:name="_Toc508984266"/>
      <w:bookmarkStart w:id="110" w:name="_Toc503235738"/>
      <w:bookmarkStart w:id="111" w:name="_Toc234832866"/>
      <w:r>
        <w:rPr>
          <w:rFonts w:ascii="黑体" w:eastAsia="黑体"/>
          <w:sz w:val="28"/>
          <w:szCs w:val="28"/>
        </w:rPr>
        <w:t>附录3  资格审查条件（信誉最低要求</w:t>
      </w:r>
      <w:r>
        <w:rPr>
          <w:rFonts w:hint="eastAsia" w:ascii="黑体" w:eastAsia="黑体"/>
          <w:sz w:val="28"/>
          <w:szCs w:val="28"/>
        </w:rPr>
        <w:t>）</w:t>
      </w:r>
      <w:r>
        <w:rPr>
          <w:rStyle w:val="56"/>
          <w:rFonts w:ascii="宋体" w:hAnsi="宋体"/>
          <w:b w:val="0"/>
          <w:bCs w:val="0"/>
          <w:kern w:val="2"/>
          <w:sz w:val="32"/>
          <w:szCs w:val="32"/>
        </w:rPr>
        <w:footnoteReference w:id="45"/>
      </w:r>
      <w:bookmarkEnd w:id="108"/>
      <w:bookmarkEnd w:id="109"/>
      <w:bookmarkEnd w:id="110"/>
      <w:bookmarkEnd w:id="111"/>
    </w:p>
    <w:tbl>
      <w:tblPr>
        <w:tblStyle w:val="47"/>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993" w:type="dxa"/>
            <w:vAlign w:val="center"/>
          </w:tcPr>
          <w:p>
            <w:pPr>
              <w:adjustRightInd w:val="0"/>
              <w:snapToGrid w:val="0"/>
              <w:spacing w:line="400" w:lineRule="atLeast"/>
              <w:jc w:val="center"/>
              <w:rPr>
                <w:szCs w:val="21"/>
              </w:rPr>
            </w:pPr>
            <w:r>
              <w:rPr>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jc w:val="center"/>
        </w:trPr>
        <w:tc>
          <w:tcPr>
            <w:tcW w:w="8993" w:type="dxa"/>
            <w:vAlign w:val="center"/>
          </w:tcPr>
          <w:p>
            <w:pPr>
              <w:adjustRightInd w:val="0"/>
              <w:snapToGrid w:val="0"/>
              <w:spacing w:line="400" w:lineRule="atLeast"/>
              <w:jc w:val="left"/>
              <w:rPr>
                <w:szCs w:val="21"/>
                <w:highlight w:val="cyan"/>
              </w:rPr>
            </w:pPr>
            <w:r>
              <w:rPr>
                <w:rFonts w:hint="eastAsia" w:ascii="宋体" w:hAnsi="宋体"/>
                <w:szCs w:val="21"/>
              </w:rPr>
              <w:t>在最新年度</w:t>
            </w:r>
            <w:r>
              <w:rPr>
                <w:rFonts w:hint="eastAsia" w:ascii="宋体" w:hAnsi="宋体"/>
                <w:szCs w:val="21"/>
                <w:lang w:eastAsia="zh-CN"/>
              </w:rPr>
              <w:t>湛江市</w:t>
            </w:r>
            <w:r>
              <w:rPr>
                <w:rFonts w:hint="eastAsia" w:ascii="宋体" w:hAnsi="宋体"/>
                <w:szCs w:val="21"/>
              </w:rPr>
              <w:t>水运工程从业单位（工程咨询单位）信用评价（含无最新年度而上一年度有信用评价）中，信用等级未被评为D级；初次进入</w:t>
            </w:r>
            <w:r>
              <w:rPr>
                <w:rFonts w:hint="eastAsia" w:ascii="宋体" w:hAnsi="宋体"/>
                <w:szCs w:val="21"/>
                <w:lang w:eastAsia="zh-CN"/>
              </w:rPr>
              <w:t>湛江市</w:t>
            </w:r>
            <w:r>
              <w:rPr>
                <w:rFonts w:hint="eastAsia" w:ascii="宋体" w:hAnsi="宋体"/>
                <w:szCs w:val="21"/>
              </w:rPr>
              <w:t>的投标人，在最新年度的</w:t>
            </w:r>
            <w:r>
              <w:rPr>
                <w:rFonts w:hint="eastAsia" w:ascii="宋体" w:hAnsi="宋体"/>
                <w:szCs w:val="21"/>
                <w:lang w:eastAsia="zh-CN"/>
              </w:rPr>
              <w:t>广东省</w:t>
            </w:r>
            <w:r>
              <w:rPr>
                <w:rFonts w:hint="eastAsia" w:ascii="宋体" w:hAnsi="宋体"/>
                <w:szCs w:val="21"/>
                <w:lang w:val="en-US" w:eastAsia="zh-CN"/>
              </w:rPr>
              <w:t>/</w:t>
            </w:r>
            <w:r>
              <w:rPr>
                <w:rFonts w:hint="eastAsia" w:ascii="宋体" w:hAnsi="宋体"/>
                <w:szCs w:val="21"/>
              </w:rPr>
              <w:t>全国水运从业单位（工程咨询单位）信用评价结果中未被评为D级。</w:t>
            </w:r>
          </w:p>
        </w:tc>
      </w:tr>
    </w:tbl>
    <w:p>
      <w:pPr>
        <w:adjustRightInd w:val="0"/>
        <w:snapToGrid w:val="0"/>
        <w:spacing w:line="300" w:lineRule="auto"/>
        <w:rPr>
          <w:bCs/>
        </w:rPr>
      </w:pPr>
    </w:p>
    <w:p>
      <w:pPr>
        <w:adjustRightInd w:val="0"/>
        <w:snapToGrid w:val="0"/>
        <w:spacing w:line="300" w:lineRule="auto"/>
        <w:rPr>
          <w:rFonts w:ascii="宋体" w:hAnsi="宋体"/>
          <w:szCs w:val="21"/>
        </w:rPr>
      </w:pPr>
      <w:r>
        <w:rPr>
          <w:rFonts w:hint="eastAsia" w:ascii="宋体" w:hAnsi="宋体"/>
          <w:szCs w:val="21"/>
        </w:rPr>
        <w:t>注：1、信用等级的确定原则遵遁投标人须知前附表10.2款的规定。</w:t>
      </w:r>
    </w:p>
    <w:p>
      <w:pPr>
        <w:adjustRightInd w:val="0"/>
        <w:snapToGrid w:val="0"/>
        <w:spacing w:line="360" w:lineRule="auto"/>
        <w:ind w:firstLine="420" w:firstLineChars="200"/>
        <w:rPr>
          <w:rFonts w:ascii="宋体" w:hAnsi="宋体"/>
          <w:szCs w:val="21"/>
        </w:rPr>
      </w:pPr>
      <w:r>
        <w:rPr>
          <w:rFonts w:hint="eastAsia" w:ascii="宋体" w:hAnsi="宋体"/>
          <w:szCs w:val="21"/>
        </w:rPr>
        <w:t>2、以联合体形式投标的，上述信用等级的要求以联合体中信用等级较低的为准。</w:t>
      </w:r>
    </w:p>
    <w:p>
      <w:pPr>
        <w:pStyle w:val="2"/>
        <w:spacing w:before="240" w:after="240" w:line="240" w:lineRule="atLeast"/>
        <w:jc w:val="center"/>
        <w:rPr>
          <w:rFonts w:ascii="黑体" w:eastAsia="黑体"/>
          <w:sz w:val="28"/>
          <w:szCs w:val="28"/>
        </w:rPr>
      </w:pPr>
      <w:bookmarkStart w:id="112" w:name="_Toc508984267"/>
      <w:bookmarkStart w:id="113" w:name="_Toc234832867"/>
      <w:bookmarkStart w:id="114" w:name="_Toc503235739"/>
      <w:bookmarkStart w:id="115" w:name="_Toc508984068"/>
    </w:p>
    <w:p>
      <w:pPr>
        <w:pStyle w:val="2"/>
        <w:spacing w:before="240" w:after="240" w:line="240" w:lineRule="atLeast"/>
        <w:jc w:val="center"/>
        <w:rPr>
          <w:rFonts w:ascii="黑体" w:eastAsia="黑体"/>
          <w:sz w:val="28"/>
          <w:szCs w:val="28"/>
        </w:rPr>
      </w:pPr>
    </w:p>
    <w:p>
      <w:pPr>
        <w:pStyle w:val="2"/>
        <w:spacing w:before="240" w:after="240" w:line="240" w:lineRule="atLeast"/>
        <w:jc w:val="center"/>
        <w:rPr>
          <w:rFonts w:ascii="黑体" w:eastAsia="黑体"/>
          <w:sz w:val="28"/>
          <w:szCs w:val="28"/>
        </w:rPr>
      </w:pPr>
      <w:r>
        <w:rPr>
          <w:rFonts w:ascii="黑体" w:eastAsia="黑体"/>
          <w:sz w:val="28"/>
          <w:szCs w:val="28"/>
        </w:rPr>
        <w:t>附录</w:t>
      </w:r>
      <w:r>
        <w:rPr>
          <w:rFonts w:hint="eastAsia" w:ascii="黑体" w:eastAsia="黑体"/>
          <w:sz w:val="28"/>
          <w:szCs w:val="28"/>
        </w:rPr>
        <w:t>4</w:t>
      </w:r>
      <w:r>
        <w:rPr>
          <w:rFonts w:ascii="黑体" w:eastAsia="黑体"/>
          <w:sz w:val="28"/>
          <w:szCs w:val="28"/>
        </w:rPr>
        <w:t xml:space="preserve">  资格审查条件（项目负责人最低要求</w:t>
      </w:r>
      <w:r>
        <w:rPr>
          <w:rFonts w:hint="eastAsia" w:ascii="黑体" w:eastAsia="黑体"/>
          <w:sz w:val="28"/>
          <w:szCs w:val="28"/>
        </w:rPr>
        <w:t>）</w:t>
      </w:r>
      <w:r>
        <w:rPr>
          <w:rStyle w:val="56"/>
          <w:rFonts w:ascii="宋体" w:hAnsi="宋体"/>
          <w:b w:val="0"/>
          <w:bCs w:val="0"/>
          <w:kern w:val="2"/>
          <w:sz w:val="32"/>
          <w:szCs w:val="32"/>
        </w:rPr>
        <w:footnoteReference w:id="46"/>
      </w:r>
      <w:bookmarkEnd w:id="112"/>
      <w:bookmarkEnd w:id="113"/>
      <w:bookmarkEnd w:id="114"/>
      <w:bookmarkEnd w:id="115"/>
    </w:p>
    <w:tbl>
      <w:tblPr>
        <w:tblStyle w:val="4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1748"/>
        <w:gridCol w:w="4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84" w:type="dxa"/>
            <w:vAlign w:val="center"/>
          </w:tcPr>
          <w:p>
            <w:pPr>
              <w:adjustRightInd w:val="0"/>
              <w:snapToGrid w:val="0"/>
              <w:spacing w:line="300" w:lineRule="auto"/>
              <w:jc w:val="center"/>
              <w:rPr>
                <w:szCs w:val="21"/>
              </w:rPr>
            </w:pPr>
            <w:r>
              <w:rPr>
                <w:szCs w:val="21"/>
              </w:rPr>
              <w:t>人  员</w:t>
            </w:r>
          </w:p>
        </w:tc>
        <w:tc>
          <w:tcPr>
            <w:tcW w:w="1748" w:type="dxa"/>
            <w:vAlign w:val="center"/>
          </w:tcPr>
          <w:p>
            <w:pPr>
              <w:adjustRightInd w:val="0"/>
              <w:snapToGrid w:val="0"/>
              <w:spacing w:line="300" w:lineRule="auto"/>
              <w:jc w:val="center"/>
              <w:rPr>
                <w:szCs w:val="21"/>
              </w:rPr>
            </w:pPr>
            <w:r>
              <w:rPr>
                <w:szCs w:val="21"/>
              </w:rPr>
              <w:t>数  量</w:t>
            </w:r>
          </w:p>
        </w:tc>
        <w:tc>
          <w:tcPr>
            <w:tcW w:w="4971" w:type="dxa"/>
            <w:vAlign w:val="center"/>
          </w:tcPr>
          <w:p>
            <w:pPr>
              <w:adjustRightInd w:val="0"/>
              <w:snapToGrid w:val="0"/>
              <w:spacing w:line="300" w:lineRule="auto"/>
              <w:jc w:val="center"/>
              <w:rPr>
                <w:szCs w:val="21"/>
              </w:rPr>
            </w:pPr>
            <w:r>
              <w:rPr>
                <w:szCs w:val="21"/>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2284" w:type="dxa"/>
            <w:vAlign w:val="center"/>
          </w:tcPr>
          <w:p>
            <w:pPr>
              <w:spacing w:line="300" w:lineRule="auto"/>
              <w:jc w:val="center"/>
              <w:rPr>
                <w:szCs w:val="21"/>
              </w:rPr>
            </w:pPr>
            <w:r>
              <w:rPr>
                <w:szCs w:val="21"/>
              </w:rPr>
              <w:t>项目</w:t>
            </w:r>
            <w:r>
              <w:rPr>
                <w:rFonts w:hint="eastAsia"/>
                <w:szCs w:val="21"/>
              </w:rPr>
              <w:t>负责人</w:t>
            </w:r>
          </w:p>
        </w:tc>
        <w:tc>
          <w:tcPr>
            <w:tcW w:w="1748" w:type="dxa"/>
            <w:vAlign w:val="center"/>
          </w:tcPr>
          <w:p>
            <w:pPr>
              <w:adjustRightInd w:val="0"/>
              <w:snapToGrid w:val="0"/>
              <w:spacing w:line="300" w:lineRule="auto"/>
              <w:jc w:val="center"/>
              <w:rPr>
                <w:rFonts w:ascii="宋体" w:hAnsi="宋体"/>
                <w:szCs w:val="21"/>
              </w:rPr>
            </w:pPr>
            <w:r>
              <w:rPr>
                <w:rFonts w:hint="eastAsia" w:ascii="宋体" w:hAnsi="宋体"/>
                <w:szCs w:val="21"/>
              </w:rPr>
              <w:t>1</w:t>
            </w:r>
          </w:p>
        </w:tc>
        <w:tc>
          <w:tcPr>
            <w:tcW w:w="4971" w:type="dxa"/>
            <w:vAlign w:val="center"/>
          </w:tcPr>
          <w:p>
            <w:pPr>
              <w:adjustRightInd w:val="0"/>
              <w:snapToGrid w:val="0"/>
              <w:spacing w:line="300" w:lineRule="auto"/>
              <w:rPr>
                <w:rFonts w:ascii="宋体" w:hAnsi="宋体"/>
                <w:szCs w:val="21"/>
              </w:rPr>
            </w:pPr>
            <w:r>
              <w:rPr>
                <w:rFonts w:hint="eastAsia" w:ascii="宋体" w:hAnsi="宋体"/>
                <w:szCs w:val="21"/>
                <w:u w:val="single"/>
              </w:rPr>
              <w:t>具有</w:t>
            </w:r>
            <w:r>
              <w:rPr>
                <w:rFonts w:hint="eastAsia" w:ascii="宋体" w:hAnsi="宋体" w:cs="宋体"/>
                <w:szCs w:val="21"/>
                <w:u w:val="single"/>
              </w:rPr>
              <w:t>水运工程系列中级</w:t>
            </w:r>
            <w:r>
              <w:rPr>
                <w:rFonts w:hint="eastAsia" w:ascii="宋体" w:hAnsi="宋体"/>
                <w:szCs w:val="21"/>
                <w:u w:val="single"/>
              </w:rPr>
              <w:t>职称，近</w:t>
            </w:r>
            <w:r>
              <w:rPr>
                <w:rFonts w:ascii="宋体" w:hAnsi="宋体"/>
                <w:szCs w:val="21"/>
                <w:u w:val="single"/>
              </w:rPr>
              <w:t>5</w:t>
            </w:r>
            <w:r>
              <w:rPr>
                <w:rFonts w:hint="eastAsia" w:ascii="宋体" w:hAnsi="宋体"/>
                <w:szCs w:val="21"/>
                <w:u w:val="single"/>
              </w:rPr>
              <w:t>年内作为项目负责人主持过1个合同段类似工程项目的勘察设计咨询工作。</w:t>
            </w:r>
          </w:p>
        </w:tc>
      </w:tr>
    </w:tbl>
    <w:p>
      <w:pPr>
        <w:adjustRightInd w:val="0"/>
        <w:snapToGrid w:val="0"/>
        <w:spacing w:line="240" w:lineRule="exact"/>
        <w:rPr>
          <w:rFonts w:eastAsia="隶书"/>
          <w:b/>
          <w:bCs/>
          <w:sz w:val="32"/>
          <w:szCs w:val="32"/>
        </w:rPr>
      </w:pPr>
    </w:p>
    <w:p>
      <w:pPr>
        <w:adjustRightInd w:val="0"/>
        <w:snapToGrid w:val="0"/>
        <w:spacing w:line="300" w:lineRule="auto"/>
        <w:ind w:right="-512" w:rightChars="-244" w:firstLine="422" w:firstLineChars="200"/>
        <w:rPr>
          <w:b/>
          <w:iCs/>
          <w:szCs w:val="21"/>
        </w:rPr>
      </w:pPr>
      <w:r>
        <w:rPr>
          <w:b/>
          <w:iCs/>
          <w:szCs w:val="21"/>
        </w:rPr>
        <w:br w:type="page"/>
      </w:r>
    </w:p>
    <w:p>
      <w:pPr>
        <w:pStyle w:val="2"/>
        <w:spacing w:before="240" w:after="240" w:line="240" w:lineRule="atLeast"/>
        <w:jc w:val="center"/>
        <w:rPr>
          <w:rStyle w:val="56"/>
          <w:rFonts w:ascii="宋体" w:hAnsi="宋体"/>
          <w:b w:val="0"/>
          <w:bCs w:val="0"/>
          <w:kern w:val="2"/>
          <w:sz w:val="32"/>
          <w:szCs w:val="32"/>
        </w:rPr>
      </w:pPr>
      <w:bookmarkStart w:id="116" w:name="_Toc508984268"/>
      <w:bookmarkStart w:id="117" w:name="_Toc508984069"/>
      <w:bookmarkStart w:id="118" w:name="_Toc503235740"/>
      <w:bookmarkStart w:id="119" w:name="_Toc234832868"/>
      <w:r>
        <w:rPr>
          <w:rFonts w:ascii="黑体" w:eastAsia="黑体"/>
          <w:sz w:val="28"/>
          <w:szCs w:val="28"/>
        </w:rPr>
        <w:t>附录</w:t>
      </w:r>
      <w:r>
        <w:rPr>
          <w:rFonts w:hint="eastAsia" w:ascii="黑体" w:eastAsia="黑体"/>
          <w:sz w:val="28"/>
          <w:szCs w:val="28"/>
        </w:rPr>
        <w:t>5</w:t>
      </w:r>
      <w:r>
        <w:rPr>
          <w:rFonts w:ascii="黑体" w:eastAsia="黑体"/>
          <w:sz w:val="28"/>
          <w:szCs w:val="28"/>
        </w:rPr>
        <w:t xml:space="preserve">  资格审查条件（</w:t>
      </w:r>
      <w:r>
        <w:rPr>
          <w:rFonts w:hint="eastAsia" w:ascii="黑体" w:eastAsia="黑体"/>
          <w:sz w:val="28"/>
          <w:szCs w:val="28"/>
        </w:rPr>
        <w:t>分项咨询负责人</w:t>
      </w:r>
      <w:r>
        <w:rPr>
          <w:rFonts w:ascii="黑体" w:eastAsia="黑体"/>
          <w:sz w:val="28"/>
          <w:szCs w:val="28"/>
        </w:rPr>
        <w:t>最低要求）</w:t>
      </w:r>
      <w:r>
        <w:rPr>
          <w:rStyle w:val="56"/>
          <w:rFonts w:ascii="宋体" w:hAnsi="宋体"/>
          <w:b w:val="0"/>
          <w:bCs w:val="0"/>
          <w:kern w:val="2"/>
          <w:sz w:val="32"/>
          <w:szCs w:val="32"/>
        </w:rPr>
        <w:footnoteReference w:id="47"/>
      </w:r>
      <w:bookmarkEnd w:id="116"/>
      <w:bookmarkEnd w:id="117"/>
      <w:bookmarkEnd w:id="118"/>
      <w:bookmarkEnd w:id="119"/>
    </w:p>
    <w:tbl>
      <w:tblPr>
        <w:tblStyle w:val="4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1256"/>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946" w:type="dxa"/>
            <w:vAlign w:val="center"/>
          </w:tcPr>
          <w:p>
            <w:pPr>
              <w:adjustRightInd w:val="0"/>
              <w:snapToGrid w:val="0"/>
              <w:spacing w:line="400" w:lineRule="atLeast"/>
              <w:jc w:val="center"/>
              <w:rPr>
                <w:szCs w:val="21"/>
              </w:rPr>
            </w:pPr>
            <w:r>
              <w:rPr>
                <w:szCs w:val="21"/>
              </w:rPr>
              <w:t>人  员</w:t>
            </w:r>
          </w:p>
        </w:tc>
        <w:tc>
          <w:tcPr>
            <w:tcW w:w="1256" w:type="dxa"/>
            <w:vAlign w:val="center"/>
          </w:tcPr>
          <w:p>
            <w:pPr>
              <w:adjustRightInd w:val="0"/>
              <w:snapToGrid w:val="0"/>
              <w:spacing w:line="400" w:lineRule="atLeast"/>
              <w:jc w:val="center"/>
              <w:rPr>
                <w:szCs w:val="21"/>
              </w:rPr>
            </w:pPr>
            <w:r>
              <w:rPr>
                <w:szCs w:val="21"/>
              </w:rPr>
              <w:t>数  量</w:t>
            </w:r>
          </w:p>
        </w:tc>
        <w:tc>
          <w:tcPr>
            <w:tcW w:w="5916" w:type="dxa"/>
            <w:vAlign w:val="center"/>
          </w:tcPr>
          <w:p>
            <w:pPr>
              <w:adjustRightInd w:val="0"/>
              <w:snapToGrid w:val="0"/>
              <w:spacing w:line="400" w:lineRule="atLeast"/>
              <w:jc w:val="center"/>
              <w:rPr>
                <w:szCs w:val="21"/>
              </w:rPr>
            </w:pPr>
            <w:r>
              <w:rPr>
                <w:szCs w:val="21"/>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46" w:type="dxa"/>
            <w:vAlign w:val="center"/>
          </w:tcPr>
          <w:p>
            <w:pPr>
              <w:wordWrap w:val="0"/>
              <w:topLinePunct/>
              <w:jc w:val="center"/>
              <w:rPr>
                <w:rFonts w:ascii="宋体" w:hAnsi="宋体"/>
                <w:szCs w:val="21"/>
              </w:rPr>
            </w:pPr>
            <w:r>
              <w:rPr>
                <w:rFonts w:hint="eastAsia" w:ascii="宋体" w:hAnsi="宋体"/>
                <w:szCs w:val="21"/>
              </w:rPr>
              <w:t>水工专业分项咨询负责人</w:t>
            </w:r>
          </w:p>
        </w:tc>
        <w:tc>
          <w:tcPr>
            <w:tcW w:w="1256" w:type="dxa"/>
            <w:vAlign w:val="center"/>
          </w:tcPr>
          <w:p>
            <w:pPr>
              <w:wordWrap w:val="0"/>
              <w:topLinePunct/>
              <w:jc w:val="center"/>
              <w:rPr>
                <w:rFonts w:ascii="宋体" w:hAnsi="宋体"/>
                <w:szCs w:val="21"/>
              </w:rPr>
            </w:pPr>
            <w:r>
              <w:rPr>
                <w:rFonts w:hint="eastAsia" w:ascii="宋体" w:hAnsi="宋体"/>
                <w:szCs w:val="21"/>
              </w:rPr>
              <w:t>1</w:t>
            </w:r>
          </w:p>
        </w:tc>
        <w:tc>
          <w:tcPr>
            <w:tcW w:w="5916" w:type="dxa"/>
            <w:vAlign w:val="center"/>
          </w:tcPr>
          <w:p>
            <w:pPr>
              <w:wordWrap w:val="0"/>
              <w:topLinePunct/>
              <w:rPr>
                <w:rFonts w:ascii="宋体" w:hAnsi="宋体"/>
                <w:szCs w:val="21"/>
              </w:rPr>
            </w:pPr>
            <w:r>
              <w:rPr>
                <w:rFonts w:hint="eastAsia" w:ascii="宋体" w:hAnsi="宋体"/>
                <w:szCs w:val="21"/>
                <w:u w:val="single"/>
              </w:rPr>
              <w:t>具有水运工程系列</w:t>
            </w:r>
            <w:r>
              <w:rPr>
                <w:rFonts w:hint="eastAsia" w:ascii="宋体" w:hAnsi="宋体"/>
                <w:szCs w:val="21"/>
                <w:u w:val="single"/>
                <w:lang w:val="en-US" w:eastAsia="zh-CN"/>
              </w:rPr>
              <w:t xml:space="preserve">  </w:t>
            </w:r>
            <w:r>
              <w:rPr>
                <w:rFonts w:hint="eastAsia" w:ascii="宋体" w:hAnsi="宋体"/>
                <w:szCs w:val="21"/>
                <w:u w:val="single"/>
              </w:rPr>
              <w:t>级职称</w:t>
            </w:r>
            <w:r>
              <w:rPr>
                <w:rFonts w:hint="eastAsia" w:ascii="宋体" w:hAnsi="宋体" w:cs="宋体"/>
                <w:szCs w:val="21"/>
                <w:u w:val="single"/>
              </w:rPr>
              <w:t>，至少</w:t>
            </w:r>
            <w:r>
              <w:rPr>
                <w:rFonts w:hint="eastAsia" w:ascii="宋体" w:hAnsi="宋体" w:cs="宋体"/>
                <w:szCs w:val="21"/>
                <w:u w:val="single"/>
                <w:lang w:val="en-US" w:eastAsia="zh-CN"/>
              </w:rPr>
              <w:t xml:space="preserve">  </w:t>
            </w:r>
            <w:r>
              <w:rPr>
                <w:rFonts w:hint="eastAsia" w:ascii="宋体" w:hAnsi="宋体" w:cs="宋体"/>
                <w:szCs w:val="21"/>
                <w:u w:val="single"/>
              </w:rPr>
              <w:t>年工作经验</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46" w:type="dxa"/>
            <w:vAlign w:val="center"/>
          </w:tcPr>
          <w:p>
            <w:pPr>
              <w:wordWrap w:val="0"/>
              <w:topLinePunct/>
              <w:jc w:val="center"/>
              <w:rPr>
                <w:rFonts w:ascii="宋体" w:hAnsi="宋体"/>
                <w:szCs w:val="21"/>
              </w:rPr>
            </w:pPr>
            <w:r>
              <w:rPr>
                <w:rFonts w:hint="eastAsia" w:ascii="宋体" w:hAnsi="宋体"/>
                <w:szCs w:val="21"/>
              </w:rPr>
              <w:t>总图专业分项咨询负责人</w:t>
            </w:r>
          </w:p>
        </w:tc>
        <w:tc>
          <w:tcPr>
            <w:tcW w:w="1256" w:type="dxa"/>
            <w:vAlign w:val="center"/>
          </w:tcPr>
          <w:p>
            <w:pPr>
              <w:wordWrap w:val="0"/>
              <w:topLinePunct/>
              <w:jc w:val="center"/>
              <w:rPr>
                <w:rFonts w:ascii="宋体" w:hAnsi="宋体"/>
                <w:szCs w:val="21"/>
              </w:rPr>
            </w:pPr>
            <w:r>
              <w:rPr>
                <w:rFonts w:hint="eastAsia" w:ascii="宋体" w:hAnsi="宋体"/>
                <w:szCs w:val="21"/>
              </w:rPr>
              <w:t>1</w:t>
            </w:r>
          </w:p>
        </w:tc>
        <w:tc>
          <w:tcPr>
            <w:tcW w:w="5916" w:type="dxa"/>
            <w:vAlign w:val="center"/>
          </w:tcPr>
          <w:p>
            <w:pPr>
              <w:wordWrap w:val="0"/>
              <w:topLinePunct/>
              <w:rPr>
                <w:rFonts w:ascii="宋体" w:hAnsi="宋体"/>
                <w:szCs w:val="21"/>
              </w:rPr>
            </w:pPr>
            <w:r>
              <w:rPr>
                <w:rFonts w:hint="eastAsia" w:ascii="宋体" w:hAnsi="宋体"/>
                <w:szCs w:val="21"/>
                <w:u w:val="single"/>
              </w:rPr>
              <w:t>具有水运工程系列</w:t>
            </w:r>
            <w:r>
              <w:rPr>
                <w:rFonts w:hint="eastAsia" w:ascii="宋体" w:hAnsi="宋体"/>
                <w:szCs w:val="21"/>
                <w:u w:val="single"/>
                <w:lang w:val="en-US" w:eastAsia="zh-CN"/>
              </w:rPr>
              <w:t xml:space="preserve">  </w:t>
            </w:r>
            <w:r>
              <w:rPr>
                <w:rFonts w:hint="eastAsia" w:ascii="宋体" w:hAnsi="宋体"/>
                <w:szCs w:val="21"/>
                <w:u w:val="single"/>
              </w:rPr>
              <w:t>级职称</w:t>
            </w:r>
            <w:r>
              <w:rPr>
                <w:rFonts w:hint="eastAsia" w:ascii="宋体" w:hAnsi="宋体" w:cs="宋体"/>
                <w:szCs w:val="21"/>
                <w:u w:val="single"/>
              </w:rPr>
              <w:t>，至少</w:t>
            </w:r>
            <w:r>
              <w:rPr>
                <w:rFonts w:hint="eastAsia" w:ascii="宋体" w:hAnsi="宋体" w:cs="宋体"/>
                <w:szCs w:val="21"/>
                <w:u w:val="single"/>
                <w:lang w:val="en-US" w:eastAsia="zh-CN"/>
              </w:rPr>
              <w:t xml:space="preserve">  </w:t>
            </w:r>
            <w:r>
              <w:rPr>
                <w:rFonts w:hint="eastAsia" w:ascii="宋体" w:hAnsi="宋体" w:cs="宋体"/>
                <w:szCs w:val="21"/>
                <w:u w:val="single"/>
              </w:rPr>
              <w:t>年工作经验</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4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装卸工艺专业分项咨询负责人</w:t>
            </w:r>
          </w:p>
        </w:tc>
        <w:tc>
          <w:tcPr>
            <w:tcW w:w="125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1</w:t>
            </w:r>
          </w:p>
        </w:tc>
        <w:tc>
          <w:tcPr>
            <w:tcW w:w="5916"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Cs w:val="21"/>
              </w:rPr>
            </w:pPr>
            <w:r>
              <w:rPr>
                <w:rFonts w:hint="eastAsia" w:ascii="宋体" w:hAnsi="宋体"/>
                <w:szCs w:val="21"/>
                <w:u w:val="single"/>
              </w:rPr>
              <w:t>具有水运工程系列</w:t>
            </w:r>
            <w:r>
              <w:rPr>
                <w:rFonts w:hint="eastAsia" w:ascii="宋体" w:hAnsi="宋体"/>
                <w:szCs w:val="21"/>
                <w:u w:val="single"/>
                <w:lang w:val="en-US" w:eastAsia="zh-CN"/>
              </w:rPr>
              <w:t xml:space="preserve">  </w:t>
            </w:r>
            <w:r>
              <w:rPr>
                <w:rFonts w:hint="eastAsia" w:ascii="宋体" w:hAnsi="宋体"/>
                <w:szCs w:val="21"/>
                <w:u w:val="single"/>
              </w:rPr>
              <w:t>级职称</w:t>
            </w:r>
            <w:r>
              <w:rPr>
                <w:rFonts w:hint="eastAsia" w:ascii="宋体" w:hAnsi="宋体" w:cs="宋体"/>
                <w:szCs w:val="21"/>
                <w:u w:val="single"/>
              </w:rPr>
              <w:t>，至少</w:t>
            </w:r>
            <w:r>
              <w:rPr>
                <w:rFonts w:hint="eastAsia" w:ascii="宋体" w:hAnsi="宋体" w:cs="宋体"/>
                <w:szCs w:val="21"/>
                <w:u w:val="single"/>
                <w:lang w:val="en-US" w:eastAsia="zh-CN"/>
              </w:rPr>
              <w:t xml:space="preserve">  </w:t>
            </w:r>
            <w:r>
              <w:rPr>
                <w:rFonts w:hint="eastAsia" w:ascii="宋体" w:hAnsi="宋体" w:cs="宋体"/>
                <w:szCs w:val="21"/>
                <w:u w:val="single"/>
              </w:rPr>
              <w:t>年工作经验</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4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电气专业分项咨询负责人</w:t>
            </w:r>
          </w:p>
        </w:tc>
        <w:tc>
          <w:tcPr>
            <w:tcW w:w="125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1</w:t>
            </w:r>
          </w:p>
        </w:tc>
        <w:tc>
          <w:tcPr>
            <w:tcW w:w="5916"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Cs w:val="21"/>
              </w:rPr>
            </w:pPr>
            <w:r>
              <w:rPr>
                <w:rFonts w:hint="eastAsia" w:ascii="宋体" w:hAnsi="宋体"/>
                <w:szCs w:val="21"/>
                <w:u w:val="single"/>
              </w:rPr>
              <w:t>具有水运工程系列</w:t>
            </w:r>
            <w:r>
              <w:rPr>
                <w:rFonts w:hint="eastAsia" w:ascii="宋体" w:hAnsi="宋体"/>
                <w:szCs w:val="21"/>
                <w:u w:val="single"/>
                <w:lang w:val="en-US" w:eastAsia="zh-CN"/>
              </w:rPr>
              <w:t xml:space="preserve">  </w:t>
            </w:r>
            <w:r>
              <w:rPr>
                <w:rFonts w:hint="eastAsia" w:ascii="宋体" w:hAnsi="宋体"/>
                <w:szCs w:val="21"/>
                <w:u w:val="single"/>
              </w:rPr>
              <w:t>级职称</w:t>
            </w:r>
            <w:r>
              <w:rPr>
                <w:rFonts w:hint="eastAsia" w:ascii="宋体" w:hAnsi="宋体" w:cs="宋体"/>
                <w:szCs w:val="21"/>
                <w:u w:val="single"/>
              </w:rPr>
              <w:t>，至少</w:t>
            </w:r>
            <w:r>
              <w:rPr>
                <w:rFonts w:hint="eastAsia" w:ascii="宋体" w:hAnsi="宋体" w:cs="宋体"/>
                <w:szCs w:val="21"/>
                <w:u w:val="single"/>
                <w:lang w:val="en-US" w:eastAsia="zh-CN"/>
              </w:rPr>
              <w:t xml:space="preserve">  </w:t>
            </w:r>
            <w:r>
              <w:rPr>
                <w:rFonts w:hint="eastAsia" w:ascii="宋体" w:hAnsi="宋体" w:cs="宋体"/>
                <w:szCs w:val="21"/>
                <w:u w:val="single"/>
              </w:rPr>
              <w:t>年工作经验</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4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工程测量分项咨询负责人</w:t>
            </w:r>
          </w:p>
        </w:tc>
        <w:tc>
          <w:tcPr>
            <w:tcW w:w="125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1</w:t>
            </w:r>
          </w:p>
        </w:tc>
        <w:tc>
          <w:tcPr>
            <w:tcW w:w="5916"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Cs w:val="21"/>
              </w:rPr>
            </w:pPr>
            <w:r>
              <w:rPr>
                <w:rFonts w:hint="eastAsia" w:ascii="宋体" w:hAnsi="宋体"/>
                <w:szCs w:val="21"/>
                <w:u w:val="single"/>
              </w:rPr>
              <w:t>具有水运工程系列</w:t>
            </w:r>
            <w:r>
              <w:rPr>
                <w:rFonts w:hint="eastAsia" w:ascii="宋体" w:hAnsi="宋体"/>
                <w:szCs w:val="21"/>
                <w:u w:val="single"/>
                <w:lang w:val="en-US" w:eastAsia="zh-CN"/>
              </w:rPr>
              <w:t xml:space="preserve">  </w:t>
            </w:r>
            <w:r>
              <w:rPr>
                <w:rFonts w:hint="eastAsia" w:ascii="宋体" w:hAnsi="宋体"/>
                <w:szCs w:val="21"/>
                <w:u w:val="single"/>
              </w:rPr>
              <w:t>级职称</w:t>
            </w:r>
            <w:r>
              <w:rPr>
                <w:rFonts w:hint="eastAsia" w:ascii="宋体" w:hAnsi="宋体" w:cs="宋体"/>
                <w:szCs w:val="21"/>
                <w:u w:val="single"/>
              </w:rPr>
              <w:t>，至少</w:t>
            </w:r>
            <w:r>
              <w:rPr>
                <w:rFonts w:hint="eastAsia" w:ascii="宋体" w:hAnsi="宋体" w:cs="宋体"/>
                <w:szCs w:val="21"/>
                <w:u w:val="single"/>
                <w:lang w:val="en-US" w:eastAsia="zh-CN"/>
              </w:rPr>
              <w:t xml:space="preserve">  </w:t>
            </w:r>
            <w:r>
              <w:rPr>
                <w:rFonts w:hint="eastAsia" w:ascii="宋体" w:hAnsi="宋体" w:cs="宋体"/>
                <w:szCs w:val="21"/>
                <w:u w:val="single"/>
              </w:rPr>
              <w:t>年工作经验</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194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工程地质勘察分项咨询负责人</w:t>
            </w:r>
          </w:p>
        </w:tc>
        <w:tc>
          <w:tcPr>
            <w:tcW w:w="125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1</w:t>
            </w:r>
          </w:p>
        </w:tc>
        <w:tc>
          <w:tcPr>
            <w:tcW w:w="5916"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Cs w:val="21"/>
              </w:rPr>
            </w:pPr>
            <w:r>
              <w:rPr>
                <w:rFonts w:hint="eastAsia" w:ascii="宋体" w:hAnsi="宋体"/>
                <w:szCs w:val="21"/>
                <w:u w:val="single"/>
              </w:rPr>
              <w:t>具有水运工程系列</w:t>
            </w:r>
            <w:r>
              <w:rPr>
                <w:rFonts w:hint="eastAsia" w:ascii="宋体" w:hAnsi="宋体"/>
                <w:szCs w:val="21"/>
                <w:u w:val="single"/>
                <w:lang w:val="en-US" w:eastAsia="zh-CN"/>
              </w:rPr>
              <w:t xml:space="preserve">  </w:t>
            </w:r>
            <w:r>
              <w:rPr>
                <w:rFonts w:hint="eastAsia" w:ascii="宋体" w:hAnsi="宋体"/>
                <w:szCs w:val="21"/>
                <w:u w:val="single"/>
              </w:rPr>
              <w:t>级职称</w:t>
            </w:r>
            <w:r>
              <w:rPr>
                <w:rFonts w:hint="eastAsia" w:ascii="宋体" w:hAnsi="宋体" w:cs="宋体"/>
                <w:szCs w:val="21"/>
                <w:u w:val="single"/>
              </w:rPr>
              <w:t>，至少</w:t>
            </w:r>
            <w:r>
              <w:rPr>
                <w:rFonts w:hint="eastAsia" w:ascii="宋体" w:hAnsi="宋体" w:cs="宋体"/>
                <w:szCs w:val="21"/>
                <w:u w:val="single"/>
                <w:lang w:val="en-US" w:eastAsia="zh-CN"/>
              </w:rPr>
              <w:t xml:space="preserve">  </w:t>
            </w:r>
            <w:r>
              <w:rPr>
                <w:rFonts w:hint="eastAsia" w:ascii="宋体" w:hAnsi="宋体" w:cs="宋体"/>
                <w:szCs w:val="21"/>
                <w:u w:val="single"/>
              </w:rPr>
              <w:t>年工作经验</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194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造价咨询负责人</w:t>
            </w:r>
          </w:p>
        </w:tc>
        <w:tc>
          <w:tcPr>
            <w:tcW w:w="125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Cs w:val="21"/>
              </w:rPr>
            </w:pPr>
            <w:r>
              <w:rPr>
                <w:rFonts w:hint="eastAsia" w:ascii="宋体" w:hAnsi="宋体"/>
                <w:szCs w:val="21"/>
              </w:rPr>
              <w:t>1</w:t>
            </w:r>
          </w:p>
        </w:tc>
        <w:tc>
          <w:tcPr>
            <w:tcW w:w="5916"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Cs w:val="21"/>
              </w:rPr>
            </w:pPr>
            <w:r>
              <w:rPr>
                <w:rFonts w:hint="eastAsia" w:ascii="宋体" w:hAnsi="宋体" w:cs="宋体"/>
                <w:szCs w:val="21"/>
                <w:u w:val="single"/>
              </w:rPr>
              <w:t>具有交通运输部颁发的</w:t>
            </w:r>
            <w:r>
              <w:rPr>
                <w:rFonts w:hint="eastAsia" w:ascii="宋体" w:hAnsi="宋体" w:cs="宋体"/>
                <w:szCs w:val="21"/>
                <w:u w:val="single"/>
                <w:lang w:val="en-US" w:eastAsia="zh-CN"/>
              </w:rPr>
              <w:t xml:space="preserve">  </w:t>
            </w:r>
            <w:r>
              <w:rPr>
                <w:rFonts w:hint="eastAsia" w:ascii="宋体" w:hAnsi="宋体" w:cs="宋体"/>
                <w:szCs w:val="21"/>
                <w:u w:val="single"/>
              </w:rPr>
              <w:t>级水运工程造价工程师证书或</w:t>
            </w:r>
            <w:r>
              <w:rPr>
                <w:rFonts w:hint="eastAsia" w:ascii="宋体" w:hAnsi="宋体" w:cs="宋体"/>
                <w:szCs w:val="21"/>
                <w:u w:val="single"/>
                <w:lang w:val="en-US" w:eastAsia="zh-CN"/>
              </w:rPr>
              <w:t xml:space="preserve">   </w:t>
            </w:r>
            <w:r>
              <w:rPr>
                <w:rFonts w:hint="eastAsia" w:ascii="宋体" w:hAnsi="宋体" w:cs="宋体"/>
                <w:szCs w:val="21"/>
                <w:u w:val="single"/>
              </w:rPr>
              <w:t>级交通运输工程专业造价工程师注册证书，至少</w:t>
            </w:r>
            <w:r>
              <w:rPr>
                <w:rFonts w:hint="eastAsia" w:ascii="宋体" w:hAnsi="宋体" w:cs="宋体"/>
                <w:szCs w:val="21"/>
                <w:u w:val="single"/>
                <w:lang w:val="en-US" w:eastAsia="zh-CN"/>
              </w:rPr>
              <w:t xml:space="preserve">    </w:t>
            </w:r>
            <w:r>
              <w:rPr>
                <w:rFonts w:hint="eastAsia" w:ascii="宋体" w:hAnsi="宋体" w:cs="宋体"/>
                <w:szCs w:val="21"/>
                <w:u w:val="single"/>
              </w:rPr>
              <w:t>年工作经验</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szCs w:val="21"/>
              </w:rPr>
            </w:pPr>
            <w:r>
              <w:rPr>
                <w:rFonts w:ascii="宋体" w:hAnsi="宋体"/>
                <w:szCs w:val="21"/>
              </w:rPr>
              <w:t>………</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jc w:val="center"/>
              <w:rPr>
                <w:szCs w:val="21"/>
              </w:rPr>
            </w:pPr>
          </w:p>
        </w:tc>
        <w:tc>
          <w:tcPr>
            <w:tcW w:w="5916" w:type="dxa"/>
            <w:tcBorders>
              <w:top w:val="single" w:color="auto" w:sz="4" w:space="0"/>
              <w:left w:val="single" w:color="auto" w:sz="4" w:space="0"/>
              <w:bottom w:val="single" w:color="auto" w:sz="4" w:space="0"/>
              <w:right w:val="single" w:color="auto" w:sz="4" w:space="0"/>
            </w:tcBorders>
            <w:vAlign w:val="center"/>
          </w:tcPr>
          <w:p>
            <w:pPr>
              <w:spacing w:line="400" w:lineRule="atLeast"/>
              <w:rPr>
                <w:szCs w:val="21"/>
              </w:rPr>
            </w:pP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黑体"/>
          <w:sz w:val="24"/>
        </w:rPr>
      </w:pPr>
    </w:p>
    <w:p>
      <w:pPr>
        <w:pStyle w:val="18"/>
        <w:keepNext w:val="0"/>
        <w:keepLines w:val="0"/>
        <w:pageBreakBefore w:val="0"/>
        <w:widowControl w:val="0"/>
        <w:kinsoku/>
        <w:wordWrap/>
        <w:overflowPunct/>
        <w:topLinePunct w:val="0"/>
        <w:autoSpaceDE/>
        <w:autoSpaceDN/>
        <w:bidi w:val="0"/>
        <w:spacing w:after="0" w:line="240" w:lineRule="auto"/>
        <w:textAlignment w:val="auto"/>
      </w:pPr>
      <w:r>
        <w:rPr>
          <w:rFonts w:hint="eastAsia"/>
        </w:rPr>
        <w:t>注：1、造价咨询负责人的造价人员证书的等级结合项目属性按规定合理设定。</w:t>
      </w:r>
    </w:p>
    <w:p>
      <w:pPr>
        <w:pStyle w:val="18"/>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200"/>
        <w:jc w:val="left"/>
        <w:textAlignment w:val="auto"/>
      </w:pPr>
      <w:r>
        <w:rPr>
          <w:rFonts w:hint="eastAsia"/>
        </w:rPr>
        <w:t>2、如无明确的人员岗位业绩要求，工作经验时间以《分项咨询负责人资历表》中“经历栏"填入的最早开始时间起算。</w:t>
      </w:r>
    </w:p>
    <w:p/>
    <w:p>
      <w:pPr>
        <w:pStyle w:val="18"/>
        <w:adjustRightInd w:val="0"/>
        <w:snapToGrid w:val="0"/>
        <w:spacing w:line="400" w:lineRule="atLeast"/>
        <w:jc w:val="center"/>
      </w:pPr>
    </w:p>
    <w:p/>
    <w:p>
      <w:pPr>
        <w:pStyle w:val="2"/>
        <w:spacing w:before="240" w:after="240" w:line="240" w:lineRule="atLeast"/>
        <w:rPr>
          <w:sz w:val="24"/>
        </w:rPr>
        <w:sectPr>
          <w:footnotePr>
            <w:numRestart w:val="eachPage"/>
          </w:footnotePr>
          <w:pgSz w:w="11905" w:h="16838"/>
          <w:pgMar w:top="1803" w:right="1440" w:bottom="1803" w:left="1440" w:header="851" w:footer="850" w:gutter="0"/>
          <w:cols w:space="0" w:num="1"/>
          <w:docGrid w:linePitch="312" w:charSpace="0"/>
        </w:sectPr>
      </w:pPr>
    </w:p>
    <w:p>
      <w:pPr>
        <w:pStyle w:val="44"/>
        <w:snapToGrid w:val="0"/>
        <w:spacing w:line="360" w:lineRule="auto"/>
        <w:outlineLvl w:val="1"/>
        <w:rPr>
          <w:rStyle w:val="56"/>
          <w:rFonts w:ascii="宋体" w:hAnsi="宋体"/>
          <w:b w:val="0"/>
          <w:sz w:val="30"/>
          <w:szCs w:val="24"/>
        </w:rPr>
      </w:pPr>
      <w:r>
        <w:rPr>
          <w:rFonts w:ascii="宋体" w:hAnsi="宋体"/>
          <w:bCs/>
          <w:sz w:val="24"/>
          <w:szCs w:val="16"/>
        </w:rPr>
        <w:t>附录</w:t>
      </w:r>
      <w:r>
        <w:rPr>
          <w:rFonts w:hint="eastAsia" w:ascii="宋体" w:hAnsi="宋体"/>
          <w:bCs/>
          <w:sz w:val="24"/>
          <w:szCs w:val="16"/>
        </w:rPr>
        <w:t>6</w:t>
      </w:r>
      <w:r>
        <w:rPr>
          <w:rFonts w:ascii="宋体" w:hAnsi="宋体"/>
          <w:bCs/>
          <w:sz w:val="24"/>
          <w:szCs w:val="16"/>
        </w:rPr>
        <w:t xml:space="preserve">  资格审查条件(</w:t>
      </w:r>
      <w:r>
        <w:rPr>
          <w:rFonts w:hint="eastAsia" w:ascii="宋体" w:hAnsi="宋体"/>
          <w:bCs/>
          <w:sz w:val="24"/>
          <w:szCs w:val="16"/>
        </w:rPr>
        <w:t>其他</w:t>
      </w:r>
      <w:r>
        <w:rPr>
          <w:rFonts w:ascii="宋体" w:hAnsi="宋体"/>
          <w:bCs/>
          <w:sz w:val="24"/>
          <w:szCs w:val="16"/>
        </w:rPr>
        <w:t>要求)</w:t>
      </w:r>
      <w:r>
        <w:rPr>
          <w:rStyle w:val="56"/>
          <w:rFonts w:ascii="宋体" w:hAnsi="宋体"/>
          <w:b w:val="0"/>
          <w:kern w:val="2"/>
          <w:szCs w:val="32"/>
        </w:rPr>
        <w:footnoteReference w:id="48"/>
      </w:r>
    </w:p>
    <w:tbl>
      <w:tblPr>
        <w:tblStyle w:val="4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830" w:type="dxa"/>
            <w:vAlign w:val="center"/>
          </w:tcPr>
          <w:p>
            <w:pPr>
              <w:adjustRightInd w:val="0"/>
              <w:snapToGrid w:val="0"/>
              <w:spacing w:line="360" w:lineRule="auto"/>
              <w:jc w:val="center"/>
              <w:rPr>
                <w:rFonts w:ascii="宋体" w:hAnsi="宋体"/>
                <w:szCs w:val="21"/>
              </w:rPr>
            </w:pPr>
            <w:r>
              <w:rPr>
                <w:rFonts w:hint="eastAsia" w:ascii="宋体" w:hAnsi="宋体"/>
                <w:szCs w:val="21"/>
              </w:rPr>
              <w:t>其 他</w:t>
            </w:r>
            <w:r>
              <w:rPr>
                <w:rFonts w:ascii="宋体" w:hAnsi="宋体"/>
                <w:szCs w:val="21"/>
              </w:rPr>
              <w:t xml:space="preserve">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8830" w:type="dxa"/>
            <w:vAlign w:val="center"/>
          </w:tcPr>
          <w:p>
            <w:pPr>
              <w:snapToGrid w:val="0"/>
              <w:spacing w:line="360" w:lineRule="auto"/>
              <w:ind w:firstLine="435"/>
              <w:rPr>
                <w:rFonts w:ascii="宋体" w:hAnsi="宋体"/>
                <w:szCs w:val="21"/>
              </w:rPr>
            </w:pPr>
            <w:r>
              <w:rPr>
                <w:rFonts w:hint="eastAsia" w:ascii="宋体" w:hAnsi="宋体"/>
                <w:szCs w:val="21"/>
              </w:rPr>
              <w:t>……</w:t>
            </w:r>
          </w:p>
        </w:tc>
      </w:tr>
    </w:tbl>
    <w:p>
      <w:pPr>
        <w:adjustRightInd w:val="0"/>
        <w:snapToGrid w:val="0"/>
        <w:spacing w:line="360" w:lineRule="auto"/>
        <w:rPr>
          <w:rFonts w:ascii="宋体" w:hAnsi="宋体"/>
          <w:bCs/>
          <w:szCs w:val="21"/>
        </w:rPr>
      </w:pPr>
    </w:p>
    <w:p>
      <w:pPr>
        <w:pStyle w:val="2"/>
        <w:spacing w:before="240" w:after="240" w:line="240" w:lineRule="atLeast"/>
        <w:rPr>
          <w:sz w:val="24"/>
        </w:rPr>
        <w:sectPr>
          <w:footnotePr>
            <w:numRestart w:val="eachPage"/>
          </w:footnotePr>
          <w:pgSz w:w="11905" w:h="16838"/>
          <w:pgMar w:top="1803" w:right="1440" w:bottom="1803" w:left="1440" w:header="851" w:footer="850" w:gutter="0"/>
          <w:cols w:space="0" w:num="1"/>
          <w:docGrid w:linePitch="312" w:charSpace="0"/>
        </w:sectPr>
      </w:pPr>
    </w:p>
    <w:p>
      <w:pPr>
        <w:spacing w:before="240" w:after="240" w:line="240" w:lineRule="atLeast"/>
        <w:jc w:val="center"/>
        <w:rPr>
          <w:b/>
          <w:sz w:val="36"/>
          <w:szCs w:val="36"/>
        </w:rPr>
      </w:pPr>
      <w:bookmarkStart w:id="120" w:name="_Toc508984269"/>
      <w:bookmarkStart w:id="121" w:name="_Toc508984070"/>
      <w:bookmarkStart w:id="122" w:name="_Toc234832870"/>
      <w:bookmarkStart w:id="123" w:name="_Toc503235741"/>
      <w:r>
        <w:rPr>
          <w:rFonts w:hint="eastAsia"/>
          <w:b/>
          <w:sz w:val="36"/>
          <w:szCs w:val="36"/>
        </w:rPr>
        <w:t>投标人须知</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r>
        <w:rPr>
          <w:rFonts w:ascii="黑体" w:eastAsia="黑体"/>
          <w:b w:val="0"/>
          <w:sz w:val="28"/>
          <w:szCs w:val="28"/>
        </w:rPr>
        <w:t>1. 总则</w:t>
      </w:r>
      <w:bookmarkEnd w:id="120"/>
      <w:bookmarkEnd w:id="121"/>
      <w:bookmarkEnd w:id="122"/>
      <w:bookmarkEnd w:id="123"/>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24" w:name="_Toc508984071"/>
      <w:bookmarkStart w:id="125" w:name="_Toc503235742"/>
      <w:bookmarkStart w:id="126" w:name="_Toc508984270"/>
      <w:bookmarkStart w:id="127" w:name="_Toc234832871"/>
      <w:r>
        <w:rPr>
          <w:rFonts w:ascii="黑体" w:eastAsia="黑体"/>
          <w:b w:val="0"/>
          <w:sz w:val="24"/>
          <w:szCs w:val="24"/>
        </w:rPr>
        <w:t>1.1项目概况</w:t>
      </w:r>
      <w:bookmarkEnd w:id="124"/>
      <w:bookmarkEnd w:id="125"/>
      <w:bookmarkEnd w:id="126"/>
      <w:bookmarkEnd w:id="12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1.1.1 根据《中华人民共和国招标投标法》《中华人民共和国招标投标法实施条例》《水运工程建设项目招标投标管理办法》等有关法律、法规和规章的规定，本招标项目已具备招标条件，现对本标段勘察设计咨询</w:t>
      </w:r>
      <w:r>
        <w:rPr>
          <w:rStyle w:val="56"/>
          <w:rFonts w:hint="eastAsia" w:ascii="宋体" w:hAnsi="宋体" w:cs="宋体"/>
          <w:sz w:val="32"/>
          <w:szCs w:val="32"/>
        </w:rPr>
        <w:footnoteReference w:id="49"/>
      </w:r>
      <w:r>
        <w:rPr>
          <w:rFonts w:hint="eastAsia" w:ascii="宋体" w:hAnsi="宋体" w:cs="宋体"/>
          <w:sz w:val="24"/>
        </w:rPr>
        <w:t>进行招标。</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1.1.2 本招标项目招标人：见投标人须知前附表。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1.1.3 本标段招标代理机构：见投标人须知前附表。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1.1.4 本招标项目名称：见投标人须知前附表。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1.1.5 本标段建设地点：见投标人须知前附表。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1.1.6 本标段建设规模：见投标人须知前附表。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rPr>
      </w:pPr>
      <w:r>
        <w:rPr>
          <w:rFonts w:hint="eastAsia" w:ascii="宋体" w:hAnsi="宋体" w:cs="宋体"/>
          <w:sz w:val="24"/>
        </w:rPr>
        <w:t>1.1.7 本标段投资估算：见投标人须知前附表。</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28" w:name="_Toc508984072"/>
      <w:bookmarkStart w:id="129" w:name="_Toc508984271"/>
      <w:bookmarkStart w:id="130" w:name="_Toc503235743"/>
      <w:bookmarkStart w:id="131" w:name="_Toc234832872"/>
      <w:r>
        <w:rPr>
          <w:rFonts w:ascii="黑体" w:eastAsia="黑体"/>
          <w:b w:val="0"/>
          <w:sz w:val="24"/>
          <w:szCs w:val="24"/>
        </w:rPr>
        <w:t>1.2 招标项目的资金来源和落实情况</w:t>
      </w:r>
      <w:bookmarkEnd w:id="128"/>
      <w:bookmarkEnd w:id="129"/>
      <w:bookmarkEnd w:id="130"/>
      <w:bookmarkEnd w:id="131"/>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1.2.1 资金来源及比例：见投标人须知前附表。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1.2.2 资金落实情况：见投标人须知前附表。</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32" w:name="_Toc234832873"/>
      <w:bookmarkStart w:id="133" w:name="_Toc508984073"/>
      <w:bookmarkStart w:id="134" w:name="_Toc503235744"/>
      <w:bookmarkStart w:id="135" w:name="_Toc508984272"/>
      <w:r>
        <w:rPr>
          <w:rFonts w:ascii="黑体" w:eastAsia="黑体"/>
          <w:b w:val="0"/>
          <w:sz w:val="24"/>
          <w:szCs w:val="24"/>
        </w:rPr>
        <w:t>1.3 招标范围</w:t>
      </w:r>
      <w:r>
        <w:rPr>
          <w:rFonts w:hint="eastAsia" w:ascii="黑体" w:eastAsia="黑体"/>
          <w:b w:val="0"/>
          <w:sz w:val="24"/>
          <w:szCs w:val="24"/>
        </w:rPr>
        <w:t>、</w:t>
      </w:r>
      <w:r>
        <w:rPr>
          <w:rFonts w:ascii="黑体" w:eastAsia="黑体"/>
          <w:b w:val="0"/>
          <w:sz w:val="24"/>
          <w:szCs w:val="24"/>
        </w:rPr>
        <w:t>勘察设计咨询服务期限</w:t>
      </w:r>
      <w:r>
        <w:rPr>
          <w:rFonts w:hint="eastAsia" w:ascii="黑体" w:eastAsia="黑体"/>
          <w:b w:val="0"/>
          <w:sz w:val="24"/>
          <w:szCs w:val="24"/>
        </w:rPr>
        <w:t>、</w:t>
      </w:r>
      <w:r>
        <w:rPr>
          <w:rFonts w:ascii="黑体" w:eastAsia="黑体"/>
          <w:b w:val="0"/>
          <w:sz w:val="24"/>
          <w:szCs w:val="24"/>
        </w:rPr>
        <w:t>质量要求和安全目标</w:t>
      </w:r>
      <w:bookmarkEnd w:id="132"/>
      <w:bookmarkEnd w:id="133"/>
      <w:bookmarkEnd w:id="134"/>
      <w:bookmarkEnd w:id="135"/>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1.3.1 招标范围：见投标人须知前附表。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1.3.2 勘察设计咨询服务期限：见投标人须知前附表。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1.3.3 质量要求：见投标人须知前附表。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1.3.4 安全目标：见投标人须知前附表。</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36" w:name="_Toc503235746"/>
      <w:bookmarkStart w:id="137" w:name="_Toc508984274"/>
      <w:bookmarkStart w:id="138" w:name="_Toc508984075"/>
      <w:bookmarkStart w:id="139" w:name="_Toc234832875"/>
      <w:r>
        <w:rPr>
          <w:rFonts w:ascii="黑体" w:eastAsia="黑体"/>
          <w:b w:val="0"/>
          <w:sz w:val="24"/>
          <w:szCs w:val="24"/>
        </w:rPr>
        <w:t>1.4 投标人资格要求</w:t>
      </w:r>
      <w:bookmarkEnd w:id="136"/>
      <w:bookmarkEnd w:id="137"/>
      <w:bookmarkEnd w:id="138"/>
      <w:bookmarkEnd w:id="139"/>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1.4.1 投标人应具备承担本标段勘察设计咨询的资质条件、能力和信誉。</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 xml:space="preserve">（1）资质要求：见投标人须知前附表；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（2）业绩要求：见投标人须知前附表；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（3）信誉要求：见投标人须知前附表；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（4）项目负责人要求：见投标人须知前附表；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（5）其他要求：见投标人须知前附表。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需要提交的相关证明材料见本章第3.5款的规定。</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 xml:space="preserve">1.4.2 投标人须知前附表规定接受联合体投标的，联合体除应符合本章第1.4.1项和投标人须知前附表的要求外，还应遵守以下规定：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（1）联合体各方应按招标文件提供的格式签订联合体协议书，明确联合体牵头人和各方权利义务，并承诺就中标项目向招标人承担连带责任；</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（2）由同一专业的单位组成的联合体，按照资质等级较低的单位确定资质等级；</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（3）联合体各方不得再以自己名义单独或参加其他联合体在同一标段中投标；</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（5）尽管委任了联合体牵头人，但联合体各成员在投标、签订合同与履行合同过程中，仍负有连带的和各自的法律责任。</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1.4.3 投标人（包括联合体各成员）不得与本标段相关单位存在下列关联关系：</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（1）为招标人不具有独立法人资格的附属机构（单位）；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（2）与招标人存在利害关系且可能影响招标公正性；</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（3）与本标段的其他投标人同为一个单位负责人；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（4）与本标段的其他投标人存在控股、管理关系；</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 xml:space="preserve">（5）为本标段的代建人；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（6）为本标段的招标代理机构；</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（7）为本标段的勘察设计单位；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（8）与本标段的代建人或招标代理机构或勘察设计单位同为一个法定代表人；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（9）与本标段的代建人或招标代理机构或勘察设计单位存在控股或参股关系；</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（10）法律法规或投标人须知前附表规定的其他情形。</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1.4.4 投标人（包括联合体各成员）不得存在下列不良状况或不良信用记录：</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（1）被省级及以上交通运输主管部门取消广东省的投标资格且处于有效期内；</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（2）被责令停业，暂扣或吊销执照，或吊销资质证书；</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（3）进入清算程序，或被宣告破产，或其他丧失履约能力的情形；</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rPr>
      </w:pPr>
      <w:r>
        <w:rPr>
          <w:rFonts w:hint="eastAsia" w:ascii="宋体" w:hAnsi="宋体" w:cs="宋体"/>
          <w:sz w:val="24"/>
        </w:rPr>
        <w:t>（4）在国家企业信用信息公示系统（http://www.gsxt.gov.cn/）中被列入严重违法失信企业名单；</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（5）在“信用中国”网站（http://www.creditchina.gov.cn/）中被列入失信被执行人名单；</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（6）投标人及其法定代表人、拟委任的项目负责人在近三年内有行贿犯罪行为的（以投标人投标函中的承诺为准）；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（7）法律法规或投标人须知前附表规定的其他情形。</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40" w:name="_Toc508984275"/>
      <w:bookmarkStart w:id="141" w:name="_Toc234832876"/>
      <w:bookmarkStart w:id="142" w:name="_Toc503235747"/>
      <w:bookmarkStart w:id="143" w:name="_Toc508984076"/>
      <w:r>
        <w:rPr>
          <w:rFonts w:ascii="黑体" w:eastAsia="黑体"/>
          <w:b w:val="0"/>
          <w:sz w:val="24"/>
          <w:szCs w:val="24"/>
        </w:rPr>
        <w:t>1.5 费用承担</w:t>
      </w:r>
      <w:bookmarkEnd w:id="140"/>
      <w:bookmarkEnd w:id="141"/>
      <w:bookmarkEnd w:id="142"/>
      <w:bookmarkEnd w:id="143"/>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投标人准备和参加投标活动发生的费用自理。</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44" w:name="_Toc503235748"/>
      <w:bookmarkStart w:id="145" w:name="_Toc508984276"/>
      <w:bookmarkStart w:id="146" w:name="_Toc508984077"/>
      <w:bookmarkStart w:id="147" w:name="_Toc234832877"/>
      <w:r>
        <w:rPr>
          <w:rFonts w:ascii="黑体" w:eastAsia="黑体"/>
          <w:b w:val="0"/>
          <w:sz w:val="24"/>
          <w:szCs w:val="24"/>
        </w:rPr>
        <w:t>1.6 保密</w:t>
      </w:r>
      <w:bookmarkEnd w:id="144"/>
      <w:bookmarkEnd w:id="145"/>
      <w:bookmarkEnd w:id="146"/>
      <w:bookmarkEnd w:id="14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参与招标投标活动的各方应对招标文件和投标文件中的商业和技术等秘密保密，否则应承担相应的法律责任。</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48" w:name="_Toc508984078"/>
      <w:bookmarkStart w:id="149" w:name="_Toc508984277"/>
      <w:bookmarkStart w:id="150" w:name="_Toc503235749"/>
      <w:bookmarkStart w:id="151" w:name="_Toc234832878"/>
      <w:r>
        <w:rPr>
          <w:rFonts w:ascii="黑体" w:eastAsia="黑体"/>
          <w:b w:val="0"/>
          <w:sz w:val="24"/>
          <w:szCs w:val="24"/>
        </w:rPr>
        <w:t>1.7 语言文字</w:t>
      </w:r>
      <w:bookmarkEnd w:id="148"/>
      <w:bookmarkEnd w:id="149"/>
      <w:bookmarkEnd w:id="150"/>
      <w:bookmarkEnd w:id="151"/>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招标投标文件使用的语言文字为中文。专用术语使用外文的，应附有中文注释。</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52" w:name="_Toc234832879"/>
      <w:bookmarkStart w:id="153" w:name="_Toc503235750"/>
      <w:bookmarkStart w:id="154" w:name="_Toc508984278"/>
      <w:bookmarkStart w:id="155" w:name="_Toc508984079"/>
      <w:r>
        <w:rPr>
          <w:rFonts w:ascii="黑体" w:eastAsia="黑体"/>
          <w:b w:val="0"/>
          <w:sz w:val="24"/>
          <w:szCs w:val="24"/>
        </w:rPr>
        <w:t>1.8 计量单位</w:t>
      </w:r>
      <w:bookmarkEnd w:id="152"/>
      <w:bookmarkEnd w:id="153"/>
      <w:bookmarkEnd w:id="154"/>
      <w:bookmarkEnd w:id="155"/>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所有计量均采用中华人民共和国法定计量单位。</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56" w:name="_Toc508984279"/>
      <w:bookmarkStart w:id="157" w:name="_Toc508984080"/>
      <w:bookmarkStart w:id="158" w:name="_Toc234832880"/>
      <w:bookmarkStart w:id="159" w:name="_Toc503235751"/>
      <w:r>
        <w:rPr>
          <w:rFonts w:ascii="黑体" w:eastAsia="黑体"/>
          <w:b w:val="0"/>
          <w:sz w:val="24"/>
          <w:szCs w:val="24"/>
        </w:rPr>
        <w:t>1.9 踏勘现场</w:t>
      </w:r>
      <w:bookmarkEnd w:id="156"/>
      <w:bookmarkEnd w:id="157"/>
      <w:bookmarkEnd w:id="158"/>
      <w:bookmarkEnd w:id="159"/>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1.9.2 投标人踏勘现场发生的费用自理。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1.9.3 除招标人的原因外，投标人自行负责在踏勘现场中所发生的人员伤亡和财产损失。</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1.9.4 招标人在踏勘现场中介绍的工程场地和相关的周边环境情况，供投标人在编制投标文件时参考，招标人不对投标人据此作出的判断和决策负责。</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60" w:name="_Toc234832881"/>
      <w:bookmarkStart w:id="161" w:name="_Toc503235752"/>
      <w:bookmarkStart w:id="162" w:name="_Toc508984081"/>
      <w:bookmarkStart w:id="163" w:name="_Toc508984280"/>
      <w:r>
        <w:rPr>
          <w:rFonts w:ascii="黑体" w:eastAsia="黑体"/>
          <w:b w:val="0"/>
          <w:sz w:val="24"/>
          <w:szCs w:val="24"/>
        </w:rPr>
        <w:t>1.10 投标预备会</w:t>
      </w:r>
      <w:bookmarkEnd w:id="160"/>
      <w:bookmarkEnd w:id="161"/>
      <w:bookmarkEnd w:id="162"/>
      <w:bookmarkEnd w:id="163"/>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1.10.1 第一章“招标公告”或“投标邀请书”规定召开投标预备会的，招标人按规定的时间和地点召开投标预备会，澄清投标人提出的问题。</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1.10.2 投标人应按投标人须知前附表规定的时间和形式将提出的问题送达招标人，以便招标人在会议期间澄清。</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1.10.3 投标预备会后，招标人将对投标人所提问题的澄清，以本章第2.2款规定的形式通知所有购买招标文件的投标人。该澄清内容为招标文件的组成部分。</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64" w:name="_Toc234832882"/>
      <w:bookmarkStart w:id="165" w:name="_Toc508984082"/>
      <w:bookmarkStart w:id="166" w:name="_Toc503235753"/>
      <w:bookmarkStart w:id="167" w:name="_Toc508984281"/>
      <w:r>
        <w:rPr>
          <w:rFonts w:ascii="黑体" w:eastAsia="黑体"/>
          <w:b w:val="0"/>
          <w:sz w:val="24"/>
          <w:szCs w:val="24"/>
        </w:rPr>
        <w:t>1.11 分包</w:t>
      </w:r>
      <w:bookmarkEnd w:id="164"/>
      <w:bookmarkEnd w:id="165"/>
      <w:bookmarkEnd w:id="166"/>
      <w:bookmarkEnd w:id="16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1.11.1 投标人拟在中标后将中标项目的非主体、非关键性勘察设计咨询工作进行分包的，应符合以下规定：</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（1）分包内容要求：允许分包的范围仅限于工程设计中跨专业或有特殊要求的勘察、设计咨询工作。招标人允许分包或不允许分包的工程（如有）应在投标人须知前附表中载明。</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（2）接受分包的第三人资格要求：分包人的资格能力应与其分包工程的标准和规模相适应，且具备投标人须知前附表中规定的资格条件。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（3）其他要求：投标人如有分包计划，应按第六章“投标文件格式”的要求填写“拟分包项目情况表”，明确拟分包的工程及规模，且投标人中标后的分包应满足合同条款第8.2款的相关要求。</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1.11.2 中标人不得向他人转让中标项目，接受分包的人不得再次分包。中标人应就分包项目向招标人负责，接受分包的人就分包项目承担连带责任。</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68" w:name="_Toc234832883"/>
      <w:bookmarkStart w:id="169" w:name="_Toc508984282"/>
      <w:bookmarkStart w:id="170" w:name="_Toc503235754"/>
      <w:bookmarkStart w:id="171" w:name="_Toc508984083"/>
      <w:r>
        <w:rPr>
          <w:rFonts w:ascii="黑体" w:eastAsia="黑体"/>
          <w:b w:val="0"/>
          <w:sz w:val="24"/>
          <w:szCs w:val="24"/>
        </w:rPr>
        <w:t xml:space="preserve">1.12 </w:t>
      </w:r>
      <w:bookmarkEnd w:id="168"/>
      <w:r>
        <w:rPr>
          <w:rFonts w:hint="eastAsia" w:ascii="黑体" w:eastAsia="黑体"/>
          <w:b w:val="0"/>
          <w:sz w:val="24"/>
          <w:szCs w:val="24"/>
        </w:rPr>
        <w:t>响应和偏差</w:t>
      </w:r>
      <w:bookmarkEnd w:id="169"/>
      <w:bookmarkEnd w:id="170"/>
      <w:bookmarkEnd w:id="171"/>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1.12.1 投标文件偏离招标文件某些要求，视为投标文件存在偏差。偏差包括重大偏差和细微偏差。</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1.12.2 投标文件应对招标文件的实质性要求和条件作出满足性或更有利于招标人的响应，否则，视为投标文件存在重大偏差，投标人的投标将被否决。</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投标文件存在第三章“评标办法”中所列任一否决投标情形的，均属于存在重大偏差。</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1.12.3 投标文件中的下列偏差为细微偏差：</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（1）在按照第三章“评标办法”的规定对投标价进行算术性错误修正后，最终投标报价未超过最高投标限价（如有）的情况下，出现第三章“评标办法”规定的算术性错误；</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（2）技术建议书不够完善；</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（3）投标文件页码不连续、采用活页夹装订、个别文字有遗漏错误等不影响投标文件实质性内容的偏差。</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1.12.4 评标委员会对投标文件中的细微偏差按如下规定处理：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（1）对于本章第1.12.3项（1）目所述的细微偏差，按照第三章“评标办法”的规定予以修正并可要求投标人进行澄清；</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（2）对于本章第1.12.3项（2）、（3）目所述的细微偏差，可在相关评分因素的评分中酌情扣分。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1.12.5 投标人应根据招标文件的要求提供技术建议书等内容以对招标文件作出响应。</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bookmarkStart w:id="172" w:name="_Toc508984084"/>
      <w:bookmarkStart w:id="173" w:name="_Toc234832884"/>
      <w:bookmarkStart w:id="174" w:name="_Toc508984283"/>
      <w:bookmarkStart w:id="175" w:name="_Toc503235755"/>
      <w:r>
        <w:rPr>
          <w:rFonts w:ascii="黑体" w:eastAsia="黑体"/>
          <w:b w:val="0"/>
          <w:sz w:val="28"/>
          <w:szCs w:val="28"/>
        </w:rPr>
        <w:t>2. 招标文件</w:t>
      </w:r>
      <w:bookmarkEnd w:id="172"/>
      <w:bookmarkEnd w:id="173"/>
      <w:bookmarkEnd w:id="174"/>
      <w:bookmarkEnd w:id="175"/>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76" w:name="_Toc508984085"/>
      <w:bookmarkStart w:id="177" w:name="_Toc234832885"/>
      <w:bookmarkStart w:id="178" w:name="_Toc508984284"/>
      <w:bookmarkStart w:id="179" w:name="_Toc503235756"/>
      <w:r>
        <w:rPr>
          <w:rFonts w:ascii="黑体" w:eastAsia="黑体"/>
          <w:b w:val="0"/>
          <w:sz w:val="24"/>
          <w:szCs w:val="24"/>
        </w:rPr>
        <w:t>2.1 招标文件的组成</w:t>
      </w:r>
      <w:bookmarkEnd w:id="176"/>
      <w:bookmarkEnd w:id="177"/>
      <w:bookmarkEnd w:id="178"/>
      <w:bookmarkEnd w:id="179"/>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本招标文件包括：</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（1）招标公告（或投标邀请书）；</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（2）投标人须知；</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（3）评标办法；</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（4）合同条款及格式；</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（5）发包人要求；</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（6）投标文件格式；</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（7）投标人须知前附表规定的其他资料。</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根据本章第1.10款、第2.2款和第2.3款对招标文件所作的澄清、修改，构成招标文件的组成部分。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当招标文件、招标文件的澄清或修改等在同一内容的表述上不一致时，以最后发出的书面文件为准。</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80" w:name="_Toc508984086"/>
      <w:bookmarkStart w:id="181" w:name="_Toc503235757"/>
      <w:bookmarkStart w:id="182" w:name="_Toc508984285"/>
      <w:bookmarkStart w:id="183" w:name="_Toc234832886"/>
      <w:r>
        <w:rPr>
          <w:rFonts w:ascii="黑体" w:eastAsia="黑体"/>
          <w:b w:val="0"/>
          <w:sz w:val="24"/>
          <w:szCs w:val="24"/>
        </w:rPr>
        <w:t>2.2 招标文件的澄清</w:t>
      </w:r>
      <w:bookmarkEnd w:id="180"/>
      <w:bookmarkEnd w:id="181"/>
      <w:bookmarkEnd w:id="182"/>
      <w:bookmarkEnd w:id="183"/>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2.2.2 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2.2.3 投标人在收到澄清后，应按投标人须知前附表规定的时间和形式通知招标人，确认已收到该澄清。</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2.2.4 除非招标人认为确有必要答复，否则，招标人有权拒绝回复投标人在本章第2.2.1项规定的时间后提出的任何澄清要求。</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84" w:name="_Toc503235758"/>
      <w:bookmarkStart w:id="185" w:name="_Toc508984087"/>
      <w:bookmarkStart w:id="186" w:name="_Toc508984286"/>
      <w:bookmarkStart w:id="187" w:name="_Toc234832887"/>
      <w:r>
        <w:rPr>
          <w:rFonts w:ascii="黑体" w:eastAsia="黑体"/>
          <w:b w:val="0"/>
          <w:sz w:val="24"/>
          <w:szCs w:val="24"/>
        </w:rPr>
        <w:t>2.3 招标文件的修改</w:t>
      </w:r>
      <w:bookmarkEnd w:id="184"/>
      <w:bookmarkEnd w:id="185"/>
      <w:bookmarkEnd w:id="186"/>
      <w:bookmarkEnd w:id="18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2.3.1 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2.3.2 投标人收到修改内容后，应按投标人须知前附表规定的时间和形式通知招标人，确认已收到该修改。</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88" w:name="_Toc503235759"/>
      <w:bookmarkStart w:id="189" w:name="_Toc508984088"/>
      <w:bookmarkStart w:id="190" w:name="_Toc508984287"/>
      <w:r>
        <w:rPr>
          <w:rFonts w:ascii="黑体" w:eastAsia="黑体"/>
          <w:b w:val="0"/>
          <w:sz w:val="24"/>
          <w:szCs w:val="24"/>
        </w:rPr>
        <w:t>2.</w:t>
      </w:r>
      <w:r>
        <w:rPr>
          <w:rFonts w:hint="eastAsia" w:ascii="黑体" w:eastAsia="黑体"/>
          <w:b w:val="0"/>
          <w:sz w:val="24"/>
          <w:szCs w:val="24"/>
        </w:rPr>
        <w:t xml:space="preserve">4 </w:t>
      </w:r>
      <w:r>
        <w:rPr>
          <w:rFonts w:ascii="黑体" w:eastAsia="黑体"/>
          <w:b w:val="0"/>
          <w:sz w:val="24"/>
          <w:szCs w:val="24"/>
        </w:rPr>
        <w:t>招标文件的</w:t>
      </w:r>
      <w:r>
        <w:rPr>
          <w:rFonts w:hint="eastAsia" w:ascii="黑体" w:eastAsia="黑体"/>
          <w:b w:val="0"/>
          <w:sz w:val="24"/>
          <w:szCs w:val="24"/>
        </w:rPr>
        <w:t>异议</w:t>
      </w:r>
      <w:bookmarkEnd w:id="188"/>
      <w:bookmarkEnd w:id="189"/>
      <w:bookmarkEnd w:id="190"/>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投标人或其他利害关系人对招标文件有异议的，应在投标截止时间10日前以书面形式提出。招标人将在收到异议之日起3日内作出答复；作出答复前，将暂停招标投标活动。</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bookmarkStart w:id="191" w:name="_Toc234832888"/>
      <w:bookmarkStart w:id="192" w:name="_Toc508984089"/>
      <w:bookmarkStart w:id="193" w:name="_Toc503235760"/>
      <w:bookmarkStart w:id="194" w:name="_Toc508984288"/>
      <w:r>
        <w:rPr>
          <w:rFonts w:ascii="黑体" w:eastAsia="黑体"/>
          <w:b w:val="0"/>
          <w:sz w:val="28"/>
          <w:szCs w:val="28"/>
        </w:rPr>
        <w:t>3. 投标文件</w:t>
      </w:r>
      <w:bookmarkEnd w:id="191"/>
      <w:bookmarkEnd w:id="192"/>
      <w:bookmarkEnd w:id="193"/>
      <w:bookmarkEnd w:id="194"/>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95" w:name="_Toc503235761"/>
      <w:bookmarkStart w:id="196" w:name="_Toc234832889"/>
      <w:bookmarkStart w:id="197" w:name="_Toc508984090"/>
      <w:bookmarkStart w:id="198" w:name="_Toc508984289"/>
      <w:r>
        <w:rPr>
          <w:rFonts w:ascii="黑体" w:eastAsia="黑体"/>
          <w:b w:val="0"/>
          <w:sz w:val="24"/>
          <w:szCs w:val="24"/>
        </w:rPr>
        <w:t>3.1投标文件的组成</w:t>
      </w:r>
      <w:bookmarkEnd w:id="195"/>
      <w:bookmarkEnd w:id="196"/>
      <w:bookmarkEnd w:id="197"/>
      <w:bookmarkEnd w:id="19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3.1.1 投标文件应采用双信封形式，包括下列内容：</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第一个信封（商务及技术文件）：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（1）投标函；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（2）授权委托书或法定代表人身份证明；</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（3）联合体协议书；</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（4）投标保证金；</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（5）拟分包项目情况表；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（6）资格审查资料；</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（7）技术建议书；</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（8）投标人须知前附表规定的其他资料。</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第二个信封（报价文件）：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（1）投标函；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（2）勘察设计咨询费用清单。</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投标人在评标过程中作出的符合法律法规和招标文件规定的澄清确认，构成投标文件的组成部分。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3.1.2 投标人须知前附表规定不接受联合体投标的，或投标人没有组成联合体的，投标文件不包括本章第3.1.1（3）目所指的联合体协议书。</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3.1.3 投标人须知前附表未要求提交投标保证金的，投标文件不包括本章第3.1.1（4）目所指的投标保证金。</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199" w:name="_Toc503235762"/>
      <w:bookmarkStart w:id="200" w:name="_Toc508984091"/>
      <w:bookmarkStart w:id="201" w:name="_Toc508984290"/>
      <w:bookmarkStart w:id="202" w:name="_Toc234832890"/>
      <w:r>
        <w:rPr>
          <w:rFonts w:ascii="黑体" w:eastAsia="黑体"/>
          <w:b w:val="0"/>
          <w:sz w:val="24"/>
          <w:szCs w:val="24"/>
        </w:rPr>
        <w:t>3.2 投标报价</w:t>
      </w:r>
      <w:bookmarkEnd w:id="199"/>
      <w:bookmarkEnd w:id="200"/>
      <w:bookmarkEnd w:id="201"/>
      <w:bookmarkEnd w:id="202"/>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3.2.1 投标报价应包括国家规定的增值税税金，除投标人须知前附表另有规定外，增值税税金按一般计税方法计算。投标人应按第六章“投标文件格式”的要求在投标函中进行报价并填写勘察设计咨询费用清单相应表格。</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3.2.2 投标人应充分了解本项目的总体情况以及影响投标报价的其他要素，按照招标文件规定的勘察设计咨询工作内容和计划工作量，自行测算勘察设计咨询费用。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3.2.3</w:t>
      </w:r>
      <w:bookmarkStart w:id="203" w:name="_Toc352691487"/>
      <w:bookmarkEnd w:id="203"/>
      <w:bookmarkStart w:id="204" w:name="_Toc300834964"/>
      <w:bookmarkEnd w:id="204"/>
      <w:bookmarkStart w:id="205" w:name="_Toc361508599"/>
      <w:bookmarkEnd w:id="205"/>
      <w:bookmarkStart w:id="206" w:name="_Toc152045543"/>
      <w:bookmarkEnd w:id="206"/>
      <w:bookmarkStart w:id="207" w:name="_Toc15242"/>
      <w:bookmarkEnd w:id="207"/>
      <w:bookmarkStart w:id="208" w:name="_Toc247513967"/>
      <w:bookmarkEnd w:id="208"/>
      <w:bookmarkStart w:id="209" w:name="_Toc384308224"/>
      <w:bookmarkEnd w:id="209"/>
      <w:bookmarkStart w:id="210" w:name="_Toc247527568"/>
      <w:bookmarkEnd w:id="210"/>
      <w:bookmarkStart w:id="211" w:name="_Toc144974511"/>
      <w:bookmarkEnd w:id="211"/>
      <w:bookmarkStart w:id="212" w:name="_Toc152042319"/>
      <w:bookmarkEnd w:id="212"/>
      <w:bookmarkStart w:id="213" w:name="_Toc369531530"/>
      <w:bookmarkEnd w:id="213"/>
      <w:r>
        <w:rPr>
          <w:rFonts w:hint="eastAsia" w:ascii="宋体" w:hAnsi="宋体" w:cs="宋体"/>
          <w:sz w:val="24"/>
        </w:rPr>
        <w:t xml:space="preserve"> 本项目的报价方式见投标人须知前附表。投标人在投标截止时间前修改投标函中的投标报价总额，应同时修改投标文件“勘察设计咨询费用清单”中的相应报价。此修改须符合本章第4.3款的有关要求。</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3.2.4 招标人设有最高投标限价的，投标人的投标报价不得超过最高投标限价，最高投标限价在投标</w:t>
      </w:r>
      <w:bookmarkStart w:id="214" w:name="_Toc247513968"/>
      <w:bookmarkStart w:id="215" w:name="_Toc352691488"/>
      <w:bookmarkStart w:id="216" w:name="_Toc152045544"/>
      <w:bookmarkStart w:id="217" w:name="_Toc384308225"/>
      <w:bookmarkStart w:id="218" w:name="_Toc152042320"/>
      <w:bookmarkStart w:id="219" w:name="_Toc247527569"/>
      <w:bookmarkStart w:id="220" w:name="_Toc10429"/>
      <w:bookmarkStart w:id="221" w:name="_Toc144974512"/>
      <w:bookmarkStart w:id="222" w:name="_Toc361508600"/>
      <w:bookmarkStart w:id="223" w:name="_Toc300834965"/>
      <w:bookmarkStart w:id="224" w:name="_Toc369531531"/>
      <w:r>
        <w:rPr>
          <w:rFonts w:hint="eastAsia" w:ascii="宋体" w:hAnsi="宋体" w:cs="宋体"/>
          <w:sz w:val="24"/>
        </w:rPr>
        <w:t>人须知前附表中载明。</w:t>
      </w:r>
      <w:bookmarkEnd w:id="214"/>
      <w:bookmarkEnd w:id="215"/>
      <w:bookmarkEnd w:id="216"/>
      <w:bookmarkEnd w:id="217"/>
      <w:bookmarkEnd w:id="218"/>
      <w:bookmarkEnd w:id="219"/>
      <w:bookmarkEnd w:id="220"/>
      <w:bookmarkEnd w:id="221"/>
      <w:bookmarkEnd w:id="222"/>
      <w:bookmarkEnd w:id="223"/>
      <w:bookmarkEnd w:id="224"/>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3.2.5 投标报价的其他要求见投标人须知前附表。</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25" w:name="_Toc508984291"/>
      <w:bookmarkStart w:id="226" w:name="_Toc503235763"/>
      <w:bookmarkStart w:id="227" w:name="_Toc508984092"/>
      <w:bookmarkStart w:id="228" w:name="_Toc234832891"/>
      <w:r>
        <w:rPr>
          <w:rFonts w:ascii="黑体" w:eastAsia="黑体"/>
          <w:b w:val="0"/>
          <w:sz w:val="24"/>
          <w:szCs w:val="24"/>
        </w:rPr>
        <w:t>3.3投标有效期</w:t>
      </w:r>
      <w:bookmarkEnd w:id="225"/>
      <w:bookmarkEnd w:id="226"/>
      <w:bookmarkEnd w:id="227"/>
      <w:bookmarkEnd w:id="22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3.3.1 除投标人须知前附表另有规定外，投标有效期为90日。</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3.3.2 在投标有效期内，投标人撤销投标文件的，应承担招标文件和法律规定的责任。</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29" w:name="_Toc503235764"/>
      <w:bookmarkStart w:id="230" w:name="_Toc508984292"/>
      <w:bookmarkStart w:id="231" w:name="_Toc508984093"/>
      <w:bookmarkStart w:id="232" w:name="_Toc234832892"/>
      <w:r>
        <w:rPr>
          <w:rFonts w:ascii="黑体" w:eastAsia="黑体"/>
          <w:b w:val="0"/>
          <w:sz w:val="24"/>
          <w:szCs w:val="24"/>
        </w:rPr>
        <w:t>3.4投标保证金</w:t>
      </w:r>
      <w:bookmarkEnd w:id="229"/>
      <w:bookmarkEnd w:id="230"/>
      <w:bookmarkEnd w:id="231"/>
      <w:bookmarkEnd w:id="232"/>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3.4.1 投标人在递交投标文件的同时，应按投标人须知前附表规定的金额和第六章“投标文件格式”规定的投标保证金格式递交投标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投标保证金应采用现金、支票、银行保函或招标人在投标人须知前附表规定的其他形式。</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（1）若采用现金或支票，投标人应在投标人须知前附表规定的时间，将投标保证金由投标人的基本账户转入招标人指定账户，否则视为投标保证金无效。招标人指定的开户银行及账号见投标人须知前附表。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（2）若采用银行保函，则应由符合投标人须知前附表规定级别的银行开具，并采用招标文件提供的格式。银行保函复印件装订在投标文件内，原件应在递交投标文件时单独密封递交给招标人。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无论采取何种形式的投标保证金，投标保证金有效期均应与投标有效期一致。招标人如果按本章第3.3.3项的规定延长了投标有效期，则投标保证金的有效期也相应延长。</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3.4.2 投标人不按本章第3.4.1项要求提交投标保证金的，评标委员会将否决其投标。</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利息计算原则见投标人须知前附表。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3.4.4 有下列情形之一的，投标保证金将不予退还：</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（1）投标人在投标有效期内撤销投标文件；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（2）中标人在收到中标通知书后，无正当理由不与招标人订立合同，在签订合同时向招标人提出附加条件，或不按照招标文件要求提交履约保证金；</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（3）发生投标人须知前附表规定的其他可以不予退还投标保证金的情形。</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33" w:name="_Toc503235766"/>
      <w:bookmarkStart w:id="234" w:name="_Toc508984293"/>
      <w:bookmarkStart w:id="235" w:name="_Toc234832894"/>
      <w:bookmarkStart w:id="236" w:name="_Toc508984094"/>
      <w:r>
        <w:rPr>
          <w:rFonts w:ascii="黑体" w:eastAsia="黑体"/>
          <w:b w:val="0"/>
          <w:sz w:val="24"/>
          <w:szCs w:val="24"/>
        </w:rPr>
        <w:t>3.5资格审查资料</w:t>
      </w:r>
      <w:bookmarkEnd w:id="233"/>
      <w:bookmarkEnd w:id="234"/>
      <w:bookmarkEnd w:id="235"/>
      <w:bookmarkEnd w:id="236"/>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除投标人须知前附表另有规定外，投标人应按下列规定提供资格审查资料，以证明其满足本章第1.4款规定的资质、业绩、信誉等要求。</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3.5.1 “投标人基本情况表”应附企业法人营业执照副本、资质证书、工程咨询单位通过全国投资项目在线审批监管平台备案的证明材料、基本账户开户许可证（如企业所在地已取消企业银行账户许可而无法提供开户许可证的，则需附上开户银行出具的“基本存款账户信息”或“人民银行账户管理系统查询的基本账户信息截图”）的复印件，投标人在国家企业信用信息公示系统中基础信息（体现股东及出资详细信息）的网页截图。</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企业法人营业执照副本、资质证书、工程咨询单位通过全国投资项目在线审批监管平台备案的证明材料、基本账户开户许可证（如企业所在地已取消企业银行账户许可而无法提供开户许可证的，则需附上开户银行出具的“基本存款账户信息”或“人民银行账户管理系统查询的基本账户信息截图”）的复印件应提供全本（证书封面、封底、空白页除外），应包括投标人名称、投标人其他相关信息、颁发机构名称、投标人信息变更情况等关键页在内。</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3.5.2“近年完成的类似项目情况表”应同时附中标通知书（如有）、合同协议书、</w:t>
      </w:r>
      <w:r>
        <w:rPr>
          <w:rFonts w:hint="eastAsia" w:ascii="宋体" w:hAnsi="宋体" w:cs="宋体"/>
          <w:sz w:val="24"/>
          <w:u w:val="single"/>
        </w:rPr>
        <w:t>初步设计批复意见和（或）施工图设计审查（批）意见</w:t>
      </w:r>
      <w:r>
        <w:rPr>
          <w:rFonts w:hint="eastAsia" w:ascii="宋体" w:hAnsi="宋体" w:cs="宋体"/>
          <w:sz w:val="24"/>
        </w:rPr>
        <w:t>的复印件，具体年份要求见投标人须知前附表，业绩认定时间以</w:t>
      </w:r>
      <w:r>
        <w:rPr>
          <w:rFonts w:hint="eastAsia" w:ascii="宋体" w:hAnsi="宋体" w:cs="宋体"/>
          <w:sz w:val="24"/>
          <w:u w:val="single"/>
        </w:rPr>
        <w:t>初步设计批复或施工图设计审查（批）意见时间</w:t>
      </w:r>
      <w:r>
        <w:rPr>
          <w:rFonts w:hint="eastAsia" w:ascii="宋体" w:hAnsi="宋体" w:cs="宋体"/>
          <w:sz w:val="24"/>
        </w:rPr>
        <w:t>为准。每张表格只填写一个项目，并标明序号。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投标人法人机构发生合法变更或重组或法人名称变更时，应提供相关部门的合法批件及其他相关证明材料来证明其所附业绩的继承性。</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如投标人未提供相关项目证明材料复印件或相关项目证明材料中的信息无法证实投标人满足招标文件规定的资格审查条件（业绩最低要求）或评标办法评分标准（如有），投标人可补充提供主管部门或项目业主出具的证明材料，否则该项目业绩不予认定。</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3.5.3 “投标人的信誉情况表”应附投标人在国家企业信用信息公示系统中未被列入严重违法失信企业名单、在“信用中国”网站中未被列入失信被执行人名单的网页截图复印件。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3.5.4 “拟委任的项目负责人资历表”应附项目负责人（含备选，如有）应附身份证、职称资格证书和资格审查条件所要求的其他相关证书的复印件，以及投标人在社保系统打印的项目负责人（含备选，如有）参加社保的有效证明材料复印件（社保时段为投标文件递交截止日前半年时间内连续不少于三个月）。</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拟委任的项目负责人资历表”还应附主管部门或项目业主出具的能体现项目负责人勘察设计咨询业绩的证明材料复印件。如投标人未提供上述证明材料复印件或上述证明材料的信息无法证实投标人满足招标文件规定的资格审查条件（项目负责人最低要求）或评标办法评分标准（如有），则该业绩不予认定。</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3.5.5 “拟委任的分项咨询负责人汇总表”（如有）应填报满足投标人须知前附表附录6规定的各专业分项咨询负责人的相关信息。“拟委任的分项咨询负责人资历表”（如有）中分项咨询负责人应附身份证、职称资格证书和资格审查条件所要求的其他相关证书的复印件，以及投标人在社保系统打印的项目负责人参加社保的有效证明材料复印件（社保时段为投标文件递交截止日前半年时间内连续不少于三个月）。</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拟委任的分项咨询负责人资历表”（如有）还应附主管部门或项目业主出具的能体现分项咨询负责人勘察设计咨询业绩的证明材料复印件（如有）。如投标人未提供上述证明材料复印件或上述证明材料的信息无法证实投标人满足招标文件规定的资格审查条件（分项咨询负责人最低要求）或评标办法评分标准（如有），则该业绩不予认定。</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3.5.6 投标人须知前附表规定接受联合体投标的，本章第3.5.1项至第3.5.5项规定的表格和资料应包括联合体各方相关情况。</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3.5.7 除合同条款约定的特殊情形外，投标人在投标文件中填报的项目负责人不允许更换。</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3.5.8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水运建设市场信用信息管理系统。</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rPr>
      </w:pPr>
      <w:r>
        <w:rPr>
          <w:rFonts w:hint="eastAsia" w:ascii="宋体" w:hAnsi="宋体" w:cs="宋体"/>
          <w:sz w:val="24"/>
        </w:rPr>
        <w:t>3.5.9如果每个投标人只允许中一个标，则同一个投标人在不同标段投标文件中提供的人员在满足资格要求的基础上可以重复；如果投标人允许中多个标，则同一投标人在不同标段投标文件中提供的人员不可重复。</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37" w:name="_Toc508984294"/>
      <w:bookmarkStart w:id="238" w:name="_Toc503235767"/>
      <w:bookmarkStart w:id="239" w:name="_Toc234832895"/>
      <w:bookmarkStart w:id="240" w:name="_Toc508984095"/>
      <w:r>
        <w:rPr>
          <w:rFonts w:ascii="黑体" w:eastAsia="黑体"/>
          <w:b w:val="0"/>
          <w:sz w:val="24"/>
          <w:szCs w:val="24"/>
        </w:rPr>
        <w:t>3.6 备选投标方案</w:t>
      </w:r>
      <w:bookmarkEnd w:id="237"/>
      <w:bookmarkEnd w:id="238"/>
      <w:bookmarkEnd w:id="239"/>
      <w:bookmarkEnd w:id="240"/>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3.6.1除投标人须知前附表规定允许外，投标人不得递交备选投标方案，否则其投标将被否决。</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3.6.3 投标人提供两个或两个以上投标报价，或在投标文件中提供一个报价，但同时提供两个或两个以上</w:t>
      </w:r>
      <w:bookmarkStart w:id="241" w:name="_Toc300834971"/>
      <w:bookmarkStart w:id="242" w:name="_Toc361508607"/>
      <w:bookmarkStart w:id="243" w:name="_Toc369531538"/>
      <w:bookmarkStart w:id="244" w:name="_Toc247513974"/>
      <w:bookmarkStart w:id="245" w:name="_Toc352691495"/>
      <w:bookmarkStart w:id="246" w:name="_Toc152042326"/>
      <w:bookmarkStart w:id="247" w:name="_Toc247527575"/>
      <w:bookmarkStart w:id="248" w:name="_Toc144974518"/>
      <w:bookmarkStart w:id="249" w:name="_Toc152045550"/>
      <w:bookmarkStart w:id="250" w:name="_Toc29902"/>
      <w:bookmarkStart w:id="251" w:name="_Toc384308232"/>
      <w:r>
        <w:rPr>
          <w:rFonts w:hint="eastAsia" w:ascii="宋体" w:hAnsi="宋体" w:cs="宋体"/>
          <w:sz w:val="24"/>
        </w:rPr>
        <w:t>技术建议书的</w:t>
      </w:r>
      <w:bookmarkEnd w:id="241"/>
      <w:bookmarkEnd w:id="242"/>
      <w:bookmarkEnd w:id="243"/>
      <w:bookmarkEnd w:id="244"/>
      <w:bookmarkEnd w:id="245"/>
      <w:bookmarkEnd w:id="246"/>
      <w:bookmarkEnd w:id="247"/>
      <w:bookmarkEnd w:id="248"/>
      <w:bookmarkEnd w:id="249"/>
      <w:bookmarkEnd w:id="250"/>
      <w:bookmarkEnd w:id="251"/>
      <w:r>
        <w:rPr>
          <w:rFonts w:hint="eastAsia" w:ascii="宋体" w:hAnsi="宋体" w:cs="宋体"/>
          <w:sz w:val="24"/>
        </w:rPr>
        <w:t>，视为提供备选方案。</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52" w:name="_Toc508984096"/>
      <w:bookmarkStart w:id="253" w:name="_Toc508984295"/>
      <w:bookmarkStart w:id="254" w:name="_Toc234832896"/>
      <w:bookmarkStart w:id="255" w:name="_Toc503235768"/>
      <w:r>
        <w:rPr>
          <w:rFonts w:ascii="黑体" w:eastAsia="黑体"/>
          <w:b w:val="0"/>
          <w:sz w:val="24"/>
          <w:szCs w:val="24"/>
        </w:rPr>
        <w:t>3.7 投标文件的编制</w:t>
      </w:r>
      <w:bookmarkEnd w:id="252"/>
      <w:bookmarkEnd w:id="253"/>
      <w:bookmarkEnd w:id="254"/>
      <w:bookmarkEnd w:id="255"/>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3.7.1 投标文件应按第六章“投标文件格式”进行编写，如有必要，可以增加附页，作为投标文件的组成部分。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3.7.2 投标文件应对招标文件有关勘察设计咨询服务期限、投标有效期、质量要求、安全目标、发包人要求、招标范围等实质性内容作出响应。</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3.7.3 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及对投标文件的澄清和说明应加盖投标人单位章，或由投标人的法定代表人或其委托代理人签字。</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如果投标文件由委托代理人签署，则投标人须提交授权委托书，授权委托书应按第六章“投标文件格式”的要求出具，并由法定代表人和委托代理人亲笔签名，不得使用印章、签名章或其他电子制版签名代替。</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如果由投标人的法定代表人亲自签署投标文件，则投标人须提交法定代表人身份证明，身份证明应符合第六章“投标文件格式”的要求。</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投标文件应尽量避免涂改、行间插字或删除。如果出现上述情况，改动之处应由投标人的法定代表人或其授权的代理人签字或盖单位章。</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3.7.4 投标文件正本一份, 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3.7.5 投标文件的正本与副本应分别装订成册（A4纸幅；其中技术建议书如有必要，可采用标准图框A3幅面，可单独装订成册），编制目录并逐页标注连续页码。投标文件不得采用活页夹装订，否则，招标人对由于投标文件装订松散而造成的丢失或其他后果不承担任何责任。装订的其他要求见投标人须知前附表。</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bookmarkStart w:id="256" w:name="_Toc503235769"/>
      <w:bookmarkStart w:id="257" w:name="_Toc508984097"/>
      <w:bookmarkStart w:id="258" w:name="_Toc234832897"/>
      <w:bookmarkStart w:id="259" w:name="_Toc508984296"/>
      <w:r>
        <w:rPr>
          <w:rFonts w:ascii="黑体" w:eastAsia="黑体"/>
          <w:b w:val="0"/>
          <w:sz w:val="28"/>
          <w:szCs w:val="28"/>
        </w:rPr>
        <w:t>4. 投标</w:t>
      </w:r>
      <w:bookmarkEnd w:id="256"/>
      <w:bookmarkEnd w:id="257"/>
      <w:bookmarkEnd w:id="258"/>
      <w:bookmarkEnd w:id="259"/>
      <w:r>
        <w:rPr>
          <w:rFonts w:ascii="黑体" w:eastAsia="黑体"/>
          <w:b w:val="0"/>
          <w:sz w:val="28"/>
          <w:szCs w:val="28"/>
        </w:rPr>
        <w:tab/>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60" w:name="_Toc508984297"/>
      <w:bookmarkStart w:id="261" w:name="_Toc234832898"/>
      <w:bookmarkStart w:id="262" w:name="_Toc503235770"/>
      <w:bookmarkStart w:id="263" w:name="_Toc508984098"/>
      <w:r>
        <w:rPr>
          <w:rFonts w:ascii="黑体" w:eastAsia="黑体"/>
          <w:b w:val="0"/>
          <w:sz w:val="24"/>
          <w:szCs w:val="24"/>
        </w:rPr>
        <w:t>4.1 投标文件的密封和标识</w:t>
      </w:r>
      <w:bookmarkEnd w:id="260"/>
      <w:bookmarkEnd w:id="261"/>
      <w:bookmarkEnd w:id="262"/>
      <w:bookmarkEnd w:id="263"/>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4.1.1 投标文件应采用双信封形式密封。投标文件第一个信封（商务及技术文件）以及第二个信封（报价文件）应单独密封包装。商务文件、技术文件的正本与副本应统一密封在一个封套中。报价文件的正本与副本以及投标文件电子版文件（如需要）应统一密封在另一个封套中。封套应加贴封条，并在封套的封口处加盖投标人单位章或由投标人的法定代表人或其委托代理人签字。</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采用银行保函形式提交投标保证金的，银行保函原件应密封在单独的封套中。</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4.1.2 投标文件第一个信封（商务及技术文件）、第二个信封（报价文件）以及银行保函封套上应写明的内容见投标人须知前附表。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4.1.3未按本章第4.1.1项要求密封和4.1.2项要求标识的投标文件，招标人将予以拒收。</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64" w:name="_Toc234832899"/>
      <w:bookmarkStart w:id="265" w:name="_Toc508984099"/>
      <w:bookmarkStart w:id="266" w:name="_Toc508984298"/>
      <w:bookmarkStart w:id="267" w:name="_Toc503235771"/>
      <w:r>
        <w:rPr>
          <w:rFonts w:ascii="黑体" w:eastAsia="黑体"/>
          <w:b w:val="0"/>
          <w:sz w:val="24"/>
          <w:szCs w:val="24"/>
        </w:rPr>
        <w:t>4.2</w:t>
      </w:r>
      <w:r>
        <w:rPr>
          <w:rFonts w:ascii="黑体" w:eastAsia="黑体"/>
          <w:b w:val="0"/>
          <w:sz w:val="24"/>
          <w:szCs w:val="24"/>
        </w:rPr>
        <w:tab/>
      </w:r>
      <w:r>
        <w:rPr>
          <w:rFonts w:ascii="黑体" w:eastAsia="黑体"/>
          <w:b w:val="0"/>
          <w:sz w:val="24"/>
          <w:szCs w:val="24"/>
        </w:rPr>
        <w:t>投标文件的递交</w:t>
      </w:r>
      <w:bookmarkEnd w:id="264"/>
      <w:bookmarkEnd w:id="265"/>
      <w:bookmarkEnd w:id="266"/>
      <w:bookmarkEnd w:id="26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4.2.1 投标人应在第一章“招标公告”或“投标邀请书”规定的投标截止时间前递交投标文件。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4.2.2 投标人递交投标文件的地点：见第一章“招标公告”或“投标邀请书”。</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4.2.3 除投标人须知前附表另有规定外，投标人所递交的投标文件不予退还。投标人少于3个的，投标文件当场退还给投标人。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4.2.4投标人在递交投标文件时，应在递交文件登记表上签字，同时招标人负责接收投标文件的工作人员也应在递交文件登记表上签字确认收到该投标人的投标文件。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4.2.5 逾期送达的或未送达指定地点的投标文件，招标人将予以拒收。</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68" w:name="_Toc503235772"/>
      <w:bookmarkStart w:id="269" w:name="_Toc508984299"/>
      <w:bookmarkStart w:id="270" w:name="_Toc508984100"/>
      <w:bookmarkStart w:id="271" w:name="_Toc234832900"/>
      <w:r>
        <w:rPr>
          <w:rFonts w:ascii="黑体" w:eastAsia="黑体"/>
          <w:b w:val="0"/>
          <w:sz w:val="24"/>
          <w:szCs w:val="24"/>
        </w:rPr>
        <w:t>4.3 投标文件的修改与撤回</w:t>
      </w:r>
      <w:bookmarkEnd w:id="268"/>
      <w:bookmarkEnd w:id="269"/>
      <w:bookmarkEnd w:id="270"/>
      <w:bookmarkEnd w:id="271"/>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4.3.1 在本章第4.2.1项规定的投标截止时间前，投标人可以修改或撤回已递交的投标文件，但应以书面形式通知招标人。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4.3.2 投标人修改或撤回已递交投标文件的书面通知应按照本章第3.7.3项的要求签字或盖章。招标人收到书面通知后，向投标人出具签收凭证。</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4.3.3 投标人撤回投标文件的，招标人自收到投标人书面撤回通知之日起5日内退还已收取的投标保证金。</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4.3.4 修改的内容为投标文件的组成部分。修改的投标文件应按照本章第3条、第4条的规定进行编制、密封、标记和递交，并标明“修改”字样。</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bookmarkStart w:id="272" w:name="_Toc234832901"/>
      <w:bookmarkStart w:id="273" w:name="_Toc508984101"/>
      <w:bookmarkStart w:id="274" w:name="_Toc503235773"/>
      <w:bookmarkStart w:id="275" w:name="_Toc508984300"/>
      <w:r>
        <w:rPr>
          <w:rFonts w:ascii="黑体" w:eastAsia="黑体"/>
          <w:b w:val="0"/>
          <w:sz w:val="28"/>
          <w:szCs w:val="28"/>
        </w:rPr>
        <w:t>5. 开标</w:t>
      </w:r>
      <w:bookmarkEnd w:id="272"/>
      <w:bookmarkEnd w:id="273"/>
      <w:bookmarkEnd w:id="274"/>
      <w:bookmarkEnd w:id="275"/>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76" w:name="_Toc503235774"/>
      <w:bookmarkStart w:id="277" w:name="_Toc508984102"/>
      <w:bookmarkStart w:id="278" w:name="_Toc508984301"/>
      <w:bookmarkStart w:id="279" w:name="_Toc234832902"/>
      <w:r>
        <w:rPr>
          <w:rFonts w:hint="eastAsia" w:ascii="黑体" w:eastAsia="黑体"/>
          <w:b w:val="0"/>
          <w:sz w:val="24"/>
          <w:szCs w:val="24"/>
        </w:rPr>
        <w:t>5.1 开标时间和地点</w:t>
      </w:r>
      <w:bookmarkEnd w:id="276"/>
      <w:bookmarkEnd w:id="277"/>
      <w:bookmarkEnd w:id="27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招标人在本章第4.2.1项规定的投标截止时间（开标时间）和投标人须知前附表规定的地点对收到的投标文件第一个信封（商务及技术文件）公开开标，并邀请所有投标人的法定代表人或其委托代理人准时参加。</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招标人在投标人须知前附表规定的时间和地点对投标文件第二个信封（报价文件）公开开标，并邀请所有投标人的法定代表人或其委托代理人准时参加。</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投标人若未派法定代表人或委托代理人出席开标活动，视为该投标人默认开标结果。</w:t>
      </w:r>
    </w:p>
    <w:bookmarkEnd w:id="279"/>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80" w:name="_Toc234832905"/>
      <w:bookmarkStart w:id="281" w:name="_Toc503235775"/>
      <w:bookmarkStart w:id="282" w:name="_Toc508984302"/>
      <w:bookmarkStart w:id="283" w:name="_Toc508984103"/>
      <w:r>
        <w:rPr>
          <w:rFonts w:hint="eastAsia" w:ascii="黑体" w:eastAsia="黑体"/>
          <w:b w:val="0"/>
          <w:sz w:val="24"/>
          <w:szCs w:val="24"/>
        </w:rPr>
        <w:t>5.2 开标程序</w:t>
      </w:r>
      <w:bookmarkEnd w:id="280"/>
      <w:bookmarkEnd w:id="281"/>
      <w:bookmarkEnd w:id="282"/>
      <w:bookmarkEnd w:id="283"/>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5.2.1 主持人按下列程序对投标文件第一个信封（商务及技术文件）进行开标：</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（1）宣布开标纪律；</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（2）公布在投标截止时间前递交投标文件的投标人数量；</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（3）宣布开标人、唱标人、记录人等有关人员姓名；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（4）按照投标人须知前附表规定由投标人推选的代表检查投标文件的密封情况；</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（5）按照投标人须知前附表规定的开标顺序当众开标，公布标段名称、投标人名称、投标保证金的递交情况、勘察设计咨询服务期限及其他内容，并记录在案；</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（6）投标人代表、招标人代表、记录人等有关人员在开标记录上签字确认；</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（7）开标结束。</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5.2.2 在投标文件第一个信封（商务及技术文件）开标现场，投标文件第二个信封（报价文件）不予开封，由招标人密封保存。</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5.2.3 招标人将按照本章第5.1款规定的时间和地点对投标文件第二个信封（报价文件）进行开标。主持人按下列程序进行开标：</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（1）宣布开标纪律；</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（2）当众拆开投标文件第一个信封（商务及技术文件）评审结果的密封袋，宣布通过投标文件第一个信封（商务及技术文件）评审的投标人名单；</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（3）宣布开标人、唱标人、记录人等有关人员姓名；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（4）按照投标人须知前附表规定由投标人推选的代表检查投标文件的密封情况；</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按照投标人须知前附表规定的开标顺序当众开标，开标人只拆封通过投标文件第一个信封（商务及技术文件）评审的投标文件第二个信封（报价文件），未通过投标文件第一个信封（商务及技术文件）评审的投标文件第二个信封，招标人应当在评标结束后及时将第二信封原封退还投标人。公布标段名称、投标人名称、投标总报价</w:t>
      </w:r>
      <w:r>
        <w:rPr>
          <w:rStyle w:val="56"/>
          <w:rFonts w:hint="eastAsia" w:ascii="宋体" w:hAnsi="宋体"/>
          <w:sz w:val="32"/>
          <w:szCs w:val="32"/>
        </w:rPr>
        <w:footnoteReference w:id="50"/>
      </w:r>
      <w:r>
        <w:rPr>
          <w:rFonts w:hint="eastAsia" w:ascii="宋体" w:hAnsi="宋体" w:cs="宋体"/>
          <w:sz w:val="24"/>
        </w:rPr>
        <w:t>及其他内容，并记录在案；</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w:t>
      </w:r>
      <w:r>
        <w:rPr>
          <w:rStyle w:val="56"/>
          <w:rFonts w:hint="eastAsia" w:ascii="宋体" w:hAnsi="宋体"/>
          <w:sz w:val="30"/>
        </w:rPr>
        <w:footnoteReference w:id="51"/>
      </w:r>
      <w:r>
        <w:rPr>
          <w:rFonts w:hint="eastAsia" w:ascii="宋体" w:hAnsi="宋体" w:cs="宋体"/>
          <w:sz w:val="24"/>
        </w:rPr>
        <w:t>摇取下浮率，下浮率在开标现场采取逐标段摇珠方式确定。摇珠操作办法详见评标办法。计算并宣布评标基准价；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（7）将未通过投标文件第一个信封（商务及技术文件）评审的投标文件第二个信封（报价文件）退还给投标人；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（8）投标人代表、招标人代表、记录人等有关人员在开标记录上签字确认；</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（9）开标结束。</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5.2.4 在投标文件第二个信封（报价文件）开标现场，招标人将按第三章“评标办法”规定的原则计算并宣布评标基准价。若招标人发现投标文件出现以下任一情况，其投标报价将不再参加评标基准价的计算：</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（1）未在投标函上填写投标总报价；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（2）投标总报价超出招标人公布的最高投标限价（如有）；</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（3）投标总报价的大写金额无法确定具体数值；</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（4）投标函上填写的标段号与投标文件封套上标记的标段号不一致。</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84" w:name="_Toc508984104"/>
      <w:bookmarkStart w:id="285" w:name="_Toc503235776"/>
      <w:bookmarkStart w:id="286" w:name="_Toc508984303"/>
      <w:r>
        <w:rPr>
          <w:rFonts w:hint="eastAsia" w:ascii="黑体" w:eastAsia="黑体"/>
          <w:b w:val="0"/>
          <w:sz w:val="24"/>
          <w:szCs w:val="24"/>
        </w:rPr>
        <w:t>5.3</w:t>
      </w:r>
      <w:r>
        <w:rPr>
          <w:rFonts w:hint="eastAsia" w:ascii="黑体" w:eastAsia="黑体"/>
          <w:b w:val="0"/>
          <w:sz w:val="24"/>
          <w:szCs w:val="24"/>
        </w:rPr>
        <w:tab/>
      </w:r>
      <w:r>
        <w:rPr>
          <w:rFonts w:hint="eastAsia" w:ascii="黑体" w:eastAsia="黑体"/>
          <w:b w:val="0"/>
          <w:sz w:val="24"/>
          <w:szCs w:val="24"/>
        </w:rPr>
        <w:t xml:space="preserve"> 开标异议</w:t>
      </w:r>
      <w:bookmarkEnd w:id="284"/>
      <w:bookmarkEnd w:id="285"/>
      <w:bookmarkEnd w:id="286"/>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投标人对开标有异议的，应在开标现场提出，招标人当场作出答复，并制作记录，有异议的投标人代表、招标人代表、记录人等有关人员在记录上签字确认。</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bookmarkStart w:id="287" w:name="_Toc234832906"/>
      <w:bookmarkStart w:id="288" w:name="_Toc503235777"/>
      <w:bookmarkStart w:id="289" w:name="_Toc508984304"/>
      <w:bookmarkStart w:id="290" w:name="_Toc508984105"/>
      <w:r>
        <w:rPr>
          <w:rFonts w:ascii="黑体" w:eastAsia="黑体"/>
          <w:b w:val="0"/>
          <w:sz w:val="28"/>
          <w:szCs w:val="28"/>
        </w:rPr>
        <w:t>6. 评标</w:t>
      </w:r>
      <w:bookmarkEnd w:id="287"/>
      <w:bookmarkEnd w:id="288"/>
      <w:bookmarkEnd w:id="289"/>
      <w:bookmarkEnd w:id="290"/>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91" w:name="_Toc234832907"/>
      <w:bookmarkStart w:id="292" w:name="_Toc508984305"/>
      <w:bookmarkStart w:id="293" w:name="_Toc508984106"/>
      <w:bookmarkStart w:id="294" w:name="_Toc503235778"/>
      <w:r>
        <w:rPr>
          <w:rFonts w:ascii="黑体" w:eastAsia="黑体"/>
          <w:b w:val="0"/>
          <w:sz w:val="24"/>
          <w:szCs w:val="24"/>
        </w:rPr>
        <w:t>6.1</w:t>
      </w:r>
      <w:r>
        <w:rPr>
          <w:rFonts w:ascii="黑体" w:eastAsia="黑体"/>
          <w:b w:val="0"/>
          <w:sz w:val="24"/>
          <w:szCs w:val="24"/>
        </w:rPr>
        <w:tab/>
      </w:r>
      <w:r>
        <w:rPr>
          <w:rFonts w:ascii="黑体" w:eastAsia="黑体"/>
          <w:b w:val="0"/>
          <w:sz w:val="24"/>
          <w:szCs w:val="24"/>
        </w:rPr>
        <w:t>评标委员会</w:t>
      </w:r>
      <w:bookmarkEnd w:id="291"/>
      <w:bookmarkEnd w:id="292"/>
      <w:bookmarkEnd w:id="293"/>
      <w:bookmarkEnd w:id="294"/>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6.1.2 评标委员会成员有下列情形之一的，应主动提出回避：</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（1）为负责招标项目监督管理的交通运输主管部门的工作人员；</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（2）与投标人法定代表人或其委托代理人有近亲属关系；</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（3）为投标人的工作人员或退休人员；</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（4）与投标人有其他利害关系，可能影响评标活动公正性；</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（5）在与招标投标有关的活动中有过违法违规行为、曾受过行政处罚或刑事处罚。</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（6）招标人及其子公司、招标人下属单位、招标人的上级主管部门或者控股公司、招标代理机构的工作人员或者退休人员不得以专家身份参与本单位招标或者招标代理项目的评标。</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6.1.3 评标过程中，评标委员会成员有回避事由、擅离职守或因健康等原因不能继续评标的，招标人有权更换。被更换的评标委员会成员作出的评审结论无效，由更换后的评标委员会成员重新进行评审。</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95" w:name="_Toc508984107"/>
      <w:bookmarkStart w:id="296" w:name="_Toc503235779"/>
      <w:bookmarkStart w:id="297" w:name="_Toc508984306"/>
      <w:bookmarkStart w:id="298" w:name="_Toc234832908"/>
      <w:r>
        <w:rPr>
          <w:rFonts w:ascii="黑体" w:eastAsia="黑体"/>
          <w:b w:val="0"/>
          <w:sz w:val="24"/>
          <w:szCs w:val="24"/>
        </w:rPr>
        <w:t>6.2 评标原则</w:t>
      </w:r>
      <w:bookmarkEnd w:id="295"/>
      <w:bookmarkEnd w:id="296"/>
      <w:bookmarkEnd w:id="297"/>
      <w:bookmarkEnd w:id="29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评标活动遵循公平、公正、科学和择优的原则。</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299" w:name="_Toc503235780"/>
      <w:bookmarkStart w:id="300" w:name="_Toc508984307"/>
      <w:bookmarkStart w:id="301" w:name="_Toc234832909"/>
      <w:bookmarkStart w:id="302" w:name="_Toc508984108"/>
      <w:r>
        <w:rPr>
          <w:rFonts w:ascii="黑体" w:eastAsia="黑体"/>
          <w:b w:val="0"/>
          <w:sz w:val="24"/>
          <w:szCs w:val="24"/>
        </w:rPr>
        <w:t>6.3 评标</w:t>
      </w:r>
      <w:bookmarkEnd w:id="299"/>
      <w:bookmarkEnd w:id="300"/>
      <w:bookmarkEnd w:id="301"/>
      <w:bookmarkEnd w:id="302"/>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6.3.1 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6.3.2 评标完成后，评标委员会应向招标人提交书面评标报告和中标候选人名单。评标委员会推荐中标</w:t>
      </w:r>
      <w:bookmarkStart w:id="303" w:name="_Toc247527583"/>
      <w:bookmarkStart w:id="304" w:name="_Toc152042334"/>
      <w:bookmarkStart w:id="305" w:name="_Toc12259"/>
      <w:bookmarkStart w:id="306" w:name="_Toc247513982"/>
      <w:bookmarkStart w:id="307" w:name="_Toc152045558"/>
      <w:bookmarkStart w:id="308" w:name="_Toc384308240"/>
      <w:bookmarkStart w:id="309" w:name="_Toc144974526"/>
      <w:bookmarkStart w:id="310" w:name="_Toc352691502"/>
      <w:bookmarkStart w:id="311" w:name="_Toc300834979"/>
      <w:bookmarkStart w:id="312" w:name="_Toc361508615"/>
      <w:bookmarkStart w:id="313" w:name="_Toc369531546"/>
      <w:r>
        <w:rPr>
          <w:rFonts w:hint="eastAsia" w:ascii="宋体" w:hAnsi="宋体" w:cs="宋体"/>
          <w:sz w:val="24"/>
        </w:rPr>
        <w:t>候选人的人数见投标人须知前附</w:t>
      </w:r>
      <w:bookmarkEnd w:id="303"/>
      <w:bookmarkEnd w:id="304"/>
      <w:bookmarkEnd w:id="305"/>
      <w:bookmarkEnd w:id="306"/>
      <w:bookmarkEnd w:id="307"/>
      <w:bookmarkEnd w:id="308"/>
      <w:bookmarkEnd w:id="309"/>
      <w:bookmarkEnd w:id="310"/>
      <w:bookmarkEnd w:id="311"/>
      <w:bookmarkEnd w:id="312"/>
      <w:bookmarkEnd w:id="313"/>
      <w:r>
        <w:rPr>
          <w:rFonts w:hint="eastAsia" w:ascii="宋体" w:hAnsi="宋体" w:cs="宋体"/>
          <w:sz w:val="24"/>
        </w:rPr>
        <w:t>表。</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bookmarkStart w:id="314" w:name="_Toc503235781"/>
      <w:bookmarkStart w:id="315" w:name="_Toc508984109"/>
      <w:bookmarkStart w:id="316" w:name="_Toc508984308"/>
      <w:bookmarkStart w:id="317" w:name="_Toc234832910"/>
      <w:r>
        <w:rPr>
          <w:rFonts w:ascii="黑体" w:eastAsia="黑体"/>
          <w:b w:val="0"/>
          <w:sz w:val="28"/>
          <w:szCs w:val="28"/>
        </w:rPr>
        <w:t>7. 合同授予</w:t>
      </w:r>
      <w:bookmarkEnd w:id="314"/>
      <w:bookmarkEnd w:id="315"/>
      <w:bookmarkEnd w:id="316"/>
      <w:bookmarkEnd w:id="317"/>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18" w:name="_Toc508984110"/>
      <w:bookmarkStart w:id="319" w:name="_Toc503235782"/>
      <w:bookmarkStart w:id="320" w:name="_Toc508984309"/>
      <w:bookmarkStart w:id="321" w:name="_Toc234832911"/>
      <w:r>
        <w:rPr>
          <w:rFonts w:hint="eastAsia" w:ascii="黑体" w:eastAsia="黑体"/>
          <w:b w:val="0"/>
          <w:sz w:val="24"/>
          <w:szCs w:val="24"/>
        </w:rPr>
        <w:t>7</w:t>
      </w:r>
      <w:r>
        <w:rPr>
          <w:rFonts w:ascii="黑体" w:eastAsia="黑体"/>
          <w:b w:val="0"/>
          <w:sz w:val="24"/>
          <w:szCs w:val="24"/>
        </w:rPr>
        <w:t>.</w:t>
      </w:r>
      <w:r>
        <w:rPr>
          <w:rFonts w:hint="eastAsia" w:ascii="黑体" w:eastAsia="黑体"/>
          <w:b w:val="0"/>
          <w:sz w:val="24"/>
          <w:szCs w:val="24"/>
        </w:rPr>
        <w:t>1中标候选人公示</w:t>
      </w:r>
      <w:bookmarkEnd w:id="318"/>
      <w:bookmarkEnd w:id="319"/>
      <w:bookmarkEnd w:id="320"/>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招标人在收到评标报告之日起3日内，按照投标人须知前附表规定的公示媒介和期限公示中标候选人，公示期不得少于3日，公示内容包括：</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（1）中标候选人排序、名称、投标报价，对勘察设计咨询质量要求、安全目标和勘察设计咨询服务期限的响应情况；</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（2）中标候选人在投标文件中承诺的项目负责人姓名、个人业绩、相关证书名称和编号；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（3）中标候选人在投标文件中填报的项目业绩；</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（4）被否决投标的投标人名称、否决依据和原因；</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（5）提出异议的渠道和方式；</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（6）投标人须知前附表规定公示的其他内容。</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22" w:name="_Toc508984310"/>
      <w:bookmarkStart w:id="323" w:name="_Toc508984111"/>
      <w:bookmarkStart w:id="324" w:name="_Toc503235783"/>
      <w:r>
        <w:rPr>
          <w:rFonts w:hint="eastAsia" w:ascii="黑体" w:eastAsia="黑体"/>
          <w:b w:val="0"/>
          <w:sz w:val="24"/>
          <w:szCs w:val="24"/>
        </w:rPr>
        <w:t>7</w:t>
      </w:r>
      <w:r>
        <w:rPr>
          <w:rFonts w:ascii="黑体" w:eastAsia="黑体"/>
          <w:b w:val="0"/>
          <w:sz w:val="24"/>
          <w:szCs w:val="24"/>
        </w:rPr>
        <w:t>.</w:t>
      </w:r>
      <w:r>
        <w:rPr>
          <w:rFonts w:hint="eastAsia" w:ascii="黑体" w:eastAsia="黑体"/>
          <w:b w:val="0"/>
          <w:sz w:val="24"/>
          <w:szCs w:val="24"/>
        </w:rPr>
        <w:t>2评标结果异议</w:t>
      </w:r>
      <w:bookmarkEnd w:id="322"/>
      <w:bookmarkEnd w:id="323"/>
      <w:bookmarkEnd w:id="324"/>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投标人或其他利害关系人对依法必须进行招标的项目的评标结果有异议的，应在中标候选人公示期间提出。招标人将在收到异议之日起3日内作出答复；作出答复前，将暂停招标投标活动。</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25" w:name="_Toc508984112"/>
      <w:bookmarkStart w:id="326" w:name="_Toc503235784"/>
      <w:bookmarkStart w:id="327" w:name="_Toc508984311"/>
      <w:r>
        <w:rPr>
          <w:rFonts w:hint="eastAsia" w:ascii="黑体" w:eastAsia="黑体"/>
          <w:b w:val="0"/>
          <w:sz w:val="24"/>
          <w:szCs w:val="24"/>
        </w:rPr>
        <w:t>7</w:t>
      </w:r>
      <w:r>
        <w:rPr>
          <w:rFonts w:ascii="黑体" w:eastAsia="黑体"/>
          <w:b w:val="0"/>
          <w:sz w:val="24"/>
          <w:szCs w:val="24"/>
        </w:rPr>
        <w:t>.</w:t>
      </w:r>
      <w:r>
        <w:rPr>
          <w:rFonts w:hint="eastAsia" w:ascii="黑体" w:eastAsia="黑体"/>
          <w:b w:val="0"/>
          <w:sz w:val="24"/>
          <w:szCs w:val="24"/>
        </w:rPr>
        <w:t>3</w:t>
      </w:r>
      <w:r>
        <w:rPr>
          <w:rFonts w:ascii="黑体" w:eastAsia="黑体"/>
          <w:b w:val="0"/>
          <w:sz w:val="24"/>
          <w:szCs w:val="24"/>
        </w:rPr>
        <w:t xml:space="preserve"> 中标候选人</w:t>
      </w:r>
      <w:r>
        <w:rPr>
          <w:rFonts w:hint="eastAsia" w:ascii="黑体" w:eastAsia="黑体"/>
          <w:b w:val="0"/>
          <w:sz w:val="24"/>
          <w:szCs w:val="24"/>
        </w:rPr>
        <w:t>履约能力审查</w:t>
      </w:r>
      <w:bookmarkEnd w:id="325"/>
      <w:bookmarkEnd w:id="326"/>
      <w:bookmarkEnd w:id="32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中标候选人的经营、财务状况发生较大变化或存在违法行为，招标人认为可能影响其履约能力的，将在发出中标通知书前提请原评标委员会按照招标文件规定的标准和方法进行审查确认。</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28" w:name="_Toc503235785"/>
      <w:bookmarkStart w:id="329" w:name="_Toc508984312"/>
      <w:bookmarkStart w:id="330" w:name="_Toc508984113"/>
      <w:r>
        <w:rPr>
          <w:rFonts w:ascii="黑体" w:eastAsia="黑体"/>
          <w:b w:val="0"/>
          <w:sz w:val="24"/>
          <w:szCs w:val="24"/>
        </w:rPr>
        <w:t>7.</w:t>
      </w:r>
      <w:r>
        <w:rPr>
          <w:rFonts w:hint="eastAsia" w:ascii="黑体" w:eastAsia="黑体"/>
          <w:b w:val="0"/>
          <w:sz w:val="24"/>
          <w:szCs w:val="24"/>
        </w:rPr>
        <w:t xml:space="preserve">4 </w:t>
      </w:r>
      <w:r>
        <w:rPr>
          <w:rFonts w:ascii="黑体" w:eastAsia="黑体"/>
          <w:b w:val="0"/>
          <w:sz w:val="24"/>
          <w:szCs w:val="24"/>
        </w:rPr>
        <w:t>定标</w:t>
      </w:r>
      <w:bookmarkEnd w:id="321"/>
      <w:bookmarkEnd w:id="328"/>
      <w:bookmarkEnd w:id="329"/>
      <w:bookmarkEnd w:id="330"/>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rPr>
      </w:pPr>
      <w:r>
        <w:rPr>
          <w:rFonts w:hint="eastAsia" w:ascii="宋体" w:hAnsi="宋体" w:cs="宋体"/>
          <w:sz w:val="24"/>
        </w:rPr>
        <w:t>按照投标人须知前附表的规定，招标人或招标人授权的评标委员会依法确定中标人。</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31" w:name="_Toc503235786"/>
      <w:bookmarkStart w:id="332" w:name="_Toc234832912"/>
      <w:bookmarkStart w:id="333" w:name="_Toc508984313"/>
      <w:bookmarkStart w:id="334" w:name="_Toc508984114"/>
      <w:r>
        <w:rPr>
          <w:rFonts w:ascii="黑体" w:eastAsia="黑体"/>
          <w:b w:val="0"/>
          <w:sz w:val="24"/>
          <w:szCs w:val="24"/>
        </w:rPr>
        <w:t>7.</w:t>
      </w:r>
      <w:r>
        <w:rPr>
          <w:rFonts w:hint="eastAsia" w:ascii="黑体" w:eastAsia="黑体"/>
          <w:b w:val="0"/>
          <w:sz w:val="24"/>
          <w:szCs w:val="24"/>
        </w:rPr>
        <w:t>5</w:t>
      </w:r>
      <w:r>
        <w:rPr>
          <w:rFonts w:ascii="黑体" w:eastAsia="黑体"/>
          <w:b w:val="0"/>
          <w:sz w:val="24"/>
          <w:szCs w:val="24"/>
        </w:rPr>
        <w:t xml:space="preserve"> 中标通知</w:t>
      </w:r>
      <w:bookmarkEnd w:id="331"/>
      <w:bookmarkEnd w:id="332"/>
      <w:bookmarkEnd w:id="333"/>
      <w:bookmarkEnd w:id="334"/>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在本章第3.3款规定的投标有效期内，招标人以投标人须知前附表规定的形式向中标人发出中标通知书，同时将中标结果通知未中标的投标人。</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35" w:name="_Toc508984115"/>
      <w:bookmarkStart w:id="336" w:name="_Toc501257108"/>
      <w:bookmarkStart w:id="337" w:name="_Toc508984314"/>
      <w:bookmarkStart w:id="338" w:name="_Toc503235787"/>
      <w:r>
        <w:rPr>
          <w:rFonts w:ascii="黑体" w:eastAsia="黑体"/>
          <w:b w:val="0"/>
          <w:sz w:val="24"/>
          <w:szCs w:val="24"/>
        </w:rPr>
        <w:t>7.</w:t>
      </w:r>
      <w:r>
        <w:rPr>
          <w:rFonts w:hint="eastAsia" w:ascii="黑体" w:eastAsia="黑体"/>
          <w:b w:val="0"/>
          <w:sz w:val="24"/>
          <w:szCs w:val="24"/>
        </w:rPr>
        <w:t xml:space="preserve">6 </w:t>
      </w:r>
      <w:r>
        <w:rPr>
          <w:rFonts w:ascii="黑体" w:eastAsia="黑体"/>
          <w:b w:val="0"/>
          <w:sz w:val="24"/>
          <w:szCs w:val="24"/>
        </w:rPr>
        <w:t>中标</w:t>
      </w:r>
      <w:r>
        <w:rPr>
          <w:rFonts w:hint="eastAsia" w:ascii="黑体" w:eastAsia="黑体"/>
          <w:b w:val="0"/>
          <w:sz w:val="24"/>
          <w:szCs w:val="24"/>
        </w:rPr>
        <w:t>结果</w:t>
      </w:r>
      <w:r>
        <w:rPr>
          <w:rFonts w:ascii="黑体" w:eastAsia="黑体"/>
          <w:b w:val="0"/>
          <w:sz w:val="24"/>
          <w:szCs w:val="24"/>
        </w:rPr>
        <w:t>公告</w:t>
      </w:r>
      <w:bookmarkEnd w:id="335"/>
      <w:bookmarkEnd w:id="336"/>
      <w:bookmarkEnd w:id="337"/>
      <w:bookmarkEnd w:id="33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rPr>
      </w:pPr>
      <w:r>
        <w:rPr>
          <w:rFonts w:hint="eastAsia" w:ascii="宋体" w:hAnsi="宋体" w:cs="宋体"/>
          <w:sz w:val="24"/>
        </w:rPr>
        <w:t>招标人在确定中标人之日起3日内，按照投标人须知前附表规定的公告媒介和期限公告中标结果，公告期不得少于3日。公告内容包括中标人名称、中标价。</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39" w:name="_Toc508984116"/>
      <w:bookmarkStart w:id="340" w:name="_Toc492300399"/>
      <w:bookmarkStart w:id="341" w:name="_Toc503235788"/>
      <w:bookmarkStart w:id="342" w:name="_Toc508984315"/>
      <w:bookmarkStart w:id="343" w:name="_Toc482188479"/>
      <w:r>
        <w:rPr>
          <w:rFonts w:ascii="黑体" w:eastAsia="黑体"/>
          <w:b w:val="0"/>
          <w:sz w:val="24"/>
          <w:szCs w:val="24"/>
        </w:rPr>
        <w:t>7.</w:t>
      </w:r>
      <w:r>
        <w:rPr>
          <w:rFonts w:hint="eastAsia" w:ascii="黑体" w:eastAsia="黑体"/>
          <w:b w:val="0"/>
          <w:sz w:val="24"/>
          <w:szCs w:val="24"/>
        </w:rPr>
        <w:t>7技术成果经济补偿</w:t>
      </w:r>
      <w:bookmarkEnd w:id="339"/>
      <w:bookmarkEnd w:id="340"/>
      <w:bookmarkEnd w:id="341"/>
      <w:bookmarkEnd w:id="342"/>
      <w:bookmarkEnd w:id="343"/>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不设置技术成果经济补偿。</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44" w:name="_Toc234832913"/>
      <w:bookmarkStart w:id="345" w:name="_Toc508984117"/>
      <w:bookmarkStart w:id="346" w:name="_Toc503235789"/>
      <w:bookmarkStart w:id="347" w:name="_Toc508984316"/>
      <w:r>
        <w:rPr>
          <w:rFonts w:ascii="黑体" w:eastAsia="黑体"/>
          <w:b w:val="0"/>
          <w:sz w:val="24"/>
          <w:szCs w:val="24"/>
        </w:rPr>
        <w:t>7.8履约</w:t>
      </w:r>
      <w:bookmarkEnd w:id="344"/>
      <w:r>
        <w:rPr>
          <w:rFonts w:hint="eastAsia" w:ascii="黑体" w:eastAsia="黑体"/>
          <w:b w:val="0"/>
          <w:sz w:val="24"/>
          <w:szCs w:val="24"/>
        </w:rPr>
        <w:t>保证金</w:t>
      </w:r>
      <w:bookmarkEnd w:id="345"/>
      <w:bookmarkEnd w:id="346"/>
      <w:bookmarkEnd w:id="34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7.8.1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采用银行保函时，应由符合投标人须知前附表规定级别的银行开具，所需的费用由中标人承担，中标人应保证银行保函有效。</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7.8.2 中标人不能按本章第7.8.1项要求提交履约保证金的，视为放弃中标，其投标保证金不予退还，给招标人造成的损失超过投标保证金数额的，中标人还应对超过部分予以赔偿。</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48" w:name="_Toc508984118"/>
      <w:bookmarkStart w:id="349" w:name="_Toc508984317"/>
      <w:bookmarkStart w:id="350" w:name="_Toc503235790"/>
      <w:bookmarkStart w:id="351" w:name="_Toc234832914"/>
      <w:r>
        <w:rPr>
          <w:rFonts w:ascii="黑体" w:eastAsia="黑体"/>
          <w:b w:val="0"/>
          <w:sz w:val="24"/>
          <w:szCs w:val="24"/>
        </w:rPr>
        <w:t>7.9 签订合同</w:t>
      </w:r>
      <w:bookmarkEnd w:id="348"/>
      <w:bookmarkEnd w:id="349"/>
      <w:bookmarkEnd w:id="350"/>
      <w:bookmarkEnd w:id="351"/>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 xml:space="preserve">7.9.1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7.9.2 发出中标通知书后，招标人无正当理由拒签合同，或在签订合同时向中标人提出附加条件的，招标人向中标人退还投标保证金；给中标人造成损失的，还应赔偿损失。</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招标人不得以压低勘察设计咨询费、增加工作量、缩短勘察设计咨询服务期限等作为中标的条件，不得与中标人再行订立背离合同实质性内容的其他协议。</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7.9.3 签约合同价的确定原则如下：</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（1）按照评标办法规定对投标报价进行修正后，若修正后的最终投标报价小于开标时的投标函大写金额报价，则签订合同时以修正后的最终投标报价为准；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（2）按照评标办法规定对投标报价进行修正后，若修正后的最终投标报价大于开标时的投标函大写金额报价，则签订合同时以开标时的投标函大写金额报价为准，同时按比例修正相应子目的单价或合价。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7.9.4 联合体中标的，联合体各方应共同与招标人签订合同，就中标项目向招标人承担连带责任。</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rPr>
      </w:pPr>
      <w:r>
        <w:rPr>
          <w:rFonts w:hint="eastAsia" w:ascii="宋体" w:hAnsi="宋体" w:cs="宋体"/>
          <w:sz w:val="24"/>
        </w:rPr>
        <w:t>7.9.5 招标人和中标人在签订合同协议书的同时，须按照本招标文件规定的格式和要求签订廉政合同，明确双方在廉政建设方面的权利和义务以及应承担的违约责任。</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bookmarkStart w:id="352" w:name="_Toc234832918"/>
      <w:bookmarkStart w:id="353" w:name="_Toc508984318"/>
      <w:bookmarkStart w:id="354" w:name="_Toc508984119"/>
      <w:bookmarkStart w:id="355" w:name="_Toc503235791"/>
      <w:r>
        <w:rPr>
          <w:rFonts w:hint="eastAsia" w:ascii="黑体" w:eastAsia="黑体"/>
          <w:b w:val="0"/>
          <w:sz w:val="28"/>
          <w:szCs w:val="28"/>
        </w:rPr>
        <w:t>8</w:t>
      </w:r>
      <w:r>
        <w:rPr>
          <w:rFonts w:ascii="黑体" w:eastAsia="黑体"/>
          <w:b w:val="0"/>
          <w:sz w:val="28"/>
          <w:szCs w:val="28"/>
        </w:rPr>
        <w:t>. 纪律和监督</w:t>
      </w:r>
      <w:bookmarkEnd w:id="352"/>
      <w:bookmarkEnd w:id="353"/>
      <w:bookmarkEnd w:id="354"/>
      <w:bookmarkEnd w:id="355"/>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56" w:name="_Toc234832919"/>
      <w:bookmarkStart w:id="357" w:name="_Toc503235792"/>
      <w:bookmarkStart w:id="358" w:name="_Toc508984120"/>
      <w:bookmarkStart w:id="359" w:name="_Toc508984319"/>
      <w:r>
        <w:rPr>
          <w:rFonts w:hint="eastAsia" w:ascii="黑体" w:eastAsia="黑体"/>
          <w:b w:val="0"/>
          <w:sz w:val="24"/>
          <w:szCs w:val="24"/>
        </w:rPr>
        <w:t>8</w:t>
      </w:r>
      <w:r>
        <w:rPr>
          <w:rFonts w:ascii="黑体" w:eastAsia="黑体"/>
          <w:b w:val="0"/>
          <w:sz w:val="24"/>
          <w:szCs w:val="24"/>
        </w:rPr>
        <w:t>.1 对招标人的纪律要求</w:t>
      </w:r>
      <w:bookmarkEnd w:id="356"/>
      <w:bookmarkEnd w:id="357"/>
      <w:bookmarkEnd w:id="358"/>
      <w:bookmarkEnd w:id="359"/>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招标人不得泄露招标投标活动中应保密的情况和资料，不得与投标人串通损害国家利益、社会公共利益或他人合法权益。</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60" w:name="_Toc234832920"/>
      <w:bookmarkStart w:id="361" w:name="_Toc503235793"/>
      <w:bookmarkStart w:id="362" w:name="_Toc508984320"/>
      <w:bookmarkStart w:id="363" w:name="_Toc508984121"/>
      <w:r>
        <w:rPr>
          <w:rFonts w:hint="eastAsia" w:ascii="黑体" w:eastAsia="黑体"/>
          <w:b w:val="0"/>
          <w:sz w:val="24"/>
          <w:szCs w:val="24"/>
        </w:rPr>
        <w:t>8</w:t>
      </w:r>
      <w:r>
        <w:rPr>
          <w:rFonts w:ascii="黑体" w:eastAsia="黑体"/>
          <w:b w:val="0"/>
          <w:sz w:val="24"/>
          <w:szCs w:val="24"/>
        </w:rPr>
        <w:t>.2 对投标人的纪律要求</w:t>
      </w:r>
      <w:bookmarkEnd w:id="360"/>
      <w:bookmarkEnd w:id="361"/>
      <w:bookmarkEnd w:id="362"/>
      <w:bookmarkEnd w:id="363"/>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投标人不得相互串通投标或与招标人串通投标，不得向招标人或评标委员会成员行贿谋取中标，不得以他人名义投标或以其他方式弄虚作假骗取中标；投标人不得以任何方式干扰、影响评标工作。</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64" w:name="_Toc508984122"/>
      <w:bookmarkStart w:id="365" w:name="_Toc503235794"/>
      <w:bookmarkStart w:id="366" w:name="_Toc508984321"/>
      <w:bookmarkStart w:id="367" w:name="_Toc234832921"/>
      <w:r>
        <w:rPr>
          <w:rFonts w:hint="eastAsia" w:ascii="黑体" w:eastAsia="黑体"/>
          <w:b w:val="0"/>
          <w:sz w:val="24"/>
          <w:szCs w:val="24"/>
        </w:rPr>
        <w:t>8</w:t>
      </w:r>
      <w:r>
        <w:rPr>
          <w:rFonts w:ascii="黑体" w:eastAsia="黑体"/>
          <w:b w:val="0"/>
          <w:sz w:val="24"/>
          <w:szCs w:val="24"/>
        </w:rPr>
        <w:t>.3 对评标委员会成员的纪律要求</w:t>
      </w:r>
      <w:bookmarkEnd w:id="364"/>
      <w:bookmarkEnd w:id="365"/>
      <w:bookmarkEnd w:id="366"/>
      <w:bookmarkEnd w:id="36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68" w:name="_Toc234832922"/>
      <w:bookmarkStart w:id="369" w:name="_Toc508984123"/>
      <w:bookmarkStart w:id="370" w:name="_Toc508984322"/>
      <w:bookmarkStart w:id="371" w:name="_Toc503235795"/>
      <w:r>
        <w:rPr>
          <w:rFonts w:hint="eastAsia" w:ascii="黑体" w:eastAsia="黑体"/>
          <w:b w:val="0"/>
          <w:sz w:val="24"/>
          <w:szCs w:val="24"/>
        </w:rPr>
        <w:t>8</w:t>
      </w:r>
      <w:r>
        <w:rPr>
          <w:rFonts w:ascii="黑体" w:eastAsia="黑体"/>
          <w:b w:val="0"/>
          <w:sz w:val="24"/>
          <w:szCs w:val="24"/>
        </w:rPr>
        <w:t>.4 对与评标活动有关的工作人员的纪律要求</w:t>
      </w:r>
      <w:bookmarkEnd w:id="368"/>
      <w:bookmarkEnd w:id="369"/>
      <w:bookmarkEnd w:id="370"/>
      <w:bookmarkEnd w:id="371"/>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4"/>
          <w:szCs w:val="24"/>
        </w:rPr>
      </w:pPr>
      <w:bookmarkStart w:id="372" w:name="_Toc508984124"/>
      <w:bookmarkStart w:id="373" w:name="_Toc503235796"/>
      <w:bookmarkStart w:id="374" w:name="_Toc234832923"/>
      <w:bookmarkStart w:id="375" w:name="_Toc508984323"/>
      <w:r>
        <w:rPr>
          <w:rFonts w:hint="eastAsia" w:ascii="黑体" w:eastAsia="黑体"/>
          <w:b w:val="0"/>
          <w:sz w:val="24"/>
          <w:szCs w:val="24"/>
        </w:rPr>
        <w:t>8</w:t>
      </w:r>
      <w:r>
        <w:rPr>
          <w:rFonts w:ascii="黑体" w:eastAsia="黑体"/>
          <w:b w:val="0"/>
          <w:sz w:val="24"/>
          <w:szCs w:val="24"/>
        </w:rPr>
        <w:t>.5 投诉</w:t>
      </w:r>
      <w:bookmarkEnd w:id="372"/>
      <w:bookmarkEnd w:id="373"/>
      <w:bookmarkEnd w:id="374"/>
      <w:bookmarkEnd w:id="375"/>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8.5.1 投标人或其他利害关系人认为招标投标活动不符合法律、行政法规规定的，可以自知道或应当知道之日起10日内向有关行政监督部门投诉。对于按法规规定需要先提出异议的投诉，交通运输主管部门在受理投诉时要求投诉人递交提出异议的证明文件，已向有关行政监督部门投诉的，应当一并说明。未按规定提出异议或者未提交已提出异议的证明文件的投诉，交通运输主管部门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行政监督部门接到对招标投标活动有效投诉的，应当制止或者要求整改，整改期间可以暂停其招标投标活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监督部门的联系方式见投标人须知前附表。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8.5.2 投标人或其他利害关系人对招标文件、开标和评标结果提出投诉的，应按照本章第2.4款、第5.3款和第7.2款的规定先向招标人提出异议。异议答复期间</w:t>
      </w:r>
      <w:bookmarkStart w:id="376" w:name="_Toc247513994"/>
      <w:bookmarkStart w:id="377" w:name="_Toc384308255"/>
      <w:bookmarkStart w:id="378" w:name="_Toc12776"/>
      <w:bookmarkStart w:id="379" w:name="_Toc361508630"/>
      <w:bookmarkStart w:id="380" w:name="_Toc369531561"/>
      <w:bookmarkStart w:id="381" w:name="_Toc352691517"/>
      <w:bookmarkStart w:id="382" w:name="_Toc247527595"/>
      <w:bookmarkStart w:id="383" w:name="_Toc144974538"/>
      <w:bookmarkStart w:id="384" w:name="_Toc152042346"/>
      <w:bookmarkStart w:id="385" w:name="_Toc152045570"/>
      <w:bookmarkStart w:id="386" w:name="_Toc300834993"/>
      <w:r>
        <w:rPr>
          <w:rFonts w:hint="eastAsia" w:ascii="宋体" w:hAnsi="宋体" w:cs="宋体"/>
          <w:sz w:val="24"/>
        </w:rPr>
        <w:t>不计算在第8.5.</w:t>
      </w:r>
      <w:bookmarkEnd w:id="376"/>
      <w:bookmarkEnd w:id="377"/>
      <w:bookmarkEnd w:id="378"/>
      <w:bookmarkEnd w:id="379"/>
      <w:bookmarkEnd w:id="380"/>
      <w:bookmarkEnd w:id="381"/>
      <w:bookmarkEnd w:id="382"/>
      <w:bookmarkEnd w:id="383"/>
      <w:bookmarkEnd w:id="384"/>
      <w:bookmarkEnd w:id="385"/>
      <w:bookmarkEnd w:id="386"/>
      <w:r>
        <w:rPr>
          <w:rFonts w:hint="eastAsia" w:ascii="宋体" w:hAnsi="宋体" w:cs="宋体"/>
          <w:sz w:val="24"/>
        </w:rPr>
        <w:t>1项规定的期限内。</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bookmarkStart w:id="387" w:name="_Toc503235797"/>
      <w:bookmarkStart w:id="388" w:name="_Toc508984125"/>
      <w:bookmarkStart w:id="389" w:name="_Toc508984324"/>
      <w:r>
        <w:rPr>
          <w:rFonts w:hint="eastAsia" w:ascii="黑体" w:eastAsia="黑体"/>
          <w:b w:val="0"/>
          <w:sz w:val="28"/>
          <w:szCs w:val="28"/>
        </w:rPr>
        <w:t>9</w:t>
      </w:r>
      <w:r>
        <w:rPr>
          <w:rFonts w:ascii="黑体" w:eastAsia="黑体"/>
          <w:b w:val="0"/>
          <w:sz w:val="28"/>
          <w:szCs w:val="28"/>
        </w:rPr>
        <w:t>.</w:t>
      </w:r>
      <w:r>
        <w:rPr>
          <w:rFonts w:hint="eastAsia" w:ascii="黑体" w:eastAsia="黑体"/>
          <w:b w:val="0"/>
          <w:sz w:val="28"/>
          <w:szCs w:val="28"/>
        </w:rPr>
        <w:t xml:space="preserve"> 是否采用电子招标投标</w:t>
      </w:r>
      <w:bookmarkEnd w:id="387"/>
      <w:bookmarkEnd w:id="388"/>
      <w:bookmarkEnd w:id="389"/>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本招标项目是否采用电子招标投标方式，见投标人须知前附表。</w:t>
      </w:r>
    </w:p>
    <w:p>
      <w:pPr>
        <w:pStyle w:val="2"/>
        <w:pageBreakBefore w:val="0"/>
        <w:widowControl w:val="0"/>
        <w:kinsoku/>
        <w:wordWrap/>
        <w:overflowPunct/>
        <w:topLinePunct w:val="0"/>
        <w:autoSpaceDE/>
        <w:autoSpaceDN/>
        <w:bidi w:val="0"/>
        <w:adjustRightInd/>
        <w:snapToGrid w:val="0"/>
        <w:spacing w:before="0" w:after="0" w:line="360" w:lineRule="auto"/>
        <w:textAlignment w:val="auto"/>
        <w:rPr>
          <w:rFonts w:ascii="黑体" w:eastAsia="黑体"/>
          <w:b w:val="0"/>
          <w:sz w:val="28"/>
          <w:szCs w:val="28"/>
        </w:rPr>
      </w:pPr>
      <w:bookmarkStart w:id="390" w:name="_Toc508984325"/>
      <w:bookmarkStart w:id="391" w:name="_Toc503235798"/>
      <w:bookmarkStart w:id="392" w:name="_Toc508984126"/>
      <w:bookmarkStart w:id="393" w:name="_Toc234832924"/>
      <w:r>
        <w:rPr>
          <w:rFonts w:ascii="黑体" w:eastAsia="黑体"/>
          <w:b w:val="0"/>
          <w:sz w:val="28"/>
          <w:szCs w:val="28"/>
        </w:rPr>
        <w:t>10.需要补充的其他内容</w:t>
      </w:r>
      <w:bookmarkEnd w:id="390"/>
      <w:bookmarkEnd w:id="391"/>
      <w:bookmarkEnd w:id="392"/>
      <w:bookmarkEnd w:id="393"/>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10.1 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需要补充的其他内容：见投标人须知前附表。</w:t>
      </w:r>
    </w:p>
    <w:p>
      <w:pPr>
        <w:spacing w:line="400" w:lineRule="atLeast"/>
        <w:ind w:firstLine="480" w:firstLineChars="200"/>
        <w:rPr>
          <w:rFonts w:eastAsia="隶书"/>
          <w:sz w:val="24"/>
        </w:rPr>
      </w:pPr>
    </w:p>
    <w:p>
      <w:pPr>
        <w:spacing w:line="400" w:lineRule="atLeast"/>
        <w:ind w:firstLine="480" w:firstLineChars="200"/>
        <w:rPr>
          <w:rFonts w:eastAsia="隶书"/>
          <w:sz w:val="24"/>
        </w:rPr>
      </w:pPr>
    </w:p>
    <w:p>
      <w:pPr>
        <w:pStyle w:val="2"/>
        <w:spacing w:before="0" w:after="0" w:line="240" w:lineRule="atLeast"/>
        <w:rPr>
          <w:rFonts w:ascii="黑体" w:eastAsia="黑体"/>
          <w:b w:val="0"/>
          <w:sz w:val="24"/>
          <w:szCs w:val="24"/>
        </w:rPr>
      </w:pPr>
      <w:r>
        <w:rPr>
          <w:rFonts w:eastAsia="隶书"/>
          <w:sz w:val="24"/>
        </w:rPr>
        <w:br w:type="page"/>
      </w:r>
      <w:bookmarkStart w:id="394" w:name="_Toc503235799"/>
      <w:bookmarkStart w:id="395" w:name="_Toc508984127"/>
      <w:bookmarkStart w:id="396" w:name="_Toc508984326"/>
      <w:bookmarkStart w:id="397" w:name="_Toc234832925"/>
      <w:r>
        <w:rPr>
          <w:rFonts w:hint="eastAsia" w:ascii="黑体" w:eastAsia="黑体"/>
          <w:b w:val="0"/>
          <w:sz w:val="24"/>
          <w:szCs w:val="24"/>
        </w:rPr>
        <w:t>附件一</w:t>
      </w:r>
      <w:r>
        <w:rPr>
          <w:rFonts w:ascii="黑体" w:eastAsia="黑体"/>
          <w:b w:val="0"/>
          <w:sz w:val="24"/>
          <w:szCs w:val="24"/>
        </w:rPr>
        <w:t>：开标记录表</w:t>
      </w:r>
      <w:r>
        <w:rPr>
          <w:rStyle w:val="56"/>
          <w:rFonts w:ascii="宋体" w:hAnsi="宋体"/>
          <w:b w:val="0"/>
          <w:bCs w:val="0"/>
          <w:kern w:val="2"/>
          <w:sz w:val="32"/>
          <w:szCs w:val="32"/>
        </w:rPr>
        <w:footnoteReference w:id="52"/>
      </w:r>
      <w:bookmarkEnd w:id="394"/>
      <w:bookmarkEnd w:id="395"/>
      <w:bookmarkEnd w:id="396"/>
    </w:p>
    <w:p>
      <w:pPr>
        <w:spacing w:beforeLines="50" w:line="440" w:lineRule="exact"/>
        <w:jc w:val="center"/>
        <w:rPr>
          <w:rFonts w:eastAsia="黑体"/>
          <w:sz w:val="28"/>
          <w:szCs w:val="28"/>
        </w:rPr>
      </w:pPr>
      <w:r>
        <w:rPr>
          <w:rFonts w:hint="eastAsia" w:eastAsia="黑体"/>
          <w:sz w:val="28"/>
          <w:szCs w:val="28"/>
        </w:rPr>
        <w:t>_____</w:t>
      </w:r>
      <w:r>
        <w:rPr>
          <w:rFonts w:eastAsia="黑体"/>
          <w:i w:val="0"/>
          <w:iCs w:val="0"/>
          <w:sz w:val="28"/>
          <w:szCs w:val="28"/>
          <w:u w:val="single"/>
        </w:rPr>
        <w:t>（项目名称）</w:t>
      </w:r>
      <w:r>
        <w:rPr>
          <w:rFonts w:hint="eastAsia" w:eastAsia="黑体"/>
          <w:i w:val="0"/>
          <w:iCs w:val="0"/>
          <w:sz w:val="28"/>
          <w:szCs w:val="28"/>
          <w:u w:val="single"/>
          <w:lang w:val="en-US" w:eastAsia="zh-CN"/>
        </w:rPr>
        <w:t xml:space="preserve">   </w:t>
      </w:r>
      <w:r>
        <w:rPr>
          <w:rFonts w:eastAsia="黑体"/>
          <w:sz w:val="28"/>
          <w:szCs w:val="28"/>
          <w:u w:val="single"/>
        </w:rPr>
        <w:t>标段勘察设计咨询</w:t>
      </w:r>
      <w:r>
        <w:rPr>
          <w:rFonts w:hint="eastAsia" w:eastAsia="黑体"/>
          <w:sz w:val="28"/>
          <w:szCs w:val="28"/>
        </w:rPr>
        <w:t>第一个信封</w:t>
      </w:r>
      <w:r>
        <w:rPr>
          <w:rFonts w:eastAsia="黑体"/>
          <w:sz w:val="28"/>
          <w:szCs w:val="28"/>
        </w:rPr>
        <w:t>（</w:t>
      </w:r>
      <w:r>
        <w:rPr>
          <w:rFonts w:hint="eastAsia" w:eastAsia="黑体"/>
          <w:sz w:val="28"/>
          <w:szCs w:val="28"/>
        </w:rPr>
        <w:t>商务及</w:t>
      </w:r>
      <w:r>
        <w:rPr>
          <w:rFonts w:eastAsia="黑体"/>
          <w:sz w:val="28"/>
          <w:szCs w:val="28"/>
        </w:rPr>
        <w:t>技术文件）开标记录表</w:t>
      </w:r>
    </w:p>
    <w:p>
      <w:pPr>
        <w:spacing w:line="440" w:lineRule="exact"/>
        <w:jc w:val="right"/>
        <w:rPr>
          <w:sz w:val="24"/>
        </w:rPr>
      </w:pPr>
      <w:r>
        <w:rPr>
          <w:sz w:val="24"/>
        </w:rPr>
        <w:t>开标时间：</w:t>
      </w:r>
      <w:r>
        <w:rPr>
          <w:rFonts w:hint="eastAsia"/>
          <w:sz w:val="24"/>
        </w:rPr>
        <w:t>___</w:t>
      </w:r>
      <w:r>
        <w:rPr>
          <w:sz w:val="24"/>
        </w:rPr>
        <w:t>年</w:t>
      </w:r>
      <w:r>
        <w:rPr>
          <w:rFonts w:hint="eastAsia"/>
          <w:sz w:val="24"/>
        </w:rPr>
        <w:t>___</w:t>
      </w:r>
      <w:r>
        <w:rPr>
          <w:sz w:val="24"/>
        </w:rPr>
        <w:t>月</w:t>
      </w:r>
      <w:r>
        <w:rPr>
          <w:rFonts w:hint="eastAsia"/>
          <w:sz w:val="24"/>
        </w:rPr>
        <w:t>___</w:t>
      </w:r>
      <w:r>
        <w:rPr>
          <w:sz w:val="24"/>
        </w:rPr>
        <w:t>日</w:t>
      </w:r>
      <w:r>
        <w:rPr>
          <w:rFonts w:hint="eastAsia"/>
          <w:sz w:val="24"/>
        </w:rPr>
        <w:t>___</w:t>
      </w:r>
      <w:r>
        <w:rPr>
          <w:sz w:val="24"/>
        </w:rPr>
        <w:t>时</w:t>
      </w:r>
      <w:r>
        <w:rPr>
          <w:rFonts w:hint="eastAsia"/>
          <w:sz w:val="24"/>
        </w:rPr>
        <w:t>___</w:t>
      </w:r>
      <w:r>
        <w:rPr>
          <w:sz w:val="24"/>
        </w:rPr>
        <w:t>分</w:t>
      </w:r>
    </w:p>
    <w:tbl>
      <w:tblPr>
        <w:tblStyle w:val="47"/>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071"/>
        <w:gridCol w:w="1071"/>
        <w:gridCol w:w="1071"/>
        <w:gridCol w:w="1589"/>
        <w:gridCol w:w="1294"/>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96" w:type="dxa"/>
            <w:shd w:val="clear" w:color="auto" w:fill="auto"/>
            <w:vAlign w:val="center"/>
          </w:tcPr>
          <w:p>
            <w:pPr>
              <w:spacing w:line="500" w:lineRule="exact"/>
              <w:ind w:left="-105" w:leftChars="-50" w:right="-105" w:rightChars="-50"/>
              <w:jc w:val="center"/>
              <w:rPr>
                <w:szCs w:val="21"/>
              </w:rPr>
            </w:pPr>
            <w:r>
              <w:rPr>
                <w:szCs w:val="21"/>
              </w:rPr>
              <w:t>序号</w:t>
            </w:r>
          </w:p>
        </w:tc>
        <w:tc>
          <w:tcPr>
            <w:tcW w:w="1255" w:type="dxa"/>
            <w:shd w:val="clear" w:color="auto" w:fill="auto"/>
            <w:vAlign w:val="center"/>
          </w:tcPr>
          <w:p>
            <w:pPr>
              <w:spacing w:line="500" w:lineRule="exact"/>
              <w:ind w:left="-105" w:leftChars="-50" w:right="-105" w:rightChars="-50"/>
              <w:jc w:val="center"/>
              <w:rPr>
                <w:szCs w:val="21"/>
              </w:rPr>
            </w:pPr>
            <w:r>
              <w:rPr>
                <w:szCs w:val="21"/>
              </w:rPr>
              <w:t>投标人</w:t>
            </w:r>
          </w:p>
        </w:tc>
        <w:tc>
          <w:tcPr>
            <w:tcW w:w="1071" w:type="dxa"/>
            <w:shd w:val="clear" w:color="auto" w:fill="auto"/>
            <w:vAlign w:val="center"/>
          </w:tcPr>
          <w:p>
            <w:pPr>
              <w:spacing w:line="500" w:lineRule="exact"/>
              <w:ind w:left="-105" w:leftChars="-50" w:right="-105" w:rightChars="-50"/>
              <w:jc w:val="center"/>
              <w:rPr>
                <w:szCs w:val="21"/>
              </w:rPr>
            </w:pPr>
            <w:r>
              <w:rPr>
                <w:szCs w:val="21"/>
              </w:rPr>
              <w:t>密封情况</w:t>
            </w:r>
          </w:p>
        </w:tc>
        <w:tc>
          <w:tcPr>
            <w:tcW w:w="1071" w:type="dxa"/>
            <w:vAlign w:val="center"/>
          </w:tcPr>
          <w:p>
            <w:pPr>
              <w:ind w:left="-105" w:leftChars="-50" w:right="-105" w:rightChars="-50"/>
              <w:jc w:val="center"/>
              <w:rPr>
                <w:szCs w:val="21"/>
              </w:rPr>
            </w:pPr>
            <w:r>
              <w:rPr>
                <w:rFonts w:hint="eastAsia"/>
                <w:szCs w:val="21"/>
              </w:rPr>
              <w:t>正副本</w:t>
            </w:r>
          </w:p>
          <w:p>
            <w:pPr>
              <w:ind w:left="-105" w:leftChars="-50" w:right="-105" w:rightChars="-50"/>
              <w:jc w:val="center"/>
              <w:rPr>
                <w:szCs w:val="21"/>
              </w:rPr>
            </w:pPr>
            <w:r>
              <w:rPr>
                <w:rFonts w:hint="eastAsia"/>
                <w:szCs w:val="21"/>
              </w:rPr>
              <w:t>份数</w:t>
            </w:r>
          </w:p>
        </w:tc>
        <w:tc>
          <w:tcPr>
            <w:tcW w:w="1071" w:type="dxa"/>
            <w:shd w:val="clear" w:color="auto" w:fill="auto"/>
            <w:vAlign w:val="center"/>
          </w:tcPr>
          <w:p>
            <w:pPr>
              <w:ind w:left="-105" w:leftChars="-50" w:right="-105" w:rightChars="-50"/>
              <w:jc w:val="center"/>
              <w:rPr>
                <w:sz w:val="18"/>
                <w:szCs w:val="21"/>
              </w:rPr>
            </w:pPr>
            <w:r>
              <w:rPr>
                <w:rFonts w:hint="eastAsia"/>
                <w:szCs w:val="21"/>
              </w:rPr>
              <w:t>投标</w:t>
            </w:r>
            <w:r>
              <w:rPr>
                <w:szCs w:val="21"/>
              </w:rPr>
              <w:t>保证金</w:t>
            </w:r>
            <w:r>
              <w:rPr>
                <w:rFonts w:hint="eastAsia"/>
                <w:szCs w:val="21"/>
              </w:rPr>
              <w:t>递交</w:t>
            </w:r>
            <w:r>
              <w:rPr>
                <w:szCs w:val="21"/>
              </w:rPr>
              <w:t>情况</w:t>
            </w:r>
          </w:p>
        </w:tc>
        <w:tc>
          <w:tcPr>
            <w:tcW w:w="1589" w:type="dxa"/>
            <w:shd w:val="clear" w:color="auto" w:fill="auto"/>
            <w:vAlign w:val="center"/>
          </w:tcPr>
          <w:p>
            <w:pPr>
              <w:ind w:left="-105" w:leftChars="-50" w:right="-105" w:rightChars="-50"/>
              <w:jc w:val="center"/>
              <w:rPr>
                <w:sz w:val="18"/>
                <w:szCs w:val="21"/>
              </w:rPr>
            </w:pPr>
            <w:r>
              <w:rPr>
                <w:rFonts w:hint="eastAsia"/>
                <w:szCs w:val="21"/>
              </w:rPr>
              <w:t>勘察设计咨询</w:t>
            </w:r>
          </w:p>
          <w:p>
            <w:pPr>
              <w:ind w:left="-105" w:leftChars="-50" w:right="-105" w:rightChars="-50"/>
              <w:jc w:val="center"/>
              <w:rPr>
                <w:sz w:val="18"/>
                <w:szCs w:val="21"/>
              </w:rPr>
            </w:pPr>
            <w:r>
              <w:rPr>
                <w:rFonts w:hint="eastAsia"/>
                <w:szCs w:val="21"/>
              </w:rPr>
              <w:t>服务期限</w:t>
            </w:r>
          </w:p>
        </w:tc>
        <w:tc>
          <w:tcPr>
            <w:tcW w:w="1294" w:type="dxa"/>
            <w:shd w:val="clear" w:color="auto" w:fill="auto"/>
            <w:vAlign w:val="center"/>
          </w:tcPr>
          <w:p>
            <w:pPr>
              <w:spacing w:line="500" w:lineRule="exact"/>
              <w:ind w:left="-105" w:leftChars="-50" w:right="-105" w:rightChars="-50"/>
              <w:jc w:val="center"/>
              <w:rPr>
                <w:szCs w:val="21"/>
              </w:rPr>
            </w:pPr>
            <w:r>
              <w:rPr>
                <w:szCs w:val="21"/>
              </w:rPr>
              <w:t>备注</w:t>
            </w:r>
          </w:p>
        </w:tc>
        <w:tc>
          <w:tcPr>
            <w:tcW w:w="1111" w:type="dxa"/>
            <w:shd w:val="clear" w:color="auto" w:fill="auto"/>
            <w:vAlign w:val="center"/>
          </w:tcPr>
          <w:p>
            <w:pPr>
              <w:ind w:left="-105" w:leftChars="-50" w:right="-105" w:rightChars="-50"/>
              <w:jc w:val="center"/>
              <w:rPr>
                <w:sz w:val="18"/>
                <w:szCs w:val="21"/>
              </w:rPr>
            </w:pPr>
            <w:r>
              <w:rPr>
                <w:rFonts w:hint="eastAsia"/>
                <w:szCs w:val="21"/>
              </w:rPr>
              <w:t>投标人代表</w:t>
            </w:r>
            <w:r>
              <w:rPr>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spacing w:beforeLines="50" w:line="440" w:lineRule="exact"/>
              <w:jc w:val="right"/>
              <w:rPr>
                <w:sz w:val="24"/>
              </w:rPr>
            </w:pPr>
          </w:p>
        </w:tc>
        <w:tc>
          <w:tcPr>
            <w:tcW w:w="1255" w:type="dxa"/>
            <w:shd w:val="clear" w:color="auto" w:fill="auto"/>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071" w:type="dxa"/>
          </w:tcPr>
          <w:p>
            <w:pPr>
              <w:spacing w:beforeLines="50" w:line="440" w:lineRule="exact"/>
              <w:jc w:val="right"/>
              <w:rPr>
                <w:sz w:val="24"/>
              </w:rPr>
            </w:pPr>
          </w:p>
        </w:tc>
        <w:tc>
          <w:tcPr>
            <w:tcW w:w="1071" w:type="dxa"/>
            <w:shd w:val="clear" w:color="auto" w:fill="auto"/>
          </w:tcPr>
          <w:p>
            <w:pPr>
              <w:spacing w:beforeLines="50" w:line="440" w:lineRule="exact"/>
              <w:jc w:val="right"/>
              <w:rPr>
                <w:sz w:val="24"/>
              </w:rPr>
            </w:pPr>
          </w:p>
        </w:tc>
        <w:tc>
          <w:tcPr>
            <w:tcW w:w="1589" w:type="dxa"/>
            <w:shd w:val="clear" w:color="auto" w:fill="auto"/>
          </w:tcPr>
          <w:p>
            <w:pPr>
              <w:spacing w:beforeLines="50" w:line="440" w:lineRule="exact"/>
              <w:jc w:val="right"/>
              <w:rPr>
                <w:sz w:val="24"/>
              </w:rPr>
            </w:pPr>
          </w:p>
        </w:tc>
        <w:tc>
          <w:tcPr>
            <w:tcW w:w="1294" w:type="dxa"/>
            <w:shd w:val="clear" w:color="auto" w:fill="auto"/>
          </w:tcPr>
          <w:p>
            <w:pPr>
              <w:spacing w:beforeLines="50" w:line="440" w:lineRule="exact"/>
              <w:jc w:val="right"/>
              <w:rPr>
                <w:sz w:val="24"/>
              </w:rPr>
            </w:pPr>
          </w:p>
        </w:tc>
        <w:tc>
          <w:tcPr>
            <w:tcW w:w="1111" w:type="dxa"/>
            <w:shd w:val="clear" w:color="auto" w:fill="auto"/>
          </w:tcPr>
          <w:p>
            <w:pPr>
              <w:spacing w:beforeLines="50" w:line="440" w:lineRule="exact"/>
              <w:jc w:val="right"/>
              <w:rPr>
                <w:sz w:val="24"/>
              </w:rPr>
            </w:pPr>
          </w:p>
        </w:tc>
      </w:tr>
    </w:tbl>
    <w:p>
      <w:pPr>
        <w:spacing w:line="440" w:lineRule="exact"/>
        <w:jc w:val="right"/>
        <w:rPr>
          <w:sz w:val="24"/>
        </w:rPr>
      </w:pPr>
    </w:p>
    <w:p>
      <w:pPr>
        <w:spacing w:line="620" w:lineRule="exact"/>
        <w:rPr>
          <w:szCs w:val="21"/>
          <w:u w:val="single"/>
        </w:rPr>
      </w:pPr>
      <w:r>
        <w:rPr>
          <w:szCs w:val="21"/>
        </w:rPr>
        <w:t>招标人代表：</w:t>
      </w:r>
      <w:r>
        <w:rPr>
          <w:rFonts w:hint="eastAsia"/>
          <w:sz w:val="24"/>
        </w:rPr>
        <w:t>_______________</w:t>
      </w:r>
      <w:r>
        <w:rPr>
          <w:szCs w:val="21"/>
        </w:rPr>
        <w:t xml:space="preserve"> 记录人：</w:t>
      </w:r>
      <w:r>
        <w:rPr>
          <w:rFonts w:hint="eastAsia"/>
          <w:sz w:val="24"/>
        </w:rPr>
        <w:t>_______________</w:t>
      </w:r>
    </w:p>
    <w:p>
      <w:pPr>
        <w:spacing w:line="620" w:lineRule="exact"/>
        <w:jc w:val="right"/>
        <w:rPr>
          <w:szCs w:val="21"/>
        </w:rPr>
        <w:sectPr>
          <w:footnotePr>
            <w:numRestart w:val="eachPage"/>
          </w:footnotePr>
          <w:pgSz w:w="11905" w:h="16838"/>
          <w:pgMar w:top="1803" w:right="1440" w:bottom="1803" w:left="1440" w:header="851" w:footer="850" w:gutter="0"/>
          <w:cols w:space="0" w:num="1"/>
          <w:docGrid w:linePitch="312" w:charSpace="0"/>
        </w:sectPr>
      </w:pPr>
      <w:r>
        <w:rPr>
          <w:rFonts w:hint="eastAsia"/>
          <w:sz w:val="24"/>
        </w:rPr>
        <w:t>_____</w:t>
      </w:r>
      <w:r>
        <w:rPr>
          <w:szCs w:val="21"/>
        </w:rPr>
        <w:t>年</w:t>
      </w:r>
      <w:r>
        <w:rPr>
          <w:rFonts w:hint="eastAsia"/>
          <w:sz w:val="24"/>
        </w:rPr>
        <w:t>_____</w:t>
      </w:r>
      <w:r>
        <w:rPr>
          <w:szCs w:val="21"/>
        </w:rPr>
        <w:t>月</w:t>
      </w:r>
      <w:r>
        <w:rPr>
          <w:rFonts w:hint="eastAsia"/>
          <w:sz w:val="24"/>
        </w:rPr>
        <w:t>_____</w:t>
      </w:r>
      <w:r>
        <w:rPr>
          <w:szCs w:val="21"/>
        </w:rPr>
        <w:t>日</w:t>
      </w:r>
    </w:p>
    <w:bookmarkEnd w:id="397"/>
    <w:p>
      <w:pPr>
        <w:spacing w:line="440" w:lineRule="exact"/>
        <w:jc w:val="center"/>
        <w:rPr>
          <w:rFonts w:eastAsia="黑体"/>
          <w:sz w:val="28"/>
          <w:szCs w:val="28"/>
        </w:rPr>
      </w:pPr>
      <w:r>
        <w:rPr>
          <w:rFonts w:hint="eastAsia" w:eastAsia="黑体"/>
          <w:sz w:val="28"/>
          <w:szCs w:val="28"/>
        </w:rPr>
        <w:t>____</w:t>
      </w:r>
      <w:r>
        <w:rPr>
          <w:rFonts w:eastAsia="黑体"/>
          <w:sz w:val="28"/>
          <w:szCs w:val="28"/>
          <w:u w:val="single"/>
        </w:rPr>
        <w:t>（项目名称）</w:t>
      </w:r>
      <w:r>
        <w:rPr>
          <w:rFonts w:hint="eastAsia" w:eastAsia="黑体"/>
          <w:sz w:val="28"/>
          <w:szCs w:val="28"/>
          <w:u w:val="single"/>
          <w:lang w:val="en-US" w:eastAsia="zh-CN"/>
        </w:rPr>
        <w:t xml:space="preserve">   </w:t>
      </w:r>
      <w:r>
        <w:rPr>
          <w:rFonts w:eastAsia="黑体"/>
          <w:sz w:val="28"/>
          <w:szCs w:val="28"/>
          <w:u w:val="single"/>
        </w:rPr>
        <w:t>标段勘察设计咨询</w:t>
      </w:r>
      <w:r>
        <w:rPr>
          <w:rFonts w:hint="eastAsia" w:eastAsia="黑体"/>
          <w:sz w:val="28"/>
          <w:szCs w:val="28"/>
        </w:rPr>
        <w:t>第二个信封</w:t>
      </w:r>
      <w:r>
        <w:rPr>
          <w:rFonts w:eastAsia="黑体"/>
          <w:sz w:val="28"/>
          <w:szCs w:val="28"/>
        </w:rPr>
        <w:t>（</w:t>
      </w:r>
      <w:r>
        <w:rPr>
          <w:rFonts w:hint="eastAsia" w:eastAsia="黑体"/>
          <w:sz w:val="28"/>
          <w:szCs w:val="28"/>
        </w:rPr>
        <w:t>报价</w:t>
      </w:r>
      <w:r>
        <w:rPr>
          <w:rFonts w:eastAsia="黑体"/>
          <w:sz w:val="28"/>
          <w:szCs w:val="28"/>
        </w:rPr>
        <w:t>文件）</w:t>
      </w:r>
    </w:p>
    <w:p>
      <w:pPr>
        <w:spacing w:line="440" w:lineRule="exact"/>
        <w:jc w:val="center"/>
        <w:rPr>
          <w:rFonts w:eastAsia="黑体"/>
          <w:sz w:val="28"/>
          <w:szCs w:val="28"/>
        </w:rPr>
      </w:pPr>
      <w:r>
        <w:rPr>
          <w:rFonts w:eastAsia="黑体"/>
          <w:sz w:val="28"/>
          <w:szCs w:val="28"/>
        </w:rPr>
        <w:t>开标记录表</w:t>
      </w:r>
    </w:p>
    <w:p>
      <w:pPr>
        <w:spacing w:line="440" w:lineRule="exact"/>
        <w:jc w:val="right"/>
        <w:rPr>
          <w:sz w:val="24"/>
        </w:rPr>
      </w:pPr>
      <w:r>
        <w:rPr>
          <w:sz w:val="24"/>
        </w:rPr>
        <w:t>开标时间：</w:t>
      </w:r>
      <w:r>
        <w:rPr>
          <w:rFonts w:hint="eastAsia"/>
          <w:sz w:val="24"/>
        </w:rPr>
        <w:t>_____</w:t>
      </w:r>
      <w:r>
        <w:rPr>
          <w:sz w:val="24"/>
        </w:rPr>
        <w:t>年</w:t>
      </w:r>
      <w:r>
        <w:rPr>
          <w:rFonts w:hint="eastAsia"/>
          <w:sz w:val="24"/>
        </w:rPr>
        <w:t>_____</w:t>
      </w:r>
      <w:r>
        <w:rPr>
          <w:sz w:val="24"/>
        </w:rPr>
        <w:t>月</w:t>
      </w:r>
      <w:r>
        <w:rPr>
          <w:rFonts w:hint="eastAsia"/>
          <w:sz w:val="24"/>
        </w:rPr>
        <w:t>_____</w:t>
      </w:r>
      <w:r>
        <w:rPr>
          <w:sz w:val="24"/>
        </w:rPr>
        <w:t>日</w:t>
      </w:r>
      <w:r>
        <w:rPr>
          <w:rFonts w:hint="eastAsia"/>
          <w:sz w:val="24"/>
        </w:rPr>
        <w:t>_____</w:t>
      </w:r>
      <w:r>
        <w:rPr>
          <w:sz w:val="24"/>
        </w:rPr>
        <w:t>时</w:t>
      </w:r>
      <w:r>
        <w:rPr>
          <w:rFonts w:hint="eastAsia"/>
          <w:sz w:val="24"/>
        </w:rPr>
        <w:t>_____</w:t>
      </w:r>
      <w:r>
        <w:rPr>
          <w:sz w:val="24"/>
        </w:rPr>
        <w:t>分</w:t>
      </w:r>
    </w:p>
    <w:tbl>
      <w:tblPr>
        <w:tblStyle w:val="47"/>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00"/>
        <w:gridCol w:w="1134"/>
        <w:gridCol w:w="993"/>
        <w:gridCol w:w="1560"/>
        <w:gridCol w:w="1181"/>
        <w:gridCol w:w="1439"/>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9" w:type="dxa"/>
            <w:shd w:val="clear" w:color="auto" w:fill="auto"/>
            <w:vAlign w:val="center"/>
          </w:tcPr>
          <w:p>
            <w:pPr>
              <w:spacing w:line="500" w:lineRule="exact"/>
              <w:ind w:left="-105" w:leftChars="-50" w:right="-105" w:rightChars="-50"/>
              <w:jc w:val="center"/>
              <w:rPr>
                <w:szCs w:val="21"/>
              </w:rPr>
            </w:pPr>
            <w:bookmarkStart w:id="398" w:name="_Toc234832926"/>
            <w:r>
              <w:rPr>
                <w:szCs w:val="21"/>
              </w:rPr>
              <w:t>序号</w:t>
            </w:r>
          </w:p>
        </w:tc>
        <w:tc>
          <w:tcPr>
            <w:tcW w:w="1100" w:type="dxa"/>
            <w:shd w:val="clear" w:color="auto" w:fill="auto"/>
            <w:vAlign w:val="center"/>
          </w:tcPr>
          <w:p>
            <w:pPr>
              <w:spacing w:line="500" w:lineRule="exact"/>
              <w:ind w:left="-105" w:leftChars="-50" w:right="-105" w:rightChars="-50"/>
              <w:jc w:val="center"/>
              <w:rPr>
                <w:szCs w:val="21"/>
              </w:rPr>
            </w:pPr>
            <w:r>
              <w:rPr>
                <w:szCs w:val="21"/>
              </w:rPr>
              <w:t>投标人</w:t>
            </w:r>
          </w:p>
        </w:tc>
        <w:tc>
          <w:tcPr>
            <w:tcW w:w="1134" w:type="dxa"/>
            <w:shd w:val="clear" w:color="auto" w:fill="auto"/>
            <w:vAlign w:val="center"/>
          </w:tcPr>
          <w:p>
            <w:pPr>
              <w:spacing w:line="500" w:lineRule="exact"/>
              <w:ind w:left="-105" w:leftChars="-50" w:right="-105" w:rightChars="-50"/>
              <w:jc w:val="center"/>
              <w:rPr>
                <w:szCs w:val="21"/>
              </w:rPr>
            </w:pPr>
            <w:r>
              <w:rPr>
                <w:szCs w:val="21"/>
              </w:rPr>
              <w:t>密封情况</w:t>
            </w:r>
          </w:p>
        </w:tc>
        <w:tc>
          <w:tcPr>
            <w:tcW w:w="993" w:type="dxa"/>
            <w:vAlign w:val="center"/>
          </w:tcPr>
          <w:p>
            <w:pPr>
              <w:ind w:left="-105" w:leftChars="-50" w:right="-105" w:rightChars="-50"/>
              <w:jc w:val="center"/>
              <w:rPr>
                <w:szCs w:val="21"/>
              </w:rPr>
            </w:pPr>
            <w:r>
              <w:rPr>
                <w:rFonts w:hint="eastAsia"/>
                <w:szCs w:val="21"/>
              </w:rPr>
              <w:t>正副本</w:t>
            </w:r>
          </w:p>
          <w:p>
            <w:pPr>
              <w:ind w:left="-105" w:leftChars="-50" w:right="-105" w:rightChars="-50"/>
              <w:jc w:val="center"/>
              <w:rPr>
                <w:szCs w:val="21"/>
              </w:rPr>
            </w:pPr>
            <w:r>
              <w:rPr>
                <w:rFonts w:hint="eastAsia"/>
                <w:szCs w:val="21"/>
              </w:rPr>
              <w:t>份数</w:t>
            </w:r>
          </w:p>
        </w:tc>
        <w:tc>
          <w:tcPr>
            <w:tcW w:w="1560" w:type="dxa"/>
            <w:shd w:val="clear" w:color="auto" w:fill="auto"/>
            <w:vAlign w:val="center"/>
          </w:tcPr>
          <w:p>
            <w:pPr>
              <w:spacing w:line="500" w:lineRule="exact"/>
              <w:ind w:left="-105" w:leftChars="-50" w:right="-105" w:rightChars="-50"/>
              <w:jc w:val="center"/>
              <w:rPr>
                <w:szCs w:val="21"/>
              </w:rPr>
            </w:pPr>
            <w:r>
              <w:rPr>
                <w:szCs w:val="21"/>
              </w:rPr>
              <w:t>投标报价（元）</w:t>
            </w:r>
          </w:p>
        </w:tc>
        <w:tc>
          <w:tcPr>
            <w:tcW w:w="1181" w:type="dxa"/>
            <w:shd w:val="clear" w:color="auto" w:fill="auto"/>
            <w:vAlign w:val="center"/>
          </w:tcPr>
          <w:p>
            <w:pPr>
              <w:ind w:left="-105" w:leftChars="-50" w:right="-105" w:rightChars="-50"/>
              <w:jc w:val="center"/>
              <w:rPr>
                <w:szCs w:val="21"/>
              </w:rPr>
            </w:pPr>
            <w:r>
              <w:rPr>
                <w:szCs w:val="21"/>
              </w:rPr>
              <w:t>是否超过最高投标限价</w:t>
            </w:r>
          </w:p>
        </w:tc>
        <w:tc>
          <w:tcPr>
            <w:tcW w:w="1439" w:type="dxa"/>
            <w:shd w:val="clear" w:color="auto" w:fill="auto"/>
            <w:vAlign w:val="center"/>
          </w:tcPr>
          <w:p>
            <w:pPr>
              <w:ind w:left="-105" w:leftChars="-50" w:right="-105" w:rightChars="-50"/>
              <w:jc w:val="center"/>
              <w:rPr>
                <w:szCs w:val="21"/>
              </w:rPr>
            </w:pPr>
            <w:r>
              <w:rPr>
                <w:szCs w:val="21"/>
              </w:rPr>
              <w:t>备注</w:t>
            </w:r>
          </w:p>
        </w:tc>
        <w:tc>
          <w:tcPr>
            <w:tcW w:w="1053" w:type="dxa"/>
            <w:shd w:val="clear" w:color="auto" w:fill="auto"/>
            <w:vAlign w:val="center"/>
          </w:tcPr>
          <w:p>
            <w:pPr>
              <w:ind w:left="-105" w:leftChars="-50" w:right="-105" w:rightChars="-50"/>
              <w:jc w:val="center"/>
              <w:rPr>
                <w:szCs w:val="21"/>
              </w:rPr>
            </w:pPr>
            <w:r>
              <w:rPr>
                <w:szCs w:val="21"/>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spacing w:beforeLines="50" w:line="440" w:lineRule="exact"/>
              <w:jc w:val="right"/>
              <w:rPr>
                <w:sz w:val="24"/>
              </w:rPr>
            </w:pPr>
          </w:p>
        </w:tc>
        <w:tc>
          <w:tcPr>
            <w:tcW w:w="1100" w:type="dxa"/>
            <w:shd w:val="clear" w:color="auto" w:fill="auto"/>
          </w:tcPr>
          <w:p>
            <w:pPr>
              <w:spacing w:beforeLines="50" w:line="440" w:lineRule="exact"/>
              <w:jc w:val="right"/>
              <w:rPr>
                <w:sz w:val="24"/>
              </w:rPr>
            </w:pPr>
          </w:p>
        </w:tc>
        <w:tc>
          <w:tcPr>
            <w:tcW w:w="1134" w:type="dxa"/>
            <w:shd w:val="clear" w:color="auto" w:fill="auto"/>
          </w:tcPr>
          <w:p>
            <w:pPr>
              <w:spacing w:beforeLines="50" w:line="440" w:lineRule="exact"/>
              <w:jc w:val="right"/>
              <w:rPr>
                <w:sz w:val="24"/>
              </w:rPr>
            </w:pPr>
          </w:p>
        </w:tc>
        <w:tc>
          <w:tcPr>
            <w:tcW w:w="993" w:type="dxa"/>
          </w:tcPr>
          <w:p>
            <w:pPr>
              <w:spacing w:beforeLines="50" w:line="440" w:lineRule="exact"/>
              <w:jc w:val="right"/>
              <w:rPr>
                <w:sz w:val="24"/>
              </w:rPr>
            </w:pPr>
          </w:p>
        </w:tc>
        <w:tc>
          <w:tcPr>
            <w:tcW w:w="1560" w:type="dxa"/>
            <w:shd w:val="clear" w:color="auto" w:fill="auto"/>
          </w:tcPr>
          <w:p>
            <w:pPr>
              <w:spacing w:beforeLines="50" w:line="440" w:lineRule="exact"/>
              <w:jc w:val="right"/>
              <w:rPr>
                <w:sz w:val="24"/>
              </w:rPr>
            </w:pPr>
          </w:p>
        </w:tc>
        <w:tc>
          <w:tcPr>
            <w:tcW w:w="1181" w:type="dxa"/>
            <w:shd w:val="clear" w:color="auto" w:fill="auto"/>
          </w:tcPr>
          <w:p>
            <w:pPr>
              <w:spacing w:beforeLines="50" w:line="440" w:lineRule="exact"/>
              <w:jc w:val="right"/>
              <w:rPr>
                <w:sz w:val="24"/>
              </w:rPr>
            </w:pPr>
          </w:p>
        </w:tc>
        <w:tc>
          <w:tcPr>
            <w:tcW w:w="1439" w:type="dxa"/>
            <w:shd w:val="clear" w:color="auto" w:fill="auto"/>
          </w:tcPr>
          <w:p>
            <w:pPr>
              <w:spacing w:beforeLines="50" w:line="440" w:lineRule="exact"/>
              <w:jc w:val="right"/>
              <w:rPr>
                <w:sz w:val="24"/>
              </w:rPr>
            </w:pPr>
          </w:p>
        </w:tc>
        <w:tc>
          <w:tcPr>
            <w:tcW w:w="1053" w:type="dxa"/>
            <w:shd w:val="clear" w:color="auto" w:fill="auto"/>
          </w:tcPr>
          <w:p>
            <w:pPr>
              <w:spacing w:beforeLines="50"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3"/>
          </w:tcPr>
          <w:p>
            <w:pPr>
              <w:spacing w:beforeLines="50" w:line="440" w:lineRule="exact"/>
              <w:ind w:right="420"/>
              <w:rPr>
                <w:sz w:val="24"/>
              </w:rPr>
            </w:pPr>
            <w:r>
              <w:rPr>
                <w:szCs w:val="21"/>
              </w:rPr>
              <w:t>招标人编制的最高投标限价（如有）</w:t>
            </w:r>
          </w:p>
        </w:tc>
        <w:tc>
          <w:tcPr>
            <w:tcW w:w="3734" w:type="dxa"/>
            <w:gridSpan w:val="3"/>
          </w:tcPr>
          <w:p>
            <w:pPr>
              <w:spacing w:beforeLines="50" w:line="440" w:lineRule="exact"/>
              <w:jc w:val="right"/>
              <w:rPr>
                <w:sz w:val="24"/>
              </w:rPr>
            </w:pPr>
          </w:p>
        </w:tc>
        <w:tc>
          <w:tcPr>
            <w:tcW w:w="2492" w:type="dxa"/>
            <w:gridSpan w:val="2"/>
          </w:tcPr>
          <w:p>
            <w:pPr>
              <w:spacing w:beforeLines="50" w:line="440" w:lineRule="exact"/>
              <w:jc w:val="right"/>
              <w:rPr>
                <w:sz w:val="24"/>
              </w:rPr>
            </w:pPr>
          </w:p>
        </w:tc>
      </w:tr>
    </w:tbl>
    <w:p>
      <w:pPr>
        <w:spacing w:line="440" w:lineRule="exact"/>
        <w:jc w:val="right"/>
        <w:rPr>
          <w:sz w:val="24"/>
        </w:rPr>
      </w:pPr>
    </w:p>
    <w:p>
      <w:pPr>
        <w:spacing w:line="620" w:lineRule="exact"/>
        <w:rPr>
          <w:szCs w:val="21"/>
          <w:u w:val="single"/>
        </w:rPr>
      </w:pPr>
      <w:r>
        <w:rPr>
          <w:szCs w:val="21"/>
        </w:rPr>
        <w:t>招标人代表：</w:t>
      </w:r>
      <w:r>
        <w:rPr>
          <w:rFonts w:hint="eastAsia"/>
          <w:sz w:val="24"/>
        </w:rPr>
        <w:t>_______________</w:t>
      </w:r>
      <w:r>
        <w:rPr>
          <w:szCs w:val="21"/>
        </w:rPr>
        <w:t xml:space="preserve"> 记录人：</w:t>
      </w:r>
      <w:r>
        <w:rPr>
          <w:rFonts w:hint="eastAsia"/>
          <w:sz w:val="24"/>
        </w:rPr>
        <w:t>_______________</w:t>
      </w:r>
    </w:p>
    <w:p>
      <w:pPr>
        <w:spacing w:line="620" w:lineRule="exact"/>
        <w:jc w:val="right"/>
        <w:rPr>
          <w:szCs w:val="21"/>
        </w:rPr>
      </w:pPr>
      <w:r>
        <w:rPr>
          <w:rFonts w:hint="eastAsia"/>
          <w:sz w:val="24"/>
        </w:rPr>
        <w:t>_____</w:t>
      </w:r>
      <w:r>
        <w:rPr>
          <w:szCs w:val="21"/>
        </w:rPr>
        <w:t>年</w:t>
      </w:r>
      <w:r>
        <w:rPr>
          <w:rFonts w:hint="eastAsia"/>
          <w:sz w:val="24"/>
        </w:rPr>
        <w:t>_____</w:t>
      </w:r>
      <w:r>
        <w:rPr>
          <w:szCs w:val="21"/>
        </w:rPr>
        <w:t>月</w:t>
      </w:r>
      <w:r>
        <w:rPr>
          <w:rFonts w:hint="eastAsia"/>
          <w:sz w:val="24"/>
        </w:rPr>
        <w:t>_____</w:t>
      </w:r>
      <w:r>
        <w:rPr>
          <w:szCs w:val="21"/>
        </w:rPr>
        <w:t>日</w:t>
      </w:r>
    </w:p>
    <w:p>
      <w:pPr>
        <w:pStyle w:val="70"/>
        <w:widowControl/>
        <w:jc w:val="left"/>
        <w:rPr>
          <w:rFonts w:ascii="黑体" w:eastAsia="黑体"/>
          <w:bCs/>
          <w:kern w:val="44"/>
          <w:sz w:val="24"/>
        </w:rPr>
      </w:pPr>
      <w:r>
        <w:rPr>
          <w:rFonts w:ascii="黑体" w:eastAsia="黑体"/>
          <w:b/>
          <w:sz w:val="24"/>
        </w:rPr>
        <w:br w:type="page"/>
      </w:r>
    </w:p>
    <w:p>
      <w:pPr>
        <w:pStyle w:val="2"/>
        <w:spacing w:before="0" w:after="0" w:line="240" w:lineRule="atLeast"/>
        <w:rPr>
          <w:rFonts w:ascii="黑体" w:eastAsia="黑体"/>
          <w:b w:val="0"/>
          <w:sz w:val="24"/>
          <w:szCs w:val="24"/>
        </w:rPr>
      </w:pPr>
      <w:bookmarkStart w:id="399" w:name="_Toc501257120"/>
      <w:bookmarkStart w:id="400" w:name="_Toc503235800"/>
      <w:bookmarkStart w:id="401" w:name="_Toc508984128"/>
      <w:bookmarkStart w:id="402" w:name="_Toc508984327"/>
      <w:r>
        <w:rPr>
          <w:rFonts w:ascii="黑体" w:eastAsia="黑体"/>
          <w:b w:val="0"/>
          <w:sz w:val="24"/>
          <w:szCs w:val="24"/>
        </w:rPr>
        <w:t>附</w:t>
      </w:r>
      <w:r>
        <w:rPr>
          <w:rFonts w:hint="eastAsia" w:ascii="黑体" w:eastAsia="黑体"/>
          <w:b w:val="0"/>
          <w:sz w:val="24"/>
          <w:szCs w:val="24"/>
        </w:rPr>
        <w:t>件</w:t>
      </w:r>
      <w:r>
        <w:rPr>
          <w:rFonts w:ascii="黑体" w:eastAsia="黑体"/>
          <w:b w:val="0"/>
          <w:sz w:val="24"/>
          <w:szCs w:val="24"/>
        </w:rPr>
        <w:t>二：问题澄清通知</w:t>
      </w:r>
      <w:bookmarkEnd w:id="399"/>
      <w:bookmarkEnd w:id="400"/>
      <w:bookmarkEnd w:id="401"/>
      <w:bookmarkEnd w:id="402"/>
    </w:p>
    <w:p>
      <w:pPr>
        <w:spacing w:line="440" w:lineRule="exact"/>
        <w:jc w:val="center"/>
        <w:rPr>
          <w:sz w:val="28"/>
          <w:szCs w:val="28"/>
        </w:rPr>
      </w:pPr>
    </w:p>
    <w:p>
      <w:pPr>
        <w:spacing w:line="440" w:lineRule="exact"/>
        <w:jc w:val="center"/>
        <w:rPr>
          <w:rFonts w:eastAsia="黑体"/>
          <w:sz w:val="28"/>
          <w:szCs w:val="28"/>
        </w:rPr>
      </w:pPr>
      <w:r>
        <w:rPr>
          <w:rFonts w:eastAsia="黑体"/>
          <w:sz w:val="28"/>
          <w:szCs w:val="28"/>
        </w:rPr>
        <w:t>问题澄清通知</w:t>
      </w:r>
    </w:p>
    <w:p>
      <w:pPr>
        <w:spacing w:line="440" w:lineRule="exact"/>
        <w:jc w:val="center"/>
        <w:rPr>
          <w:sz w:val="24"/>
        </w:rPr>
      </w:pPr>
      <w:r>
        <w:t>（编号：）</w:t>
      </w:r>
    </w:p>
    <w:p>
      <w:pPr>
        <w:spacing w:line="440" w:lineRule="exact"/>
        <w:rPr>
          <w:sz w:val="24"/>
        </w:rPr>
      </w:pPr>
    </w:p>
    <w:p>
      <w:pPr>
        <w:spacing w:line="440" w:lineRule="exact"/>
        <w:rPr>
          <w:sz w:val="24"/>
        </w:rPr>
      </w:pPr>
      <w:r>
        <w:rPr>
          <w:rFonts w:hint="eastAsia"/>
          <w:sz w:val="24"/>
        </w:rPr>
        <w:t>_______</w:t>
      </w:r>
      <w:r>
        <w:rPr>
          <w:sz w:val="24"/>
        </w:rPr>
        <w:t>（投标人名称）：</w:t>
      </w:r>
    </w:p>
    <w:p>
      <w:pPr>
        <w:spacing w:line="440" w:lineRule="exact"/>
        <w:rPr>
          <w:sz w:val="24"/>
        </w:rPr>
      </w:pPr>
    </w:p>
    <w:p>
      <w:pPr>
        <w:spacing w:line="440" w:lineRule="exact"/>
        <w:rPr>
          <w:sz w:val="24"/>
        </w:rPr>
      </w:pPr>
      <w:r>
        <w:rPr>
          <w:sz w:val="24"/>
        </w:rPr>
        <w:t xml:space="preserve">　　  </w:t>
      </w:r>
      <w:r>
        <w:rPr>
          <w:sz w:val="24"/>
          <w:u w:val="single"/>
        </w:rPr>
        <w:t>　             （项目名称）</w:t>
      </w:r>
      <w:r>
        <w:rPr>
          <w:rFonts w:hint="eastAsia"/>
          <w:sz w:val="24"/>
          <w:u w:val="single"/>
          <w:lang w:val="en-US" w:eastAsia="zh-CN"/>
        </w:rPr>
        <w:t xml:space="preserve">   </w:t>
      </w:r>
      <w:r>
        <w:rPr>
          <w:sz w:val="24"/>
          <w:u w:val="single"/>
        </w:rPr>
        <w:t>标段勘察设计咨询</w:t>
      </w:r>
      <w:r>
        <w:rPr>
          <w:sz w:val="24"/>
        </w:rPr>
        <w:t>招标的评标委员会，对你方的投标文件进行了仔细的审查，现需你方对下列问题以书面形式予以澄清</w:t>
      </w:r>
      <w:r>
        <w:rPr>
          <w:rFonts w:hint="eastAsia"/>
          <w:sz w:val="24"/>
        </w:rPr>
        <w:t>或</w:t>
      </w:r>
      <w:r>
        <w:rPr>
          <w:sz w:val="24"/>
        </w:rPr>
        <w:t>说明：</w:t>
      </w:r>
    </w:p>
    <w:p>
      <w:pPr>
        <w:spacing w:line="440" w:lineRule="exact"/>
        <w:rPr>
          <w:sz w:val="24"/>
        </w:rPr>
      </w:pPr>
      <w:r>
        <w:rPr>
          <w:sz w:val="24"/>
        </w:rPr>
        <w:t>　　</w:t>
      </w:r>
    </w:p>
    <w:p>
      <w:pPr>
        <w:spacing w:line="440" w:lineRule="exact"/>
        <w:rPr>
          <w:sz w:val="24"/>
        </w:rPr>
      </w:pPr>
      <w:r>
        <w:rPr>
          <w:sz w:val="24"/>
        </w:rPr>
        <w:t xml:space="preserve">    1.</w:t>
      </w:r>
    </w:p>
    <w:p>
      <w:pPr>
        <w:spacing w:line="440" w:lineRule="exact"/>
        <w:rPr>
          <w:sz w:val="24"/>
        </w:rPr>
      </w:pPr>
      <w:r>
        <w:rPr>
          <w:sz w:val="24"/>
        </w:rPr>
        <w:t xml:space="preserve">    2.</w:t>
      </w:r>
    </w:p>
    <w:p>
      <w:pPr>
        <w:spacing w:line="440" w:lineRule="exact"/>
        <w:rPr>
          <w:sz w:val="24"/>
        </w:rPr>
      </w:pPr>
      <w:r>
        <w:rPr>
          <w:sz w:val="24"/>
        </w:rPr>
        <w:t xml:space="preserve">     ......   </w:t>
      </w:r>
    </w:p>
    <w:p>
      <w:pPr>
        <w:spacing w:line="440" w:lineRule="exact"/>
        <w:rPr>
          <w:sz w:val="24"/>
        </w:rPr>
      </w:pPr>
      <w:r>
        <w:rPr>
          <w:sz w:val="24"/>
        </w:rPr>
        <w:t>　　　</w:t>
      </w:r>
    </w:p>
    <w:p>
      <w:pPr>
        <w:spacing w:line="440" w:lineRule="exact"/>
        <w:rPr>
          <w:sz w:val="24"/>
        </w:rPr>
      </w:pPr>
      <w:r>
        <w:rPr>
          <w:sz w:val="24"/>
        </w:rPr>
        <w:t>　　请将上述问题的澄清或说明于</w:t>
      </w:r>
      <w:r>
        <w:rPr>
          <w:rFonts w:hint="eastAsia"/>
          <w:sz w:val="24"/>
        </w:rPr>
        <w:t>____</w:t>
      </w:r>
      <w:r>
        <w:rPr>
          <w:sz w:val="24"/>
        </w:rPr>
        <w:t>年</w:t>
      </w:r>
      <w:r>
        <w:rPr>
          <w:rFonts w:hint="eastAsia"/>
          <w:sz w:val="24"/>
        </w:rPr>
        <w:t>____</w:t>
      </w:r>
      <w:r>
        <w:rPr>
          <w:sz w:val="24"/>
        </w:rPr>
        <w:t>月</w:t>
      </w:r>
      <w:r>
        <w:rPr>
          <w:rFonts w:hint="eastAsia"/>
          <w:sz w:val="24"/>
        </w:rPr>
        <w:t>____</w:t>
      </w:r>
      <w:r>
        <w:rPr>
          <w:sz w:val="24"/>
        </w:rPr>
        <w:t>日</w:t>
      </w:r>
      <w:r>
        <w:rPr>
          <w:rFonts w:hint="eastAsia"/>
          <w:sz w:val="24"/>
        </w:rPr>
        <w:t>____</w:t>
      </w:r>
      <w:r>
        <w:rPr>
          <w:sz w:val="24"/>
        </w:rPr>
        <w:t>时</w:t>
      </w:r>
      <w:r>
        <w:rPr>
          <w:rFonts w:hint="eastAsia"/>
          <w:sz w:val="24"/>
        </w:rPr>
        <w:t>____分</w:t>
      </w:r>
      <w:r>
        <w:rPr>
          <w:sz w:val="24"/>
        </w:rPr>
        <w:t>前递交至</w:t>
      </w:r>
      <w:r>
        <w:rPr>
          <w:rFonts w:hint="eastAsia"/>
          <w:sz w:val="24"/>
        </w:rPr>
        <w:t>____</w:t>
      </w:r>
      <w:r>
        <w:rPr>
          <w:sz w:val="24"/>
        </w:rPr>
        <w:t>（详细地址）或传真至</w:t>
      </w:r>
      <w:r>
        <w:rPr>
          <w:rFonts w:hint="eastAsia"/>
          <w:sz w:val="24"/>
        </w:rPr>
        <w:t>____</w:t>
      </w:r>
      <w:r>
        <w:rPr>
          <w:sz w:val="24"/>
        </w:rPr>
        <w:t>（传真号码）或通过下载招标文件的电子招标交易平台上传。采用传真方式的，应在</w:t>
      </w:r>
      <w:r>
        <w:rPr>
          <w:rFonts w:hint="eastAsia"/>
          <w:sz w:val="24"/>
        </w:rPr>
        <w:t>____</w:t>
      </w:r>
      <w:r>
        <w:rPr>
          <w:sz w:val="24"/>
        </w:rPr>
        <w:t>年</w:t>
      </w:r>
      <w:r>
        <w:rPr>
          <w:rFonts w:hint="eastAsia"/>
          <w:sz w:val="24"/>
        </w:rPr>
        <w:t>____</w:t>
      </w:r>
      <w:r>
        <w:rPr>
          <w:sz w:val="24"/>
        </w:rPr>
        <w:t>月</w:t>
      </w:r>
      <w:r>
        <w:rPr>
          <w:rFonts w:hint="eastAsia"/>
          <w:sz w:val="24"/>
        </w:rPr>
        <w:t>____</w:t>
      </w:r>
      <w:r>
        <w:rPr>
          <w:sz w:val="24"/>
        </w:rPr>
        <w:t>日</w:t>
      </w:r>
      <w:r>
        <w:rPr>
          <w:rFonts w:hint="eastAsia"/>
          <w:sz w:val="24"/>
        </w:rPr>
        <w:t>____</w:t>
      </w:r>
      <w:r>
        <w:rPr>
          <w:sz w:val="24"/>
        </w:rPr>
        <w:t>时</w:t>
      </w:r>
      <w:r>
        <w:rPr>
          <w:rFonts w:hint="eastAsia"/>
          <w:sz w:val="24"/>
        </w:rPr>
        <w:t>____分</w:t>
      </w:r>
      <w:r>
        <w:rPr>
          <w:sz w:val="24"/>
        </w:rPr>
        <w:t>前将原件递交至</w:t>
      </w:r>
      <w:r>
        <w:rPr>
          <w:rFonts w:hint="eastAsia"/>
          <w:sz w:val="24"/>
        </w:rPr>
        <w:t>____</w:t>
      </w:r>
      <w:r>
        <w:rPr>
          <w:sz w:val="24"/>
        </w:rPr>
        <w:t>（详细地址）。</w:t>
      </w:r>
    </w:p>
    <w:p>
      <w:pPr>
        <w:spacing w:line="440" w:lineRule="exact"/>
        <w:rPr>
          <w:sz w:val="24"/>
        </w:rPr>
      </w:pPr>
    </w:p>
    <w:p>
      <w:pPr>
        <w:spacing w:line="440" w:lineRule="exact"/>
        <w:rPr>
          <w:sz w:val="24"/>
        </w:rPr>
      </w:pPr>
    </w:p>
    <w:p>
      <w:pPr>
        <w:wordWrap w:val="0"/>
        <w:spacing w:line="440" w:lineRule="exact"/>
        <w:jc w:val="right"/>
        <w:rPr>
          <w:sz w:val="24"/>
          <w:u w:val="single"/>
        </w:rPr>
      </w:pPr>
      <w:r>
        <w:rPr>
          <w:sz w:val="24"/>
        </w:rPr>
        <w:t>评标委员会授权的招标人或招标代理机构：</w:t>
      </w:r>
      <w:r>
        <w:rPr>
          <w:rFonts w:hint="eastAsia"/>
          <w:sz w:val="24"/>
        </w:rPr>
        <w:t>____</w:t>
      </w:r>
      <w:r>
        <w:rPr>
          <w:sz w:val="24"/>
        </w:rPr>
        <w:t>（签字或盖单位章）</w:t>
      </w:r>
    </w:p>
    <w:p>
      <w:pPr>
        <w:spacing w:line="440" w:lineRule="exact"/>
        <w:rPr>
          <w:sz w:val="24"/>
        </w:rPr>
      </w:pPr>
    </w:p>
    <w:p>
      <w:pPr>
        <w:spacing w:line="440" w:lineRule="exact"/>
        <w:ind w:right="480"/>
        <w:jc w:val="right"/>
        <w:rPr>
          <w:sz w:val="24"/>
        </w:rPr>
      </w:pPr>
      <w:r>
        <w:rPr>
          <w:rFonts w:hint="eastAsia"/>
          <w:sz w:val="24"/>
        </w:rPr>
        <w:t>____</w:t>
      </w:r>
      <w:r>
        <w:rPr>
          <w:sz w:val="24"/>
        </w:rPr>
        <w:t>年</w:t>
      </w:r>
      <w:r>
        <w:rPr>
          <w:rFonts w:hint="eastAsia"/>
          <w:sz w:val="24"/>
        </w:rPr>
        <w:t>____</w:t>
      </w:r>
      <w:r>
        <w:rPr>
          <w:sz w:val="24"/>
        </w:rPr>
        <w:t>月</w:t>
      </w:r>
      <w:r>
        <w:rPr>
          <w:rFonts w:hint="eastAsia"/>
          <w:sz w:val="24"/>
        </w:rPr>
        <w:t>____</w:t>
      </w:r>
      <w:r>
        <w:rPr>
          <w:sz w:val="24"/>
        </w:rPr>
        <w:t>日</w:t>
      </w:r>
    </w:p>
    <w:p>
      <w:pPr>
        <w:pStyle w:val="2"/>
        <w:spacing w:before="0" w:after="0" w:line="240" w:lineRule="atLeast"/>
        <w:rPr>
          <w:rFonts w:ascii="黑体" w:eastAsia="黑体"/>
          <w:b w:val="0"/>
          <w:sz w:val="24"/>
          <w:szCs w:val="24"/>
        </w:rPr>
      </w:pPr>
      <w:r>
        <w:rPr>
          <w:sz w:val="24"/>
        </w:rPr>
        <w:br w:type="page"/>
      </w:r>
      <w:bookmarkStart w:id="403" w:name="_Toc508984328"/>
      <w:bookmarkStart w:id="404" w:name="_Toc508984129"/>
      <w:bookmarkStart w:id="405" w:name="_Toc501257121"/>
      <w:bookmarkStart w:id="406" w:name="_Toc503235801"/>
      <w:r>
        <w:rPr>
          <w:rFonts w:ascii="黑体" w:eastAsia="黑体"/>
          <w:b w:val="0"/>
          <w:sz w:val="24"/>
          <w:szCs w:val="24"/>
        </w:rPr>
        <w:t>附</w:t>
      </w:r>
      <w:r>
        <w:rPr>
          <w:rFonts w:hint="eastAsia" w:ascii="黑体" w:eastAsia="黑体"/>
          <w:b w:val="0"/>
          <w:sz w:val="24"/>
          <w:szCs w:val="24"/>
        </w:rPr>
        <w:t>件</w:t>
      </w:r>
      <w:r>
        <w:rPr>
          <w:rFonts w:ascii="黑体" w:eastAsia="黑体"/>
          <w:b w:val="0"/>
          <w:sz w:val="24"/>
          <w:szCs w:val="24"/>
        </w:rPr>
        <w:t>三：问题的澄清</w:t>
      </w:r>
      <w:bookmarkEnd w:id="403"/>
      <w:bookmarkEnd w:id="404"/>
      <w:bookmarkEnd w:id="405"/>
      <w:bookmarkEnd w:id="406"/>
    </w:p>
    <w:p>
      <w:pPr>
        <w:spacing w:line="440" w:lineRule="exact"/>
        <w:jc w:val="center"/>
        <w:rPr>
          <w:rFonts w:eastAsia="黑体"/>
          <w:sz w:val="28"/>
          <w:szCs w:val="28"/>
        </w:rPr>
      </w:pPr>
      <w:r>
        <w:rPr>
          <w:rFonts w:eastAsia="黑体"/>
          <w:sz w:val="28"/>
          <w:szCs w:val="28"/>
        </w:rPr>
        <w:t>问题的澄清</w:t>
      </w:r>
    </w:p>
    <w:p>
      <w:pPr>
        <w:spacing w:line="440" w:lineRule="exact"/>
        <w:jc w:val="center"/>
        <w:rPr>
          <w:sz w:val="24"/>
        </w:rPr>
      </w:pPr>
      <w:r>
        <w:t>（编号：</w:t>
      </w:r>
      <w:r>
        <w:rPr>
          <w:rFonts w:hint="eastAsia"/>
          <w:sz w:val="24"/>
        </w:rPr>
        <w:t>____________</w:t>
      </w:r>
      <w:r>
        <w:t>）</w:t>
      </w:r>
    </w:p>
    <w:p>
      <w:pPr>
        <w:spacing w:line="440" w:lineRule="exact"/>
        <w:rPr>
          <w:sz w:val="24"/>
        </w:rPr>
      </w:pPr>
    </w:p>
    <w:p>
      <w:pPr>
        <w:spacing w:line="440" w:lineRule="exact"/>
        <w:rPr>
          <w:sz w:val="24"/>
        </w:rPr>
      </w:pPr>
      <w:r>
        <w:rPr>
          <w:sz w:val="24"/>
          <w:u w:val="single"/>
        </w:rPr>
        <w:t xml:space="preserve">              （项目名称）</w:t>
      </w:r>
      <w:r>
        <w:rPr>
          <w:rFonts w:hint="eastAsia"/>
          <w:sz w:val="24"/>
          <w:u w:val="single"/>
          <w:lang w:val="en-US" w:eastAsia="zh-CN"/>
        </w:rPr>
        <w:t xml:space="preserve">    </w:t>
      </w:r>
      <w:r>
        <w:rPr>
          <w:sz w:val="24"/>
          <w:u w:val="single"/>
        </w:rPr>
        <w:t>标段勘察设计咨询</w:t>
      </w:r>
      <w:r>
        <w:rPr>
          <w:sz w:val="24"/>
        </w:rPr>
        <w:t>招标评标委员会：</w:t>
      </w:r>
    </w:p>
    <w:p>
      <w:pPr>
        <w:spacing w:line="440" w:lineRule="exact"/>
        <w:rPr>
          <w:sz w:val="24"/>
        </w:rPr>
      </w:pPr>
    </w:p>
    <w:p>
      <w:pPr>
        <w:spacing w:line="440" w:lineRule="exact"/>
        <w:rPr>
          <w:sz w:val="24"/>
        </w:rPr>
      </w:pPr>
    </w:p>
    <w:p>
      <w:pPr>
        <w:spacing w:line="440" w:lineRule="exact"/>
        <w:ind w:firstLine="480" w:firstLineChars="200"/>
        <w:rPr>
          <w:sz w:val="24"/>
        </w:rPr>
      </w:pPr>
      <w:r>
        <w:rPr>
          <w:sz w:val="24"/>
        </w:rPr>
        <w:t>问题澄清通知（编号：</w:t>
      </w:r>
      <w:r>
        <w:rPr>
          <w:rFonts w:hint="eastAsia"/>
          <w:sz w:val="24"/>
        </w:rPr>
        <w:t>________</w:t>
      </w:r>
      <w:r>
        <w:rPr>
          <w:sz w:val="24"/>
        </w:rPr>
        <w:t>）已收悉，现澄清</w:t>
      </w:r>
      <w:r>
        <w:rPr>
          <w:rFonts w:hint="eastAsia"/>
          <w:sz w:val="24"/>
        </w:rPr>
        <w:t>、</w:t>
      </w:r>
      <w:r>
        <w:rPr>
          <w:sz w:val="24"/>
        </w:rPr>
        <w:t>说明如下：</w:t>
      </w:r>
    </w:p>
    <w:p>
      <w:pPr>
        <w:spacing w:line="440" w:lineRule="exact"/>
        <w:rPr>
          <w:sz w:val="24"/>
        </w:rPr>
      </w:pPr>
      <w:r>
        <w:rPr>
          <w:sz w:val="24"/>
        </w:rPr>
        <w:t>　     1.</w:t>
      </w:r>
    </w:p>
    <w:p>
      <w:pPr>
        <w:spacing w:line="440" w:lineRule="exact"/>
        <w:rPr>
          <w:sz w:val="24"/>
        </w:rPr>
      </w:pPr>
      <w:r>
        <w:rPr>
          <w:sz w:val="24"/>
        </w:rPr>
        <w:t>　     2.</w:t>
      </w:r>
    </w:p>
    <w:p>
      <w:pPr>
        <w:spacing w:line="440" w:lineRule="exact"/>
        <w:rPr>
          <w:sz w:val="24"/>
        </w:rPr>
      </w:pPr>
      <w:r>
        <w:rPr>
          <w:sz w:val="24"/>
        </w:rPr>
        <w:t xml:space="preserve">　   </w:t>
      </w:r>
    </w:p>
    <w:p>
      <w:pPr>
        <w:spacing w:line="440" w:lineRule="exact"/>
        <w:rPr>
          <w:sz w:val="24"/>
        </w:rPr>
      </w:pPr>
      <w:r>
        <w:rPr>
          <w:sz w:val="24"/>
        </w:rPr>
        <w:t>　    .....</w:t>
      </w:r>
    </w:p>
    <w:p>
      <w:pPr>
        <w:spacing w:line="440" w:lineRule="exact"/>
        <w:rPr>
          <w:sz w:val="24"/>
        </w:rPr>
      </w:pPr>
    </w:p>
    <w:p>
      <w:pPr>
        <w:spacing w:line="440" w:lineRule="exact"/>
        <w:rPr>
          <w:sz w:val="24"/>
        </w:rPr>
      </w:pPr>
      <w:r>
        <w:rPr>
          <w:sz w:val="24"/>
        </w:rPr>
        <w:t xml:space="preserve">　 </w:t>
      </w:r>
    </w:p>
    <w:p>
      <w:pPr>
        <w:spacing w:line="440" w:lineRule="exact"/>
        <w:rPr>
          <w:sz w:val="24"/>
        </w:rPr>
      </w:pPr>
    </w:p>
    <w:p>
      <w:pPr>
        <w:spacing w:line="440" w:lineRule="exact"/>
        <w:ind w:firstLine="480" w:firstLineChars="200"/>
        <w:rPr>
          <w:sz w:val="24"/>
        </w:rPr>
      </w:pPr>
      <w:r>
        <w:rPr>
          <w:sz w:val="24"/>
        </w:rPr>
        <w:t>上述问题澄清</w:t>
      </w:r>
      <w:r>
        <w:rPr>
          <w:rFonts w:hint="eastAsia"/>
          <w:sz w:val="24"/>
        </w:rPr>
        <w:t>或</w:t>
      </w:r>
      <w:r>
        <w:rPr>
          <w:sz w:val="24"/>
        </w:rPr>
        <w:t>说明，不改变我方投标文件的实质性内容，构成我方投标文件的组成部分。</w:t>
      </w:r>
    </w:p>
    <w:p>
      <w:pPr>
        <w:spacing w:line="440" w:lineRule="exact"/>
        <w:rPr>
          <w:sz w:val="24"/>
        </w:rPr>
      </w:pPr>
    </w:p>
    <w:p>
      <w:pPr>
        <w:spacing w:line="440" w:lineRule="exact"/>
        <w:rPr>
          <w:sz w:val="24"/>
        </w:rPr>
      </w:pPr>
    </w:p>
    <w:p>
      <w:pPr>
        <w:spacing w:line="440" w:lineRule="exact"/>
        <w:rPr>
          <w:sz w:val="24"/>
        </w:rPr>
      </w:pPr>
      <w:r>
        <w:rPr>
          <w:sz w:val="24"/>
        </w:rPr>
        <w:t>　　　　　　　　　　　　　　　投标人：</w:t>
      </w:r>
      <w:r>
        <w:rPr>
          <w:rFonts w:hint="eastAsia"/>
          <w:sz w:val="24"/>
        </w:rPr>
        <w:t>____________</w:t>
      </w:r>
      <w:r>
        <w:rPr>
          <w:sz w:val="24"/>
        </w:rPr>
        <w:t>（盖单位章）</w:t>
      </w:r>
      <w:r>
        <w:rPr>
          <w:rStyle w:val="56"/>
          <w:rFonts w:ascii="宋体" w:hAnsi="宋体"/>
          <w:sz w:val="32"/>
          <w:szCs w:val="32"/>
        </w:rPr>
        <w:footnoteReference w:id="53"/>
      </w:r>
    </w:p>
    <w:p>
      <w:pPr>
        <w:spacing w:line="440" w:lineRule="exact"/>
        <w:rPr>
          <w:sz w:val="24"/>
        </w:rPr>
      </w:pPr>
      <w:r>
        <w:rPr>
          <w:sz w:val="24"/>
        </w:rPr>
        <w:t>　　　　　　　　　　　　　　　法定代表人或其委托代理人：（</w:t>
      </w:r>
      <w:r>
        <w:rPr>
          <w:rFonts w:hint="eastAsia"/>
          <w:sz w:val="24"/>
        </w:rPr>
        <w:t>____</w:t>
      </w:r>
      <w:r>
        <w:rPr>
          <w:sz w:val="24"/>
        </w:rPr>
        <w:t>签字）</w:t>
      </w:r>
    </w:p>
    <w:p>
      <w:pPr>
        <w:spacing w:line="440" w:lineRule="exact"/>
        <w:rPr>
          <w:sz w:val="24"/>
        </w:rPr>
      </w:pPr>
      <w:r>
        <w:rPr>
          <w:sz w:val="24"/>
        </w:rPr>
        <w:t>　　　　　　　　　　　　　　　</w:t>
      </w:r>
    </w:p>
    <w:p>
      <w:pPr>
        <w:spacing w:line="440" w:lineRule="exact"/>
        <w:rPr>
          <w:sz w:val="24"/>
        </w:rPr>
      </w:pPr>
      <w:r>
        <w:rPr>
          <w:sz w:val="24"/>
        </w:rPr>
        <w:t xml:space="preserve">　　　　　　　　　　　　　　　       </w:t>
      </w:r>
      <w:r>
        <w:rPr>
          <w:rFonts w:hint="eastAsia"/>
          <w:sz w:val="24"/>
        </w:rPr>
        <w:t>____</w:t>
      </w:r>
      <w:r>
        <w:rPr>
          <w:sz w:val="24"/>
        </w:rPr>
        <w:t>年</w:t>
      </w:r>
      <w:r>
        <w:rPr>
          <w:rFonts w:hint="eastAsia"/>
          <w:sz w:val="24"/>
        </w:rPr>
        <w:t>____</w:t>
      </w:r>
      <w:r>
        <w:rPr>
          <w:sz w:val="24"/>
        </w:rPr>
        <w:t>月</w:t>
      </w:r>
      <w:r>
        <w:rPr>
          <w:rFonts w:hint="eastAsia"/>
          <w:sz w:val="24"/>
        </w:rPr>
        <w:t>____</w:t>
      </w:r>
      <w:r>
        <w:rPr>
          <w:sz w:val="24"/>
        </w:rPr>
        <w:t>日</w:t>
      </w:r>
    </w:p>
    <w:p>
      <w:pPr>
        <w:pStyle w:val="2"/>
        <w:spacing w:before="0" w:after="0" w:line="240" w:lineRule="atLeast"/>
        <w:rPr>
          <w:rFonts w:ascii="黑体" w:eastAsia="黑体"/>
          <w:b w:val="0"/>
          <w:sz w:val="24"/>
          <w:szCs w:val="24"/>
        </w:rPr>
      </w:pPr>
      <w:r>
        <w:rPr>
          <w:sz w:val="20"/>
          <w:szCs w:val="20"/>
        </w:rPr>
        <w:br w:type="page"/>
      </w:r>
      <w:bookmarkStart w:id="407" w:name="_Toc508984329"/>
      <w:bookmarkStart w:id="408" w:name="_Toc501257122"/>
      <w:bookmarkStart w:id="409" w:name="_Toc508984130"/>
      <w:bookmarkStart w:id="410" w:name="_Toc503235802"/>
      <w:r>
        <w:rPr>
          <w:rFonts w:ascii="黑体" w:eastAsia="黑体"/>
          <w:b w:val="0"/>
          <w:sz w:val="24"/>
          <w:szCs w:val="24"/>
        </w:rPr>
        <w:t>附</w:t>
      </w:r>
      <w:r>
        <w:rPr>
          <w:rFonts w:hint="eastAsia" w:ascii="黑体" w:eastAsia="黑体"/>
          <w:b w:val="0"/>
          <w:sz w:val="24"/>
          <w:szCs w:val="24"/>
        </w:rPr>
        <w:t>件</w:t>
      </w:r>
      <w:r>
        <w:rPr>
          <w:rFonts w:ascii="黑体" w:eastAsia="黑体"/>
          <w:b w:val="0"/>
          <w:sz w:val="24"/>
          <w:szCs w:val="24"/>
        </w:rPr>
        <w:t>四：中标通知书</w:t>
      </w:r>
      <w:bookmarkEnd w:id="407"/>
      <w:bookmarkEnd w:id="408"/>
      <w:bookmarkEnd w:id="409"/>
      <w:bookmarkEnd w:id="410"/>
    </w:p>
    <w:p>
      <w:pPr>
        <w:spacing w:line="440" w:lineRule="exact"/>
        <w:ind w:firstLine="3640" w:firstLineChars="1300"/>
        <w:rPr>
          <w:rFonts w:eastAsia="黑体"/>
          <w:sz w:val="28"/>
          <w:szCs w:val="28"/>
        </w:rPr>
      </w:pPr>
    </w:p>
    <w:p>
      <w:pPr>
        <w:spacing w:line="440" w:lineRule="exact"/>
        <w:ind w:firstLine="3640" w:firstLineChars="1300"/>
        <w:rPr>
          <w:rFonts w:eastAsia="黑体"/>
          <w:sz w:val="28"/>
          <w:szCs w:val="28"/>
        </w:rPr>
      </w:pPr>
      <w:r>
        <w:rPr>
          <w:rFonts w:eastAsia="黑体"/>
          <w:sz w:val="28"/>
          <w:szCs w:val="28"/>
        </w:rPr>
        <w:t xml:space="preserve">中标通知书 </w:t>
      </w:r>
    </w:p>
    <w:p>
      <w:pPr>
        <w:spacing w:line="440" w:lineRule="exact"/>
        <w:rPr>
          <w:rFonts w:eastAsia="黑体"/>
          <w:sz w:val="20"/>
          <w:szCs w:val="20"/>
        </w:rPr>
      </w:pPr>
    </w:p>
    <w:p>
      <w:pPr>
        <w:spacing w:line="440" w:lineRule="exact"/>
        <w:jc w:val="center"/>
        <w:rPr>
          <w:sz w:val="24"/>
        </w:rPr>
      </w:pPr>
      <w:r>
        <w:rPr>
          <w:rFonts w:hint="eastAsia" w:ascii="宋体" w:hAnsi="宋体"/>
          <w:sz w:val="24"/>
        </w:rPr>
        <w:t>采用</w:t>
      </w:r>
      <w:r>
        <w:rPr>
          <w:rFonts w:hint="eastAsia"/>
          <w:sz w:val="24"/>
        </w:rPr>
        <w:t>____</w:t>
      </w:r>
      <w:r>
        <w:rPr>
          <w:rFonts w:hint="eastAsia" w:ascii="宋体" w:hAnsi="宋体"/>
          <w:sz w:val="24"/>
        </w:rPr>
        <w:t>公共资源交易中心或其它符合规定的格式</w:t>
      </w:r>
    </w:p>
    <w:p>
      <w:pPr>
        <w:spacing w:line="440" w:lineRule="exact"/>
        <w:rPr>
          <w:rFonts w:eastAsia="黑体"/>
          <w:sz w:val="24"/>
        </w:rPr>
      </w:pPr>
    </w:p>
    <w:p>
      <w:pPr>
        <w:spacing w:line="440" w:lineRule="exact"/>
        <w:rPr>
          <w:sz w:val="20"/>
          <w:szCs w:val="20"/>
        </w:rPr>
      </w:pPr>
    </w:p>
    <w:p>
      <w:pPr>
        <w:spacing w:line="440" w:lineRule="exact"/>
        <w:rPr>
          <w:sz w:val="20"/>
          <w:szCs w:val="20"/>
        </w:rPr>
      </w:pPr>
    </w:p>
    <w:p>
      <w:pPr>
        <w:spacing w:line="440" w:lineRule="exact"/>
        <w:rPr>
          <w:sz w:val="20"/>
          <w:szCs w:val="20"/>
        </w:rPr>
      </w:pPr>
    </w:p>
    <w:p>
      <w:pPr>
        <w:spacing w:line="440" w:lineRule="exact"/>
        <w:rPr>
          <w:sz w:val="20"/>
          <w:szCs w:val="20"/>
        </w:rPr>
      </w:pPr>
    </w:p>
    <w:p>
      <w:pPr>
        <w:spacing w:line="440" w:lineRule="exact"/>
        <w:rPr>
          <w:sz w:val="20"/>
          <w:szCs w:val="20"/>
        </w:rPr>
      </w:pPr>
    </w:p>
    <w:p>
      <w:pPr>
        <w:spacing w:line="440" w:lineRule="exact"/>
        <w:rPr>
          <w:sz w:val="20"/>
          <w:szCs w:val="20"/>
        </w:rPr>
      </w:pPr>
    </w:p>
    <w:p>
      <w:pPr>
        <w:widowControl/>
        <w:jc w:val="left"/>
        <w:rPr>
          <w:sz w:val="20"/>
          <w:szCs w:val="20"/>
        </w:rPr>
      </w:pPr>
      <w:r>
        <w:rPr>
          <w:sz w:val="20"/>
          <w:szCs w:val="20"/>
        </w:rPr>
        <w:br w:type="page"/>
      </w:r>
    </w:p>
    <w:p>
      <w:pPr>
        <w:pStyle w:val="2"/>
        <w:spacing w:before="0" w:after="0" w:line="240" w:lineRule="atLeast"/>
        <w:rPr>
          <w:rFonts w:ascii="黑体" w:eastAsia="黑体"/>
          <w:b w:val="0"/>
          <w:sz w:val="24"/>
          <w:szCs w:val="24"/>
        </w:rPr>
      </w:pPr>
      <w:bookmarkStart w:id="411" w:name="_Toc508984330"/>
      <w:bookmarkStart w:id="412" w:name="_Toc508984131"/>
      <w:bookmarkStart w:id="413" w:name="_Toc501257123"/>
      <w:bookmarkStart w:id="414" w:name="_Toc503235803"/>
      <w:r>
        <w:rPr>
          <w:rFonts w:ascii="黑体" w:eastAsia="黑体"/>
          <w:b w:val="0"/>
          <w:sz w:val="24"/>
          <w:szCs w:val="24"/>
        </w:rPr>
        <w:t>附</w:t>
      </w:r>
      <w:r>
        <w:rPr>
          <w:rFonts w:hint="eastAsia" w:ascii="黑体" w:eastAsia="黑体"/>
          <w:b w:val="0"/>
          <w:sz w:val="24"/>
          <w:szCs w:val="24"/>
        </w:rPr>
        <w:t>件</w:t>
      </w:r>
      <w:r>
        <w:rPr>
          <w:rFonts w:ascii="黑体" w:eastAsia="黑体"/>
          <w:b w:val="0"/>
          <w:sz w:val="24"/>
          <w:szCs w:val="24"/>
        </w:rPr>
        <w:t>五：中标结果通知书</w:t>
      </w:r>
      <w:bookmarkEnd w:id="411"/>
      <w:bookmarkEnd w:id="412"/>
      <w:bookmarkEnd w:id="413"/>
      <w:bookmarkEnd w:id="414"/>
    </w:p>
    <w:p>
      <w:pPr>
        <w:spacing w:line="440" w:lineRule="exact"/>
        <w:jc w:val="center"/>
        <w:rPr>
          <w:rFonts w:eastAsia="黑体"/>
          <w:sz w:val="28"/>
          <w:szCs w:val="28"/>
        </w:rPr>
      </w:pPr>
      <w:r>
        <w:rPr>
          <w:rFonts w:eastAsia="黑体"/>
          <w:sz w:val="28"/>
          <w:szCs w:val="28"/>
        </w:rPr>
        <w:t>中标结果通知书</w:t>
      </w:r>
    </w:p>
    <w:p>
      <w:pPr>
        <w:spacing w:line="440" w:lineRule="exact"/>
        <w:rPr>
          <w:sz w:val="20"/>
          <w:szCs w:val="20"/>
        </w:rPr>
      </w:pPr>
    </w:p>
    <w:p>
      <w:pPr>
        <w:spacing w:line="440" w:lineRule="exact"/>
        <w:rPr>
          <w:sz w:val="24"/>
        </w:rPr>
      </w:pPr>
      <w:r>
        <w:rPr>
          <w:rFonts w:hint="eastAsia"/>
          <w:sz w:val="24"/>
        </w:rPr>
        <w:t>____________</w:t>
      </w:r>
      <w:r>
        <w:rPr>
          <w:sz w:val="24"/>
        </w:rPr>
        <w:t>（未中标人名称）：</w:t>
      </w:r>
    </w:p>
    <w:p>
      <w:pPr>
        <w:spacing w:line="440" w:lineRule="exact"/>
        <w:rPr>
          <w:sz w:val="24"/>
        </w:rPr>
      </w:pPr>
    </w:p>
    <w:p>
      <w:pPr>
        <w:spacing w:line="440" w:lineRule="exact"/>
        <w:rPr>
          <w:sz w:val="24"/>
        </w:rPr>
      </w:pPr>
      <w:r>
        <w:rPr>
          <w:sz w:val="24"/>
        </w:rPr>
        <w:t>　　我方已接受</w:t>
      </w:r>
      <w:r>
        <w:rPr>
          <w:rFonts w:hint="eastAsia"/>
          <w:sz w:val="24"/>
        </w:rPr>
        <w:t>________</w:t>
      </w:r>
      <w:r>
        <w:rPr>
          <w:sz w:val="24"/>
        </w:rPr>
        <w:t>（中标人名称）于</w:t>
      </w:r>
      <w:r>
        <w:rPr>
          <w:rFonts w:hint="eastAsia"/>
          <w:sz w:val="24"/>
        </w:rPr>
        <w:t>________</w:t>
      </w:r>
      <w:r>
        <w:rPr>
          <w:sz w:val="24"/>
        </w:rPr>
        <w:t>（投标日期）所递交的</w:t>
      </w:r>
      <w:r>
        <w:rPr>
          <w:rFonts w:hint="eastAsia"/>
          <w:sz w:val="24"/>
        </w:rPr>
        <w:t>____</w:t>
      </w:r>
      <w:r>
        <w:rPr>
          <w:sz w:val="24"/>
          <w:u w:val="single"/>
        </w:rPr>
        <w:t>（项目名称）</w:t>
      </w:r>
      <w:r>
        <w:rPr>
          <w:rFonts w:hint="eastAsia"/>
          <w:sz w:val="24"/>
          <w:u w:val="single"/>
          <w:lang w:val="en-US" w:eastAsia="zh-CN"/>
        </w:rPr>
        <w:t xml:space="preserve">   </w:t>
      </w:r>
      <w:r>
        <w:rPr>
          <w:sz w:val="24"/>
          <w:u w:val="single"/>
        </w:rPr>
        <w:t>标段勘察设计咨询</w:t>
      </w:r>
      <w:r>
        <w:rPr>
          <w:sz w:val="24"/>
        </w:rPr>
        <w:t>投标文件，确定</w:t>
      </w:r>
      <w:r>
        <w:rPr>
          <w:rFonts w:hint="eastAsia"/>
          <w:sz w:val="24"/>
        </w:rPr>
        <w:t>________</w:t>
      </w:r>
      <w:r>
        <w:rPr>
          <w:sz w:val="24"/>
        </w:rPr>
        <w:t>（中标人名称）为中标人。</w:t>
      </w:r>
    </w:p>
    <w:p>
      <w:pPr>
        <w:spacing w:line="440" w:lineRule="exact"/>
        <w:rPr>
          <w:sz w:val="24"/>
        </w:rPr>
      </w:pPr>
      <w:r>
        <w:rPr>
          <w:sz w:val="24"/>
        </w:rPr>
        <w:t>　　</w:t>
      </w:r>
    </w:p>
    <w:p>
      <w:pPr>
        <w:spacing w:line="440" w:lineRule="exact"/>
        <w:rPr>
          <w:sz w:val="24"/>
        </w:rPr>
      </w:pPr>
      <w:r>
        <w:rPr>
          <w:sz w:val="24"/>
        </w:rPr>
        <w:t>　　感谢你单位对</w:t>
      </w:r>
      <w:r>
        <w:rPr>
          <w:rFonts w:hint="eastAsia"/>
          <w:sz w:val="24"/>
        </w:rPr>
        <w:t>招标</w:t>
      </w:r>
      <w:r>
        <w:rPr>
          <w:sz w:val="24"/>
        </w:rPr>
        <w:t>项目的参与！</w:t>
      </w:r>
    </w:p>
    <w:p>
      <w:pPr>
        <w:spacing w:line="440" w:lineRule="exact"/>
        <w:rPr>
          <w:sz w:val="24"/>
        </w:rPr>
      </w:pPr>
    </w:p>
    <w:p>
      <w:pPr>
        <w:spacing w:line="440" w:lineRule="exact"/>
        <w:rPr>
          <w:sz w:val="24"/>
        </w:rPr>
      </w:pPr>
    </w:p>
    <w:p>
      <w:pPr>
        <w:spacing w:line="440" w:lineRule="exact"/>
        <w:rPr>
          <w:sz w:val="24"/>
        </w:rPr>
      </w:pPr>
    </w:p>
    <w:p>
      <w:pPr>
        <w:spacing w:line="600" w:lineRule="atLeast"/>
        <w:ind w:firstLine="3700" w:firstLineChars="1542"/>
        <w:rPr>
          <w:sz w:val="24"/>
        </w:rPr>
      </w:pPr>
      <w:r>
        <w:rPr>
          <w:sz w:val="24"/>
        </w:rPr>
        <w:t>招标人：</w:t>
      </w:r>
      <w:r>
        <w:rPr>
          <w:rFonts w:hint="eastAsia"/>
          <w:sz w:val="24"/>
        </w:rPr>
        <w:t>____________________</w:t>
      </w:r>
      <w:r>
        <w:rPr>
          <w:sz w:val="24"/>
        </w:rPr>
        <w:t xml:space="preserve">（盖单位章）            </w:t>
      </w:r>
    </w:p>
    <w:p>
      <w:pPr>
        <w:spacing w:line="600" w:lineRule="atLeast"/>
        <w:ind w:firstLine="3700" w:firstLineChars="1542"/>
        <w:rPr>
          <w:sz w:val="24"/>
        </w:rPr>
      </w:pPr>
      <w:r>
        <w:rPr>
          <w:sz w:val="24"/>
        </w:rPr>
        <w:t>招标代理机构：</w:t>
      </w:r>
      <w:r>
        <w:rPr>
          <w:rFonts w:hint="eastAsia"/>
          <w:sz w:val="24"/>
        </w:rPr>
        <w:t>_______________</w:t>
      </w:r>
      <w:r>
        <w:rPr>
          <w:sz w:val="24"/>
        </w:rPr>
        <w:t>（盖单位章）</w:t>
      </w:r>
    </w:p>
    <w:p>
      <w:pPr>
        <w:spacing w:line="600" w:lineRule="atLeast"/>
        <w:ind w:firstLine="5040" w:firstLineChars="2100"/>
        <w:rPr>
          <w:sz w:val="24"/>
        </w:rPr>
      </w:pPr>
      <w:r>
        <w:rPr>
          <w:rFonts w:hint="eastAsia"/>
          <w:sz w:val="24"/>
        </w:rPr>
        <w:t>____</w:t>
      </w:r>
      <w:r>
        <w:rPr>
          <w:sz w:val="24"/>
        </w:rPr>
        <w:t>年</w:t>
      </w:r>
      <w:r>
        <w:rPr>
          <w:rFonts w:hint="eastAsia"/>
          <w:sz w:val="24"/>
        </w:rPr>
        <w:t>____</w:t>
      </w:r>
      <w:r>
        <w:rPr>
          <w:sz w:val="24"/>
        </w:rPr>
        <w:t>月</w:t>
      </w:r>
      <w:r>
        <w:rPr>
          <w:rFonts w:hint="eastAsia"/>
          <w:sz w:val="24"/>
        </w:rPr>
        <w:t>____</w:t>
      </w:r>
      <w:r>
        <w:rPr>
          <w:sz w:val="24"/>
        </w:rPr>
        <w:t>日</w:t>
      </w:r>
    </w:p>
    <w:p>
      <w:pPr>
        <w:spacing w:line="600" w:lineRule="atLeas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0"/>
          <w:szCs w:val="20"/>
        </w:rPr>
      </w:pPr>
    </w:p>
    <w:p>
      <w:pPr>
        <w:spacing w:line="440" w:lineRule="exact"/>
        <w:rPr>
          <w:sz w:val="20"/>
          <w:szCs w:val="20"/>
        </w:rPr>
      </w:pPr>
    </w:p>
    <w:p>
      <w:pPr>
        <w:spacing w:line="440" w:lineRule="exact"/>
        <w:rPr>
          <w:sz w:val="20"/>
          <w:szCs w:val="20"/>
        </w:rPr>
      </w:pPr>
    </w:p>
    <w:p>
      <w:pPr>
        <w:spacing w:line="440" w:lineRule="exact"/>
        <w:rPr>
          <w:sz w:val="20"/>
          <w:szCs w:val="20"/>
        </w:rPr>
      </w:pPr>
    </w:p>
    <w:p>
      <w:pPr>
        <w:spacing w:line="440" w:lineRule="exact"/>
        <w:rPr>
          <w:sz w:val="20"/>
          <w:szCs w:val="20"/>
        </w:rPr>
      </w:pPr>
    </w:p>
    <w:p>
      <w:pPr>
        <w:spacing w:line="440" w:lineRule="exact"/>
        <w:rPr>
          <w:sz w:val="20"/>
          <w:szCs w:val="20"/>
        </w:rPr>
      </w:pPr>
    </w:p>
    <w:p>
      <w:pPr>
        <w:spacing w:line="440" w:lineRule="exact"/>
        <w:rPr>
          <w:sz w:val="20"/>
          <w:szCs w:val="20"/>
        </w:rPr>
      </w:pPr>
    </w:p>
    <w:p>
      <w:pPr>
        <w:pStyle w:val="2"/>
        <w:spacing w:before="0" w:after="0" w:line="240" w:lineRule="atLeast"/>
        <w:rPr>
          <w:rFonts w:ascii="黑体" w:eastAsia="黑体"/>
          <w:b w:val="0"/>
          <w:sz w:val="24"/>
          <w:szCs w:val="24"/>
        </w:rPr>
      </w:pPr>
      <w:r>
        <w:rPr>
          <w:rFonts w:eastAsia="黑体"/>
          <w:sz w:val="20"/>
          <w:szCs w:val="20"/>
        </w:rPr>
        <w:br w:type="page"/>
      </w:r>
      <w:bookmarkStart w:id="415" w:name="_Toc508984132"/>
      <w:bookmarkStart w:id="416" w:name="_Toc508984331"/>
      <w:bookmarkStart w:id="417" w:name="_Toc503235804"/>
      <w:bookmarkStart w:id="418" w:name="_Toc501257124"/>
      <w:r>
        <w:rPr>
          <w:rFonts w:ascii="黑体" w:eastAsia="黑体"/>
          <w:b w:val="0"/>
          <w:sz w:val="24"/>
          <w:szCs w:val="24"/>
        </w:rPr>
        <w:t>附</w:t>
      </w:r>
      <w:r>
        <w:rPr>
          <w:rFonts w:hint="eastAsia" w:ascii="黑体" w:eastAsia="黑体"/>
          <w:b w:val="0"/>
          <w:sz w:val="24"/>
          <w:szCs w:val="24"/>
        </w:rPr>
        <w:t>件</w:t>
      </w:r>
      <w:r>
        <w:rPr>
          <w:rFonts w:ascii="黑体" w:eastAsia="黑体"/>
          <w:b w:val="0"/>
          <w:sz w:val="24"/>
          <w:szCs w:val="24"/>
        </w:rPr>
        <w:t>六：确认通知</w:t>
      </w:r>
      <w:bookmarkEnd w:id="415"/>
      <w:bookmarkEnd w:id="416"/>
      <w:bookmarkEnd w:id="417"/>
      <w:bookmarkEnd w:id="418"/>
    </w:p>
    <w:p>
      <w:pPr>
        <w:spacing w:line="440" w:lineRule="exact"/>
        <w:jc w:val="center"/>
        <w:rPr>
          <w:rFonts w:eastAsia="黑体"/>
          <w:sz w:val="28"/>
          <w:szCs w:val="28"/>
        </w:rPr>
      </w:pPr>
      <w:r>
        <w:rPr>
          <w:rFonts w:eastAsia="黑体"/>
          <w:sz w:val="28"/>
          <w:szCs w:val="28"/>
        </w:rPr>
        <w:t>确认通知</w:t>
      </w:r>
    </w:p>
    <w:p>
      <w:pPr>
        <w:spacing w:line="440" w:lineRule="exact"/>
        <w:rPr>
          <w:sz w:val="20"/>
          <w:szCs w:val="20"/>
        </w:rPr>
      </w:pPr>
    </w:p>
    <w:p>
      <w:pPr>
        <w:spacing w:line="440" w:lineRule="exact"/>
        <w:rPr>
          <w:sz w:val="24"/>
        </w:rPr>
      </w:pPr>
      <w:r>
        <w:rPr>
          <w:rFonts w:hint="eastAsia"/>
          <w:sz w:val="24"/>
        </w:rPr>
        <w:t>____________</w:t>
      </w:r>
      <w:r>
        <w:rPr>
          <w:sz w:val="24"/>
        </w:rPr>
        <w:t>（招标人名称）：</w:t>
      </w:r>
    </w:p>
    <w:p>
      <w:pPr>
        <w:spacing w:line="540" w:lineRule="exact"/>
        <w:rPr>
          <w:sz w:val="24"/>
        </w:rPr>
      </w:pPr>
      <w:r>
        <w:rPr>
          <w:sz w:val="24"/>
        </w:rPr>
        <w:t>　　</w:t>
      </w:r>
    </w:p>
    <w:p>
      <w:pPr>
        <w:spacing w:line="540" w:lineRule="exact"/>
        <w:rPr>
          <w:sz w:val="24"/>
        </w:rPr>
      </w:pPr>
      <w:r>
        <w:rPr>
          <w:sz w:val="24"/>
        </w:rPr>
        <w:t>　　你方于</w:t>
      </w:r>
      <w:r>
        <w:rPr>
          <w:rFonts w:hint="eastAsia"/>
          <w:sz w:val="24"/>
        </w:rPr>
        <w:t>____</w:t>
      </w:r>
      <w:r>
        <w:rPr>
          <w:sz w:val="24"/>
        </w:rPr>
        <w:t>年</w:t>
      </w:r>
      <w:r>
        <w:rPr>
          <w:rFonts w:hint="eastAsia"/>
          <w:sz w:val="24"/>
        </w:rPr>
        <w:t>____</w:t>
      </w:r>
      <w:r>
        <w:rPr>
          <w:sz w:val="24"/>
        </w:rPr>
        <w:t>月</w:t>
      </w:r>
      <w:r>
        <w:rPr>
          <w:rFonts w:hint="eastAsia"/>
          <w:sz w:val="24"/>
        </w:rPr>
        <w:t>____</w:t>
      </w:r>
      <w:r>
        <w:rPr>
          <w:sz w:val="24"/>
        </w:rPr>
        <w:t>日发出的</w:t>
      </w:r>
      <w:r>
        <w:rPr>
          <w:rFonts w:hint="eastAsia"/>
          <w:sz w:val="24"/>
        </w:rPr>
        <w:t>____</w:t>
      </w:r>
      <w:r>
        <w:rPr>
          <w:sz w:val="24"/>
          <w:u w:val="single"/>
        </w:rPr>
        <w:t>（项目名称）</w:t>
      </w:r>
      <w:r>
        <w:rPr>
          <w:rFonts w:hint="eastAsia"/>
          <w:sz w:val="24"/>
        </w:rPr>
        <w:t>____</w:t>
      </w:r>
      <w:r>
        <w:rPr>
          <w:sz w:val="24"/>
          <w:u w:val="single"/>
        </w:rPr>
        <w:t>标段勘察设计咨询</w:t>
      </w:r>
      <w:r>
        <w:rPr>
          <w:sz w:val="24"/>
        </w:rPr>
        <w:t>招标关于</w:t>
      </w:r>
      <w:r>
        <w:rPr>
          <w:rFonts w:hint="eastAsia"/>
          <w:sz w:val="24"/>
        </w:rPr>
        <w:t>招标文件澄清</w:t>
      </w:r>
      <w:r>
        <w:rPr>
          <w:sz w:val="24"/>
        </w:rPr>
        <w:t>/</w:t>
      </w:r>
      <w:r>
        <w:rPr>
          <w:rFonts w:hint="eastAsia"/>
          <w:sz w:val="24"/>
        </w:rPr>
        <w:t>修改</w:t>
      </w:r>
      <w:r>
        <w:rPr>
          <w:sz w:val="24"/>
        </w:rPr>
        <w:t>的通知</w:t>
      </w:r>
      <w:r>
        <w:rPr>
          <w:rFonts w:hint="eastAsia"/>
          <w:sz w:val="24"/>
        </w:rPr>
        <w:t>（第____号补遗书，正文共____</w:t>
      </w:r>
      <w:r>
        <w:rPr>
          <w:sz w:val="24"/>
        </w:rPr>
        <w:t>页</w:t>
      </w:r>
      <w:r>
        <w:rPr>
          <w:rFonts w:hint="eastAsia"/>
          <w:sz w:val="24"/>
        </w:rPr>
        <w:t>）</w:t>
      </w:r>
      <w:r>
        <w:rPr>
          <w:sz w:val="24"/>
        </w:rPr>
        <w:t>，我方已于</w:t>
      </w:r>
      <w:r>
        <w:rPr>
          <w:rFonts w:hint="eastAsia"/>
          <w:sz w:val="24"/>
        </w:rPr>
        <w:t>____</w:t>
      </w:r>
      <w:r>
        <w:rPr>
          <w:sz w:val="24"/>
        </w:rPr>
        <w:t>年</w:t>
      </w:r>
      <w:r>
        <w:rPr>
          <w:rFonts w:hint="eastAsia"/>
          <w:sz w:val="24"/>
        </w:rPr>
        <w:t>____</w:t>
      </w:r>
      <w:r>
        <w:rPr>
          <w:sz w:val="24"/>
        </w:rPr>
        <w:t>月</w:t>
      </w:r>
      <w:r>
        <w:rPr>
          <w:rFonts w:hint="eastAsia"/>
          <w:sz w:val="24"/>
        </w:rPr>
        <w:t>____</w:t>
      </w:r>
      <w:r>
        <w:rPr>
          <w:sz w:val="24"/>
        </w:rPr>
        <w:t>日收到。</w:t>
      </w:r>
    </w:p>
    <w:p>
      <w:pPr>
        <w:spacing w:line="540" w:lineRule="exact"/>
        <w:rPr>
          <w:sz w:val="24"/>
        </w:rPr>
      </w:pPr>
      <w:r>
        <w:rPr>
          <w:sz w:val="24"/>
        </w:rPr>
        <w:t>　　特此确认。</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r>
        <w:rPr>
          <w:sz w:val="24"/>
        </w:rPr>
        <w:t xml:space="preserve">                              投标人：</w:t>
      </w:r>
      <w:r>
        <w:rPr>
          <w:rFonts w:hint="eastAsia"/>
          <w:sz w:val="24"/>
        </w:rPr>
        <w:t>________________</w:t>
      </w:r>
      <w:r>
        <w:rPr>
          <w:sz w:val="24"/>
        </w:rPr>
        <w:t>（盖单位章）</w:t>
      </w:r>
    </w:p>
    <w:p>
      <w:pPr>
        <w:spacing w:line="440" w:lineRule="exact"/>
        <w:rPr>
          <w:sz w:val="24"/>
        </w:rPr>
      </w:pPr>
    </w:p>
    <w:p>
      <w:pPr>
        <w:spacing w:line="440" w:lineRule="exact"/>
        <w:jc w:val="right"/>
        <w:rPr>
          <w:sz w:val="24"/>
        </w:rPr>
      </w:pPr>
      <w:r>
        <w:rPr>
          <w:rFonts w:hint="eastAsia"/>
          <w:sz w:val="24"/>
        </w:rPr>
        <w:t>____</w:t>
      </w:r>
      <w:r>
        <w:rPr>
          <w:sz w:val="24"/>
        </w:rPr>
        <w:t>年</w:t>
      </w:r>
      <w:r>
        <w:rPr>
          <w:rFonts w:hint="eastAsia"/>
          <w:sz w:val="24"/>
        </w:rPr>
        <w:t>____</w:t>
      </w:r>
      <w:r>
        <w:rPr>
          <w:sz w:val="24"/>
        </w:rPr>
        <w:t>月</w:t>
      </w:r>
      <w:r>
        <w:rPr>
          <w:rFonts w:hint="eastAsia"/>
          <w:sz w:val="24"/>
        </w:rPr>
        <w:t>____</w:t>
      </w:r>
      <w:r>
        <w:rPr>
          <w:sz w:val="24"/>
        </w:rPr>
        <w:t>日</w:t>
      </w:r>
    </w:p>
    <w:p>
      <w:pPr>
        <w:spacing w:line="440" w:lineRule="exact"/>
        <w:rPr>
          <w:sz w:val="20"/>
          <w:szCs w:val="20"/>
        </w:rPr>
      </w:pPr>
    </w:p>
    <w:p>
      <w:pPr>
        <w:widowControl/>
        <w:jc w:val="left"/>
        <w:rPr>
          <w:rFonts w:ascii="黑体" w:eastAsia="黑体"/>
          <w:bCs/>
          <w:kern w:val="44"/>
          <w:sz w:val="24"/>
        </w:rPr>
      </w:pPr>
    </w:p>
    <w:bookmarkEnd w:id="398"/>
    <w:p>
      <w:pPr>
        <w:spacing w:line="440" w:lineRule="exact"/>
        <w:rPr>
          <w:sz w:val="20"/>
          <w:szCs w:val="20"/>
        </w:rPr>
        <w:sectPr>
          <w:footerReference r:id="rId18" w:type="default"/>
          <w:headerReference r:id="rId17" w:type="even"/>
          <w:footerReference r:id="rId19" w:type="even"/>
          <w:footnotePr>
            <w:numRestart w:val="eachPage"/>
          </w:footnotePr>
          <w:pgSz w:w="11905" w:h="16838"/>
          <w:pgMar w:top="1803" w:right="1440" w:bottom="1803" w:left="1440" w:header="851" w:footer="850" w:gutter="0"/>
          <w:cols w:space="0" w:num="1"/>
          <w:docGrid w:linePitch="312" w:charSpace="0"/>
        </w:sectPr>
      </w:pPr>
    </w:p>
    <w:p>
      <w:pPr>
        <w:spacing w:line="440" w:lineRule="exact"/>
        <w:rPr>
          <w:rFonts w:eastAsia="黑体"/>
          <w:sz w:val="20"/>
          <w:szCs w:val="20"/>
        </w:rPr>
      </w:pPr>
    </w:p>
    <w:p>
      <w:pPr>
        <w:topLinePunct/>
        <w:spacing w:line="440" w:lineRule="exact"/>
        <w:ind w:right="31" w:rightChars="15"/>
        <w:jc w:val="center"/>
        <w:rPr>
          <w:rFonts w:eastAsia="黑体"/>
          <w:sz w:val="32"/>
          <w:szCs w:val="32"/>
        </w:rPr>
      </w:pPr>
    </w:p>
    <w:p>
      <w:pPr>
        <w:topLinePunct/>
        <w:spacing w:line="440" w:lineRule="exact"/>
        <w:ind w:right="31" w:rightChars="15"/>
        <w:jc w:val="center"/>
        <w:rPr>
          <w:rFonts w:eastAsia="黑体"/>
          <w:sz w:val="32"/>
          <w:szCs w:val="32"/>
        </w:rPr>
      </w:pPr>
    </w:p>
    <w:p>
      <w:pPr>
        <w:topLinePunct/>
        <w:spacing w:line="440" w:lineRule="exact"/>
        <w:ind w:right="31" w:rightChars="15"/>
        <w:jc w:val="center"/>
        <w:rPr>
          <w:rFonts w:eastAsia="黑体"/>
          <w:sz w:val="32"/>
          <w:szCs w:val="32"/>
        </w:rPr>
      </w:pPr>
    </w:p>
    <w:p>
      <w:pPr>
        <w:topLinePunct/>
        <w:spacing w:line="440" w:lineRule="exact"/>
        <w:ind w:right="31" w:rightChars="15"/>
        <w:jc w:val="center"/>
        <w:rPr>
          <w:rFonts w:eastAsia="黑体"/>
          <w:sz w:val="32"/>
          <w:szCs w:val="32"/>
        </w:rPr>
      </w:pPr>
    </w:p>
    <w:p>
      <w:pPr>
        <w:topLinePunct/>
        <w:spacing w:line="440" w:lineRule="exact"/>
        <w:ind w:right="31" w:rightChars="15"/>
        <w:jc w:val="center"/>
        <w:rPr>
          <w:rFonts w:eastAsia="黑体"/>
          <w:sz w:val="32"/>
          <w:szCs w:val="32"/>
        </w:rPr>
      </w:pPr>
    </w:p>
    <w:p>
      <w:pPr>
        <w:topLinePunct/>
        <w:spacing w:line="440" w:lineRule="exact"/>
        <w:ind w:right="31" w:rightChars="15"/>
        <w:jc w:val="center"/>
        <w:rPr>
          <w:rFonts w:eastAsia="黑体"/>
          <w:sz w:val="32"/>
          <w:szCs w:val="32"/>
        </w:rPr>
      </w:pPr>
    </w:p>
    <w:p>
      <w:pPr>
        <w:topLinePunct/>
        <w:spacing w:line="440" w:lineRule="exact"/>
        <w:ind w:right="31" w:rightChars="15"/>
        <w:jc w:val="center"/>
        <w:rPr>
          <w:rFonts w:eastAsia="黑体"/>
          <w:sz w:val="32"/>
          <w:szCs w:val="32"/>
        </w:rPr>
      </w:pPr>
    </w:p>
    <w:p>
      <w:pPr>
        <w:topLinePunct/>
        <w:spacing w:line="440" w:lineRule="exact"/>
        <w:ind w:right="31" w:rightChars="15"/>
        <w:jc w:val="center"/>
        <w:rPr>
          <w:rFonts w:eastAsia="黑体"/>
          <w:sz w:val="32"/>
          <w:szCs w:val="32"/>
        </w:rPr>
      </w:pPr>
    </w:p>
    <w:p>
      <w:pPr>
        <w:topLinePunct/>
        <w:spacing w:line="440" w:lineRule="exact"/>
        <w:ind w:right="31" w:rightChars="15"/>
        <w:jc w:val="center"/>
        <w:rPr>
          <w:rFonts w:eastAsia="黑体"/>
          <w:sz w:val="32"/>
          <w:szCs w:val="32"/>
        </w:rPr>
      </w:pPr>
    </w:p>
    <w:p>
      <w:pPr>
        <w:topLinePunct/>
        <w:spacing w:line="440" w:lineRule="exact"/>
        <w:ind w:right="31" w:rightChars="15"/>
        <w:jc w:val="center"/>
        <w:rPr>
          <w:rFonts w:eastAsia="黑体"/>
          <w:sz w:val="32"/>
          <w:szCs w:val="32"/>
        </w:rPr>
      </w:pPr>
    </w:p>
    <w:p>
      <w:pPr>
        <w:pStyle w:val="2"/>
        <w:jc w:val="center"/>
        <w:rPr>
          <w:rFonts w:eastAsia="黑体"/>
          <w:sz w:val="56"/>
          <w:szCs w:val="56"/>
        </w:rPr>
      </w:pPr>
      <w:bookmarkStart w:id="419" w:name="_Toc508984332"/>
      <w:bookmarkStart w:id="420" w:name="_Toc508984133"/>
      <w:r>
        <w:rPr>
          <w:rFonts w:eastAsia="黑体"/>
          <w:sz w:val="56"/>
          <w:szCs w:val="56"/>
        </w:rPr>
        <w:t>第三章  评标办法</w:t>
      </w:r>
      <w:bookmarkEnd w:id="419"/>
      <w:bookmarkEnd w:id="420"/>
    </w:p>
    <w:p>
      <w:pPr>
        <w:pStyle w:val="2"/>
        <w:spacing w:before="0" w:afterLines="50" w:line="240" w:lineRule="atLeast"/>
        <w:jc w:val="center"/>
        <w:rPr>
          <w:rFonts w:eastAsia="黑体"/>
          <w:sz w:val="36"/>
          <w:szCs w:val="36"/>
        </w:rPr>
        <w:sectPr>
          <w:footerReference r:id="rId21" w:type="default"/>
          <w:headerReference r:id="rId20" w:type="even"/>
          <w:footerReference r:id="rId22" w:type="even"/>
          <w:footnotePr>
            <w:numRestart w:val="eachPage"/>
          </w:footnotePr>
          <w:pgSz w:w="11905" w:h="16838"/>
          <w:pgMar w:top="1803" w:right="1440" w:bottom="1803" w:left="1440" w:header="851" w:footer="850" w:gutter="0"/>
          <w:cols w:space="0" w:num="1"/>
          <w:docGrid w:linePitch="312" w:charSpace="0"/>
        </w:sectPr>
      </w:pPr>
    </w:p>
    <w:p>
      <w:pPr>
        <w:spacing w:before="480" w:after="240" w:line="380" w:lineRule="atLeast"/>
        <w:jc w:val="center"/>
        <w:rPr>
          <w:rFonts w:ascii="黑体" w:eastAsia="黑体"/>
        </w:rPr>
      </w:pPr>
      <w:bookmarkStart w:id="421" w:name="_Toc508984333"/>
      <w:bookmarkStart w:id="422" w:name="_Toc234832942"/>
      <w:bookmarkStart w:id="423" w:name="_Toc508984134"/>
      <w:bookmarkStart w:id="424" w:name="_Toc503235805"/>
      <w:r>
        <w:rPr>
          <w:rFonts w:ascii="黑体" w:eastAsia="黑体"/>
        </w:rPr>
        <w:br w:type="page"/>
      </w:r>
    </w:p>
    <w:p>
      <w:pPr>
        <w:pStyle w:val="2"/>
        <w:spacing w:before="480" w:after="240" w:line="380" w:lineRule="atLeast"/>
        <w:jc w:val="center"/>
        <w:rPr>
          <w:rFonts w:ascii="黑体" w:eastAsia="黑体"/>
          <w:b w:val="0"/>
        </w:rPr>
      </w:pPr>
      <w:r>
        <w:rPr>
          <w:rFonts w:ascii="黑体" w:eastAsia="黑体"/>
          <w:b w:val="0"/>
        </w:rPr>
        <w:t>第三章  评标办法（</w:t>
      </w:r>
      <w:r>
        <w:rPr>
          <w:rFonts w:hint="eastAsia" w:ascii="黑体" w:eastAsia="黑体"/>
          <w:b w:val="0"/>
        </w:rPr>
        <w:t>双信封的</w:t>
      </w:r>
      <w:r>
        <w:rPr>
          <w:rFonts w:ascii="黑体" w:eastAsia="黑体"/>
          <w:b w:val="0"/>
        </w:rPr>
        <w:t>综合评</w:t>
      </w:r>
      <w:r>
        <w:rPr>
          <w:rFonts w:hint="eastAsia" w:ascii="黑体" w:eastAsia="黑体"/>
          <w:b w:val="0"/>
        </w:rPr>
        <w:t>分</w:t>
      </w:r>
      <w:r>
        <w:rPr>
          <w:rFonts w:ascii="黑体" w:eastAsia="黑体"/>
          <w:b w:val="0"/>
        </w:rPr>
        <w:t>法）</w:t>
      </w:r>
      <w:bookmarkEnd w:id="421"/>
      <w:bookmarkEnd w:id="422"/>
      <w:bookmarkEnd w:id="423"/>
      <w:bookmarkEnd w:id="424"/>
    </w:p>
    <w:p>
      <w:pPr>
        <w:pStyle w:val="2"/>
        <w:spacing w:before="480" w:after="240" w:line="380" w:lineRule="atLeast"/>
        <w:rPr>
          <w:rFonts w:ascii="黑体" w:eastAsia="黑体"/>
          <w:b w:val="0"/>
          <w:sz w:val="24"/>
          <w:szCs w:val="24"/>
        </w:rPr>
      </w:pPr>
      <w:bookmarkStart w:id="425" w:name="_Toc508984135"/>
      <w:bookmarkStart w:id="426" w:name="_Toc234832943"/>
      <w:bookmarkStart w:id="427" w:name="_Toc503235806"/>
      <w:bookmarkStart w:id="428" w:name="_Toc508984334"/>
      <w:r>
        <w:rPr>
          <w:rFonts w:ascii="黑体" w:eastAsia="黑体"/>
          <w:b w:val="0"/>
          <w:sz w:val="24"/>
          <w:szCs w:val="24"/>
        </w:rPr>
        <w:t>评标办法前附表</w:t>
      </w:r>
      <w:r>
        <w:rPr>
          <w:rStyle w:val="56"/>
          <w:rFonts w:ascii="宋体" w:hAnsi="宋体"/>
          <w:b w:val="0"/>
          <w:bCs w:val="0"/>
          <w:kern w:val="2"/>
          <w:sz w:val="32"/>
          <w:szCs w:val="32"/>
        </w:rPr>
        <w:footnoteReference w:id="54"/>
      </w:r>
      <w:bookmarkEnd w:id="425"/>
      <w:bookmarkEnd w:id="426"/>
      <w:bookmarkEnd w:id="427"/>
      <w:bookmarkEnd w:id="428"/>
    </w:p>
    <w:tbl>
      <w:tblPr>
        <w:tblStyle w:val="47"/>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pPr>
              <w:spacing w:line="380" w:lineRule="atLeast"/>
              <w:jc w:val="center"/>
              <w:rPr>
                <w:rFonts w:ascii="宋体" w:hAnsi="宋体"/>
                <w:b/>
                <w:szCs w:val="21"/>
              </w:rPr>
            </w:pPr>
            <w:r>
              <w:rPr>
                <w:rFonts w:ascii="宋体" w:hAnsi="宋体"/>
                <w:b/>
                <w:szCs w:val="21"/>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rFonts w:ascii="宋体" w:hAnsi="宋体"/>
                <w:b/>
                <w:spacing w:val="4"/>
                <w:szCs w:val="21"/>
              </w:rPr>
            </w:pPr>
            <w:r>
              <w:rPr>
                <w:rFonts w:ascii="宋体" w:hAnsi="宋体"/>
                <w:b/>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380" w:lineRule="atLeast"/>
              <w:jc w:val="center"/>
              <w:rPr>
                <w:rFonts w:ascii="宋体" w:hAnsi="宋体"/>
                <w:szCs w:val="21"/>
              </w:rPr>
            </w:pPr>
            <w:r>
              <w:rPr>
                <w:rFonts w:hint="eastAsia" w:ascii="宋体" w:hAnsi="宋体"/>
                <w:szCs w:val="21"/>
              </w:rPr>
              <w:t>1</w:t>
            </w:r>
          </w:p>
        </w:tc>
        <w:tc>
          <w:tcPr>
            <w:tcW w:w="1280" w:type="dxa"/>
            <w:tcBorders>
              <w:top w:val="single" w:color="auto" w:sz="4" w:space="0"/>
              <w:bottom w:val="single" w:color="auto" w:sz="4" w:space="0"/>
              <w:right w:val="single" w:color="auto" w:sz="4" w:space="0"/>
            </w:tcBorders>
            <w:vAlign w:val="center"/>
          </w:tcPr>
          <w:p>
            <w:pPr>
              <w:spacing w:line="380" w:lineRule="atLeast"/>
              <w:jc w:val="center"/>
              <w:rPr>
                <w:rFonts w:ascii="宋体" w:hAnsi="宋体"/>
                <w:szCs w:val="21"/>
              </w:rPr>
            </w:pPr>
            <w:r>
              <w:rPr>
                <w:rFonts w:ascii="宋体" w:hAnsi="宋体"/>
                <w:szCs w:val="21"/>
              </w:rPr>
              <w:t>评标方法</w:t>
            </w:r>
          </w:p>
        </w:tc>
        <w:tc>
          <w:tcPr>
            <w:tcW w:w="6622" w:type="dxa"/>
            <w:tcBorders>
              <w:top w:val="single" w:color="auto" w:sz="4" w:space="0"/>
              <w:left w:val="single" w:color="auto" w:sz="4" w:space="0"/>
              <w:right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综合评分相等时，评标委员会依次按照以下优先顺序推荐中标候选人或确定中标人：</w:t>
            </w:r>
          </w:p>
          <w:p>
            <w:pPr>
              <w:numPr>
                <w:ilvl w:val="0"/>
                <w:numId w:val="3"/>
              </w:numPr>
              <w:spacing w:line="360" w:lineRule="auto"/>
              <w:ind w:firstLine="420" w:firstLineChars="200"/>
              <w:rPr>
                <w:rFonts w:ascii="宋体" w:hAnsi="宋体"/>
              </w:rPr>
            </w:pPr>
            <w:r>
              <w:rPr>
                <w:rFonts w:hint="eastAsia" w:ascii="宋体" w:hAnsi="宋体" w:cs="宋体"/>
                <w:szCs w:val="21"/>
              </w:rPr>
              <w:t>评标价低的投标人优先；</w:t>
            </w:r>
          </w:p>
          <w:p>
            <w:pPr>
              <w:numPr>
                <w:ilvl w:val="0"/>
                <w:numId w:val="3"/>
              </w:numPr>
              <w:spacing w:line="360" w:lineRule="auto"/>
              <w:ind w:firstLine="420" w:firstLineChars="200"/>
              <w:rPr>
                <w:rFonts w:ascii="宋体" w:hAnsi="宋体"/>
              </w:rPr>
            </w:pPr>
            <w:r>
              <w:rPr>
                <w:rStyle w:val="214"/>
                <w:rFonts w:hint="eastAsia" w:ascii="宋体" w:hAnsi="宋体" w:eastAsia="宋体"/>
                <w:sz w:val="21"/>
                <w:szCs w:val="21"/>
              </w:rPr>
              <w:t>按招标文件规定被认定为最新年度</w:t>
            </w:r>
            <w:r>
              <w:rPr>
                <w:rStyle w:val="214"/>
                <w:rFonts w:hint="eastAsia" w:ascii="宋体" w:hAnsi="宋体"/>
                <w:sz w:val="21"/>
                <w:szCs w:val="21"/>
                <w:lang w:eastAsia="zh-CN"/>
              </w:rPr>
              <w:t>湛江市</w:t>
            </w:r>
            <w:r>
              <w:rPr>
                <w:rStyle w:val="214"/>
                <w:rFonts w:hint="eastAsia" w:ascii="宋体" w:hAnsi="宋体" w:eastAsia="宋体"/>
                <w:sz w:val="21"/>
                <w:szCs w:val="21"/>
              </w:rPr>
              <w:t>水运工程从业单位信用评价等级较高的投标人优先：</w:t>
            </w:r>
          </w:p>
          <w:p>
            <w:pPr>
              <w:numPr>
                <w:ilvl w:val="255"/>
                <w:numId w:val="0"/>
              </w:numPr>
              <w:spacing w:line="360" w:lineRule="auto"/>
              <w:ind w:firstLine="420" w:firstLineChars="200"/>
              <w:rPr>
                <w:rFonts w:ascii="宋体" w:hAnsi="宋体"/>
              </w:rPr>
            </w:pPr>
            <w:r>
              <w:rPr>
                <w:rStyle w:val="214"/>
                <w:rFonts w:hint="eastAsia" w:ascii="宋体" w:hAnsi="宋体" w:eastAsia="宋体"/>
                <w:sz w:val="21"/>
                <w:szCs w:val="21"/>
              </w:rPr>
              <w:t>【承诺使用的AA级投标人、不承诺使用的AA级投标人、承诺使用的A级投标人、不承诺使用的A级投标人、B级投标人、未参评且被确定为B级投标人】；</w:t>
            </w:r>
          </w:p>
          <w:p>
            <w:pPr>
              <w:spacing w:line="360" w:lineRule="auto"/>
              <w:ind w:firstLine="420" w:firstLineChars="200"/>
              <w:rPr>
                <w:rFonts w:ascii="宋体" w:hAnsi="宋体" w:cs="宋体"/>
                <w:szCs w:val="21"/>
              </w:rPr>
            </w:pPr>
            <w:r>
              <w:rPr>
                <w:rFonts w:hint="eastAsia" w:ascii="宋体" w:hAnsi="宋体" w:cs="宋体"/>
                <w:szCs w:val="21"/>
              </w:rPr>
              <w:t>（3）商务和技术得分较高的投标人优先；</w:t>
            </w:r>
          </w:p>
          <w:p>
            <w:pPr>
              <w:adjustRightInd w:val="0"/>
              <w:spacing w:line="360" w:lineRule="auto"/>
              <w:ind w:firstLine="420" w:firstLineChars="200"/>
              <w:rPr>
                <w:rFonts w:ascii="宋体" w:hAnsi="宋体"/>
                <w:b/>
                <w:bCs/>
                <w:sz w:val="28"/>
                <w:szCs w:val="21"/>
              </w:rPr>
            </w:pPr>
            <w:r>
              <w:rPr>
                <w:rFonts w:hint="eastAsia" w:ascii="宋体" w:hAnsi="宋体" w:cs="宋体"/>
                <w:szCs w:val="21"/>
              </w:rPr>
              <w:t>（4）评标委员会视投标人情况综合比较，投票确定其名次。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380" w:lineRule="atLeast"/>
              <w:jc w:val="center"/>
              <w:rPr>
                <w:rFonts w:ascii="宋体" w:hAnsi="宋体"/>
                <w:szCs w:val="21"/>
              </w:rPr>
            </w:pPr>
            <w:r>
              <w:rPr>
                <w:rFonts w:ascii="宋体" w:hAnsi="宋体"/>
                <w:szCs w:val="21"/>
              </w:rPr>
              <w:t>2.1.1</w:t>
            </w:r>
          </w:p>
          <w:p>
            <w:pPr>
              <w:spacing w:line="380" w:lineRule="atLeast"/>
              <w:jc w:val="center"/>
              <w:rPr>
                <w:rFonts w:ascii="宋体" w:hAnsi="宋体"/>
                <w:szCs w:val="21"/>
              </w:rPr>
            </w:pPr>
            <w:r>
              <w:rPr>
                <w:rFonts w:ascii="宋体" w:hAnsi="宋体"/>
                <w:szCs w:val="21"/>
              </w:rPr>
              <w:t>2.1.3</w:t>
            </w:r>
          </w:p>
        </w:tc>
        <w:tc>
          <w:tcPr>
            <w:tcW w:w="1280" w:type="dxa"/>
            <w:tcBorders>
              <w:top w:val="single" w:color="auto" w:sz="4" w:space="0"/>
              <w:bottom w:val="single" w:color="auto" w:sz="4" w:space="0"/>
              <w:right w:val="single" w:color="auto" w:sz="4" w:space="0"/>
            </w:tcBorders>
            <w:vAlign w:val="center"/>
          </w:tcPr>
          <w:p>
            <w:pPr>
              <w:spacing w:line="380" w:lineRule="atLeast"/>
              <w:jc w:val="center"/>
              <w:rPr>
                <w:rFonts w:ascii="宋体" w:hAnsi="宋体"/>
                <w:szCs w:val="21"/>
              </w:rPr>
            </w:pPr>
            <w:r>
              <w:rPr>
                <w:rFonts w:ascii="宋体" w:hAnsi="宋体"/>
                <w:szCs w:val="21"/>
              </w:rPr>
              <w:t>形式评审与响应性评审标准</w:t>
            </w:r>
          </w:p>
        </w:tc>
        <w:tc>
          <w:tcPr>
            <w:tcW w:w="6622" w:type="dxa"/>
            <w:tcBorders>
              <w:top w:val="single" w:color="auto" w:sz="4" w:space="0"/>
              <w:left w:val="single" w:color="auto" w:sz="4" w:space="0"/>
              <w:right w:val="single" w:color="auto" w:sz="4" w:space="0"/>
            </w:tcBorders>
            <w:vAlign w:val="center"/>
          </w:tcPr>
          <w:p>
            <w:pPr>
              <w:spacing w:line="360" w:lineRule="atLeast"/>
              <w:ind w:firstLine="422" w:firstLineChars="200"/>
              <w:rPr>
                <w:rFonts w:ascii="宋体" w:hAnsi="宋体"/>
                <w:b/>
                <w:szCs w:val="21"/>
              </w:rPr>
            </w:pPr>
            <w:r>
              <w:rPr>
                <w:rFonts w:hint="eastAsia" w:ascii="宋体" w:hAnsi="宋体"/>
                <w:b/>
                <w:szCs w:val="21"/>
              </w:rPr>
              <w:t>第一个信封（商务及技术文件）评审标准：</w:t>
            </w:r>
          </w:p>
          <w:p>
            <w:pPr>
              <w:spacing w:line="360" w:lineRule="auto"/>
              <w:ind w:firstLine="420" w:firstLineChars="200"/>
              <w:rPr>
                <w:rFonts w:ascii="宋体" w:hAnsi="宋体" w:cs="宋体"/>
                <w:szCs w:val="21"/>
              </w:rPr>
            </w:pPr>
            <w:r>
              <w:rPr>
                <w:rFonts w:hint="eastAsia" w:ascii="宋体" w:hAnsi="宋体" w:cs="宋体"/>
                <w:szCs w:val="21"/>
              </w:rPr>
              <w:t>（1）投标文件按照招标文件规定的格式、内容填写，字迹清晰可辨：</w:t>
            </w:r>
          </w:p>
          <w:p>
            <w:pPr>
              <w:spacing w:line="360" w:lineRule="auto"/>
              <w:ind w:firstLine="420" w:firstLineChars="200"/>
              <w:rPr>
                <w:rFonts w:ascii="宋体" w:hAnsi="宋体" w:cs="宋体"/>
                <w:szCs w:val="21"/>
              </w:rPr>
            </w:pPr>
            <w:r>
              <w:rPr>
                <w:rFonts w:hint="eastAsia" w:ascii="宋体" w:hAnsi="宋体" w:cs="宋体"/>
                <w:szCs w:val="21"/>
              </w:rPr>
              <w:t>a.投标函按招标文件规定填报了项目名称、标段号（如有）、服务期限、质量要求及安全目标；</w:t>
            </w:r>
          </w:p>
          <w:p>
            <w:pPr>
              <w:spacing w:line="360" w:lineRule="auto"/>
              <w:ind w:firstLine="420" w:firstLineChars="200"/>
              <w:rPr>
                <w:rFonts w:ascii="宋体" w:hAnsi="宋体" w:cs="宋体"/>
                <w:szCs w:val="21"/>
              </w:rPr>
            </w:pPr>
            <w:r>
              <w:rPr>
                <w:rFonts w:hint="eastAsia" w:ascii="宋体" w:hAnsi="宋体" w:cs="宋体"/>
                <w:szCs w:val="21"/>
              </w:rPr>
              <w:t>b.投标文件组成齐全完整，内容均按规定填写。</w:t>
            </w:r>
          </w:p>
          <w:p>
            <w:pPr>
              <w:spacing w:line="360" w:lineRule="auto"/>
              <w:ind w:firstLine="420" w:firstLineChars="200"/>
              <w:rPr>
                <w:rFonts w:ascii="宋体" w:hAnsi="宋体" w:cs="宋体"/>
                <w:szCs w:val="21"/>
              </w:rPr>
            </w:pPr>
            <w:r>
              <w:rPr>
                <w:rFonts w:hint="eastAsia" w:ascii="宋体" w:hAnsi="宋体" w:cs="宋体"/>
                <w:szCs w:val="21"/>
              </w:rPr>
              <w:t>（2）投标文件上法定代表人或其委托代理人的签字、投标人的单位章盖章齐全，符合招标文件规定。</w:t>
            </w:r>
          </w:p>
          <w:p>
            <w:pPr>
              <w:spacing w:line="360" w:lineRule="auto"/>
              <w:ind w:firstLine="420" w:firstLineChars="200"/>
              <w:rPr>
                <w:rFonts w:ascii="宋体" w:hAnsi="宋体" w:cs="宋体"/>
                <w:szCs w:val="21"/>
              </w:rPr>
            </w:pPr>
            <w:r>
              <w:rPr>
                <w:rFonts w:hint="eastAsia" w:ascii="宋体" w:hAnsi="宋体" w:cs="宋体"/>
                <w:szCs w:val="21"/>
              </w:rPr>
              <w:t>（3） 投标人按照招标文件的规定提供了投标保证金：</w:t>
            </w:r>
          </w:p>
          <w:p>
            <w:pPr>
              <w:spacing w:line="360" w:lineRule="auto"/>
              <w:ind w:firstLine="420" w:firstLineChars="200"/>
              <w:rPr>
                <w:rFonts w:ascii="宋体" w:hAnsi="宋体"/>
                <w:szCs w:val="21"/>
              </w:rPr>
            </w:pPr>
            <w:r>
              <w:rPr>
                <w:rFonts w:hint="eastAsia" w:ascii="宋体" w:hAnsi="宋体" w:cs="宋体"/>
                <w:szCs w:val="21"/>
              </w:rPr>
              <w:t>a.投标保证金金额符合招标文件规定的金额，且投标保证金有效期不少于投标有效期；</w:t>
            </w:r>
          </w:p>
        </w:tc>
      </w:tr>
    </w:tbl>
    <w:p>
      <w:r>
        <w:br w:type="page"/>
      </w:r>
    </w:p>
    <w:tbl>
      <w:tblPr>
        <w:tblStyle w:val="47"/>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nil"/>
              <w:left w:val="nil"/>
              <w:bottom w:val="single" w:color="auto" w:sz="4" w:space="0"/>
              <w:right w:val="nil"/>
            </w:tcBorders>
            <w:vAlign w:val="center"/>
          </w:tcPr>
          <w:p>
            <w:pPr>
              <w:spacing w:line="380" w:lineRule="atLeast"/>
              <w:jc w:val="center"/>
              <w:rPr>
                <w:rFonts w:ascii="宋体" w:hAnsi="宋体"/>
                <w:b/>
                <w:szCs w:val="21"/>
              </w:rPr>
            </w:pPr>
          </w:p>
        </w:tc>
        <w:tc>
          <w:tcPr>
            <w:tcW w:w="6622" w:type="dxa"/>
            <w:tcBorders>
              <w:top w:val="nil"/>
              <w:left w:val="nil"/>
              <w:bottom w:val="single" w:color="auto" w:sz="4" w:space="0"/>
              <w:right w:val="nil"/>
            </w:tcBorders>
            <w:vAlign w:val="center"/>
          </w:tcPr>
          <w:p>
            <w:pPr>
              <w:spacing w:line="380" w:lineRule="atLeast"/>
              <w:jc w:val="right"/>
              <w:rPr>
                <w:rFonts w:ascii="宋体" w:hAnsi="宋体"/>
                <w:spacing w:val="4"/>
                <w:szCs w:val="21"/>
              </w:rPr>
            </w:pPr>
            <w:r>
              <w:rPr>
                <w:rFonts w:hint="eastAsia" w:ascii="宋体" w:hAnsi="宋体"/>
                <w:spacing w:val="4"/>
                <w:szCs w:val="21"/>
              </w:rPr>
              <w:t>续上表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pPr>
              <w:spacing w:line="380" w:lineRule="atLeast"/>
              <w:jc w:val="center"/>
              <w:rPr>
                <w:rFonts w:ascii="宋体" w:hAnsi="宋体"/>
                <w:b/>
                <w:szCs w:val="21"/>
              </w:rPr>
            </w:pPr>
            <w:r>
              <w:rPr>
                <w:rFonts w:ascii="宋体" w:hAnsi="宋体"/>
                <w:b/>
                <w:szCs w:val="21"/>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rFonts w:ascii="宋体" w:hAnsi="宋体"/>
                <w:b/>
                <w:spacing w:val="4"/>
                <w:szCs w:val="21"/>
              </w:rPr>
            </w:pPr>
            <w:r>
              <w:rPr>
                <w:rFonts w:ascii="宋体" w:hAnsi="宋体"/>
                <w:b/>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340" w:lineRule="atLeast"/>
              <w:jc w:val="center"/>
              <w:rPr>
                <w:rFonts w:ascii="宋体" w:hAnsi="宋体"/>
                <w:szCs w:val="21"/>
              </w:rPr>
            </w:pPr>
            <w:r>
              <w:rPr>
                <w:rFonts w:ascii="宋体" w:hAnsi="宋体"/>
                <w:szCs w:val="21"/>
              </w:rPr>
              <w:t>2.1.1</w:t>
            </w:r>
          </w:p>
          <w:p>
            <w:pPr>
              <w:spacing w:line="340" w:lineRule="atLeast"/>
              <w:jc w:val="center"/>
              <w:rPr>
                <w:rFonts w:ascii="宋体" w:hAnsi="宋体"/>
                <w:szCs w:val="21"/>
              </w:rPr>
            </w:pPr>
            <w:r>
              <w:rPr>
                <w:rFonts w:ascii="宋体" w:hAnsi="宋体"/>
                <w:szCs w:val="21"/>
              </w:rPr>
              <w:t>2.1.3</w:t>
            </w:r>
          </w:p>
        </w:tc>
        <w:tc>
          <w:tcPr>
            <w:tcW w:w="1280" w:type="dxa"/>
            <w:tcBorders>
              <w:top w:val="single" w:color="auto" w:sz="4" w:space="0"/>
              <w:bottom w:val="single" w:color="auto" w:sz="4" w:space="0"/>
              <w:right w:val="single" w:color="auto" w:sz="4" w:space="0"/>
            </w:tcBorders>
            <w:vAlign w:val="center"/>
          </w:tcPr>
          <w:p>
            <w:pPr>
              <w:spacing w:line="340" w:lineRule="atLeast"/>
              <w:jc w:val="center"/>
              <w:rPr>
                <w:rFonts w:ascii="宋体" w:hAnsi="宋体"/>
                <w:szCs w:val="21"/>
              </w:rPr>
            </w:pPr>
            <w:r>
              <w:rPr>
                <w:rFonts w:ascii="宋体" w:hAnsi="宋体"/>
                <w:szCs w:val="21"/>
              </w:rPr>
              <w:t>形式评审与响应性评审标准</w:t>
            </w:r>
          </w:p>
        </w:tc>
        <w:tc>
          <w:tcPr>
            <w:tcW w:w="6622" w:type="dxa"/>
            <w:tcBorders>
              <w:top w:val="single" w:color="auto" w:sz="4" w:space="0"/>
              <w:left w:val="single" w:color="auto" w:sz="4" w:space="0"/>
              <w:right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b.若投标保证金采用现金或支票形式提交，投标人应在投标人须知前附表3.4.1款规定的时间，将投标保证金由投标人的基本账户转入招标人指定账户；</w:t>
            </w:r>
          </w:p>
          <w:p>
            <w:pPr>
              <w:spacing w:line="360" w:lineRule="auto"/>
              <w:ind w:firstLine="420" w:firstLineChars="200"/>
              <w:rPr>
                <w:rFonts w:ascii="宋体" w:hAnsi="宋体" w:cs="宋体"/>
                <w:szCs w:val="21"/>
              </w:rPr>
            </w:pPr>
            <w:r>
              <w:rPr>
                <w:rFonts w:hint="eastAsia" w:ascii="宋体" w:hAnsi="宋体" w:cs="宋体"/>
                <w:szCs w:val="21"/>
              </w:rPr>
              <w:t>c.若投标保证金采用银行保函形式提交，银行保函的格式、开具保函的银行均满足招标文件要求，银行保函原件在递交投标文件时单独密封递交，其复印件装订在投标文件中；</w:t>
            </w:r>
          </w:p>
          <w:p>
            <w:pPr>
              <w:spacing w:line="360" w:lineRule="auto"/>
              <w:ind w:firstLine="420" w:firstLineChars="200"/>
              <w:rPr>
                <w:rFonts w:ascii="宋体" w:hAnsi="宋体" w:cs="宋体"/>
                <w:szCs w:val="21"/>
              </w:rPr>
            </w:pPr>
            <w:r>
              <w:rPr>
                <w:rFonts w:hint="eastAsia" w:ascii="宋体" w:hAnsi="宋体" w:cs="宋体"/>
                <w:bCs/>
                <w:szCs w:val="21"/>
              </w:rPr>
              <w:t>d.若投标保证金采用其他形式形式提交，应满足投标人须知前附表3.4.1项的规定</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（4）投标人法定代表人授权委托代理人签署投标文件的，需提交授权委托书，且授权人和被授权人均在授权委托书上签名，未使用印章、签名章或其他电子制版签名代替。</w:t>
            </w:r>
          </w:p>
          <w:p>
            <w:pPr>
              <w:spacing w:line="360" w:lineRule="auto"/>
              <w:ind w:firstLine="420" w:firstLineChars="200"/>
              <w:rPr>
                <w:rFonts w:ascii="宋体" w:hAnsi="宋体" w:cs="宋体"/>
                <w:szCs w:val="21"/>
              </w:rPr>
            </w:pPr>
            <w:r>
              <w:rPr>
                <w:rFonts w:hint="eastAsia" w:ascii="宋体" w:hAnsi="宋体" w:cs="宋体"/>
                <w:szCs w:val="21"/>
              </w:rPr>
              <w:t>（5）投标人法定代表人亲自签署投标文件的，提供了法定代表人身份证明，且法定代表人在法定代表人身份证明上签名，未使用印章、签名章或其他电子制版签名代替。</w:t>
            </w:r>
          </w:p>
          <w:p>
            <w:pPr>
              <w:spacing w:line="360" w:lineRule="auto"/>
              <w:ind w:firstLine="420" w:firstLineChars="200"/>
              <w:rPr>
                <w:rFonts w:ascii="宋体" w:hAnsi="宋体" w:cs="宋体"/>
                <w:szCs w:val="21"/>
              </w:rPr>
            </w:pPr>
            <w:r>
              <w:rPr>
                <w:rFonts w:hint="eastAsia" w:ascii="宋体" w:hAnsi="宋体" w:cs="宋体"/>
                <w:szCs w:val="21"/>
              </w:rPr>
              <w:t>（6）投标人以联合体形式投标时，联合体满足招标文件的要求：投标人按照招标文件提供的格式签订了联合体协议书，明确各方承担连带责任，并明确了联合体牵头人。（适用于允许联合体投标的）</w:t>
            </w:r>
          </w:p>
          <w:p>
            <w:pPr>
              <w:spacing w:line="360" w:lineRule="auto"/>
              <w:ind w:firstLine="420" w:firstLineChars="200"/>
              <w:rPr>
                <w:rFonts w:ascii="宋体" w:hAnsi="宋体" w:cs="宋体"/>
                <w:szCs w:val="21"/>
              </w:rPr>
            </w:pPr>
            <w:r>
              <w:rPr>
                <w:rFonts w:hint="eastAsia" w:ascii="宋体" w:hAnsi="宋体" w:cs="宋体"/>
                <w:szCs w:val="21"/>
              </w:rPr>
              <w:t>（6）投标人未以联合体形式投标。（适用于不允许联合体投标的）</w:t>
            </w:r>
          </w:p>
          <w:p>
            <w:pPr>
              <w:spacing w:line="360" w:lineRule="auto"/>
              <w:ind w:firstLine="420" w:firstLineChars="200"/>
              <w:rPr>
                <w:rFonts w:ascii="宋体" w:hAnsi="宋体" w:cs="宋体"/>
                <w:szCs w:val="21"/>
              </w:rPr>
            </w:pPr>
            <w:r>
              <w:rPr>
                <w:rFonts w:hint="eastAsia" w:ascii="宋体" w:hAnsi="宋体" w:cs="宋体"/>
                <w:szCs w:val="21"/>
              </w:rPr>
              <w:t>（7）投标人如有分包计划，符合招标文件第二章“投标人须知”第1.11款规定，且按招标文件第六章“投标文件格式”的要求填写了“拟分包项目情况表”。</w:t>
            </w:r>
          </w:p>
          <w:p>
            <w:pPr>
              <w:spacing w:line="360" w:lineRule="auto"/>
              <w:ind w:firstLine="420" w:firstLineChars="200"/>
              <w:rPr>
                <w:rFonts w:ascii="宋体" w:hAnsi="宋体" w:cs="宋体"/>
                <w:szCs w:val="21"/>
              </w:rPr>
            </w:pPr>
            <w:r>
              <w:rPr>
                <w:rFonts w:hint="eastAsia" w:ascii="宋体" w:hAnsi="宋体" w:cs="宋体"/>
                <w:szCs w:val="21"/>
              </w:rPr>
              <w:t>（8）同一投标人未提交两个以上不同的投标文件，但招标文件要求提交备选投标的除外。</w:t>
            </w:r>
          </w:p>
          <w:p>
            <w:pPr>
              <w:spacing w:line="360" w:lineRule="auto"/>
              <w:ind w:firstLine="420" w:firstLineChars="200"/>
              <w:rPr>
                <w:rFonts w:ascii="宋体" w:hAnsi="宋体" w:cs="宋体"/>
                <w:szCs w:val="21"/>
              </w:rPr>
            </w:pPr>
            <w:r>
              <w:rPr>
                <w:rFonts w:hint="eastAsia" w:ascii="宋体" w:hAnsi="宋体" w:cs="宋体"/>
                <w:szCs w:val="21"/>
              </w:rPr>
              <w:t>（9）投标文件中未出现有关投标报价的内容。</w:t>
            </w:r>
          </w:p>
          <w:p>
            <w:pPr>
              <w:spacing w:line="360" w:lineRule="auto"/>
              <w:ind w:firstLine="420" w:firstLineChars="200"/>
              <w:rPr>
                <w:rFonts w:ascii="宋体" w:hAnsi="宋体" w:cs="宋体"/>
                <w:szCs w:val="21"/>
              </w:rPr>
            </w:pPr>
            <w:r>
              <w:rPr>
                <w:rFonts w:hint="eastAsia" w:ascii="宋体" w:hAnsi="宋体" w:cs="宋体"/>
                <w:szCs w:val="21"/>
              </w:rPr>
              <w:t>（10）投标文件载明的招标项目完成期限未超过招标文件规定的时限。</w:t>
            </w:r>
          </w:p>
          <w:p>
            <w:pPr>
              <w:spacing w:line="360" w:lineRule="auto"/>
              <w:ind w:firstLine="420" w:firstLineChars="200"/>
              <w:rPr>
                <w:rFonts w:ascii="宋体" w:hAnsi="宋体" w:cs="宋体"/>
                <w:szCs w:val="21"/>
              </w:rPr>
            </w:pPr>
            <w:r>
              <w:rPr>
                <w:rFonts w:hint="eastAsia" w:ascii="宋体" w:hAnsi="宋体" w:cs="宋体"/>
                <w:szCs w:val="21"/>
              </w:rPr>
              <w:t>（11）投标文件对招标文件的实质性要求和条件作出响应。</w:t>
            </w:r>
          </w:p>
          <w:p>
            <w:pPr>
              <w:spacing w:line="360" w:lineRule="auto"/>
              <w:ind w:firstLine="420" w:firstLineChars="200"/>
              <w:rPr>
                <w:rFonts w:ascii="宋体" w:hAnsi="宋体" w:cs="宋体"/>
                <w:szCs w:val="21"/>
              </w:rPr>
            </w:pPr>
            <w:r>
              <w:rPr>
                <w:rFonts w:hint="eastAsia" w:ascii="宋体" w:hAnsi="宋体" w:cs="宋体"/>
                <w:szCs w:val="21"/>
              </w:rPr>
              <w:t>（12）权利义务符合招标文件规定：</w:t>
            </w:r>
          </w:p>
          <w:p>
            <w:pPr>
              <w:spacing w:line="360" w:lineRule="auto"/>
              <w:ind w:firstLine="420" w:firstLineChars="200"/>
              <w:rPr>
                <w:rFonts w:ascii="宋体" w:hAnsi="宋体" w:cs="宋体"/>
                <w:szCs w:val="21"/>
              </w:rPr>
            </w:pPr>
            <w:r>
              <w:rPr>
                <w:rFonts w:hint="eastAsia" w:ascii="宋体" w:hAnsi="宋体" w:cs="宋体"/>
                <w:szCs w:val="21"/>
              </w:rPr>
              <w:t>a.投标人应接受招标文件规定的风险划分原则，未提出新的风险划分办法；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b.投标人未增加发包人的责任范围，或减少投标人义务；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c.投标人未提出不同的支付办法；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d.投标人对合同纠纷、事故处理办法未提出异议；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e.投标人在投标活动中无欺诈行为；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f.投标人未对合同条款有重要保留。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（13）投标文件正、副本份数符合招标文件第二章“投标人须知”第3.7.4项规定。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szCs w:val="21"/>
              </w:rPr>
              <w:t>（14）</w:t>
            </w:r>
            <w:r>
              <w:rPr>
                <w:rFonts w:ascii="宋体" w:hAnsi="宋体"/>
                <w:szCs w:val="21"/>
              </w:rPr>
              <w:t>投标文件</w:t>
            </w:r>
            <w:r>
              <w:rPr>
                <w:rFonts w:hint="eastAsia" w:ascii="宋体" w:hAnsi="宋体"/>
                <w:szCs w:val="21"/>
              </w:rPr>
              <w:t>未</w:t>
            </w:r>
            <w:r>
              <w:rPr>
                <w:rFonts w:ascii="宋体" w:hAnsi="宋体"/>
                <w:szCs w:val="21"/>
              </w:rPr>
              <w:t>附有招标人不能接受的条件。</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b/>
                <w:szCs w:val="21"/>
              </w:rPr>
            </w:pPr>
            <w:r>
              <w:rPr>
                <w:rFonts w:hint="eastAsia" w:ascii="宋体" w:hAnsi="宋体"/>
                <w:b/>
                <w:szCs w:val="21"/>
              </w:rPr>
              <w:t>第二个信封（报价文件）评审标准：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（1）投标文件按照招标文件规定的格式、内容填写，字迹清晰可辨，内容齐全完整：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a.投标函按招标文件规定填报了项目名称、标段号</w:t>
            </w:r>
            <w:r>
              <w:rPr>
                <w:rStyle w:val="228"/>
                <w:rFonts w:hint="eastAsia" w:ascii="宋体" w:hAnsi="宋体" w:eastAsia="宋体"/>
                <w:sz w:val="21"/>
                <w:szCs w:val="21"/>
              </w:rPr>
              <w:t>（如有）</w:t>
            </w:r>
            <w:r>
              <w:rPr>
                <w:rFonts w:hint="eastAsia" w:ascii="宋体" w:hAnsi="宋体" w:cs="宋体"/>
                <w:szCs w:val="21"/>
              </w:rPr>
              <w:t>、投标总报价（包括大写金额和小写金额）；</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b.已标价报价清单说明文字与招标文件规定一致，未进行实质性修改和删减；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c.投标文件组成齐全完整，内容均按规定填写。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（2）投标文件上法定代表人或其委托代理人的签字、投标人的单位章盖章齐全，符合招标文件规定。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（3）投标报价未超过招标文件设定的最高投标限价（如有）。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（4）投标报价的大写金额能够确定具体数值。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rPr>
            </w:pPr>
            <w:r>
              <w:rPr>
                <w:rFonts w:hint="eastAsia" w:ascii="宋体" w:hAnsi="宋体" w:cs="宋体"/>
                <w:szCs w:val="21"/>
              </w:rPr>
              <w:t>（5）同一投标人未提交两个以上不同的投标报价，但招标文件要求提交备选投标的除外。</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szCs w:val="21"/>
              </w:rPr>
            </w:pPr>
            <w:r>
              <w:rPr>
                <w:rFonts w:hint="eastAsia" w:ascii="宋体" w:hAnsi="宋体" w:cs="宋体"/>
                <w:szCs w:val="21"/>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989" w:type="dxa"/>
            <w:tcBorders>
              <w:top w:val="single" w:color="auto" w:sz="4" w:space="0"/>
              <w:right w:val="single" w:color="auto" w:sz="4" w:space="0"/>
            </w:tcBorders>
            <w:vAlign w:val="center"/>
          </w:tcPr>
          <w:p>
            <w:pPr>
              <w:spacing w:line="340" w:lineRule="atLeast"/>
              <w:jc w:val="center"/>
              <w:rPr>
                <w:rFonts w:ascii="宋体" w:hAnsi="宋体"/>
                <w:szCs w:val="21"/>
              </w:rPr>
            </w:pPr>
            <w:r>
              <w:rPr>
                <w:rFonts w:ascii="宋体" w:hAnsi="宋体"/>
                <w:szCs w:val="21"/>
              </w:rPr>
              <w:t>2.1.2</w:t>
            </w:r>
          </w:p>
        </w:tc>
        <w:tc>
          <w:tcPr>
            <w:tcW w:w="1280" w:type="dxa"/>
            <w:tcBorders>
              <w:top w:val="single" w:color="auto" w:sz="4" w:space="0"/>
              <w:right w:val="single" w:color="auto" w:sz="4" w:space="0"/>
            </w:tcBorders>
            <w:vAlign w:val="center"/>
          </w:tcPr>
          <w:p>
            <w:pPr>
              <w:spacing w:line="340" w:lineRule="atLeast"/>
              <w:jc w:val="center"/>
              <w:rPr>
                <w:rFonts w:ascii="宋体" w:hAnsi="宋体"/>
                <w:szCs w:val="21"/>
              </w:rPr>
            </w:pPr>
            <w:r>
              <w:rPr>
                <w:rFonts w:ascii="宋体" w:hAnsi="宋体"/>
                <w:szCs w:val="21"/>
              </w:rPr>
              <w:t>资格评审标准</w:t>
            </w:r>
          </w:p>
        </w:tc>
        <w:tc>
          <w:tcPr>
            <w:tcW w:w="6622" w:type="dxa"/>
            <w:tcBorders>
              <w:top w:val="single" w:color="auto" w:sz="4" w:space="0"/>
              <w:left w:val="single" w:color="auto" w:sz="4" w:space="0"/>
              <w:right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1）投标人具备有效的营业执照（或事业单位法人证书）、资质证书、工程咨询单位通过全国投资项目在线审批监管平台备案的证明材料和基本账户开户许可证（如企业所在地已取消企业银行账户许可而无法提供开户许可证的，则需附上开户银行出具的“基本存款账户信息”或“人民银行账户管理系统查询的基本账户信息截图”）。</w:t>
            </w:r>
          </w:p>
          <w:p>
            <w:pPr>
              <w:spacing w:line="360" w:lineRule="auto"/>
              <w:ind w:firstLine="420" w:firstLineChars="200"/>
              <w:rPr>
                <w:rFonts w:ascii="宋体" w:hAnsi="宋体" w:cs="宋体"/>
                <w:szCs w:val="21"/>
              </w:rPr>
            </w:pPr>
            <w:r>
              <w:rPr>
                <w:rFonts w:ascii="宋体" w:hAnsi="宋体" w:cs="宋体"/>
                <w:szCs w:val="21"/>
              </w:rPr>
              <w:t>（2）投标人的资质等级符合招标文件规定。</w:t>
            </w:r>
          </w:p>
          <w:p>
            <w:pPr>
              <w:spacing w:line="360" w:lineRule="auto"/>
              <w:ind w:firstLine="420" w:firstLineChars="200"/>
              <w:rPr>
                <w:rFonts w:ascii="宋体" w:hAnsi="宋体" w:cs="宋体"/>
                <w:szCs w:val="21"/>
              </w:rPr>
            </w:pPr>
            <w:r>
              <w:rPr>
                <w:rFonts w:ascii="宋体" w:hAnsi="宋体" w:cs="宋体"/>
                <w:szCs w:val="21"/>
              </w:rPr>
              <w:t>（3）投标人的类似项目业绩符合招标文件规定。</w:t>
            </w:r>
          </w:p>
          <w:p>
            <w:pPr>
              <w:spacing w:line="360" w:lineRule="auto"/>
              <w:ind w:firstLine="420" w:firstLineChars="200"/>
              <w:rPr>
                <w:rFonts w:ascii="宋体" w:hAnsi="宋体" w:cs="宋体"/>
                <w:szCs w:val="21"/>
              </w:rPr>
            </w:pPr>
            <w:r>
              <w:rPr>
                <w:rFonts w:ascii="宋体" w:hAnsi="宋体" w:cs="宋体"/>
                <w:szCs w:val="21"/>
              </w:rPr>
              <w:t>（4）投标人的信誉符合招标文件规定。</w:t>
            </w:r>
          </w:p>
          <w:p>
            <w:pPr>
              <w:spacing w:line="360" w:lineRule="auto"/>
              <w:ind w:firstLine="420" w:firstLineChars="200"/>
              <w:rPr>
                <w:rFonts w:ascii="宋体" w:hAnsi="宋体" w:cs="宋体"/>
                <w:szCs w:val="21"/>
              </w:rPr>
            </w:pPr>
            <w:r>
              <w:rPr>
                <w:rFonts w:ascii="宋体" w:hAnsi="宋体" w:cs="宋体"/>
                <w:szCs w:val="21"/>
              </w:rPr>
              <w:t>（5）投标人的项目负责人资格符合招标文件规定。</w:t>
            </w:r>
          </w:p>
          <w:p>
            <w:pPr>
              <w:spacing w:line="360" w:lineRule="auto"/>
              <w:ind w:firstLine="420" w:firstLineChars="200"/>
              <w:rPr>
                <w:rFonts w:ascii="宋体" w:hAnsi="宋体" w:cs="宋体"/>
                <w:szCs w:val="21"/>
              </w:rPr>
            </w:pPr>
            <w:r>
              <w:rPr>
                <w:rFonts w:ascii="宋体" w:hAnsi="宋体" w:cs="宋体"/>
                <w:szCs w:val="21"/>
              </w:rPr>
              <w:t>（</w:t>
            </w:r>
            <w:r>
              <w:rPr>
                <w:rFonts w:hint="eastAsia" w:ascii="宋体" w:hAnsi="宋体" w:cs="宋体"/>
                <w:szCs w:val="21"/>
              </w:rPr>
              <w:t>6</w:t>
            </w:r>
            <w:r>
              <w:rPr>
                <w:rFonts w:ascii="宋体" w:hAnsi="宋体" w:cs="宋体"/>
                <w:szCs w:val="21"/>
              </w:rPr>
              <w:t>）投标人的其他要求符合招标文件规定。</w:t>
            </w:r>
            <w:r>
              <w:rPr>
                <w:rFonts w:hint="eastAsia" w:ascii="宋体" w:hAnsi="宋体" w:eastAsia="宋体" w:cs="宋体"/>
                <w:szCs w:val="21"/>
                <w:vertAlign w:val="superscript"/>
              </w:rPr>
              <w:footnoteReference w:id="55"/>
            </w:r>
          </w:p>
          <w:p>
            <w:pPr>
              <w:spacing w:line="360" w:lineRule="auto"/>
              <w:ind w:firstLine="420" w:firstLineChars="200"/>
              <w:rPr>
                <w:rFonts w:ascii="宋体" w:hAnsi="宋体" w:cs="宋体"/>
                <w:szCs w:val="21"/>
              </w:rPr>
            </w:pPr>
            <w:r>
              <w:rPr>
                <w:rFonts w:ascii="宋体" w:hAnsi="宋体" w:cs="宋体"/>
                <w:szCs w:val="21"/>
              </w:rPr>
              <w:t>（</w:t>
            </w:r>
            <w:r>
              <w:rPr>
                <w:rFonts w:hint="eastAsia" w:ascii="宋体" w:hAnsi="宋体" w:cs="宋体"/>
                <w:szCs w:val="21"/>
              </w:rPr>
              <w:t>7</w:t>
            </w:r>
            <w:r>
              <w:rPr>
                <w:rFonts w:ascii="宋体" w:hAnsi="宋体" w:cs="宋体"/>
                <w:szCs w:val="21"/>
              </w:rPr>
              <w:t>）投标人不存在第二章“投标人须知”第1.4.3项或第1.4.4项规定的任何一种情形。</w:t>
            </w:r>
          </w:p>
          <w:p>
            <w:pPr>
              <w:spacing w:line="360" w:lineRule="auto"/>
              <w:ind w:firstLine="420" w:firstLineChars="200"/>
              <w:rPr>
                <w:rFonts w:ascii="宋体" w:hAnsi="宋体"/>
                <w:szCs w:val="21"/>
              </w:rPr>
            </w:pPr>
            <w:r>
              <w:rPr>
                <w:rFonts w:ascii="宋体" w:hAnsi="宋体" w:cs="宋体"/>
                <w:szCs w:val="21"/>
              </w:rPr>
              <w:t>（</w:t>
            </w:r>
            <w:r>
              <w:rPr>
                <w:rFonts w:hint="eastAsia" w:ascii="宋体" w:hAnsi="宋体" w:cs="宋体"/>
                <w:szCs w:val="21"/>
              </w:rPr>
              <w:t>8</w:t>
            </w:r>
            <w:r>
              <w:rPr>
                <w:rFonts w:ascii="宋体" w:hAnsi="宋体" w:cs="宋体"/>
                <w:szCs w:val="21"/>
              </w:rPr>
              <w:t>）以联合体形式参与投标的，联合体各方均未再以自己名义单独或参加其他联合体在同一标段中投</w:t>
            </w:r>
            <w:r>
              <w:rPr>
                <w:rFonts w:hint="eastAsia" w:ascii="宋体" w:hAnsi="宋体" w:cs="宋体"/>
                <w:szCs w:val="21"/>
              </w:rPr>
              <w:t>标；独立参与投标的，投标人未同时参加联合体在同一标段中投标</w:t>
            </w:r>
            <w:r>
              <w:rPr>
                <w:rStyle w:val="56"/>
                <w:rFonts w:hint="eastAsia" w:ascii="宋体" w:hAnsi="宋体"/>
                <w:sz w:val="30"/>
              </w:rPr>
              <w:footnoteReference w:id="56"/>
            </w:r>
            <w:r>
              <w:rPr>
                <w:rFonts w:hint="eastAsia" w:ascii="宋体" w:hAnsi="宋体" w:cs="宋体"/>
                <w:szCs w:val="21"/>
              </w:rPr>
              <w:t>。</w:t>
            </w:r>
          </w:p>
        </w:tc>
      </w:tr>
    </w:tbl>
    <w:p/>
    <w:p>
      <w:pPr>
        <w:widowControl/>
        <w:jc w:val="left"/>
      </w:pPr>
      <w:r>
        <w:br w:type="page"/>
      </w:r>
    </w:p>
    <w:p>
      <w:pPr>
        <w:ind w:right="210" w:rightChars="100"/>
        <w:jc w:val="right"/>
      </w:pPr>
      <w:r>
        <w:rPr>
          <w:rFonts w:hint="eastAsia"/>
          <w:spacing w:val="4"/>
          <w:szCs w:val="21"/>
        </w:rPr>
        <w:t>续上表</w:t>
      </w:r>
    </w:p>
    <w:tbl>
      <w:tblPr>
        <w:tblStyle w:val="47"/>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vAlign w:val="center"/>
          </w:tcPr>
          <w:p>
            <w:pPr>
              <w:spacing w:line="380" w:lineRule="atLeast"/>
              <w:jc w:val="center"/>
              <w:rPr>
                <w:rFonts w:ascii="宋体" w:hAnsi="宋体"/>
                <w:b/>
                <w:szCs w:val="21"/>
              </w:rPr>
            </w:pPr>
            <w:r>
              <w:rPr>
                <w:rFonts w:ascii="宋体" w:hAnsi="宋体"/>
                <w:b/>
                <w:szCs w:val="21"/>
              </w:rPr>
              <w:t>条款号</w:t>
            </w:r>
          </w:p>
        </w:tc>
        <w:tc>
          <w:tcPr>
            <w:tcW w:w="1280" w:type="dxa"/>
            <w:tcBorders>
              <w:top w:val="single" w:color="auto" w:sz="4" w:space="0"/>
              <w:right w:val="single" w:color="auto" w:sz="4" w:space="0"/>
            </w:tcBorders>
            <w:vAlign w:val="center"/>
          </w:tcPr>
          <w:p>
            <w:pPr>
              <w:spacing w:line="380" w:lineRule="atLeast"/>
              <w:jc w:val="center"/>
              <w:rPr>
                <w:rFonts w:ascii="宋体" w:hAnsi="宋体"/>
                <w:b/>
                <w:szCs w:val="21"/>
              </w:rPr>
            </w:pPr>
            <w:r>
              <w:rPr>
                <w:rFonts w:ascii="宋体" w:hAnsi="宋体"/>
                <w:b/>
                <w:szCs w:val="21"/>
              </w:rPr>
              <w:t>条款内容</w:t>
            </w:r>
          </w:p>
        </w:tc>
        <w:tc>
          <w:tcPr>
            <w:tcW w:w="6622" w:type="dxa"/>
            <w:tcBorders>
              <w:top w:val="single" w:color="auto" w:sz="4" w:space="0"/>
              <w:left w:val="single" w:color="auto" w:sz="4" w:space="0"/>
              <w:right w:val="single" w:color="auto" w:sz="4" w:space="0"/>
            </w:tcBorders>
            <w:vAlign w:val="center"/>
          </w:tcPr>
          <w:p>
            <w:pPr>
              <w:spacing w:line="380" w:lineRule="atLeast"/>
              <w:jc w:val="center"/>
              <w:rPr>
                <w:rFonts w:ascii="宋体" w:hAnsi="宋体"/>
                <w:b/>
                <w:szCs w:val="21"/>
              </w:rPr>
            </w:pPr>
            <w:r>
              <w:rPr>
                <w:rFonts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3" w:hRule="atLeast"/>
        </w:trPr>
        <w:tc>
          <w:tcPr>
            <w:tcW w:w="989" w:type="dxa"/>
            <w:tcBorders>
              <w:top w:val="single" w:color="auto" w:sz="4" w:space="0"/>
              <w:right w:val="single" w:color="auto" w:sz="4" w:space="0"/>
            </w:tcBorders>
            <w:vAlign w:val="center"/>
          </w:tcPr>
          <w:p>
            <w:pPr>
              <w:spacing w:line="380" w:lineRule="atLeast"/>
              <w:jc w:val="center"/>
              <w:rPr>
                <w:rFonts w:ascii="宋体" w:hAnsi="宋体"/>
                <w:szCs w:val="21"/>
              </w:rPr>
            </w:pPr>
            <w:r>
              <w:rPr>
                <w:rFonts w:ascii="宋体" w:hAnsi="宋体"/>
                <w:szCs w:val="21"/>
              </w:rPr>
              <w:t>2.2.1</w:t>
            </w:r>
          </w:p>
        </w:tc>
        <w:tc>
          <w:tcPr>
            <w:tcW w:w="1280" w:type="dxa"/>
            <w:tcBorders>
              <w:top w:val="single" w:color="auto" w:sz="4" w:space="0"/>
              <w:right w:val="single" w:color="auto" w:sz="4" w:space="0"/>
            </w:tcBorders>
            <w:vAlign w:val="center"/>
          </w:tcPr>
          <w:p>
            <w:pPr>
              <w:spacing w:line="380" w:lineRule="atLeast"/>
              <w:jc w:val="center"/>
              <w:rPr>
                <w:rFonts w:ascii="宋体" w:hAnsi="宋体"/>
                <w:szCs w:val="21"/>
              </w:rPr>
            </w:pPr>
            <w:r>
              <w:rPr>
                <w:rFonts w:ascii="宋体" w:hAnsi="宋体"/>
                <w:szCs w:val="21"/>
              </w:rPr>
              <w:t>分值构成</w:t>
            </w:r>
            <w:r>
              <w:rPr>
                <w:rStyle w:val="56"/>
                <w:rFonts w:ascii="宋体" w:hAnsi="宋体"/>
                <w:sz w:val="32"/>
                <w:szCs w:val="32"/>
              </w:rPr>
              <w:footnoteReference w:id="57"/>
            </w:r>
          </w:p>
          <w:p>
            <w:pPr>
              <w:spacing w:line="380" w:lineRule="atLeast"/>
              <w:ind w:left="-105" w:leftChars="-50" w:right="-105" w:rightChars="-50"/>
              <w:jc w:val="center"/>
              <w:rPr>
                <w:rFonts w:ascii="宋体" w:hAnsi="宋体"/>
                <w:szCs w:val="21"/>
              </w:rPr>
            </w:pPr>
            <w:r>
              <w:rPr>
                <w:rFonts w:ascii="宋体" w:hAnsi="宋体"/>
                <w:szCs w:val="21"/>
              </w:rPr>
              <w:t>（总分100分）</w:t>
            </w:r>
          </w:p>
        </w:tc>
        <w:tc>
          <w:tcPr>
            <w:tcW w:w="6622" w:type="dxa"/>
            <w:tcBorders>
              <w:top w:val="single" w:color="auto" w:sz="4" w:space="0"/>
              <w:left w:val="single" w:color="auto" w:sz="4" w:space="0"/>
              <w:right w:val="single" w:color="auto" w:sz="4" w:space="0"/>
            </w:tcBorders>
            <w:vAlign w:val="center"/>
          </w:tcPr>
          <w:p>
            <w:pPr>
              <w:spacing w:line="360" w:lineRule="auto"/>
              <w:ind w:firstLine="422" w:firstLineChars="200"/>
              <w:rPr>
                <w:rFonts w:ascii="宋体" w:hAnsi="宋体"/>
                <w:sz w:val="18"/>
                <w:szCs w:val="21"/>
              </w:rPr>
            </w:pPr>
            <w:r>
              <w:rPr>
                <w:rFonts w:hint="eastAsia" w:ascii="宋体" w:hAnsi="宋体"/>
                <w:b/>
                <w:szCs w:val="21"/>
              </w:rPr>
              <w:t>第一个信封（商务及技术文件）评分分值构成：</w:t>
            </w:r>
          </w:p>
          <w:p>
            <w:pPr>
              <w:spacing w:line="360" w:lineRule="auto"/>
              <w:ind w:firstLine="420" w:firstLineChars="200"/>
              <w:rPr>
                <w:rFonts w:ascii="宋体" w:hAnsi="宋体"/>
                <w:szCs w:val="21"/>
              </w:rPr>
            </w:pPr>
            <w:r>
              <w:rPr>
                <w:rFonts w:hint="eastAsia" w:ascii="宋体" w:hAnsi="宋体"/>
                <w:szCs w:val="21"/>
              </w:rPr>
              <w:t>技术建议书：</w:t>
            </w:r>
            <w:r>
              <w:rPr>
                <w:rFonts w:ascii="宋体" w:hAnsi="宋体"/>
                <w:szCs w:val="21"/>
                <w:u w:val="single"/>
              </w:rPr>
              <w:t>4</w:t>
            </w:r>
            <w:r>
              <w:rPr>
                <w:rFonts w:hint="eastAsia" w:ascii="宋体" w:hAnsi="宋体"/>
                <w:szCs w:val="21"/>
                <w:u w:val="single"/>
              </w:rPr>
              <w:t>0-50</w:t>
            </w:r>
            <w:r>
              <w:rPr>
                <w:rFonts w:hint="eastAsia" w:ascii="宋体" w:hAnsi="宋体"/>
                <w:szCs w:val="21"/>
              </w:rPr>
              <w:t>分</w:t>
            </w:r>
          </w:p>
          <w:p>
            <w:pPr>
              <w:spacing w:line="360" w:lineRule="auto"/>
              <w:ind w:firstLine="420" w:firstLineChars="200"/>
              <w:rPr>
                <w:rFonts w:ascii="宋体" w:hAnsi="宋体"/>
                <w:szCs w:val="21"/>
              </w:rPr>
            </w:pPr>
            <w:r>
              <w:rPr>
                <w:rFonts w:hint="eastAsia" w:ascii="宋体" w:hAnsi="宋体"/>
                <w:szCs w:val="21"/>
              </w:rPr>
              <w:t>主要人员：</w:t>
            </w:r>
            <w:r>
              <w:rPr>
                <w:rFonts w:ascii="宋体" w:hAnsi="宋体"/>
                <w:szCs w:val="21"/>
                <w:u w:val="single"/>
              </w:rPr>
              <w:t>5</w:t>
            </w:r>
            <w:r>
              <w:rPr>
                <w:rFonts w:hint="eastAsia" w:ascii="宋体" w:hAnsi="宋体"/>
                <w:szCs w:val="21"/>
                <w:u w:val="single"/>
              </w:rPr>
              <w:t>-15</w:t>
            </w:r>
            <w:r>
              <w:rPr>
                <w:rFonts w:hint="eastAsia" w:ascii="宋体" w:hAnsi="宋体"/>
                <w:szCs w:val="21"/>
              </w:rPr>
              <w:t>分</w:t>
            </w:r>
          </w:p>
          <w:p>
            <w:pPr>
              <w:pStyle w:val="18"/>
              <w:spacing w:line="360" w:lineRule="auto"/>
              <w:ind w:firstLine="420" w:firstLineChars="200"/>
              <w:rPr>
                <w:rFonts w:ascii="宋体" w:hAnsi="宋体"/>
                <w:u w:val="single"/>
              </w:rPr>
            </w:pPr>
            <w:r>
              <w:rPr>
                <w:rFonts w:hint="eastAsia" w:ascii="宋体" w:hAnsi="宋体"/>
                <w:szCs w:val="21"/>
              </w:rPr>
              <w:t>其他因素：</w:t>
            </w:r>
            <w:r>
              <w:rPr>
                <w:rFonts w:hint="eastAsia" w:ascii="宋体" w:hAnsi="宋体"/>
                <w:szCs w:val="21"/>
                <w:u w:val="single"/>
              </w:rPr>
              <w:t>20-35</w:t>
            </w:r>
            <w:r>
              <w:rPr>
                <w:rFonts w:hint="eastAsia" w:ascii="宋体" w:hAnsi="宋体"/>
                <w:szCs w:val="21"/>
              </w:rPr>
              <w:t>分，其中：</w:t>
            </w:r>
          </w:p>
          <w:p>
            <w:pPr>
              <w:spacing w:line="360" w:lineRule="auto"/>
              <w:ind w:firstLine="420" w:firstLineChars="200"/>
              <w:rPr>
                <w:rFonts w:ascii="宋体" w:hAnsi="宋体"/>
                <w:szCs w:val="21"/>
              </w:rPr>
            </w:pPr>
            <w:r>
              <w:rPr>
                <w:rFonts w:hint="eastAsia" w:ascii="宋体" w:hAnsi="宋体"/>
                <w:szCs w:val="21"/>
              </w:rPr>
              <w:t>企业综合能力：</w:t>
            </w:r>
            <w:r>
              <w:rPr>
                <w:rFonts w:hint="eastAsia" w:ascii="宋体" w:hAnsi="宋体"/>
                <w:szCs w:val="21"/>
                <w:u w:val="single"/>
              </w:rPr>
              <w:t>0-5</w:t>
            </w:r>
            <w:r>
              <w:rPr>
                <w:rFonts w:hint="eastAsia" w:ascii="宋体" w:hAnsi="宋体"/>
                <w:szCs w:val="21"/>
              </w:rPr>
              <w:t>分</w:t>
            </w:r>
          </w:p>
          <w:p>
            <w:pPr>
              <w:spacing w:line="360" w:lineRule="auto"/>
              <w:ind w:firstLine="420" w:firstLineChars="200"/>
              <w:rPr>
                <w:rFonts w:ascii="宋体" w:hAnsi="宋体"/>
                <w:sz w:val="18"/>
                <w:szCs w:val="21"/>
              </w:rPr>
            </w:pPr>
            <w:r>
              <w:rPr>
                <w:rFonts w:hint="eastAsia" w:ascii="宋体" w:hAnsi="宋体"/>
                <w:szCs w:val="21"/>
              </w:rPr>
              <w:t>业绩：</w:t>
            </w:r>
            <w:r>
              <w:rPr>
                <w:rFonts w:hint="eastAsia" w:ascii="宋体" w:hAnsi="宋体"/>
                <w:szCs w:val="21"/>
                <w:u w:val="single"/>
              </w:rPr>
              <w:t>10-20</w:t>
            </w:r>
            <w:r>
              <w:rPr>
                <w:rFonts w:hint="eastAsia" w:ascii="宋体" w:hAnsi="宋体"/>
                <w:szCs w:val="21"/>
              </w:rPr>
              <w:t>分</w:t>
            </w:r>
          </w:p>
          <w:p>
            <w:pPr>
              <w:spacing w:line="360" w:lineRule="auto"/>
              <w:ind w:firstLine="420" w:firstLineChars="200"/>
              <w:rPr>
                <w:rFonts w:ascii="宋体" w:hAnsi="宋体"/>
                <w:sz w:val="18"/>
                <w:szCs w:val="21"/>
              </w:rPr>
            </w:pPr>
            <w:r>
              <w:rPr>
                <w:rFonts w:ascii="宋体" w:hAnsi="宋体"/>
                <w:szCs w:val="21"/>
              </w:rPr>
              <w:t>履约信誉：</w:t>
            </w:r>
            <w:r>
              <w:rPr>
                <w:rFonts w:hint="eastAsia" w:ascii="宋体" w:hAnsi="宋体"/>
                <w:szCs w:val="21"/>
                <w:u w:val="single"/>
              </w:rPr>
              <w:t>10</w:t>
            </w:r>
            <w:r>
              <w:rPr>
                <w:rFonts w:ascii="宋体" w:hAnsi="宋体"/>
                <w:szCs w:val="21"/>
              </w:rPr>
              <w:t>分</w:t>
            </w:r>
          </w:p>
          <w:p>
            <w:pPr>
              <w:spacing w:line="360" w:lineRule="auto"/>
              <w:ind w:firstLine="422" w:firstLineChars="200"/>
              <w:rPr>
                <w:rFonts w:ascii="宋体" w:hAnsi="宋体"/>
                <w:b/>
                <w:szCs w:val="21"/>
              </w:rPr>
            </w:pPr>
            <w:r>
              <w:rPr>
                <w:rFonts w:hint="eastAsia" w:ascii="宋体" w:hAnsi="宋体"/>
                <w:b/>
                <w:szCs w:val="21"/>
              </w:rPr>
              <w:t>第二个信封（报价文件）评分分值构成：</w:t>
            </w:r>
          </w:p>
          <w:p>
            <w:pPr>
              <w:spacing w:line="360" w:lineRule="auto"/>
              <w:ind w:right="4305" w:rightChars="2050" w:firstLine="420"/>
              <w:jc w:val="distribute"/>
              <w:rPr>
                <w:rFonts w:ascii="宋体" w:hAnsi="宋体"/>
                <w:szCs w:val="21"/>
              </w:rPr>
            </w:pPr>
            <w:r>
              <w:rPr>
                <w:rFonts w:ascii="宋体" w:hAnsi="宋体"/>
                <w:szCs w:val="21"/>
              </w:rPr>
              <w:t>评标价：</w:t>
            </w:r>
            <w:r>
              <w:rPr>
                <w:rFonts w:hint="eastAsia" w:ascii="宋体" w:hAnsi="宋体"/>
                <w:szCs w:val="21"/>
                <w:u w:val="single"/>
              </w:rPr>
              <w:t>10-25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89" w:type="dxa"/>
            <w:tcBorders>
              <w:top w:val="single" w:color="auto" w:sz="4" w:space="0"/>
              <w:right w:val="single" w:color="auto" w:sz="4" w:space="0"/>
            </w:tcBorders>
            <w:vAlign w:val="center"/>
          </w:tcPr>
          <w:p>
            <w:pPr>
              <w:spacing w:line="380" w:lineRule="atLeast"/>
              <w:jc w:val="center"/>
              <w:rPr>
                <w:rFonts w:ascii="宋体" w:hAnsi="宋体"/>
                <w:szCs w:val="21"/>
              </w:rPr>
            </w:pPr>
            <w:r>
              <w:rPr>
                <w:rFonts w:ascii="宋体" w:hAnsi="宋体"/>
                <w:szCs w:val="21"/>
              </w:rPr>
              <w:t>2.2.2</w:t>
            </w:r>
          </w:p>
        </w:tc>
        <w:tc>
          <w:tcPr>
            <w:tcW w:w="1280" w:type="dxa"/>
            <w:tcBorders>
              <w:top w:val="single" w:color="auto" w:sz="4" w:space="0"/>
              <w:right w:val="single" w:color="auto" w:sz="4" w:space="0"/>
            </w:tcBorders>
            <w:vAlign w:val="center"/>
          </w:tcPr>
          <w:p>
            <w:pPr>
              <w:spacing w:line="380" w:lineRule="atLeast"/>
              <w:jc w:val="center"/>
              <w:rPr>
                <w:rFonts w:ascii="宋体" w:hAnsi="宋体"/>
                <w:szCs w:val="21"/>
              </w:rPr>
            </w:pPr>
            <w:r>
              <w:rPr>
                <w:rFonts w:ascii="宋体" w:hAnsi="宋体"/>
                <w:szCs w:val="21"/>
              </w:rPr>
              <w:t>评标基准价计算方法</w:t>
            </w:r>
          </w:p>
        </w:tc>
        <w:tc>
          <w:tcPr>
            <w:tcW w:w="6622" w:type="dxa"/>
            <w:tcBorders>
              <w:top w:val="single" w:color="auto" w:sz="4" w:space="0"/>
              <w:left w:val="single" w:color="auto" w:sz="4" w:space="0"/>
              <w:right w:val="single" w:color="auto" w:sz="4" w:space="0"/>
            </w:tcBorders>
            <w:vAlign w:val="center"/>
          </w:tcPr>
          <w:p>
            <w:pPr>
              <w:spacing w:line="360" w:lineRule="auto"/>
              <w:ind w:firstLine="420" w:firstLineChars="200"/>
              <w:jc w:val="left"/>
              <w:rPr>
                <w:rFonts w:ascii="宋体" w:hAnsi="宋体" w:cs="宋体"/>
                <w:szCs w:val="21"/>
              </w:rPr>
            </w:pPr>
            <w:r>
              <w:rPr>
                <w:rFonts w:hint="eastAsia" w:ascii="宋体" w:hAnsi="宋体" w:cs="宋体"/>
                <w:szCs w:val="21"/>
              </w:rPr>
              <w:t>评标基准价的计算：（方案一）</w:t>
            </w:r>
          </w:p>
          <w:p>
            <w:pPr>
              <w:spacing w:line="360" w:lineRule="auto"/>
              <w:ind w:right="124" w:rightChars="59" w:firstLine="420" w:firstLineChars="200"/>
              <w:jc w:val="left"/>
              <w:rPr>
                <w:rFonts w:ascii="宋体" w:hAnsi="宋体" w:cs="宋体"/>
                <w:szCs w:val="21"/>
              </w:rPr>
            </w:pPr>
            <w:r>
              <w:rPr>
                <w:rFonts w:hint="eastAsia" w:ascii="宋体" w:hAnsi="宋体" w:cs="宋体"/>
                <w:szCs w:val="21"/>
              </w:rPr>
              <w:t>在开标现场，招标人将当场计算并宣布评标基准价。</w:t>
            </w:r>
          </w:p>
          <w:p>
            <w:pPr>
              <w:spacing w:line="360" w:lineRule="auto"/>
              <w:ind w:right="124" w:rightChars="59" w:firstLine="420" w:firstLineChars="200"/>
              <w:rPr>
                <w:rFonts w:ascii="宋体" w:hAnsi="宋体" w:cs="宋体"/>
                <w:szCs w:val="21"/>
              </w:rPr>
            </w:pPr>
            <w:r>
              <w:rPr>
                <w:rFonts w:hint="eastAsia" w:ascii="宋体" w:hAnsi="宋体" w:cs="宋体"/>
                <w:szCs w:val="21"/>
              </w:rPr>
              <w:t>(1)评标价的确定：</w:t>
            </w:r>
          </w:p>
          <w:p>
            <w:pPr>
              <w:spacing w:line="360" w:lineRule="auto"/>
              <w:ind w:right="124" w:rightChars="59" w:firstLine="420" w:firstLineChars="200"/>
              <w:jc w:val="left"/>
              <w:rPr>
                <w:rFonts w:ascii="宋体" w:hAnsi="宋体" w:cs="宋体"/>
                <w:szCs w:val="21"/>
              </w:rPr>
            </w:pPr>
            <w:r>
              <w:rPr>
                <w:rFonts w:hint="eastAsia" w:ascii="宋体" w:hAnsi="宋体" w:cs="宋体"/>
                <w:szCs w:val="21"/>
              </w:rPr>
              <w:t>评标价=投标函文字报价</w:t>
            </w:r>
          </w:p>
          <w:p>
            <w:pPr>
              <w:spacing w:line="360" w:lineRule="auto"/>
              <w:ind w:firstLine="420" w:firstLineChars="200"/>
              <w:jc w:val="left"/>
              <w:rPr>
                <w:rFonts w:ascii="宋体" w:hAnsi="宋体" w:cs="宋体"/>
                <w:szCs w:val="21"/>
              </w:rPr>
            </w:pPr>
            <w:r>
              <w:rPr>
                <w:rFonts w:hint="eastAsia" w:ascii="宋体" w:hAnsi="宋体" w:cs="宋体"/>
                <w:szCs w:val="21"/>
              </w:rPr>
              <w:t>(2)确定参与评标基准价计算的评标价平均值计算：</w:t>
            </w:r>
          </w:p>
          <w:p>
            <w:pPr>
              <w:numPr>
                <w:ilvl w:val="255"/>
                <w:numId w:val="0"/>
              </w:numPr>
              <w:spacing w:line="360" w:lineRule="auto"/>
              <w:ind w:firstLine="420" w:firstLineChars="200"/>
              <w:jc w:val="left"/>
              <w:rPr>
                <w:rFonts w:ascii="宋体" w:hAnsi="宋体" w:cs="宋体"/>
                <w:szCs w:val="21"/>
              </w:rPr>
            </w:pPr>
            <w:r>
              <w:rPr>
                <w:rFonts w:hint="eastAsia" w:ascii="宋体" w:hAnsi="宋体" w:cs="宋体"/>
                <w:szCs w:val="21"/>
              </w:rPr>
              <w:t>①参与评标基准价计算的评标价范围：最高投标限价的85%≤参与评标基准价计算的评标价≤最高投标限价的100%，小于最高投标限价85%的评标价不参与评标基准价的计算，但仍参与评标价的得分计算。</w:t>
            </w:r>
          </w:p>
          <w:p>
            <w:pPr>
              <w:numPr>
                <w:ilvl w:val="255"/>
                <w:numId w:val="0"/>
              </w:numPr>
              <w:spacing w:line="360" w:lineRule="auto"/>
              <w:ind w:firstLine="420" w:firstLineChars="200"/>
              <w:jc w:val="left"/>
              <w:rPr>
                <w:rFonts w:ascii="宋体" w:hAnsi="宋体" w:cs="宋体"/>
                <w:szCs w:val="21"/>
              </w:rPr>
            </w:pPr>
            <w:r>
              <w:rPr>
                <w:rFonts w:hint="eastAsia" w:ascii="宋体" w:hAnsi="宋体" w:cs="宋体"/>
                <w:szCs w:val="21"/>
              </w:rPr>
              <w:t>②参与评标基准价计算的有效评标价的算术平均值：除按第二章“投标人须知”第5.2.4项规定开标现场被宣布为不进入评标基准价计算的投标报价之外，在上述确定的参与评标基准价计算的评标价中去掉一个最高值和一个最低值后的算术平均值即为</w:t>
            </w:r>
            <w:r>
              <w:rPr>
                <w:rFonts w:hint="eastAsia" w:ascii="宋体" w:hAnsi="宋体"/>
                <w:snapToGrid w:val="0"/>
                <w:szCs w:val="21"/>
              </w:rPr>
              <w:t>参与评标基准价计算的有效评标价的算术平均值</w:t>
            </w:r>
            <w:r>
              <w:rPr>
                <w:rFonts w:ascii="宋体" w:hAnsi="宋体"/>
                <w:szCs w:val="21"/>
              </w:rPr>
              <w:t>(</w:t>
            </w:r>
            <w:r>
              <w:rPr>
                <w:rFonts w:hint="eastAsia" w:ascii="宋体" w:hAnsi="宋体" w:cs="宋体"/>
                <w:szCs w:val="21"/>
              </w:rPr>
              <w:t xml:space="preserve"> (如果参与评标价平均值计算的有效投标人少于5家时，则计算上述平均值时不去掉最高值和最低值)；</w:t>
            </w:r>
          </w:p>
          <w:p>
            <w:pPr>
              <w:spacing w:line="360" w:lineRule="auto"/>
              <w:ind w:firstLine="420" w:firstLineChars="200"/>
              <w:rPr>
                <w:rFonts w:ascii="宋体" w:hAnsi="宋体" w:cs="宋体"/>
                <w:szCs w:val="21"/>
              </w:rPr>
            </w:pPr>
            <w:r>
              <w:rPr>
                <w:rFonts w:hint="eastAsia" w:ascii="宋体" w:hAnsi="宋体" w:cs="宋体"/>
                <w:szCs w:val="21"/>
              </w:rPr>
              <w:t>若投标人的评标价均小于最高投标限价的85%时，则以最高投标限价的85%为评标基准价 ，同时可对评标价小于最高投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p>
            <w:pPr>
              <w:spacing w:line="360" w:lineRule="auto"/>
              <w:ind w:firstLine="420" w:firstLineChars="200"/>
              <w:jc w:val="left"/>
              <w:rPr>
                <w:rFonts w:ascii="宋体" w:hAnsi="宋体" w:cs="宋体"/>
                <w:szCs w:val="21"/>
              </w:rPr>
            </w:pPr>
            <w:r>
              <w:rPr>
                <w:rFonts w:hint="eastAsia" w:ascii="宋体" w:hAnsi="宋体" w:cs="宋体"/>
                <w:szCs w:val="21"/>
              </w:rPr>
              <w:t>即使某投标文件第二个信封未通过形式评审与响应性评审,如其报价处于参与评标基准价计算的评标价的有效范围内，其评标价仍应参与有效评标价平均值的计算。</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 (3)评标基准价的确定：（选择以下方法之一）</w:t>
            </w:r>
          </w:p>
          <w:p>
            <w:pPr>
              <w:widowControl/>
              <w:spacing w:line="360" w:lineRule="auto"/>
              <w:ind w:firstLine="420" w:firstLineChars="200"/>
              <w:jc w:val="left"/>
              <w:rPr>
                <w:rFonts w:ascii="宋体" w:hAnsi="宋体" w:cs="宋体"/>
                <w:szCs w:val="21"/>
              </w:rPr>
            </w:pPr>
            <w:r>
              <w:rPr>
                <w:rFonts w:hint="eastAsia" w:ascii="宋体" w:hAnsi="宋体" w:cs="宋体"/>
                <w:szCs w:val="21"/>
              </w:rPr>
              <w:t>方法一：将参与评标基准价计算的有效评标价的平均值直接作为评标基准价</w:t>
            </w:r>
          </w:p>
          <w:p>
            <w:pPr>
              <w:widowControl/>
              <w:spacing w:line="360" w:lineRule="auto"/>
              <w:ind w:firstLine="420" w:firstLineChars="200"/>
              <w:jc w:val="left"/>
              <w:rPr>
                <w:rFonts w:ascii="宋体" w:hAnsi="宋体" w:cs="宋体"/>
                <w:szCs w:val="21"/>
              </w:rPr>
            </w:pPr>
            <w:r>
              <w:rPr>
                <w:rFonts w:hint="eastAsia" w:ascii="宋体" w:hAnsi="宋体" w:cs="宋体"/>
                <w:szCs w:val="21"/>
              </w:rPr>
              <w:t>方法二：(M×最高投标限价+N×参与评标基准价计算的有效评标价的平均值）</w:t>
            </w:r>
          </w:p>
          <w:p>
            <w:pPr>
              <w:widowControl/>
              <w:spacing w:line="360" w:lineRule="auto"/>
              <w:ind w:firstLine="420" w:firstLineChars="200"/>
              <w:jc w:val="left"/>
              <w:rPr>
                <w:rFonts w:ascii="宋体" w:hAnsi="宋体" w:cs="宋体"/>
                <w:szCs w:val="21"/>
              </w:rPr>
            </w:pPr>
            <w:r>
              <w:rPr>
                <w:rFonts w:hint="eastAsia" w:ascii="宋体" w:hAnsi="宋体" w:cs="宋体"/>
                <w:szCs w:val="21"/>
              </w:rPr>
              <w:t>（M可选择0.7、0.8、0.9、1，N可对应选择0.3、0.2、0.1、0,且M+N=1）</w:t>
            </w:r>
          </w:p>
          <w:p>
            <w:pPr>
              <w:widowControl/>
              <w:spacing w:line="360" w:lineRule="auto"/>
              <w:ind w:firstLine="420" w:firstLineChars="200"/>
              <w:jc w:val="left"/>
              <w:rPr>
                <w:rFonts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widowControl/>
              <w:spacing w:line="360" w:lineRule="auto"/>
              <w:ind w:firstLine="420" w:firstLineChars="200"/>
              <w:jc w:val="left"/>
              <w:rPr>
                <w:rFonts w:ascii="宋体" w:hAnsi="宋体" w:cs="宋体"/>
                <w:szCs w:val="21"/>
              </w:rPr>
            </w:pPr>
            <w:r>
              <w:rPr>
                <w:rFonts w:hint="eastAsia" w:ascii="宋体" w:hAnsi="宋体" w:cs="宋体"/>
                <w:szCs w:val="21"/>
              </w:rPr>
              <w:t>备注：评标基准价四舍五入至个位整数。</w:t>
            </w:r>
          </w:p>
          <w:p>
            <w:pPr>
              <w:widowControl/>
              <w:spacing w:line="360" w:lineRule="auto"/>
              <w:ind w:firstLine="420" w:firstLineChars="200"/>
              <w:jc w:val="left"/>
              <w:rPr>
                <w:rFonts w:ascii="宋体" w:hAnsi="宋体" w:cs="宋体"/>
                <w:szCs w:val="21"/>
              </w:rPr>
            </w:pPr>
          </w:p>
          <w:p>
            <w:pPr>
              <w:widowControl/>
              <w:spacing w:line="360" w:lineRule="auto"/>
              <w:ind w:firstLine="420" w:firstLineChars="200"/>
              <w:jc w:val="left"/>
              <w:rPr>
                <w:rFonts w:ascii="宋体" w:hAnsi="宋体" w:cs="宋体"/>
                <w:szCs w:val="21"/>
              </w:rPr>
            </w:pPr>
            <w:r>
              <w:rPr>
                <w:rFonts w:hint="eastAsia" w:ascii="宋体" w:hAnsi="宋体" w:cs="宋体"/>
                <w:szCs w:val="21"/>
              </w:rPr>
              <w:t>评标基准价的计算：（方案二）</w:t>
            </w:r>
          </w:p>
          <w:p>
            <w:pPr>
              <w:widowControl/>
              <w:spacing w:line="360" w:lineRule="auto"/>
              <w:ind w:firstLine="420" w:firstLineChars="200"/>
              <w:jc w:val="left"/>
              <w:rPr>
                <w:rFonts w:ascii="宋体" w:hAnsi="宋体" w:cs="宋体"/>
                <w:szCs w:val="21"/>
              </w:rPr>
            </w:pPr>
            <w:r>
              <w:rPr>
                <w:rFonts w:hint="eastAsia" w:ascii="宋体" w:hAnsi="宋体" w:cs="宋体"/>
                <w:szCs w:val="21"/>
              </w:rPr>
              <w:t>在开标现场，招标人将当场计算并宣布评标基准价。</w:t>
            </w:r>
          </w:p>
          <w:p>
            <w:pPr>
              <w:widowControl/>
              <w:spacing w:line="360" w:lineRule="auto"/>
              <w:ind w:firstLine="420" w:firstLineChars="200"/>
              <w:jc w:val="left"/>
              <w:rPr>
                <w:rFonts w:ascii="宋体" w:hAnsi="宋体" w:cs="宋体"/>
                <w:szCs w:val="21"/>
              </w:rPr>
            </w:pPr>
            <w:r>
              <w:rPr>
                <w:rFonts w:hint="eastAsia" w:ascii="宋体" w:hAnsi="宋体" w:cs="宋体"/>
                <w:szCs w:val="21"/>
              </w:rPr>
              <w:t>(1)评标价的确定：</w:t>
            </w:r>
          </w:p>
          <w:p>
            <w:pPr>
              <w:widowControl/>
              <w:spacing w:line="360" w:lineRule="auto"/>
              <w:ind w:firstLine="420" w:firstLineChars="200"/>
              <w:jc w:val="left"/>
              <w:rPr>
                <w:rFonts w:ascii="宋体" w:hAnsi="宋体" w:cs="宋体"/>
                <w:szCs w:val="21"/>
              </w:rPr>
            </w:pPr>
            <w:r>
              <w:rPr>
                <w:rFonts w:hint="eastAsia" w:ascii="宋体" w:hAnsi="宋体" w:cs="宋体"/>
                <w:szCs w:val="21"/>
              </w:rPr>
              <w:t>评标价=投标函文字报价</w:t>
            </w:r>
          </w:p>
          <w:p>
            <w:pPr>
              <w:widowControl/>
              <w:spacing w:line="360" w:lineRule="auto"/>
              <w:ind w:firstLine="420" w:firstLineChars="200"/>
              <w:jc w:val="left"/>
              <w:rPr>
                <w:rFonts w:ascii="宋体" w:hAnsi="宋体" w:cs="宋体"/>
                <w:szCs w:val="21"/>
              </w:rPr>
            </w:pPr>
            <w:r>
              <w:rPr>
                <w:rFonts w:hint="eastAsia" w:ascii="宋体" w:hAnsi="宋体" w:cs="宋体"/>
                <w:szCs w:val="21"/>
              </w:rPr>
              <w:t>(2)评标基准价=最高投标限价×（1-下浮率）</w:t>
            </w:r>
          </w:p>
          <w:p>
            <w:pPr>
              <w:widowControl/>
              <w:spacing w:line="360" w:lineRule="auto"/>
              <w:ind w:firstLine="420" w:firstLineChars="200"/>
              <w:jc w:val="left"/>
              <w:rPr>
                <w:rFonts w:ascii="宋体" w:hAnsi="宋体" w:cs="宋体"/>
                <w:szCs w:val="21"/>
              </w:rPr>
            </w:pPr>
            <w:r>
              <w:rPr>
                <w:rFonts w:hint="eastAsia" w:ascii="宋体" w:hAnsi="宋体" w:cs="宋体"/>
                <w:szCs w:val="21"/>
              </w:rPr>
              <w:t>下浮率在开标前在开标现场采取逐标段摇珠方式确定。摇珠操作办法如下：在下浮率摇珠范围内，以0.1%为一档次增序确定摇珠号码，不少于31个球，每个标段各一次性摇出3个球（</w:t>
            </w:r>
            <w:r>
              <w:rPr>
                <w:rFonts w:hint="eastAsia" w:ascii="宋体" w:hAnsi="宋体" w:cs="宋体"/>
                <w:szCs w:val="21"/>
                <w:lang w:eastAsia="zh-CN"/>
              </w:rPr>
              <w:t>摇出的球</w:t>
            </w:r>
            <w:r>
              <w:rPr>
                <w:rFonts w:hint="eastAsia" w:ascii="宋体" w:hAnsi="宋体" w:cs="宋体"/>
                <w:szCs w:val="21"/>
              </w:rPr>
              <w:t>不放回），摇出3个球对应的下浮率的平均值即为本标段招标的下浮率。（注：下浮率摇珠区间差值以3至5个百分点为宜，三个下浮率的平均值四舍五入取整到0.001％）</w:t>
            </w:r>
          </w:p>
          <w:p>
            <w:pPr>
              <w:widowControl/>
              <w:spacing w:line="360" w:lineRule="auto"/>
              <w:ind w:firstLine="420" w:firstLineChars="200"/>
              <w:jc w:val="left"/>
              <w:rPr>
                <w:rFonts w:ascii="宋体" w:hAnsi="宋体" w:cs="宋体"/>
                <w:szCs w:val="21"/>
              </w:rPr>
            </w:pPr>
            <w:r>
              <w:rPr>
                <w:rFonts w:hint="eastAsia" w:ascii="宋体" w:hAnsi="宋体" w:cs="宋体"/>
                <w:szCs w:val="21"/>
              </w:rPr>
              <w:t>最高投标限价、下浮率有效范围可在投标文件递交截止日15天前以书面补遗书的形式通知各投标人。</w:t>
            </w:r>
          </w:p>
          <w:p>
            <w:pPr>
              <w:widowControl/>
              <w:spacing w:line="360" w:lineRule="auto"/>
              <w:ind w:firstLine="420" w:firstLineChars="200"/>
              <w:jc w:val="left"/>
              <w:rPr>
                <w:rFonts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widowControl/>
              <w:spacing w:line="360" w:lineRule="auto"/>
              <w:ind w:firstLine="420" w:firstLineChars="200"/>
              <w:rPr>
                <w:rFonts w:ascii="宋体" w:hAnsi="宋体"/>
                <w:b/>
                <w:szCs w:val="21"/>
              </w:rPr>
            </w:pPr>
            <w:r>
              <w:rPr>
                <w:rFonts w:hint="eastAsia" w:ascii="宋体" w:hAnsi="宋体" w:cs="宋体"/>
                <w:szCs w:val="21"/>
              </w:rPr>
              <w:t>备注：评标基准价四舍五入至个位整数。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vAlign w:val="center"/>
          </w:tcPr>
          <w:p>
            <w:pPr>
              <w:spacing w:line="380" w:lineRule="atLeast"/>
              <w:jc w:val="center"/>
              <w:rPr>
                <w:rFonts w:ascii="宋体" w:hAnsi="宋体"/>
                <w:szCs w:val="21"/>
              </w:rPr>
            </w:pPr>
            <w:r>
              <w:rPr>
                <w:rFonts w:ascii="宋体" w:hAnsi="宋体"/>
                <w:szCs w:val="21"/>
              </w:rPr>
              <w:t>2.2.3</w:t>
            </w:r>
          </w:p>
        </w:tc>
        <w:tc>
          <w:tcPr>
            <w:tcW w:w="1280" w:type="dxa"/>
            <w:tcBorders>
              <w:top w:val="single" w:color="auto" w:sz="4" w:space="0"/>
              <w:right w:val="single" w:color="auto" w:sz="4" w:space="0"/>
            </w:tcBorders>
            <w:vAlign w:val="center"/>
          </w:tcPr>
          <w:p>
            <w:pPr>
              <w:spacing w:line="380" w:lineRule="atLeast"/>
              <w:jc w:val="center"/>
              <w:rPr>
                <w:rFonts w:ascii="宋体" w:hAnsi="宋体"/>
                <w:szCs w:val="21"/>
              </w:rPr>
            </w:pPr>
            <w:r>
              <w:rPr>
                <w:rFonts w:ascii="宋体" w:hAnsi="宋体"/>
                <w:szCs w:val="21"/>
              </w:rPr>
              <w:t>评标价的偏差率计算公式</w:t>
            </w:r>
          </w:p>
        </w:tc>
        <w:tc>
          <w:tcPr>
            <w:tcW w:w="6622" w:type="dxa"/>
            <w:tcBorders>
              <w:top w:val="single" w:color="auto" w:sz="4" w:space="0"/>
              <w:left w:val="single" w:color="auto" w:sz="4" w:space="0"/>
              <w:right w:val="single" w:color="auto" w:sz="4" w:space="0"/>
            </w:tcBorders>
            <w:vAlign w:val="center"/>
          </w:tcPr>
          <w:p>
            <w:pPr>
              <w:spacing w:line="360" w:lineRule="atLeast"/>
              <w:ind w:firstLine="420" w:firstLineChars="200"/>
              <w:rPr>
                <w:rFonts w:ascii="宋体" w:hAnsi="宋体"/>
                <w:b/>
                <w:szCs w:val="21"/>
              </w:rPr>
            </w:pPr>
            <w:r>
              <w:rPr>
                <w:rFonts w:ascii="宋体" w:hAnsi="宋体"/>
                <w:szCs w:val="21"/>
              </w:rPr>
              <w:t>偏差率=100% ×（投标人评标价－评标基准价）/评标基准价</w:t>
            </w:r>
          </w:p>
        </w:tc>
      </w:tr>
    </w:tbl>
    <w:p>
      <w:pPr>
        <w:widowControl/>
        <w:jc w:val="center"/>
      </w:pPr>
      <w:r>
        <w:rPr>
          <w:spacing w:val="4"/>
          <w:szCs w:val="21"/>
        </w:rPr>
        <w:br w:type="page"/>
      </w:r>
    </w:p>
    <w:tbl>
      <w:tblPr>
        <w:tblStyle w:val="47"/>
        <w:tblW w:w="8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45"/>
        <w:gridCol w:w="1114"/>
        <w:gridCol w:w="813"/>
        <w:gridCol w:w="1623"/>
        <w:gridCol w:w="845"/>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1" w:type="dxa"/>
            <w:gridSpan w:val="6"/>
            <w:tcBorders>
              <w:top w:val="single" w:color="auto" w:sz="4" w:space="0"/>
            </w:tcBorders>
          </w:tcPr>
          <w:p>
            <w:pPr>
              <w:spacing w:line="380" w:lineRule="atLeast"/>
              <w:jc w:val="center"/>
              <w:rPr>
                <w:b/>
                <w:szCs w:val="21"/>
              </w:rPr>
            </w:pPr>
            <w:r>
              <w:rPr>
                <w:rFonts w:hint="eastAsia"/>
                <w:b/>
                <w:szCs w:val="21"/>
              </w:rPr>
              <w:t>评分因素与权重分值</w:t>
            </w:r>
          </w:p>
        </w:tc>
        <w:tc>
          <w:tcPr>
            <w:tcW w:w="3055" w:type="dxa"/>
            <w:vMerge w:val="restart"/>
            <w:tcBorders>
              <w:top w:val="single" w:color="auto" w:sz="4" w:space="0"/>
            </w:tcBorders>
            <w:vAlign w:val="center"/>
          </w:tcPr>
          <w:p>
            <w:pPr>
              <w:spacing w:line="380" w:lineRule="atLeast"/>
              <w:jc w:val="center"/>
              <w:rPr>
                <w:b/>
                <w:szCs w:val="21"/>
              </w:rPr>
            </w:pPr>
            <w:r>
              <w:rPr>
                <w:b/>
                <w:szCs w:val="21"/>
              </w:rPr>
              <w:t>评分标准</w:t>
            </w:r>
            <w:r>
              <w:rPr>
                <w:rStyle w:val="56"/>
                <w:rFonts w:ascii="宋体" w:hAnsi="宋体"/>
                <w:sz w:val="32"/>
                <w:szCs w:val="32"/>
              </w:rPr>
              <w:footnoteReference w:id="5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80" w:lineRule="atLeast"/>
              <w:jc w:val="center"/>
              <w:rPr>
                <w:rFonts w:ascii="宋体" w:hAnsi="宋体"/>
                <w:b/>
                <w:szCs w:val="21"/>
              </w:rPr>
            </w:pPr>
            <w:r>
              <w:rPr>
                <w:rFonts w:ascii="宋体" w:hAnsi="宋体"/>
                <w:b/>
                <w:szCs w:val="21"/>
              </w:rPr>
              <w:t>条款号</w:t>
            </w:r>
          </w:p>
        </w:tc>
        <w:tc>
          <w:tcPr>
            <w:tcW w:w="1559" w:type="dxa"/>
            <w:gridSpan w:val="2"/>
            <w:vAlign w:val="center"/>
          </w:tcPr>
          <w:p>
            <w:pPr>
              <w:spacing w:line="380" w:lineRule="atLeast"/>
              <w:jc w:val="center"/>
              <w:rPr>
                <w:rFonts w:ascii="宋体" w:hAnsi="宋体"/>
                <w:b/>
                <w:szCs w:val="21"/>
              </w:rPr>
            </w:pPr>
            <w:r>
              <w:rPr>
                <w:rFonts w:ascii="宋体" w:hAnsi="宋体"/>
                <w:b/>
                <w:szCs w:val="21"/>
              </w:rPr>
              <w:t>评分因素</w:t>
            </w:r>
          </w:p>
        </w:tc>
        <w:tc>
          <w:tcPr>
            <w:tcW w:w="813" w:type="dxa"/>
            <w:vAlign w:val="center"/>
          </w:tcPr>
          <w:p>
            <w:pPr>
              <w:spacing w:line="380" w:lineRule="atLeast"/>
              <w:ind w:left="-105" w:leftChars="-50" w:right="-105" w:rightChars="-50"/>
              <w:jc w:val="center"/>
              <w:rPr>
                <w:rFonts w:ascii="宋体" w:hAnsi="宋体"/>
                <w:b/>
                <w:szCs w:val="21"/>
              </w:rPr>
            </w:pPr>
            <w:r>
              <w:rPr>
                <w:rFonts w:ascii="宋体" w:hAnsi="宋体"/>
                <w:b/>
                <w:szCs w:val="21"/>
              </w:rPr>
              <w:t>评分因素权重分值</w:t>
            </w:r>
          </w:p>
        </w:tc>
        <w:tc>
          <w:tcPr>
            <w:tcW w:w="1623" w:type="dxa"/>
            <w:vAlign w:val="center"/>
          </w:tcPr>
          <w:p>
            <w:pPr>
              <w:spacing w:line="380" w:lineRule="atLeast"/>
              <w:jc w:val="center"/>
              <w:rPr>
                <w:rFonts w:ascii="宋体" w:hAnsi="宋体"/>
                <w:b/>
                <w:szCs w:val="21"/>
              </w:rPr>
            </w:pPr>
            <w:r>
              <w:rPr>
                <w:rFonts w:ascii="宋体" w:hAnsi="宋体"/>
                <w:b/>
                <w:szCs w:val="21"/>
              </w:rPr>
              <w:t>各评分因素细分项</w:t>
            </w:r>
          </w:p>
        </w:tc>
        <w:tc>
          <w:tcPr>
            <w:tcW w:w="845" w:type="dxa"/>
            <w:vAlign w:val="center"/>
          </w:tcPr>
          <w:p>
            <w:pPr>
              <w:spacing w:line="380" w:lineRule="atLeast"/>
              <w:ind w:right="105"/>
              <w:jc w:val="right"/>
              <w:rPr>
                <w:rFonts w:ascii="宋体" w:hAnsi="宋体"/>
                <w:b/>
                <w:szCs w:val="21"/>
              </w:rPr>
            </w:pPr>
            <w:r>
              <w:rPr>
                <w:rFonts w:ascii="宋体" w:hAnsi="宋体"/>
                <w:b/>
                <w:szCs w:val="21"/>
              </w:rPr>
              <w:t>分值</w:t>
            </w:r>
          </w:p>
        </w:tc>
        <w:tc>
          <w:tcPr>
            <w:tcW w:w="3055" w:type="dxa"/>
            <w:vMerge w:val="continue"/>
          </w:tcPr>
          <w:p>
            <w:pPr>
              <w:spacing w:line="38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380" w:lineRule="atLeast"/>
              <w:jc w:val="center"/>
              <w:rPr>
                <w:szCs w:val="21"/>
              </w:rPr>
            </w:pPr>
            <w:r>
              <w:rPr>
                <w:szCs w:val="21"/>
              </w:rPr>
              <w:t>2.2.4（1）</w:t>
            </w:r>
          </w:p>
        </w:tc>
        <w:tc>
          <w:tcPr>
            <w:tcW w:w="1559" w:type="dxa"/>
            <w:gridSpan w:val="2"/>
            <w:vMerge w:val="restart"/>
            <w:vAlign w:val="center"/>
          </w:tcPr>
          <w:p>
            <w:pPr>
              <w:spacing w:line="380" w:lineRule="atLeast"/>
              <w:jc w:val="center"/>
              <w:rPr>
                <w:szCs w:val="21"/>
              </w:rPr>
            </w:pPr>
            <w:r>
              <w:rPr>
                <w:szCs w:val="21"/>
              </w:rPr>
              <w:t>技术建议书</w:t>
            </w:r>
          </w:p>
        </w:tc>
        <w:tc>
          <w:tcPr>
            <w:tcW w:w="813" w:type="dxa"/>
            <w:vMerge w:val="restart"/>
            <w:vAlign w:val="center"/>
          </w:tcPr>
          <w:p>
            <w:pPr>
              <w:spacing w:line="360" w:lineRule="auto"/>
              <w:jc w:val="left"/>
              <w:rPr>
                <w:rFonts w:ascii="宋体" w:hAnsi="宋体"/>
                <w:szCs w:val="21"/>
              </w:rPr>
            </w:pPr>
            <w:r>
              <w:rPr>
                <w:rFonts w:hint="eastAsia" w:asciiTheme="minorEastAsia" w:hAnsiTheme="minorEastAsia" w:eastAsiaTheme="minorEastAsia"/>
                <w:szCs w:val="21"/>
                <w:u w:val="single"/>
                <w:lang w:val="en-US" w:eastAsia="zh-CN"/>
              </w:rPr>
              <w:t xml:space="preserve">  </w:t>
            </w:r>
            <w:r>
              <w:rPr>
                <w:rFonts w:hint="eastAsia" w:ascii="宋体" w:hAnsi="宋体"/>
                <w:szCs w:val="21"/>
              </w:rPr>
              <w:t>分</w:t>
            </w:r>
            <w:r>
              <w:rPr>
                <w:rFonts w:hint="eastAsia" w:ascii="宋体" w:hAnsi="宋体"/>
                <w:szCs w:val="21"/>
                <w:vertAlign w:val="superscript"/>
              </w:rPr>
              <w:footnoteReference w:id="59"/>
            </w:r>
          </w:p>
        </w:tc>
        <w:tc>
          <w:tcPr>
            <w:tcW w:w="1623" w:type="dxa"/>
            <w:vAlign w:val="center"/>
          </w:tcPr>
          <w:p>
            <w:pPr>
              <w:spacing w:line="360" w:lineRule="auto"/>
              <w:rPr>
                <w:rFonts w:ascii="宋体" w:hAnsi="宋体"/>
                <w:szCs w:val="21"/>
              </w:rPr>
            </w:pPr>
            <w:r>
              <w:rPr>
                <w:rFonts w:hint="eastAsia" w:ascii="宋体" w:hAnsi="宋体"/>
                <w:szCs w:val="21"/>
              </w:rPr>
              <w:t>对项目的理解和总体技术审查咨询思路</w:t>
            </w:r>
          </w:p>
        </w:tc>
        <w:tc>
          <w:tcPr>
            <w:tcW w:w="845" w:type="dxa"/>
            <w:vAlign w:val="center"/>
          </w:tcPr>
          <w:p>
            <w:pPr>
              <w:spacing w:line="380" w:lineRule="atLeast"/>
              <w:jc w:val="center"/>
              <w:rPr>
                <w:rFonts w:asciiTheme="minorEastAsia" w:hAnsiTheme="minorEastAsia" w:eastAsiaTheme="minorEastAsia"/>
                <w:szCs w:val="21"/>
              </w:rPr>
            </w:pP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分</w:t>
            </w:r>
          </w:p>
        </w:tc>
        <w:tc>
          <w:tcPr>
            <w:tcW w:w="3055" w:type="dxa"/>
            <w:vAlign w:val="center"/>
          </w:tcPr>
          <w:p>
            <w:pPr>
              <w:spacing w:line="380" w:lineRule="atLeast"/>
              <w:rPr>
                <w:rFonts w:asciiTheme="minorEastAsia" w:hAnsiTheme="minorEastAsia" w:eastAsiaTheme="minorEastAsia"/>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vAlign w:val="center"/>
          </w:tcPr>
          <w:p>
            <w:pPr>
              <w:spacing w:line="380" w:lineRule="atLeast"/>
              <w:jc w:val="center"/>
              <w:rPr>
                <w:szCs w:val="21"/>
              </w:rPr>
            </w:pPr>
          </w:p>
        </w:tc>
        <w:tc>
          <w:tcPr>
            <w:tcW w:w="1559" w:type="dxa"/>
            <w:gridSpan w:val="2"/>
            <w:vMerge w:val="continue"/>
            <w:vAlign w:val="center"/>
          </w:tcPr>
          <w:p>
            <w:pPr>
              <w:spacing w:line="380" w:lineRule="atLeast"/>
              <w:jc w:val="center"/>
              <w:rPr>
                <w:szCs w:val="21"/>
              </w:rPr>
            </w:pPr>
          </w:p>
        </w:tc>
        <w:tc>
          <w:tcPr>
            <w:tcW w:w="813" w:type="dxa"/>
            <w:vMerge w:val="continue"/>
            <w:vAlign w:val="center"/>
          </w:tcPr>
          <w:p>
            <w:pPr>
              <w:spacing w:line="380" w:lineRule="atLeast"/>
              <w:jc w:val="right"/>
              <w:rPr>
                <w:szCs w:val="21"/>
                <w:u w:val="single"/>
              </w:rPr>
            </w:pPr>
          </w:p>
        </w:tc>
        <w:tc>
          <w:tcPr>
            <w:tcW w:w="1623" w:type="dxa"/>
            <w:vAlign w:val="center"/>
          </w:tcPr>
          <w:p>
            <w:pPr>
              <w:spacing w:line="360" w:lineRule="auto"/>
              <w:rPr>
                <w:rFonts w:asciiTheme="minorEastAsia" w:hAnsiTheme="minorEastAsia" w:eastAsiaTheme="minorEastAsia"/>
                <w:szCs w:val="21"/>
              </w:rPr>
            </w:pPr>
            <w:r>
              <w:rPr>
                <w:rFonts w:hint="eastAsia" w:ascii="宋体" w:hAnsi="宋体"/>
                <w:szCs w:val="21"/>
              </w:rPr>
              <w:t>对项目特点、难点、关键技术问题的分析及应对措施</w:t>
            </w:r>
          </w:p>
        </w:tc>
        <w:tc>
          <w:tcPr>
            <w:tcW w:w="845" w:type="dxa"/>
            <w:vAlign w:val="center"/>
          </w:tcPr>
          <w:p>
            <w:pPr>
              <w:spacing w:line="380" w:lineRule="atLeast"/>
              <w:jc w:val="right"/>
              <w:rPr>
                <w:rFonts w:asciiTheme="minorEastAsia" w:hAnsiTheme="minorEastAsia" w:eastAsiaTheme="minorEastAsia"/>
                <w:szCs w:val="21"/>
              </w:rPr>
            </w:pP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分</w:t>
            </w:r>
          </w:p>
        </w:tc>
        <w:tc>
          <w:tcPr>
            <w:tcW w:w="3055" w:type="dxa"/>
            <w:vAlign w:val="center"/>
          </w:tcPr>
          <w:p>
            <w:pPr>
              <w:spacing w:line="380" w:lineRule="atLeast"/>
              <w:rPr>
                <w:rFonts w:asciiTheme="minorEastAsia" w:hAnsiTheme="minorEastAsia" w:eastAsiaTheme="minorEastAsia"/>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80" w:lineRule="atLeast"/>
              <w:jc w:val="center"/>
              <w:rPr>
                <w:szCs w:val="21"/>
              </w:rPr>
            </w:pPr>
          </w:p>
        </w:tc>
        <w:tc>
          <w:tcPr>
            <w:tcW w:w="1559" w:type="dxa"/>
            <w:gridSpan w:val="2"/>
            <w:vMerge w:val="continue"/>
            <w:vAlign w:val="center"/>
          </w:tcPr>
          <w:p>
            <w:pPr>
              <w:spacing w:line="380" w:lineRule="atLeast"/>
              <w:jc w:val="center"/>
              <w:rPr>
                <w:szCs w:val="21"/>
              </w:rPr>
            </w:pPr>
          </w:p>
        </w:tc>
        <w:tc>
          <w:tcPr>
            <w:tcW w:w="813" w:type="dxa"/>
            <w:vMerge w:val="continue"/>
            <w:vAlign w:val="center"/>
          </w:tcPr>
          <w:p>
            <w:pPr>
              <w:spacing w:line="380" w:lineRule="atLeast"/>
              <w:jc w:val="right"/>
              <w:rPr>
                <w:szCs w:val="21"/>
                <w:u w:val="single"/>
              </w:rPr>
            </w:pPr>
          </w:p>
        </w:tc>
        <w:tc>
          <w:tcPr>
            <w:tcW w:w="1623" w:type="dxa"/>
            <w:vAlign w:val="center"/>
          </w:tcPr>
          <w:p>
            <w:pPr>
              <w:spacing w:line="360" w:lineRule="auto"/>
              <w:rPr>
                <w:rFonts w:asciiTheme="minorEastAsia" w:hAnsiTheme="minorEastAsia" w:eastAsiaTheme="minorEastAsia"/>
                <w:szCs w:val="21"/>
              </w:rPr>
            </w:pPr>
            <w:r>
              <w:rPr>
                <w:rFonts w:hint="eastAsia" w:ascii="宋体" w:hAnsi="宋体"/>
                <w:snapToGrid w:val="0"/>
                <w:szCs w:val="21"/>
              </w:rPr>
              <w:t>技术审查咨询方案</w:t>
            </w:r>
          </w:p>
        </w:tc>
        <w:tc>
          <w:tcPr>
            <w:tcW w:w="845" w:type="dxa"/>
            <w:vAlign w:val="center"/>
          </w:tcPr>
          <w:p>
            <w:pPr>
              <w:spacing w:line="380" w:lineRule="atLeast"/>
              <w:jc w:val="right"/>
              <w:rPr>
                <w:rFonts w:asciiTheme="minorEastAsia" w:hAnsiTheme="minorEastAsia" w:eastAsiaTheme="minorEastAsia"/>
                <w:szCs w:val="21"/>
              </w:rPr>
            </w:pP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分</w:t>
            </w:r>
          </w:p>
        </w:tc>
        <w:tc>
          <w:tcPr>
            <w:tcW w:w="3055" w:type="dxa"/>
            <w:vAlign w:val="center"/>
          </w:tcPr>
          <w:p>
            <w:pPr>
              <w:spacing w:line="380" w:lineRule="atLeast"/>
              <w:rPr>
                <w:rFonts w:asciiTheme="minorEastAsia" w:hAnsiTheme="minorEastAsia" w:eastAsiaTheme="minorEastAsia"/>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80" w:lineRule="atLeast"/>
              <w:jc w:val="center"/>
              <w:rPr>
                <w:szCs w:val="21"/>
              </w:rPr>
            </w:pPr>
          </w:p>
        </w:tc>
        <w:tc>
          <w:tcPr>
            <w:tcW w:w="1559" w:type="dxa"/>
            <w:gridSpan w:val="2"/>
            <w:vMerge w:val="continue"/>
            <w:vAlign w:val="center"/>
          </w:tcPr>
          <w:p>
            <w:pPr>
              <w:spacing w:line="380" w:lineRule="atLeast"/>
              <w:jc w:val="center"/>
              <w:rPr>
                <w:szCs w:val="21"/>
              </w:rPr>
            </w:pPr>
          </w:p>
        </w:tc>
        <w:tc>
          <w:tcPr>
            <w:tcW w:w="813" w:type="dxa"/>
            <w:vMerge w:val="continue"/>
            <w:vAlign w:val="center"/>
          </w:tcPr>
          <w:p>
            <w:pPr>
              <w:spacing w:line="380" w:lineRule="atLeast"/>
              <w:jc w:val="right"/>
              <w:rPr>
                <w:szCs w:val="21"/>
                <w:u w:val="single"/>
              </w:rPr>
            </w:pPr>
          </w:p>
        </w:tc>
        <w:tc>
          <w:tcPr>
            <w:tcW w:w="1623" w:type="dxa"/>
            <w:vAlign w:val="center"/>
          </w:tcPr>
          <w:p>
            <w:pPr>
              <w:spacing w:line="360" w:lineRule="auto"/>
              <w:jc w:val="left"/>
              <w:rPr>
                <w:rFonts w:asciiTheme="minorEastAsia" w:hAnsiTheme="minorEastAsia" w:eastAsiaTheme="minorEastAsia"/>
                <w:szCs w:val="21"/>
              </w:rPr>
            </w:pPr>
            <w:r>
              <w:rPr>
                <w:rFonts w:hint="eastAsia" w:ascii="宋体" w:hAnsi="宋体"/>
                <w:szCs w:val="21"/>
              </w:rPr>
              <w:t>技术审查咨询</w:t>
            </w:r>
            <w:r>
              <w:rPr>
                <w:rFonts w:hint="eastAsia" w:ascii="宋体" w:hAnsi="宋体"/>
                <w:snapToGrid w:val="0"/>
                <w:szCs w:val="21"/>
              </w:rPr>
              <w:t>的质量保证措施、进度保证措施</w:t>
            </w:r>
            <w:r>
              <w:rPr>
                <w:rFonts w:hint="eastAsia" w:ascii="宋体" w:hAnsi="宋体"/>
                <w:szCs w:val="21"/>
              </w:rPr>
              <w:t>、</w:t>
            </w:r>
            <w:r>
              <w:rPr>
                <w:rFonts w:hint="eastAsia" w:ascii="宋体" w:hAnsi="宋体"/>
                <w:snapToGrid w:val="0"/>
                <w:szCs w:val="21"/>
              </w:rPr>
              <w:t>安全保证措施</w:t>
            </w:r>
          </w:p>
        </w:tc>
        <w:tc>
          <w:tcPr>
            <w:tcW w:w="845" w:type="dxa"/>
            <w:vAlign w:val="center"/>
          </w:tcPr>
          <w:p>
            <w:pPr>
              <w:spacing w:line="380" w:lineRule="atLeast"/>
              <w:jc w:val="right"/>
              <w:rPr>
                <w:rFonts w:asciiTheme="minorEastAsia" w:hAnsiTheme="minorEastAsia" w:eastAsiaTheme="minorEastAsia"/>
                <w:szCs w:val="21"/>
              </w:rPr>
            </w:pP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分</w:t>
            </w:r>
          </w:p>
        </w:tc>
        <w:tc>
          <w:tcPr>
            <w:tcW w:w="3055" w:type="dxa"/>
            <w:vAlign w:val="center"/>
          </w:tcPr>
          <w:p>
            <w:pPr>
              <w:spacing w:line="380" w:lineRule="atLeast"/>
              <w:rPr>
                <w:rFonts w:asciiTheme="minorEastAsia" w:hAnsiTheme="minorEastAsia" w:eastAsiaTheme="minorEastAsia"/>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80" w:lineRule="atLeast"/>
              <w:jc w:val="center"/>
              <w:rPr>
                <w:szCs w:val="21"/>
              </w:rPr>
            </w:pPr>
          </w:p>
        </w:tc>
        <w:tc>
          <w:tcPr>
            <w:tcW w:w="1559" w:type="dxa"/>
            <w:gridSpan w:val="2"/>
            <w:vMerge w:val="continue"/>
            <w:vAlign w:val="center"/>
          </w:tcPr>
          <w:p>
            <w:pPr>
              <w:spacing w:line="380" w:lineRule="atLeast"/>
              <w:jc w:val="center"/>
              <w:rPr>
                <w:szCs w:val="21"/>
              </w:rPr>
            </w:pPr>
          </w:p>
        </w:tc>
        <w:tc>
          <w:tcPr>
            <w:tcW w:w="813" w:type="dxa"/>
            <w:vMerge w:val="continue"/>
            <w:vAlign w:val="center"/>
          </w:tcPr>
          <w:p>
            <w:pPr>
              <w:spacing w:line="380" w:lineRule="atLeast"/>
              <w:jc w:val="right"/>
              <w:rPr>
                <w:szCs w:val="21"/>
                <w:u w:val="single"/>
              </w:rPr>
            </w:pPr>
          </w:p>
        </w:tc>
        <w:tc>
          <w:tcPr>
            <w:tcW w:w="1623" w:type="dxa"/>
            <w:vAlign w:val="center"/>
          </w:tcPr>
          <w:p>
            <w:pPr>
              <w:spacing w:line="360" w:lineRule="auto"/>
              <w:jc w:val="left"/>
              <w:rPr>
                <w:rFonts w:asciiTheme="minorEastAsia" w:hAnsiTheme="minorEastAsia" w:eastAsiaTheme="minorEastAsia"/>
                <w:szCs w:val="21"/>
              </w:rPr>
            </w:pPr>
            <w:r>
              <w:rPr>
                <w:rFonts w:hint="eastAsia" w:ascii="宋体" w:hAnsi="宋体"/>
                <w:snapToGrid w:val="0"/>
                <w:szCs w:val="21"/>
              </w:rPr>
              <w:t>后续服务计划及保证措施</w:t>
            </w:r>
          </w:p>
        </w:tc>
        <w:tc>
          <w:tcPr>
            <w:tcW w:w="845" w:type="dxa"/>
            <w:vAlign w:val="center"/>
          </w:tcPr>
          <w:p>
            <w:pPr>
              <w:spacing w:line="380" w:lineRule="atLeast"/>
              <w:jc w:val="right"/>
              <w:rPr>
                <w:rFonts w:asciiTheme="minorEastAsia" w:hAnsiTheme="minorEastAsia" w:eastAsiaTheme="minorEastAsia"/>
                <w:szCs w:val="21"/>
              </w:rPr>
            </w:pP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分</w:t>
            </w:r>
          </w:p>
        </w:tc>
        <w:tc>
          <w:tcPr>
            <w:tcW w:w="3055" w:type="dxa"/>
            <w:vAlign w:val="center"/>
          </w:tcPr>
          <w:p>
            <w:pPr>
              <w:autoSpaceDE w:val="0"/>
              <w:autoSpaceDN w:val="0"/>
              <w:spacing w:line="320" w:lineRule="exact"/>
              <w:jc w:val="left"/>
              <w:textAlignment w:val="baseline"/>
              <w:rPr>
                <w:rFonts w:asciiTheme="minorEastAsia" w:hAnsiTheme="minorEastAsia" w:eastAsiaTheme="minorEastAsia"/>
                <w:b/>
                <w:bCs/>
                <w:sz w:val="18"/>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vAlign w:val="center"/>
          </w:tcPr>
          <w:p>
            <w:pPr>
              <w:spacing w:line="380" w:lineRule="atLeast"/>
              <w:jc w:val="center"/>
              <w:rPr>
                <w:szCs w:val="21"/>
              </w:rPr>
            </w:pPr>
          </w:p>
        </w:tc>
        <w:tc>
          <w:tcPr>
            <w:tcW w:w="1559" w:type="dxa"/>
            <w:gridSpan w:val="2"/>
            <w:vMerge w:val="continue"/>
            <w:vAlign w:val="center"/>
          </w:tcPr>
          <w:p>
            <w:pPr>
              <w:spacing w:line="380" w:lineRule="atLeast"/>
              <w:jc w:val="center"/>
              <w:rPr>
                <w:szCs w:val="21"/>
              </w:rPr>
            </w:pPr>
          </w:p>
        </w:tc>
        <w:tc>
          <w:tcPr>
            <w:tcW w:w="813" w:type="dxa"/>
            <w:vMerge w:val="continue"/>
            <w:vAlign w:val="center"/>
          </w:tcPr>
          <w:p>
            <w:pPr>
              <w:spacing w:line="380" w:lineRule="atLeast"/>
              <w:jc w:val="right"/>
              <w:rPr>
                <w:szCs w:val="21"/>
                <w:u w:val="single"/>
              </w:rPr>
            </w:pPr>
          </w:p>
        </w:tc>
        <w:tc>
          <w:tcPr>
            <w:tcW w:w="1623" w:type="dxa"/>
            <w:vAlign w:val="center"/>
          </w:tcPr>
          <w:p>
            <w:pPr>
              <w:spacing w:line="400" w:lineRule="atLeast"/>
              <w:jc w:val="left"/>
              <w:rPr>
                <w:rFonts w:ascii="宋体" w:hAnsi="宋体"/>
                <w:snapToGrid w:val="0"/>
                <w:szCs w:val="21"/>
              </w:rPr>
            </w:pPr>
            <w:r>
              <w:rPr>
                <w:rFonts w:hint="eastAsia" w:ascii="宋体" w:hAnsi="宋体"/>
                <w:snapToGrid w:val="0"/>
                <w:szCs w:val="21"/>
              </w:rPr>
              <w:t>……</w:t>
            </w:r>
          </w:p>
        </w:tc>
        <w:tc>
          <w:tcPr>
            <w:tcW w:w="845" w:type="dxa"/>
            <w:vAlign w:val="center"/>
          </w:tcPr>
          <w:p>
            <w:pPr>
              <w:spacing w:line="380" w:lineRule="atLeast"/>
              <w:jc w:val="right"/>
              <w:rPr>
                <w:rFonts w:asciiTheme="minorEastAsia" w:hAnsiTheme="minorEastAsia" w:eastAsiaTheme="minorEastAsia"/>
                <w:szCs w:val="21"/>
                <w:u w:val="single"/>
              </w:rPr>
            </w:pPr>
          </w:p>
        </w:tc>
        <w:tc>
          <w:tcPr>
            <w:tcW w:w="3055" w:type="dxa"/>
            <w:vAlign w:val="center"/>
          </w:tcPr>
          <w:p>
            <w:pPr>
              <w:autoSpaceDE w:val="0"/>
              <w:autoSpaceDN w:val="0"/>
              <w:spacing w:line="320" w:lineRule="exact"/>
              <w:jc w:val="left"/>
              <w:textAlignment w:val="baseline"/>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line="360" w:lineRule="atLeast"/>
              <w:ind w:left="-92" w:leftChars="-44" w:right="-88" w:rightChars="-42"/>
              <w:jc w:val="center"/>
              <w:rPr>
                <w:szCs w:val="21"/>
              </w:rPr>
            </w:pPr>
            <w:r>
              <w:rPr>
                <w:szCs w:val="21"/>
              </w:rPr>
              <w:t>2.2.4（2）</w:t>
            </w:r>
          </w:p>
        </w:tc>
        <w:tc>
          <w:tcPr>
            <w:tcW w:w="1559" w:type="dxa"/>
            <w:gridSpan w:val="2"/>
            <w:vMerge w:val="restart"/>
            <w:vAlign w:val="center"/>
          </w:tcPr>
          <w:p>
            <w:pPr>
              <w:spacing w:line="360" w:lineRule="atLeast"/>
              <w:jc w:val="center"/>
              <w:rPr>
                <w:szCs w:val="21"/>
              </w:rPr>
            </w:pPr>
            <w:r>
              <w:rPr>
                <w:rFonts w:hint="eastAsia"/>
                <w:szCs w:val="21"/>
              </w:rPr>
              <w:t>主要人员</w:t>
            </w:r>
          </w:p>
        </w:tc>
        <w:tc>
          <w:tcPr>
            <w:tcW w:w="813" w:type="dxa"/>
            <w:vMerge w:val="restart"/>
            <w:vAlign w:val="center"/>
          </w:tcPr>
          <w:p>
            <w:pPr>
              <w:spacing w:line="380" w:lineRule="atLeast"/>
              <w:jc w:val="right"/>
              <w:rPr>
                <w:szCs w:val="21"/>
              </w:rPr>
            </w:pPr>
            <w:r>
              <w:rPr>
                <w:rFonts w:hint="eastAsia" w:asciiTheme="minorEastAsia" w:hAnsiTheme="minorEastAsia" w:eastAsiaTheme="minorEastAsia"/>
                <w:szCs w:val="21"/>
                <w:u w:val="single"/>
                <w:lang w:val="en-US" w:eastAsia="zh-CN"/>
              </w:rPr>
              <w:t xml:space="preserve">  </w:t>
            </w:r>
            <w:r>
              <w:rPr>
                <w:szCs w:val="21"/>
              </w:rPr>
              <w:t>分</w:t>
            </w:r>
          </w:p>
        </w:tc>
        <w:tc>
          <w:tcPr>
            <w:tcW w:w="1623" w:type="dxa"/>
            <w:vAlign w:val="center"/>
          </w:tcPr>
          <w:p>
            <w:pPr>
              <w:spacing w:line="360" w:lineRule="auto"/>
              <w:rPr>
                <w:rFonts w:asciiTheme="minorEastAsia" w:hAnsiTheme="minorEastAsia" w:eastAsiaTheme="minorEastAsia"/>
                <w:sz w:val="18"/>
                <w:szCs w:val="21"/>
              </w:rPr>
            </w:pPr>
            <w:r>
              <w:rPr>
                <w:rFonts w:asciiTheme="minorEastAsia" w:hAnsiTheme="minorEastAsia" w:eastAsiaTheme="minorEastAsia"/>
                <w:szCs w:val="21"/>
              </w:rPr>
              <w:t>项目</w:t>
            </w:r>
            <w:r>
              <w:rPr>
                <w:rFonts w:hint="eastAsia" w:asciiTheme="minorEastAsia" w:hAnsiTheme="minorEastAsia" w:eastAsiaTheme="minorEastAsia"/>
                <w:szCs w:val="21"/>
              </w:rPr>
              <w:t>负责人</w:t>
            </w:r>
            <w:r>
              <w:rPr>
                <w:rFonts w:asciiTheme="minorEastAsia" w:hAnsiTheme="minorEastAsia" w:eastAsiaTheme="minorEastAsia"/>
                <w:szCs w:val="21"/>
              </w:rPr>
              <w:t>任职资格与业绩</w:t>
            </w:r>
          </w:p>
        </w:tc>
        <w:tc>
          <w:tcPr>
            <w:tcW w:w="845" w:type="dxa"/>
            <w:vAlign w:val="center"/>
          </w:tcPr>
          <w:p>
            <w:pPr>
              <w:spacing w:line="380" w:lineRule="atLeast"/>
              <w:jc w:val="right"/>
              <w:rPr>
                <w:rFonts w:asciiTheme="minorEastAsia" w:hAnsiTheme="minorEastAsia" w:eastAsiaTheme="minorEastAsia"/>
                <w:szCs w:val="21"/>
              </w:rPr>
            </w:pP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分</w:t>
            </w:r>
          </w:p>
        </w:tc>
        <w:tc>
          <w:tcPr>
            <w:tcW w:w="3055" w:type="dxa"/>
            <w:vAlign w:val="center"/>
          </w:tcPr>
          <w:p>
            <w:pPr>
              <w:autoSpaceDE w:val="0"/>
              <w:autoSpaceDN w:val="0"/>
              <w:spacing w:line="320" w:lineRule="exact"/>
              <w:jc w:val="left"/>
              <w:textAlignment w:val="baseline"/>
              <w:rPr>
                <w:rFonts w:asciiTheme="minorEastAsia" w:hAnsiTheme="minorEastAsia" w:eastAsiaTheme="minorEastAsia"/>
                <w:b/>
                <w:bCs/>
                <w:sz w:val="18"/>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60" w:lineRule="atLeast"/>
              <w:ind w:left="-92" w:leftChars="-44" w:right="-88" w:rightChars="-42"/>
              <w:jc w:val="center"/>
              <w:rPr>
                <w:szCs w:val="21"/>
              </w:rPr>
            </w:pPr>
          </w:p>
        </w:tc>
        <w:tc>
          <w:tcPr>
            <w:tcW w:w="1559" w:type="dxa"/>
            <w:gridSpan w:val="2"/>
            <w:vMerge w:val="continue"/>
            <w:vAlign w:val="center"/>
          </w:tcPr>
          <w:p>
            <w:pPr>
              <w:spacing w:line="360" w:lineRule="atLeast"/>
              <w:jc w:val="center"/>
              <w:rPr>
                <w:szCs w:val="21"/>
              </w:rPr>
            </w:pPr>
          </w:p>
        </w:tc>
        <w:tc>
          <w:tcPr>
            <w:tcW w:w="813" w:type="dxa"/>
            <w:vMerge w:val="continue"/>
            <w:vAlign w:val="center"/>
          </w:tcPr>
          <w:p>
            <w:pPr>
              <w:spacing w:line="380" w:lineRule="atLeast"/>
              <w:jc w:val="right"/>
              <w:rPr>
                <w:szCs w:val="21"/>
                <w:u w:val="single"/>
              </w:rPr>
            </w:pPr>
          </w:p>
        </w:tc>
        <w:tc>
          <w:tcPr>
            <w:tcW w:w="1623"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u w:val="single"/>
              </w:rPr>
              <w:t>各分项咨询负责人任职资格与业绩</w:t>
            </w:r>
          </w:p>
        </w:tc>
        <w:tc>
          <w:tcPr>
            <w:tcW w:w="845" w:type="dxa"/>
            <w:vAlign w:val="center"/>
          </w:tcPr>
          <w:p>
            <w:pPr>
              <w:spacing w:line="380" w:lineRule="atLeast"/>
              <w:jc w:val="right"/>
              <w:rPr>
                <w:rFonts w:asciiTheme="minorEastAsia" w:hAnsiTheme="minorEastAsia" w:eastAsiaTheme="minorEastAsia"/>
                <w:szCs w:val="21"/>
              </w:rPr>
            </w:pPr>
            <w:r>
              <w:rPr>
                <w:rFonts w:hint="eastAsia" w:asciiTheme="minorEastAsia" w:hAnsiTheme="minorEastAsia" w:eastAsiaTheme="minorEastAsia"/>
                <w:szCs w:val="21"/>
                <w:u w:val="single"/>
                <w:lang w:val="en-US" w:eastAsia="zh-CN"/>
              </w:rPr>
              <w:t xml:space="preserve">  </w:t>
            </w:r>
            <w:r>
              <w:rPr>
                <w:rFonts w:asciiTheme="minorEastAsia" w:hAnsiTheme="minorEastAsia" w:eastAsiaTheme="minorEastAsia"/>
                <w:szCs w:val="21"/>
              </w:rPr>
              <w:t>分</w:t>
            </w:r>
          </w:p>
        </w:tc>
        <w:tc>
          <w:tcPr>
            <w:tcW w:w="3055" w:type="dxa"/>
            <w:vAlign w:val="center"/>
          </w:tcPr>
          <w:p>
            <w:pPr>
              <w:autoSpaceDE w:val="0"/>
              <w:autoSpaceDN w:val="0"/>
              <w:spacing w:line="320" w:lineRule="exact"/>
              <w:jc w:val="left"/>
              <w:textAlignment w:val="baseline"/>
              <w:rPr>
                <w:rFonts w:asciiTheme="minorEastAsia" w:hAnsiTheme="minorEastAsia" w:eastAsiaTheme="minorEastAsia"/>
                <w:kern w:val="0"/>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80" w:lineRule="atLeast"/>
              <w:jc w:val="center"/>
              <w:rPr>
                <w:szCs w:val="21"/>
              </w:rPr>
            </w:pPr>
            <w:r>
              <w:rPr>
                <w:szCs w:val="21"/>
              </w:rPr>
              <w:t>2.2.4（3）</w:t>
            </w:r>
          </w:p>
        </w:tc>
        <w:tc>
          <w:tcPr>
            <w:tcW w:w="1559" w:type="dxa"/>
            <w:gridSpan w:val="2"/>
            <w:vAlign w:val="center"/>
          </w:tcPr>
          <w:p>
            <w:pPr>
              <w:spacing w:line="380" w:lineRule="atLeast"/>
              <w:jc w:val="center"/>
              <w:rPr>
                <w:szCs w:val="21"/>
              </w:rPr>
            </w:pPr>
            <w:r>
              <w:rPr>
                <w:szCs w:val="21"/>
              </w:rPr>
              <w:t>评标价</w:t>
            </w:r>
          </w:p>
        </w:tc>
        <w:tc>
          <w:tcPr>
            <w:tcW w:w="813" w:type="dxa"/>
            <w:vAlign w:val="center"/>
          </w:tcPr>
          <w:p>
            <w:pPr>
              <w:spacing w:line="380" w:lineRule="atLeast"/>
              <w:jc w:val="right"/>
              <w:rPr>
                <w:rFonts w:ascii="宋体" w:hAnsi="宋体"/>
                <w:szCs w:val="21"/>
              </w:rPr>
            </w:pPr>
            <w:r>
              <w:rPr>
                <w:rFonts w:hint="eastAsia" w:asciiTheme="minorEastAsia" w:hAnsiTheme="minorEastAsia" w:eastAsiaTheme="minorEastAsia"/>
                <w:szCs w:val="21"/>
                <w:u w:val="single"/>
                <w:lang w:val="en-US" w:eastAsia="zh-CN"/>
              </w:rPr>
              <w:t xml:space="preserve">  </w:t>
            </w:r>
            <w:r>
              <w:rPr>
                <w:rFonts w:ascii="宋体" w:hAnsi="宋体"/>
                <w:szCs w:val="21"/>
              </w:rPr>
              <w:t>分</w:t>
            </w:r>
          </w:p>
        </w:tc>
        <w:tc>
          <w:tcPr>
            <w:tcW w:w="5523" w:type="dxa"/>
            <w:gridSpan w:val="3"/>
          </w:tcPr>
          <w:p>
            <w:pPr>
              <w:spacing w:line="360" w:lineRule="auto"/>
              <w:rPr>
                <w:szCs w:val="21"/>
              </w:rPr>
            </w:pPr>
            <w:r>
              <w:rPr>
                <w:szCs w:val="21"/>
              </w:rPr>
              <w:t>评标价得分计算公式示例：</w:t>
            </w:r>
          </w:p>
          <w:p>
            <w:pPr>
              <w:spacing w:line="360" w:lineRule="auto"/>
              <w:rPr>
                <w:rFonts w:ascii="宋体" w:hAnsi="宋体"/>
                <w:szCs w:val="21"/>
              </w:rPr>
            </w:pPr>
            <w:r>
              <w:rPr>
                <w:rFonts w:ascii="宋体" w:hAnsi="宋体"/>
                <w:szCs w:val="21"/>
              </w:rPr>
              <w:t>(1)如果投标人的评标价&gt;评标基准价，则评标价得分＝F－偏差率×100×</w:t>
            </w:r>
            <w:r>
              <w:rPr>
                <w:rFonts w:hint="eastAsia" w:ascii="宋体" w:hAnsi="宋体"/>
                <w:szCs w:val="21"/>
              </w:rPr>
              <w:t>D1</w:t>
            </w:r>
            <w:r>
              <w:rPr>
                <w:rFonts w:ascii="宋体" w:hAnsi="宋体"/>
                <w:szCs w:val="21"/>
              </w:rPr>
              <w:t>；</w:t>
            </w:r>
            <w:r>
              <w:rPr>
                <w:rFonts w:hint="eastAsia" w:ascii="宋体" w:hAnsi="宋体"/>
                <w:szCs w:val="21"/>
              </w:rPr>
              <w:t>方案一时D1宜取0.2～1.5，方案二时D1宜取1～3；</w:t>
            </w:r>
          </w:p>
          <w:p>
            <w:pPr>
              <w:spacing w:line="360" w:lineRule="auto"/>
              <w:rPr>
                <w:rFonts w:ascii="宋体" w:hAnsi="宋体"/>
                <w:szCs w:val="21"/>
              </w:rPr>
            </w:pPr>
            <w:r>
              <w:rPr>
                <w:rFonts w:ascii="宋体" w:hAnsi="宋体"/>
                <w:szCs w:val="21"/>
              </w:rPr>
              <w:t>(2)如果投标人的评标价≤评标基准价，则评标价得分＝F＋偏差率×100×</w:t>
            </w:r>
            <w:r>
              <w:rPr>
                <w:rFonts w:hint="eastAsia" w:ascii="宋体" w:hAnsi="宋体"/>
                <w:szCs w:val="21"/>
              </w:rPr>
              <w:t>D2；方案一时D2宜取0.1～0.5，方案二时D2宜取0.5～1</w:t>
            </w:r>
            <w:r>
              <w:rPr>
                <w:rFonts w:ascii="宋体" w:hAnsi="宋体"/>
                <w:szCs w:val="21"/>
              </w:rPr>
              <w:t>。</w:t>
            </w:r>
          </w:p>
          <w:p>
            <w:pPr>
              <w:spacing w:line="360" w:lineRule="auto"/>
              <w:jc w:val="center"/>
              <w:rPr>
                <w:rFonts w:ascii="宋体" w:hAnsi="宋体"/>
                <w:szCs w:val="21"/>
              </w:rPr>
            </w:pPr>
            <w:r>
              <w:rPr>
                <w:rFonts w:hint="eastAsia" w:ascii="宋体" w:hAnsi="宋体"/>
                <w:szCs w:val="21"/>
              </w:rPr>
              <w:t>其中：F 是评标价所占的权重分值， D1是评标价每高于</w:t>
            </w:r>
          </w:p>
          <w:p>
            <w:pPr>
              <w:spacing w:line="360" w:lineRule="auto"/>
              <w:rPr>
                <w:rFonts w:ascii="宋体" w:hAnsi="宋体"/>
                <w:szCs w:val="21"/>
              </w:rPr>
            </w:pPr>
            <w:r>
              <w:rPr>
                <w:rFonts w:hint="eastAsia" w:ascii="宋体" w:hAnsi="宋体"/>
                <w:szCs w:val="21"/>
              </w:rPr>
              <w:t>评标基准价一个百分点的扣分值， D2 是评标价每低于评标基准价一个百分点的扣分值,一般原则上D1是D2的2或3倍。</w:t>
            </w:r>
          </w:p>
          <w:p>
            <w:pPr>
              <w:spacing w:line="360" w:lineRule="auto"/>
              <w:jc w:val="left"/>
              <w:textAlignment w:val="baseline"/>
              <w:rPr>
                <w:szCs w:val="21"/>
              </w:rPr>
            </w:pPr>
            <w:r>
              <w:rPr>
                <w:rFonts w:hint="eastAsia" w:ascii="宋体" w:hAnsi="宋体"/>
                <w:szCs w:val="21"/>
              </w:rPr>
              <w:t>注：评标价得分计算保留小数点后四位，小数点后第五位“</w:t>
            </w:r>
            <w:r>
              <w:rPr>
                <w:rFonts w:ascii="宋体" w:hAnsi="宋体"/>
                <w:szCs w:val="21"/>
              </w:rPr>
              <w:t>四舍五入</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01" w:type="dxa"/>
            <w:vMerge w:val="restart"/>
            <w:vAlign w:val="center"/>
          </w:tcPr>
          <w:p>
            <w:pPr>
              <w:spacing w:line="380" w:lineRule="atLeast"/>
              <w:jc w:val="center"/>
              <w:rPr>
                <w:szCs w:val="21"/>
              </w:rPr>
            </w:pPr>
            <w:r>
              <w:rPr>
                <w:szCs w:val="21"/>
              </w:rPr>
              <w:t>2.2.4（4）</w:t>
            </w:r>
          </w:p>
        </w:tc>
        <w:tc>
          <w:tcPr>
            <w:tcW w:w="445" w:type="dxa"/>
            <w:vMerge w:val="restart"/>
            <w:vAlign w:val="center"/>
          </w:tcPr>
          <w:p>
            <w:pPr>
              <w:spacing w:line="380" w:lineRule="atLeast"/>
              <w:jc w:val="center"/>
              <w:rPr>
                <w:szCs w:val="21"/>
              </w:rPr>
            </w:pPr>
            <w:r>
              <w:rPr>
                <w:szCs w:val="21"/>
              </w:rPr>
              <w:t>其他因素</w:t>
            </w:r>
            <w:r>
              <w:rPr>
                <w:rStyle w:val="56"/>
                <w:rFonts w:hint="eastAsia" w:ascii="宋体" w:hAnsi="宋体"/>
                <w:sz w:val="30"/>
              </w:rPr>
              <w:footnoteReference w:id="60"/>
            </w:r>
          </w:p>
        </w:tc>
        <w:tc>
          <w:tcPr>
            <w:tcW w:w="1114" w:type="dxa"/>
            <w:vAlign w:val="center"/>
          </w:tcPr>
          <w:p>
            <w:pPr>
              <w:spacing w:line="380" w:lineRule="atLeast"/>
              <w:jc w:val="center"/>
              <w:rPr>
                <w:szCs w:val="21"/>
              </w:rPr>
            </w:pPr>
            <w:r>
              <w:rPr>
                <w:rFonts w:hint="eastAsia"/>
                <w:szCs w:val="21"/>
                <w:u w:val="single"/>
              </w:rPr>
              <w:t>企业综合能力</w:t>
            </w:r>
          </w:p>
        </w:tc>
        <w:tc>
          <w:tcPr>
            <w:tcW w:w="813" w:type="dxa"/>
            <w:vAlign w:val="center"/>
          </w:tcPr>
          <w:p>
            <w:pPr>
              <w:spacing w:line="380" w:lineRule="atLeast"/>
              <w:jc w:val="right"/>
              <w:rPr>
                <w:szCs w:val="21"/>
              </w:rPr>
            </w:pPr>
            <w:r>
              <w:rPr>
                <w:rFonts w:asciiTheme="minorEastAsia" w:hAnsiTheme="minorEastAsia" w:eastAsiaTheme="minorEastAsia"/>
                <w:szCs w:val="21"/>
              </w:rPr>
              <w:t>分</w:t>
            </w:r>
          </w:p>
        </w:tc>
        <w:tc>
          <w:tcPr>
            <w:tcW w:w="5523" w:type="dxa"/>
            <w:gridSpan w:val="3"/>
            <w:vAlign w:val="center"/>
          </w:tcPr>
          <w:p>
            <w:pPr>
              <w:autoSpaceDE w:val="0"/>
              <w:autoSpaceDN w:val="0"/>
              <w:spacing w:line="320" w:lineRule="exact"/>
              <w:jc w:val="left"/>
              <w:textAlignment w:val="baseline"/>
              <w:rPr>
                <w:rFonts w:asciiTheme="minorEastAsia" w:hAnsiTheme="minorEastAsia" w:eastAsiaTheme="minorEastAsia"/>
                <w:b/>
                <w:bCs/>
                <w:sz w:val="18"/>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01" w:type="dxa"/>
            <w:vMerge w:val="continue"/>
            <w:vAlign w:val="center"/>
          </w:tcPr>
          <w:p>
            <w:pPr>
              <w:spacing w:line="380" w:lineRule="atLeast"/>
              <w:jc w:val="center"/>
              <w:rPr>
                <w:rFonts w:eastAsia="隶书"/>
                <w:szCs w:val="21"/>
              </w:rPr>
            </w:pPr>
          </w:p>
        </w:tc>
        <w:tc>
          <w:tcPr>
            <w:tcW w:w="445" w:type="dxa"/>
            <w:vMerge w:val="continue"/>
            <w:vAlign w:val="center"/>
          </w:tcPr>
          <w:p>
            <w:pPr>
              <w:spacing w:line="380" w:lineRule="atLeast"/>
              <w:jc w:val="center"/>
              <w:rPr>
                <w:rFonts w:eastAsia="隶书"/>
                <w:szCs w:val="21"/>
              </w:rPr>
            </w:pPr>
          </w:p>
        </w:tc>
        <w:tc>
          <w:tcPr>
            <w:tcW w:w="1114" w:type="dxa"/>
            <w:vAlign w:val="center"/>
          </w:tcPr>
          <w:p>
            <w:pPr>
              <w:spacing w:line="380" w:lineRule="atLeast"/>
              <w:jc w:val="center"/>
              <w:rPr>
                <w:szCs w:val="21"/>
              </w:rPr>
            </w:pPr>
            <w:r>
              <w:rPr>
                <w:szCs w:val="21"/>
              </w:rPr>
              <w:t>业绩</w:t>
            </w:r>
          </w:p>
        </w:tc>
        <w:tc>
          <w:tcPr>
            <w:tcW w:w="813" w:type="dxa"/>
            <w:vAlign w:val="center"/>
          </w:tcPr>
          <w:p>
            <w:pPr>
              <w:spacing w:line="380" w:lineRule="atLeast"/>
              <w:jc w:val="right"/>
              <w:rPr>
                <w:szCs w:val="21"/>
              </w:rPr>
            </w:pPr>
            <w:r>
              <w:rPr>
                <w:rFonts w:asciiTheme="minorEastAsia" w:hAnsiTheme="minorEastAsia" w:eastAsiaTheme="minorEastAsia"/>
                <w:szCs w:val="21"/>
              </w:rPr>
              <w:t>分</w:t>
            </w:r>
          </w:p>
        </w:tc>
        <w:tc>
          <w:tcPr>
            <w:tcW w:w="5523" w:type="dxa"/>
            <w:gridSpan w:val="3"/>
            <w:vAlign w:val="center"/>
          </w:tcPr>
          <w:p>
            <w:pPr>
              <w:autoSpaceDE w:val="0"/>
              <w:autoSpaceDN w:val="0"/>
              <w:spacing w:line="320" w:lineRule="exact"/>
              <w:jc w:val="left"/>
              <w:textAlignment w:val="baseline"/>
              <w:rPr>
                <w:rFonts w:asciiTheme="minorEastAsia" w:hAnsiTheme="minorEastAsia" w:eastAsiaTheme="minorEastAsia"/>
                <w:kern w:val="0"/>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80" w:lineRule="atLeast"/>
              <w:jc w:val="center"/>
              <w:rPr>
                <w:rFonts w:eastAsia="隶书"/>
                <w:szCs w:val="21"/>
              </w:rPr>
            </w:pPr>
          </w:p>
        </w:tc>
        <w:tc>
          <w:tcPr>
            <w:tcW w:w="445" w:type="dxa"/>
            <w:vMerge w:val="continue"/>
            <w:vAlign w:val="center"/>
          </w:tcPr>
          <w:p>
            <w:pPr>
              <w:spacing w:line="380" w:lineRule="atLeast"/>
              <w:jc w:val="center"/>
              <w:rPr>
                <w:rFonts w:eastAsia="隶书"/>
                <w:szCs w:val="21"/>
              </w:rPr>
            </w:pPr>
          </w:p>
        </w:tc>
        <w:tc>
          <w:tcPr>
            <w:tcW w:w="1114" w:type="dxa"/>
            <w:vAlign w:val="center"/>
          </w:tcPr>
          <w:p>
            <w:pPr>
              <w:spacing w:line="380" w:lineRule="atLeast"/>
              <w:ind w:left="-105" w:leftChars="-50" w:right="-105" w:rightChars="-50"/>
              <w:jc w:val="center"/>
              <w:rPr>
                <w:szCs w:val="21"/>
              </w:rPr>
            </w:pPr>
            <w:r>
              <w:rPr>
                <w:szCs w:val="21"/>
              </w:rPr>
              <w:t>履约信誉</w:t>
            </w:r>
          </w:p>
        </w:tc>
        <w:tc>
          <w:tcPr>
            <w:tcW w:w="813" w:type="dxa"/>
            <w:vAlign w:val="center"/>
          </w:tcPr>
          <w:p>
            <w:pPr>
              <w:spacing w:line="380" w:lineRule="atLeast"/>
              <w:ind w:right="105"/>
              <w:jc w:val="right"/>
              <w:rPr>
                <w:szCs w:val="21"/>
              </w:rPr>
            </w:pPr>
            <w:r>
              <w:rPr>
                <w:rFonts w:hint="eastAsia"/>
                <w:szCs w:val="21"/>
                <w:u w:val="single"/>
              </w:rPr>
              <w:t>10</w:t>
            </w:r>
            <w:r>
              <w:rPr>
                <w:szCs w:val="21"/>
              </w:rPr>
              <w:t>分</w:t>
            </w:r>
          </w:p>
        </w:tc>
        <w:tc>
          <w:tcPr>
            <w:tcW w:w="1623" w:type="dxa"/>
            <w:vAlign w:val="center"/>
          </w:tcPr>
          <w:p>
            <w:pPr>
              <w:spacing w:line="380" w:lineRule="atLeast"/>
              <w:jc w:val="center"/>
              <w:rPr>
                <w:szCs w:val="21"/>
              </w:rPr>
            </w:pPr>
            <w:r>
              <w:rPr>
                <w:rFonts w:hint="eastAsia"/>
                <w:szCs w:val="21"/>
              </w:rPr>
              <w:t>履约</w:t>
            </w:r>
            <w:r>
              <w:rPr>
                <w:szCs w:val="21"/>
              </w:rPr>
              <w:t>信誉</w:t>
            </w:r>
          </w:p>
        </w:tc>
        <w:tc>
          <w:tcPr>
            <w:tcW w:w="845" w:type="dxa"/>
            <w:vAlign w:val="center"/>
          </w:tcPr>
          <w:p>
            <w:pPr>
              <w:spacing w:line="380" w:lineRule="atLeast"/>
              <w:rPr>
                <w:szCs w:val="21"/>
              </w:rPr>
            </w:pPr>
            <w:r>
              <w:rPr>
                <w:rFonts w:hint="eastAsia"/>
                <w:szCs w:val="21"/>
                <w:u w:val="single"/>
              </w:rPr>
              <w:t>10</w:t>
            </w:r>
            <w:r>
              <w:rPr>
                <w:szCs w:val="21"/>
              </w:rPr>
              <w:t>分</w:t>
            </w:r>
          </w:p>
        </w:tc>
        <w:tc>
          <w:tcPr>
            <w:tcW w:w="3055" w:type="dxa"/>
          </w:tcPr>
          <w:p>
            <w:pPr>
              <w:spacing w:line="360" w:lineRule="auto"/>
              <w:ind w:firstLine="105" w:firstLineChars="50"/>
              <w:rPr>
                <w:rFonts w:ascii="宋体" w:hAnsi="宋体"/>
                <w:szCs w:val="21"/>
              </w:rPr>
            </w:pPr>
            <w:r>
              <w:rPr>
                <w:rFonts w:hint="eastAsia" w:ascii="宋体" w:hAnsi="宋体"/>
                <w:szCs w:val="21"/>
              </w:rPr>
              <w:t>1. 信用等级分值（</w:t>
            </w:r>
            <w:r>
              <w:rPr>
                <w:rFonts w:hint="eastAsia" w:ascii="宋体" w:hAnsi="宋体"/>
                <w:szCs w:val="21"/>
                <w:u w:val="single"/>
              </w:rPr>
              <w:t>5</w:t>
            </w:r>
            <w:r>
              <w:rPr>
                <w:rFonts w:hint="eastAsia" w:ascii="宋体" w:hAnsi="宋体"/>
                <w:szCs w:val="21"/>
              </w:rPr>
              <w:t>分）</w:t>
            </w:r>
          </w:p>
          <w:p>
            <w:pPr>
              <w:spacing w:line="360" w:lineRule="auto"/>
              <w:ind w:firstLine="525" w:firstLineChars="250"/>
              <w:rPr>
                <w:rFonts w:ascii="宋体" w:hAnsi="宋体"/>
                <w:szCs w:val="21"/>
              </w:rPr>
            </w:pPr>
            <w:r>
              <w:rPr>
                <w:rFonts w:hint="eastAsia" w:ascii="宋体" w:hAnsi="宋体"/>
                <w:szCs w:val="21"/>
              </w:rPr>
              <w:t>AA、A、B、C级单位的信用等级分得分分别为5.00、4.75、4.45、3.65分。</w:t>
            </w:r>
          </w:p>
          <w:p>
            <w:pPr>
              <w:spacing w:line="360" w:lineRule="auto"/>
              <w:rPr>
                <w:rFonts w:ascii="宋体" w:hAnsi="宋体"/>
                <w:szCs w:val="21"/>
                <w:u w:val="single"/>
              </w:rPr>
            </w:pPr>
            <w:r>
              <w:rPr>
                <w:rFonts w:hint="eastAsia" w:ascii="宋体" w:hAnsi="宋体" w:cs="宋体"/>
                <w:szCs w:val="21"/>
              </w:rPr>
              <w:t>注：信用等级的确定原则遵循投标人须知前附表10.2款的规定。以联合体形式投标的，按联合体成员中等级较低的计算。</w:t>
            </w:r>
          </w:p>
          <w:p>
            <w:pPr>
              <w:pStyle w:val="25"/>
              <w:numPr>
                <w:ilvl w:val="0"/>
                <w:numId w:val="4"/>
              </w:numPr>
              <w:spacing w:line="360" w:lineRule="auto"/>
              <w:ind w:firstLine="8" w:firstLineChars="4"/>
              <w:rPr>
                <w:rFonts w:hAnsi="宋体"/>
                <w:szCs w:val="21"/>
              </w:rPr>
            </w:pPr>
            <w:r>
              <w:rPr>
                <w:rFonts w:hint="eastAsia" w:hAnsi="宋体"/>
                <w:szCs w:val="21"/>
              </w:rPr>
              <w:t>履约情况（</w:t>
            </w:r>
            <w:r>
              <w:rPr>
                <w:rFonts w:hint="eastAsia" w:hAnsi="宋体"/>
                <w:szCs w:val="21"/>
                <w:u w:val="single"/>
              </w:rPr>
              <w:t>5</w:t>
            </w:r>
            <w:r>
              <w:rPr>
                <w:rFonts w:hint="eastAsia" w:hAnsi="宋体"/>
                <w:szCs w:val="21"/>
              </w:rPr>
              <w:t>分）</w:t>
            </w:r>
          </w:p>
          <w:p>
            <w:pPr>
              <w:pStyle w:val="25"/>
              <w:numPr>
                <w:ilvl w:val="255"/>
                <w:numId w:val="0"/>
              </w:numPr>
              <w:spacing w:line="360" w:lineRule="auto"/>
              <w:rPr>
                <w:rFonts w:hAnsi="宋体"/>
                <w:szCs w:val="21"/>
              </w:rPr>
            </w:pPr>
            <w:r>
              <w:rPr>
                <w:rFonts w:hint="eastAsia" w:hAnsi="宋体"/>
                <w:szCs w:val="21"/>
              </w:rPr>
              <w:t>若没出现下述情形得满分；</w:t>
            </w:r>
          </w:p>
          <w:p>
            <w:pPr>
              <w:pStyle w:val="25"/>
              <w:spacing w:line="360" w:lineRule="auto"/>
              <w:ind w:firstLine="8" w:firstLineChars="4"/>
              <w:rPr>
                <w:rFonts w:hAnsi="宋体"/>
                <w:szCs w:val="21"/>
              </w:rPr>
            </w:pPr>
            <w:r>
              <w:rPr>
                <w:rFonts w:hint="eastAsia" w:hAnsi="宋体"/>
                <w:szCs w:val="21"/>
              </w:rPr>
              <w:t>投标文件递交截止日前1年内，因水运工程（含附属设施）质量、安全、履约或招标投标问题等原因被：</w:t>
            </w:r>
          </w:p>
          <w:p>
            <w:pPr>
              <w:pStyle w:val="25"/>
              <w:spacing w:line="360" w:lineRule="auto"/>
              <w:ind w:firstLine="8" w:firstLineChars="4"/>
              <w:rPr>
                <w:rFonts w:hAnsi="宋体"/>
                <w:szCs w:val="21"/>
              </w:rPr>
            </w:pPr>
            <w:r>
              <w:rPr>
                <w:rFonts w:hint="eastAsia" w:hAnsi="宋体"/>
                <w:szCs w:val="21"/>
              </w:rPr>
              <w:t>（1）交通运输部行政处罚的，扣5分/次；</w:t>
            </w:r>
          </w:p>
          <w:p>
            <w:pPr>
              <w:pStyle w:val="25"/>
              <w:spacing w:line="360" w:lineRule="auto"/>
              <w:ind w:firstLine="8" w:firstLineChars="4"/>
              <w:rPr>
                <w:rFonts w:hAnsi="宋体"/>
                <w:szCs w:val="21"/>
              </w:rPr>
            </w:pPr>
            <w:r>
              <w:rPr>
                <w:rFonts w:hint="eastAsia" w:hAnsi="宋体"/>
                <w:szCs w:val="21"/>
              </w:rPr>
              <w:t>（2）广东省交通运输厅行政处罚的，扣3分/次；</w:t>
            </w:r>
          </w:p>
          <w:p>
            <w:pPr>
              <w:pStyle w:val="25"/>
              <w:spacing w:line="360" w:lineRule="auto"/>
              <w:ind w:firstLine="8" w:firstLineChars="4"/>
              <w:rPr>
                <w:rStyle w:val="56"/>
                <w:rFonts w:hAnsi="宋体"/>
                <w:sz w:val="32"/>
                <w:szCs w:val="32"/>
              </w:rPr>
            </w:pPr>
            <w:r>
              <w:rPr>
                <w:rFonts w:hint="eastAsia" w:hAnsi="宋体"/>
                <w:szCs w:val="21"/>
                <w:u w:val="single"/>
              </w:rPr>
              <w:t>（3</w:t>
            </w:r>
            <w:r>
              <w:rPr>
                <w:rFonts w:hAnsi="宋体"/>
                <w:szCs w:val="21"/>
                <w:u w:val="single"/>
              </w:rPr>
              <w:t>）</w:t>
            </w:r>
            <w:r>
              <w:rPr>
                <w:rFonts w:hAnsi="宋体"/>
                <w:u w:val="single"/>
              </w:rPr>
              <w:t>项目所在地</w:t>
            </w:r>
            <w:r>
              <w:rPr>
                <w:rFonts w:hint="eastAsia" w:hAnsi="宋体"/>
                <w:u w:val="single"/>
              </w:rPr>
              <w:t>地级以上市</w:t>
            </w:r>
            <w:r>
              <w:rPr>
                <w:rFonts w:hAnsi="宋体"/>
                <w:u w:val="single"/>
              </w:rPr>
              <w:t>交通</w:t>
            </w:r>
            <w:r>
              <w:rPr>
                <w:rFonts w:hint="eastAsia" w:hAnsi="宋体"/>
                <w:u w:val="single"/>
              </w:rPr>
              <w:t>运输</w:t>
            </w:r>
            <w:r>
              <w:rPr>
                <w:rFonts w:hAnsi="宋体"/>
                <w:u w:val="single"/>
              </w:rPr>
              <w:t>局行政处罚的</w:t>
            </w:r>
            <w:r>
              <w:rPr>
                <w:rFonts w:hint="eastAsia" w:hAnsi="宋体"/>
                <w:szCs w:val="21"/>
                <w:u w:val="single"/>
              </w:rPr>
              <w:t>，扣1.5分/次。</w:t>
            </w:r>
            <w:r>
              <w:rPr>
                <w:rStyle w:val="56"/>
                <w:rFonts w:hAnsi="宋体"/>
                <w:sz w:val="32"/>
                <w:szCs w:val="32"/>
              </w:rPr>
              <w:footnoteReference w:id="61"/>
            </w:r>
          </w:p>
          <w:p>
            <w:pPr>
              <w:pStyle w:val="25"/>
              <w:spacing w:line="360" w:lineRule="auto"/>
              <w:ind w:firstLine="8" w:firstLineChars="4"/>
              <w:rPr>
                <w:rFonts w:hAnsi="宋体"/>
                <w:szCs w:val="21"/>
              </w:rPr>
            </w:pPr>
            <w:r>
              <w:rPr>
                <w:rFonts w:hint="eastAsia" w:hAnsi="宋体"/>
                <w:szCs w:val="21"/>
              </w:rPr>
              <w:t>（4）广东省交通运输厅正式约谈的，扣 0.1分/次。</w:t>
            </w:r>
          </w:p>
          <w:p>
            <w:pPr>
              <w:pStyle w:val="25"/>
              <w:spacing w:line="360" w:lineRule="auto"/>
              <w:ind w:firstLine="424" w:firstLineChars="202"/>
              <w:rPr>
                <w:sz w:val="18"/>
                <w:szCs w:val="18"/>
              </w:rPr>
            </w:pPr>
            <w:r>
              <w:rPr>
                <w:rFonts w:hint="eastAsia" w:hAnsi="宋体"/>
                <w:szCs w:val="21"/>
              </w:rPr>
              <w:t>同一事项同时被多个部门行政处罚或正式约谈只按最高的扣分计算1次</w:t>
            </w:r>
            <w:r>
              <w:rPr>
                <w:rStyle w:val="56"/>
                <w:rFonts w:hAnsi="宋体"/>
                <w:sz w:val="32"/>
                <w:szCs w:val="32"/>
              </w:rPr>
              <w:footnoteReference w:id="62"/>
            </w:r>
            <w:r>
              <w:rPr>
                <w:rFonts w:hint="eastAsia" w:hAnsi="宋体"/>
                <w:szCs w:val="21"/>
              </w:rPr>
              <w:t>。如果扣完本项分值，可以从投标人总得分中扣除。以联合体形式投标的，若各联合体成员任何一方或均存在上述情形的，对联合体各成员进行累计扣分。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line="380" w:lineRule="atLeast"/>
              <w:jc w:val="center"/>
              <w:rPr>
                <w:rFonts w:eastAsia="隶书"/>
                <w:szCs w:val="21"/>
              </w:rPr>
            </w:pPr>
            <w:bookmarkStart w:id="429" w:name="_Toc503235807"/>
            <w:bookmarkStart w:id="430" w:name="_Toc234832944"/>
          </w:p>
        </w:tc>
        <w:tc>
          <w:tcPr>
            <w:tcW w:w="445" w:type="dxa"/>
            <w:vMerge w:val="continue"/>
            <w:vAlign w:val="center"/>
          </w:tcPr>
          <w:p>
            <w:pPr>
              <w:spacing w:line="380" w:lineRule="atLeast"/>
              <w:jc w:val="center"/>
              <w:rPr>
                <w:rFonts w:eastAsia="隶书"/>
                <w:szCs w:val="21"/>
              </w:rPr>
            </w:pPr>
          </w:p>
        </w:tc>
        <w:tc>
          <w:tcPr>
            <w:tcW w:w="1114" w:type="dxa"/>
            <w:vAlign w:val="center"/>
          </w:tcPr>
          <w:p>
            <w:pPr>
              <w:spacing w:line="380" w:lineRule="atLeast"/>
              <w:ind w:left="-105" w:leftChars="-50" w:right="-105" w:rightChars="-50"/>
              <w:jc w:val="center"/>
              <w:rPr>
                <w:szCs w:val="21"/>
              </w:rPr>
            </w:pPr>
            <w:r>
              <w:rPr>
                <w:rFonts w:hint="eastAsia" w:ascii="宋体" w:hAnsi="宋体"/>
                <w:szCs w:val="21"/>
              </w:rPr>
              <w:t>……</w:t>
            </w:r>
          </w:p>
        </w:tc>
        <w:tc>
          <w:tcPr>
            <w:tcW w:w="813" w:type="dxa"/>
            <w:vAlign w:val="center"/>
          </w:tcPr>
          <w:p>
            <w:pPr>
              <w:spacing w:line="380" w:lineRule="atLeast"/>
              <w:ind w:right="105"/>
              <w:jc w:val="right"/>
              <w:rPr>
                <w:szCs w:val="21"/>
                <w:u w:val="single"/>
              </w:rPr>
            </w:pPr>
          </w:p>
        </w:tc>
        <w:tc>
          <w:tcPr>
            <w:tcW w:w="5523" w:type="dxa"/>
            <w:gridSpan w:val="3"/>
            <w:vAlign w:val="center"/>
          </w:tcPr>
          <w:p>
            <w:pPr>
              <w:jc w:val="left"/>
              <w:rPr>
                <w:rFonts w:hAnsi="宋体"/>
                <w:szCs w:val="21"/>
              </w:rPr>
            </w:pPr>
          </w:p>
        </w:tc>
      </w:tr>
    </w:tbl>
    <w:p>
      <w:pPr>
        <w:widowControl/>
        <w:jc w:val="left"/>
        <w:rPr>
          <w:sz w:val="27"/>
          <w:szCs w:val="27"/>
        </w:rPr>
      </w:pPr>
    </w:p>
    <w:p>
      <w:pPr>
        <w:widowControl/>
        <w:jc w:val="left"/>
        <w:rPr>
          <w:sz w:val="27"/>
          <w:szCs w:val="27"/>
        </w:rPr>
      </w:pPr>
      <w:r>
        <w:rPr>
          <w:sz w:val="27"/>
          <w:szCs w:val="27"/>
        </w:rPr>
        <w:br w:type="page"/>
      </w:r>
    </w:p>
    <w:tbl>
      <w:tblPr>
        <w:tblStyle w:val="47"/>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0" w:type="dxa"/>
            <w:gridSpan w:val="2"/>
          </w:tcPr>
          <w:p>
            <w:pPr>
              <w:spacing w:line="360" w:lineRule="auto"/>
              <w:rPr>
                <w:rFonts w:ascii="宋体" w:hAnsi="宋体"/>
                <w:szCs w:val="21"/>
              </w:rPr>
            </w:pPr>
            <w:r>
              <w:rPr>
                <w:rFonts w:ascii="宋体" w:hAnsi="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vAlign w:val="center"/>
          </w:tcPr>
          <w:p>
            <w:pPr>
              <w:spacing w:line="360" w:lineRule="auto"/>
              <w:jc w:val="center"/>
              <w:rPr>
                <w:rFonts w:ascii="宋体" w:hAnsi="宋体"/>
                <w:szCs w:val="21"/>
              </w:rPr>
            </w:pPr>
            <w:r>
              <w:rPr>
                <w:rFonts w:ascii="宋体" w:hAnsi="宋体"/>
                <w:szCs w:val="21"/>
              </w:rPr>
              <w:t>条款号</w:t>
            </w:r>
          </w:p>
        </w:tc>
        <w:tc>
          <w:tcPr>
            <w:tcW w:w="7552" w:type="dxa"/>
            <w:vAlign w:val="center"/>
          </w:tcPr>
          <w:p>
            <w:pPr>
              <w:spacing w:line="360" w:lineRule="auto"/>
              <w:jc w:val="center"/>
              <w:rPr>
                <w:rFonts w:ascii="宋体" w:hAnsi="宋体"/>
                <w:szCs w:val="21"/>
              </w:rPr>
            </w:pPr>
            <w:r>
              <w:rPr>
                <w:rFonts w:ascii="宋体" w:hAnsi="宋体"/>
                <w:szCs w:val="21"/>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vAlign w:val="center"/>
          </w:tcPr>
          <w:p>
            <w:pPr>
              <w:spacing w:line="360" w:lineRule="auto"/>
              <w:jc w:val="center"/>
              <w:rPr>
                <w:rFonts w:ascii="宋体" w:hAnsi="宋体"/>
                <w:szCs w:val="21"/>
              </w:rPr>
            </w:pPr>
            <w:r>
              <w:rPr>
                <w:rFonts w:hint="eastAsia" w:ascii="宋体" w:hAnsi="宋体" w:cs="宋体"/>
                <w:szCs w:val="21"/>
              </w:rPr>
              <w:t>3.2.2</w:t>
            </w:r>
          </w:p>
        </w:tc>
        <w:tc>
          <w:tcPr>
            <w:tcW w:w="7552" w:type="dxa"/>
            <w:vAlign w:val="center"/>
          </w:tcPr>
          <w:p>
            <w:pPr>
              <w:spacing w:line="360" w:lineRule="auto"/>
              <w:rPr>
                <w:rFonts w:ascii="宋体" w:hAnsi="宋体" w:cs="宋体"/>
                <w:szCs w:val="21"/>
              </w:rPr>
            </w:pPr>
            <w:r>
              <w:rPr>
                <w:rFonts w:hint="eastAsia" w:ascii="宋体" w:hAnsi="宋体" w:cs="宋体"/>
                <w:szCs w:val="21"/>
              </w:rPr>
              <w:t>将评标办法原文第3.2.2项修改如下：</w:t>
            </w:r>
          </w:p>
          <w:p>
            <w:pPr>
              <w:spacing w:line="360" w:lineRule="auto"/>
              <w:rPr>
                <w:rFonts w:ascii="宋体" w:hAnsi="宋体"/>
                <w:szCs w:val="21"/>
              </w:rPr>
            </w:pPr>
            <w:r>
              <w:rPr>
                <w:rFonts w:hint="eastAsia" w:ascii="宋体" w:hAnsi="宋体" w:cs="宋体"/>
                <w:szCs w:val="21"/>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vAlign w:val="center"/>
          </w:tcPr>
          <w:p>
            <w:pPr>
              <w:spacing w:line="360" w:lineRule="auto"/>
              <w:jc w:val="center"/>
              <w:rPr>
                <w:rFonts w:ascii="宋体" w:hAnsi="宋体"/>
                <w:szCs w:val="21"/>
              </w:rPr>
            </w:pPr>
            <w:r>
              <w:rPr>
                <w:rFonts w:ascii="宋体" w:hAnsi="宋体"/>
                <w:szCs w:val="21"/>
              </w:rPr>
              <w:t>3.2.3</w:t>
            </w:r>
          </w:p>
        </w:tc>
        <w:tc>
          <w:tcPr>
            <w:tcW w:w="7552" w:type="dxa"/>
            <w:vAlign w:val="center"/>
          </w:tcPr>
          <w:p>
            <w:pPr>
              <w:spacing w:line="360" w:lineRule="auto"/>
              <w:rPr>
                <w:rFonts w:ascii="宋体" w:hAnsi="宋体"/>
                <w:szCs w:val="21"/>
              </w:rPr>
            </w:pPr>
            <w:r>
              <w:rPr>
                <w:rFonts w:ascii="宋体" w:hAnsi="宋体"/>
                <w:szCs w:val="21"/>
              </w:rPr>
              <w:t>将评标办法范本原文第3.2.3款细化如下：</w:t>
            </w:r>
          </w:p>
          <w:p>
            <w:pPr>
              <w:spacing w:line="360" w:lineRule="auto"/>
              <w:ind w:firstLine="420" w:firstLineChars="200"/>
              <w:rPr>
                <w:rFonts w:ascii="宋体" w:hAnsi="宋体"/>
                <w:szCs w:val="21"/>
              </w:rPr>
            </w:pPr>
            <w:r>
              <w:rPr>
                <w:rFonts w:ascii="宋体" w:hAnsi="宋体"/>
                <w:szCs w:val="21"/>
              </w:rPr>
              <w:t>投标人的商务和技术得分=A+B+D。</w:t>
            </w:r>
          </w:p>
          <w:p>
            <w:pPr>
              <w:autoSpaceDE w:val="0"/>
              <w:autoSpaceDN w:val="0"/>
              <w:adjustRightInd w:val="0"/>
              <w:spacing w:line="360" w:lineRule="auto"/>
              <w:ind w:firstLine="420"/>
              <w:rPr>
                <w:rFonts w:ascii="宋体" w:hAnsi="宋体" w:cs="宋体"/>
                <w:szCs w:val="21"/>
              </w:rPr>
            </w:pPr>
            <w:r>
              <w:rPr>
                <w:rFonts w:hint="eastAsia" w:ascii="宋体" w:hAnsi="宋体" w:cs="宋体"/>
                <w:szCs w:val="21"/>
              </w:rPr>
              <w:t>投标文件评分因素（技术建议书）细分项得分均不应低于其权重分的60%，评分低于权重分值60%的，评标委员会成员应当在评标报告中作出说明。</w:t>
            </w:r>
          </w:p>
          <w:p>
            <w:pPr>
              <w:autoSpaceDE w:val="0"/>
              <w:autoSpaceDN w:val="0"/>
              <w:adjustRightInd w:val="0"/>
              <w:spacing w:line="360" w:lineRule="auto"/>
              <w:ind w:firstLine="420"/>
              <w:rPr>
                <w:rFonts w:ascii="宋体" w:hAnsi="宋体" w:cs="宋体"/>
                <w:szCs w:val="21"/>
              </w:rPr>
            </w:pPr>
            <w:r>
              <w:rPr>
                <w:rFonts w:hint="eastAsia" w:ascii="宋体" w:hAnsi="宋体" w:cs="宋体"/>
                <w:szCs w:val="21"/>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保留小数点后三位，小数点后第四位“四舍五入”。</w:t>
            </w:r>
          </w:p>
          <w:p>
            <w:pPr>
              <w:autoSpaceDE w:val="0"/>
              <w:autoSpaceDN w:val="0"/>
              <w:adjustRightInd w:val="0"/>
              <w:spacing w:line="360" w:lineRule="auto"/>
              <w:ind w:firstLine="420"/>
              <w:rPr>
                <w:rFonts w:ascii="宋体" w:hAnsi="宋体" w:cs="宋体"/>
                <w:szCs w:val="21"/>
              </w:rPr>
            </w:pPr>
            <w:r>
              <w:rPr>
                <w:rFonts w:hint="eastAsia" w:ascii="宋体" w:hAnsi="宋体" w:cs="宋体"/>
                <w:szCs w:val="21"/>
              </w:rPr>
              <w:t>取消其中1名评委评分的办法一（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pPr>
              <w:autoSpaceDE w:val="0"/>
              <w:autoSpaceDN w:val="0"/>
              <w:adjustRightInd w:val="0"/>
              <w:spacing w:line="360" w:lineRule="auto"/>
              <w:ind w:firstLine="420"/>
              <w:rPr>
                <w:rFonts w:ascii="宋体" w:hAnsi="宋体" w:cs="宋体"/>
                <w:szCs w:val="21"/>
              </w:rPr>
            </w:pPr>
            <w:r>
              <w:rPr>
                <w:rFonts w:hint="eastAsia" w:ascii="宋体" w:hAnsi="宋体" w:cs="宋体"/>
                <w:szCs w:val="21"/>
              </w:rPr>
              <w:t>取消其中1名评委评分的办法二：按随机抽取的方式选定取消1名评委评分。</w:t>
            </w:r>
          </w:p>
          <w:p>
            <w:pPr>
              <w:autoSpaceDE w:val="0"/>
              <w:autoSpaceDN w:val="0"/>
              <w:adjustRightInd w:val="0"/>
              <w:spacing w:line="360" w:lineRule="auto"/>
              <w:ind w:firstLine="420"/>
              <w:rPr>
                <w:rFonts w:ascii="宋体" w:hAnsi="宋体" w:cs="宋体"/>
                <w:szCs w:val="21"/>
              </w:rPr>
            </w:pPr>
            <w:r>
              <w:rPr>
                <w:rFonts w:hint="eastAsia" w:ascii="宋体" w:hAnsi="宋体" w:cs="宋体"/>
                <w:szCs w:val="21"/>
              </w:rPr>
              <w:t>注：如同一评委对5名投标人技术评分总分分别为：50分（最高分）、50分、49分、48分、48分（次低分）、47分、47分（最低分），则其最大差值为3分，次分差为：50分-48分=2分。</w:t>
            </w:r>
          </w:p>
          <w:p>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评标委员会人数为7人时，计算投标人技术得分时:各评分因素细分项中取消一个最高、一个最低分后计算算术平均值的和为投标人的最终技术得分，平均值计算保留小数点后三位，小数点后第四位“四舍五入”。</w:t>
            </w:r>
          </w:p>
          <w:p>
            <w:pPr>
              <w:pStyle w:val="18"/>
              <w:autoSpaceDE w:val="0"/>
              <w:autoSpaceDN w:val="0"/>
              <w:adjustRightInd w:val="0"/>
              <w:spacing w:line="360" w:lineRule="auto"/>
              <w:ind w:firstLine="420"/>
              <w:jc w:val="left"/>
              <w:rPr>
                <w:rFonts w:ascii="宋体" w:hAnsi="宋体" w:cs="仿宋_GB2312"/>
                <w:kern w:val="0"/>
                <w:szCs w:val="21"/>
              </w:rPr>
            </w:pPr>
            <w:r>
              <w:rPr>
                <w:rFonts w:hint="eastAsia"/>
              </w:rPr>
              <w:t>以上评标委员会人数以实际参与评审的评标委员会人数数量为准。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vAlign w:val="center"/>
          </w:tcPr>
          <w:p>
            <w:pPr>
              <w:spacing w:line="360" w:lineRule="auto"/>
              <w:jc w:val="center"/>
              <w:rPr>
                <w:rFonts w:ascii="宋体" w:hAnsi="宋体"/>
                <w:szCs w:val="21"/>
              </w:rPr>
            </w:pPr>
            <w:r>
              <w:rPr>
                <w:rFonts w:hint="eastAsia" w:ascii="宋体" w:hAnsi="宋体" w:cs="宋体"/>
                <w:szCs w:val="21"/>
              </w:rPr>
              <w:t>3.9</w:t>
            </w:r>
          </w:p>
        </w:tc>
        <w:tc>
          <w:tcPr>
            <w:tcW w:w="7552" w:type="dxa"/>
            <w:vAlign w:val="center"/>
          </w:tcPr>
          <w:p>
            <w:pPr>
              <w:snapToGrid w:val="0"/>
              <w:spacing w:line="360" w:lineRule="auto"/>
              <w:rPr>
                <w:rFonts w:ascii="宋体" w:hAnsi="宋体" w:cs="宋体"/>
                <w:bCs/>
                <w:szCs w:val="21"/>
              </w:rPr>
            </w:pPr>
            <w:r>
              <w:rPr>
                <w:rFonts w:hint="eastAsia" w:ascii="宋体" w:hAnsi="宋体" w:cs="宋体"/>
                <w:bCs/>
                <w:szCs w:val="21"/>
              </w:rPr>
              <w:t>增加3.9.3-3.9.7</w:t>
            </w:r>
            <w:r>
              <w:rPr>
                <w:rFonts w:hint="eastAsia" w:ascii="宋体" w:hAnsi="宋体" w:cs="宋体"/>
                <w:szCs w:val="21"/>
              </w:rPr>
              <w:t>项</w:t>
            </w:r>
            <w:r>
              <w:rPr>
                <w:rFonts w:hint="eastAsia" w:ascii="宋体" w:hAnsi="宋体" w:cs="宋体"/>
                <w:bCs/>
                <w:szCs w:val="21"/>
              </w:rPr>
              <w:t>：</w:t>
            </w:r>
          </w:p>
          <w:p>
            <w:pPr>
              <w:adjustRightInd w:val="0"/>
              <w:snapToGrid w:val="0"/>
              <w:spacing w:line="360" w:lineRule="auto"/>
              <w:ind w:firstLine="432" w:firstLineChars="206"/>
              <w:rPr>
                <w:rFonts w:ascii="宋体" w:hAnsi="宋体" w:cs="宋体"/>
                <w:szCs w:val="21"/>
              </w:rPr>
            </w:pPr>
            <w:r>
              <w:rPr>
                <w:rFonts w:hint="eastAsia" w:ascii="宋体" w:hAnsi="宋体" w:cs="宋体"/>
                <w:szCs w:val="21"/>
                <w:u w:val="single"/>
              </w:rPr>
              <w:t>3.9.3推荐中标候选人方式：（1）已被推荐为某一合同段的第一中标候选人，自动失去其在本次招标中其他合同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r>
              <w:rPr>
                <w:rStyle w:val="56"/>
                <w:rFonts w:ascii="宋体" w:hAnsi="宋体"/>
                <w:sz w:val="32"/>
                <w:szCs w:val="32"/>
              </w:rPr>
              <w:footnoteReference w:id="63"/>
            </w:r>
          </w:p>
          <w:p>
            <w:pPr>
              <w:adjustRightInd w:val="0"/>
              <w:snapToGrid w:val="0"/>
              <w:spacing w:line="360" w:lineRule="auto"/>
              <w:ind w:firstLine="432" w:firstLineChars="206"/>
              <w:rPr>
                <w:rFonts w:ascii="宋体" w:hAnsi="宋体" w:cs="宋体"/>
                <w:szCs w:val="21"/>
              </w:rPr>
            </w:pPr>
            <w:r>
              <w:rPr>
                <w:rFonts w:hint="eastAsia" w:ascii="宋体" w:hAnsi="宋体" w:cs="宋体"/>
                <w:szCs w:val="21"/>
              </w:rPr>
              <w:t>3.9.4通过第一个信封（商务及技术文件）评审的投标人少于3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spacing w:line="360" w:lineRule="auto"/>
              <w:ind w:firstLine="424" w:firstLineChars="202"/>
              <w:rPr>
                <w:rFonts w:ascii="宋体" w:hAnsi="宋体" w:cs="宋体"/>
                <w:szCs w:val="21"/>
              </w:rPr>
            </w:pPr>
            <w:r>
              <w:rPr>
                <w:rFonts w:hint="eastAsia" w:ascii="宋体" w:hAnsi="宋体" w:cs="宋体"/>
                <w:szCs w:val="21"/>
              </w:rPr>
              <w:t>3.9.5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adjustRightInd w:val="0"/>
              <w:snapToGrid w:val="0"/>
              <w:spacing w:line="360" w:lineRule="auto"/>
              <w:ind w:firstLine="432" w:firstLineChars="206"/>
              <w:rPr>
                <w:rFonts w:ascii="宋体" w:hAnsi="宋体" w:cs="宋体"/>
                <w:szCs w:val="21"/>
              </w:rPr>
            </w:pPr>
            <w:r>
              <w:rPr>
                <w:rFonts w:hint="eastAsia" w:ascii="宋体" w:hAnsi="宋体" w:cs="宋体"/>
                <w:szCs w:val="21"/>
              </w:rPr>
              <w:t>3.9.6如果发生无法确定推荐中标候选人的其它意外情况，评标委员会可建议招标人重新招标。</w:t>
            </w:r>
          </w:p>
          <w:p>
            <w:pPr>
              <w:spacing w:line="360" w:lineRule="auto"/>
              <w:ind w:right="124" w:rightChars="59" w:firstLine="420" w:firstLineChars="200"/>
              <w:rPr>
                <w:rFonts w:ascii="宋体" w:hAnsi="宋体" w:cs="宋体"/>
                <w:szCs w:val="21"/>
              </w:rPr>
            </w:pPr>
            <w:r>
              <w:rPr>
                <w:rFonts w:hint="eastAsia" w:ascii="宋体" w:hAnsi="宋体" w:cs="宋体"/>
                <w:szCs w:val="21"/>
              </w:rPr>
              <w:t>3.9.7本招标文件规定的否决投标条款包含在以下条款：</w:t>
            </w:r>
            <w:r>
              <w:rPr>
                <w:rStyle w:val="56"/>
                <w:rFonts w:ascii="宋体" w:hAnsi="宋体"/>
                <w:sz w:val="32"/>
                <w:szCs w:val="32"/>
              </w:rPr>
              <w:footnoteReference w:id="64"/>
            </w:r>
          </w:p>
          <w:p>
            <w:pPr>
              <w:spacing w:line="360" w:lineRule="auto"/>
              <w:ind w:right="124" w:rightChars="59" w:firstLine="420" w:firstLineChars="200"/>
              <w:rPr>
                <w:rFonts w:ascii="宋体" w:hAnsi="宋体" w:cs="宋体"/>
                <w:szCs w:val="21"/>
              </w:rPr>
            </w:pPr>
            <w:r>
              <w:rPr>
                <w:rFonts w:hint="eastAsia" w:ascii="宋体" w:hAnsi="宋体" w:cs="宋体"/>
                <w:szCs w:val="21"/>
              </w:rPr>
              <w:t>（1）招标公告第3点投标人资格要求；</w:t>
            </w:r>
          </w:p>
          <w:p>
            <w:pPr>
              <w:spacing w:line="360" w:lineRule="auto"/>
              <w:ind w:right="124" w:rightChars="59"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投标人须知1.4.3项、1.4.4项、1.12.2项、3.4.2项、3.5.8项、3.6.1项；</w:t>
            </w:r>
          </w:p>
          <w:p>
            <w:pPr>
              <w:adjustRightInd w:val="0"/>
              <w:snapToGrid w:val="0"/>
              <w:spacing w:line="360" w:lineRule="auto"/>
              <w:ind w:firstLine="432" w:firstLineChars="206"/>
              <w:rPr>
                <w:rFonts w:ascii="宋体" w:hAnsi="宋体"/>
                <w:szCs w:val="21"/>
              </w:rPr>
            </w:pPr>
            <w:r>
              <w:rPr>
                <w:rFonts w:hint="eastAsia" w:ascii="宋体" w:hAnsi="宋体" w:cs="宋体"/>
                <w:szCs w:val="21"/>
              </w:rPr>
              <w:t>（3）本评标办法的否决条款。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vAlign w:val="center"/>
          </w:tcPr>
          <w:p>
            <w:pPr>
              <w:jc w:val="left"/>
              <w:rPr>
                <w:rFonts w:ascii="宋体" w:hAnsi="宋体"/>
                <w:szCs w:val="21"/>
              </w:rPr>
            </w:pPr>
            <w:r>
              <w:rPr>
                <w:rFonts w:hint="eastAsia" w:ascii="宋体" w:hAnsi="宋体"/>
                <w:szCs w:val="21"/>
              </w:rPr>
              <w:t>…</w:t>
            </w:r>
          </w:p>
        </w:tc>
        <w:tc>
          <w:tcPr>
            <w:tcW w:w="7552" w:type="dxa"/>
            <w:vAlign w:val="center"/>
          </w:tcPr>
          <w:p>
            <w:pPr>
              <w:jc w:val="left"/>
              <w:rPr>
                <w:rFonts w:ascii="宋体" w:hAnsi="宋体"/>
                <w:bCs/>
                <w:szCs w:val="21"/>
              </w:rPr>
            </w:pPr>
            <w:r>
              <w:rPr>
                <w:rFonts w:hint="eastAsia" w:ascii="宋体" w:hAnsi="宋体"/>
                <w:szCs w:val="21"/>
              </w:rPr>
              <w:t>…</w:t>
            </w:r>
          </w:p>
        </w:tc>
      </w:tr>
    </w:tbl>
    <w:p>
      <w:pPr>
        <w:widowControl/>
        <w:jc w:val="left"/>
        <w:rPr>
          <w:sz w:val="27"/>
          <w:szCs w:val="27"/>
        </w:rPr>
      </w:pPr>
      <w:r>
        <w:rPr>
          <w:sz w:val="27"/>
          <w:szCs w:val="27"/>
        </w:rPr>
        <w:br w:type="page"/>
      </w:r>
    </w:p>
    <w:p>
      <w:pPr>
        <w:spacing w:before="240" w:after="240" w:line="240" w:lineRule="atLeast"/>
      </w:pPr>
      <w:r>
        <w:rPr>
          <w:rFonts w:ascii="黑体" w:eastAsia="黑体"/>
          <w:bCs/>
          <w:kern w:val="44"/>
          <w:sz w:val="28"/>
          <w:szCs w:val="28"/>
        </w:rPr>
        <w:t xml:space="preserve">1. </w:t>
      </w:r>
      <w:r>
        <w:rPr>
          <w:rFonts w:hint="eastAsia" w:ascii="黑体" w:eastAsia="黑体"/>
          <w:bCs/>
          <w:kern w:val="44"/>
          <w:sz w:val="28"/>
          <w:szCs w:val="28"/>
        </w:rPr>
        <w:t>评标方法</w:t>
      </w:r>
      <w:bookmarkEnd w:id="429"/>
    </w:p>
    <w:p>
      <w:pPr>
        <w:spacing w:line="360" w:lineRule="auto"/>
        <w:ind w:firstLine="480" w:firstLineChars="200"/>
        <w:jc w:val="left"/>
        <w:rPr>
          <w:rFonts w:ascii="宋体" w:hAnsi="宋体" w:cs="宋体"/>
          <w:sz w:val="24"/>
        </w:rPr>
      </w:pPr>
      <w:r>
        <w:rPr>
          <w:rFonts w:hint="eastAsia" w:ascii="宋体" w:hAnsi="宋体" w:cs="宋体"/>
          <w:sz w:val="24"/>
        </w:rPr>
        <w:t>1.1评标方法</w:t>
      </w:r>
    </w:p>
    <w:p>
      <w:pPr>
        <w:spacing w:line="360" w:lineRule="auto"/>
        <w:ind w:firstLine="480" w:firstLineChars="200"/>
        <w:jc w:val="left"/>
        <w:rPr>
          <w:rFonts w:ascii="宋体" w:hAnsi="宋体" w:cs="宋体"/>
          <w:sz w:val="24"/>
        </w:rPr>
      </w:pPr>
      <w:r>
        <w:rPr>
          <w:rFonts w:hint="eastAsia" w:ascii="宋体" w:hAnsi="宋体" w:cs="宋体"/>
          <w:sz w:val="24"/>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360" w:lineRule="auto"/>
        <w:ind w:firstLine="480" w:firstLineChars="200"/>
        <w:jc w:val="left"/>
        <w:rPr>
          <w:rFonts w:ascii="宋体" w:hAnsi="宋体" w:cs="宋体"/>
          <w:sz w:val="24"/>
        </w:rPr>
      </w:pPr>
      <w:r>
        <w:rPr>
          <w:rFonts w:hint="eastAsia" w:ascii="宋体" w:hAnsi="宋体" w:cs="宋体"/>
          <w:sz w:val="24"/>
        </w:rPr>
        <w:t>1.2评标组织</w:t>
      </w:r>
    </w:p>
    <w:p>
      <w:pPr>
        <w:spacing w:line="360" w:lineRule="auto"/>
        <w:ind w:firstLine="480" w:firstLineChars="200"/>
        <w:jc w:val="left"/>
        <w:rPr>
          <w:rFonts w:ascii="宋体" w:hAnsi="宋体" w:cs="宋体"/>
          <w:sz w:val="24"/>
        </w:rPr>
      </w:pPr>
      <w:r>
        <w:rPr>
          <w:rFonts w:hint="eastAsia" w:ascii="宋体" w:hAnsi="宋体" w:cs="宋体"/>
          <w:sz w:val="24"/>
        </w:rPr>
        <w:t>1.2.1协助工作组</w:t>
      </w:r>
    </w:p>
    <w:p>
      <w:pPr>
        <w:spacing w:line="360" w:lineRule="auto"/>
        <w:ind w:firstLine="480" w:firstLineChars="200"/>
        <w:jc w:val="left"/>
        <w:rPr>
          <w:rFonts w:ascii="宋体" w:hAnsi="宋体" w:cs="宋体"/>
          <w:sz w:val="24"/>
        </w:rPr>
      </w:pPr>
      <w:r>
        <w:rPr>
          <w:rFonts w:hint="eastAsia" w:ascii="宋体" w:hAnsi="宋体" w:cs="宋体"/>
          <w:sz w:val="24"/>
        </w:rPr>
        <w:t>招标人可在评标工作开始前成立协助工作组，选派熟悉招标工作、政治素质高的人员组成，协助评标委员会工作。协助工作组人员的具体数量由招标人视评标工作量确定，评标责任由评标委员会负责。</w:t>
      </w:r>
    </w:p>
    <w:p>
      <w:pPr>
        <w:spacing w:line="360" w:lineRule="auto"/>
        <w:ind w:firstLine="480" w:firstLineChars="200"/>
        <w:jc w:val="left"/>
        <w:rPr>
          <w:rFonts w:ascii="宋体" w:hAnsi="宋体" w:cs="宋体"/>
          <w:sz w:val="24"/>
        </w:rPr>
      </w:pPr>
      <w:r>
        <w:rPr>
          <w:rFonts w:hint="eastAsia" w:ascii="宋体" w:hAnsi="宋体" w:cs="宋体"/>
          <w:sz w:val="24"/>
        </w:rPr>
        <w:t>招标人可以协助评标委员会开展下列工作并提供相关信息：</w:t>
      </w:r>
    </w:p>
    <w:p>
      <w:pPr>
        <w:spacing w:line="360" w:lineRule="auto"/>
        <w:ind w:firstLine="480" w:firstLineChars="200"/>
        <w:jc w:val="left"/>
        <w:rPr>
          <w:rFonts w:ascii="宋体" w:hAnsi="宋体" w:cs="宋体"/>
          <w:sz w:val="24"/>
        </w:rPr>
      </w:pPr>
      <w:r>
        <w:rPr>
          <w:rFonts w:hint="eastAsia" w:ascii="宋体" w:hAnsi="宋体" w:cs="宋体"/>
          <w:sz w:val="24"/>
        </w:rPr>
        <w:t>（1）根据招标文件，编制评标使用的相应表格；</w:t>
      </w:r>
    </w:p>
    <w:p>
      <w:pPr>
        <w:spacing w:line="360" w:lineRule="auto"/>
        <w:ind w:firstLine="480" w:firstLineChars="200"/>
        <w:jc w:val="left"/>
        <w:rPr>
          <w:rFonts w:ascii="宋体" w:hAnsi="宋体" w:cs="宋体"/>
          <w:sz w:val="24"/>
        </w:rPr>
      </w:pPr>
      <w:r>
        <w:rPr>
          <w:rFonts w:hint="eastAsia" w:ascii="宋体" w:hAnsi="宋体" w:cs="宋体"/>
          <w:sz w:val="24"/>
        </w:rPr>
        <w:t>（2）对投标报价进行算术性校核；</w:t>
      </w:r>
    </w:p>
    <w:p>
      <w:pPr>
        <w:spacing w:line="360" w:lineRule="auto"/>
        <w:ind w:firstLine="480" w:firstLineChars="200"/>
        <w:jc w:val="left"/>
        <w:rPr>
          <w:rFonts w:ascii="宋体" w:hAnsi="宋体" w:cs="宋体"/>
          <w:sz w:val="24"/>
        </w:rPr>
      </w:pPr>
      <w:r>
        <w:rPr>
          <w:rFonts w:hint="eastAsia" w:ascii="宋体" w:hAnsi="宋体" w:cs="宋体"/>
          <w:sz w:val="24"/>
        </w:rPr>
        <w:t>（3）以评标标准和方法为依据，列出投标文件相对于招标文件的所有偏差，并进行归类汇总；</w:t>
      </w:r>
    </w:p>
    <w:p>
      <w:pPr>
        <w:spacing w:line="360" w:lineRule="auto"/>
        <w:ind w:firstLine="480" w:firstLineChars="200"/>
        <w:jc w:val="left"/>
        <w:rPr>
          <w:rFonts w:ascii="宋体" w:hAnsi="宋体" w:cs="宋体"/>
          <w:sz w:val="24"/>
        </w:rPr>
      </w:pPr>
      <w:r>
        <w:rPr>
          <w:rFonts w:hint="eastAsia" w:ascii="宋体" w:hAnsi="宋体" w:cs="宋体"/>
          <w:sz w:val="24"/>
        </w:rPr>
        <w:t>（4）对投标人的资质、业绩、主要人员资历和目前在岗情况、信用等级进行核实。</w:t>
      </w:r>
    </w:p>
    <w:p>
      <w:pPr>
        <w:spacing w:line="360" w:lineRule="auto"/>
        <w:ind w:firstLine="480" w:firstLineChars="200"/>
        <w:jc w:val="left"/>
        <w:rPr>
          <w:rFonts w:ascii="宋体" w:hAnsi="宋体" w:cs="宋体"/>
          <w:sz w:val="24"/>
        </w:rPr>
      </w:pPr>
      <w:r>
        <w:rPr>
          <w:rFonts w:hint="eastAsia" w:ascii="宋体" w:hAnsi="宋体" w:cs="宋体"/>
          <w:sz w:val="24"/>
        </w:rPr>
        <w:t>招标人不得对投标文件作出任何评价，不得故意遗漏或者片面摘录，不得在评标委员会对所有偏差定性之前透露存有偏差的投标人名称。</w:t>
      </w:r>
    </w:p>
    <w:p>
      <w:pPr>
        <w:spacing w:line="360" w:lineRule="auto"/>
        <w:ind w:firstLine="480" w:firstLineChars="200"/>
        <w:jc w:val="left"/>
        <w:rPr>
          <w:rFonts w:ascii="宋体" w:hAnsi="宋体" w:cs="宋体"/>
          <w:sz w:val="24"/>
        </w:rPr>
      </w:pPr>
      <w:r>
        <w:rPr>
          <w:rFonts w:hint="eastAsia" w:ascii="宋体" w:hAnsi="宋体" w:cs="宋体"/>
          <w:sz w:val="24"/>
        </w:rPr>
        <w:t>1.2.2评标委员会</w:t>
      </w:r>
    </w:p>
    <w:p>
      <w:pPr>
        <w:spacing w:line="360" w:lineRule="auto"/>
        <w:ind w:firstLine="480" w:firstLineChars="200"/>
        <w:jc w:val="left"/>
        <w:rPr>
          <w:rFonts w:ascii="宋体" w:hAnsi="宋体" w:cs="宋体"/>
          <w:sz w:val="24"/>
        </w:rPr>
      </w:pPr>
      <w:r>
        <w:rPr>
          <w:rFonts w:hint="eastAsia" w:ascii="宋体" w:hAnsi="宋体" w:cs="宋体"/>
          <w:sz w:val="24"/>
        </w:rPr>
        <w:t>评标委员会由招标人按国家、广东省等的有关规定依法组建。评标委员人数参见本招标文件“投标人须知前附表第6.1.1款。评标委员会的主要工作内容包括：</w:t>
      </w:r>
    </w:p>
    <w:p>
      <w:pPr>
        <w:spacing w:line="360" w:lineRule="auto"/>
        <w:ind w:firstLine="480" w:firstLineChars="200"/>
        <w:jc w:val="left"/>
        <w:rPr>
          <w:rFonts w:ascii="宋体" w:hAnsi="宋体" w:cs="宋体"/>
          <w:sz w:val="24"/>
        </w:rPr>
      </w:pPr>
      <w:r>
        <w:rPr>
          <w:rFonts w:hint="eastAsia" w:ascii="宋体" w:hAnsi="宋体" w:cs="宋体"/>
          <w:sz w:val="24"/>
        </w:rPr>
        <w:t>（1）评标委员会开始评标工作之前，首先听取招标人、协助工作组关于工程情况和辅助工作的说明，并认真研读招标文件，获取评标所需的重要信息和数据；</w:t>
      </w:r>
    </w:p>
    <w:p>
      <w:pPr>
        <w:spacing w:line="360" w:lineRule="auto"/>
        <w:ind w:firstLine="480" w:firstLineChars="200"/>
        <w:jc w:val="left"/>
        <w:rPr>
          <w:rFonts w:ascii="宋体" w:hAnsi="宋体" w:cs="宋体"/>
          <w:sz w:val="24"/>
        </w:rPr>
      </w:pPr>
      <w:r>
        <w:rPr>
          <w:rFonts w:hint="eastAsia" w:ascii="宋体" w:hAnsi="宋体" w:cs="宋体"/>
          <w:sz w:val="24"/>
        </w:rPr>
        <w:t>（2）对协助工作组提供的评标工作用表和评标内容进行核查。</w:t>
      </w:r>
    </w:p>
    <w:p>
      <w:pPr>
        <w:spacing w:line="360" w:lineRule="auto"/>
        <w:ind w:firstLine="480" w:firstLineChars="200"/>
        <w:jc w:val="left"/>
        <w:rPr>
          <w:rFonts w:ascii="宋体" w:hAnsi="宋体" w:cs="宋体"/>
          <w:sz w:val="24"/>
        </w:rPr>
      </w:pPr>
      <w:r>
        <w:rPr>
          <w:rFonts w:hint="eastAsia" w:ascii="宋体" w:hAnsi="宋体" w:cs="宋体"/>
          <w:sz w:val="24"/>
        </w:rPr>
        <w:t>（3）按照以下1.3款程序进行各项评审工作。</w:t>
      </w:r>
    </w:p>
    <w:p>
      <w:pPr>
        <w:spacing w:line="360" w:lineRule="auto"/>
        <w:ind w:firstLine="480" w:firstLineChars="200"/>
        <w:jc w:val="left"/>
        <w:rPr>
          <w:rFonts w:ascii="宋体" w:hAnsi="宋体" w:cs="宋体"/>
          <w:sz w:val="24"/>
        </w:rPr>
      </w:pPr>
      <w:r>
        <w:rPr>
          <w:rFonts w:hint="eastAsia" w:ascii="宋体" w:hAnsi="宋体" w:cs="宋体"/>
          <w:sz w:val="24"/>
        </w:rPr>
        <w:t>1.3评审工作程序</w:t>
      </w:r>
    </w:p>
    <w:p>
      <w:pPr>
        <w:spacing w:line="360" w:lineRule="auto"/>
        <w:ind w:firstLine="480" w:firstLineChars="200"/>
        <w:jc w:val="left"/>
        <w:rPr>
          <w:rFonts w:ascii="宋体" w:hAnsi="宋体" w:cs="宋体"/>
          <w:sz w:val="24"/>
        </w:rPr>
      </w:pPr>
      <w:r>
        <w:rPr>
          <w:rFonts w:hint="eastAsia" w:ascii="宋体" w:hAnsi="宋体" w:cs="宋体"/>
          <w:sz w:val="24"/>
        </w:rPr>
        <w:t>（一）第一个信封（商务及技术文件）：</w:t>
      </w:r>
    </w:p>
    <w:p>
      <w:pPr>
        <w:spacing w:line="360" w:lineRule="auto"/>
        <w:ind w:firstLine="480" w:firstLineChars="200"/>
        <w:jc w:val="left"/>
        <w:rPr>
          <w:rFonts w:ascii="宋体" w:hAnsi="宋体" w:cs="宋体"/>
          <w:sz w:val="24"/>
        </w:rPr>
      </w:pPr>
      <w:r>
        <w:rPr>
          <w:rFonts w:hint="eastAsia" w:ascii="宋体" w:hAnsi="宋体" w:cs="宋体"/>
          <w:sz w:val="24"/>
        </w:rPr>
        <w:t>l、初步评审：包括形式评审与响应性评审、资格评审；</w:t>
      </w:r>
    </w:p>
    <w:p>
      <w:pPr>
        <w:spacing w:line="360" w:lineRule="auto"/>
        <w:ind w:firstLine="480" w:firstLineChars="200"/>
        <w:jc w:val="left"/>
        <w:rPr>
          <w:rFonts w:ascii="宋体" w:hAnsi="宋体" w:cs="宋体"/>
          <w:sz w:val="24"/>
        </w:rPr>
      </w:pPr>
      <w:r>
        <w:rPr>
          <w:rFonts w:hint="eastAsia" w:ascii="宋体" w:hAnsi="宋体" w:cs="宋体"/>
          <w:sz w:val="24"/>
        </w:rPr>
        <w:t>2、详细评审（评审打分）：评标委员会首先对通过初步评审的投标文件第一个信封（商务及技术文件）进行详细评审，对投标人的技术建议书、主要人员、其他因素等分别评审打分。</w:t>
      </w:r>
    </w:p>
    <w:p>
      <w:pPr>
        <w:spacing w:line="360" w:lineRule="auto"/>
        <w:ind w:firstLine="480" w:firstLineChars="200"/>
        <w:jc w:val="left"/>
        <w:rPr>
          <w:rFonts w:ascii="宋体" w:hAnsi="宋体" w:cs="宋体"/>
          <w:sz w:val="24"/>
        </w:rPr>
      </w:pPr>
      <w:r>
        <w:rPr>
          <w:rFonts w:hint="eastAsia" w:ascii="宋体" w:hAnsi="宋体" w:cs="宋体"/>
          <w:sz w:val="24"/>
        </w:rPr>
        <w:t>（二）第二个信封（报价文件）：</w:t>
      </w:r>
    </w:p>
    <w:p>
      <w:pPr>
        <w:spacing w:line="360" w:lineRule="auto"/>
        <w:ind w:firstLine="480" w:firstLineChars="200"/>
        <w:jc w:val="left"/>
        <w:rPr>
          <w:rFonts w:ascii="宋体" w:hAnsi="宋体" w:cs="宋体"/>
          <w:sz w:val="24"/>
        </w:rPr>
      </w:pPr>
      <w:r>
        <w:rPr>
          <w:rFonts w:hint="eastAsia" w:ascii="宋体" w:hAnsi="宋体" w:cs="宋体"/>
          <w:sz w:val="24"/>
        </w:rPr>
        <w:t>1、初步评审：</w:t>
      </w:r>
    </w:p>
    <w:p>
      <w:pPr>
        <w:spacing w:line="360" w:lineRule="auto"/>
        <w:ind w:firstLine="480" w:firstLineChars="200"/>
        <w:jc w:val="left"/>
        <w:rPr>
          <w:rFonts w:ascii="宋体" w:hAnsi="宋体" w:cs="宋体"/>
          <w:sz w:val="24"/>
        </w:rPr>
      </w:pPr>
      <w:r>
        <w:rPr>
          <w:rFonts w:hint="eastAsia" w:ascii="宋体" w:hAnsi="宋体" w:cs="宋体"/>
          <w:sz w:val="24"/>
        </w:rPr>
        <w:t>（1）只有投标文件第一个信封通过详细评审的投标人才能继续参加第二个信封（报价文件）的形式评审与响应性评审；</w:t>
      </w:r>
    </w:p>
    <w:p>
      <w:pPr>
        <w:spacing w:line="360" w:lineRule="auto"/>
        <w:ind w:firstLine="480" w:firstLineChars="200"/>
        <w:jc w:val="left"/>
        <w:rPr>
          <w:rFonts w:ascii="宋体" w:hAnsi="宋体" w:cs="宋体"/>
          <w:sz w:val="24"/>
        </w:rPr>
      </w:pPr>
      <w:r>
        <w:rPr>
          <w:rFonts w:hint="eastAsia" w:ascii="宋体" w:hAnsi="宋体" w:cs="宋体"/>
          <w:sz w:val="24"/>
        </w:rPr>
        <w:t>（2）报价算术性修正；</w:t>
      </w:r>
    </w:p>
    <w:p>
      <w:pPr>
        <w:spacing w:line="360" w:lineRule="auto"/>
        <w:ind w:firstLine="480" w:firstLineChars="200"/>
        <w:jc w:val="left"/>
        <w:rPr>
          <w:rFonts w:ascii="宋体" w:hAnsi="宋体" w:cs="宋体"/>
          <w:sz w:val="24"/>
        </w:rPr>
      </w:pPr>
      <w:r>
        <w:rPr>
          <w:rFonts w:hint="eastAsia" w:ascii="宋体" w:hAnsi="宋体" w:cs="宋体"/>
          <w:sz w:val="24"/>
        </w:rPr>
        <w:t>2、详细评审：计算评标基准价、评标价得分及综合得分；</w:t>
      </w:r>
    </w:p>
    <w:p>
      <w:pPr>
        <w:spacing w:line="360" w:lineRule="auto"/>
        <w:ind w:firstLine="480" w:firstLineChars="200"/>
        <w:jc w:val="left"/>
        <w:rPr>
          <w:rFonts w:ascii="宋体" w:hAnsi="宋体" w:cs="宋体"/>
          <w:sz w:val="24"/>
        </w:rPr>
      </w:pPr>
      <w:r>
        <w:rPr>
          <w:rFonts w:hint="eastAsia" w:ascii="宋体" w:hAnsi="宋体" w:cs="宋体"/>
          <w:sz w:val="24"/>
        </w:rPr>
        <w:t>（三）投标文件相关信息的核查。</w:t>
      </w:r>
    </w:p>
    <w:p>
      <w:pPr>
        <w:spacing w:line="360" w:lineRule="auto"/>
        <w:ind w:firstLine="480" w:firstLineChars="200"/>
        <w:jc w:val="left"/>
        <w:rPr>
          <w:rFonts w:ascii="宋体" w:hAnsi="宋体" w:cs="宋体"/>
          <w:sz w:val="24"/>
        </w:rPr>
      </w:pPr>
      <w:r>
        <w:rPr>
          <w:rFonts w:hint="eastAsia" w:ascii="宋体" w:hAnsi="宋体" w:cs="宋体"/>
          <w:sz w:val="24"/>
        </w:rPr>
        <w:t>（四）投标文件的澄清和说明(如有)。</w:t>
      </w:r>
    </w:p>
    <w:p>
      <w:pPr>
        <w:spacing w:line="360" w:lineRule="auto"/>
        <w:ind w:firstLine="480" w:firstLineChars="200"/>
        <w:jc w:val="left"/>
        <w:rPr>
          <w:sz w:val="24"/>
        </w:rPr>
      </w:pPr>
      <w:r>
        <w:rPr>
          <w:rFonts w:hint="eastAsia" w:ascii="宋体" w:hAnsi="宋体" w:cs="宋体"/>
          <w:sz w:val="24"/>
        </w:rPr>
        <w:t>（五）按评标办法规定推荐中标候选人，编写评标报告。</w:t>
      </w:r>
    </w:p>
    <w:p>
      <w:pPr>
        <w:pStyle w:val="2"/>
        <w:spacing w:before="360" w:after="240" w:line="240" w:lineRule="atLeast"/>
        <w:rPr>
          <w:rFonts w:ascii="黑体" w:eastAsia="黑体"/>
          <w:b w:val="0"/>
          <w:sz w:val="28"/>
          <w:szCs w:val="28"/>
        </w:rPr>
      </w:pPr>
      <w:bookmarkStart w:id="431" w:name="_Toc508984136"/>
      <w:bookmarkStart w:id="432" w:name="_Toc503235808"/>
      <w:bookmarkStart w:id="433" w:name="_Toc508984335"/>
      <w:r>
        <w:rPr>
          <w:rFonts w:ascii="黑体" w:eastAsia="黑体"/>
          <w:b w:val="0"/>
          <w:sz w:val="28"/>
          <w:szCs w:val="28"/>
        </w:rPr>
        <w:t>2. 评审标准</w:t>
      </w:r>
      <w:bookmarkEnd w:id="431"/>
      <w:bookmarkEnd w:id="432"/>
      <w:bookmarkEnd w:id="433"/>
    </w:p>
    <w:p>
      <w:pPr>
        <w:pStyle w:val="2"/>
        <w:spacing w:before="240" w:after="240" w:line="240" w:lineRule="atLeast"/>
        <w:rPr>
          <w:rFonts w:ascii="黑体" w:eastAsia="黑体"/>
          <w:b w:val="0"/>
          <w:sz w:val="24"/>
          <w:szCs w:val="24"/>
        </w:rPr>
      </w:pPr>
      <w:bookmarkStart w:id="434" w:name="_Toc503235809"/>
      <w:bookmarkStart w:id="435" w:name="_Toc508984137"/>
      <w:bookmarkStart w:id="436" w:name="_Toc508984336"/>
      <w:r>
        <w:rPr>
          <w:rFonts w:ascii="黑体" w:eastAsia="黑体"/>
          <w:b w:val="0"/>
          <w:sz w:val="24"/>
          <w:szCs w:val="24"/>
        </w:rPr>
        <w:t>2.1 初步评审标准</w:t>
      </w:r>
      <w:bookmarkEnd w:id="434"/>
      <w:bookmarkEnd w:id="435"/>
      <w:bookmarkEnd w:id="436"/>
    </w:p>
    <w:p>
      <w:pPr>
        <w:spacing w:line="360" w:lineRule="auto"/>
        <w:ind w:firstLine="480" w:firstLineChars="200"/>
        <w:rPr>
          <w:rFonts w:ascii="宋体" w:hAnsi="宋体" w:cs="宋体"/>
          <w:sz w:val="24"/>
        </w:rPr>
      </w:pPr>
      <w:r>
        <w:rPr>
          <w:rFonts w:hint="eastAsia" w:ascii="宋体" w:hAnsi="宋体" w:cs="宋体"/>
          <w:sz w:val="24"/>
        </w:rPr>
        <w:t>2.1.1 形式评审标准：见评标办法前附表。</w:t>
      </w:r>
    </w:p>
    <w:p>
      <w:pPr>
        <w:spacing w:line="360" w:lineRule="auto"/>
        <w:ind w:firstLine="480" w:firstLineChars="200"/>
        <w:rPr>
          <w:rFonts w:ascii="宋体" w:hAnsi="宋体" w:cs="宋体"/>
          <w:sz w:val="24"/>
        </w:rPr>
      </w:pPr>
      <w:r>
        <w:rPr>
          <w:rFonts w:hint="eastAsia" w:ascii="宋体" w:hAnsi="宋体" w:cs="宋体"/>
          <w:sz w:val="24"/>
        </w:rPr>
        <w:t>2.1.2 资格评审标准：见评标办法前附表。</w:t>
      </w:r>
    </w:p>
    <w:p>
      <w:pPr>
        <w:spacing w:line="360" w:lineRule="auto"/>
        <w:ind w:firstLine="480" w:firstLineChars="200"/>
        <w:rPr>
          <w:rFonts w:ascii="宋体" w:hAnsi="宋体" w:cs="宋体"/>
          <w:sz w:val="24"/>
        </w:rPr>
      </w:pPr>
      <w:r>
        <w:rPr>
          <w:rFonts w:hint="eastAsia" w:ascii="宋体" w:hAnsi="宋体" w:cs="宋体"/>
          <w:sz w:val="24"/>
        </w:rPr>
        <w:t>2.1.3 响应性评审标准：见评标办法前附表。</w:t>
      </w:r>
    </w:p>
    <w:p>
      <w:pPr>
        <w:pStyle w:val="2"/>
        <w:spacing w:before="240" w:after="240" w:line="240" w:lineRule="atLeast"/>
        <w:rPr>
          <w:rFonts w:ascii="黑体" w:eastAsia="黑体"/>
          <w:b w:val="0"/>
          <w:sz w:val="24"/>
          <w:szCs w:val="24"/>
        </w:rPr>
      </w:pPr>
      <w:bookmarkStart w:id="437" w:name="_Toc508984337"/>
      <w:bookmarkStart w:id="438" w:name="_Toc503235810"/>
      <w:bookmarkStart w:id="439" w:name="_Toc508984138"/>
      <w:r>
        <w:rPr>
          <w:rFonts w:ascii="黑体" w:eastAsia="黑体"/>
          <w:b w:val="0"/>
          <w:sz w:val="24"/>
          <w:szCs w:val="24"/>
        </w:rPr>
        <w:t>2.2 分值构成与评分标准</w:t>
      </w:r>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2.2.1 分值构成</w:t>
      </w:r>
    </w:p>
    <w:p>
      <w:pPr>
        <w:spacing w:line="360" w:lineRule="auto"/>
        <w:ind w:firstLine="480" w:firstLineChars="200"/>
        <w:rPr>
          <w:rFonts w:ascii="宋体" w:hAnsi="宋体" w:cs="宋体"/>
          <w:sz w:val="24"/>
        </w:rPr>
      </w:pPr>
      <w:r>
        <w:rPr>
          <w:rFonts w:hint="eastAsia" w:ascii="宋体" w:hAnsi="宋体" w:cs="宋体"/>
          <w:sz w:val="24"/>
        </w:rPr>
        <w:t>（1）技术建议书：见评标办法前附表；</w:t>
      </w:r>
    </w:p>
    <w:p>
      <w:pPr>
        <w:spacing w:line="360" w:lineRule="auto"/>
        <w:ind w:firstLine="480" w:firstLineChars="200"/>
        <w:rPr>
          <w:rFonts w:ascii="宋体" w:hAnsi="宋体" w:cs="宋体"/>
          <w:sz w:val="24"/>
        </w:rPr>
      </w:pPr>
      <w:r>
        <w:rPr>
          <w:rFonts w:hint="eastAsia" w:ascii="宋体" w:hAnsi="宋体" w:cs="宋体"/>
          <w:sz w:val="24"/>
        </w:rPr>
        <w:t>（2）主要人员：见评标办法前附表；</w:t>
      </w:r>
    </w:p>
    <w:p>
      <w:pPr>
        <w:spacing w:line="360" w:lineRule="auto"/>
        <w:ind w:firstLine="480" w:firstLineChars="200"/>
        <w:rPr>
          <w:rFonts w:ascii="宋体" w:hAnsi="宋体" w:cs="宋体"/>
          <w:sz w:val="24"/>
        </w:rPr>
      </w:pPr>
      <w:r>
        <w:rPr>
          <w:rFonts w:hint="eastAsia" w:ascii="宋体" w:hAnsi="宋体" w:cs="宋体"/>
          <w:sz w:val="24"/>
        </w:rPr>
        <w:t>（3）评标价：见评标办法前附表；</w:t>
      </w:r>
    </w:p>
    <w:p>
      <w:pPr>
        <w:spacing w:line="360" w:lineRule="auto"/>
        <w:ind w:firstLine="480" w:firstLineChars="200"/>
        <w:rPr>
          <w:rFonts w:ascii="宋体" w:hAnsi="宋体" w:cs="宋体"/>
          <w:sz w:val="24"/>
        </w:rPr>
      </w:pPr>
      <w:r>
        <w:rPr>
          <w:rFonts w:hint="eastAsia" w:ascii="宋体" w:hAnsi="宋体" w:cs="宋体"/>
          <w:sz w:val="24"/>
        </w:rPr>
        <w:t>（4）其他评分因素：见评标办法前附表。</w:t>
      </w:r>
    </w:p>
    <w:p>
      <w:pPr>
        <w:spacing w:line="360" w:lineRule="auto"/>
        <w:ind w:firstLine="480" w:firstLineChars="200"/>
        <w:rPr>
          <w:rFonts w:ascii="宋体" w:hAnsi="宋体" w:cs="宋体"/>
          <w:sz w:val="24"/>
        </w:rPr>
      </w:pPr>
      <w:r>
        <w:rPr>
          <w:rFonts w:hint="eastAsia" w:ascii="宋体" w:hAnsi="宋体" w:cs="宋体"/>
          <w:sz w:val="24"/>
        </w:rPr>
        <w:t>2.2.2 评标基准价计算</w:t>
      </w:r>
    </w:p>
    <w:p>
      <w:pPr>
        <w:spacing w:line="360" w:lineRule="auto"/>
        <w:ind w:firstLine="480" w:firstLineChars="200"/>
        <w:rPr>
          <w:rFonts w:ascii="宋体" w:hAnsi="宋体" w:cs="宋体"/>
          <w:sz w:val="24"/>
        </w:rPr>
      </w:pPr>
      <w:r>
        <w:rPr>
          <w:rFonts w:hint="eastAsia" w:ascii="宋体" w:hAnsi="宋体" w:cs="宋体"/>
          <w:sz w:val="24"/>
        </w:rPr>
        <w:t>评标基准价计算方法：见评标办法前附表。</w:t>
      </w:r>
    </w:p>
    <w:p>
      <w:pPr>
        <w:spacing w:line="360" w:lineRule="auto"/>
        <w:ind w:firstLine="480" w:firstLineChars="200"/>
        <w:rPr>
          <w:rFonts w:ascii="宋体" w:hAnsi="宋体" w:cs="宋体"/>
          <w:sz w:val="24"/>
        </w:rPr>
      </w:pPr>
      <w:r>
        <w:rPr>
          <w:rFonts w:hint="eastAsia" w:ascii="宋体" w:hAnsi="宋体" w:cs="宋体"/>
          <w:sz w:val="24"/>
        </w:rPr>
        <w:t>2.2.3 评标价的偏差率计算</w:t>
      </w:r>
    </w:p>
    <w:p>
      <w:pPr>
        <w:spacing w:line="360" w:lineRule="auto"/>
        <w:ind w:firstLine="480" w:firstLineChars="200"/>
        <w:rPr>
          <w:rFonts w:ascii="宋体" w:hAnsi="宋体" w:cs="宋体"/>
          <w:sz w:val="24"/>
        </w:rPr>
      </w:pPr>
      <w:r>
        <w:rPr>
          <w:rFonts w:hint="eastAsia" w:ascii="宋体" w:hAnsi="宋体" w:cs="宋体"/>
          <w:sz w:val="24"/>
        </w:rPr>
        <w:t>评标价的偏差率计算公式：见评标办法前附表。</w:t>
      </w:r>
    </w:p>
    <w:p>
      <w:pPr>
        <w:spacing w:line="360" w:lineRule="auto"/>
        <w:ind w:firstLine="480" w:firstLineChars="200"/>
        <w:rPr>
          <w:rFonts w:ascii="宋体" w:hAnsi="宋体" w:cs="宋体"/>
          <w:sz w:val="24"/>
        </w:rPr>
      </w:pPr>
      <w:r>
        <w:rPr>
          <w:rFonts w:hint="eastAsia" w:ascii="宋体" w:hAnsi="宋体" w:cs="宋体"/>
          <w:sz w:val="24"/>
        </w:rPr>
        <w:t>2.2.4 评分标准</w:t>
      </w:r>
    </w:p>
    <w:p>
      <w:pPr>
        <w:spacing w:line="360" w:lineRule="auto"/>
        <w:ind w:firstLine="480" w:firstLineChars="200"/>
        <w:rPr>
          <w:rFonts w:ascii="宋体" w:hAnsi="宋体" w:cs="宋体"/>
          <w:sz w:val="24"/>
        </w:rPr>
      </w:pPr>
      <w:r>
        <w:rPr>
          <w:rFonts w:hint="eastAsia" w:ascii="宋体" w:hAnsi="宋体" w:cs="宋体"/>
          <w:sz w:val="24"/>
        </w:rPr>
        <w:t>（1）技术建议书评分标准：见评标办法前附表；</w:t>
      </w:r>
    </w:p>
    <w:p>
      <w:pPr>
        <w:spacing w:line="360" w:lineRule="auto"/>
        <w:ind w:firstLine="480" w:firstLineChars="200"/>
        <w:rPr>
          <w:rFonts w:ascii="宋体" w:hAnsi="宋体" w:cs="宋体"/>
          <w:sz w:val="24"/>
        </w:rPr>
      </w:pPr>
      <w:r>
        <w:rPr>
          <w:rFonts w:hint="eastAsia" w:ascii="宋体" w:hAnsi="宋体" w:cs="宋体"/>
          <w:sz w:val="24"/>
        </w:rPr>
        <w:t>（2）主要人员评分标准：见评标办法前附表；</w:t>
      </w:r>
    </w:p>
    <w:p>
      <w:pPr>
        <w:spacing w:line="360" w:lineRule="auto"/>
        <w:ind w:firstLine="480" w:firstLineChars="200"/>
        <w:rPr>
          <w:rFonts w:ascii="宋体" w:hAnsi="宋体" w:cs="宋体"/>
          <w:sz w:val="24"/>
        </w:rPr>
      </w:pPr>
      <w:r>
        <w:rPr>
          <w:rFonts w:hint="eastAsia" w:ascii="宋体" w:hAnsi="宋体" w:cs="宋体"/>
          <w:sz w:val="24"/>
        </w:rPr>
        <w:t>（3）评标价评分标准：见评标办法前附表；</w:t>
      </w:r>
    </w:p>
    <w:p>
      <w:pPr>
        <w:spacing w:line="360" w:lineRule="auto"/>
        <w:ind w:firstLine="480" w:firstLineChars="200"/>
        <w:rPr>
          <w:rFonts w:ascii="宋体" w:hAnsi="宋体" w:cs="宋体"/>
          <w:sz w:val="24"/>
        </w:rPr>
      </w:pPr>
      <w:r>
        <w:rPr>
          <w:rFonts w:hint="eastAsia" w:ascii="宋体" w:hAnsi="宋体" w:cs="宋体"/>
          <w:sz w:val="24"/>
        </w:rPr>
        <w:t>（4）其他因素评分标准：见评标办法前附表。</w:t>
      </w:r>
    </w:p>
    <w:p>
      <w:pPr>
        <w:pStyle w:val="2"/>
        <w:spacing w:before="360" w:after="240" w:line="240" w:lineRule="atLeast"/>
        <w:rPr>
          <w:rFonts w:ascii="黑体" w:eastAsia="黑体"/>
          <w:b w:val="0"/>
          <w:sz w:val="28"/>
          <w:szCs w:val="28"/>
        </w:rPr>
      </w:pPr>
      <w:bookmarkStart w:id="440" w:name="_Toc508984338"/>
      <w:bookmarkStart w:id="441" w:name="_Toc503235811"/>
      <w:bookmarkStart w:id="442" w:name="_Toc508984139"/>
      <w:r>
        <w:rPr>
          <w:rFonts w:ascii="黑体" w:eastAsia="黑体"/>
          <w:b w:val="0"/>
          <w:sz w:val="28"/>
          <w:szCs w:val="28"/>
        </w:rPr>
        <w:t>3. 评标程序</w:t>
      </w:r>
      <w:bookmarkEnd w:id="440"/>
      <w:bookmarkEnd w:id="441"/>
      <w:bookmarkEnd w:id="442"/>
    </w:p>
    <w:p>
      <w:pPr>
        <w:pStyle w:val="2"/>
        <w:spacing w:before="240" w:after="240" w:line="240" w:lineRule="atLeast"/>
        <w:rPr>
          <w:rFonts w:ascii="黑体" w:eastAsia="黑体"/>
          <w:b w:val="0"/>
          <w:sz w:val="24"/>
          <w:szCs w:val="24"/>
        </w:rPr>
      </w:pPr>
      <w:bookmarkStart w:id="443" w:name="_Toc508984140"/>
      <w:bookmarkStart w:id="444" w:name="_Toc503235812"/>
      <w:bookmarkStart w:id="445" w:name="_Toc508984339"/>
      <w:r>
        <w:rPr>
          <w:rFonts w:ascii="黑体" w:eastAsia="黑体"/>
          <w:b w:val="0"/>
          <w:sz w:val="24"/>
          <w:szCs w:val="24"/>
        </w:rPr>
        <w:t>3.1</w:t>
      </w:r>
      <w:r>
        <w:rPr>
          <w:rFonts w:hint="eastAsia" w:ascii="黑体" w:eastAsia="黑体"/>
          <w:b w:val="0"/>
          <w:sz w:val="24"/>
          <w:szCs w:val="24"/>
        </w:rPr>
        <w:t xml:space="preserve"> 第一个信封</w:t>
      </w:r>
      <w:r>
        <w:rPr>
          <w:rFonts w:ascii="黑体" w:eastAsia="黑体"/>
          <w:b w:val="0"/>
          <w:sz w:val="24"/>
          <w:szCs w:val="24"/>
        </w:rPr>
        <w:t>初步评审</w:t>
      </w:r>
      <w:bookmarkEnd w:id="443"/>
      <w:bookmarkEnd w:id="444"/>
      <w:bookmarkEnd w:id="445"/>
    </w:p>
    <w:p>
      <w:pPr>
        <w:spacing w:line="360" w:lineRule="auto"/>
        <w:ind w:firstLine="480" w:firstLineChars="200"/>
        <w:rPr>
          <w:rFonts w:ascii="宋体" w:hAnsi="宋体" w:cs="宋体"/>
          <w:sz w:val="24"/>
        </w:rPr>
      </w:pPr>
      <w:r>
        <w:rPr>
          <w:rFonts w:hint="eastAsia" w:ascii="宋体" w:hAnsi="宋体" w:cs="宋体"/>
          <w:sz w:val="24"/>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pPr>
        <w:pStyle w:val="2"/>
        <w:spacing w:before="240" w:after="240" w:line="240" w:lineRule="atLeast"/>
        <w:rPr>
          <w:rFonts w:ascii="黑体" w:eastAsia="黑体"/>
          <w:b w:val="0"/>
          <w:sz w:val="24"/>
          <w:szCs w:val="24"/>
        </w:rPr>
      </w:pPr>
      <w:bookmarkStart w:id="446" w:name="_Toc508984340"/>
      <w:bookmarkStart w:id="447" w:name="_Toc508984141"/>
      <w:bookmarkStart w:id="448" w:name="_Toc503235813"/>
      <w:r>
        <w:rPr>
          <w:rFonts w:ascii="黑体" w:eastAsia="黑体"/>
          <w:b w:val="0"/>
          <w:sz w:val="24"/>
          <w:szCs w:val="24"/>
        </w:rPr>
        <w:t>3.</w:t>
      </w:r>
      <w:r>
        <w:rPr>
          <w:rFonts w:hint="eastAsia" w:ascii="黑体" w:eastAsia="黑体"/>
          <w:b w:val="0"/>
          <w:sz w:val="24"/>
          <w:szCs w:val="24"/>
        </w:rPr>
        <w:t>2 第一个信封</w:t>
      </w:r>
      <w:r>
        <w:rPr>
          <w:rFonts w:ascii="黑体" w:eastAsia="黑体"/>
          <w:b w:val="0"/>
          <w:sz w:val="24"/>
          <w:szCs w:val="24"/>
        </w:rPr>
        <w:t>详细评审</w:t>
      </w:r>
      <w:bookmarkEnd w:id="446"/>
      <w:bookmarkEnd w:id="447"/>
      <w:bookmarkEnd w:id="448"/>
    </w:p>
    <w:p>
      <w:pPr>
        <w:spacing w:line="360" w:lineRule="auto"/>
        <w:ind w:firstLine="480" w:firstLineChars="200"/>
        <w:rPr>
          <w:rFonts w:ascii="宋体" w:hAnsi="宋体" w:cs="宋体"/>
          <w:sz w:val="24"/>
        </w:rPr>
      </w:pPr>
      <w:r>
        <w:rPr>
          <w:rFonts w:hint="eastAsia" w:ascii="宋体" w:hAnsi="宋体" w:cs="宋体"/>
          <w:sz w:val="24"/>
        </w:rPr>
        <w:t>3.2.1 评标委员会按本章第2.2款规定的量化因素和分值进行打分，并计算出各投标人的商务和技术得分。</w:t>
      </w:r>
    </w:p>
    <w:p>
      <w:pPr>
        <w:spacing w:line="360" w:lineRule="auto"/>
        <w:ind w:firstLine="480" w:firstLineChars="200"/>
        <w:rPr>
          <w:rFonts w:ascii="宋体" w:hAnsi="宋体" w:cs="宋体"/>
          <w:sz w:val="24"/>
        </w:rPr>
      </w:pPr>
      <w:r>
        <w:rPr>
          <w:rFonts w:hint="eastAsia" w:ascii="宋体" w:hAnsi="宋体" w:cs="宋体"/>
          <w:sz w:val="24"/>
        </w:rPr>
        <w:t>（1）按本章第2.2.4项（1）目规定的评审因素和分值对技术建议书部分计算出得分A；</w:t>
      </w:r>
    </w:p>
    <w:p>
      <w:pPr>
        <w:spacing w:line="360" w:lineRule="auto"/>
        <w:ind w:firstLine="480" w:firstLineChars="200"/>
        <w:rPr>
          <w:rFonts w:ascii="宋体" w:hAnsi="宋体" w:cs="宋体"/>
          <w:sz w:val="24"/>
        </w:rPr>
      </w:pPr>
      <w:r>
        <w:rPr>
          <w:rFonts w:hint="eastAsia" w:ascii="宋体" w:hAnsi="宋体" w:cs="宋体"/>
          <w:sz w:val="24"/>
        </w:rPr>
        <w:t>（2）按本章第2.2.4项（2）目规定的评审因素和分值对主要人员部分计算出得分B；</w:t>
      </w:r>
    </w:p>
    <w:p>
      <w:pPr>
        <w:spacing w:line="360" w:lineRule="auto"/>
        <w:ind w:firstLine="480" w:firstLineChars="200"/>
        <w:rPr>
          <w:rFonts w:ascii="宋体" w:hAnsi="宋体" w:cs="宋体"/>
          <w:sz w:val="24"/>
        </w:rPr>
      </w:pPr>
      <w:r>
        <w:rPr>
          <w:rFonts w:hint="eastAsia" w:ascii="宋体" w:hAnsi="宋体" w:cs="宋体"/>
          <w:sz w:val="24"/>
        </w:rPr>
        <w:t>（3）按本章第2.2.4项（4）目规定的评审因素和分值对其他部分计算出得分D。</w:t>
      </w:r>
    </w:p>
    <w:p>
      <w:pPr>
        <w:spacing w:line="360" w:lineRule="auto"/>
        <w:ind w:firstLine="480" w:firstLineChars="200"/>
        <w:rPr>
          <w:rFonts w:ascii="宋体" w:hAnsi="宋体" w:cs="宋体"/>
          <w:sz w:val="24"/>
        </w:rPr>
      </w:pPr>
      <w:r>
        <w:rPr>
          <w:rFonts w:hint="eastAsia" w:ascii="宋体" w:hAnsi="宋体" w:cs="宋体"/>
          <w:sz w:val="24"/>
        </w:rPr>
        <w:t>3.2.2 投标人的商务和技术得分分值计算保留小数点后两位，小数点后第三位“四舍五入”。</w:t>
      </w:r>
    </w:p>
    <w:p>
      <w:pPr>
        <w:spacing w:line="360" w:lineRule="auto"/>
        <w:ind w:firstLine="480" w:firstLineChars="200"/>
        <w:rPr>
          <w:sz w:val="24"/>
        </w:rPr>
      </w:pPr>
      <w:r>
        <w:rPr>
          <w:rFonts w:hint="eastAsia" w:ascii="宋体" w:hAnsi="宋体" w:cs="宋体"/>
          <w:sz w:val="24"/>
        </w:rPr>
        <w:t>3.2.3 投标人的商务和技术得分=A+B+D。</w:t>
      </w:r>
    </w:p>
    <w:p>
      <w:pPr>
        <w:pStyle w:val="2"/>
        <w:spacing w:before="240" w:after="240" w:line="240" w:lineRule="atLeast"/>
        <w:rPr>
          <w:rFonts w:ascii="黑体" w:eastAsia="黑体"/>
          <w:b w:val="0"/>
          <w:sz w:val="24"/>
          <w:szCs w:val="24"/>
        </w:rPr>
      </w:pPr>
      <w:bookmarkStart w:id="449" w:name="_Toc503235814"/>
      <w:bookmarkStart w:id="450" w:name="_Toc508984142"/>
      <w:bookmarkStart w:id="451" w:name="_Toc508984341"/>
      <w:r>
        <w:rPr>
          <w:rFonts w:ascii="黑体" w:eastAsia="黑体"/>
          <w:b w:val="0"/>
          <w:sz w:val="24"/>
          <w:szCs w:val="24"/>
        </w:rPr>
        <w:t>3.</w:t>
      </w:r>
      <w:r>
        <w:rPr>
          <w:rFonts w:hint="eastAsia" w:ascii="黑体" w:eastAsia="黑体"/>
          <w:b w:val="0"/>
          <w:sz w:val="24"/>
          <w:szCs w:val="24"/>
        </w:rPr>
        <w:t>3 第二个信封开标</w:t>
      </w:r>
      <w:bookmarkEnd w:id="449"/>
      <w:bookmarkEnd w:id="450"/>
      <w:bookmarkEnd w:id="451"/>
    </w:p>
    <w:p>
      <w:pPr>
        <w:spacing w:line="360" w:lineRule="auto"/>
        <w:ind w:firstLine="480" w:firstLineChars="200"/>
        <w:rPr>
          <w:rFonts w:ascii="宋体" w:hAnsi="宋体" w:cs="宋体"/>
          <w:sz w:val="24"/>
        </w:rPr>
      </w:pPr>
      <w:r>
        <w:rPr>
          <w:rFonts w:hint="eastAsia" w:ascii="宋体" w:hAnsi="宋体" w:cs="宋体"/>
          <w:sz w:val="24"/>
        </w:rPr>
        <w:t>第一个信封（商务及技术文件）评审结束后，招标人将按照第二章“投标人须知”第5.1款规定的时间和地点对通过投标文件第一个信封（商务及技术文件）评审的投标文件第二个信封（报价文件）进行开标。</w:t>
      </w:r>
    </w:p>
    <w:p>
      <w:pPr>
        <w:pStyle w:val="2"/>
        <w:spacing w:before="240" w:after="240" w:line="240" w:lineRule="atLeast"/>
        <w:rPr>
          <w:rFonts w:ascii="黑体" w:eastAsia="黑体"/>
          <w:b w:val="0"/>
          <w:sz w:val="24"/>
          <w:szCs w:val="24"/>
        </w:rPr>
      </w:pPr>
      <w:bookmarkStart w:id="452" w:name="_Toc508984143"/>
      <w:bookmarkStart w:id="453" w:name="_Toc508984342"/>
      <w:bookmarkStart w:id="454" w:name="_Toc503235815"/>
      <w:r>
        <w:rPr>
          <w:rFonts w:ascii="黑体" w:eastAsia="黑体"/>
          <w:b w:val="0"/>
          <w:sz w:val="24"/>
          <w:szCs w:val="24"/>
        </w:rPr>
        <w:t>3.</w:t>
      </w:r>
      <w:r>
        <w:rPr>
          <w:rFonts w:hint="eastAsia" w:ascii="黑体" w:eastAsia="黑体"/>
          <w:b w:val="0"/>
          <w:sz w:val="24"/>
          <w:szCs w:val="24"/>
        </w:rPr>
        <w:t>4 第二个信封</w:t>
      </w:r>
      <w:r>
        <w:rPr>
          <w:rFonts w:ascii="黑体" w:eastAsia="黑体"/>
          <w:b w:val="0"/>
          <w:sz w:val="24"/>
          <w:szCs w:val="24"/>
        </w:rPr>
        <w:t>初步评审</w:t>
      </w:r>
      <w:bookmarkEnd w:id="452"/>
      <w:bookmarkEnd w:id="453"/>
      <w:bookmarkEnd w:id="454"/>
    </w:p>
    <w:p>
      <w:pPr>
        <w:spacing w:line="360" w:lineRule="auto"/>
        <w:ind w:firstLine="480" w:firstLineChars="200"/>
        <w:rPr>
          <w:rFonts w:ascii="宋体" w:hAnsi="宋体" w:cs="宋体"/>
          <w:sz w:val="24"/>
        </w:rPr>
      </w:pPr>
      <w:r>
        <w:rPr>
          <w:rFonts w:hint="eastAsia" w:ascii="宋体" w:hAnsi="宋体" w:cs="宋体"/>
          <w:sz w:val="24"/>
        </w:rPr>
        <w:t>3.4.1 评标委员会依据本章第2.1.1项、第2.1.3项规定的评审标准对投标文件第二个信封（报价文件）进行初步评审。有一项不符合评审标准的，评标委员会应否决其投标。</w:t>
      </w:r>
    </w:p>
    <w:p>
      <w:pPr>
        <w:spacing w:line="360" w:lineRule="auto"/>
        <w:ind w:firstLine="480" w:firstLineChars="200"/>
        <w:rPr>
          <w:rFonts w:ascii="宋体" w:hAnsi="宋体" w:cs="宋体"/>
          <w:sz w:val="24"/>
        </w:rPr>
      </w:pPr>
      <w:r>
        <w:rPr>
          <w:rFonts w:hint="eastAsia" w:ascii="宋体" w:hAnsi="宋体" w:cs="宋体"/>
          <w:sz w:val="24"/>
        </w:rPr>
        <w:t>3.4.2 投标报价有算术错误的，评标委员会按以下原则对投标报价进行修正，修正的价格无需投标人在评标过程中书面确认，具有约束力。投标人不接受修正价格的，评标委员会应否决其投标。</w:t>
      </w:r>
    </w:p>
    <w:p>
      <w:pPr>
        <w:spacing w:line="360" w:lineRule="auto"/>
        <w:ind w:firstLine="480" w:firstLineChars="200"/>
        <w:rPr>
          <w:rFonts w:ascii="宋体" w:hAnsi="宋体" w:cs="宋体"/>
          <w:sz w:val="24"/>
        </w:rPr>
      </w:pPr>
      <w:r>
        <w:rPr>
          <w:rFonts w:hint="eastAsia" w:ascii="宋体" w:hAnsi="宋体" w:cs="宋体"/>
          <w:sz w:val="24"/>
        </w:rPr>
        <w:t>（1）投标文件中的大写金额与小写金额不一致的，以大写金额为准；</w:t>
      </w:r>
    </w:p>
    <w:p>
      <w:pPr>
        <w:spacing w:line="360" w:lineRule="auto"/>
        <w:ind w:firstLine="480" w:firstLineChars="200"/>
        <w:rPr>
          <w:rFonts w:ascii="宋体" w:hAnsi="宋体" w:cs="宋体"/>
          <w:sz w:val="24"/>
        </w:rPr>
      </w:pPr>
      <w:r>
        <w:rPr>
          <w:rFonts w:hint="eastAsia" w:ascii="宋体" w:hAnsi="宋体" w:cs="宋体"/>
          <w:sz w:val="24"/>
        </w:rPr>
        <w:t>（2）合计报价费率与估算建安费相乘与投标总报价金额不一致的，以合计报价费率计算为准；如果合计报价费率有明显的小数点位置差错，应以标出的投标总报价金额为准，同时对合计报价费率予以修正；</w:t>
      </w:r>
    </w:p>
    <w:p>
      <w:pPr>
        <w:spacing w:line="360" w:lineRule="auto"/>
        <w:ind w:firstLine="480" w:firstLineChars="200"/>
        <w:rPr>
          <w:rFonts w:ascii="宋体" w:hAnsi="宋体" w:cs="宋体"/>
          <w:sz w:val="24"/>
        </w:rPr>
      </w:pPr>
      <w:r>
        <w:rPr>
          <w:rFonts w:hint="eastAsia" w:ascii="宋体" w:hAnsi="宋体" w:cs="宋体"/>
          <w:sz w:val="24"/>
        </w:rPr>
        <w:t>（3）报价费率累计与合计报价费率不一致的，以报价费率累计为准，修正合计报价费率。</w:t>
      </w:r>
    </w:p>
    <w:p>
      <w:pPr>
        <w:spacing w:line="360" w:lineRule="auto"/>
        <w:ind w:firstLine="480" w:firstLineChars="200"/>
        <w:rPr>
          <w:rFonts w:ascii="宋体" w:hAnsi="宋体" w:cs="宋体"/>
          <w:sz w:val="24"/>
        </w:rPr>
      </w:pPr>
      <w:r>
        <w:rPr>
          <w:rFonts w:hint="eastAsia" w:ascii="宋体" w:hAnsi="宋体" w:cs="宋体"/>
          <w:sz w:val="24"/>
        </w:rPr>
        <w:t>3.4.3 修正后的最终投标报价若超过最高投标限价（如有），评标委员会应否决其投标。</w:t>
      </w:r>
    </w:p>
    <w:p>
      <w:pPr>
        <w:spacing w:line="360" w:lineRule="auto"/>
        <w:ind w:firstLine="480" w:firstLineChars="200"/>
        <w:rPr>
          <w:rFonts w:ascii="宋体" w:hAnsi="宋体" w:cs="宋体"/>
          <w:sz w:val="24"/>
        </w:rPr>
      </w:pPr>
      <w:r>
        <w:rPr>
          <w:rFonts w:hint="eastAsia" w:ascii="宋体" w:hAnsi="宋体" w:cs="宋体"/>
          <w:sz w:val="24"/>
        </w:rPr>
        <w:t>3.4.4 修正后的最终投标报价仅作为签订合同的一个依据，不参与评标价得分的计算。</w:t>
      </w:r>
    </w:p>
    <w:p>
      <w:pPr>
        <w:pStyle w:val="2"/>
        <w:spacing w:before="240" w:after="240" w:line="240" w:lineRule="atLeast"/>
        <w:rPr>
          <w:rFonts w:ascii="黑体" w:eastAsia="黑体"/>
          <w:b w:val="0"/>
          <w:sz w:val="24"/>
          <w:szCs w:val="24"/>
        </w:rPr>
      </w:pPr>
      <w:bookmarkStart w:id="455" w:name="_Toc508984343"/>
      <w:bookmarkStart w:id="456" w:name="_Toc508984144"/>
      <w:bookmarkStart w:id="457" w:name="_Toc503235816"/>
      <w:r>
        <w:rPr>
          <w:rFonts w:ascii="黑体" w:eastAsia="黑体"/>
          <w:b w:val="0"/>
          <w:sz w:val="24"/>
          <w:szCs w:val="24"/>
        </w:rPr>
        <w:t>3.</w:t>
      </w:r>
      <w:r>
        <w:rPr>
          <w:rFonts w:hint="eastAsia" w:ascii="黑体" w:eastAsia="黑体"/>
          <w:b w:val="0"/>
          <w:sz w:val="24"/>
          <w:szCs w:val="24"/>
        </w:rPr>
        <w:t>5 第二个信封</w:t>
      </w:r>
      <w:r>
        <w:rPr>
          <w:rFonts w:ascii="黑体" w:eastAsia="黑体"/>
          <w:b w:val="0"/>
          <w:sz w:val="24"/>
          <w:szCs w:val="24"/>
        </w:rPr>
        <w:t>详细评审</w:t>
      </w:r>
      <w:bookmarkEnd w:id="455"/>
      <w:bookmarkEnd w:id="456"/>
      <w:bookmarkEnd w:id="457"/>
    </w:p>
    <w:p>
      <w:pPr>
        <w:spacing w:line="360" w:lineRule="auto"/>
        <w:ind w:firstLine="480" w:firstLineChars="200"/>
        <w:rPr>
          <w:rFonts w:ascii="宋体" w:hAnsi="宋体" w:cs="宋体"/>
          <w:sz w:val="24"/>
        </w:rPr>
      </w:pPr>
      <w:r>
        <w:rPr>
          <w:rFonts w:hint="eastAsia" w:ascii="宋体" w:hAnsi="宋体" w:cs="宋体"/>
          <w:sz w:val="24"/>
        </w:rPr>
        <w:t>3.5.1 评标委员会按本章第2.2.4项（3）目规定的评审因素和分值对评标价计算出得分C。评标价得分分值计算保留小数点后四位，小数点后第五位“四舍五入”。</w:t>
      </w:r>
    </w:p>
    <w:p>
      <w:pPr>
        <w:spacing w:line="360" w:lineRule="auto"/>
        <w:ind w:firstLine="480" w:firstLineChars="200"/>
        <w:rPr>
          <w:rFonts w:ascii="宋体" w:hAnsi="宋体" w:cs="宋体"/>
          <w:sz w:val="24"/>
        </w:rPr>
      </w:pPr>
      <w:r>
        <w:rPr>
          <w:rFonts w:hint="eastAsia" w:ascii="宋体" w:hAnsi="宋体" w:cs="宋体"/>
          <w:sz w:val="24"/>
        </w:rPr>
        <w:t>3.5.2 投标人综合得分=投标人的商务和技术得分+C。</w:t>
      </w:r>
    </w:p>
    <w:p>
      <w:pPr>
        <w:spacing w:line="360" w:lineRule="auto"/>
        <w:ind w:firstLine="480" w:firstLineChars="200"/>
        <w:rPr>
          <w:rFonts w:ascii="宋体" w:hAnsi="宋体" w:cs="宋体"/>
          <w:sz w:val="24"/>
        </w:rPr>
      </w:pPr>
      <w:r>
        <w:rPr>
          <w:rFonts w:hint="eastAsia" w:ascii="宋体" w:hAnsi="宋体" w:cs="宋体"/>
          <w:sz w:val="24"/>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2"/>
        <w:spacing w:before="240" w:after="240" w:line="240" w:lineRule="atLeast"/>
        <w:rPr>
          <w:rFonts w:ascii="黑体" w:eastAsia="黑体"/>
          <w:b w:val="0"/>
          <w:sz w:val="24"/>
          <w:szCs w:val="24"/>
        </w:rPr>
      </w:pPr>
      <w:bookmarkStart w:id="458" w:name="_Toc503235817"/>
      <w:bookmarkStart w:id="459" w:name="_Toc508984344"/>
      <w:bookmarkStart w:id="460" w:name="_Toc508984145"/>
      <w:r>
        <w:rPr>
          <w:rFonts w:ascii="黑体" w:eastAsia="黑体"/>
          <w:b w:val="0"/>
          <w:sz w:val="24"/>
          <w:szCs w:val="24"/>
        </w:rPr>
        <w:t>3.</w:t>
      </w:r>
      <w:r>
        <w:rPr>
          <w:rFonts w:hint="eastAsia" w:ascii="黑体" w:eastAsia="黑体"/>
          <w:b w:val="0"/>
          <w:sz w:val="24"/>
          <w:szCs w:val="24"/>
        </w:rPr>
        <w:t>6 投标文件相关信息的核查</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480" w:firstLineChars="200"/>
        <w:rPr>
          <w:rFonts w:ascii="宋体" w:hAnsi="宋体" w:cs="宋体"/>
          <w:sz w:val="24"/>
        </w:rPr>
      </w:pPr>
      <w:r>
        <w:rPr>
          <w:rFonts w:hint="eastAsia" w:ascii="宋体" w:hAnsi="宋体" w:cs="宋体"/>
          <w:sz w:val="24"/>
        </w:rPr>
        <w:t>（1）有下列情形之一的，属于投标人相互串通投标：</w:t>
      </w:r>
    </w:p>
    <w:p>
      <w:pPr>
        <w:spacing w:line="360" w:lineRule="auto"/>
        <w:ind w:firstLine="480" w:firstLineChars="200"/>
        <w:rPr>
          <w:rFonts w:ascii="宋体" w:hAnsi="宋体" w:cs="宋体"/>
          <w:sz w:val="24"/>
        </w:rPr>
      </w:pPr>
      <w:r>
        <w:rPr>
          <w:rFonts w:hint="eastAsia" w:ascii="宋体" w:hAnsi="宋体" w:cs="宋体"/>
          <w:sz w:val="24"/>
        </w:rPr>
        <w:t>a.投标人之间协商投标报价等投标文件的实质性内容；</w:t>
      </w:r>
    </w:p>
    <w:p>
      <w:pPr>
        <w:spacing w:line="360" w:lineRule="auto"/>
        <w:ind w:firstLine="480" w:firstLineChars="200"/>
        <w:rPr>
          <w:rFonts w:ascii="宋体" w:hAnsi="宋体" w:cs="宋体"/>
          <w:sz w:val="24"/>
        </w:rPr>
      </w:pPr>
      <w:r>
        <w:rPr>
          <w:rFonts w:hint="eastAsia" w:ascii="宋体" w:hAnsi="宋体" w:cs="宋体"/>
          <w:sz w:val="24"/>
        </w:rPr>
        <w:t>b.投标人之间约定中标人；</w:t>
      </w:r>
    </w:p>
    <w:p>
      <w:pPr>
        <w:spacing w:line="360" w:lineRule="auto"/>
        <w:ind w:firstLine="480" w:firstLineChars="200"/>
        <w:rPr>
          <w:rFonts w:ascii="宋体" w:hAnsi="宋体" w:cs="宋体"/>
          <w:sz w:val="24"/>
        </w:rPr>
      </w:pPr>
      <w:r>
        <w:rPr>
          <w:rFonts w:hint="eastAsia" w:ascii="宋体" w:hAnsi="宋体" w:cs="宋体"/>
          <w:sz w:val="24"/>
        </w:rPr>
        <w:t>c.投标人之间约定部分投标人放弃投标或中标；</w:t>
      </w:r>
    </w:p>
    <w:p>
      <w:pPr>
        <w:spacing w:line="360" w:lineRule="auto"/>
        <w:ind w:firstLine="480" w:firstLineChars="200"/>
        <w:rPr>
          <w:rFonts w:ascii="宋体" w:hAnsi="宋体" w:cs="宋体"/>
          <w:sz w:val="24"/>
        </w:rPr>
      </w:pPr>
      <w:r>
        <w:rPr>
          <w:rFonts w:hint="eastAsia" w:ascii="宋体" w:hAnsi="宋体" w:cs="宋体"/>
          <w:sz w:val="24"/>
        </w:rPr>
        <w:t>d.属于同一集团、协会、商会等组织成员的投标人按照该组织要求协同投标；</w:t>
      </w:r>
    </w:p>
    <w:p>
      <w:pPr>
        <w:spacing w:line="360" w:lineRule="auto"/>
        <w:ind w:firstLine="480" w:firstLineChars="200"/>
        <w:rPr>
          <w:rFonts w:ascii="宋体" w:hAnsi="宋体" w:cs="宋体"/>
          <w:sz w:val="24"/>
        </w:rPr>
      </w:pPr>
      <w:r>
        <w:rPr>
          <w:rFonts w:hint="eastAsia" w:ascii="宋体" w:hAnsi="宋体" w:cs="宋体"/>
          <w:sz w:val="24"/>
        </w:rPr>
        <w:t>e.投标人之间为谋取中标或排斥特定投标人而采取的其他联合行动。</w:t>
      </w:r>
    </w:p>
    <w:p>
      <w:pPr>
        <w:spacing w:line="360" w:lineRule="auto"/>
        <w:ind w:firstLine="480" w:firstLineChars="200"/>
        <w:rPr>
          <w:rFonts w:ascii="宋体" w:hAnsi="宋体" w:cs="宋体"/>
          <w:sz w:val="24"/>
        </w:rPr>
      </w:pPr>
      <w:r>
        <w:rPr>
          <w:rFonts w:hint="eastAsia" w:ascii="宋体" w:hAnsi="宋体" w:cs="宋体"/>
          <w:sz w:val="24"/>
        </w:rPr>
        <w:t>（2）有下列情形之一的，视为投标人相互串通投标：</w:t>
      </w:r>
    </w:p>
    <w:p>
      <w:pPr>
        <w:spacing w:line="360" w:lineRule="auto"/>
        <w:ind w:firstLine="480" w:firstLineChars="200"/>
        <w:rPr>
          <w:rFonts w:ascii="宋体" w:hAnsi="宋体" w:cs="宋体"/>
          <w:sz w:val="24"/>
        </w:rPr>
      </w:pPr>
      <w:r>
        <w:rPr>
          <w:rFonts w:hint="eastAsia" w:ascii="宋体" w:hAnsi="宋体" w:cs="宋体"/>
          <w:sz w:val="24"/>
        </w:rPr>
        <w:t>a.不同投标人的投标文件由同一单位或个人编制；</w:t>
      </w:r>
    </w:p>
    <w:p>
      <w:pPr>
        <w:spacing w:line="360" w:lineRule="auto"/>
        <w:ind w:firstLine="480" w:firstLineChars="200"/>
        <w:rPr>
          <w:rFonts w:ascii="宋体" w:hAnsi="宋体" w:cs="宋体"/>
          <w:sz w:val="24"/>
        </w:rPr>
      </w:pPr>
      <w:r>
        <w:rPr>
          <w:rFonts w:hint="eastAsia" w:ascii="宋体" w:hAnsi="宋体" w:cs="宋体"/>
          <w:sz w:val="24"/>
        </w:rPr>
        <w:t>b.不同投标人委托同一单位或个人办理投标事宜；</w:t>
      </w:r>
    </w:p>
    <w:p>
      <w:pPr>
        <w:spacing w:line="360" w:lineRule="auto"/>
        <w:ind w:firstLine="480" w:firstLineChars="200"/>
        <w:rPr>
          <w:rFonts w:ascii="宋体" w:hAnsi="宋体" w:cs="宋体"/>
          <w:sz w:val="24"/>
        </w:rPr>
      </w:pPr>
      <w:r>
        <w:rPr>
          <w:rFonts w:hint="eastAsia" w:ascii="宋体" w:hAnsi="宋体" w:cs="宋体"/>
          <w:sz w:val="24"/>
        </w:rPr>
        <w:t>c.不同投标人的投标文件载明的项目管理成员为同一人；</w:t>
      </w:r>
    </w:p>
    <w:p>
      <w:pPr>
        <w:spacing w:line="360" w:lineRule="auto"/>
        <w:ind w:firstLine="480" w:firstLineChars="200"/>
        <w:rPr>
          <w:rFonts w:ascii="宋体" w:hAnsi="宋体" w:cs="宋体"/>
          <w:sz w:val="24"/>
        </w:rPr>
      </w:pPr>
      <w:r>
        <w:rPr>
          <w:rFonts w:hint="eastAsia" w:ascii="宋体" w:hAnsi="宋体" w:cs="宋体"/>
          <w:sz w:val="24"/>
        </w:rPr>
        <w:t>d.不同投标人的投标文件异常一致或投标报价呈规律性差异；</w:t>
      </w:r>
    </w:p>
    <w:p>
      <w:pPr>
        <w:spacing w:line="360" w:lineRule="auto"/>
        <w:ind w:firstLine="480" w:firstLineChars="200"/>
        <w:rPr>
          <w:rFonts w:ascii="宋体" w:hAnsi="宋体" w:cs="宋体"/>
          <w:sz w:val="24"/>
        </w:rPr>
      </w:pPr>
      <w:r>
        <w:rPr>
          <w:rFonts w:hint="eastAsia" w:ascii="宋体" w:hAnsi="宋体" w:cs="宋体"/>
          <w:sz w:val="24"/>
        </w:rPr>
        <w:t>e.不同投标人的投标文件相互混装；</w:t>
      </w:r>
    </w:p>
    <w:p>
      <w:pPr>
        <w:spacing w:line="360" w:lineRule="auto"/>
        <w:ind w:firstLine="480" w:firstLineChars="200"/>
        <w:rPr>
          <w:rFonts w:ascii="宋体" w:hAnsi="宋体" w:cs="宋体"/>
          <w:sz w:val="24"/>
        </w:rPr>
      </w:pPr>
      <w:r>
        <w:rPr>
          <w:rFonts w:hint="eastAsia" w:ascii="宋体" w:hAnsi="宋体" w:cs="宋体"/>
          <w:sz w:val="24"/>
        </w:rPr>
        <w:t>f.不同投标人的投标保证金从同一单位或个人的账户转出。</w:t>
      </w:r>
    </w:p>
    <w:p>
      <w:pPr>
        <w:spacing w:line="360" w:lineRule="auto"/>
        <w:ind w:firstLine="480" w:firstLineChars="200"/>
        <w:rPr>
          <w:rFonts w:ascii="宋体" w:hAnsi="宋体" w:cs="宋体"/>
          <w:sz w:val="24"/>
        </w:rPr>
      </w:pPr>
      <w:r>
        <w:rPr>
          <w:rFonts w:hint="eastAsia" w:ascii="宋体" w:hAnsi="宋体" w:cs="宋体"/>
          <w:sz w:val="24"/>
        </w:rPr>
        <w:t>g.广东省实施《中华人民共和国招标投标法》办法第十六条规定的情形。</w:t>
      </w:r>
    </w:p>
    <w:p>
      <w:pPr>
        <w:spacing w:line="360" w:lineRule="auto"/>
        <w:ind w:firstLine="480" w:firstLineChars="200"/>
        <w:rPr>
          <w:rFonts w:ascii="宋体" w:hAnsi="宋体" w:cs="宋体"/>
          <w:sz w:val="24"/>
        </w:rPr>
      </w:pPr>
      <w:r>
        <w:rPr>
          <w:rFonts w:hint="eastAsia" w:ascii="宋体" w:hAnsi="宋体" w:cs="宋体"/>
          <w:sz w:val="24"/>
        </w:rPr>
        <w:t>（3）有下列情形之一的，属于招标人与投标人串通投标：</w:t>
      </w:r>
    </w:p>
    <w:p>
      <w:pPr>
        <w:spacing w:line="360" w:lineRule="auto"/>
        <w:ind w:firstLine="480" w:firstLineChars="200"/>
        <w:rPr>
          <w:rFonts w:ascii="宋体" w:hAnsi="宋体" w:cs="宋体"/>
          <w:sz w:val="24"/>
        </w:rPr>
      </w:pPr>
      <w:r>
        <w:rPr>
          <w:rFonts w:hint="eastAsia" w:ascii="宋体" w:hAnsi="宋体" w:cs="宋体"/>
          <w:sz w:val="24"/>
        </w:rPr>
        <w:t>a.招标人在开标前开启投标文件并将有关信息泄露给其他投标人;</w:t>
      </w:r>
    </w:p>
    <w:p>
      <w:pPr>
        <w:spacing w:line="360" w:lineRule="auto"/>
        <w:ind w:firstLine="480" w:firstLineChars="200"/>
        <w:rPr>
          <w:rFonts w:ascii="宋体" w:hAnsi="宋体" w:cs="宋体"/>
          <w:sz w:val="24"/>
        </w:rPr>
      </w:pPr>
      <w:r>
        <w:rPr>
          <w:rFonts w:hint="eastAsia" w:ascii="宋体" w:hAnsi="宋体" w:cs="宋体"/>
          <w:sz w:val="24"/>
        </w:rPr>
        <w:t>b.招标人直接或间接向投标人泄露标底、评标委员会成员等信息；</w:t>
      </w:r>
    </w:p>
    <w:p>
      <w:pPr>
        <w:spacing w:line="360" w:lineRule="auto"/>
        <w:ind w:firstLine="480" w:firstLineChars="200"/>
        <w:rPr>
          <w:rFonts w:ascii="宋体" w:hAnsi="宋体" w:cs="宋体"/>
          <w:sz w:val="24"/>
        </w:rPr>
      </w:pPr>
      <w:r>
        <w:rPr>
          <w:rFonts w:hint="eastAsia" w:ascii="宋体" w:hAnsi="宋体" w:cs="宋体"/>
          <w:sz w:val="24"/>
        </w:rPr>
        <w:t>c.招标人明示或暗示投标人压低或抬高投标报价；</w:t>
      </w:r>
    </w:p>
    <w:p>
      <w:pPr>
        <w:spacing w:line="360" w:lineRule="auto"/>
        <w:ind w:firstLine="480" w:firstLineChars="200"/>
        <w:rPr>
          <w:rFonts w:ascii="宋体" w:hAnsi="宋体" w:cs="宋体"/>
          <w:sz w:val="24"/>
        </w:rPr>
      </w:pPr>
      <w:r>
        <w:rPr>
          <w:rFonts w:hint="eastAsia" w:ascii="宋体" w:hAnsi="宋体" w:cs="宋体"/>
          <w:sz w:val="24"/>
        </w:rPr>
        <w:t>d.招标人授意投标人撤换、修改投标文件；</w:t>
      </w:r>
    </w:p>
    <w:p>
      <w:pPr>
        <w:spacing w:line="360" w:lineRule="auto"/>
        <w:ind w:firstLine="480" w:firstLineChars="200"/>
        <w:rPr>
          <w:rFonts w:ascii="宋体" w:hAnsi="宋体" w:cs="宋体"/>
          <w:sz w:val="24"/>
        </w:rPr>
      </w:pPr>
      <w:r>
        <w:rPr>
          <w:rFonts w:hint="eastAsia" w:ascii="宋体" w:hAnsi="宋体" w:cs="宋体"/>
          <w:sz w:val="24"/>
        </w:rPr>
        <w:t>e.招标人明示或暗示投标人为特定投标人中标提供方便；</w:t>
      </w:r>
    </w:p>
    <w:p>
      <w:pPr>
        <w:spacing w:line="360" w:lineRule="auto"/>
        <w:ind w:firstLine="480" w:firstLineChars="200"/>
        <w:rPr>
          <w:rFonts w:ascii="宋体" w:hAnsi="宋体" w:cs="宋体"/>
          <w:sz w:val="24"/>
        </w:rPr>
      </w:pPr>
      <w:r>
        <w:rPr>
          <w:rFonts w:hint="eastAsia" w:ascii="宋体" w:hAnsi="宋体" w:cs="宋体"/>
          <w:sz w:val="24"/>
        </w:rPr>
        <w:t>f.招标人与投标人为谋求特定投标人中标而采取的其他串通行为。</w:t>
      </w:r>
    </w:p>
    <w:p>
      <w:pPr>
        <w:spacing w:line="360" w:lineRule="auto"/>
        <w:ind w:firstLine="480" w:firstLineChars="200"/>
        <w:rPr>
          <w:rFonts w:ascii="宋体" w:hAnsi="宋体" w:cs="宋体"/>
          <w:sz w:val="24"/>
        </w:rPr>
      </w:pPr>
      <w:r>
        <w:rPr>
          <w:rFonts w:hint="eastAsia" w:ascii="宋体" w:hAnsi="宋体" w:cs="宋体"/>
          <w:sz w:val="24"/>
        </w:rPr>
        <w:t>（4）投标人有下列情形之一的，属于弄虚作假的行为：</w:t>
      </w:r>
    </w:p>
    <w:p>
      <w:pPr>
        <w:spacing w:line="360" w:lineRule="auto"/>
        <w:ind w:firstLine="480" w:firstLineChars="200"/>
        <w:rPr>
          <w:rFonts w:ascii="宋体" w:hAnsi="宋体" w:cs="宋体"/>
          <w:sz w:val="24"/>
        </w:rPr>
      </w:pPr>
      <w:r>
        <w:rPr>
          <w:rFonts w:hint="eastAsia" w:ascii="宋体" w:hAnsi="宋体" w:cs="宋体"/>
          <w:sz w:val="24"/>
        </w:rPr>
        <w:t>a.使用通过受让或租借等方式获取的资格、资质证书投标；</w:t>
      </w:r>
    </w:p>
    <w:p>
      <w:pPr>
        <w:spacing w:line="360" w:lineRule="auto"/>
        <w:ind w:firstLine="480" w:firstLineChars="200"/>
        <w:rPr>
          <w:rFonts w:ascii="宋体" w:hAnsi="宋体" w:cs="宋体"/>
          <w:sz w:val="24"/>
        </w:rPr>
      </w:pPr>
      <w:r>
        <w:rPr>
          <w:rFonts w:hint="eastAsia" w:ascii="宋体" w:hAnsi="宋体" w:cs="宋体"/>
          <w:sz w:val="24"/>
        </w:rPr>
        <w:t>b.使用伪造、变造的许可证件；</w:t>
      </w:r>
    </w:p>
    <w:p>
      <w:pPr>
        <w:spacing w:line="360" w:lineRule="auto"/>
        <w:ind w:firstLine="480" w:firstLineChars="200"/>
        <w:rPr>
          <w:rFonts w:ascii="宋体" w:hAnsi="宋体" w:cs="宋体"/>
          <w:sz w:val="24"/>
        </w:rPr>
      </w:pPr>
      <w:r>
        <w:rPr>
          <w:rFonts w:hint="eastAsia" w:ascii="宋体" w:hAnsi="宋体" w:cs="宋体"/>
          <w:sz w:val="24"/>
        </w:rPr>
        <w:t>c.提供虚假的业绩；</w:t>
      </w:r>
    </w:p>
    <w:p>
      <w:pPr>
        <w:spacing w:line="360" w:lineRule="auto"/>
        <w:ind w:firstLine="480" w:firstLineChars="200"/>
        <w:rPr>
          <w:rFonts w:ascii="宋体" w:hAnsi="宋体" w:cs="宋体"/>
          <w:sz w:val="24"/>
        </w:rPr>
      </w:pPr>
      <w:r>
        <w:rPr>
          <w:rFonts w:hint="eastAsia" w:ascii="宋体" w:hAnsi="宋体" w:cs="宋体"/>
          <w:sz w:val="24"/>
        </w:rPr>
        <w:t>d.提供虚假的项目负责人或主要技术人员简历、劳动关系证明；</w:t>
      </w:r>
    </w:p>
    <w:p>
      <w:pPr>
        <w:spacing w:line="360" w:lineRule="auto"/>
        <w:ind w:firstLine="480" w:firstLineChars="200"/>
        <w:rPr>
          <w:rFonts w:ascii="宋体" w:hAnsi="宋体" w:cs="宋体"/>
          <w:sz w:val="24"/>
        </w:rPr>
      </w:pPr>
      <w:r>
        <w:rPr>
          <w:rFonts w:hint="eastAsia" w:ascii="宋体" w:hAnsi="宋体" w:cs="宋体"/>
          <w:sz w:val="24"/>
        </w:rPr>
        <w:t>e.提供虚假的信用状况；</w:t>
      </w:r>
    </w:p>
    <w:p>
      <w:pPr>
        <w:spacing w:line="360" w:lineRule="auto"/>
        <w:ind w:firstLine="480" w:firstLineChars="200"/>
        <w:rPr>
          <w:rFonts w:ascii="宋体" w:hAnsi="宋体" w:cs="宋体"/>
          <w:sz w:val="24"/>
        </w:rPr>
      </w:pPr>
      <w:r>
        <w:rPr>
          <w:rFonts w:hint="eastAsia" w:ascii="宋体" w:hAnsi="宋体" w:cs="宋体"/>
          <w:sz w:val="24"/>
        </w:rPr>
        <w:t>f.其他弄虚作假的行为。</w:t>
      </w:r>
    </w:p>
    <w:p>
      <w:pPr>
        <w:spacing w:line="360" w:lineRule="auto"/>
        <w:ind w:firstLine="480" w:firstLineChars="200"/>
        <w:rPr>
          <w:rFonts w:ascii="宋体" w:hAnsi="宋体" w:cs="宋体"/>
          <w:sz w:val="24"/>
        </w:rPr>
      </w:pPr>
      <w:r>
        <w:rPr>
          <w:rFonts w:hint="eastAsia" w:ascii="宋体" w:hAnsi="宋体" w:cs="宋体"/>
          <w:sz w:val="24"/>
        </w:rPr>
        <w:t>3.6.2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p>
      <w:pPr>
        <w:pStyle w:val="2"/>
        <w:spacing w:before="240" w:after="240" w:line="400" w:lineRule="atLeast"/>
        <w:rPr>
          <w:rFonts w:ascii="黑体" w:eastAsia="黑体"/>
          <w:b w:val="0"/>
          <w:sz w:val="24"/>
          <w:szCs w:val="24"/>
        </w:rPr>
      </w:pPr>
      <w:bookmarkStart w:id="461" w:name="_Toc508984345"/>
      <w:bookmarkStart w:id="462" w:name="_Toc503235818"/>
      <w:bookmarkStart w:id="463" w:name="_Toc508984146"/>
      <w:r>
        <w:rPr>
          <w:rFonts w:ascii="黑体" w:eastAsia="黑体"/>
          <w:b w:val="0"/>
          <w:sz w:val="24"/>
          <w:szCs w:val="24"/>
        </w:rPr>
        <w:t>3.</w:t>
      </w:r>
      <w:r>
        <w:rPr>
          <w:rFonts w:hint="eastAsia" w:ascii="黑体" w:eastAsia="黑体"/>
          <w:b w:val="0"/>
          <w:sz w:val="24"/>
          <w:szCs w:val="24"/>
        </w:rPr>
        <w:t>7</w:t>
      </w:r>
      <w:r>
        <w:rPr>
          <w:rFonts w:ascii="黑体" w:eastAsia="黑体"/>
          <w:b w:val="0"/>
          <w:sz w:val="24"/>
          <w:szCs w:val="24"/>
        </w:rPr>
        <w:t xml:space="preserve"> 投标文件的澄清和</w:t>
      </w:r>
      <w:r>
        <w:rPr>
          <w:rFonts w:hint="eastAsia" w:ascii="黑体" w:eastAsia="黑体"/>
          <w:b w:val="0"/>
          <w:sz w:val="24"/>
          <w:szCs w:val="24"/>
        </w:rPr>
        <w:t>说明</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80" w:firstLineChars="200"/>
        <w:rPr>
          <w:rFonts w:ascii="宋体" w:hAnsi="宋体" w:cs="宋体"/>
          <w:sz w:val="24"/>
        </w:rPr>
      </w:pPr>
      <w:r>
        <w:rPr>
          <w:rFonts w:hint="eastAsia" w:ascii="宋体" w:hAnsi="宋体" w:cs="宋体"/>
          <w:sz w:val="24"/>
        </w:rPr>
        <w:t>3.7.2 澄清和说明不得超出投标文件的范围或改变投标文件的实质性内容（算术性错误的修正除外）。投标人的书面澄清、说明属于投标文件的组成部分。</w:t>
      </w:r>
    </w:p>
    <w:p>
      <w:pPr>
        <w:spacing w:line="360" w:lineRule="auto"/>
        <w:ind w:firstLine="480" w:firstLineChars="200"/>
        <w:rPr>
          <w:rFonts w:ascii="宋体" w:hAnsi="宋体" w:cs="宋体"/>
          <w:sz w:val="24"/>
        </w:rPr>
      </w:pPr>
      <w:r>
        <w:rPr>
          <w:rFonts w:hint="eastAsia" w:ascii="宋体" w:hAnsi="宋体" w:cs="宋体"/>
          <w:sz w:val="24"/>
        </w:rPr>
        <w:t>3.7.3 评标委员会不得暗示或诱导投标人作出澄清、说明，对投标人提交的澄清、说明有疑问的，可以要求投标人进一步澄清或说明，直至满足评标委员会的要求。</w:t>
      </w:r>
    </w:p>
    <w:p>
      <w:pPr>
        <w:spacing w:line="360" w:lineRule="auto"/>
        <w:ind w:firstLine="480" w:firstLineChars="200"/>
        <w:rPr>
          <w:rFonts w:ascii="宋体" w:hAnsi="宋体" w:cs="宋体"/>
          <w:sz w:val="24"/>
        </w:rPr>
      </w:pPr>
      <w:r>
        <w:rPr>
          <w:rFonts w:hint="eastAsia" w:ascii="宋体" w:hAnsi="宋体" w:cs="宋体"/>
          <w:sz w:val="24"/>
        </w:rPr>
        <w:t>3.7.4 凡超出招标文件规定的或给发包人带来未曾要求的利益的变化、偏差或其他因素在评标时不予考虑。</w:t>
      </w:r>
    </w:p>
    <w:p>
      <w:pPr>
        <w:pStyle w:val="2"/>
        <w:spacing w:before="240" w:after="240" w:line="400" w:lineRule="atLeast"/>
        <w:rPr>
          <w:rFonts w:ascii="黑体" w:eastAsia="黑体"/>
          <w:b w:val="0"/>
          <w:sz w:val="24"/>
          <w:szCs w:val="24"/>
        </w:rPr>
      </w:pPr>
      <w:bookmarkStart w:id="464" w:name="_Toc503235819"/>
      <w:bookmarkStart w:id="465" w:name="_Toc501257170"/>
      <w:bookmarkStart w:id="466" w:name="_Toc508984346"/>
      <w:bookmarkStart w:id="467" w:name="_Toc508984147"/>
      <w:r>
        <w:rPr>
          <w:rFonts w:hint="eastAsia" w:ascii="黑体" w:eastAsia="黑体"/>
          <w:b w:val="0"/>
          <w:sz w:val="24"/>
          <w:szCs w:val="24"/>
        </w:rPr>
        <w:t>3.8 不得否决投标的情形</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cs="宋体"/>
          <w:sz w:val="24"/>
        </w:rPr>
        <w:t>投标文件存在第二章“投标人须知”第1.12.3项所列情形的，均视为细微偏差，评标委员会不得否决投标人的投标，应按照第二章“投标人须知”第1.12.4项规定的原则处理。</w:t>
      </w:r>
    </w:p>
    <w:p>
      <w:pPr>
        <w:pStyle w:val="2"/>
        <w:spacing w:before="240" w:after="240" w:line="240" w:lineRule="atLeast"/>
        <w:rPr>
          <w:rFonts w:ascii="黑体" w:eastAsia="黑体"/>
          <w:b w:val="0"/>
          <w:sz w:val="24"/>
          <w:szCs w:val="24"/>
        </w:rPr>
      </w:pPr>
      <w:bookmarkStart w:id="468" w:name="_Toc508984347"/>
      <w:bookmarkStart w:id="469" w:name="_Toc503235820"/>
      <w:bookmarkStart w:id="470" w:name="_Toc508984148"/>
      <w:r>
        <w:rPr>
          <w:rFonts w:ascii="黑体" w:eastAsia="黑体"/>
          <w:b w:val="0"/>
          <w:sz w:val="24"/>
          <w:szCs w:val="24"/>
        </w:rPr>
        <w:t>3.</w:t>
      </w:r>
      <w:r>
        <w:rPr>
          <w:rFonts w:hint="eastAsia" w:ascii="黑体" w:eastAsia="黑体"/>
          <w:b w:val="0"/>
          <w:sz w:val="24"/>
          <w:szCs w:val="24"/>
        </w:rPr>
        <w:t>9</w:t>
      </w:r>
      <w:r>
        <w:rPr>
          <w:rFonts w:ascii="黑体" w:eastAsia="黑体"/>
          <w:b w:val="0"/>
          <w:sz w:val="24"/>
          <w:szCs w:val="24"/>
        </w:rPr>
        <w:t xml:space="preserve"> 评标结果</w:t>
      </w:r>
      <w:bookmarkEnd w:id="468"/>
      <w:bookmarkEnd w:id="469"/>
      <w:bookmarkEnd w:id="470"/>
    </w:p>
    <w:p>
      <w:pPr>
        <w:spacing w:line="360" w:lineRule="auto"/>
        <w:ind w:firstLine="480" w:firstLineChars="200"/>
        <w:rPr>
          <w:rFonts w:ascii="宋体" w:hAnsi="宋体" w:cs="宋体"/>
          <w:sz w:val="24"/>
        </w:rPr>
      </w:pPr>
      <w:r>
        <w:rPr>
          <w:rFonts w:hint="eastAsia" w:ascii="宋体" w:hAnsi="宋体" w:cs="宋体"/>
          <w:sz w:val="24"/>
        </w:rPr>
        <w:t>3.9.1 除第二章“投标人须知”前附表授权直接确定中标人外，评标委员会按照得分由高到低的顺序推荐中标候选人，并标明排序。</w:t>
      </w:r>
    </w:p>
    <w:p>
      <w:pPr>
        <w:pStyle w:val="28"/>
        <w:spacing w:line="400" w:lineRule="atLeast"/>
        <w:ind w:firstLine="480"/>
        <w:rPr>
          <w:rFonts w:ascii="Times New Roman" w:hAnsi="Times New Roman"/>
          <w:sz w:val="21"/>
          <w:szCs w:val="21"/>
        </w:rPr>
      </w:pPr>
      <w:r>
        <w:rPr>
          <w:rFonts w:hint="eastAsia" w:cs="宋体"/>
          <w:sz w:val="24"/>
        </w:rPr>
        <w:t>3.9.2 评标委员会完成评标后，应向招标人提交书面评标报告。</w:t>
      </w:r>
      <w:bookmarkEnd w:id="430"/>
    </w:p>
    <w:p>
      <w:pPr>
        <w:pStyle w:val="2"/>
        <w:spacing w:before="240" w:after="240" w:line="380" w:lineRule="atLeast"/>
        <w:jc w:val="center"/>
        <w:rPr>
          <w:rFonts w:eastAsia="黑体"/>
          <w:b w:val="0"/>
          <w:sz w:val="56"/>
          <w:szCs w:val="56"/>
        </w:rPr>
        <w:sectPr>
          <w:footerReference r:id="rId23" w:type="default"/>
          <w:footnotePr>
            <w:numRestart w:val="eachPage"/>
          </w:footnotePr>
          <w:type w:val="continuous"/>
          <w:pgSz w:w="11905" w:h="16838"/>
          <w:pgMar w:top="1803" w:right="1440" w:bottom="1803" w:left="1440" w:header="851" w:footer="850" w:gutter="0"/>
          <w:cols w:space="0" w:num="1"/>
          <w:docGrid w:linePitch="312" w:charSpace="0"/>
        </w:sectPr>
      </w:pPr>
      <w:bookmarkStart w:id="471" w:name="_Toc508984348"/>
      <w:bookmarkStart w:id="472" w:name="_Toc508984149"/>
      <w:bookmarkStart w:id="473" w:name="_Toc503235821"/>
      <w:bookmarkStart w:id="474" w:name="_Toc234832964"/>
    </w:p>
    <w:p>
      <w:pPr>
        <w:pStyle w:val="2"/>
        <w:spacing w:before="240" w:after="240" w:line="380" w:lineRule="atLeast"/>
        <w:jc w:val="center"/>
        <w:rPr>
          <w:rFonts w:eastAsia="黑体"/>
          <w:b w:val="0"/>
          <w:sz w:val="56"/>
          <w:szCs w:val="56"/>
        </w:rPr>
      </w:pPr>
    </w:p>
    <w:p>
      <w:pPr>
        <w:pStyle w:val="2"/>
        <w:spacing w:before="240" w:after="240" w:line="380" w:lineRule="atLeast"/>
        <w:jc w:val="center"/>
        <w:rPr>
          <w:rFonts w:eastAsia="黑体"/>
          <w:b w:val="0"/>
          <w:sz w:val="56"/>
          <w:szCs w:val="56"/>
        </w:rPr>
      </w:pPr>
    </w:p>
    <w:p>
      <w:pPr>
        <w:pStyle w:val="2"/>
        <w:spacing w:before="240" w:after="240" w:line="380" w:lineRule="atLeast"/>
        <w:jc w:val="center"/>
        <w:rPr>
          <w:rFonts w:eastAsia="黑体"/>
          <w:b w:val="0"/>
          <w:sz w:val="56"/>
          <w:szCs w:val="56"/>
        </w:rPr>
      </w:pPr>
    </w:p>
    <w:p>
      <w:pPr>
        <w:pStyle w:val="2"/>
        <w:spacing w:before="240" w:after="240" w:line="380" w:lineRule="atLeast"/>
        <w:jc w:val="center"/>
        <w:rPr>
          <w:rFonts w:eastAsia="黑体"/>
          <w:b w:val="0"/>
          <w:sz w:val="56"/>
          <w:szCs w:val="56"/>
        </w:rPr>
      </w:pPr>
    </w:p>
    <w:p>
      <w:pPr>
        <w:pStyle w:val="2"/>
        <w:spacing w:before="240" w:after="240" w:line="380" w:lineRule="atLeast"/>
        <w:jc w:val="center"/>
        <w:rPr>
          <w:rFonts w:eastAsia="黑体"/>
          <w:b w:val="0"/>
          <w:sz w:val="56"/>
          <w:szCs w:val="56"/>
        </w:rPr>
      </w:pPr>
    </w:p>
    <w:p>
      <w:pPr>
        <w:pStyle w:val="2"/>
        <w:spacing w:before="240" w:after="240" w:line="380" w:lineRule="atLeast"/>
        <w:jc w:val="center"/>
        <w:rPr>
          <w:rFonts w:eastAsia="黑体"/>
          <w:b w:val="0"/>
          <w:sz w:val="56"/>
          <w:szCs w:val="56"/>
        </w:rPr>
      </w:pPr>
    </w:p>
    <w:p>
      <w:pPr>
        <w:pStyle w:val="2"/>
        <w:spacing w:before="240" w:after="240" w:line="380" w:lineRule="atLeast"/>
        <w:jc w:val="center"/>
        <w:rPr>
          <w:rFonts w:eastAsia="黑体"/>
          <w:b w:val="0"/>
          <w:sz w:val="56"/>
          <w:szCs w:val="56"/>
        </w:rPr>
      </w:pPr>
      <w:r>
        <w:rPr>
          <w:rFonts w:eastAsia="黑体"/>
          <w:b w:val="0"/>
          <w:sz w:val="56"/>
          <w:szCs w:val="56"/>
        </w:rPr>
        <w:t>第四章  合同条款及格式</w:t>
      </w:r>
      <w:bookmarkEnd w:id="471"/>
      <w:bookmarkEnd w:id="472"/>
      <w:bookmarkEnd w:id="473"/>
      <w:bookmarkEnd w:id="474"/>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pStyle w:val="2"/>
        <w:spacing w:before="240" w:after="240" w:line="380" w:lineRule="atLeast"/>
        <w:jc w:val="center"/>
        <w:rPr>
          <w:rFonts w:eastAsia="楷体_GB2312"/>
          <w:sz w:val="84"/>
          <w:szCs w:val="84"/>
        </w:rPr>
      </w:pPr>
      <w:r>
        <w:rPr>
          <w:sz w:val="20"/>
          <w:szCs w:val="20"/>
        </w:rPr>
        <w:br w:type="page"/>
      </w:r>
      <w:bookmarkStart w:id="475" w:name="_Toc234832965"/>
    </w:p>
    <w:p>
      <w:pPr>
        <w:widowControl/>
        <w:jc w:val="left"/>
        <w:rPr>
          <w:rFonts w:eastAsia="楷体_GB2312"/>
          <w:sz w:val="84"/>
          <w:szCs w:val="84"/>
        </w:rPr>
      </w:pPr>
    </w:p>
    <w:p>
      <w:pPr>
        <w:widowControl/>
        <w:jc w:val="left"/>
        <w:rPr>
          <w:rFonts w:eastAsia="楷体_GB2312"/>
          <w:sz w:val="84"/>
          <w:szCs w:val="84"/>
        </w:rPr>
      </w:pPr>
    </w:p>
    <w:p>
      <w:pPr>
        <w:pStyle w:val="18"/>
        <w:rPr>
          <w:rFonts w:eastAsia="楷体_GB2312"/>
          <w:sz w:val="84"/>
          <w:szCs w:val="84"/>
        </w:rPr>
      </w:pPr>
    </w:p>
    <w:p>
      <w:pPr>
        <w:rPr>
          <w:rFonts w:eastAsia="楷体_GB2312"/>
          <w:sz w:val="84"/>
          <w:szCs w:val="84"/>
        </w:rPr>
      </w:pPr>
    </w:p>
    <w:p>
      <w:pPr>
        <w:pStyle w:val="18"/>
      </w:pPr>
    </w:p>
    <w:p>
      <w:pPr>
        <w:widowControl/>
        <w:jc w:val="left"/>
        <w:rPr>
          <w:rFonts w:eastAsia="楷体_GB2312"/>
          <w:sz w:val="84"/>
          <w:szCs w:val="84"/>
        </w:rPr>
      </w:pPr>
    </w:p>
    <w:p>
      <w:pPr>
        <w:pStyle w:val="186"/>
        <w:widowControl/>
        <w:numPr>
          <w:ilvl w:val="0"/>
          <w:numId w:val="5"/>
        </w:numPr>
        <w:ind w:left="709" w:firstLineChars="0"/>
        <w:jc w:val="center"/>
        <w:rPr>
          <w:rFonts w:ascii="黑体" w:hAnsi="黑体" w:eastAsia="黑体"/>
          <w:sz w:val="32"/>
          <w:szCs w:val="32"/>
        </w:rPr>
      </w:pPr>
      <w:r>
        <w:rPr>
          <w:rFonts w:hint="eastAsia" w:ascii="黑体" w:hAnsi="黑体" w:eastAsia="黑体"/>
          <w:sz w:val="32"/>
          <w:szCs w:val="32"/>
        </w:rPr>
        <w:t>合同条款</w:t>
      </w: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bookmarkEnd w:id="475"/>
    <w:p>
      <w:pPr>
        <w:wordWrap w:val="0"/>
        <w:topLinePunct/>
        <w:spacing w:line="360" w:lineRule="auto"/>
        <w:contextualSpacing/>
        <w:jc w:val="left"/>
        <w:textAlignment w:val="baseline"/>
        <w:rPr>
          <w:rFonts w:ascii="宋体" w:hAnsi="宋体" w:cs="SimSun-Identity-H"/>
          <w:b/>
          <w:kern w:val="0"/>
          <w:sz w:val="24"/>
        </w:rPr>
      </w:pPr>
      <w:bookmarkStart w:id="476" w:name="_Toc234833230"/>
      <w:r>
        <w:rPr>
          <w:rFonts w:hint="eastAsia" w:ascii="宋体" w:hAnsi="宋体" w:cs="SimSun-Identity-H"/>
          <w:b/>
          <w:kern w:val="0"/>
          <w:sz w:val="24"/>
        </w:rPr>
        <w:t>定义和解释</w:t>
      </w:r>
    </w:p>
    <w:p>
      <w:pPr>
        <w:wordWrap w:val="0"/>
        <w:topLinePunct/>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发包人</w:t>
      </w:r>
      <w:r>
        <w:rPr>
          <w:rFonts w:hint="eastAsia" w:ascii="宋体" w:hAnsi="宋体"/>
          <w:kern w:val="0"/>
          <w:sz w:val="24"/>
        </w:rPr>
        <w:t>：</w:t>
      </w:r>
      <w:r>
        <w:rPr>
          <w:rFonts w:ascii="宋体" w:hAnsi="宋体"/>
          <w:kern w:val="0"/>
          <w:sz w:val="24"/>
        </w:rPr>
        <w:t>指与咨询单位签订合同协议书的当事人，以及取得该当事人资格的合法继承人</w:t>
      </w:r>
      <w:r>
        <w:rPr>
          <w:rFonts w:hint="eastAsia" w:ascii="宋体" w:hAnsi="宋体" w:cs="SimSun-Identity-H"/>
          <w:kern w:val="0"/>
          <w:sz w:val="24"/>
        </w:rPr>
        <w:t>。</w:t>
      </w:r>
    </w:p>
    <w:p>
      <w:pPr>
        <w:wordWrap w:val="0"/>
        <w:topLinePunct/>
        <w:spacing w:line="360" w:lineRule="auto"/>
        <w:ind w:firstLine="480" w:firstLineChars="200"/>
        <w:contextualSpacing/>
        <w:jc w:val="left"/>
        <w:textAlignment w:val="baseline"/>
        <w:rPr>
          <w:rFonts w:ascii="宋体" w:hAnsi="宋体"/>
          <w:kern w:val="0"/>
          <w:sz w:val="24"/>
        </w:rPr>
      </w:pPr>
      <w:r>
        <w:rPr>
          <w:rFonts w:hint="eastAsia" w:ascii="宋体" w:hAnsi="宋体" w:cs="SimSun-Identity-H"/>
          <w:kern w:val="0"/>
          <w:sz w:val="24"/>
        </w:rPr>
        <w:t>咨询单位：</w:t>
      </w:r>
      <w:r>
        <w:rPr>
          <w:rFonts w:ascii="宋体" w:hAnsi="宋体"/>
          <w:kern w:val="0"/>
          <w:sz w:val="24"/>
        </w:rPr>
        <w:t>指受发包人委托对本工程勘察设计文件进行审查或提供咨询意见的咨询机构。</w:t>
      </w:r>
      <w:r>
        <w:rPr>
          <w:rFonts w:ascii="宋体" w:hAnsi="宋体"/>
          <w:sz w:val="24"/>
        </w:rPr>
        <w:t>若</w:t>
      </w:r>
      <w:r>
        <w:rPr>
          <w:rFonts w:hint="eastAsia" w:ascii="宋体" w:hAnsi="宋体" w:cs="SimSun-Identity-H"/>
          <w:kern w:val="0"/>
          <w:sz w:val="24"/>
        </w:rPr>
        <w:t>咨询单位</w:t>
      </w:r>
      <w:r>
        <w:rPr>
          <w:rFonts w:ascii="宋体" w:hAnsi="宋体"/>
          <w:sz w:val="24"/>
        </w:rPr>
        <w:t>为联合体，则</w:t>
      </w:r>
      <w:r>
        <w:rPr>
          <w:rFonts w:hint="eastAsia" w:ascii="宋体" w:hAnsi="宋体" w:cs="SimSun-Identity-H"/>
          <w:kern w:val="0"/>
          <w:sz w:val="24"/>
        </w:rPr>
        <w:t>咨询单位</w:t>
      </w:r>
      <w:r>
        <w:rPr>
          <w:rFonts w:ascii="宋体" w:hAnsi="宋体"/>
          <w:sz w:val="24"/>
        </w:rPr>
        <w:t>包括联合体所有成员单位。</w:t>
      </w:r>
    </w:p>
    <w:p>
      <w:pPr>
        <w:spacing w:line="360" w:lineRule="auto"/>
        <w:ind w:firstLine="480" w:firstLineChars="200"/>
        <w:rPr>
          <w:sz w:val="24"/>
        </w:rPr>
      </w:pPr>
      <w:r>
        <w:rPr>
          <w:rFonts w:ascii="宋体" w:hAnsi="宋体"/>
          <w:sz w:val="24"/>
        </w:rPr>
        <w:t>设计人：指与发包人签订</w:t>
      </w:r>
      <w:r>
        <w:rPr>
          <w:rFonts w:hint="eastAsia" w:ascii="宋体" w:hAnsi="宋体"/>
          <w:sz w:val="24"/>
        </w:rPr>
        <w:t>设计</w:t>
      </w:r>
      <w:r>
        <w:rPr>
          <w:rFonts w:ascii="宋体" w:hAnsi="宋体"/>
          <w:sz w:val="24"/>
        </w:rPr>
        <w:t>合同协议书的当事人，以及取得该当事人资格的合法继承人。</w:t>
      </w:r>
    </w:p>
    <w:p>
      <w:pPr>
        <w:spacing w:line="360" w:lineRule="auto"/>
        <w:ind w:firstLine="480" w:firstLineChars="200"/>
        <w:rPr>
          <w:sz w:val="24"/>
        </w:rPr>
      </w:pPr>
      <w:r>
        <w:rPr>
          <w:rFonts w:ascii="宋体" w:hAnsi="宋体"/>
          <w:sz w:val="24"/>
        </w:rPr>
        <w:t>发包人代表：指由发包人任命，并在授权范围和期限内代表发包人行使权利和履行义务的全权负责人。</w:t>
      </w:r>
    </w:p>
    <w:p>
      <w:pPr>
        <w:spacing w:line="360" w:lineRule="auto"/>
        <w:ind w:firstLine="480" w:firstLineChars="200"/>
        <w:rPr>
          <w:sz w:val="24"/>
        </w:rPr>
      </w:pPr>
      <w:r>
        <w:rPr>
          <w:rFonts w:ascii="宋体" w:hAnsi="宋体"/>
          <w:sz w:val="24"/>
        </w:rPr>
        <w:t>项目负责人：指由</w:t>
      </w:r>
      <w:r>
        <w:rPr>
          <w:rFonts w:hint="eastAsia" w:ascii="宋体" w:hAnsi="宋体" w:cs="SimSun-Identity-H"/>
          <w:kern w:val="0"/>
          <w:sz w:val="24"/>
        </w:rPr>
        <w:t>咨询单位</w:t>
      </w:r>
      <w:r>
        <w:rPr>
          <w:rFonts w:ascii="宋体" w:hAnsi="宋体"/>
          <w:sz w:val="24"/>
        </w:rPr>
        <w:t>任命，代表</w:t>
      </w:r>
      <w:r>
        <w:rPr>
          <w:rFonts w:hint="eastAsia" w:ascii="宋体" w:hAnsi="宋体" w:cs="SimSun-Identity-H"/>
          <w:kern w:val="0"/>
          <w:sz w:val="24"/>
        </w:rPr>
        <w:t>咨询单位</w:t>
      </w:r>
      <w:r>
        <w:rPr>
          <w:rFonts w:ascii="宋体" w:hAnsi="宋体"/>
          <w:sz w:val="24"/>
        </w:rPr>
        <w:t>行使权利和履行义务的全权负责人。</w:t>
      </w:r>
    </w:p>
    <w:p>
      <w:pPr>
        <w:spacing w:line="360" w:lineRule="auto"/>
        <w:ind w:firstLine="480" w:firstLineChars="200"/>
        <w:rPr>
          <w:sz w:val="24"/>
        </w:rPr>
      </w:pPr>
      <w:r>
        <w:rPr>
          <w:sz w:val="24"/>
        </w:rPr>
        <w:t>分项负责人：指由</w:t>
      </w:r>
      <w:r>
        <w:rPr>
          <w:rFonts w:hint="eastAsia" w:ascii="宋体" w:hAnsi="宋体" w:cs="SimSun-Identity-H"/>
          <w:kern w:val="0"/>
          <w:sz w:val="24"/>
        </w:rPr>
        <w:t>咨询单位</w:t>
      </w:r>
      <w:r>
        <w:rPr>
          <w:sz w:val="24"/>
        </w:rPr>
        <w:t>批准、并经过发包人认可的各专业负责人。</w:t>
      </w:r>
    </w:p>
    <w:p>
      <w:pPr>
        <w:spacing w:line="360" w:lineRule="auto"/>
        <w:ind w:firstLine="480" w:firstLineChars="200"/>
        <w:rPr>
          <w:sz w:val="24"/>
        </w:rPr>
      </w:pPr>
      <w:r>
        <w:rPr>
          <w:rFonts w:ascii="宋体" w:hAnsi="宋体"/>
          <w:sz w:val="24"/>
        </w:rPr>
        <w:t>分包人：指从</w:t>
      </w:r>
      <w:r>
        <w:rPr>
          <w:rFonts w:hint="eastAsia" w:ascii="宋体" w:hAnsi="宋体" w:cs="SimSun-Identity-H"/>
          <w:kern w:val="0"/>
          <w:sz w:val="24"/>
        </w:rPr>
        <w:t>咨询单位</w:t>
      </w:r>
      <w:r>
        <w:rPr>
          <w:rFonts w:ascii="宋体" w:hAnsi="宋体"/>
          <w:sz w:val="24"/>
        </w:rPr>
        <w:t>处分包合同中某一部分工作，并与其签订分包合同的分包人。</w:t>
      </w:r>
    </w:p>
    <w:p>
      <w:pPr>
        <w:wordWrap w:val="0"/>
        <w:topLinePunct/>
        <w:spacing w:line="360" w:lineRule="auto"/>
        <w:ind w:firstLine="480" w:firstLineChars="200"/>
        <w:contextualSpacing/>
        <w:jc w:val="left"/>
        <w:textAlignment w:val="baseline"/>
        <w:rPr>
          <w:rFonts w:ascii="宋体" w:hAnsi="宋体" w:cs="SimSun-Identity-H"/>
          <w:kern w:val="0"/>
          <w:sz w:val="24"/>
        </w:rPr>
      </w:pPr>
    </w:p>
    <w:p>
      <w:pPr>
        <w:wordWrap w:val="0"/>
        <w:topLinePunct/>
        <w:spacing w:line="360" w:lineRule="auto"/>
        <w:contextualSpacing/>
        <w:jc w:val="center"/>
        <w:textAlignment w:val="baseline"/>
        <w:rPr>
          <w:rFonts w:ascii="黑体" w:hAnsi="黑体" w:eastAsia="黑体" w:cs="SimSun-Identity-H"/>
          <w:kern w:val="0"/>
          <w:sz w:val="28"/>
          <w:szCs w:val="28"/>
        </w:rPr>
      </w:pPr>
      <w:bookmarkStart w:id="477" w:name="_Toc441148713"/>
      <w:r>
        <w:rPr>
          <w:rFonts w:hint="eastAsia" w:ascii="黑体" w:hAnsi="黑体" w:eastAsia="黑体" w:cs="SimSun-Identity-H"/>
          <w:kern w:val="0"/>
          <w:sz w:val="28"/>
          <w:szCs w:val="28"/>
        </w:rPr>
        <w:t>第一条  勘察设计咨询服务目标、内容、要求和方式</w:t>
      </w:r>
      <w:bookmarkEnd w:id="477"/>
    </w:p>
    <w:p>
      <w:pPr>
        <w:wordWrap w:val="0"/>
        <w:topLinePunct/>
        <w:spacing w:line="360" w:lineRule="auto"/>
        <w:ind w:firstLine="482" w:firstLineChars="200"/>
        <w:contextualSpacing/>
        <w:jc w:val="left"/>
        <w:textAlignment w:val="baseline"/>
        <w:rPr>
          <w:rFonts w:ascii="宋体" w:hAnsi="宋体" w:cs="SimSun-Identity-H"/>
          <w:b/>
          <w:kern w:val="0"/>
          <w:sz w:val="24"/>
        </w:rPr>
      </w:pPr>
      <w:bookmarkStart w:id="478" w:name="_Toc429404106"/>
      <w:bookmarkStart w:id="479" w:name="_Toc441148714"/>
      <w:r>
        <w:rPr>
          <w:rFonts w:ascii="宋体" w:hAnsi="宋体" w:cs="SimSun-Identity-H"/>
          <w:b/>
          <w:kern w:val="0"/>
          <w:sz w:val="24"/>
        </w:rPr>
        <w:t xml:space="preserve">1.1 </w:t>
      </w:r>
      <w:r>
        <w:rPr>
          <w:rFonts w:hint="eastAsia" w:ascii="宋体" w:hAnsi="宋体" w:cs="SimSun-Identity-H"/>
          <w:b/>
          <w:kern w:val="0"/>
          <w:sz w:val="24"/>
        </w:rPr>
        <w:t>勘察设计咨询的</w:t>
      </w:r>
      <w:bookmarkEnd w:id="478"/>
      <w:r>
        <w:rPr>
          <w:rFonts w:hint="eastAsia" w:ascii="宋体" w:hAnsi="宋体" w:cs="SimSun-Identity-H"/>
          <w:b/>
          <w:kern w:val="0"/>
          <w:sz w:val="24"/>
        </w:rPr>
        <w:t>目标</w:t>
      </w:r>
      <w:bookmarkEnd w:id="479"/>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480" w:name="_Toc429404107"/>
      <w:bookmarkStart w:id="481" w:name="_Toc441148715"/>
      <w:r>
        <w:rPr>
          <w:rFonts w:hint="eastAsia" w:ascii="宋体" w:hAnsi="宋体" w:cs="SimSun-Identity-H"/>
          <w:kern w:val="0"/>
          <w:sz w:val="24"/>
        </w:rPr>
        <w:t>为了确保勘察设计质量，避免或减少项目实施和正常运营过程中因设计不当造成的工程变更和工程隐患，提高项目建设水平和投资效益，满足国家及广东省相关标准规范，督促设计进度和保证设计文件深度，为工程建设把好第一关。咨询单位将在发包人的统一领导和协调下，对本项目进行</w:t>
      </w:r>
      <w:r>
        <w:rPr>
          <w:rFonts w:hint="eastAsia" w:ascii="宋体" w:hAnsi="宋体" w:cs="SimSun-Identity-H"/>
          <w:kern w:val="0"/>
          <w:sz w:val="24"/>
          <w:u w:val="single"/>
        </w:rPr>
        <w:t>初步设计阶段勘察</w:t>
      </w:r>
      <w:r>
        <w:rPr>
          <w:rFonts w:hint="eastAsia"/>
          <w:sz w:val="24"/>
          <w:u w:val="single"/>
        </w:rPr>
        <w:t>咨询（初勘初测咨询）、初步设计咨询（含技术设计咨询，如有）、施工图阶段勘察咨询（详勘定测咨询）、施工图设计咨询、概预算文件审核等</w:t>
      </w:r>
      <w:r>
        <w:rPr>
          <w:rStyle w:val="56"/>
          <w:rFonts w:ascii="宋体" w:hAnsi="宋体"/>
          <w:sz w:val="32"/>
          <w:szCs w:val="32"/>
        </w:rPr>
        <w:footnoteReference w:id="65"/>
      </w:r>
      <w:r>
        <w:rPr>
          <w:rFonts w:hint="eastAsia" w:ascii="宋体" w:hAnsi="宋体" w:cs="SimSun-Identity-H"/>
          <w:kern w:val="0"/>
          <w:sz w:val="24"/>
        </w:rPr>
        <w:t>咨询服务，以确保本项目主要工程设计方案合理、技术先进、造价合理、施工方便。</w:t>
      </w:r>
      <w:bookmarkEnd w:id="480"/>
      <w:bookmarkEnd w:id="481"/>
    </w:p>
    <w:p>
      <w:pPr>
        <w:wordWrap w:val="0"/>
        <w:topLinePunct/>
        <w:spacing w:line="360" w:lineRule="auto"/>
        <w:ind w:firstLine="482" w:firstLineChars="200"/>
        <w:contextualSpacing/>
        <w:jc w:val="left"/>
        <w:textAlignment w:val="baseline"/>
        <w:rPr>
          <w:rFonts w:ascii="宋体" w:hAnsi="宋体" w:cs="SimSun-Identity-H"/>
          <w:b/>
          <w:kern w:val="0"/>
          <w:sz w:val="24"/>
        </w:rPr>
      </w:pPr>
      <w:bookmarkStart w:id="482" w:name="_Toc441148716"/>
      <w:r>
        <w:rPr>
          <w:rFonts w:hint="eastAsia" w:ascii="宋体" w:hAnsi="宋体" w:cs="SimSun-Identity-H"/>
          <w:b/>
          <w:bCs/>
          <w:kern w:val="0"/>
          <w:sz w:val="24"/>
        </w:rPr>
        <w:t xml:space="preserve">1.2 </w:t>
      </w:r>
      <w:r>
        <w:rPr>
          <w:rFonts w:hint="eastAsia" w:ascii="宋体" w:hAnsi="宋体" w:cs="SimSun-Identity-H"/>
          <w:b/>
          <w:kern w:val="0"/>
          <w:sz w:val="24"/>
        </w:rPr>
        <w:t>勘察设计咨询服务的内容</w:t>
      </w:r>
      <w:bookmarkEnd w:id="482"/>
    </w:p>
    <w:p>
      <w:pPr>
        <w:wordWrap w:val="0"/>
        <w:topLinePunct/>
        <w:adjustRightInd w:val="0"/>
        <w:snapToGrid w:val="0"/>
        <w:spacing w:line="360" w:lineRule="auto"/>
        <w:ind w:firstLine="480" w:firstLineChars="200"/>
        <w:contextualSpacing/>
        <w:jc w:val="left"/>
        <w:textAlignment w:val="baseline"/>
        <w:rPr>
          <w:rFonts w:ascii="宋体" w:hAnsi="宋体" w:cs="SimSun-Identity-H"/>
          <w:kern w:val="0"/>
          <w:sz w:val="24"/>
        </w:rPr>
      </w:pPr>
      <w:bookmarkStart w:id="483" w:name="_Toc441148717"/>
      <w:bookmarkStart w:id="484" w:name="_Toc429404119"/>
      <w:r>
        <w:rPr>
          <w:rFonts w:hint="eastAsia" w:ascii="宋体" w:hAnsi="宋体" w:cs="SimSun-Identity-H"/>
          <w:kern w:val="0"/>
          <w:sz w:val="24"/>
        </w:rPr>
        <w:t>1.2.1勘察设计咨询服务主要核查以下内容，并对工程设计方案和概（预）算编制提出合理化建议：</w:t>
      </w:r>
    </w:p>
    <w:p>
      <w:pPr>
        <w:wordWrap w:val="0"/>
        <w:topLinePunct/>
        <w:adjustRightInd w:val="0"/>
        <w:snapToGrid w:val="0"/>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（一）工程建设规模和主要建设内容与项目审批、核准文件或者备案信息的符合性；施工图技术审查咨询还应当核查与初步设计文件的符合性。</w:t>
      </w:r>
    </w:p>
    <w:p>
      <w:pPr>
        <w:wordWrap w:val="0"/>
        <w:topLinePunct/>
        <w:adjustRightInd w:val="0"/>
        <w:snapToGrid w:val="0"/>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（二）工程设计与强制性标准的符合性；</w:t>
      </w:r>
    </w:p>
    <w:p>
      <w:pPr>
        <w:wordWrap w:val="0"/>
        <w:topLinePunct/>
        <w:adjustRightInd w:val="0"/>
        <w:snapToGrid w:val="0"/>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（三）总平面布置、主要工艺流程、主要设备配置的合理性；</w:t>
      </w:r>
    </w:p>
    <w:p>
      <w:pPr>
        <w:wordWrap w:val="0"/>
        <w:topLinePunct/>
        <w:adjustRightInd w:val="0"/>
        <w:snapToGrid w:val="0"/>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（四）地基基础、主要建筑物、主体结构的合理性、安全性、稳定性、耐久性；</w:t>
      </w:r>
    </w:p>
    <w:p>
      <w:pPr>
        <w:wordWrap w:val="0"/>
        <w:topLinePunct/>
        <w:adjustRightInd w:val="0"/>
        <w:snapToGrid w:val="0"/>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宋体"/>
          <w:color w:val="333333"/>
          <w:sz w:val="24"/>
          <w:shd w:val="clear" w:color="auto" w:fill="FFFFFF"/>
        </w:rPr>
        <w:t>（五）主要施工方案、施工组织设计、疏浚土处理方式等的合理性。</w:t>
      </w:r>
    </w:p>
    <w:p>
      <w:pPr>
        <w:wordWrap w:val="0"/>
        <w:topLinePunct/>
        <w:adjustRightInd w:val="0"/>
        <w:snapToGrid w:val="0"/>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（六）环境保护、安全、防震、职业病防护、消防、节能等涉及公共安全、公众利益的工程措施与强制性标准的符合性；</w:t>
      </w:r>
    </w:p>
    <w:p>
      <w:pPr>
        <w:wordWrap w:val="0"/>
        <w:topLinePunct/>
        <w:adjustRightInd w:val="0"/>
        <w:snapToGrid w:val="0"/>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（七）工程概（预）算的编制依据和方法的合理性。</w:t>
      </w:r>
    </w:p>
    <w:p>
      <w:pPr>
        <w:wordWrap w:val="0"/>
        <w:topLinePunct/>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1.2.2 初勘初测咨询内容：</w:t>
      </w:r>
      <w:bookmarkEnd w:id="483"/>
      <w:bookmarkEnd w:id="484"/>
      <w:r>
        <w:rPr>
          <w:rFonts w:hint="eastAsia" w:ascii="宋体" w:hAnsi="宋体" w:cs="SimSun-Identity-H"/>
          <w:kern w:val="0"/>
          <w:sz w:val="24"/>
        </w:rPr>
        <w:t>对初测工作大纲、测量过程及成果报告等资料进行审查；对初勘工作大纲、地质调绘、工程物探、地质钻探等成果报告进行审查；对本阶段提出的总体设计方案、各专业初步工程方案进行审查；并提交项目初勘初测成果咨询报告。</w:t>
      </w:r>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485" w:name="_Toc429404120"/>
      <w:bookmarkStart w:id="486" w:name="_Toc441148718"/>
      <w:r>
        <w:rPr>
          <w:rFonts w:hint="eastAsia" w:ascii="宋体" w:hAnsi="宋体" w:cs="SimSun-Identity-H"/>
          <w:kern w:val="0"/>
          <w:sz w:val="24"/>
        </w:rPr>
        <w:t>1.2.3 初步设计咨询内容：在审查设计文件符合编制办法要求的基础上，主要评价总平面、水工建筑物、工艺、电气、给排水、建筑等主要方案及其比选情况，核查基础资料的可靠性和设计概算的合理性，关注设计方案在资源节约和环境保护等方面的体现。对可能影响方案确定的设计，提供验算书；并提交项目初步设计咨询成果报告。</w:t>
      </w:r>
      <w:bookmarkEnd w:id="485"/>
      <w:bookmarkEnd w:id="486"/>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487" w:name="_Toc441148719"/>
      <w:bookmarkStart w:id="488" w:name="_Toc429404121"/>
      <w:r>
        <w:rPr>
          <w:rFonts w:hint="eastAsia" w:ascii="宋体" w:hAnsi="宋体" w:cs="SimSun-Identity-H"/>
          <w:kern w:val="0"/>
          <w:sz w:val="24"/>
        </w:rPr>
        <w:t>1.2.4 如项目需进行技术设计，咨询内容根据初步设计咨询内容，对开展技术设计的工程方案开展进一步深化咨询，并提供相应的验算书及咨询成果报告。</w:t>
      </w:r>
      <w:bookmarkEnd w:id="487"/>
      <w:bookmarkEnd w:id="488"/>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489" w:name="_Toc441148720"/>
      <w:bookmarkStart w:id="490" w:name="_Toc429404122"/>
      <w:r>
        <w:rPr>
          <w:rFonts w:hint="eastAsia" w:ascii="宋体" w:hAnsi="宋体" w:cs="SimSun-Identity-H"/>
          <w:kern w:val="0"/>
          <w:sz w:val="24"/>
        </w:rPr>
        <w:t>1.2.5 详勘定测咨询内容：根据初勘初测咨询工作内容，对定测、详勘以及外业调查资料进行审查；对总体设计方案，各专业初步工程方案进行审查，确保下阶段设计方案的稳定；并提交项目详勘定测成果咨询报告。</w:t>
      </w:r>
      <w:bookmarkEnd w:id="489"/>
      <w:bookmarkEnd w:id="490"/>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491" w:name="_Toc441148721"/>
      <w:bookmarkStart w:id="492" w:name="_Toc429404123"/>
      <w:r>
        <w:rPr>
          <w:rFonts w:hint="eastAsia" w:ascii="宋体" w:hAnsi="宋体" w:cs="SimSun-Identity-H"/>
          <w:kern w:val="0"/>
          <w:sz w:val="24"/>
        </w:rPr>
        <w:t>1.2.6 施工图设计咨询内容：在审查设计文件符合编制办法要求的基础上，重点核查结构安全性、技术先进性、施工可行性和经济合理性，详细复查各部尺寸、参数和工程数量以及各专业之间的相互衔接，</w:t>
      </w:r>
      <w:bookmarkEnd w:id="491"/>
      <w:bookmarkEnd w:id="492"/>
      <w:bookmarkStart w:id="493" w:name="_Toc441148722"/>
      <w:r>
        <w:rPr>
          <w:rFonts w:hint="eastAsia" w:ascii="宋体" w:hAnsi="宋体" w:cs="SimSun-Identity-H"/>
          <w:kern w:val="0"/>
          <w:sz w:val="24"/>
        </w:rPr>
        <w:t>对项目消防工程、环保工程、机电工程、房建工程等出具专项咨询报告。</w:t>
      </w:r>
    </w:p>
    <w:p>
      <w:pPr>
        <w:spacing w:line="360" w:lineRule="auto"/>
        <w:ind w:left="490" w:leftChars="176" w:hanging="120" w:hangingChars="50"/>
        <w:rPr>
          <w:rFonts w:ascii="宋体" w:hAnsi="宋体" w:cs="SimSun-Identity-H"/>
          <w:kern w:val="0"/>
          <w:sz w:val="24"/>
        </w:rPr>
      </w:pPr>
      <w:r>
        <w:rPr>
          <w:rFonts w:hint="eastAsia" w:ascii="宋体" w:hAnsi="宋体" w:cs="SimSun-Identity-H"/>
          <w:kern w:val="0"/>
          <w:sz w:val="24"/>
        </w:rPr>
        <w:t>1.2.7</w:t>
      </w:r>
      <w:r>
        <w:rPr>
          <w:rFonts w:ascii="宋体" w:hAnsi="宋体" w:cs="SimSun-Identity-H"/>
          <w:kern w:val="0"/>
          <w:sz w:val="24"/>
        </w:rPr>
        <w:t>初步设计概算审核内容：</w:t>
      </w:r>
    </w:p>
    <w:p>
      <w:pPr>
        <w:pStyle w:val="19"/>
        <w:spacing w:after="0" w:line="360" w:lineRule="auto"/>
        <w:ind w:left="0" w:leftChars="0" w:firstLine="424" w:firstLineChars="177"/>
        <w:rPr>
          <w:rFonts w:ascii="宋体" w:hAnsi="宋体" w:cs="SimSun-Identity-H"/>
          <w:kern w:val="0"/>
          <w:sz w:val="24"/>
        </w:rPr>
      </w:pPr>
      <w:r>
        <w:rPr>
          <w:rFonts w:hint="eastAsia" w:ascii="宋体" w:hAnsi="宋体" w:cs="SimSun-Identity-H"/>
          <w:kern w:val="0"/>
          <w:sz w:val="24"/>
        </w:rPr>
        <w:t>（</w:t>
      </w:r>
      <w:r>
        <w:rPr>
          <w:rFonts w:ascii="宋体" w:hAnsi="宋体" w:cs="SimSun-Identity-H"/>
          <w:kern w:val="0"/>
          <w:sz w:val="24"/>
        </w:rPr>
        <w:t>1）审查概算编制采用依据的时效性、完整性、适用性、合理性；核查文件的编制是否满足交通运输部《</w:t>
      </w:r>
      <w:r>
        <w:rPr>
          <w:rFonts w:hint="eastAsia" w:ascii="宋体" w:hAnsi="宋体" w:cs="SimSun-Identity-H"/>
          <w:kern w:val="0"/>
          <w:sz w:val="24"/>
        </w:rPr>
        <w:t>水运建设工程概算预算编制规定</w:t>
      </w:r>
      <w:r>
        <w:rPr>
          <w:rFonts w:ascii="宋体" w:hAnsi="宋体" w:cs="SimSun-Identity-H"/>
          <w:kern w:val="0"/>
          <w:sz w:val="24"/>
        </w:rPr>
        <w:t>》（</w:t>
      </w:r>
      <w:r>
        <w:rPr>
          <w:rFonts w:hint="eastAsia" w:ascii="宋体" w:hAnsi="宋体" w:cs="SimSun-Identity-H"/>
          <w:kern w:val="0"/>
          <w:sz w:val="24"/>
        </w:rPr>
        <w:t>JTS/T 116—2019</w:t>
      </w:r>
      <w:r>
        <w:rPr>
          <w:rFonts w:ascii="宋体" w:hAnsi="宋体" w:cs="SimSun-Identity-H"/>
          <w:kern w:val="0"/>
          <w:sz w:val="24"/>
        </w:rPr>
        <w:t>）及省交通运输厅有关“补充规定”。</w:t>
      </w:r>
    </w:p>
    <w:p>
      <w:pPr>
        <w:pStyle w:val="19"/>
        <w:spacing w:after="0" w:line="360" w:lineRule="auto"/>
        <w:ind w:left="0" w:leftChars="0" w:firstLine="424" w:firstLineChars="177"/>
        <w:rPr>
          <w:rFonts w:ascii="宋体" w:hAnsi="宋体" w:cs="SimSun-Identity-H"/>
          <w:kern w:val="0"/>
          <w:sz w:val="24"/>
        </w:rPr>
      </w:pPr>
      <w:r>
        <w:rPr>
          <w:rFonts w:hint="eastAsia" w:ascii="宋体" w:hAnsi="宋体" w:cs="SimSun-Identity-H"/>
          <w:kern w:val="0"/>
          <w:sz w:val="24"/>
        </w:rPr>
        <w:t>（</w:t>
      </w:r>
      <w:r>
        <w:rPr>
          <w:rFonts w:ascii="宋体" w:hAnsi="宋体" w:cs="SimSun-Identity-H"/>
          <w:kern w:val="0"/>
          <w:sz w:val="24"/>
        </w:rPr>
        <w:t>2）对设计概算与批复的投资估算进行对比分析</w:t>
      </w:r>
      <w:r>
        <w:rPr>
          <w:rFonts w:hint="eastAsia" w:ascii="宋体" w:hAnsi="宋体" w:cs="SimSun-Identity-H"/>
          <w:kern w:val="0"/>
          <w:sz w:val="24"/>
        </w:rPr>
        <w:t>。</w:t>
      </w:r>
    </w:p>
    <w:p>
      <w:pPr>
        <w:pStyle w:val="19"/>
        <w:spacing w:after="0" w:line="360" w:lineRule="auto"/>
        <w:ind w:left="0" w:leftChars="0" w:firstLine="424" w:firstLineChars="177"/>
        <w:rPr>
          <w:rFonts w:ascii="宋体" w:hAnsi="宋体" w:cs="SimSun-Identity-H"/>
          <w:kern w:val="0"/>
          <w:sz w:val="24"/>
        </w:rPr>
      </w:pPr>
      <w:r>
        <w:rPr>
          <w:rFonts w:hint="eastAsia" w:ascii="宋体" w:hAnsi="宋体" w:cs="SimSun-Identity-H"/>
          <w:kern w:val="0"/>
          <w:sz w:val="24"/>
        </w:rPr>
        <w:t>（3</w:t>
      </w:r>
      <w:r>
        <w:rPr>
          <w:rFonts w:ascii="宋体" w:hAnsi="宋体" w:cs="SimSun-Identity-H"/>
          <w:kern w:val="0"/>
          <w:sz w:val="24"/>
        </w:rPr>
        <w:t>）核查基础资料是否齐全，费率、定额取值或套用是否合理。</w:t>
      </w:r>
    </w:p>
    <w:p>
      <w:pPr>
        <w:pStyle w:val="19"/>
        <w:spacing w:after="0" w:line="360" w:lineRule="auto"/>
        <w:ind w:left="0" w:leftChars="0" w:firstLine="480" w:firstLineChars="200"/>
        <w:rPr>
          <w:rFonts w:ascii="宋体" w:hAnsi="宋体" w:cs="SimSun-Identity-H"/>
          <w:kern w:val="0"/>
          <w:sz w:val="24"/>
        </w:rPr>
      </w:pPr>
      <w:r>
        <w:rPr>
          <w:rFonts w:hint="eastAsia" w:ascii="宋体" w:hAnsi="宋体" w:cs="SimSun-Identity-H"/>
          <w:kern w:val="0"/>
          <w:sz w:val="24"/>
        </w:rPr>
        <w:t>（4</w:t>
      </w:r>
      <w:r>
        <w:rPr>
          <w:rFonts w:ascii="宋体" w:hAnsi="宋体" w:cs="SimSun-Identity-H"/>
          <w:kern w:val="0"/>
          <w:sz w:val="24"/>
        </w:rPr>
        <w:t>）核查主要概算指标是否合理。审查各项费用与经济指标的准确性、</w:t>
      </w:r>
      <w:r>
        <w:rPr>
          <w:rFonts w:hint="eastAsia" w:ascii="宋体" w:hAnsi="宋体" w:cs="SimSun-Identity-H"/>
          <w:kern w:val="0"/>
          <w:sz w:val="24"/>
        </w:rPr>
        <w:t>合理性。</w:t>
      </w:r>
    </w:p>
    <w:p>
      <w:pPr>
        <w:pStyle w:val="19"/>
        <w:spacing w:after="0" w:line="360" w:lineRule="auto"/>
        <w:ind w:left="0" w:leftChars="0"/>
        <w:rPr>
          <w:rFonts w:ascii="宋体" w:hAnsi="宋体" w:cs="SimSun-Identity-H"/>
          <w:kern w:val="0"/>
          <w:sz w:val="24"/>
        </w:rPr>
      </w:pPr>
      <w:r>
        <w:rPr>
          <w:rFonts w:hint="eastAsia" w:ascii="宋体" w:hAnsi="宋体" w:cs="SimSun-Identity-H"/>
          <w:kern w:val="0"/>
          <w:sz w:val="24"/>
        </w:rPr>
        <w:t>与类似工程项目对比，提出合理性建议。</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w:t>
      </w:r>
      <w:r>
        <w:rPr>
          <w:rFonts w:ascii="宋体" w:hAnsi="宋体" w:cs="SimSun-Identity-H"/>
          <w:kern w:val="0"/>
          <w:sz w:val="24"/>
        </w:rPr>
        <w:t>5）核查材料单价是否与市场价相符。</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w:t>
      </w:r>
      <w:r>
        <w:rPr>
          <w:rFonts w:ascii="宋体" w:hAnsi="宋体" w:cs="SimSun-Identity-H"/>
          <w:kern w:val="0"/>
          <w:sz w:val="24"/>
        </w:rPr>
        <w:t>）具体核查</w:t>
      </w:r>
      <w:r>
        <w:rPr>
          <w:rFonts w:hint="eastAsia" w:ascii="宋体" w:hAnsi="宋体" w:cs="SimSun-Identity-H"/>
          <w:kern w:val="0"/>
          <w:sz w:val="24"/>
        </w:rPr>
        <w:t>各专业工程</w:t>
      </w:r>
      <w:r>
        <w:rPr>
          <w:rFonts w:ascii="宋体" w:hAnsi="宋体" w:cs="SimSun-Identity-H"/>
          <w:kern w:val="0"/>
          <w:sz w:val="24"/>
        </w:rPr>
        <w:t>具体工程建安费中，概算编制是否有误，是否存在漏计或重复现象。</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（7</w:t>
      </w:r>
      <w:r>
        <w:rPr>
          <w:rFonts w:ascii="宋体" w:hAnsi="宋体" w:cs="SimSun-Identity-H"/>
          <w:kern w:val="0"/>
          <w:sz w:val="24"/>
        </w:rPr>
        <w:t>）审核造价编制考虑的施工组织方案的经济合理性。</w:t>
      </w:r>
    </w:p>
    <w:p>
      <w:pPr>
        <w:pStyle w:val="19"/>
        <w:spacing w:after="0" w:line="360" w:lineRule="auto"/>
        <w:ind w:left="0" w:leftChars="0" w:firstLine="360" w:firstLineChars="150"/>
        <w:rPr>
          <w:rFonts w:ascii="宋体" w:hAnsi="宋体" w:cs="SimSun-Identity-H"/>
          <w:kern w:val="0"/>
          <w:sz w:val="24"/>
        </w:rPr>
      </w:pPr>
      <w:r>
        <w:rPr>
          <w:rFonts w:hint="eastAsia" w:ascii="宋体" w:hAnsi="宋体" w:cs="SimSun-Identity-H"/>
          <w:kern w:val="0"/>
          <w:sz w:val="24"/>
        </w:rPr>
        <w:t>（8</w:t>
      </w:r>
      <w:r>
        <w:rPr>
          <w:rFonts w:ascii="宋体" w:hAnsi="宋体" w:cs="SimSun-Identity-H"/>
          <w:kern w:val="0"/>
          <w:sz w:val="24"/>
        </w:rPr>
        <w:t>）将概算总金额与工可估算金额进行对照，列出增减的具体数额和比例。有条件时对造价的变化因素进行分析。</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1.2.8</w:t>
      </w:r>
      <w:r>
        <w:rPr>
          <w:rFonts w:ascii="宋体" w:hAnsi="宋体" w:cs="SimSun-Identity-H"/>
          <w:kern w:val="0"/>
          <w:sz w:val="24"/>
        </w:rPr>
        <w:t>施工图设计预算审核内容:</w:t>
      </w:r>
    </w:p>
    <w:p>
      <w:pPr>
        <w:pStyle w:val="19"/>
        <w:spacing w:after="0" w:line="360" w:lineRule="auto"/>
        <w:ind w:left="0" w:leftChars="0" w:firstLine="424" w:firstLineChars="177"/>
        <w:rPr>
          <w:rFonts w:ascii="宋体" w:hAnsi="宋体" w:cs="SimSun-Identity-H"/>
          <w:kern w:val="0"/>
          <w:sz w:val="24"/>
        </w:rPr>
      </w:pPr>
      <w:r>
        <w:rPr>
          <w:rFonts w:hint="eastAsia" w:ascii="宋体" w:hAnsi="宋体" w:cs="SimSun-Identity-H"/>
          <w:kern w:val="0"/>
          <w:sz w:val="24"/>
        </w:rPr>
        <w:t>（</w:t>
      </w:r>
      <w:r>
        <w:rPr>
          <w:rFonts w:ascii="宋体" w:hAnsi="宋体" w:cs="SimSun-Identity-H"/>
          <w:kern w:val="0"/>
          <w:sz w:val="24"/>
        </w:rPr>
        <w:t>1）审查</w:t>
      </w:r>
      <w:r>
        <w:rPr>
          <w:rFonts w:hint="eastAsia" w:ascii="宋体" w:hAnsi="宋体" w:cs="SimSun-Identity-H"/>
          <w:kern w:val="0"/>
          <w:sz w:val="24"/>
        </w:rPr>
        <w:t>预</w:t>
      </w:r>
      <w:r>
        <w:rPr>
          <w:rFonts w:ascii="宋体" w:hAnsi="宋体" w:cs="SimSun-Identity-H"/>
          <w:kern w:val="0"/>
          <w:sz w:val="24"/>
        </w:rPr>
        <w:t>算编制采用依据的时效性、完整性、适用性、合理性；核查文件的</w:t>
      </w:r>
    </w:p>
    <w:p>
      <w:pPr>
        <w:pStyle w:val="19"/>
        <w:spacing w:after="0" w:line="360" w:lineRule="auto"/>
        <w:ind w:left="0" w:leftChars="0" w:firstLine="480"/>
        <w:rPr>
          <w:rFonts w:ascii="宋体" w:hAnsi="宋体" w:cs="SimSun-Identity-H"/>
          <w:kern w:val="0"/>
          <w:sz w:val="24"/>
        </w:rPr>
      </w:pPr>
      <w:r>
        <w:rPr>
          <w:rFonts w:ascii="宋体" w:hAnsi="宋体" w:cs="SimSun-Identity-H"/>
          <w:kern w:val="0"/>
          <w:sz w:val="24"/>
        </w:rPr>
        <w:t>编制是否满足交通运输部</w:t>
      </w:r>
      <w:r>
        <w:rPr>
          <w:rFonts w:hint="eastAsia" w:ascii="宋体" w:hAnsi="宋体" w:cs="SimSun-Identity-H"/>
          <w:kern w:val="0"/>
          <w:sz w:val="24"/>
        </w:rPr>
        <w:t>《水运建设工程概算预算编制规定》（JTS/T 116—2019）</w:t>
      </w:r>
      <w:r>
        <w:rPr>
          <w:rFonts w:ascii="宋体" w:hAnsi="宋体" w:cs="SimSun-Identity-H"/>
          <w:kern w:val="0"/>
          <w:sz w:val="24"/>
        </w:rPr>
        <w:t>及省交通运输厅有关“补充规定”。</w:t>
      </w:r>
    </w:p>
    <w:p>
      <w:pPr>
        <w:pStyle w:val="19"/>
        <w:spacing w:after="0" w:line="360" w:lineRule="auto"/>
        <w:ind w:left="0" w:leftChars="0" w:firstLine="480" w:firstLineChars="200"/>
        <w:rPr>
          <w:rFonts w:ascii="宋体" w:hAnsi="宋体" w:cs="SimSun-Identity-H"/>
          <w:kern w:val="0"/>
          <w:sz w:val="24"/>
        </w:rPr>
      </w:pPr>
      <w:r>
        <w:rPr>
          <w:rFonts w:hint="eastAsia" w:ascii="宋体" w:hAnsi="宋体" w:cs="SimSun-Identity-H"/>
          <w:kern w:val="0"/>
          <w:sz w:val="24"/>
        </w:rPr>
        <w:t>（</w:t>
      </w:r>
      <w:r>
        <w:rPr>
          <w:rFonts w:ascii="宋体" w:hAnsi="宋体" w:cs="SimSun-Identity-H"/>
          <w:kern w:val="0"/>
          <w:sz w:val="24"/>
        </w:rPr>
        <w:t>2）对施工图预算与批复的设计概算进行对比分析。</w:t>
      </w:r>
    </w:p>
    <w:p>
      <w:pPr>
        <w:pStyle w:val="19"/>
        <w:spacing w:after="0" w:line="360" w:lineRule="auto"/>
        <w:ind w:left="0" w:leftChars="0" w:firstLine="480" w:firstLineChars="200"/>
        <w:rPr>
          <w:rFonts w:ascii="宋体" w:hAnsi="宋体" w:cs="SimSun-Identity-H"/>
          <w:kern w:val="0"/>
          <w:sz w:val="24"/>
        </w:rPr>
      </w:pPr>
      <w:r>
        <w:rPr>
          <w:rFonts w:hint="eastAsia" w:ascii="宋体" w:hAnsi="宋体" w:cs="SimSun-Identity-H"/>
          <w:kern w:val="0"/>
          <w:sz w:val="24"/>
        </w:rPr>
        <w:t>（3</w:t>
      </w:r>
      <w:r>
        <w:rPr>
          <w:rFonts w:ascii="宋体" w:hAnsi="宋体" w:cs="SimSun-Identity-H"/>
          <w:kern w:val="0"/>
          <w:sz w:val="24"/>
        </w:rPr>
        <w:t>）核查基础资料是否齐全，费率、定额取值及套用是否合理。</w:t>
      </w:r>
    </w:p>
    <w:p>
      <w:pPr>
        <w:pStyle w:val="19"/>
        <w:spacing w:after="0" w:line="360" w:lineRule="auto"/>
        <w:ind w:left="0" w:leftChars="0" w:firstLine="480" w:firstLineChars="200"/>
        <w:rPr>
          <w:rFonts w:ascii="宋体" w:hAnsi="宋体" w:cs="SimSun-Identity-H"/>
          <w:kern w:val="0"/>
          <w:sz w:val="24"/>
        </w:rPr>
      </w:pPr>
      <w:r>
        <w:rPr>
          <w:rFonts w:hint="eastAsia" w:ascii="宋体" w:hAnsi="宋体" w:cs="SimSun-Identity-H"/>
          <w:kern w:val="0"/>
          <w:sz w:val="24"/>
        </w:rPr>
        <w:t>（4</w:t>
      </w:r>
      <w:r>
        <w:rPr>
          <w:rFonts w:ascii="宋体" w:hAnsi="宋体" w:cs="SimSun-Identity-H"/>
          <w:kern w:val="0"/>
          <w:sz w:val="24"/>
        </w:rPr>
        <w:t>）核查主要施工图预算指标是否合理。</w:t>
      </w:r>
    </w:p>
    <w:p>
      <w:pPr>
        <w:pStyle w:val="19"/>
        <w:spacing w:after="0" w:line="360" w:lineRule="auto"/>
        <w:ind w:left="0" w:leftChars="0" w:firstLine="480" w:firstLineChars="200"/>
        <w:rPr>
          <w:rFonts w:ascii="宋体" w:hAnsi="宋体" w:cs="SimSun-Identity-H"/>
          <w:kern w:val="0"/>
          <w:sz w:val="24"/>
        </w:rPr>
      </w:pPr>
      <w:r>
        <w:rPr>
          <w:rFonts w:hint="eastAsia" w:ascii="宋体" w:hAnsi="宋体" w:cs="SimSun-Identity-H"/>
          <w:kern w:val="0"/>
          <w:sz w:val="24"/>
        </w:rPr>
        <w:t>（5</w:t>
      </w:r>
      <w:r>
        <w:rPr>
          <w:rFonts w:ascii="宋体" w:hAnsi="宋体" w:cs="SimSun-Identity-H"/>
          <w:kern w:val="0"/>
          <w:sz w:val="24"/>
        </w:rPr>
        <w:t>）核查材料单价是否与市场价相符。</w:t>
      </w:r>
    </w:p>
    <w:p>
      <w:pPr>
        <w:pStyle w:val="19"/>
        <w:spacing w:after="0" w:line="360" w:lineRule="auto"/>
        <w:ind w:left="0" w:leftChars="0" w:firstLine="480" w:firstLineChars="200"/>
        <w:rPr>
          <w:rFonts w:ascii="宋体" w:hAnsi="宋体" w:cs="SimSun-Identity-H"/>
          <w:kern w:val="0"/>
          <w:sz w:val="24"/>
        </w:rPr>
      </w:pPr>
      <w:r>
        <w:rPr>
          <w:rFonts w:hint="eastAsia" w:ascii="宋体" w:hAnsi="宋体" w:cs="SimSun-Identity-H"/>
          <w:kern w:val="0"/>
          <w:sz w:val="24"/>
        </w:rPr>
        <w:t>（6</w:t>
      </w:r>
      <w:r>
        <w:rPr>
          <w:rFonts w:ascii="宋体" w:hAnsi="宋体" w:cs="SimSun-Identity-H"/>
          <w:kern w:val="0"/>
          <w:sz w:val="24"/>
        </w:rPr>
        <w:t>）审核造价编制考虑的施工组织方案的经济合理性。</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（7</w:t>
      </w:r>
      <w:r>
        <w:rPr>
          <w:rFonts w:ascii="宋体" w:hAnsi="宋体" w:cs="SimSun-Identity-H"/>
          <w:kern w:val="0"/>
          <w:sz w:val="24"/>
        </w:rPr>
        <w:t>）具体核查</w:t>
      </w:r>
      <w:r>
        <w:rPr>
          <w:rFonts w:hint="eastAsia" w:ascii="宋体" w:hAnsi="宋体" w:cs="SimSun-Identity-H"/>
          <w:kern w:val="0"/>
          <w:sz w:val="24"/>
        </w:rPr>
        <w:t>各专业工程</w:t>
      </w:r>
      <w:r>
        <w:rPr>
          <w:rFonts w:ascii="宋体" w:hAnsi="宋体" w:cs="SimSun-Identity-H"/>
          <w:kern w:val="0"/>
          <w:sz w:val="24"/>
        </w:rPr>
        <w:t>具体工程建安费中，预算编制是否有误，是否存在漏计或重复现象。</w:t>
      </w:r>
    </w:p>
    <w:p>
      <w:pPr>
        <w:wordWrap w:val="0"/>
        <w:topLinePunct/>
        <w:spacing w:line="360" w:lineRule="auto"/>
        <w:ind w:firstLine="482" w:firstLineChars="200"/>
        <w:contextualSpacing/>
        <w:jc w:val="left"/>
        <w:textAlignment w:val="baseline"/>
        <w:rPr>
          <w:rFonts w:ascii="宋体" w:hAnsi="宋体" w:cs="SimSun-Identity-H"/>
          <w:b/>
          <w:kern w:val="0"/>
          <w:sz w:val="24"/>
        </w:rPr>
      </w:pPr>
      <w:r>
        <w:rPr>
          <w:rFonts w:hint="eastAsia" w:ascii="宋体" w:hAnsi="宋体" w:cs="SimSun-Identity-H"/>
          <w:b/>
          <w:kern w:val="0"/>
          <w:sz w:val="24"/>
        </w:rPr>
        <w:t>1.3 勘察设计咨询服务的要求</w:t>
      </w:r>
      <w:bookmarkEnd w:id="493"/>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494" w:name="_Toc429404128"/>
      <w:bookmarkStart w:id="495" w:name="_Toc441148723"/>
      <w:r>
        <w:rPr>
          <w:rFonts w:hint="eastAsia" w:ascii="宋体" w:hAnsi="宋体" w:cs="SimSun-Identity-H"/>
          <w:kern w:val="0"/>
          <w:sz w:val="24"/>
        </w:rPr>
        <w:t>1.3.1 符合国家和广东省交通运输厅的相关规定；</w:t>
      </w:r>
      <w:bookmarkEnd w:id="494"/>
      <w:bookmarkEnd w:id="495"/>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496" w:name="_Toc429404129"/>
      <w:bookmarkStart w:id="497" w:name="_Toc441148724"/>
      <w:r>
        <w:rPr>
          <w:rFonts w:hint="eastAsia" w:ascii="宋体" w:hAnsi="宋体" w:cs="SimSun-Identity-H"/>
          <w:kern w:val="0"/>
          <w:sz w:val="24"/>
        </w:rPr>
        <w:t>1.3.2 严格执行《发包人要求》的规定。</w:t>
      </w:r>
      <w:bookmarkEnd w:id="496"/>
      <w:bookmarkEnd w:id="497"/>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498" w:name="_Toc441148725"/>
      <w:r>
        <w:rPr>
          <w:rFonts w:hint="eastAsia" w:ascii="宋体" w:hAnsi="宋体" w:cs="SimSun-Identity-H"/>
          <w:kern w:val="0"/>
          <w:sz w:val="24"/>
        </w:rPr>
        <w:t>1.3.3 出具满足交通主管部门勘察设计咨询文件评审要求的咨询文件。</w:t>
      </w:r>
      <w:bookmarkEnd w:id="498"/>
    </w:p>
    <w:p>
      <w:pPr>
        <w:wordWrap w:val="0"/>
        <w:topLinePunct/>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1.3.4如项目涉及铁路、公路、水利等其他行业的，除满足交通主管部门的要求外，其他涉及铁路、公路、水利方面也应当满足相应行业主管部门的要求和规定。</w:t>
      </w:r>
    </w:p>
    <w:p>
      <w:pPr>
        <w:wordWrap w:val="0"/>
        <w:topLinePunct/>
        <w:spacing w:line="360" w:lineRule="auto"/>
        <w:ind w:firstLine="482" w:firstLineChars="200"/>
        <w:contextualSpacing/>
        <w:jc w:val="left"/>
        <w:textAlignment w:val="baseline"/>
        <w:rPr>
          <w:rFonts w:ascii="宋体" w:hAnsi="宋体" w:cs="SimSun-Identity-H"/>
          <w:b/>
          <w:kern w:val="0"/>
          <w:sz w:val="24"/>
        </w:rPr>
      </w:pPr>
      <w:bookmarkStart w:id="499" w:name="_Toc441148726"/>
      <w:r>
        <w:rPr>
          <w:rFonts w:hint="eastAsia" w:ascii="宋体" w:hAnsi="宋体" w:cs="SimSun-Identity-H"/>
          <w:b/>
          <w:kern w:val="0"/>
          <w:sz w:val="24"/>
        </w:rPr>
        <w:t>1.4 勘察设计咨询服务的方式</w:t>
      </w:r>
      <w:bookmarkEnd w:id="499"/>
    </w:p>
    <w:p>
      <w:pPr>
        <w:wordWrap w:val="0"/>
        <w:topLinePunct/>
        <w:spacing w:line="360" w:lineRule="auto"/>
        <w:ind w:firstLine="480" w:firstLineChars="200"/>
        <w:contextualSpacing/>
        <w:jc w:val="left"/>
        <w:textAlignment w:val="baseline"/>
        <w:rPr>
          <w:rFonts w:ascii="宋体" w:hAnsi="宋体" w:cs="SimSun-Identity-H"/>
          <w:b/>
          <w:kern w:val="0"/>
          <w:sz w:val="24"/>
        </w:rPr>
      </w:pPr>
      <w:bookmarkStart w:id="500" w:name="_Toc441148727"/>
      <w:r>
        <w:rPr>
          <w:rFonts w:hint="eastAsia" w:ascii="宋体" w:hAnsi="宋体" w:cs="SimSun-Identity-H"/>
          <w:bCs/>
          <w:kern w:val="0"/>
          <w:sz w:val="24"/>
        </w:rPr>
        <w:t>1.4.1 通过现场勘查和收集资料，根据设计单位提供的设计资料和相关数据进行分析，计算、研究，提供咨询报告并附上相关图表，协助发包人完成本项目初步设计和施工图设计的批复工作。</w:t>
      </w:r>
      <w:bookmarkEnd w:id="500"/>
    </w:p>
    <w:p>
      <w:pPr>
        <w:wordWrap w:val="0"/>
        <w:topLinePunct/>
        <w:spacing w:line="360" w:lineRule="auto"/>
        <w:ind w:firstLine="482" w:firstLineChars="200"/>
        <w:contextualSpacing/>
        <w:jc w:val="left"/>
        <w:textAlignment w:val="baseline"/>
        <w:rPr>
          <w:rFonts w:ascii="宋体" w:hAnsi="宋体" w:cs="SimSun-Identity-H"/>
          <w:b/>
          <w:kern w:val="0"/>
          <w:sz w:val="24"/>
        </w:rPr>
      </w:pPr>
      <w:bookmarkStart w:id="501" w:name="_Toc429404108"/>
      <w:bookmarkStart w:id="502" w:name="_Toc441148728"/>
      <w:r>
        <w:rPr>
          <w:rFonts w:ascii="宋体" w:hAnsi="宋体" w:cs="SimSun-Identity-H"/>
          <w:b/>
          <w:kern w:val="0"/>
          <w:sz w:val="24"/>
        </w:rPr>
        <w:t>1.</w:t>
      </w:r>
      <w:r>
        <w:rPr>
          <w:rFonts w:hint="eastAsia" w:ascii="宋体" w:hAnsi="宋体" w:cs="SimSun-Identity-H"/>
          <w:b/>
          <w:kern w:val="0"/>
          <w:sz w:val="24"/>
        </w:rPr>
        <w:t>5 勘察设计咨询服务的依据</w:t>
      </w:r>
      <w:bookmarkEnd w:id="501"/>
      <w:bookmarkEnd w:id="502"/>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03" w:name="_Toc429404109"/>
      <w:bookmarkStart w:id="504" w:name="_Toc441148729"/>
      <w:r>
        <w:rPr>
          <w:rFonts w:hint="eastAsia" w:ascii="宋体" w:hAnsi="宋体" w:cs="SimSun-Identity-H"/>
          <w:kern w:val="0"/>
          <w:sz w:val="24"/>
        </w:rPr>
        <w:t>1.5.1 发包人与咨询单位签订的《勘察设计咨询合同》；</w:t>
      </w:r>
      <w:bookmarkEnd w:id="503"/>
      <w:bookmarkEnd w:id="504"/>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05" w:name="_Toc429404110"/>
      <w:bookmarkStart w:id="506" w:name="_Toc441148730"/>
      <w:r>
        <w:rPr>
          <w:rFonts w:hint="eastAsia" w:ascii="宋体" w:hAnsi="宋体" w:cs="SimSun-Identity-H"/>
          <w:kern w:val="0"/>
          <w:sz w:val="24"/>
        </w:rPr>
        <w:t>1.5.2 发包人与设计单位签订的《勘察设计合同》；</w:t>
      </w:r>
      <w:bookmarkEnd w:id="505"/>
      <w:bookmarkEnd w:id="506"/>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07" w:name="_Toc429404111"/>
      <w:bookmarkStart w:id="508" w:name="_Toc441148731"/>
      <w:r>
        <w:rPr>
          <w:rFonts w:hint="eastAsia" w:ascii="宋体" w:hAnsi="宋体" w:cs="SimSun-Identity-H"/>
          <w:kern w:val="0"/>
          <w:sz w:val="24"/>
        </w:rPr>
        <w:t>1.5.3 国家、交通运输部及广东省交通运输厅有关交通基本建设的法律、法规及规定；</w:t>
      </w:r>
      <w:bookmarkEnd w:id="507"/>
      <w:bookmarkEnd w:id="508"/>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09" w:name="_Toc429404112"/>
      <w:bookmarkStart w:id="510" w:name="_Toc441148732"/>
      <w:r>
        <w:rPr>
          <w:rFonts w:hint="eastAsia" w:ascii="宋体" w:hAnsi="宋体" w:cs="SimSun-Identity-H"/>
          <w:kern w:val="0"/>
          <w:sz w:val="24"/>
        </w:rPr>
        <w:t>1.5.4 国家、交通运输部颁布的规范、规程、技术标准以及发包人要求参照执行的相关行业规范、规程；</w:t>
      </w:r>
      <w:bookmarkEnd w:id="509"/>
      <w:bookmarkEnd w:id="510"/>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11" w:name="_Toc429404113"/>
      <w:bookmarkStart w:id="512" w:name="_Toc441148733"/>
      <w:r>
        <w:rPr>
          <w:rFonts w:hint="eastAsia" w:ascii="宋体" w:hAnsi="宋体" w:cs="SimSun-Identity-H"/>
          <w:kern w:val="0"/>
          <w:sz w:val="24"/>
        </w:rPr>
        <w:t>1.5.5 发包人及其主管部门下发的工程可行性研究报告、技术文件、审查报告及批复意见，发包人对设计的强制性要求等；</w:t>
      </w:r>
      <w:bookmarkEnd w:id="511"/>
      <w:bookmarkEnd w:id="512"/>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13" w:name="_Toc441148734"/>
      <w:bookmarkStart w:id="514" w:name="_Toc429404114"/>
      <w:r>
        <w:rPr>
          <w:rFonts w:hint="eastAsia" w:ascii="宋体" w:hAnsi="宋体" w:cs="SimSun-Identity-H"/>
          <w:kern w:val="0"/>
          <w:sz w:val="24"/>
        </w:rPr>
        <w:t>1.5.6 项目勘察设计咨询过程中，发包人组织的技术讨论会、审查会等会议纪要；</w:t>
      </w:r>
      <w:bookmarkEnd w:id="513"/>
      <w:bookmarkEnd w:id="514"/>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15" w:name="_Toc441148735"/>
      <w:bookmarkStart w:id="516" w:name="_Toc429404115"/>
      <w:r>
        <w:rPr>
          <w:rFonts w:hint="eastAsia" w:ascii="宋体" w:hAnsi="宋体" w:cs="SimSun-Identity-H"/>
          <w:kern w:val="0"/>
          <w:sz w:val="24"/>
        </w:rPr>
        <w:t>1.5.7 发包人对设计单位及咨询单位的文字性要求、指令、函电等；</w:t>
      </w:r>
      <w:bookmarkEnd w:id="515"/>
      <w:bookmarkEnd w:id="516"/>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17" w:name="_Toc429404116"/>
      <w:bookmarkStart w:id="518" w:name="_Toc441148736"/>
      <w:r>
        <w:rPr>
          <w:rFonts w:hint="eastAsia" w:ascii="宋体" w:hAnsi="宋体" w:cs="SimSun-Identity-H"/>
          <w:kern w:val="0"/>
          <w:sz w:val="24"/>
        </w:rPr>
        <w:t>1.5.8 项目勘察设计咨询过程中，设计单位提交发包人的各类《工作大纲》及中间设计成果等。</w:t>
      </w:r>
      <w:bookmarkEnd w:id="517"/>
      <w:bookmarkEnd w:id="518"/>
    </w:p>
    <w:p>
      <w:pPr>
        <w:wordWrap w:val="0"/>
        <w:topLinePunct/>
        <w:spacing w:line="360" w:lineRule="auto"/>
        <w:contextualSpacing/>
        <w:jc w:val="center"/>
        <w:textAlignment w:val="baseline"/>
        <w:rPr>
          <w:rFonts w:ascii="黑体" w:hAnsi="黑体" w:eastAsia="黑体" w:cs="SimSun-Identity-H"/>
          <w:kern w:val="0"/>
          <w:sz w:val="28"/>
          <w:szCs w:val="28"/>
        </w:rPr>
      </w:pPr>
      <w:bookmarkStart w:id="519" w:name="_Toc429404130"/>
      <w:r>
        <w:rPr>
          <w:rFonts w:hint="eastAsia" w:ascii="黑体" w:hAnsi="黑体" w:eastAsia="黑体" w:cs="SimSun-Identity-H"/>
          <w:kern w:val="0"/>
          <w:sz w:val="28"/>
          <w:szCs w:val="28"/>
        </w:rPr>
        <w:t xml:space="preserve">第二条 </w:t>
      </w:r>
      <w:bookmarkStart w:id="520" w:name="_Toc441148737"/>
      <w:r>
        <w:rPr>
          <w:rFonts w:hint="eastAsia" w:ascii="黑体" w:hAnsi="黑体" w:eastAsia="黑体" w:cs="SimSun-Identity-H"/>
          <w:kern w:val="0"/>
          <w:sz w:val="28"/>
          <w:szCs w:val="28"/>
        </w:rPr>
        <w:t>发包人和咨询单位的责任和义务</w:t>
      </w:r>
      <w:bookmarkEnd w:id="519"/>
      <w:bookmarkEnd w:id="520"/>
    </w:p>
    <w:p>
      <w:pPr>
        <w:wordWrap w:val="0"/>
        <w:topLinePunct/>
        <w:spacing w:line="360" w:lineRule="auto"/>
        <w:ind w:firstLine="482" w:firstLineChars="200"/>
        <w:contextualSpacing/>
        <w:jc w:val="left"/>
        <w:textAlignment w:val="baseline"/>
        <w:rPr>
          <w:rFonts w:ascii="宋体" w:hAnsi="宋体" w:cs="SimSun-Identity-H"/>
          <w:b/>
          <w:kern w:val="0"/>
          <w:sz w:val="24"/>
        </w:rPr>
      </w:pPr>
      <w:bookmarkStart w:id="521" w:name="_Toc441148738"/>
      <w:r>
        <w:rPr>
          <w:rFonts w:hint="eastAsia" w:ascii="宋体" w:hAnsi="宋体" w:cs="SimSun-Identity-H"/>
          <w:b/>
          <w:kern w:val="0"/>
          <w:sz w:val="24"/>
        </w:rPr>
        <w:t>2.1 发包人的责任和义务</w:t>
      </w:r>
      <w:bookmarkEnd w:id="521"/>
    </w:p>
    <w:p>
      <w:pPr>
        <w:wordWrap w:val="0"/>
        <w:topLinePunct/>
        <w:spacing w:line="360" w:lineRule="auto"/>
        <w:ind w:firstLine="480" w:firstLineChars="200"/>
        <w:contextualSpacing/>
        <w:jc w:val="left"/>
        <w:textAlignment w:val="baseline"/>
        <w:rPr>
          <w:rFonts w:ascii="宋体" w:hAnsi="宋体" w:cs="SimSun-Identity-H"/>
          <w:bCs/>
          <w:kern w:val="0"/>
          <w:sz w:val="24"/>
        </w:rPr>
      </w:pPr>
      <w:bookmarkStart w:id="522" w:name="_Toc441148739"/>
      <w:r>
        <w:rPr>
          <w:rFonts w:hint="eastAsia" w:ascii="宋体" w:hAnsi="宋体" w:cs="SimSun-Identity-H"/>
          <w:bCs/>
          <w:kern w:val="0"/>
          <w:sz w:val="24"/>
        </w:rPr>
        <w:t>2.1.1  发包人应严格履行基本建设程序，根据本工程的具体情况和技术要求，确定合同的勘察设计咨询周期，并按合同有关规定及时支付勘察设计咨询费用。</w:t>
      </w:r>
      <w:bookmarkEnd w:id="522"/>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23" w:name="_Toc441148740"/>
      <w:r>
        <w:rPr>
          <w:rFonts w:hint="eastAsia" w:ascii="宋体" w:hAnsi="宋体" w:cs="SimSun-Identity-H"/>
          <w:kern w:val="0"/>
          <w:sz w:val="24"/>
        </w:rPr>
        <w:t>2.1.2 发包人不得以任何理由要求咨询单位从事违反法律、法规、政策和有关强制性技术标准的工作，不得授意咨询单位提出不真实的咨询意见。</w:t>
      </w:r>
      <w:bookmarkEnd w:id="523"/>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24" w:name="_Toc441148741"/>
      <w:r>
        <w:rPr>
          <w:rFonts w:hint="eastAsia" w:ascii="宋体" w:hAnsi="宋体" w:cs="SimSun-Identity-H"/>
          <w:kern w:val="0"/>
          <w:sz w:val="24"/>
        </w:rPr>
        <w:t xml:space="preserve">2.1.3 </w:t>
      </w:r>
      <w:bookmarkStart w:id="525" w:name="_Toc429404154"/>
      <w:r>
        <w:rPr>
          <w:rFonts w:hint="eastAsia" w:ascii="宋体" w:hAnsi="宋体" w:cs="SimSun-Identity-H"/>
          <w:kern w:val="0"/>
          <w:sz w:val="24"/>
        </w:rPr>
        <w:t>对有异议的咨询意见，发包人有权组织专家论证确定，所产生的费用由</w:t>
      </w:r>
      <w:r>
        <w:rPr>
          <w:rFonts w:ascii="宋体" w:hAnsi="宋体" w:cs="SimSun-Identity-H"/>
          <w:kern w:val="0"/>
          <w:sz w:val="24"/>
        </w:rPr>
        <w:t>责任方</w:t>
      </w:r>
      <w:r>
        <w:rPr>
          <w:rFonts w:hint="eastAsia" w:ascii="宋体" w:hAnsi="宋体" w:cs="SimSun-Identity-H"/>
          <w:kern w:val="0"/>
          <w:sz w:val="24"/>
        </w:rPr>
        <w:t>承担。</w:t>
      </w:r>
      <w:bookmarkEnd w:id="524"/>
      <w:bookmarkEnd w:id="525"/>
      <w:bookmarkStart w:id="526" w:name="_Toc429404131"/>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27" w:name="_Toc441148742"/>
      <w:r>
        <w:rPr>
          <w:rFonts w:hint="eastAsia" w:ascii="宋体" w:hAnsi="宋体" w:cs="SimSun-Identity-H"/>
          <w:kern w:val="0"/>
          <w:sz w:val="24"/>
        </w:rPr>
        <w:t xml:space="preserve">2.1.4 </w:t>
      </w:r>
      <w:bookmarkStart w:id="528" w:name="_Toc429404140"/>
      <w:r>
        <w:rPr>
          <w:rFonts w:hint="eastAsia" w:ascii="宋体" w:hAnsi="宋体" w:cs="SimSun-Identity-H"/>
          <w:kern w:val="0"/>
          <w:sz w:val="24"/>
        </w:rPr>
        <w:t>发包人应督促设计人及时将设计文件（包括各阶段的成果文件及过程文件）提交给勘察设计咨询单位，使咨询单位能及时开展咨询审查工作。</w:t>
      </w:r>
      <w:bookmarkEnd w:id="527"/>
      <w:bookmarkEnd w:id="528"/>
    </w:p>
    <w:p>
      <w:pPr>
        <w:wordWrap w:val="0"/>
        <w:topLinePunct/>
        <w:spacing w:line="360" w:lineRule="auto"/>
        <w:ind w:firstLine="482" w:firstLineChars="200"/>
        <w:contextualSpacing/>
        <w:jc w:val="left"/>
        <w:textAlignment w:val="baseline"/>
        <w:rPr>
          <w:rFonts w:ascii="宋体" w:hAnsi="宋体" w:cs="宋体"/>
          <w:b/>
          <w:bCs/>
          <w:kern w:val="0"/>
          <w:sz w:val="24"/>
        </w:rPr>
      </w:pPr>
      <w:bookmarkStart w:id="529" w:name="_Toc441148743"/>
      <w:r>
        <w:rPr>
          <w:rFonts w:hint="eastAsia" w:ascii="宋体" w:hAnsi="宋体" w:cs="宋体"/>
          <w:b/>
          <w:bCs/>
          <w:kern w:val="0"/>
          <w:sz w:val="24"/>
        </w:rPr>
        <w:t>2.2 咨询单位的责任和义务</w:t>
      </w:r>
      <w:bookmarkEnd w:id="526"/>
      <w:bookmarkEnd w:id="529"/>
      <w:bookmarkStart w:id="530" w:name="_Toc429404141"/>
      <w:bookmarkStart w:id="531" w:name="_Toc441148744"/>
    </w:p>
    <w:p>
      <w:pPr>
        <w:wordWrap w:val="0"/>
        <w:topLinePunct/>
        <w:spacing w:line="360" w:lineRule="auto"/>
        <w:ind w:firstLine="480" w:firstLineChars="200"/>
        <w:contextualSpacing/>
        <w:jc w:val="left"/>
        <w:textAlignment w:val="baseline"/>
        <w:rPr>
          <w:rFonts w:ascii="宋体" w:hAnsi="宋体" w:cs="宋体"/>
          <w:b/>
          <w:bCs/>
          <w:kern w:val="0"/>
          <w:sz w:val="24"/>
        </w:rPr>
      </w:pPr>
      <w:r>
        <w:rPr>
          <w:rFonts w:ascii="宋体" w:hAnsi="宋体" w:cs="SimSun-Identity-H"/>
          <w:kern w:val="0"/>
          <w:sz w:val="24"/>
        </w:rPr>
        <w:t>2.</w:t>
      </w:r>
      <w:r>
        <w:rPr>
          <w:rFonts w:hint="eastAsia" w:ascii="宋体" w:hAnsi="宋体" w:cs="SimSun-Identity-H"/>
          <w:kern w:val="0"/>
          <w:sz w:val="24"/>
        </w:rPr>
        <w:t>2.1 咨询单位应根据本合同工程项目的具体情况，按照国家有关工程建设标准、强制性条文和交通部关于设计方面的现行技术标准、规范、规程、定额、办法、示例等有关规定，并按咨询服务要点的要求完成本合同工程的勘察设计咨询工作。在咨询过程中，如果国家或有关部门颁布了新的标准或规范，咨询单位必须执行。</w:t>
      </w:r>
      <w:bookmarkEnd w:id="530"/>
      <w:bookmarkEnd w:id="531"/>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32" w:name="_Toc429404142"/>
      <w:bookmarkStart w:id="533" w:name="_Toc441148745"/>
      <w:r>
        <w:rPr>
          <w:rFonts w:ascii="宋体" w:hAnsi="宋体" w:cs="SimSun-Identity-H"/>
          <w:kern w:val="0"/>
          <w:sz w:val="24"/>
        </w:rPr>
        <w:t>2.</w:t>
      </w:r>
      <w:r>
        <w:rPr>
          <w:rFonts w:hint="eastAsia" w:ascii="宋体" w:hAnsi="宋体" w:cs="SimSun-Identity-H"/>
          <w:kern w:val="0"/>
          <w:sz w:val="24"/>
        </w:rPr>
        <w:t>2.2 咨询单位应在咨询过程中主动与发包人及勘察设计单位沟通，如果咨询单位与设计单位有重大不同意见或发现设计有重大遗漏时应及时通知发包人和设计单位，及时对设计文件及主要的工程数量表进行核查，避免评审阶段出现重大咨询调整，以减少设计工作的反复，加快项目推进。</w:t>
      </w:r>
      <w:bookmarkEnd w:id="532"/>
      <w:bookmarkEnd w:id="533"/>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34" w:name="_Toc441148746"/>
      <w:bookmarkStart w:id="535" w:name="_Toc429404143"/>
      <w:r>
        <w:rPr>
          <w:rFonts w:ascii="宋体" w:hAnsi="宋体" w:cs="SimSun-Identity-H"/>
          <w:kern w:val="0"/>
          <w:sz w:val="24"/>
        </w:rPr>
        <w:t>2.</w:t>
      </w:r>
      <w:r>
        <w:rPr>
          <w:rFonts w:hint="eastAsia" w:ascii="宋体" w:hAnsi="宋体" w:cs="SimSun-Identity-H"/>
          <w:kern w:val="0"/>
          <w:sz w:val="24"/>
        </w:rPr>
        <w:t>2.3</w:t>
      </w:r>
      <w:bookmarkEnd w:id="534"/>
      <w:bookmarkEnd w:id="535"/>
      <w:r>
        <w:rPr>
          <w:rFonts w:hint="eastAsia" w:ascii="宋体" w:hAnsi="宋体" w:cs="SimSun-Identity-H"/>
          <w:kern w:val="0"/>
          <w:sz w:val="24"/>
        </w:rPr>
        <w:t>咨询单位应按合同履行职责，配备经验丰富、数量足够的技术人员，确保工作深度。在合同规定的咨询审查工作阶段中，除对勘察设计文件进行室内咨询外，还应按交通主管部门和发包人的要求的现场调研、方案论证、外业验收、专项审查以及重要技术会议等进行现场咨询审查，在规定的时间内提交符合要求的咨询成果。</w:t>
      </w:r>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36" w:name="_Toc429404146"/>
      <w:bookmarkStart w:id="537" w:name="_Toc441148748"/>
      <w:r>
        <w:rPr>
          <w:rFonts w:ascii="宋体" w:hAnsi="宋体" w:cs="SimSun-Identity-H"/>
          <w:kern w:val="0"/>
          <w:sz w:val="24"/>
        </w:rPr>
        <w:t>2.</w:t>
      </w:r>
      <w:r>
        <w:rPr>
          <w:rFonts w:hint="eastAsia" w:ascii="宋体" w:hAnsi="宋体" w:cs="SimSun-Identity-H"/>
          <w:kern w:val="0"/>
          <w:sz w:val="24"/>
        </w:rPr>
        <w:t>2.4 在设计文件经咨询单位审查或经设计评审会评审修改完善后，咨询单位应对修改完善后的设计文件</w:t>
      </w:r>
      <w:bookmarkEnd w:id="536"/>
      <w:bookmarkStart w:id="538" w:name="_Toc429404147"/>
      <w:r>
        <w:rPr>
          <w:rFonts w:hint="eastAsia" w:ascii="宋体" w:hAnsi="宋体" w:cs="SimSun-Identity-H"/>
          <w:kern w:val="0"/>
          <w:sz w:val="24"/>
        </w:rPr>
        <w:t>进行核查</w:t>
      </w:r>
      <w:bookmarkEnd w:id="538"/>
      <w:bookmarkStart w:id="539" w:name="_Toc429404148"/>
      <w:r>
        <w:rPr>
          <w:rFonts w:hint="eastAsia" w:ascii="宋体" w:hAnsi="宋体" w:cs="SimSun-Identity-H"/>
          <w:kern w:val="0"/>
          <w:sz w:val="24"/>
        </w:rPr>
        <w:t>。</w:t>
      </w:r>
      <w:bookmarkEnd w:id="537"/>
      <w:bookmarkEnd w:id="539"/>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40" w:name="_Toc429404149"/>
      <w:bookmarkStart w:id="541" w:name="_Toc441148749"/>
      <w:r>
        <w:rPr>
          <w:rFonts w:ascii="宋体" w:hAnsi="宋体" w:cs="SimSun-Identity-H"/>
          <w:kern w:val="0"/>
          <w:sz w:val="24"/>
        </w:rPr>
        <w:t>2.</w:t>
      </w:r>
      <w:r>
        <w:rPr>
          <w:rFonts w:hint="eastAsia" w:ascii="宋体" w:hAnsi="宋体" w:cs="SimSun-Identity-H"/>
          <w:kern w:val="0"/>
          <w:sz w:val="24"/>
        </w:rPr>
        <w:t>2.5咨询单位必须公正地从事咨询工作，对咨询报告的客观性和准确性负责，不准利用</w:t>
      </w:r>
      <w:bookmarkEnd w:id="540"/>
      <w:bookmarkStart w:id="542" w:name="_Toc429404150"/>
      <w:r>
        <w:rPr>
          <w:rFonts w:hint="eastAsia" w:ascii="宋体" w:hAnsi="宋体" w:cs="SimSun-Identity-H"/>
          <w:kern w:val="0"/>
          <w:sz w:val="24"/>
        </w:rPr>
        <w:t>其身份搞不正当的活动。</w:t>
      </w:r>
      <w:bookmarkEnd w:id="541"/>
      <w:bookmarkEnd w:id="542"/>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43" w:name="_Toc429404151"/>
      <w:bookmarkStart w:id="544" w:name="_Toc441148750"/>
      <w:r>
        <w:rPr>
          <w:rFonts w:ascii="宋体" w:hAnsi="宋体" w:cs="SimSun-Identity-H"/>
          <w:kern w:val="0"/>
          <w:sz w:val="24"/>
        </w:rPr>
        <w:t>2.</w:t>
      </w:r>
      <w:r>
        <w:rPr>
          <w:rFonts w:hint="eastAsia" w:ascii="宋体" w:hAnsi="宋体" w:cs="SimSun-Identity-H"/>
          <w:kern w:val="0"/>
          <w:sz w:val="24"/>
        </w:rPr>
        <w:t>2.6咨询单位有权要求设计单位提供咨询服务工作所必要的有关资料；设计单位应当</w:t>
      </w:r>
      <w:bookmarkEnd w:id="543"/>
      <w:bookmarkStart w:id="545" w:name="_Toc429404152"/>
      <w:r>
        <w:rPr>
          <w:rFonts w:hint="eastAsia" w:ascii="宋体" w:hAnsi="宋体" w:cs="SimSun-Identity-H"/>
          <w:kern w:val="0"/>
          <w:sz w:val="24"/>
        </w:rPr>
        <w:t>按要求提供该项目各阶段的有关资料（含核心技术资料）。咨询单位有责任和义务对所提供</w:t>
      </w:r>
      <w:bookmarkEnd w:id="545"/>
      <w:bookmarkStart w:id="546" w:name="_Toc429404153"/>
      <w:r>
        <w:rPr>
          <w:rFonts w:hint="eastAsia" w:ascii="宋体" w:hAnsi="宋体" w:cs="SimSun-Identity-H"/>
          <w:kern w:val="0"/>
          <w:sz w:val="24"/>
        </w:rPr>
        <w:t>的资料做好保密工作，不得对外披露或泄漏并不得使用于其他项目。</w:t>
      </w:r>
      <w:bookmarkEnd w:id="544"/>
      <w:bookmarkEnd w:id="546"/>
      <w:bookmarkStart w:id="547" w:name="_Toc429404155"/>
      <w:bookmarkStart w:id="548" w:name="_Toc441148751"/>
    </w:p>
    <w:p>
      <w:pPr>
        <w:wordWrap w:val="0"/>
        <w:topLinePunct/>
        <w:spacing w:line="360" w:lineRule="auto"/>
        <w:ind w:firstLine="480" w:firstLineChars="200"/>
        <w:contextualSpacing/>
        <w:jc w:val="left"/>
        <w:textAlignment w:val="baseline"/>
        <w:rPr>
          <w:rFonts w:ascii="宋体" w:hAnsi="宋体" w:cs="SimSun-Identity-H"/>
          <w:kern w:val="0"/>
          <w:sz w:val="24"/>
        </w:rPr>
      </w:pPr>
      <w:r>
        <w:rPr>
          <w:rFonts w:ascii="宋体" w:hAnsi="宋体" w:cs="SimSun-Identity-H"/>
          <w:kern w:val="0"/>
          <w:sz w:val="24"/>
        </w:rPr>
        <w:t>2.</w:t>
      </w:r>
      <w:r>
        <w:rPr>
          <w:rFonts w:hint="eastAsia" w:ascii="宋体" w:hAnsi="宋体" w:cs="SimSun-Identity-H"/>
          <w:kern w:val="0"/>
          <w:sz w:val="24"/>
        </w:rPr>
        <w:t>2.7咨询单位应加强廉政建设，做好廉洁自律工作，为预防和遏制腐败现象的产生，</w:t>
      </w:r>
      <w:bookmarkEnd w:id="547"/>
      <w:bookmarkStart w:id="549" w:name="_Toc429404156"/>
      <w:r>
        <w:rPr>
          <w:rFonts w:hint="eastAsia" w:ascii="宋体" w:hAnsi="宋体" w:cs="SimSun-Identity-H"/>
          <w:kern w:val="0"/>
          <w:sz w:val="24"/>
        </w:rPr>
        <w:t>发包人和咨询单位在签订咨询合同书的同时，需按照本招标文件规定的格式和要求签订廉</w:t>
      </w:r>
      <w:bookmarkEnd w:id="549"/>
      <w:bookmarkStart w:id="550" w:name="_Toc429404157"/>
      <w:r>
        <w:rPr>
          <w:rFonts w:hint="eastAsia" w:ascii="宋体" w:hAnsi="宋体" w:cs="SimSun-Identity-H"/>
          <w:kern w:val="0"/>
          <w:sz w:val="24"/>
        </w:rPr>
        <w:t>政合同，明确双方在廉政建设方面的权利、义务以及应承担的违约责任。</w:t>
      </w:r>
      <w:bookmarkEnd w:id="548"/>
      <w:bookmarkEnd w:id="550"/>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51" w:name="_Toc429404159"/>
      <w:bookmarkStart w:id="552" w:name="_Toc441148752"/>
      <w:r>
        <w:rPr>
          <w:rFonts w:ascii="宋体" w:hAnsi="宋体" w:cs="SimSun-Identity-H"/>
          <w:kern w:val="0"/>
          <w:sz w:val="24"/>
        </w:rPr>
        <w:t>2.</w:t>
      </w:r>
      <w:r>
        <w:rPr>
          <w:rFonts w:hint="eastAsia" w:ascii="宋体" w:hAnsi="宋体" w:cs="SimSun-Identity-H"/>
          <w:kern w:val="0"/>
          <w:sz w:val="24"/>
        </w:rPr>
        <w:t>2.8若咨询单位出现本合同6.2款的违约问题，发包人将视情况结合本合同第6.2款约定对咨询单位做出违约处罚。</w:t>
      </w:r>
      <w:bookmarkEnd w:id="551"/>
      <w:bookmarkEnd w:id="552"/>
    </w:p>
    <w:p>
      <w:pPr>
        <w:wordWrap w:val="0"/>
        <w:topLinePunct/>
        <w:spacing w:line="360" w:lineRule="auto"/>
        <w:ind w:firstLine="482" w:firstLineChars="200"/>
        <w:contextualSpacing/>
        <w:jc w:val="left"/>
        <w:textAlignment w:val="baseline"/>
        <w:rPr>
          <w:rFonts w:ascii="宋体" w:hAnsi="宋体" w:cs="SimSun-Identity-H"/>
          <w:b/>
          <w:bCs/>
          <w:kern w:val="0"/>
          <w:sz w:val="24"/>
        </w:rPr>
      </w:pPr>
    </w:p>
    <w:p>
      <w:pPr>
        <w:wordWrap w:val="0"/>
        <w:topLinePunct/>
        <w:spacing w:line="360" w:lineRule="auto"/>
        <w:contextualSpacing/>
        <w:jc w:val="center"/>
        <w:textAlignment w:val="baseline"/>
        <w:rPr>
          <w:rFonts w:ascii="黑体" w:hAnsi="黑体" w:eastAsia="黑体" w:cs="SimSun-Identity-H"/>
          <w:kern w:val="0"/>
          <w:sz w:val="28"/>
          <w:szCs w:val="28"/>
        </w:rPr>
      </w:pPr>
      <w:bookmarkStart w:id="553" w:name="_Toc441148753"/>
      <w:r>
        <w:rPr>
          <w:rFonts w:hint="eastAsia" w:ascii="黑体" w:hAnsi="黑体" w:eastAsia="黑体" w:cs="SimSun-Identity-H"/>
          <w:kern w:val="0"/>
          <w:sz w:val="28"/>
          <w:szCs w:val="28"/>
        </w:rPr>
        <w:t>第三条  勘察设计咨询工作周期及提交成果</w:t>
      </w:r>
      <w:bookmarkEnd w:id="553"/>
      <w:bookmarkStart w:id="554" w:name="_Toc429404133"/>
      <w:bookmarkStart w:id="555" w:name="_Toc429404160"/>
    </w:p>
    <w:p>
      <w:pPr>
        <w:wordWrap w:val="0"/>
        <w:topLinePunct/>
        <w:spacing w:line="360" w:lineRule="auto"/>
        <w:ind w:firstLine="482" w:firstLineChars="200"/>
        <w:contextualSpacing/>
        <w:jc w:val="left"/>
        <w:textAlignment w:val="baseline"/>
        <w:rPr>
          <w:rFonts w:ascii="宋体" w:hAnsi="宋体" w:cs="SimSun-Identity-H"/>
          <w:kern w:val="0"/>
          <w:sz w:val="24"/>
        </w:rPr>
      </w:pPr>
      <w:bookmarkStart w:id="556" w:name="_Toc441148754"/>
      <w:r>
        <w:rPr>
          <w:rFonts w:hint="eastAsia" w:ascii="宋体" w:hAnsi="宋体" w:cs="SimSun-Identity-H"/>
          <w:b/>
          <w:bCs/>
          <w:kern w:val="0"/>
          <w:sz w:val="24"/>
        </w:rPr>
        <w:t>3.1勘察设计咨询工作周期及提交成果</w:t>
      </w:r>
      <w:r>
        <w:rPr>
          <w:rStyle w:val="56"/>
          <w:rFonts w:ascii="宋体" w:hAnsi="宋体"/>
          <w:kern w:val="0"/>
          <w:sz w:val="32"/>
          <w:szCs w:val="32"/>
        </w:rPr>
        <w:footnoteReference w:id="66"/>
      </w:r>
      <w:r>
        <w:rPr>
          <w:rFonts w:hint="eastAsia" w:ascii="宋体" w:hAnsi="宋体" w:cs="SimSun-Identity-H"/>
          <w:kern w:val="0"/>
          <w:sz w:val="24"/>
        </w:rPr>
        <w:t>：</w:t>
      </w:r>
      <w:bookmarkEnd w:id="556"/>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57" w:name="_Toc441148755"/>
      <w:r>
        <w:rPr>
          <w:rFonts w:hint="eastAsia" w:ascii="宋体" w:hAnsi="宋体" w:cs="SimSun-Identity-H"/>
          <w:kern w:val="0"/>
          <w:sz w:val="24"/>
        </w:rPr>
        <w:t>勘察设计咨询工作采用成果咨询，</w:t>
      </w:r>
      <w:r>
        <w:rPr>
          <w:rFonts w:hint="eastAsia"/>
          <w:sz w:val="24"/>
        </w:rPr>
        <w:t>咨询服务期限</w:t>
      </w:r>
      <w:r>
        <w:rPr>
          <w:rFonts w:hint="eastAsia" w:ascii="宋体" w:hAnsi="宋体" w:cs="SimSun-Identity-H"/>
          <w:kern w:val="0"/>
          <w:sz w:val="24"/>
        </w:rPr>
        <w:t>从勘察设计咨询合同签订之日起</w:t>
      </w:r>
      <w:r>
        <w:rPr>
          <w:rFonts w:hint="eastAsia"/>
          <w:sz w:val="24"/>
        </w:rPr>
        <w:t>至</w:t>
      </w:r>
      <w:r>
        <w:rPr>
          <w:rFonts w:hint="eastAsia"/>
          <w:sz w:val="24"/>
          <w:u w:val="single"/>
        </w:rPr>
        <w:t>施工图设计正式批复止。</w:t>
      </w:r>
      <w:r>
        <w:rPr>
          <w:rFonts w:hint="eastAsia" w:ascii="宋体" w:hAnsi="宋体" w:cs="SimSun-Identity-H"/>
          <w:kern w:val="0"/>
          <w:sz w:val="24"/>
        </w:rPr>
        <w:t>咨询单位应在项目勘察设计咨询的全过程及时为发包人及勘察设计单位提供咨询意见。各阶段具体要求如下：</w:t>
      </w:r>
      <w:bookmarkEnd w:id="554"/>
      <w:bookmarkEnd w:id="557"/>
      <w:bookmarkStart w:id="558" w:name="_Toc429404134"/>
    </w:p>
    <w:p>
      <w:pPr>
        <w:wordWrap w:val="0"/>
        <w:topLinePunct/>
        <w:spacing w:line="360" w:lineRule="auto"/>
        <w:ind w:firstLine="480" w:firstLineChars="200"/>
        <w:contextualSpacing/>
        <w:jc w:val="left"/>
        <w:textAlignment w:val="baseline"/>
        <w:rPr>
          <w:rFonts w:ascii="宋体" w:hAnsi="宋体" w:cs="SimSun-Identity-H"/>
          <w:kern w:val="0"/>
          <w:sz w:val="24"/>
          <w:u w:val="single"/>
        </w:rPr>
      </w:pPr>
      <w:bookmarkStart w:id="559" w:name="_Toc441148756"/>
      <w:r>
        <w:rPr>
          <w:rFonts w:hint="eastAsia" w:ascii="宋体" w:hAnsi="宋体" w:cs="SimSun-Identity-H"/>
          <w:kern w:val="0"/>
          <w:sz w:val="24"/>
          <w:u w:val="single"/>
        </w:rPr>
        <w:t xml:space="preserve">3.1.1 提交送审的初勘初测成果文件后   </w:t>
      </w:r>
      <w:r>
        <w:rPr>
          <w:rFonts w:ascii="宋体" w:hAnsi="宋体" w:cs="SimSun-Identity-H"/>
          <w:kern w:val="0"/>
          <w:sz w:val="24"/>
          <w:u w:val="single"/>
        </w:rPr>
        <w:t>个</w:t>
      </w:r>
      <w:r>
        <w:rPr>
          <w:rFonts w:hint="eastAsia" w:ascii="宋体" w:hAnsi="宋体" w:cs="SimSun-Identity-H"/>
          <w:kern w:val="0"/>
          <w:sz w:val="24"/>
          <w:u w:val="single"/>
        </w:rPr>
        <w:t>工作日内提交正式咨询报告；</w:t>
      </w:r>
      <w:bookmarkEnd w:id="558"/>
      <w:bookmarkEnd w:id="559"/>
    </w:p>
    <w:p>
      <w:pPr>
        <w:wordWrap w:val="0"/>
        <w:topLinePunct/>
        <w:spacing w:line="360" w:lineRule="auto"/>
        <w:ind w:firstLine="480" w:firstLineChars="200"/>
        <w:contextualSpacing/>
        <w:jc w:val="left"/>
        <w:textAlignment w:val="baseline"/>
        <w:rPr>
          <w:rFonts w:ascii="宋体" w:hAnsi="宋体" w:cs="SimSun-Identity-H"/>
          <w:kern w:val="0"/>
          <w:sz w:val="24"/>
          <w:u w:val="single"/>
        </w:rPr>
      </w:pPr>
      <w:bookmarkStart w:id="560" w:name="_Toc429404135"/>
      <w:bookmarkStart w:id="561" w:name="_Toc441148757"/>
      <w:r>
        <w:rPr>
          <w:rFonts w:hint="eastAsia" w:ascii="宋体" w:hAnsi="宋体" w:cs="SimSun-Identity-H"/>
          <w:kern w:val="0"/>
          <w:sz w:val="24"/>
          <w:u w:val="single"/>
        </w:rPr>
        <w:t>3.1.2 提交送审的初步设计成果文件后   个工作日内提交正式咨询报告；</w:t>
      </w:r>
      <w:bookmarkEnd w:id="560"/>
      <w:bookmarkEnd w:id="561"/>
    </w:p>
    <w:p>
      <w:pPr>
        <w:wordWrap w:val="0"/>
        <w:topLinePunct/>
        <w:spacing w:line="360" w:lineRule="auto"/>
        <w:ind w:firstLine="480" w:firstLineChars="200"/>
        <w:contextualSpacing/>
        <w:jc w:val="left"/>
        <w:textAlignment w:val="baseline"/>
        <w:rPr>
          <w:rFonts w:ascii="宋体" w:hAnsi="宋体" w:cs="SimSun-Identity-H"/>
          <w:kern w:val="0"/>
          <w:sz w:val="24"/>
          <w:u w:val="single"/>
        </w:rPr>
      </w:pPr>
      <w:r>
        <w:rPr>
          <w:rFonts w:hint="eastAsia" w:ascii="宋体" w:hAnsi="宋体" w:cs="SimSun-Identity-H"/>
          <w:kern w:val="0"/>
          <w:sz w:val="24"/>
          <w:u w:val="single"/>
        </w:rPr>
        <w:t>3.1.3 提交送审的技术设计（如有）成果文件后   个工作日内提交正式咨询报告；</w:t>
      </w:r>
    </w:p>
    <w:p>
      <w:pPr>
        <w:wordWrap w:val="0"/>
        <w:topLinePunct/>
        <w:spacing w:line="360" w:lineRule="auto"/>
        <w:ind w:firstLine="480" w:firstLineChars="200"/>
        <w:contextualSpacing/>
        <w:jc w:val="left"/>
        <w:textAlignment w:val="baseline"/>
        <w:rPr>
          <w:rFonts w:ascii="宋体" w:hAnsi="宋体" w:cs="SimSun-Identity-H"/>
          <w:kern w:val="0"/>
          <w:sz w:val="24"/>
          <w:u w:val="single"/>
        </w:rPr>
      </w:pPr>
      <w:bookmarkStart w:id="562" w:name="_Toc441148758"/>
      <w:bookmarkStart w:id="563" w:name="_Toc429404136"/>
      <w:r>
        <w:rPr>
          <w:rFonts w:hint="eastAsia" w:ascii="宋体" w:hAnsi="宋体" w:cs="SimSun-Identity-H"/>
          <w:kern w:val="0"/>
          <w:sz w:val="24"/>
          <w:u w:val="single"/>
        </w:rPr>
        <w:t>3.1.4 提交送审的详勘定测成果文件后   个工作日内提交正式咨询报告；</w:t>
      </w:r>
      <w:bookmarkEnd w:id="562"/>
      <w:bookmarkEnd w:id="563"/>
    </w:p>
    <w:p>
      <w:pPr>
        <w:wordWrap w:val="0"/>
        <w:topLinePunct/>
        <w:spacing w:line="360" w:lineRule="auto"/>
        <w:ind w:firstLine="480" w:firstLineChars="200"/>
        <w:contextualSpacing/>
        <w:jc w:val="left"/>
        <w:textAlignment w:val="baseline"/>
        <w:rPr>
          <w:rFonts w:ascii="宋体" w:hAnsi="宋体" w:cs="SimSun-Identity-H"/>
          <w:kern w:val="0"/>
          <w:sz w:val="24"/>
          <w:u w:val="single"/>
        </w:rPr>
      </w:pPr>
      <w:bookmarkStart w:id="564" w:name="_Toc441148759"/>
      <w:bookmarkStart w:id="565" w:name="_Toc429404137"/>
      <w:r>
        <w:rPr>
          <w:rFonts w:hint="eastAsia" w:ascii="宋体" w:hAnsi="宋体" w:cs="SimSun-Identity-H"/>
          <w:kern w:val="0"/>
          <w:sz w:val="24"/>
          <w:u w:val="single"/>
        </w:rPr>
        <w:t>3.1.5 提交送审的施工图设计成果文件后   个工作日内提交正式咨询报告；</w:t>
      </w:r>
      <w:bookmarkEnd w:id="564"/>
      <w:bookmarkEnd w:id="565"/>
    </w:p>
    <w:p>
      <w:pPr>
        <w:wordWrap w:val="0"/>
        <w:topLinePunct/>
        <w:spacing w:line="360" w:lineRule="auto"/>
        <w:ind w:firstLine="480" w:firstLineChars="200"/>
        <w:contextualSpacing/>
        <w:jc w:val="left"/>
        <w:textAlignment w:val="baseline"/>
        <w:rPr>
          <w:rFonts w:ascii="宋体" w:hAnsi="宋体" w:cs="SimSun-Identity-H"/>
          <w:kern w:val="0"/>
          <w:sz w:val="24"/>
          <w:u w:val="single"/>
        </w:rPr>
      </w:pPr>
      <w:bookmarkStart w:id="566" w:name="_Toc441148760"/>
      <w:bookmarkStart w:id="567" w:name="_Toc429404138"/>
      <w:r>
        <w:rPr>
          <w:rFonts w:ascii="宋体" w:hAnsi="宋体" w:cs="SimSun-Identity-H"/>
          <w:kern w:val="0"/>
          <w:sz w:val="24"/>
          <w:u w:val="single"/>
        </w:rPr>
        <w:t>3.1.6 提交送审的</w:t>
      </w:r>
      <w:r>
        <w:rPr>
          <w:rFonts w:hint="eastAsia" w:ascii="宋体" w:hAnsi="宋体" w:cs="SimSun-Identity-H"/>
          <w:kern w:val="0"/>
          <w:sz w:val="24"/>
          <w:u w:val="single"/>
        </w:rPr>
        <w:t>专题研究</w:t>
      </w:r>
      <w:r>
        <w:rPr>
          <w:rFonts w:ascii="宋体" w:hAnsi="宋体" w:cs="SimSun-Identity-H"/>
          <w:kern w:val="0"/>
          <w:sz w:val="24"/>
          <w:u w:val="single"/>
        </w:rPr>
        <w:t>（如有）成果文件后个</w:t>
      </w:r>
      <w:r>
        <w:rPr>
          <w:rFonts w:hint="eastAsia" w:ascii="宋体" w:hAnsi="宋体" w:cs="SimSun-Identity-H"/>
          <w:kern w:val="0"/>
          <w:sz w:val="24"/>
          <w:u w:val="single"/>
        </w:rPr>
        <w:t>工作日</w:t>
      </w:r>
      <w:r>
        <w:rPr>
          <w:rFonts w:ascii="宋体" w:hAnsi="宋体" w:cs="SimSun-Identity-H"/>
          <w:kern w:val="0"/>
          <w:sz w:val="24"/>
          <w:u w:val="single"/>
        </w:rPr>
        <w:t>内提交正式咨询报告。</w:t>
      </w:r>
      <w:bookmarkEnd w:id="566"/>
      <w:bookmarkEnd w:id="567"/>
    </w:p>
    <w:p>
      <w:pPr>
        <w:wordWrap w:val="0"/>
        <w:topLinePunct/>
        <w:spacing w:line="360" w:lineRule="auto"/>
        <w:ind w:firstLine="480" w:firstLineChars="200"/>
        <w:contextualSpacing/>
        <w:jc w:val="left"/>
        <w:textAlignment w:val="baseline"/>
        <w:rPr>
          <w:rFonts w:ascii="宋体" w:hAnsi="宋体" w:cs="SimSun-Identity-H"/>
          <w:kern w:val="0"/>
          <w:sz w:val="24"/>
          <w:u w:val="single"/>
        </w:rPr>
      </w:pPr>
      <w:bookmarkStart w:id="568" w:name="_Toc441148761"/>
      <w:bookmarkStart w:id="569" w:name="_Toc429404139"/>
      <w:r>
        <w:rPr>
          <w:rFonts w:ascii="宋体" w:hAnsi="宋体" w:cs="SimSun-Identity-H"/>
          <w:kern w:val="0"/>
          <w:sz w:val="24"/>
          <w:u w:val="single"/>
        </w:rPr>
        <w:t xml:space="preserve">3.1.7 </w:t>
      </w:r>
      <w:r>
        <w:rPr>
          <w:rFonts w:hint="eastAsia" w:ascii="宋体" w:hAnsi="宋体" w:cs="SimSun-Identity-H"/>
          <w:kern w:val="0"/>
          <w:sz w:val="24"/>
          <w:u w:val="single"/>
        </w:rPr>
        <w:t>提交送审的先行工程施工图（如有）成果文件后   个工作日内提交正式咨询报告</w:t>
      </w:r>
      <w:bookmarkEnd w:id="568"/>
      <w:bookmarkEnd w:id="569"/>
      <w:r>
        <w:rPr>
          <w:rFonts w:hint="eastAsia" w:ascii="宋体" w:hAnsi="宋体" w:cs="SimSun-Identity-H"/>
          <w:kern w:val="0"/>
          <w:sz w:val="24"/>
          <w:u w:val="single"/>
        </w:rPr>
        <w:t>；</w:t>
      </w:r>
    </w:p>
    <w:p>
      <w:pPr>
        <w:wordWrap w:val="0"/>
        <w:topLinePunct/>
        <w:spacing w:line="360" w:lineRule="auto"/>
        <w:ind w:firstLine="480" w:firstLineChars="200"/>
        <w:contextualSpacing/>
        <w:jc w:val="left"/>
        <w:textAlignment w:val="baseline"/>
        <w:rPr>
          <w:rFonts w:ascii="宋体" w:hAnsi="宋体" w:cs="SimSun-Identity-H"/>
          <w:kern w:val="0"/>
          <w:sz w:val="24"/>
          <w:u w:val="single"/>
        </w:rPr>
      </w:pPr>
      <w:r>
        <w:rPr>
          <w:rFonts w:ascii="宋体" w:hAnsi="宋体" w:cs="SimSun-Identity-H"/>
          <w:kern w:val="0"/>
          <w:sz w:val="24"/>
          <w:u w:val="single"/>
        </w:rPr>
        <w:t>3.1.8 提交送审的</w:t>
      </w:r>
      <w:r>
        <w:rPr>
          <w:rFonts w:hint="eastAsia"/>
          <w:sz w:val="24"/>
          <w:u w:val="single"/>
        </w:rPr>
        <w:t>设计变更</w:t>
      </w:r>
      <w:r>
        <w:rPr>
          <w:rFonts w:hint="eastAsia" w:ascii="宋体" w:hAnsi="宋体" w:cs="SimSun-Identity-H"/>
          <w:kern w:val="0"/>
          <w:sz w:val="24"/>
          <w:u w:val="single"/>
        </w:rPr>
        <w:t>（如招标范围包含此工作内容）成果文件后</w:t>
      </w:r>
      <w:r>
        <w:rPr>
          <w:sz w:val="24"/>
          <w:u w:val="single"/>
        </w:rPr>
        <w:t>个工作日</w:t>
      </w:r>
      <w:r>
        <w:rPr>
          <w:rFonts w:hint="eastAsia"/>
          <w:sz w:val="24"/>
          <w:u w:val="single"/>
        </w:rPr>
        <w:t>内</w:t>
      </w:r>
      <w:r>
        <w:rPr>
          <w:sz w:val="24"/>
          <w:u w:val="single"/>
        </w:rPr>
        <w:t>提交</w:t>
      </w:r>
      <w:r>
        <w:rPr>
          <w:rFonts w:ascii="宋体" w:hAnsi="宋体" w:cs="SimSun-Identity-H"/>
          <w:kern w:val="0"/>
          <w:sz w:val="24"/>
          <w:u w:val="single"/>
        </w:rPr>
        <w:t>正式咨询报告</w:t>
      </w:r>
      <w:r>
        <w:rPr>
          <w:rFonts w:hint="eastAsia" w:ascii="宋体" w:hAnsi="宋体" w:cs="SimSun-Identity-H"/>
          <w:kern w:val="0"/>
          <w:sz w:val="24"/>
          <w:u w:val="single"/>
        </w:rPr>
        <w:t>；</w:t>
      </w:r>
    </w:p>
    <w:p>
      <w:pPr>
        <w:wordWrap w:val="0"/>
        <w:topLinePunct/>
        <w:spacing w:line="360" w:lineRule="auto"/>
        <w:ind w:firstLine="480" w:firstLineChars="200"/>
        <w:contextualSpacing/>
        <w:jc w:val="left"/>
        <w:textAlignment w:val="baseline"/>
        <w:rPr>
          <w:rFonts w:ascii="宋体" w:hAnsi="宋体" w:cs="SimSun-Identity-H"/>
          <w:kern w:val="0"/>
          <w:sz w:val="24"/>
          <w:u w:val="single"/>
        </w:rPr>
      </w:pPr>
      <w:r>
        <w:rPr>
          <w:rFonts w:ascii="宋体" w:hAnsi="宋体" w:cs="SimSun-Identity-H"/>
          <w:kern w:val="0"/>
          <w:sz w:val="24"/>
          <w:u w:val="single"/>
        </w:rPr>
        <w:t>3.1.9 提交送审的</w:t>
      </w:r>
      <w:r>
        <w:rPr>
          <w:rFonts w:hint="eastAsia"/>
          <w:sz w:val="24"/>
          <w:u w:val="single"/>
        </w:rPr>
        <w:t>竣工决算造价</w:t>
      </w:r>
      <w:r>
        <w:rPr>
          <w:rFonts w:hint="eastAsia" w:ascii="宋体" w:hAnsi="宋体" w:cs="SimSun-Identity-H"/>
          <w:kern w:val="0"/>
          <w:sz w:val="24"/>
          <w:u w:val="single"/>
        </w:rPr>
        <w:t>（如招标范围包含此工作内容）成果文件后</w:t>
      </w:r>
      <w:r>
        <w:rPr>
          <w:sz w:val="24"/>
          <w:u w:val="single"/>
        </w:rPr>
        <w:t>个工作日</w:t>
      </w:r>
      <w:r>
        <w:rPr>
          <w:rFonts w:hint="eastAsia"/>
          <w:sz w:val="24"/>
          <w:u w:val="single"/>
        </w:rPr>
        <w:t>内</w:t>
      </w:r>
      <w:r>
        <w:rPr>
          <w:sz w:val="24"/>
          <w:u w:val="single"/>
        </w:rPr>
        <w:t>提</w:t>
      </w:r>
      <w:r>
        <w:rPr>
          <w:rFonts w:ascii="宋体" w:hAnsi="宋体" w:cs="SimSun-Identity-H"/>
          <w:kern w:val="0"/>
          <w:sz w:val="24"/>
          <w:u w:val="single"/>
        </w:rPr>
        <w:t>交正式咨询报告。</w:t>
      </w:r>
    </w:p>
    <w:p>
      <w:pPr>
        <w:wordWrap w:val="0"/>
        <w:topLinePunct/>
        <w:spacing w:line="360" w:lineRule="auto"/>
        <w:contextualSpacing/>
        <w:jc w:val="center"/>
        <w:textAlignment w:val="baseline"/>
        <w:rPr>
          <w:rFonts w:ascii="黑体" w:hAnsi="黑体" w:eastAsia="黑体" w:cs="SimSun-Identity-H"/>
          <w:kern w:val="0"/>
          <w:sz w:val="28"/>
          <w:szCs w:val="28"/>
        </w:rPr>
      </w:pPr>
      <w:bookmarkStart w:id="570" w:name="_Toc441148762"/>
      <w:r>
        <w:rPr>
          <w:rFonts w:hint="eastAsia" w:ascii="黑体" w:hAnsi="黑体" w:eastAsia="黑体" w:cs="SimSun-Identity-H"/>
          <w:kern w:val="0"/>
          <w:sz w:val="28"/>
          <w:szCs w:val="28"/>
        </w:rPr>
        <w:t>第四条  费用与支付</w:t>
      </w:r>
      <w:bookmarkEnd w:id="570"/>
    </w:p>
    <w:p>
      <w:pPr>
        <w:wordWrap w:val="0"/>
        <w:topLinePunct/>
        <w:spacing w:line="360" w:lineRule="auto"/>
        <w:ind w:firstLine="482" w:firstLineChars="200"/>
        <w:contextualSpacing/>
        <w:jc w:val="left"/>
        <w:textAlignment w:val="baseline"/>
        <w:rPr>
          <w:rFonts w:ascii="宋体" w:hAnsi="宋体" w:cs="SimSun-Identity-H"/>
          <w:b/>
          <w:bCs/>
          <w:kern w:val="0"/>
          <w:sz w:val="24"/>
        </w:rPr>
      </w:pPr>
      <w:bookmarkStart w:id="571" w:name="_Toc441148763"/>
      <w:r>
        <w:rPr>
          <w:rFonts w:hint="eastAsia" w:ascii="宋体" w:hAnsi="宋体" w:cs="SimSun-Identity-H"/>
          <w:b/>
          <w:bCs/>
          <w:kern w:val="0"/>
          <w:sz w:val="24"/>
        </w:rPr>
        <w:t>4</w:t>
      </w:r>
      <w:r>
        <w:rPr>
          <w:rFonts w:ascii="宋体" w:hAnsi="宋体" w:cs="SimSun-Identity-H"/>
          <w:b/>
          <w:bCs/>
          <w:kern w:val="0"/>
          <w:sz w:val="24"/>
        </w:rPr>
        <w:t xml:space="preserve">.1 </w:t>
      </w:r>
      <w:r>
        <w:rPr>
          <w:rFonts w:hint="eastAsia" w:ascii="宋体" w:hAnsi="宋体" w:cs="SimSun-Identity-H"/>
          <w:b/>
          <w:bCs/>
          <w:kern w:val="0"/>
          <w:sz w:val="24"/>
        </w:rPr>
        <w:t>勘察设计咨询费用</w:t>
      </w:r>
      <w:bookmarkEnd w:id="571"/>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72" w:name="_Toc441148764"/>
      <w:r>
        <w:rPr>
          <w:rFonts w:hint="eastAsia" w:ascii="宋体" w:hAnsi="宋体" w:cs="SimSun-Identity-H"/>
          <w:kern w:val="0"/>
          <w:sz w:val="24"/>
        </w:rPr>
        <w:t xml:space="preserve">4.1.1 </w:t>
      </w:r>
      <w:bookmarkEnd w:id="572"/>
      <w:bookmarkStart w:id="573" w:name="_Toc441148765"/>
      <w:r>
        <w:rPr>
          <w:rFonts w:hint="eastAsia" w:ascii="宋体" w:hAnsi="宋体" w:cs="SimSun-Identity-H"/>
          <w:kern w:val="0"/>
          <w:sz w:val="24"/>
        </w:rPr>
        <w:t>发包人应按合同条款的有关规定，按时向咨询单位支付咨询费用。</w:t>
      </w:r>
      <w:bookmarkEnd w:id="573"/>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74" w:name="_Toc441148766"/>
      <w:r>
        <w:rPr>
          <w:rFonts w:hint="eastAsia" w:ascii="宋体" w:hAnsi="宋体" w:cs="SimSun-Identity-H"/>
          <w:kern w:val="0"/>
          <w:sz w:val="24"/>
        </w:rPr>
        <w:t>4.1.2 本项目勘察设计咨询费不随国家颁布新的或修订原有法律、法规、规范和标准或市场因素变化进行调整。</w:t>
      </w:r>
      <w:bookmarkEnd w:id="574"/>
    </w:p>
    <w:p>
      <w:pPr>
        <w:wordWrap w:val="0"/>
        <w:topLinePunct/>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4.1.3咨询单位提出的合理化建议降低了工程投资、 缩短了施工期限或者提高了工程经济效益的， 发包人给予咨询单位如下奖励：。</w:t>
      </w:r>
    </w:p>
    <w:p>
      <w:pPr>
        <w:wordWrap w:val="0"/>
        <w:topLinePunct/>
        <w:spacing w:line="360" w:lineRule="auto"/>
        <w:ind w:firstLine="482" w:firstLineChars="200"/>
        <w:contextualSpacing/>
        <w:jc w:val="left"/>
        <w:textAlignment w:val="baseline"/>
        <w:rPr>
          <w:rFonts w:ascii="宋体" w:hAnsi="宋体" w:cs="SimSun-Identity-H"/>
          <w:b/>
          <w:bCs/>
          <w:kern w:val="0"/>
          <w:sz w:val="24"/>
        </w:rPr>
      </w:pPr>
      <w:bookmarkStart w:id="575" w:name="_Toc441148767"/>
      <w:r>
        <w:rPr>
          <w:rFonts w:ascii="宋体" w:hAnsi="宋体" w:cs="SimSun-Identity-H"/>
          <w:b/>
          <w:bCs/>
          <w:kern w:val="0"/>
          <w:sz w:val="24"/>
        </w:rPr>
        <w:t>4.2 支付方式和时间</w:t>
      </w:r>
      <w:bookmarkEnd w:id="575"/>
      <w:r>
        <w:rPr>
          <w:rStyle w:val="56"/>
          <w:rFonts w:ascii="宋体" w:hAnsi="宋体"/>
          <w:kern w:val="0"/>
          <w:sz w:val="32"/>
          <w:szCs w:val="32"/>
        </w:rPr>
        <w:footnoteReference w:id="67"/>
      </w:r>
    </w:p>
    <w:p>
      <w:pPr>
        <w:wordWrap w:val="0"/>
        <w:topLinePunct/>
        <w:spacing w:line="360" w:lineRule="auto"/>
        <w:ind w:firstLine="480" w:firstLineChars="200"/>
        <w:contextualSpacing/>
        <w:jc w:val="left"/>
        <w:textAlignment w:val="baseline"/>
        <w:rPr>
          <w:rFonts w:ascii="宋体" w:hAnsi="宋体"/>
          <w:kern w:val="0"/>
          <w:sz w:val="24"/>
        </w:rPr>
      </w:pPr>
      <w:bookmarkStart w:id="576" w:name="_Toc441148768"/>
      <w:r>
        <w:rPr>
          <w:rFonts w:hint="eastAsia" w:ascii="宋体" w:hAnsi="宋体"/>
          <w:kern w:val="0"/>
          <w:sz w:val="24"/>
        </w:rPr>
        <w:t>本项目勘察设计咨询费用由发包人分期按如下方式和时间支付给</w:t>
      </w:r>
      <w:r>
        <w:rPr>
          <w:rFonts w:hint="eastAsia" w:ascii="宋体" w:hAnsi="宋体" w:cs="SimSun-Identity-H"/>
          <w:kern w:val="0"/>
          <w:sz w:val="24"/>
        </w:rPr>
        <w:t>咨询单位</w:t>
      </w:r>
      <w:r>
        <w:rPr>
          <w:rFonts w:hint="eastAsia" w:ascii="宋体" w:hAnsi="宋体"/>
          <w:kern w:val="0"/>
          <w:sz w:val="24"/>
        </w:rPr>
        <w:t>。</w:t>
      </w:r>
      <w:bookmarkEnd w:id="576"/>
    </w:p>
    <w:p>
      <w:pPr>
        <w:wordWrap w:val="0"/>
        <w:topLinePunct/>
        <w:spacing w:line="360" w:lineRule="auto"/>
        <w:ind w:firstLine="480" w:firstLineChars="200"/>
        <w:contextualSpacing/>
        <w:jc w:val="left"/>
        <w:textAlignment w:val="baseline"/>
        <w:rPr>
          <w:rFonts w:ascii="宋体" w:hAnsi="宋体" w:cs="SimSun-Identity-H"/>
          <w:kern w:val="0"/>
          <w:sz w:val="24"/>
          <w:u w:val="single"/>
        </w:rPr>
      </w:pPr>
      <w:bookmarkStart w:id="577" w:name="_Toc441148769"/>
      <w:r>
        <w:rPr>
          <w:rFonts w:hint="eastAsia" w:ascii="宋体" w:hAnsi="宋体" w:cs="SimSun-Identity-H"/>
          <w:kern w:val="0"/>
          <w:sz w:val="24"/>
          <w:u w:val="single"/>
        </w:rPr>
        <w:t>4.2.1</w:t>
      </w:r>
      <w:r>
        <w:rPr>
          <w:rFonts w:ascii="宋体" w:hAnsi="宋体"/>
          <w:sz w:val="24"/>
          <w:u w:val="single"/>
        </w:rPr>
        <w:t>合同签署后</w:t>
      </w:r>
      <w:r>
        <w:rPr>
          <w:sz w:val="24"/>
          <w:u w:val="single"/>
        </w:rPr>
        <w:t>28</w:t>
      </w:r>
      <w:r>
        <w:rPr>
          <w:rFonts w:ascii="宋体" w:hAnsi="宋体"/>
          <w:sz w:val="24"/>
          <w:u w:val="single"/>
        </w:rPr>
        <w:t>天内，发包人向</w:t>
      </w:r>
      <w:r>
        <w:rPr>
          <w:rFonts w:hint="eastAsia" w:ascii="宋体" w:hAnsi="宋体"/>
          <w:sz w:val="24"/>
          <w:u w:val="single"/>
        </w:rPr>
        <w:t>咨询单位</w:t>
      </w:r>
      <w:r>
        <w:rPr>
          <w:rFonts w:ascii="宋体" w:hAnsi="宋体"/>
          <w:sz w:val="24"/>
          <w:u w:val="single"/>
        </w:rPr>
        <w:t>支付</w:t>
      </w:r>
      <w:r>
        <w:rPr>
          <w:kern w:val="0"/>
          <w:sz w:val="24"/>
          <w:u w:val="single"/>
        </w:rPr>
        <w:t>勘察设计</w:t>
      </w:r>
      <w:r>
        <w:rPr>
          <w:rFonts w:hint="eastAsia"/>
          <w:kern w:val="0"/>
          <w:sz w:val="24"/>
          <w:u w:val="single"/>
        </w:rPr>
        <w:t>咨询</w:t>
      </w:r>
      <w:r>
        <w:rPr>
          <w:kern w:val="0"/>
          <w:sz w:val="24"/>
          <w:u w:val="single"/>
        </w:rPr>
        <w:t>费用</w:t>
      </w:r>
      <w:r>
        <w:rPr>
          <w:sz w:val="24"/>
          <w:u w:val="single"/>
        </w:rPr>
        <w:t>的  ％作为</w:t>
      </w:r>
      <w:r>
        <w:rPr>
          <w:rFonts w:hint="eastAsia"/>
          <w:sz w:val="24"/>
          <w:u w:val="single"/>
        </w:rPr>
        <w:t>预付款</w:t>
      </w:r>
      <w:r>
        <w:rPr>
          <w:sz w:val="24"/>
          <w:u w:val="single"/>
        </w:rPr>
        <w:t>（本合同履行后，</w:t>
      </w:r>
      <w:r>
        <w:rPr>
          <w:rFonts w:hint="eastAsia"/>
          <w:sz w:val="24"/>
          <w:u w:val="single"/>
        </w:rPr>
        <w:t>预付款</w:t>
      </w:r>
      <w:r>
        <w:rPr>
          <w:sz w:val="24"/>
          <w:u w:val="single"/>
        </w:rPr>
        <w:t>抵作</w:t>
      </w:r>
      <w:r>
        <w:rPr>
          <w:kern w:val="0"/>
          <w:sz w:val="24"/>
          <w:u w:val="single"/>
        </w:rPr>
        <w:t>勘察设计</w:t>
      </w:r>
      <w:r>
        <w:rPr>
          <w:rFonts w:hint="eastAsia"/>
          <w:kern w:val="0"/>
          <w:sz w:val="24"/>
          <w:u w:val="single"/>
        </w:rPr>
        <w:t>咨询</w:t>
      </w:r>
      <w:r>
        <w:rPr>
          <w:sz w:val="24"/>
          <w:u w:val="single"/>
        </w:rPr>
        <w:t>费，不再扣回）；</w:t>
      </w:r>
      <w:bookmarkEnd w:id="577"/>
      <w:bookmarkStart w:id="578" w:name="_Toc441148770"/>
    </w:p>
    <w:p>
      <w:pPr>
        <w:wordWrap w:val="0"/>
        <w:topLinePunct/>
        <w:spacing w:line="360" w:lineRule="auto"/>
        <w:ind w:firstLine="480" w:firstLineChars="200"/>
        <w:contextualSpacing/>
        <w:jc w:val="left"/>
        <w:textAlignment w:val="baseline"/>
        <w:rPr>
          <w:rFonts w:ascii="宋体" w:hAnsi="宋体" w:cs="SimSun-Identity-H"/>
          <w:kern w:val="0"/>
          <w:sz w:val="24"/>
          <w:u w:val="single"/>
        </w:rPr>
      </w:pPr>
      <w:r>
        <w:rPr>
          <w:rFonts w:hint="eastAsia" w:ascii="宋体" w:hAnsi="宋体" w:cs="SimSun-Identity-H"/>
          <w:kern w:val="0"/>
          <w:sz w:val="24"/>
          <w:u w:val="single"/>
        </w:rPr>
        <w:t>4.2.2 咨询单位在初步勘察设计咨询工作完成并提交咨询报告，</w:t>
      </w:r>
      <w:r>
        <w:rPr>
          <w:kern w:val="0"/>
          <w:sz w:val="24"/>
          <w:u w:val="single"/>
        </w:rPr>
        <w:t>初步设计文件经发包人或上级主管部门审查、修改批准</w:t>
      </w:r>
      <w:r>
        <w:rPr>
          <w:rFonts w:hint="eastAsia" w:ascii="宋体" w:hAnsi="宋体" w:cs="SimSun-Identity-H"/>
          <w:kern w:val="0"/>
          <w:sz w:val="24"/>
          <w:u w:val="single"/>
        </w:rPr>
        <w:t xml:space="preserve">  日之后，</w:t>
      </w:r>
      <w:r>
        <w:rPr>
          <w:rFonts w:ascii="宋体" w:hAnsi="宋体"/>
          <w:sz w:val="24"/>
          <w:u w:val="single"/>
        </w:rPr>
        <w:t>支付</w:t>
      </w:r>
      <w:r>
        <w:rPr>
          <w:kern w:val="0"/>
          <w:sz w:val="24"/>
          <w:u w:val="single"/>
        </w:rPr>
        <w:t>勘察设计</w:t>
      </w:r>
      <w:r>
        <w:rPr>
          <w:rFonts w:hint="eastAsia"/>
          <w:kern w:val="0"/>
          <w:sz w:val="24"/>
          <w:u w:val="single"/>
        </w:rPr>
        <w:t>咨询</w:t>
      </w:r>
      <w:r>
        <w:rPr>
          <w:kern w:val="0"/>
          <w:sz w:val="24"/>
          <w:u w:val="single"/>
        </w:rPr>
        <w:t>费用</w:t>
      </w:r>
      <w:r>
        <w:rPr>
          <w:sz w:val="24"/>
          <w:u w:val="single"/>
        </w:rPr>
        <w:t>的  ％</w:t>
      </w:r>
      <w:r>
        <w:rPr>
          <w:rFonts w:hint="eastAsia"/>
          <w:sz w:val="24"/>
          <w:u w:val="single"/>
        </w:rPr>
        <w:t>；</w:t>
      </w:r>
      <w:bookmarkEnd w:id="578"/>
      <w:bookmarkStart w:id="579" w:name="_Toc441148771"/>
    </w:p>
    <w:p>
      <w:pPr>
        <w:wordWrap w:val="0"/>
        <w:topLinePunct/>
        <w:spacing w:line="360" w:lineRule="auto"/>
        <w:ind w:firstLine="480" w:firstLineChars="200"/>
        <w:contextualSpacing/>
        <w:jc w:val="left"/>
        <w:textAlignment w:val="baseline"/>
        <w:rPr>
          <w:rFonts w:ascii="宋体" w:hAnsi="宋体" w:cs="SimSun-Identity-H"/>
          <w:kern w:val="0"/>
          <w:sz w:val="24"/>
          <w:u w:val="single"/>
        </w:rPr>
      </w:pPr>
      <w:r>
        <w:rPr>
          <w:rFonts w:hint="eastAsia" w:ascii="宋体" w:hAnsi="宋体" w:cs="SimSun-Identity-H"/>
          <w:kern w:val="0"/>
          <w:sz w:val="24"/>
          <w:u w:val="single"/>
        </w:rPr>
        <w:t>4.2.3 若发包人一次性完成项目建设任务，咨询单位在</w:t>
      </w:r>
      <w:r>
        <w:rPr>
          <w:sz w:val="24"/>
          <w:u w:val="single"/>
        </w:rPr>
        <w:t>施工图设计</w:t>
      </w:r>
      <w:r>
        <w:rPr>
          <w:rFonts w:hint="eastAsia" w:ascii="宋体" w:hAnsi="宋体" w:cs="SimSun-Identity-H"/>
          <w:kern w:val="0"/>
          <w:sz w:val="24"/>
          <w:u w:val="single"/>
        </w:rPr>
        <w:t>咨询工作完成并提交咨询报告，</w:t>
      </w:r>
      <w:r>
        <w:rPr>
          <w:sz w:val="24"/>
          <w:u w:val="single"/>
        </w:rPr>
        <w:t>施工图设计文件</w:t>
      </w:r>
      <w:r>
        <w:rPr>
          <w:kern w:val="0"/>
          <w:sz w:val="24"/>
          <w:u w:val="single"/>
        </w:rPr>
        <w:t>经发包人或上级主管部门审查、修改批准</w:t>
      </w:r>
      <w:r>
        <w:rPr>
          <w:rFonts w:hint="eastAsia" w:ascii="宋体" w:hAnsi="宋体" w:cs="SimSun-Identity-H"/>
          <w:kern w:val="0"/>
          <w:sz w:val="24"/>
          <w:u w:val="single"/>
        </w:rPr>
        <w:t xml:space="preserve">  日之后，</w:t>
      </w:r>
      <w:r>
        <w:rPr>
          <w:rFonts w:ascii="宋体" w:hAnsi="宋体"/>
          <w:sz w:val="24"/>
          <w:u w:val="single"/>
        </w:rPr>
        <w:t>支付</w:t>
      </w:r>
      <w:r>
        <w:rPr>
          <w:kern w:val="0"/>
          <w:sz w:val="24"/>
          <w:u w:val="single"/>
        </w:rPr>
        <w:t>勘察设计</w:t>
      </w:r>
      <w:r>
        <w:rPr>
          <w:rFonts w:hint="eastAsia"/>
          <w:kern w:val="0"/>
          <w:sz w:val="24"/>
          <w:u w:val="single"/>
        </w:rPr>
        <w:t>咨询</w:t>
      </w:r>
      <w:r>
        <w:rPr>
          <w:kern w:val="0"/>
          <w:sz w:val="24"/>
          <w:u w:val="single"/>
        </w:rPr>
        <w:t>费用</w:t>
      </w:r>
      <w:r>
        <w:rPr>
          <w:sz w:val="24"/>
          <w:u w:val="single"/>
        </w:rPr>
        <w:t>的  ％</w:t>
      </w:r>
      <w:r>
        <w:rPr>
          <w:rFonts w:hint="eastAsia" w:ascii="宋体" w:hAnsi="宋体" w:cs="SimSun-Identity-H"/>
          <w:kern w:val="0"/>
          <w:sz w:val="24"/>
          <w:u w:val="single"/>
        </w:rPr>
        <w:t>；</w:t>
      </w:r>
      <w:bookmarkEnd w:id="579"/>
      <w:r>
        <w:rPr>
          <w:rFonts w:hint="eastAsia" w:ascii="宋体" w:hAnsi="宋体"/>
          <w:sz w:val="24"/>
          <w:u w:val="single"/>
        </w:rPr>
        <w:t>若发包人需要对本项目进行分期建设，</w:t>
      </w:r>
      <w:r>
        <w:rPr>
          <w:rFonts w:hint="eastAsia" w:ascii="宋体" w:hAnsi="宋体" w:cs="SimSun-Identity-H"/>
          <w:kern w:val="0"/>
          <w:sz w:val="24"/>
          <w:u w:val="single"/>
        </w:rPr>
        <w:t>咨询单位在</w:t>
      </w:r>
      <w:r>
        <w:rPr>
          <w:rFonts w:hint="eastAsia" w:ascii="宋体" w:hAnsi="宋体"/>
          <w:sz w:val="24"/>
          <w:u w:val="single"/>
        </w:rPr>
        <w:t>该部分</w:t>
      </w:r>
      <w:r>
        <w:rPr>
          <w:sz w:val="24"/>
          <w:u w:val="single"/>
        </w:rPr>
        <w:t>施工图设计</w:t>
      </w:r>
      <w:r>
        <w:rPr>
          <w:rFonts w:hint="eastAsia" w:ascii="宋体" w:hAnsi="宋体" w:cs="SimSun-Identity-H"/>
          <w:kern w:val="0"/>
          <w:sz w:val="24"/>
          <w:u w:val="single"/>
        </w:rPr>
        <w:t>咨询工作完成并提交咨询报告，</w:t>
      </w:r>
      <w:r>
        <w:rPr>
          <w:rFonts w:hint="eastAsia" w:ascii="宋体" w:hAnsi="宋体"/>
          <w:sz w:val="24"/>
          <w:u w:val="single"/>
        </w:rPr>
        <w:t>该部分</w:t>
      </w:r>
      <w:r>
        <w:rPr>
          <w:sz w:val="24"/>
          <w:u w:val="single"/>
        </w:rPr>
        <w:t>施工图设计文件</w:t>
      </w:r>
      <w:r>
        <w:rPr>
          <w:kern w:val="0"/>
          <w:sz w:val="24"/>
          <w:u w:val="single"/>
        </w:rPr>
        <w:t>经发包人或上级主管部门审查、修改批准</w:t>
      </w:r>
      <w:r>
        <w:rPr>
          <w:rFonts w:hint="eastAsia" w:ascii="宋体" w:hAnsi="宋体" w:cs="SimSun-Identity-H"/>
          <w:kern w:val="0"/>
          <w:sz w:val="24"/>
          <w:u w:val="single"/>
        </w:rPr>
        <w:t xml:space="preserve">  日之后，</w:t>
      </w:r>
      <w:r>
        <w:rPr>
          <w:rFonts w:hint="eastAsia" w:ascii="宋体" w:hAnsi="宋体"/>
          <w:sz w:val="24"/>
          <w:u w:val="single"/>
        </w:rPr>
        <w:t>发包人将按照分期建设的投资比例支付该分期建设部分</w:t>
      </w:r>
      <w:r>
        <w:rPr>
          <w:kern w:val="0"/>
          <w:sz w:val="24"/>
          <w:u w:val="single"/>
        </w:rPr>
        <w:t>勘察设计</w:t>
      </w:r>
      <w:r>
        <w:rPr>
          <w:rFonts w:hint="eastAsia"/>
          <w:kern w:val="0"/>
          <w:sz w:val="24"/>
          <w:u w:val="single"/>
        </w:rPr>
        <w:t>咨询</w:t>
      </w:r>
      <w:r>
        <w:rPr>
          <w:kern w:val="0"/>
          <w:sz w:val="24"/>
          <w:u w:val="single"/>
        </w:rPr>
        <w:t>费</w:t>
      </w:r>
      <w:r>
        <w:rPr>
          <w:rFonts w:hint="eastAsia" w:ascii="宋体" w:hAnsi="宋体"/>
          <w:sz w:val="24"/>
          <w:u w:val="single"/>
        </w:rPr>
        <w:t>用的</w:t>
      </w:r>
      <w:r>
        <w:rPr>
          <w:rFonts w:hint="eastAsia" w:ascii="宋体" w:hAnsi="宋体"/>
          <w:sz w:val="24"/>
          <w:u w:val="single"/>
          <w:lang w:val="en-US" w:eastAsia="zh-CN"/>
        </w:rPr>
        <w:t xml:space="preserve">  </w:t>
      </w:r>
      <w:r>
        <w:rPr>
          <w:rFonts w:ascii="宋体" w:hAnsi="宋体"/>
          <w:sz w:val="24"/>
          <w:u w:val="single"/>
        </w:rPr>
        <w:t>%</w:t>
      </w:r>
      <w:r>
        <w:rPr>
          <w:rFonts w:hint="eastAsia" w:ascii="宋体" w:hAnsi="宋体"/>
          <w:sz w:val="24"/>
          <w:u w:val="single"/>
        </w:rPr>
        <w:t>；</w:t>
      </w:r>
    </w:p>
    <w:p>
      <w:pPr>
        <w:wordWrap w:val="0"/>
        <w:topLinePunct/>
        <w:spacing w:line="360" w:lineRule="auto"/>
        <w:ind w:firstLine="480" w:firstLineChars="200"/>
        <w:contextualSpacing/>
        <w:jc w:val="left"/>
        <w:textAlignment w:val="baseline"/>
        <w:rPr>
          <w:rFonts w:ascii="宋体" w:hAnsi="宋体" w:cs="SimSun-Identity-H"/>
          <w:kern w:val="0"/>
          <w:sz w:val="24"/>
          <w:u w:val="single"/>
        </w:rPr>
      </w:pPr>
      <w:bookmarkStart w:id="580" w:name="_Toc441148772"/>
      <w:r>
        <w:rPr>
          <w:rStyle w:val="233"/>
          <w:rFonts w:hint="default"/>
          <w:color w:val="auto"/>
          <w:u w:val="single"/>
        </w:rPr>
        <w:t>4.2.4若发包人需要对本项目进行分期建设，在完成该部分工程的交工验收且具备试运行条件后，将按照分期建设的投资比例支付已交工验收部分的</w:t>
      </w:r>
      <w:r>
        <w:rPr>
          <w:kern w:val="0"/>
          <w:sz w:val="24"/>
          <w:u w:val="single"/>
        </w:rPr>
        <w:t>勘察设计</w:t>
      </w:r>
      <w:r>
        <w:rPr>
          <w:rFonts w:hint="eastAsia"/>
          <w:kern w:val="0"/>
          <w:sz w:val="24"/>
          <w:u w:val="single"/>
        </w:rPr>
        <w:t>咨询</w:t>
      </w:r>
      <w:r>
        <w:rPr>
          <w:kern w:val="0"/>
          <w:sz w:val="24"/>
          <w:u w:val="single"/>
        </w:rPr>
        <w:t>费</w:t>
      </w:r>
      <w:r>
        <w:rPr>
          <w:rFonts w:hint="eastAsia" w:ascii="宋体" w:hAnsi="宋体"/>
          <w:sz w:val="24"/>
          <w:u w:val="single"/>
        </w:rPr>
        <w:t>用</w:t>
      </w:r>
      <w:r>
        <w:rPr>
          <w:rStyle w:val="233"/>
          <w:rFonts w:hint="default"/>
          <w:color w:val="auto"/>
          <w:u w:val="single"/>
        </w:rPr>
        <w:t>的   %；</w:t>
      </w:r>
    </w:p>
    <w:p>
      <w:pPr>
        <w:wordWrap w:val="0"/>
        <w:topLinePunct/>
        <w:spacing w:line="360" w:lineRule="auto"/>
        <w:ind w:firstLine="480" w:firstLineChars="200"/>
        <w:contextualSpacing/>
        <w:jc w:val="left"/>
        <w:textAlignment w:val="baseline"/>
        <w:rPr>
          <w:rFonts w:ascii="宋体" w:hAnsi="宋体" w:cs="SimSun-Identity-H"/>
          <w:kern w:val="0"/>
          <w:sz w:val="24"/>
          <w:u w:val="single"/>
        </w:rPr>
      </w:pPr>
      <w:r>
        <w:rPr>
          <w:rFonts w:hint="eastAsia" w:ascii="宋体" w:hAnsi="宋体" w:cs="SimSun-Identity-H"/>
          <w:kern w:val="0"/>
          <w:sz w:val="24"/>
          <w:u w:val="single"/>
        </w:rPr>
        <w:t>4.2.5</w:t>
      </w:r>
      <w:r>
        <w:rPr>
          <w:rStyle w:val="233"/>
          <w:rFonts w:hint="default"/>
          <w:color w:val="auto"/>
          <w:u w:val="single"/>
        </w:rPr>
        <w:t>整体工程交工验收且具备试运行条件后，</w:t>
      </w:r>
      <w:r>
        <w:rPr>
          <w:rFonts w:ascii="宋体" w:hAnsi="宋体"/>
          <w:sz w:val="24"/>
          <w:u w:val="single"/>
        </w:rPr>
        <w:t>支付</w:t>
      </w:r>
      <w:r>
        <w:rPr>
          <w:kern w:val="0"/>
          <w:sz w:val="24"/>
          <w:u w:val="single"/>
        </w:rPr>
        <w:t>勘察设计</w:t>
      </w:r>
      <w:r>
        <w:rPr>
          <w:rFonts w:hint="eastAsia"/>
          <w:kern w:val="0"/>
          <w:sz w:val="24"/>
          <w:u w:val="single"/>
        </w:rPr>
        <w:t>咨询</w:t>
      </w:r>
      <w:r>
        <w:rPr>
          <w:kern w:val="0"/>
          <w:sz w:val="24"/>
          <w:u w:val="single"/>
        </w:rPr>
        <w:t>费用</w:t>
      </w:r>
      <w:r>
        <w:rPr>
          <w:sz w:val="24"/>
          <w:u w:val="single"/>
        </w:rPr>
        <w:t>的</w:t>
      </w:r>
      <w:r>
        <w:rPr>
          <w:rFonts w:hint="eastAsia"/>
          <w:sz w:val="24"/>
          <w:u w:val="single"/>
          <w:lang w:val="en-US" w:eastAsia="zh-CN"/>
        </w:rPr>
        <w:t xml:space="preserve">  </w:t>
      </w:r>
      <w:r>
        <w:rPr>
          <w:sz w:val="24"/>
          <w:u w:val="single"/>
        </w:rPr>
        <w:t>％</w:t>
      </w:r>
      <w:r>
        <w:rPr>
          <w:rFonts w:hint="eastAsia" w:ascii="宋体" w:hAnsi="宋体" w:cs="SimSun-Identity-H"/>
          <w:kern w:val="0"/>
          <w:sz w:val="24"/>
          <w:u w:val="single"/>
        </w:rPr>
        <w:t>。</w:t>
      </w:r>
      <w:bookmarkEnd w:id="580"/>
    </w:p>
    <w:p>
      <w:pPr>
        <w:wordWrap w:val="0"/>
        <w:topLinePunct/>
        <w:spacing w:line="360" w:lineRule="auto"/>
        <w:ind w:firstLine="480" w:firstLineChars="200"/>
        <w:contextualSpacing/>
        <w:jc w:val="left"/>
        <w:textAlignment w:val="baseline"/>
        <w:rPr>
          <w:rFonts w:ascii="宋体" w:hAnsi="宋体" w:cs="SimSun-Identity-H"/>
          <w:kern w:val="0"/>
          <w:sz w:val="24"/>
          <w:u w:val="single"/>
        </w:rPr>
      </w:pPr>
      <w:r>
        <w:rPr>
          <w:rFonts w:ascii="宋体" w:hAnsi="宋体" w:cs="SimSun-Identity-H"/>
          <w:kern w:val="0"/>
          <w:sz w:val="24"/>
          <w:u w:val="single"/>
        </w:rPr>
        <w:t>4.2.</w:t>
      </w:r>
      <w:r>
        <w:rPr>
          <w:rFonts w:hint="eastAsia" w:ascii="宋体" w:hAnsi="宋体" w:cs="SimSun-Identity-H"/>
          <w:kern w:val="0"/>
          <w:sz w:val="24"/>
          <w:u w:val="single"/>
        </w:rPr>
        <w:t>6</w:t>
      </w:r>
      <w:r>
        <w:rPr>
          <w:rFonts w:ascii="宋体" w:hAnsi="宋体" w:cs="SimSun-Identity-H"/>
          <w:kern w:val="0"/>
          <w:sz w:val="24"/>
          <w:u w:val="single"/>
        </w:rPr>
        <w:t>咨询单位在</w:t>
      </w:r>
      <w:r>
        <w:rPr>
          <w:rFonts w:hint="eastAsia"/>
          <w:sz w:val="24"/>
          <w:u w:val="single"/>
        </w:rPr>
        <w:t>设计变更</w:t>
      </w:r>
      <w:r>
        <w:rPr>
          <w:rFonts w:ascii="宋体" w:hAnsi="宋体" w:cs="SimSun-Identity-H"/>
          <w:kern w:val="0"/>
          <w:sz w:val="24"/>
          <w:u w:val="single"/>
        </w:rPr>
        <w:t>（如</w:t>
      </w:r>
      <w:r>
        <w:rPr>
          <w:rFonts w:hint="eastAsia" w:ascii="宋体" w:hAnsi="宋体" w:cs="SimSun-Identity-H"/>
          <w:kern w:val="0"/>
          <w:sz w:val="24"/>
          <w:u w:val="single"/>
        </w:rPr>
        <w:t>招标范围包含此工作内容</w:t>
      </w:r>
      <w:r>
        <w:rPr>
          <w:rFonts w:ascii="宋体" w:hAnsi="宋体" w:cs="SimSun-Identity-H"/>
          <w:kern w:val="0"/>
          <w:sz w:val="24"/>
          <w:u w:val="single"/>
        </w:rPr>
        <w:t>）咨询工作完成并提交咨询报告</w:t>
      </w:r>
      <w:r>
        <w:rPr>
          <w:rFonts w:hint="eastAsia" w:ascii="宋体" w:hAnsi="宋体" w:cs="SimSun-Identity-H"/>
          <w:kern w:val="0"/>
          <w:sz w:val="24"/>
          <w:u w:val="single"/>
        </w:rPr>
        <w:t>，</w:t>
      </w:r>
      <w:r>
        <w:rPr>
          <w:rFonts w:hint="eastAsia"/>
          <w:sz w:val="24"/>
          <w:u w:val="single"/>
        </w:rPr>
        <w:t>设计变更</w:t>
      </w:r>
      <w:r>
        <w:rPr>
          <w:rFonts w:hint="eastAsia"/>
          <w:kern w:val="0"/>
          <w:sz w:val="24"/>
          <w:u w:val="single"/>
        </w:rPr>
        <w:t>经发包人或上级主管部门审查、修改批准</w:t>
      </w:r>
      <w:r>
        <w:rPr>
          <w:rFonts w:hint="eastAsia" w:ascii="宋体" w:hAnsi="宋体" w:cs="SimSun-Identity-H"/>
          <w:kern w:val="0"/>
          <w:sz w:val="24"/>
          <w:u w:val="single"/>
        </w:rPr>
        <w:t xml:space="preserve">  日之后，</w:t>
      </w:r>
      <w:r>
        <w:rPr>
          <w:rFonts w:ascii="宋体" w:hAnsi="宋体"/>
          <w:sz w:val="24"/>
          <w:u w:val="single"/>
        </w:rPr>
        <w:t>支付</w:t>
      </w:r>
      <w:r>
        <w:rPr>
          <w:rFonts w:hint="eastAsia"/>
          <w:kern w:val="0"/>
          <w:sz w:val="24"/>
          <w:u w:val="single"/>
        </w:rPr>
        <w:t>勘察设计咨询费用</w:t>
      </w:r>
      <w:r>
        <w:rPr>
          <w:rFonts w:hint="eastAsia"/>
          <w:sz w:val="24"/>
          <w:u w:val="single"/>
        </w:rPr>
        <w:t>的   ％</w:t>
      </w:r>
      <w:r>
        <w:rPr>
          <w:rFonts w:hint="eastAsia" w:ascii="宋体" w:hAnsi="宋体" w:cs="SimSun-Identity-H"/>
          <w:kern w:val="0"/>
          <w:sz w:val="24"/>
          <w:u w:val="single"/>
        </w:rPr>
        <w:t>。</w:t>
      </w:r>
    </w:p>
    <w:p>
      <w:pPr>
        <w:wordWrap w:val="0"/>
        <w:topLinePunct/>
        <w:spacing w:line="360" w:lineRule="auto"/>
        <w:ind w:firstLine="480" w:firstLineChars="200"/>
        <w:contextualSpacing/>
        <w:jc w:val="left"/>
        <w:textAlignment w:val="baseline"/>
        <w:rPr>
          <w:rFonts w:ascii="宋体" w:hAnsi="宋体" w:cs="SimSun-Identity-H"/>
          <w:kern w:val="0"/>
          <w:sz w:val="24"/>
          <w:u w:val="single"/>
        </w:rPr>
      </w:pPr>
      <w:r>
        <w:rPr>
          <w:rFonts w:ascii="宋体" w:hAnsi="宋体" w:cs="SimSun-Identity-H"/>
          <w:kern w:val="0"/>
          <w:sz w:val="24"/>
          <w:u w:val="single"/>
        </w:rPr>
        <w:t>4.2.</w:t>
      </w:r>
      <w:r>
        <w:rPr>
          <w:rFonts w:hint="eastAsia" w:ascii="宋体" w:hAnsi="宋体" w:cs="SimSun-Identity-H"/>
          <w:kern w:val="0"/>
          <w:sz w:val="24"/>
          <w:u w:val="single"/>
        </w:rPr>
        <w:t>7</w:t>
      </w:r>
      <w:r>
        <w:rPr>
          <w:rFonts w:ascii="宋体" w:hAnsi="宋体" w:cs="SimSun-Identity-H"/>
          <w:kern w:val="0"/>
          <w:sz w:val="24"/>
          <w:u w:val="single"/>
        </w:rPr>
        <w:t>咨询单位在</w:t>
      </w:r>
      <w:r>
        <w:rPr>
          <w:rFonts w:hint="eastAsia"/>
          <w:sz w:val="24"/>
          <w:u w:val="single"/>
        </w:rPr>
        <w:t>竣工决算造价</w:t>
      </w:r>
      <w:r>
        <w:rPr>
          <w:rFonts w:ascii="宋体" w:hAnsi="宋体" w:cs="SimSun-Identity-H"/>
          <w:kern w:val="0"/>
          <w:sz w:val="24"/>
          <w:u w:val="single"/>
        </w:rPr>
        <w:t>（如</w:t>
      </w:r>
      <w:r>
        <w:rPr>
          <w:rFonts w:hint="eastAsia" w:ascii="宋体" w:hAnsi="宋体" w:cs="SimSun-Identity-H"/>
          <w:kern w:val="0"/>
          <w:sz w:val="24"/>
          <w:u w:val="single"/>
        </w:rPr>
        <w:t>招标范围包含此工作内容</w:t>
      </w:r>
      <w:r>
        <w:rPr>
          <w:rFonts w:ascii="宋体" w:hAnsi="宋体" w:cs="SimSun-Identity-H"/>
          <w:kern w:val="0"/>
          <w:sz w:val="24"/>
          <w:u w:val="single"/>
        </w:rPr>
        <w:t>）咨询工作完成并提交咨询报告</w:t>
      </w:r>
      <w:r>
        <w:rPr>
          <w:rFonts w:hint="eastAsia" w:ascii="宋体" w:hAnsi="宋体" w:cs="SimSun-Identity-H"/>
          <w:kern w:val="0"/>
          <w:sz w:val="24"/>
          <w:u w:val="single"/>
        </w:rPr>
        <w:t>，</w:t>
      </w:r>
      <w:r>
        <w:rPr>
          <w:rFonts w:hint="eastAsia"/>
          <w:sz w:val="24"/>
          <w:u w:val="single"/>
        </w:rPr>
        <w:t>竣工决算造价</w:t>
      </w:r>
      <w:r>
        <w:rPr>
          <w:rFonts w:hint="eastAsia"/>
          <w:kern w:val="0"/>
          <w:sz w:val="24"/>
          <w:u w:val="single"/>
        </w:rPr>
        <w:t>经发包人或上级主管部门审查、修改批准</w:t>
      </w:r>
      <w:r>
        <w:rPr>
          <w:rFonts w:hint="eastAsia" w:ascii="宋体" w:hAnsi="宋体" w:cs="SimSun-Identity-H"/>
          <w:kern w:val="0"/>
          <w:sz w:val="24"/>
          <w:u w:val="single"/>
        </w:rPr>
        <w:t xml:space="preserve">  日之后，</w:t>
      </w:r>
      <w:r>
        <w:rPr>
          <w:rFonts w:ascii="宋体" w:hAnsi="宋体"/>
          <w:sz w:val="24"/>
          <w:u w:val="single"/>
        </w:rPr>
        <w:t>支付</w:t>
      </w:r>
      <w:r>
        <w:rPr>
          <w:rFonts w:hint="eastAsia"/>
          <w:kern w:val="0"/>
          <w:sz w:val="24"/>
          <w:u w:val="single"/>
        </w:rPr>
        <w:t>勘察设计咨询费用</w:t>
      </w:r>
      <w:r>
        <w:rPr>
          <w:rFonts w:hint="eastAsia"/>
          <w:sz w:val="24"/>
          <w:u w:val="single"/>
        </w:rPr>
        <w:t>的   ％</w:t>
      </w:r>
      <w:r>
        <w:rPr>
          <w:rFonts w:hint="eastAsia" w:ascii="宋体" w:hAnsi="宋体" w:cs="SimSun-Identity-H"/>
          <w:kern w:val="0"/>
          <w:sz w:val="24"/>
          <w:u w:val="single"/>
        </w:rPr>
        <w:t>。</w:t>
      </w:r>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81" w:name="_Toc441148773"/>
      <w:r>
        <w:rPr>
          <w:rFonts w:hint="eastAsia" w:ascii="宋体" w:hAnsi="宋体" w:cs="SimSun-Identity-H"/>
          <w:kern w:val="0"/>
          <w:sz w:val="24"/>
        </w:rPr>
        <w:t>4.2.7发包人收到咨询单位上述每个阶段的付款申请，经审查没有异议并收到咨询单位提供的等额有效的增值税专用发票后个工作日内支付。</w:t>
      </w:r>
      <w:bookmarkEnd w:id="581"/>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82" w:name="_Toc441148774"/>
      <w:r>
        <w:rPr>
          <w:rFonts w:ascii="宋体" w:hAnsi="宋体" w:cs="SimSun-Identity-H"/>
          <w:kern w:val="0"/>
          <w:sz w:val="24"/>
        </w:rPr>
        <w:t>4.2.</w:t>
      </w:r>
      <w:r>
        <w:rPr>
          <w:rFonts w:hint="eastAsia" w:ascii="宋体" w:hAnsi="宋体" w:cs="SimSun-Identity-H"/>
          <w:kern w:val="0"/>
          <w:sz w:val="24"/>
        </w:rPr>
        <w:t>8</w:t>
      </w:r>
      <w:r>
        <w:rPr>
          <w:rFonts w:ascii="宋体" w:hAnsi="宋体" w:cs="SimSun-Identity-H"/>
          <w:kern w:val="0"/>
          <w:sz w:val="24"/>
        </w:rPr>
        <w:t>勘察设计咨询费用指的是勘察设计咨询的签约合同价，最终勘察设计费用应按照本合同条款第4.3款进行结算，在初步设计概算批复前，按照签约合同价支付每一阶段的勘察设计咨询费，在初步设计概算批复后，下一阶段的勘察设计咨询费用应按照调整后的勘察设计咨询费用支付，如果上一阶段的勘察设计费用存在超付的现象，应该在下一阶段的勘察设计咨询费用中扣除。</w:t>
      </w:r>
    </w:p>
    <w:p>
      <w:pPr>
        <w:wordWrap w:val="0"/>
        <w:topLinePunct/>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4.2.9 咨询单位开户名称、开户银行和账号为：</w:t>
      </w:r>
      <w:bookmarkEnd w:id="582"/>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83" w:name="_Toc441148775"/>
      <w:r>
        <w:rPr>
          <w:rFonts w:hint="eastAsia" w:ascii="宋体" w:hAnsi="宋体" w:cs="SimSun-Identity-H"/>
          <w:kern w:val="0"/>
          <w:sz w:val="24"/>
        </w:rPr>
        <w:t>开户名称：</w:t>
      </w:r>
      <w:bookmarkEnd w:id="583"/>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584" w:name="_Toc441148776"/>
      <w:r>
        <w:rPr>
          <w:rFonts w:hint="eastAsia" w:ascii="宋体" w:hAnsi="宋体" w:cs="SimSun-Identity-H"/>
          <w:kern w:val="0"/>
          <w:sz w:val="24"/>
        </w:rPr>
        <w:t>开户银行：</w:t>
      </w:r>
      <w:bookmarkEnd w:id="584"/>
    </w:p>
    <w:p>
      <w:pPr>
        <w:wordWrap w:val="0"/>
        <w:topLinePunct/>
        <w:spacing w:line="360" w:lineRule="auto"/>
        <w:ind w:firstLine="480" w:firstLineChars="200"/>
        <w:contextualSpacing/>
        <w:jc w:val="left"/>
        <w:textAlignment w:val="baseline"/>
        <w:rPr>
          <w:rFonts w:ascii="宋体" w:hAnsi="宋体" w:cs="SimSun-Identity-H"/>
          <w:kern w:val="0"/>
          <w:sz w:val="24"/>
          <w:u w:val="single"/>
        </w:rPr>
      </w:pPr>
      <w:bookmarkStart w:id="585" w:name="_Toc441148777"/>
      <w:r>
        <w:rPr>
          <w:rFonts w:hint="eastAsia" w:ascii="宋体" w:hAnsi="宋体" w:cs="SimSun-Identity-H"/>
          <w:kern w:val="0"/>
          <w:sz w:val="24"/>
        </w:rPr>
        <w:t>账号：</w:t>
      </w:r>
      <w:bookmarkEnd w:id="585"/>
    </w:p>
    <w:p>
      <w:pPr>
        <w:wordWrap w:val="0"/>
        <w:topLinePunct/>
        <w:spacing w:line="360" w:lineRule="auto"/>
        <w:ind w:firstLine="482" w:firstLineChars="200"/>
        <w:contextualSpacing/>
        <w:jc w:val="left"/>
        <w:textAlignment w:val="baseline"/>
        <w:rPr>
          <w:rFonts w:ascii="宋体" w:hAnsi="宋体" w:cs="SimSun-Identity-H"/>
          <w:b/>
          <w:kern w:val="0"/>
          <w:sz w:val="24"/>
        </w:rPr>
      </w:pPr>
      <w:r>
        <w:rPr>
          <w:rFonts w:hint="eastAsia" w:ascii="宋体" w:hAnsi="宋体" w:cs="SimSun-Identity-H"/>
          <w:b/>
          <w:kern w:val="0"/>
          <w:sz w:val="24"/>
        </w:rPr>
        <w:t>4.3 勘察设计咨询费用的结算</w:t>
      </w:r>
    </w:p>
    <w:p>
      <w:pPr>
        <w:wordWrap w:val="0"/>
        <w:topLinePunct/>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4.3.1</w:t>
      </w:r>
      <w:r>
        <w:rPr>
          <w:rFonts w:hint="eastAsia" w:ascii="宋体" w:hAnsi="宋体" w:cs="SimSun-Identity-H"/>
          <w:kern w:val="0"/>
          <w:sz w:val="24"/>
          <w:u w:val="single"/>
        </w:rPr>
        <w:t>本项目勘察设计咨询费根据批复的初步设计概算进行结算，结算办法为：中标费率×初步设计批复概算建安费。咨询单位的合计报价费率即为中标费率。</w:t>
      </w:r>
    </w:p>
    <w:p>
      <w:pPr>
        <w:wordWrap w:val="0"/>
        <w:topLinePunct/>
        <w:spacing w:line="360" w:lineRule="auto"/>
        <w:contextualSpacing/>
        <w:jc w:val="center"/>
        <w:textAlignment w:val="baseline"/>
        <w:rPr>
          <w:rFonts w:ascii="黑体" w:hAnsi="黑体" w:eastAsia="黑体" w:cs="SimSun-Identity-H"/>
          <w:kern w:val="0"/>
          <w:sz w:val="28"/>
          <w:szCs w:val="28"/>
        </w:rPr>
      </w:pPr>
      <w:bookmarkStart w:id="586" w:name="_Toc441148778"/>
      <w:r>
        <w:rPr>
          <w:rFonts w:hint="eastAsia" w:ascii="黑体" w:hAnsi="黑体" w:eastAsia="黑体" w:cs="SimSun-Identity-H"/>
          <w:kern w:val="0"/>
          <w:sz w:val="28"/>
          <w:szCs w:val="28"/>
        </w:rPr>
        <w:t>第五条 保密责任</w:t>
      </w:r>
      <w:bookmarkEnd w:id="586"/>
    </w:p>
    <w:p>
      <w:pPr>
        <w:wordWrap w:val="0"/>
        <w:topLinePunct/>
        <w:spacing w:line="360" w:lineRule="auto"/>
        <w:ind w:firstLine="480" w:firstLineChars="200"/>
        <w:contextualSpacing/>
        <w:jc w:val="left"/>
        <w:textAlignment w:val="baseline"/>
        <w:rPr>
          <w:rFonts w:ascii="宋体" w:hAnsi="宋体" w:cs="SimSun-Identity-H"/>
          <w:bCs/>
          <w:kern w:val="0"/>
          <w:sz w:val="24"/>
        </w:rPr>
      </w:pPr>
      <w:bookmarkStart w:id="587" w:name="_Toc441148779"/>
      <w:r>
        <w:rPr>
          <w:rFonts w:hint="eastAsia" w:ascii="宋体" w:hAnsi="宋体" w:cs="SimSun-Identity-H"/>
          <w:bCs/>
          <w:kern w:val="0"/>
          <w:sz w:val="24"/>
        </w:rPr>
        <w:t>因履行本合同，</w:t>
      </w:r>
      <w:r>
        <w:rPr>
          <w:rFonts w:hint="eastAsia" w:ascii="宋体" w:hAnsi="宋体" w:cs="SimSun-Identity-H"/>
          <w:kern w:val="0"/>
          <w:sz w:val="24"/>
        </w:rPr>
        <w:t>咨询单位</w:t>
      </w:r>
      <w:r>
        <w:rPr>
          <w:rFonts w:hint="eastAsia" w:ascii="宋体" w:hAnsi="宋体" w:cs="SimSun-Identity-H"/>
          <w:bCs/>
          <w:kern w:val="0"/>
          <w:sz w:val="24"/>
        </w:rPr>
        <w:t>需要承担的保密义务和责任如下：</w:t>
      </w:r>
      <w:bookmarkEnd w:id="587"/>
    </w:p>
    <w:p>
      <w:pPr>
        <w:wordWrap w:val="0"/>
        <w:topLinePunct/>
        <w:spacing w:line="360" w:lineRule="auto"/>
        <w:ind w:firstLine="482" w:firstLineChars="200"/>
        <w:contextualSpacing/>
        <w:jc w:val="left"/>
        <w:textAlignment w:val="baseline"/>
        <w:rPr>
          <w:rFonts w:ascii="宋体" w:hAnsi="宋体"/>
          <w:kern w:val="0"/>
          <w:sz w:val="24"/>
        </w:rPr>
      </w:pPr>
      <w:bookmarkStart w:id="588" w:name="_Toc6555"/>
      <w:bookmarkStart w:id="589" w:name="_Toc441148780"/>
      <w:r>
        <w:rPr>
          <w:rFonts w:hint="eastAsia" w:ascii="宋体" w:hAnsi="宋体"/>
          <w:b/>
          <w:kern w:val="0"/>
          <w:sz w:val="24"/>
        </w:rPr>
        <w:t xml:space="preserve">5.1 </w:t>
      </w:r>
      <w:r>
        <w:rPr>
          <w:rFonts w:ascii="宋体" w:hAnsi="宋体"/>
          <w:b/>
          <w:kern w:val="0"/>
          <w:sz w:val="24"/>
        </w:rPr>
        <w:t>保密内容</w:t>
      </w:r>
      <w:r>
        <w:rPr>
          <w:rFonts w:ascii="宋体" w:hAnsi="宋体"/>
          <w:kern w:val="0"/>
          <w:sz w:val="24"/>
        </w:rPr>
        <w:t>（包括</w:t>
      </w:r>
      <w:r>
        <w:rPr>
          <w:rFonts w:hint="eastAsia" w:ascii="宋体" w:hAnsi="宋体"/>
          <w:kern w:val="0"/>
          <w:sz w:val="24"/>
        </w:rPr>
        <w:t>但不限于</w:t>
      </w:r>
      <w:r>
        <w:rPr>
          <w:rFonts w:ascii="宋体" w:hAnsi="宋体"/>
          <w:kern w:val="0"/>
          <w:sz w:val="24"/>
        </w:rPr>
        <w:t>技术信息和经营信息）：</w:t>
      </w:r>
      <w:r>
        <w:rPr>
          <w:rFonts w:hint="eastAsia" w:ascii="宋体" w:hAnsi="宋体"/>
          <w:kern w:val="0"/>
          <w:sz w:val="24"/>
        </w:rPr>
        <w:t>指发包人及其公司员工在任何时间（包括本合同签署前后）以口头形式、书面形式或其它形式向</w:t>
      </w:r>
      <w:r>
        <w:rPr>
          <w:rFonts w:hint="eastAsia" w:ascii="宋体" w:hAnsi="宋体" w:cs="SimSun-Identity-H"/>
          <w:kern w:val="0"/>
          <w:sz w:val="24"/>
        </w:rPr>
        <w:t>咨询单位</w:t>
      </w:r>
      <w:r>
        <w:rPr>
          <w:rFonts w:hint="eastAsia" w:ascii="宋体" w:hAnsi="宋体"/>
          <w:kern w:val="0"/>
          <w:sz w:val="24"/>
        </w:rPr>
        <w:t>及其咨询人员披露或提供的有关项目、以及发包人或其集团成员业务方面的任何资料和信息；本合同文件和本合同项下的成果。</w:t>
      </w:r>
      <w:bookmarkEnd w:id="588"/>
      <w:bookmarkEnd w:id="589"/>
    </w:p>
    <w:p>
      <w:pPr>
        <w:wordWrap w:val="0"/>
        <w:topLinePunct/>
        <w:spacing w:line="360" w:lineRule="auto"/>
        <w:ind w:firstLine="480" w:firstLineChars="200"/>
        <w:contextualSpacing/>
        <w:jc w:val="left"/>
        <w:textAlignment w:val="baseline"/>
        <w:rPr>
          <w:rFonts w:ascii="宋体" w:hAnsi="宋体"/>
          <w:kern w:val="0"/>
          <w:sz w:val="24"/>
        </w:rPr>
      </w:pPr>
      <w:bookmarkStart w:id="590" w:name="_Toc441148781"/>
      <w:r>
        <w:rPr>
          <w:rFonts w:hint="eastAsia" w:ascii="宋体" w:hAnsi="宋体"/>
          <w:kern w:val="0"/>
          <w:sz w:val="24"/>
        </w:rPr>
        <w:t>对发包人</w:t>
      </w:r>
      <w:r>
        <w:rPr>
          <w:rFonts w:ascii="宋体" w:hAnsi="宋体"/>
          <w:kern w:val="0"/>
          <w:sz w:val="24"/>
        </w:rPr>
        <w:t>提供给</w:t>
      </w:r>
      <w:r>
        <w:rPr>
          <w:rFonts w:hint="eastAsia" w:ascii="宋体" w:hAnsi="宋体" w:cs="SimSun-Identity-H"/>
          <w:kern w:val="0"/>
          <w:sz w:val="24"/>
        </w:rPr>
        <w:t>咨询单位</w:t>
      </w:r>
      <w:r>
        <w:rPr>
          <w:rFonts w:ascii="宋体" w:hAnsi="宋体"/>
          <w:kern w:val="0"/>
          <w:sz w:val="24"/>
        </w:rPr>
        <w:t>的技术资料</w:t>
      </w:r>
      <w:r>
        <w:rPr>
          <w:rFonts w:hint="eastAsia" w:ascii="宋体" w:hAnsi="宋体"/>
          <w:kern w:val="0"/>
          <w:sz w:val="24"/>
        </w:rPr>
        <w:t>及本合同文件和本合同项下的咨询报告，</w:t>
      </w:r>
      <w:r>
        <w:rPr>
          <w:rFonts w:hint="eastAsia" w:ascii="宋体" w:hAnsi="宋体" w:cs="SimSun-Identity-H"/>
          <w:kern w:val="0"/>
          <w:sz w:val="24"/>
        </w:rPr>
        <w:t>咨询单位</w:t>
      </w:r>
      <w:r>
        <w:rPr>
          <w:rFonts w:hint="eastAsia" w:ascii="宋体" w:hAnsi="宋体"/>
          <w:kern w:val="0"/>
          <w:sz w:val="24"/>
        </w:rPr>
        <w:t>郑重承诺对发包人的上述的文档资料和一切未授权</w:t>
      </w:r>
      <w:r>
        <w:rPr>
          <w:rFonts w:hint="eastAsia" w:ascii="宋体" w:hAnsi="宋体" w:cs="SimSun-Identity-H"/>
          <w:kern w:val="0"/>
          <w:sz w:val="24"/>
        </w:rPr>
        <w:t>咨询单位</w:t>
      </w:r>
      <w:r>
        <w:rPr>
          <w:rFonts w:hint="eastAsia" w:ascii="宋体" w:hAnsi="宋体"/>
          <w:kern w:val="0"/>
          <w:sz w:val="24"/>
        </w:rPr>
        <w:t>公开的信息承担保密义务，不得向任何人透露在双方合作中获得的发包人商业机密；发包人、勘察设计单位</w:t>
      </w:r>
      <w:r>
        <w:rPr>
          <w:rFonts w:ascii="宋体" w:hAnsi="宋体"/>
          <w:kern w:val="0"/>
          <w:sz w:val="24"/>
        </w:rPr>
        <w:t>提供给</w:t>
      </w:r>
      <w:r>
        <w:rPr>
          <w:rFonts w:hint="eastAsia" w:ascii="宋体" w:hAnsi="宋体" w:cs="SimSun-Identity-H"/>
          <w:kern w:val="0"/>
          <w:sz w:val="24"/>
        </w:rPr>
        <w:t>咨询单位</w:t>
      </w:r>
      <w:r>
        <w:rPr>
          <w:rFonts w:ascii="宋体" w:hAnsi="宋体"/>
          <w:kern w:val="0"/>
          <w:sz w:val="24"/>
        </w:rPr>
        <w:t>的</w:t>
      </w:r>
      <w:r>
        <w:rPr>
          <w:rFonts w:hint="eastAsia" w:ascii="宋体" w:hAnsi="宋体"/>
          <w:kern w:val="0"/>
          <w:sz w:val="24"/>
        </w:rPr>
        <w:t>任何</w:t>
      </w:r>
      <w:r>
        <w:rPr>
          <w:rFonts w:ascii="宋体" w:hAnsi="宋体"/>
          <w:kern w:val="0"/>
          <w:sz w:val="24"/>
        </w:rPr>
        <w:t>资料</w:t>
      </w:r>
      <w:r>
        <w:rPr>
          <w:rFonts w:hint="eastAsia" w:ascii="宋体" w:hAnsi="宋体"/>
          <w:kern w:val="0"/>
          <w:sz w:val="24"/>
        </w:rPr>
        <w:t>和信息，以及本合同文件和本合同项下的咨询报告，未经发包人授权，</w:t>
      </w:r>
      <w:r>
        <w:rPr>
          <w:rFonts w:hint="eastAsia" w:ascii="宋体" w:hAnsi="宋体" w:cs="SimSun-Identity-H"/>
          <w:kern w:val="0"/>
          <w:sz w:val="24"/>
        </w:rPr>
        <w:t>咨询单位</w:t>
      </w:r>
      <w:r>
        <w:rPr>
          <w:rFonts w:ascii="宋体" w:hAnsi="宋体"/>
          <w:kern w:val="0"/>
          <w:sz w:val="24"/>
        </w:rPr>
        <w:t>不得</w:t>
      </w:r>
      <w:r>
        <w:rPr>
          <w:rFonts w:hint="eastAsia" w:ascii="宋体" w:hAnsi="宋体"/>
          <w:kern w:val="0"/>
          <w:sz w:val="24"/>
        </w:rPr>
        <w:t>以任何方式</w:t>
      </w:r>
      <w:r>
        <w:rPr>
          <w:rFonts w:ascii="宋体" w:hAnsi="宋体"/>
          <w:kern w:val="0"/>
          <w:sz w:val="24"/>
        </w:rPr>
        <w:t>向第三方</w:t>
      </w:r>
      <w:r>
        <w:rPr>
          <w:rFonts w:hint="eastAsia" w:ascii="宋体" w:hAnsi="宋体"/>
          <w:kern w:val="0"/>
          <w:sz w:val="24"/>
        </w:rPr>
        <w:t>提供和泄露</w:t>
      </w:r>
      <w:r>
        <w:rPr>
          <w:rFonts w:ascii="宋体" w:hAnsi="宋体"/>
          <w:kern w:val="0"/>
          <w:sz w:val="24"/>
        </w:rPr>
        <w:t>。</w:t>
      </w:r>
      <w:bookmarkEnd w:id="590"/>
    </w:p>
    <w:p>
      <w:pPr>
        <w:wordWrap w:val="0"/>
        <w:topLinePunct/>
        <w:spacing w:line="360" w:lineRule="auto"/>
        <w:ind w:firstLine="482" w:firstLineChars="200"/>
        <w:contextualSpacing/>
        <w:jc w:val="left"/>
        <w:textAlignment w:val="baseline"/>
        <w:rPr>
          <w:rFonts w:ascii="宋体" w:hAnsi="宋体"/>
          <w:kern w:val="0"/>
          <w:sz w:val="24"/>
        </w:rPr>
      </w:pPr>
      <w:bookmarkStart w:id="591" w:name="_Toc441148782"/>
      <w:bookmarkStart w:id="592" w:name="_Toc13644"/>
      <w:r>
        <w:rPr>
          <w:rFonts w:hint="eastAsia" w:ascii="宋体" w:hAnsi="宋体"/>
          <w:b/>
          <w:kern w:val="0"/>
          <w:sz w:val="24"/>
        </w:rPr>
        <w:t xml:space="preserve">5.2 </w:t>
      </w:r>
      <w:r>
        <w:rPr>
          <w:rFonts w:ascii="宋体" w:hAnsi="宋体"/>
          <w:b/>
          <w:kern w:val="0"/>
          <w:sz w:val="24"/>
        </w:rPr>
        <w:t>涉密人员范围：</w:t>
      </w:r>
      <w:r>
        <w:rPr>
          <w:rFonts w:hint="eastAsia" w:ascii="宋体" w:hAnsi="宋体" w:cs="SimSun-Identity-H"/>
          <w:kern w:val="0"/>
          <w:sz w:val="24"/>
        </w:rPr>
        <w:t>咨询单位</w:t>
      </w:r>
      <w:r>
        <w:rPr>
          <w:rFonts w:hint="eastAsia" w:ascii="宋体" w:hAnsi="宋体"/>
          <w:kern w:val="0"/>
          <w:sz w:val="24"/>
        </w:rPr>
        <w:t>及其雇用人员。</w:t>
      </w:r>
      <w:bookmarkEnd w:id="591"/>
      <w:bookmarkEnd w:id="592"/>
    </w:p>
    <w:p>
      <w:pPr>
        <w:wordWrap w:val="0"/>
        <w:topLinePunct/>
        <w:spacing w:line="360" w:lineRule="auto"/>
        <w:ind w:firstLine="482" w:firstLineChars="200"/>
        <w:contextualSpacing/>
        <w:jc w:val="left"/>
        <w:textAlignment w:val="baseline"/>
        <w:rPr>
          <w:rFonts w:ascii="宋体" w:hAnsi="宋体"/>
          <w:kern w:val="0"/>
          <w:sz w:val="24"/>
        </w:rPr>
      </w:pPr>
      <w:bookmarkStart w:id="593" w:name="_Toc441148783"/>
      <w:bookmarkStart w:id="594" w:name="_Toc15361"/>
      <w:r>
        <w:rPr>
          <w:rFonts w:hint="eastAsia" w:ascii="宋体" w:hAnsi="宋体"/>
          <w:b/>
          <w:kern w:val="0"/>
          <w:sz w:val="24"/>
        </w:rPr>
        <w:t xml:space="preserve">5.3 </w:t>
      </w:r>
      <w:r>
        <w:rPr>
          <w:rFonts w:ascii="宋体" w:hAnsi="宋体"/>
          <w:b/>
          <w:kern w:val="0"/>
          <w:sz w:val="24"/>
        </w:rPr>
        <w:t>保密期限：</w:t>
      </w:r>
      <w:r>
        <w:rPr>
          <w:rFonts w:ascii="宋体" w:hAnsi="宋体"/>
          <w:kern w:val="0"/>
          <w:sz w:val="24"/>
        </w:rPr>
        <w:t>永久。</w:t>
      </w:r>
      <w:r>
        <w:rPr>
          <w:rFonts w:hint="eastAsia" w:ascii="宋体" w:hAnsi="宋体"/>
          <w:kern w:val="0"/>
          <w:sz w:val="24"/>
        </w:rPr>
        <w:t>不因双方提前解除或终止或履行完本合同或</w:t>
      </w:r>
      <w:r>
        <w:rPr>
          <w:rFonts w:hint="eastAsia" w:ascii="宋体" w:hAnsi="宋体" w:cs="SimSun-Identity-H"/>
          <w:kern w:val="0"/>
          <w:sz w:val="24"/>
        </w:rPr>
        <w:t>咨询单位</w:t>
      </w:r>
      <w:r>
        <w:rPr>
          <w:rFonts w:hint="eastAsia" w:ascii="宋体" w:hAnsi="宋体"/>
          <w:kern w:val="0"/>
          <w:sz w:val="24"/>
        </w:rPr>
        <w:t>返还保密信息给发包人而影响咨询单位继续履行本协议约定的保密义务。</w:t>
      </w:r>
      <w:bookmarkEnd w:id="593"/>
      <w:bookmarkEnd w:id="594"/>
    </w:p>
    <w:p>
      <w:pPr>
        <w:wordWrap w:val="0"/>
        <w:topLinePunct/>
        <w:spacing w:line="360" w:lineRule="auto"/>
        <w:ind w:firstLine="482" w:firstLineChars="200"/>
        <w:contextualSpacing/>
        <w:jc w:val="left"/>
        <w:textAlignment w:val="baseline"/>
        <w:rPr>
          <w:rFonts w:ascii="宋体" w:hAnsi="宋体"/>
          <w:kern w:val="0"/>
          <w:sz w:val="24"/>
        </w:rPr>
      </w:pPr>
      <w:bookmarkStart w:id="595" w:name="_Toc441148784"/>
      <w:bookmarkStart w:id="596" w:name="_Toc14328"/>
      <w:r>
        <w:rPr>
          <w:rFonts w:hint="eastAsia" w:ascii="宋体" w:hAnsi="宋体"/>
          <w:b/>
          <w:kern w:val="0"/>
          <w:sz w:val="24"/>
        </w:rPr>
        <w:t>5.4</w:t>
      </w:r>
      <w:r>
        <w:rPr>
          <w:rFonts w:ascii="宋体" w:hAnsi="宋体"/>
          <w:b/>
          <w:kern w:val="0"/>
          <w:sz w:val="24"/>
        </w:rPr>
        <w:t>泄密责任：</w:t>
      </w:r>
      <w:r>
        <w:rPr>
          <w:rFonts w:hint="eastAsia" w:ascii="宋体" w:hAnsi="宋体" w:cs="SimSun-Identity-H"/>
          <w:kern w:val="0"/>
          <w:sz w:val="24"/>
        </w:rPr>
        <w:t>咨询单位</w:t>
      </w:r>
      <w:r>
        <w:rPr>
          <w:rFonts w:hint="eastAsia" w:ascii="宋体" w:hAnsi="宋体"/>
          <w:kern w:val="0"/>
          <w:sz w:val="24"/>
        </w:rPr>
        <w:t>除</w:t>
      </w:r>
      <w:r>
        <w:rPr>
          <w:rFonts w:ascii="宋体" w:hAnsi="宋体"/>
          <w:kern w:val="0"/>
          <w:sz w:val="24"/>
        </w:rPr>
        <w:t>赔偿</w:t>
      </w:r>
      <w:r>
        <w:rPr>
          <w:rFonts w:hint="eastAsia" w:ascii="宋体" w:hAnsi="宋体"/>
          <w:kern w:val="0"/>
          <w:sz w:val="24"/>
        </w:rPr>
        <w:t>发包人</w:t>
      </w:r>
      <w:r>
        <w:rPr>
          <w:rFonts w:ascii="宋体" w:hAnsi="宋体"/>
          <w:kern w:val="0"/>
          <w:sz w:val="24"/>
        </w:rPr>
        <w:t>人民币</w:t>
      </w:r>
      <w:r>
        <w:rPr>
          <w:rFonts w:hint="eastAsia" w:ascii="宋体" w:hAnsi="宋体"/>
          <w:kern w:val="0"/>
          <w:sz w:val="24"/>
          <w:u w:val="single"/>
        </w:rPr>
        <w:t>伍</w:t>
      </w:r>
      <w:r>
        <w:rPr>
          <w:rFonts w:ascii="宋体" w:hAnsi="宋体"/>
          <w:kern w:val="0"/>
          <w:sz w:val="24"/>
        </w:rPr>
        <w:t>万元整</w:t>
      </w:r>
      <w:r>
        <w:rPr>
          <w:rFonts w:hint="eastAsia" w:ascii="宋体" w:hAnsi="宋体"/>
          <w:kern w:val="0"/>
          <w:sz w:val="24"/>
        </w:rPr>
        <w:t>的违约金外，还须</w:t>
      </w:r>
      <w:r>
        <w:rPr>
          <w:rFonts w:ascii="宋体" w:hAnsi="宋体"/>
          <w:kern w:val="0"/>
          <w:sz w:val="24"/>
        </w:rPr>
        <w:t>承担</w:t>
      </w:r>
      <w:r>
        <w:rPr>
          <w:rFonts w:hint="eastAsia" w:ascii="宋体" w:hAnsi="宋体"/>
          <w:kern w:val="0"/>
          <w:sz w:val="24"/>
        </w:rPr>
        <w:t>因其泄密造成发包人</w:t>
      </w:r>
      <w:r>
        <w:rPr>
          <w:rFonts w:ascii="宋体" w:hAnsi="宋体"/>
          <w:kern w:val="0"/>
          <w:sz w:val="24"/>
        </w:rPr>
        <w:t>所有</w:t>
      </w:r>
      <w:r>
        <w:rPr>
          <w:rFonts w:hint="eastAsia" w:ascii="宋体" w:hAnsi="宋体"/>
          <w:kern w:val="0"/>
          <w:sz w:val="24"/>
        </w:rPr>
        <w:t>的</w:t>
      </w:r>
      <w:r>
        <w:rPr>
          <w:rFonts w:ascii="宋体" w:hAnsi="宋体"/>
          <w:kern w:val="0"/>
          <w:sz w:val="24"/>
        </w:rPr>
        <w:t>经济损失</w:t>
      </w:r>
      <w:r>
        <w:rPr>
          <w:rFonts w:hint="eastAsia" w:ascii="宋体" w:hAnsi="宋体"/>
          <w:kern w:val="0"/>
          <w:sz w:val="24"/>
        </w:rPr>
        <w:t>并承担相应的法律责任</w:t>
      </w:r>
      <w:r>
        <w:rPr>
          <w:rFonts w:ascii="宋体" w:hAnsi="宋体"/>
          <w:kern w:val="0"/>
          <w:sz w:val="24"/>
        </w:rPr>
        <w:t>。</w:t>
      </w:r>
      <w:bookmarkEnd w:id="595"/>
      <w:bookmarkEnd w:id="596"/>
    </w:p>
    <w:p>
      <w:pPr>
        <w:wordWrap w:val="0"/>
        <w:topLinePunct/>
        <w:spacing w:line="360" w:lineRule="auto"/>
        <w:ind w:firstLine="482" w:firstLineChars="200"/>
        <w:contextualSpacing/>
        <w:jc w:val="left"/>
        <w:textAlignment w:val="baseline"/>
        <w:rPr>
          <w:rFonts w:ascii="宋体" w:hAnsi="宋体"/>
          <w:kern w:val="0"/>
          <w:sz w:val="24"/>
        </w:rPr>
      </w:pPr>
      <w:bookmarkStart w:id="597" w:name="_Toc441148785"/>
      <w:bookmarkStart w:id="598" w:name="_Toc31615"/>
      <w:r>
        <w:rPr>
          <w:rFonts w:hint="eastAsia" w:ascii="宋体" w:hAnsi="宋体"/>
          <w:b/>
          <w:kern w:val="0"/>
          <w:sz w:val="24"/>
        </w:rPr>
        <w:t>5.5保密信息的返还：</w:t>
      </w:r>
      <w:r>
        <w:rPr>
          <w:rFonts w:hint="eastAsia" w:ascii="宋体" w:hAnsi="宋体"/>
          <w:kern w:val="0"/>
          <w:sz w:val="24"/>
        </w:rPr>
        <w:t>如果提前解除或终止本合同时，</w:t>
      </w:r>
      <w:r>
        <w:rPr>
          <w:rFonts w:hint="eastAsia" w:ascii="宋体" w:hAnsi="宋体" w:cs="SimSun-Identity-H"/>
          <w:kern w:val="0"/>
          <w:sz w:val="24"/>
        </w:rPr>
        <w:t>咨询单位</w:t>
      </w:r>
      <w:r>
        <w:rPr>
          <w:rFonts w:hint="eastAsia" w:ascii="宋体" w:hAnsi="宋体"/>
          <w:kern w:val="0"/>
          <w:sz w:val="24"/>
        </w:rPr>
        <w:t>须将发包人</w:t>
      </w:r>
      <w:r>
        <w:rPr>
          <w:rFonts w:ascii="宋体" w:hAnsi="宋体"/>
          <w:kern w:val="0"/>
          <w:sz w:val="24"/>
        </w:rPr>
        <w:t>提供</w:t>
      </w:r>
      <w:r>
        <w:rPr>
          <w:rFonts w:hint="eastAsia" w:ascii="宋体" w:hAnsi="宋体"/>
          <w:kern w:val="0"/>
          <w:sz w:val="24"/>
        </w:rPr>
        <w:t>的所有保密信息、包括直接或间接占有或控制的保密信息的所有电子或书面形式的文件及记录（含复本），以及本合同文件和合同履行过程中形成的分析、研究文件或成果，及时、妥善地返还给发包人，或在发包人的监督下予以彻底销毁，不得保存任何复本。</w:t>
      </w:r>
      <w:r>
        <w:rPr>
          <w:rFonts w:hint="eastAsia" w:ascii="宋体" w:hAnsi="宋体" w:cs="SimSun-Identity-H"/>
          <w:kern w:val="0"/>
          <w:sz w:val="24"/>
        </w:rPr>
        <w:t>咨询单位</w:t>
      </w:r>
      <w:r>
        <w:rPr>
          <w:rFonts w:hint="eastAsia" w:ascii="宋体" w:hAnsi="宋体"/>
          <w:kern w:val="0"/>
          <w:sz w:val="24"/>
        </w:rPr>
        <w:t>对尚未公开披露的上述保密信息继续负有保密义务，直至该等信息成为公开信息。</w:t>
      </w:r>
      <w:bookmarkEnd w:id="597"/>
      <w:bookmarkEnd w:id="598"/>
    </w:p>
    <w:p>
      <w:pPr>
        <w:wordWrap w:val="0"/>
        <w:topLinePunct/>
        <w:spacing w:line="360" w:lineRule="auto"/>
        <w:ind w:firstLine="200"/>
        <w:contextualSpacing/>
        <w:jc w:val="center"/>
        <w:textAlignment w:val="baseline"/>
        <w:rPr>
          <w:rFonts w:ascii="宋体" w:hAnsi="宋体" w:cs="SimSun-Identity-H"/>
          <w:b/>
          <w:kern w:val="0"/>
          <w:sz w:val="24"/>
        </w:rPr>
      </w:pPr>
    </w:p>
    <w:p>
      <w:pPr>
        <w:wordWrap w:val="0"/>
        <w:topLinePunct/>
        <w:spacing w:line="360" w:lineRule="auto"/>
        <w:contextualSpacing/>
        <w:jc w:val="center"/>
        <w:textAlignment w:val="baseline"/>
        <w:rPr>
          <w:rFonts w:ascii="黑体" w:hAnsi="黑体" w:eastAsia="黑体" w:cs="SimSun-Identity-H"/>
          <w:kern w:val="0"/>
          <w:sz w:val="28"/>
          <w:szCs w:val="28"/>
        </w:rPr>
      </w:pPr>
      <w:r>
        <w:rPr>
          <w:rFonts w:hint="eastAsia" w:ascii="黑体" w:hAnsi="黑体" w:eastAsia="黑体" w:cs="SimSun-Identity-H"/>
          <w:kern w:val="0"/>
          <w:sz w:val="28"/>
          <w:szCs w:val="28"/>
        </w:rPr>
        <w:t xml:space="preserve">第六条 </w:t>
      </w:r>
      <w:bookmarkStart w:id="599" w:name="_Toc441148786"/>
      <w:r>
        <w:rPr>
          <w:rFonts w:hint="eastAsia" w:ascii="黑体" w:hAnsi="黑体" w:eastAsia="黑体" w:cs="SimSun-Identity-H"/>
          <w:kern w:val="0"/>
          <w:sz w:val="28"/>
          <w:szCs w:val="28"/>
        </w:rPr>
        <w:t>违约与赔偿</w:t>
      </w:r>
      <w:bookmarkEnd w:id="555"/>
      <w:bookmarkEnd w:id="599"/>
      <w:bookmarkStart w:id="600" w:name="_Toc429404161"/>
    </w:p>
    <w:p>
      <w:pPr>
        <w:wordWrap w:val="0"/>
        <w:topLinePunct/>
        <w:spacing w:line="360" w:lineRule="auto"/>
        <w:ind w:firstLine="482" w:firstLineChars="200"/>
        <w:contextualSpacing/>
        <w:jc w:val="left"/>
        <w:textAlignment w:val="baseline"/>
        <w:rPr>
          <w:rFonts w:ascii="宋体" w:hAnsi="宋体" w:cs="SimSun-Identity-H"/>
          <w:b/>
          <w:bCs/>
          <w:kern w:val="0"/>
          <w:sz w:val="24"/>
        </w:rPr>
      </w:pPr>
      <w:bookmarkStart w:id="601" w:name="_Toc441148787"/>
      <w:r>
        <w:rPr>
          <w:rFonts w:hint="eastAsia" w:ascii="宋体" w:hAnsi="宋体" w:cs="SimSun-Identity-H"/>
          <w:b/>
          <w:bCs/>
          <w:kern w:val="0"/>
          <w:sz w:val="24"/>
        </w:rPr>
        <w:t>6</w:t>
      </w:r>
      <w:r>
        <w:rPr>
          <w:rFonts w:ascii="宋体" w:hAnsi="宋体" w:cs="SimSun-Identity-H"/>
          <w:b/>
          <w:bCs/>
          <w:kern w:val="0"/>
          <w:sz w:val="24"/>
        </w:rPr>
        <w:t xml:space="preserve">.1 </w:t>
      </w:r>
      <w:r>
        <w:rPr>
          <w:rFonts w:hint="eastAsia" w:ascii="宋体" w:hAnsi="宋体" w:cs="SimSun-Identity-H"/>
          <w:b/>
          <w:bCs/>
          <w:kern w:val="0"/>
          <w:sz w:val="24"/>
        </w:rPr>
        <w:t>发包人的违约</w:t>
      </w:r>
      <w:bookmarkEnd w:id="600"/>
      <w:bookmarkEnd w:id="601"/>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02" w:name="_Toc441148789"/>
      <w:bookmarkStart w:id="603" w:name="_Toc429404163"/>
      <w:r>
        <w:rPr>
          <w:rFonts w:hint="eastAsia" w:ascii="宋体" w:hAnsi="宋体" w:cs="SimSun-Identity-H"/>
          <w:kern w:val="0"/>
          <w:sz w:val="24"/>
        </w:rPr>
        <w:t>6.1.1 在合同履行期间，发包人要求终止或解除合同的（但并非咨询单位原因造成），发包人除应按咨询单位完成的实际工作量支付费用之外，还应按剩余合同价的%</w:t>
      </w:r>
      <w:r>
        <w:rPr>
          <w:rStyle w:val="56"/>
          <w:rFonts w:ascii="宋体" w:hAnsi="宋体"/>
          <w:kern w:val="0"/>
          <w:sz w:val="32"/>
          <w:szCs w:val="32"/>
        </w:rPr>
        <w:footnoteReference w:id="68"/>
      </w:r>
      <w:r>
        <w:rPr>
          <w:rFonts w:hint="eastAsia" w:ascii="宋体" w:hAnsi="宋体" w:cs="SimSun-Identity-H"/>
          <w:kern w:val="0"/>
          <w:sz w:val="24"/>
        </w:rPr>
        <w:t>向咨询单位支付违约金。</w:t>
      </w:r>
      <w:bookmarkEnd w:id="602"/>
      <w:bookmarkEnd w:id="603"/>
    </w:p>
    <w:p>
      <w:pPr>
        <w:wordWrap w:val="0"/>
        <w:topLinePunct/>
        <w:spacing w:line="360" w:lineRule="auto"/>
        <w:ind w:firstLine="480" w:firstLineChars="200"/>
        <w:contextualSpacing/>
        <w:jc w:val="left"/>
        <w:textAlignment w:val="baseline"/>
        <w:rPr>
          <w:rFonts w:ascii="宋体" w:hAnsi="宋体" w:cs="SimSun-Identity-H"/>
          <w:kern w:val="0"/>
          <w:sz w:val="24"/>
        </w:rPr>
      </w:pPr>
      <w:r>
        <w:rPr>
          <w:rFonts w:hint="eastAsia" w:ascii="宋体" w:hAnsi="宋体" w:cs="SimSun-Identity-H"/>
          <w:kern w:val="0"/>
          <w:sz w:val="24"/>
        </w:rPr>
        <w:t>6.1.2</w:t>
      </w:r>
      <w:r>
        <w:rPr>
          <w:rFonts w:ascii="宋体" w:hAnsi="宋体" w:cs="SimSun-Identity-H"/>
          <w:kern w:val="0"/>
          <w:sz w:val="24"/>
        </w:rPr>
        <w:t>发包人未能</w:t>
      </w:r>
      <w:r>
        <w:rPr>
          <w:rFonts w:hint="eastAsia" w:ascii="宋体" w:hAnsi="宋体" w:cs="SimSun-Identity-H"/>
          <w:kern w:val="0"/>
          <w:sz w:val="24"/>
        </w:rPr>
        <w:t>按4.2.7款规定时间进行支付</w:t>
      </w:r>
      <w:r>
        <w:rPr>
          <w:rFonts w:ascii="宋体" w:hAnsi="宋体" w:cs="SimSun-Identity-H"/>
          <w:kern w:val="0"/>
          <w:sz w:val="24"/>
        </w:rPr>
        <w:t>，</w:t>
      </w:r>
      <w:r>
        <w:rPr>
          <w:rFonts w:hint="eastAsia" w:ascii="宋体" w:hAnsi="宋体" w:cs="SimSun-Identity-H"/>
          <w:kern w:val="0"/>
          <w:sz w:val="24"/>
        </w:rPr>
        <w:t>咨询单位可向发包人发出要求付款的通知，发包人收到咨询单位通知后仍不能按要求付款，可与咨询单位协商签订延期付款协议，经咨询单位同意后可延期支付。如发包人仍未能在协商的期限内付款，每延期支付1天，</w:t>
      </w:r>
      <w:r>
        <w:rPr>
          <w:rFonts w:ascii="宋体" w:hAnsi="宋体" w:cs="SimSun-Identity-H"/>
          <w:kern w:val="0"/>
          <w:sz w:val="24"/>
        </w:rPr>
        <w:t>则发包人应</w:t>
      </w:r>
      <w:r>
        <w:rPr>
          <w:rFonts w:hint="eastAsia" w:ascii="宋体" w:hAnsi="宋体" w:cs="SimSun-Identity-H"/>
          <w:kern w:val="0"/>
          <w:sz w:val="24"/>
        </w:rPr>
        <w:t>付给咨询单位拖欠金额的</w:t>
      </w:r>
      <w:r>
        <w:rPr>
          <w:rFonts w:hint="eastAsia" w:ascii="宋体" w:hAnsi="宋体" w:cs="SimSun-Identity-H"/>
          <w:kern w:val="0"/>
          <w:sz w:val="24"/>
          <w:u w:val="single"/>
          <w:lang w:val="en-US" w:eastAsia="zh-CN"/>
        </w:rPr>
        <w:t xml:space="preserve">   </w:t>
      </w:r>
      <w:r>
        <w:rPr>
          <w:rFonts w:ascii="宋体" w:hAnsi="宋体" w:cs="SimSun-Identity-H"/>
          <w:kern w:val="0"/>
          <w:sz w:val="24"/>
        </w:rPr>
        <w:t>‰</w:t>
      </w:r>
      <w:r>
        <w:rPr>
          <w:rStyle w:val="56"/>
          <w:rFonts w:ascii="宋体" w:hAnsi="宋体"/>
          <w:kern w:val="0"/>
          <w:sz w:val="32"/>
          <w:szCs w:val="32"/>
        </w:rPr>
        <w:footnoteReference w:id="69"/>
      </w:r>
      <w:r>
        <w:rPr>
          <w:rFonts w:hint="eastAsia" w:ascii="宋体" w:hAnsi="宋体" w:cs="SimSun-Identity-H"/>
          <w:kern w:val="0"/>
          <w:sz w:val="24"/>
        </w:rPr>
        <w:t>的违约金。</w:t>
      </w:r>
    </w:p>
    <w:p>
      <w:pPr>
        <w:wordWrap w:val="0"/>
        <w:topLinePunct/>
        <w:spacing w:line="360" w:lineRule="auto"/>
        <w:ind w:firstLine="482" w:firstLineChars="200"/>
        <w:contextualSpacing/>
        <w:jc w:val="left"/>
        <w:textAlignment w:val="baseline"/>
        <w:rPr>
          <w:rFonts w:ascii="宋体" w:hAnsi="宋体" w:cs="SimSun-Identity-H"/>
          <w:b/>
          <w:bCs/>
          <w:kern w:val="0"/>
          <w:sz w:val="24"/>
        </w:rPr>
      </w:pPr>
      <w:bookmarkStart w:id="604" w:name="_Toc441148790"/>
      <w:bookmarkStart w:id="605" w:name="_Toc429404164"/>
      <w:r>
        <w:rPr>
          <w:rFonts w:hint="eastAsia" w:ascii="宋体" w:hAnsi="宋体" w:cs="SimSun-Identity-H"/>
          <w:b/>
          <w:bCs/>
          <w:kern w:val="0"/>
          <w:sz w:val="24"/>
        </w:rPr>
        <w:t>6.2咨询单位的违约</w:t>
      </w:r>
      <w:bookmarkEnd w:id="604"/>
      <w:bookmarkEnd w:id="605"/>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06" w:name="_Toc441148791"/>
      <w:bookmarkStart w:id="607" w:name="_Toc429404165"/>
      <w:r>
        <w:rPr>
          <w:rFonts w:hint="eastAsia" w:ascii="宋体" w:hAnsi="宋体" w:cs="SimSun-Identity-H"/>
          <w:kern w:val="0"/>
          <w:sz w:val="24"/>
        </w:rPr>
        <w:t>6.2.1 咨询单位将咨询任务全部转包，或者未经发包人同意私自分包的，发包人除按确认的咨询单位实际完成工作量支付费用外，将有权中止合同，并计扣咨询单位合同价</w:t>
      </w:r>
      <w:r>
        <w:rPr>
          <w:rFonts w:hint="eastAsia" w:ascii="宋体" w:hAnsi="宋体" w:cs="SimSun-Identity-H"/>
          <w:kern w:val="0"/>
          <w:sz w:val="24"/>
          <w:u w:val="single"/>
          <w:lang w:val="en-US" w:eastAsia="zh-CN"/>
        </w:rPr>
        <w:t xml:space="preserve">    </w:t>
      </w:r>
      <w:r>
        <w:rPr>
          <w:rFonts w:hint="eastAsia" w:ascii="宋体" w:hAnsi="宋体" w:cs="SimSun-Identity-H"/>
          <w:kern w:val="0"/>
          <w:sz w:val="24"/>
        </w:rPr>
        <w:t>%</w:t>
      </w:r>
      <w:r>
        <w:rPr>
          <w:rStyle w:val="56"/>
          <w:rFonts w:ascii="宋体" w:hAnsi="宋体"/>
          <w:kern w:val="0"/>
          <w:sz w:val="32"/>
          <w:szCs w:val="32"/>
        </w:rPr>
        <w:footnoteReference w:id="70"/>
      </w:r>
      <w:r>
        <w:rPr>
          <w:rFonts w:hint="eastAsia" w:ascii="宋体" w:hAnsi="宋体" w:cs="SimSun-Identity-H"/>
          <w:kern w:val="0"/>
          <w:sz w:val="24"/>
        </w:rPr>
        <w:t>的违约金。</w:t>
      </w:r>
      <w:bookmarkEnd w:id="606"/>
      <w:bookmarkEnd w:id="607"/>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08" w:name="_Toc441148792"/>
      <w:bookmarkStart w:id="609" w:name="_Toc429404166"/>
      <w:r>
        <w:rPr>
          <w:rFonts w:hint="eastAsia" w:ascii="宋体" w:hAnsi="宋体" w:cs="SimSun-Identity-H"/>
          <w:kern w:val="0"/>
          <w:sz w:val="24"/>
        </w:rPr>
        <w:t>6.2.2 咨询单位未按照国家及交通部现行的强制性技术标准、规范和规程等相关规定进行咨询的，发包人将计扣咨询单位合同价</w:t>
      </w:r>
      <w:r>
        <w:rPr>
          <w:rFonts w:hint="eastAsia" w:ascii="宋体" w:hAnsi="宋体" w:cs="SimSun-Identity-H"/>
          <w:kern w:val="0"/>
          <w:sz w:val="24"/>
          <w:u w:val="single"/>
          <w:lang w:val="en-US" w:eastAsia="zh-CN"/>
        </w:rPr>
        <w:t xml:space="preserve">    </w:t>
      </w:r>
      <w:r>
        <w:rPr>
          <w:rFonts w:hint="eastAsia" w:ascii="宋体" w:hAnsi="宋体" w:cs="SimSun-Identity-H"/>
          <w:kern w:val="0"/>
          <w:sz w:val="24"/>
        </w:rPr>
        <w:t>%</w:t>
      </w:r>
      <w:r>
        <w:rPr>
          <w:rStyle w:val="56"/>
          <w:rFonts w:ascii="宋体" w:hAnsi="宋体"/>
          <w:kern w:val="0"/>
          <w:sz w:val="32"/>
          <w:szCs w:val="32"/>
        </w:rPr>
        <w:footnoteReference w:id="71"/>
      </w:r>
      <w:r>
        <w:rPr>
          <w:rFonts w:hint="eastAsia" w:ascii="宋体" w:hAnsi="宋体" w:cs="SimSun-Identity-H"/>
          <w:kern w:val="0"/>
          <w:sz w:val="24"/>
        </w:rPr>
        <w:t>的违约金。</w:t>
      </w:r>
      <w:bookmarkEnd w:id="608"/>
      <w:bookmarkEnd w:id="609"/>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10" w:name="_Toc429404167"/>
      <w:bookmarkStart w:id="611" w:name="_Toc441148793"/>
      <w:r>
        <w:rPr>
          <w:rFonts w:hint="eastAsia" w:ascii="宋体" w:hAnsi="宋体" w:cs="SimSun-Identity-H"/>
          <w:kern w:val="0"/>
          <w:sz w:val="24"/>
        </w:rPr>
        <w:t>6.2.3 咨询成果提交按3.1条款要求执行。若咨询单位逾期未能提交咨询成果且影响项目各阶段设计审批进度的，除了应无偿加大投入，尽快提交相应的咨询成果外，每延迟一天，发包人有权计扣元，按相应阶段费用合同价作为上限（发包人同意延长期限的除外）</w:t>
      </w:r>
      <w:bookmarkEnd w:id="610"/>
      <w:bookmarkEnd w:id="611"/>
      <w:r>
        <w:rPr>
          <w:rFonts w:hint="eastAsia" w:ascii="宋体" w:hAnsi="宋体" w:cs="SimSun-Identity-H"/>
          <w:kern w:val="0"/>
          <w:sz w:val="24"/>
        </w:rPr>
        <w:t>，如3.1条款中任何一个阶段延期超过</w:t>
      </w:r>
      <w:r>
        <w:rPr>
          <w:rFonts w:ascii="宋体" w:hAnsi="宋体" w:cs="SimSun-Identity-H"/>
          <w:kern w:val="0"/>
          <w:sz w:val="24"/>
        </w:rPr>
        <w:t>15天时，</w:t>
      </w:r>
      <w:r>
        <w:rPr>
          <w:rFonts w:hint="eastAsia" w:ascii="宋体" w:hAnsi="宋体" w:cs="SimSun-Identity-H"/>
          <w:kern w:val="0"/>
          <w:sz w:val="24"/>
        </w:rPr>
        <w:t>发包人有权终止咨询合同，取消咨询单位下阶段工作的资格，并按合同价的</w:t>
      </w:r>
      <w:r>
        <w:rPr>
          <w:rFonts w:hint="eastAsia" w:ascii="宋体" w:hAnsi="宋体" w:cs="SimSun-Identity-H"/>
          <w:kern w:val="0"/>
          <w:sz w:val="24"/>
          <w:u w:val="single"/>
          <w:lang w:val="en-US" w:eastAsia="zh-CN"/>
        </w:rPr>
        <w:t xml:space="preserve">   </w:t>
      </w:r>
      <w:r>
        <w:rPr>
          <w:rFonts w:hint="eastAsia" w:ascii="宋体" w:hAnsi="宋体" w:cs="SimSun-Identity-H"/>
          <w:kern w:val="0"/>
          <w:sz w:val="24"/>
        </w:rPr>
        <w:t>%</w:t>
      </w:r>
      <w:r>
        <w:rPr>
          <w:rStyle w:val="56"/>
          <w:rFonts w:ascii="宋体" w:hAnsi="宋体"/>
          <w:kern w:val="0"/>
          <w:sz w:val="32"/>
          <w:szCs w:val="32"/>
        </w:rPr>
        <w:footnoteReference w:id="72"/>
      </w:r>
      <w:r>
        <w:rPr>
          <w:rFonts w:ascii="宋体" w:hAnsi="宋体" w:cs="SimSun-Identity-H"/>
          <w:kern w:val="0"/>
          <w:sz w:val="24"/>
        </w:rPr>
        <w:t>扣除违约金</w:t>
      </w:r>
      <w:r>
        <w:rPr>
          <w:rFonts w:hint="eastAsia" w:ascii="宋体" w:hAnsi="宋体" w:cs="SimSun-Identity-H"/>
          <w:kern w:val="0"/>
          <w:sz w:val="24"/>
        </w:rPr>
        <w:t>。</w:t>
      </w:r>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12" w:name="_Toc429404168"/>
      <w:bookmarkStart w:id="613" w:name="_Toc441148794"/>
      <w:r>
        <w:rPr>
          <w:rFonts w:hint="eastAsia" w:ascii="宋体" w:hAnsi="宋体" w:cs="SimSun-Identity-H"/>
          <w:kern w:val="0"/>
          <w:sz w:val="24"/>
        </w:rPr>
        <w:t>6.2.4 对提交的各设计阶段成果文件因咨询工作深度不足、或出现严重偏差导致未通过发包人或上级主管单位的审批时，咨询单位应无偿修改咨询成果，且发包人除按确认的咨询单位实际完成工作量支付费用外，有权终止咨询合同，取消咨询单位下阶段工作的资格，并按合同价的</w:t>
      </w:r>
      <w:r>
        <w:rPr>
          <w:rFonts w:hint="eastAsia" w:ascii="宋体" w:hAnsi="宋体" w:cs="SimSun-Identity-H"/>
          <w:kern w:val="0"/>
          <w:sz w:val="24"/>
          <w:u w:val="single"/>
          <w:lang w:val="en-US" w:eastAsia="zh-CN"/>
        </w:rPr>
        <w:t xml:space="preserve">    </w:t>
      </w:r>
      <w:r>
        <w:rPr>
          <w:rFonts w:hint="eastAsia" w:ascii="宋体" w:hAnsi="宋体" w:cs="SimSun-Identity-H"/>
          <w:kern w:val="0"/>
          <w:sz w:val="24"/>
        </w:rPr>
        <w:t>%</w:t>
      </w:r>
      <w:r>
        <w:rPr>
          <w:rStyle w:val="56"/>
          <w:rFonts w:ascii="宋体" w:hAnsi="宋体"/>
          <w:kern w:val="0"/>
          <w:sz w:val="32"/>
          <w:szCs w:val="32"/>
        </w:rPr>
        <w:footnoteReference w:id="73"/>
      </w:r>
      <w:r>
        <w:rPr>
          <w:rFonts w:hint="eastAsia" w:ascii="宋体" w:hAnsi="宋体" w:cs="SimSun-Identity-H"/>
          <w:kern w:val="0"/>
          <w:sz w:val="24"/>
        </w:rPr>
        <w:t>扣除违约金。</w:t>
      </w:r>
      <w:bookmarkEnd w:id="612"/>
      <w:bookmarkEnd w:id="613"/>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14" w:name="_Toc441148795"/>
      <w:bookmarkStart w:id="615" w:name="_Toc429404169"/>
      <w:r>
        <w:rPr>
          <w:rFonts w:hint="eastAsia" w:ascii="宋体" w:hAnsi="宋体" w:cs="SimSun-Identity-H"/>
          <w:kern w:val="0"/>
          <w:sz w:val="24"/>
        </w:rPr>
        <w:t>6.2.5 因咨询意见反馈不及时，导致设计工作出现较大反复，对项目设计进度造成较大影响的，发包人有权视情况计扣咨询单位合同价</w:t>
      </w:r>
      <w:r>
        <w:rPr>
          <w:rFonts w:hint="eastAsia" w:ascii="宋体" w:hAnsi="宋体" w:cs="SimSun-Identity-H"/>
          <w:kern w:val="0"/>
          <w:sz w:val="24"/>
          <w:u w:val="single"/>
          <w:lang w:val="en-US" w:eastAsia="zh-CN"/>
        </w:rPr>
        <w:t xml:space="preserve">   </w:t>
      </w:r>
      <w:r>
        <w:rPr>
          <w:rFonts w:hint="eastAsia" w:ascii="宋体" w:hAnsi="宋体" w:cs="SimSun-Identity-H"/>
          <w:kern w:val="0"/>
          <w:sz w:val="24"/>
        </w:rPr>
        <w:t>%</w:t>
      </w:r>
      <w:r>
        <w:rPr>
          <w:rStyle w:val="56"/>
          <w:rFonts w:ascii="宋体" w:hAnsi="宋体"/>
          <w:kern w:val="0"/>
          <w:sz w:val="32"/>
          <w:szCs w:val="32"/>
        </w:rPr>
        <w:footnoteReference w:id="74"/>
      </w:r>
      <w:r>
        <w:rPr>
          <w:rFonts w:hint="eastAsia" w:ascii="宋体" w:hAnsi="宋体" w:cs="SimSun-Identity-H"/>
          <w:kern w:val="0"/>
          <w:sz w:val="24"/>
        </w:rPr>
        <w:t>的违约金。</w:t>
      </w:r>
      <w:bookmarkEnd w:id="614"/>
      <w:bookmarkEnd w:id="615"/>
    </w:p>
    <w:p>
      <w:pPr>
        <w:widowControl/>
        <w:spacing w:line="360" w:lineRule="auto"/>
        <w:ind w:firstLine="480" w:firstLineChars="200"/>
        <w:jc w:val="left"/>
        <w:rPr>
          <w:rStyle w:val="233"/>
          <w:rFonts w:hint="default"/>
          <w:color w:val="auto"/>
        </w:rPr>
      </w:pPr>
      <w:bookmarkStart w:id="616" w:name="_Toc441148796"/>
      <w:bookmarkStart w:id="617" w:name="_Toc429404170"/>
      <w:r>
        <w:rPr>
          <w:rFonts w:hint="eastAsia" w:ascii="宋体" w:hAnsi="宋体" w:cs="SimSun-Identity-H"/>
          <w:kern w:val="0"/>
          <w:sz w:val="24"/>
        </w:rPr>
        <w:t>6.2.6 未经发包人同意，咨询单位不得更换投标文件中承诺的项目负责人及分项咨询负责人，</w:t>
      </w:r>
      <w:r>
        <w:rPr>
          <w:rFonts w:ascii="宋体" w:hAnsi="宋体" w:cs="SimSun-Identity-H"/>
          <w:kern w:val="0"/>
          <w:sz w:val="24"/>
        </w:rPr>
        <w:t>若确实无法到位或需替换，或</w:t>
      </w:r>
      <w:r>
        <w:rPr>
          <w:rFonts w:hint="eastAsia" w:ascii="宋体" w:hAnsi="宋体" w:cs="SimSun-Identity-H"/>
          <w:kern w:val="0"/>
          <w:sz w:val="24"/>
        </w:rPr>
        <w:t>发包人</w:t>
      </w:r>
      <w:r>
        <w:rPr>
          <w:rFonts w:ascii="宋体" w:hAnsi="宋体" w:cs="SimSun-Identity-H"/>
          <w:kern w:val="0"/>
          <w:sz w:val="24"/>
        </w:rPr>
        <w:t>认为已委派的</w:t>
      </w:r>
      <w:r>
        <w:rPr>
          <w:rFonts w:hint="eastAsia" w:ascii="宋体" w:hAnsi="宋体" w:cs="SimSun-Identity-H"/>
          <w:kern w:val="0"/>
          <w:sz w:val="24"/>
        </w:rPr>
        <w:t>项目负责人及分项咨询负责人</w:t>
      </w:r>
      <w:r>
        <w:rPr>
          <w:rFonts w:ascii="宋体" w:hAnsi="宋体" w:cs="SimSun-Identity-H"/>
          <w:kern w:val="0"/>
          <w:sz w:val="24"/>
        </w:rPr>
        <w:t>的工作能力和业务水平不称职，需经</w:t>
      </w:r>
      <w:r>
        <w:rPr>
          <w:rFonts w:hint="eastAsia" w:ascii="宋体" w:hAnsi="宋体" w:cs="SimSun-Identity-H"/>
          <w:kern w:val="0"/>
          <w:sz w:val="24"/>
        </w:rPr>
        <w:t>发包人审批</w:t>
      </w:r>
      <w:r>
        <w:rPr>
          <w:rFonts w:ascii="宋体" w:hAnsi="宋体" w:cs="SimSun-Identity-H"/>
          <w:kern w:val="0"/>
          <w:sz w:val="24"/>
        </w:rPr>
        <w:t>后，用同等资质和经历的人员替换，同时须按以下标准向发包人提交违约金：</w:t>
      </w:r>
      <w:r>
        <w:rPr>
          <w:rFonts w:hint="eastAsia" w:ascii="宋体" w:hAnsi="宋体" w:cs="SimSun-Identity-H"/>
          <w:kern w:val="0"/>
          <w:sz w:val="24"/>
        </w:rPr>
        <w:t>项目负责人万元/人次</w:t>
      </w:r>
      <w:r>
        <w:rPr>
          <w:rFonts w:ascii="宋体" w:hAnsi="宋体" w:cs="SimSun-Identity-H"/>
          <w:kern w:val="0"/>
          <w:sz w:val="24"/>
        </w:rPr>
        <w:t>（用备选人替换首选人的调整不受此限）</w:t>
      </w:r>
      <w:r>
        <w:rPr>
          <w:rFonts w:hint="eastAsia" w:ascii="宋体" w:hAnsi="宋体" w:cs="SimSun-Identity-H"/>
          <w:kern w:val="0"/>
          <w:sz w:val="24"/>
        </w:rPr>
        <w:t>、分项咨询负责人万元/人次。非投标承诺或未经发包人审批同意变更的主要人员签字的咨询报告不予接受。</w:t>
      </w:r>
      <w:bookmarkEnd w:id="616"/>
      <w:bookmarkEnd w:id="617"/>
      <w:r>
        <w:rPr>
          <w:rFonts w:hint="eastAsia" w:ascii="宋体" w:hAnsi="宋体" w:cs="SimSun-Identity-H"/>
          <w:kern w:val="0"/>
          <w:sz w:val="24"/>
        </w:rPr>
        <w:t>若项目负责人及分项负责人因</w:t>
      </w:r>
      <w:r>
        <w:rPr>
          <w:rFonts w:hint="eastAsia" w:ascii="宋体" w:hAnsi="宋体" w:cs="SimSun-Identity-H"/>
          <w:kern w:val="0"/>
          <w:sz w:val="24"/>
          <w:u w:val="single"/>
        </w:rPr>
        <w:t>单位调动、离职、重大疾病、死亡</w:t>
      </w:r>
      <w:r>
        <w:rPr>
          <w:rFonts w:hint="eastAsia" w:ascii="宋体" w:hAnsi="宋体" w:cs="SimSun-Identity-H"/>
          <w:kern w:val="0"/>
          <w:sz w:val="24"/>
        </w:rPr>
        <w:t>等情形已不能履行相应岗位工作需要更换的，经发包人同意后不计违约金。</w:t>
      </w:r>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18" w:name="_Toc441148797"/>
      <w:bookmarkStart w:id="619" w:name="_Toc429404171"/>
      <w:r>
        <w:rPr>
          <w:rFonts w:hint="eastAsia" w:ascii="宋体" w:hAnsi="宋体" w:cs="SimSun-Identity-H"/>
          <w:kern w:val="0"/>
          <w:sz w:val="24"/>
        </w:rPr>
        <w:t>6.2.7 所有违约金在投标人勘察设计咨询费支付中扣除，所有违约费用的扣除将导致最终合同价款的减少。</w:t>
      </w:r>
      <w:bookmarkEnd w:id="618"/>
      <w:bookmarkEnd w:id="619"/>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20" w:name="_Toc441148798"/>
      <w:bookmarkStart w:id="621" w:name="_Toc429404172"/>
      <w:r>
        <w:rPr>
          <w:rFonts w:hint="eastAsia" w:ascii="宋体" w:hAnsi="宋体" w:cs="SimSun-Identity-H"/>
          <w:kern w:val="0"/>
          <w:sz w:val="24"/>
        </w:rPr>
        <w:t>6.2.8 咨询单位发生本款约定的违约情况时，无论发包人是否解除合同，发包人均有权收取本款规定的违约金和赔偿金，并由发包人将其违约行为上报省级交通运输主管部门。</w:t>
      </w:r>
      <w:bookmarkEnd w:id="620"/>
      <w:bookmarkEnd w:id="621"/>
    </w:p>
    <w:p>
      <w:pPr>
        <w:wordWrap w:val="0"/>
        <w:topLinePunct/>
        <w:spacing w:line="360" w:lineRule="auto"/>
        <w:ind w:firstLine="482" w:firstLineChars="200"/>
        <w:contextualSpacing/>
        <w:jc w:val="left"/>
        <w:textAlignment w:val="baseline"/>
        <w:rPr>
          <w:rFonts w:ascii="宋体" w:hAnsi="宋体" w:cs="SimSun-Identity-H"/>
          <w:b/>
          <w:bCs/>
          <w:kern w:val="0"/>
          <w:sz w:val="24"/>
        </w:rPr>
      </w:pPr>
      <w:bookmarkStart w:id="622" w:name="_Toc429404173"/>
      <w:bookmarkStart w:id="623" w:name="_Toc441148799"/>
      <w:r>
        <w:rPr>
          <w:rFonts w:hint="eastAsia" w:ascii="宋体" w:hAnsi="宋体" w:cs="SimSun-Identity-H"/>
          <w:b/>
          <w:bCs/>
          <w:kern w:val="0"/>
          <w:sz w:val="24"/>
        </w:rPr>
        <w:t>6.3 责任的期限</w:t>
      </w:r>
      <w:bookmarkEnd w:id="622"/>
      <w:bookmarkEnd w:id="623"/>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24" w:name="_Toc429404174"/>
      <w:bookmarkStart w:id="625" w:name="_Toc441148800"/>
      <w:r>
        <w:rPr>
          <w:rFonts w:hint="eastAsia" w:ascii="宋体" w:hAnsi="宋体" w:cs="SimSun-Identity-H"/>
          <w:kern w:val="0"/>
          <w:sz w:val="24"/>
        </w:rPr>
        <w:t>咨询单位与发包人双方的责任与义务期限为合同书中规定的时间范围。</w:t>
      </w:r>
      <w:bookmarkEnd w:id="624"/>
      <w:bookmarkEnd w:id="625"/>
    </w:p>
    <w:p>
      <w:pPr>
        <w:wordWrap w:val="0"/>
        <w:topLinePunct/>
        <w:spacing w:line="360" w:lineRule="auto"/>
        <w:contextualSpacing/>
        <w:jc w:val="center"/>
        <w:textAlignment w:val="baseline"/>
        <w:rPr>
          <w:rFonts w:ascii="黑体" w:hAnsi="黑体" w:eastAsia="黑体" w:cs="SimSun-Identity-H"/>
          <w:kern w:val="0"/>
          <w:sz w:val="28"/>
          <w:szCs w:val="28"/>
        </w:rPr>
      </w:pPr>
      <w:bookmarkStart w:id="626" w:name="_Toc429404175"/>
      <w:bookmarkStart w:id="627" w:name="_Toc441148801"/>
      <w:r>
        <w:rPr>
          <w:rFonts w:hint="eastAsia" w:ascii="黑体" w:hAnsi="黑体" w:eastAsia="黑体" w:cs="SimSun-Identity-H"/>
          <w:kern w:val="0"/>
          <w:sz w:val="28"/>
          <w:szCs w:val="28"/>
        </w:rPr>
        <w:t>第七条  合同的生效、变更与终止</w:t>
      </w:r>
      <w:bookmarkEnd w:id="626"/>
      <w:bookmarkEnd w:id="627"/>
    </w:p>
    <w:p>
      <w:pPr>
        <w:wordWrap w:val="0"/>
        <w:topLinePunct/>
        <w:spacing w:line="360" w:lineRule="auto"/>
        <w:ind w:firstLine="482" w:firstLineChars="200"/>
        <w:contextualSpacing/>
        <w:jc w:val="left"/>
        <w:textAlignment w:val="baseline"/>
        <w:rPr>
          <w:rFonts w:ascii="宋体" w:hAnsi="宋体" w:cs="SimSun-Identity-H"/>
          <w:b/>
          <w:bCs/>
          <w:kern w:val="0"/>
          <w:sz w:val="24"/>
        </w:rPr>
      </w:pPr>
      <w:bookmarkStart w:id="628" w:name="_Toc441148802"/>
      <w:bookmarkStart w:id="629" w:name="_Toc429404176"/>
      <w:r>
        <w:rPr>
          <w:rFonts w:hint="eastAsia" w:ascii="宋体" w:hAnsi="宋体" w:cs="SimSun-Identity-H"/>
          <w:b/>
          <w:bCs/>
          <w:kern w:val="0"/>
          <w:sz w:val="24"/>
        </w:rPr>
        <w:t>7</w:t>
      </w:r>
      <w:r>
        <w:rPr>
          <w:rFonts w:ascii="宋体" w:hAnsi="宋体" w:cs="SimSun-Identity-H"/>
          <w:b/>
          <w:bCs/>
          <w:kern w:val="0"/>
          <w:sz w:val="24"/>
        </w:rPr>
        <w:t xml:space="preserve">.1 </w:t>
      </w:r>
      <w:r>
        <w:rPr>
          <w:rFonts w:hint="eastAsia" w:ascii="宋体" w:hAnsi="宋体" w:cs="SimSun-Identity-H"/>
          <w:b/>
          <w:bCs/>
          <w:kern w:val="0"/>
          <w:sz w:val="24"/>
        </w:rPr>
        <w:t>合同的生效</w:t>
      </w:r>
      <w:bookmarkEnd w:id="628"/>
      <w:bookmarkEnd w:id="629"/>
    </w:p>
    <w:p>
      <w:pPr>
        <w:topLinePunct/>
        <w:spacing w:line="360" w:lineRule="auto"/>
        <w:ind w:firstLine="480" w:firstLineChars="200"/>
        <w:contextualSpacing/>
        <w:jc w:val="left"/>
        <w:textAlignment w:val="baseline"/>
        <w:rPr>
          <w:rFonts w:ascii="宋体" w:hAnsi="宋体" w:cs="SimSun-Identity-H"/>
          <w:kern w:val="0"/>
          <w:sz w:val="24"/>
        </w:rPr>
      </w:pPr>
      <w:bookmarkStart w:id="630" w:name="_Toc441148803"/>
      <w:bookmarkStart w:id="631" w:name="_Toc429404177"/>
      <w:r>
        <w:rPr>
          <w:rFonts w:hint="eastAsia" w:ascii="宋体" w:hAnsi="宋体" w:cs="SimSun-Identity-H"/>
          <w:kern w:val="0"/>
          <w:sz w:val="24"/>
        </w:rPr>
        <w:t>合同协议书自双方签字盖章后所有合同文件生效。咨询单位工作的开始和完成时间按照合同协议书的规定执行。</w:t>
      </w:r>
      <w:bookmarkEnd w:id="630"/>
      <w:bookmarkEnd w:id="631"/>
    </w:p>
    <w:p>
      <w:pPr>
        <w:topLinePunct/>
        <w:spacing w:line="360" w:lineRule="auto"/>
        <w:ind w:firstLine="480" w:firstLineChars="200"/>
        <w:contextualSpacing/>
        <w:jc w:val="left"/>
        <w:textAlignment w:val="baseline"/>
        <w:rPr>
          <w:rFonts w:ascii="宋体" w:hAnsi="宋体" w:cs="SimSun-Identity-H"/>
          <w:kern w:val="0"/>
          <w:sz w:val="24"/>
        </w:rPr>
      </w:pPr>
      <w:bookmarkStart w:id="632" w:name="_Toc429404178"/>
      <w:bookmarkStart w:id="633" w:name="_Toc441148804"/>
      <w:r>
        <w:rPr>
          <w:rFonts w:ascii="宋体" w:hAnsi="宋体" w:cs="SimSun-Identity-H"/>
          <w:kern w:val="0"/>
          <w:sz w:val="24"/>
        </w:rPr>
        <w:t>7.2 合同文件的优先次序组成合同的各个文件应该认为是一个整体，互为补充和解释，如果有互相矛盾处，以</w:t>
      </w:r>
      <w:r>
        <w:rPr>
          <w:rFonts w:hint="eastAsia" w:ascii="宋体" w:hAnsi="宋体" w:cs="SimSun-Identity-H"/>
          <w:kern w:val="0"/>
          <w:sz w:val="24"/>
        </w:rPr>
        <w:t>合同</w:t>
      </w:r>
      <w:r>
        <w:rPr>
          <w:rFonts w:ascii="宋体" w:hAnsi="宋体" w:cs="SimSun-Identity-H"/>
          <w:kern w:val="0"/>
          <w:sz w:val="24"/>
        </w:rPr>
        <w:t>协议书所列先后顺序为准</w:t>
      </w:r>
      <w:bookmarkEnd w:id="632"/>
      <w:bookmarkEnd w:id="633"/>
      <w:r>
        <w:rPr>
          <w:rFonts w:hint="eastAsia" w:ascii="宋体" w:hAnsi="宋体" w:cs="SimSun-Identity-H"/>
          <w:kern w:val="0"/>
          <w:sz w:val="24"/>
        </w:rPr>
        <w:t>。</w:t>
      </w:r>
    </w:p>
    <w:p>
      <w:pPr>
        <w:topLinePunct/>
        <w:spacing w:line="360" w:lineRule="auto"/>
        <w:ind w:firstLine="482" w:firstLineChars="200"/>
        <w:contextualSpacing/>
        <w:jc w:val="left"/>
        <w:textAlignment w:val="baseline"/>
        <w:rPr>
          <w:rFonts w:ascii="宋体" w:hAnsi="宋体" w:cs="SimSun-Identity-H"/>
          <w:b/>
          <w:bCs/>
          <w:kern w:val="0"/>
          <w:sz w:val="24"/>
        </w:rPr>
      </w:pPr>
      <w:bookmarkStart w:id="634" w:name="_Toc441148812"/>
      <w:bookmarkStart w:id="635" w:name="_Toc429404187"/>
      <w:r>
        <w:rPr>
          <w:rFonts w:hint="eastAsia" w:ascii="宋体" w:hAnsi="宋体" w:cs="SimSun-Identity-H"/>
          <w:b/>
          <w:bCs/>
          <w:kern w:val="0"/>
          <w:sz w:val="24"/>
        </w:rPr>
        <w:t>7</w:t>
      </w:r>
      <w:r>
        <w:rPr>
          <w:rFonts w:ascii="宋体" w:hAnsi="宋体" w:cs="SimSun-Identity-H"/>
          <w:b/>
          <w:bCs/>
          <w:kern w:val="0"/>
          <w:sz w:val="24"/>
        </w:rPr>
        <w:t xml:space="preserve">.3 </w:t>
      </w:r>
      <w:bookmarkEnd w:id="634"/>
      <w:bookmarkEnd w:id="635"/>
      <w:r>
        <w:rPr>
          <w:rFonts w:hint="eastAsia" w:ascii="宋体" w:hAnsi="宋体" w:cs="SimSun-Identity-H"/>
          <w:b/>
          <w:bCs/>
          <w:kern w:val="0"/>
          <w:sz w:val="24"/>
        </w:rPr>
        <w:t>履约保证金</w:t>
      </w:r>
    </w:p>
    <w:p>
      <w:pPr>
        <w:spacing w:line="360" w:lineRule="auto"/>
        <w:ind w:firstLine="480" w:firstLineChars="200"/>
        <w:rPr>
          <w:rFonts w:ascii="宋体" w:hAnsi="宋体" w:cs="SimSun-Identity-H"/>
          <w:kern w:val="0"/>
          <w:sz w:val="24"/>
        </w:rPr>
      </w:pPr>
      <w:bookmarkStart w:id="636" w:name="_Toc441148813"/>
      <w:bookmarkStart w:id="637" w:name="_Toc429404188"/>
      <w:r>
        <w:rPr>
          <w:rFonts w:hint="eastAsia" w:ascii="宋体" w:hAnsi="宋体" w:cs="SimSun-Identity-H"/>
          <w:kern w:val="0"/>
          <w:sz w:val="24"/>
        </w:rPr>
        <w:t>7.3.1除另有约定外，履约保证金自合同生效之日起生效，在最后一批勘察设计成果文件经上级主管部门批复起</w:t>
      </w:r>
      <w:r>
        <w:rPr>
          <w:rFonts w:ascii="宋体" w:hAnsi="宋体" w:cs="SimSun-Identity-H"/>
          <w:kern w:val="0"/>
          <w:sz w:val="24"/>
        </w:rPr>
        <w:t xml:space="preserve"> 28</w:t>
      </w:r>
      <w:r>
        <w:rPr>
          <w:rFonts w:hint="eastAsia" w:ascii="宋体" w:hAnsi="宋体" w:cs="SimSun-Identity-H"/>
          <w:kern w:val="0"/>
          <w:sz w:val="24"/>
        </w:rPr>
        <w:t>天后失效。如果咨询单位不履行合同约定的义务或其履行不符合合同的约定，发包人有权扣划相应金额的履约保证金。</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7.3.2发包人对履约保证金提出的任何索赔要求，均应在履约保证金有效期内提出。</w:t>
      </w:r>
    </w:p>
    <w:bookmarkEnd w:id="636"/>
    <w:bookmarkEnd w:id="637"/>
    <w:p>
      <w:pPr>
        <w:wordWrap w:val="0"/>
        <w:topLinePunct/>
        <w:spacing w:line="360" w:lineRule="auto"/>
        <w:ind w:firstLine="482" w:firstLineChars="200"/>
        <w:contextualSpacing/>
        <w:jc w:val="left"/>
        <w:textAlignment w:val="baseline"/>
        <w:rPr>
          <w:rFonts w:ascii="宋体" w:hAnsi="宋体" w:cs="SimSun-Identity-H"/>
          <w:b/>
          <w:bCs/>
          <w:kern w:val="0"/>
          <w:sz w:val="24"/>
        </w:rPr>
      </w:pPr>
      <w:bookmarkStart w:id="638" w:name="_Toc441148815"/>
      <w:bookmarkStart w:id="639" w:name="_Toc429404190"/>
      <w:r>
        <w:rPr>
          <w:rFonts w:hint="eastAsia" w:ascii="宋体" w:hAnsi="宋体" w:cs="SimSun-Identity-H"/>
          <w:b/>
          <w:bCs/>
          <w:kern w:val="0"/>
          <w:sz w:val="24"/>
        </w:rPr>
        <w:t>7</w:t>
      </w:r>
      <w:r>
        <w:rPr>
          <w:rFonts w:ascii="宋体" w:hAnsi="宋体" w:cs="SimSun-Identity-H"/>
          <w:b/>
          <w:bCs/>
          <w:kern w:val="0"/>
          <w:sz w:val="24"/>
        </w:rPr>
        <w:t xml:space="preserve">.4 </w:t>
      </w:r>
      <w:r>
        <w:rPr>
          <w:rFonts w:hint="eastAsia" w:ascii="宋体" w:hAnsi="宋体" w:cs="SimSun-Identity-H"/>
          <w:b/>
          <w:bCs/>
          <w:kern w:val="0"/>
          <w:sz w:val="24"/>
        </w:rPr>
        <w:t>延误</w:t>
      </w:r>
      <w:bookmarkEnd w:id="638"/>
      <w:bookmarkEnd w:id="639"/>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40" w:name="_Toc429404191"/>
      <w:bookmarkStart w:id="641" w:name="_Toc441148816"/>
      <w:r>
        <w:rPr>
          <w:rFonts w:hint="eastAsia" w:ascii="宋体" w:hAnsi="宋体" w:cs="SimSun-Identity-H"/>
          <w:kern w:val="0"/>
          <w:sz w:val="24"/>
        </w:rPr>
        <w:t>由于发包人或不可抗力等因素，导致服务增加和时间延续则：</w:t>
      </w:r>
      <w:bookmarkEnd w:id="640"/>
      <w:bookmarkEnd w:id="641"/>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42" w:name="_Toc441148817"/>
      <w:bookmarkStart w:id="643" w:name="_Toc429404192"/>
      <w:r>
        <w:rPr>
          <w:rFonts w:hint="eastAsia" w:ascii="宋体" w:hAnsi="宋体" w:cs="SimSun-Identity-H"/>
          <w:kern w:val="0"/>
          <w:sz w:val="24"/>
        </w:rPr>
        <w:t>7.4.1 咨询单位应将此情况与可能产生的影响尽快通知发包人，并采取合理措施使损失减至最低；</w:t>
      </w:r>
      <w:bookmarkEnd w:id="642"/>
      <w:bookmarkEnd w:id="643"/>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44" w:name="_Toc441148818"/>
      <w:bookmarkStart w:id="645" w:name="_Toc429404193"/>
      <w:r>
        <w:rPr>
          <w:rFonts w:hint="eastAsia" w:ascii="宋体" w:hAnsi="宋体" w:cs="SimSun-Identity-H"/>
          <w:kern w:val="0"/>
          <w:sz w:val="24"/>
        </w:rPr>
        <w:t>7.4.2 由于发包人原因造成咨询单位无法履行合同的，咨询单位可以提出终止合同，并于</w:t>
      </w:r>
      <w:r>
        <w:rPr>
          <w:rFonts w:ascii="宋体" w:hAnsi="宋体" w:cs="SimSun-Identity-H"/>
          <w:kern w:val="0"/>
          <w:sz w:val="24"/>
        </w:rPr>
        <w:t>28</w:t>
      </w:r>
      <w:r>
        <w:rPr>
          <w:rFonts w:hint="eastAsia" w:ascii="宋体" w:hAnsi="宋体" w:cs="SimSun-Identity-H"/>
          <w:kern w:val="0"/>
          <w:sz w:val="24"/>
        </w:rPr>
        <w:t>天前以书面形式通知发包人，由此造成的损失，应由发包人根据合同并结合咨询单位实际完成的工作量予以赔偿。</w:t>
      </w:r>
      <w:bookmarkEnd w:id="644"/>
      <w:bookmarkEnd w:id="645"/>
      <w:r>
        <w:rPr>
          <w:rFonts w:hint="eastAsia" w:ascii="宋体" w:hAnsi="宋体" w:cs="SimSun-Identity-H"/>
          <w:kern w:val="0"/>
          <w:sz w:val="24"/>
        </w:rPr>
        <w:t>由于不可抗力引起的损失由双方自行承担。</w:t>
      </w:r>
    </w:p>
    <w:p>
      <w:pPr>
        <w:wordWrap w:val="0"/>
        <w:topLinePunct/>
        <w:spacing w:line="360" w:lineRule="auto"/>
        <w:ind w:firstLine="482" w:firstLineChars="200"/>
        <w:contextualSpacing/>
        <w:jc w:val="left"/>
        <w:textAlignment w:val="baseline"/>
        <w:rPr>
          <w:rFonts w:ascii="宋体" w:hAnsi="宋体" w:cs="SimSun-Identity-H"/>
          <w:b/>
          <w:bCs/>
          <w:kern w:val="0"/>
          <w:sz w:val="24"/>
        </w:rPr>
      </w:pPr>
      <w:bookmarkStart w:id="646" w:name="_Toc441148819"/>
      <w:bookmarkStart w:id="647" w:name="_Toc429404194"/>
      <w:r>
        <w:rPr>
          <w:rFonts w:hint="eastAsia" w:ascii="宋体" w:hAnsi="宋体" w:cs="SimSun-Identity-H"/>
          <w:b/>
          <w:bCs/>
          <w:kern w:val="0"/>
          <w:sz w:val="24"/>
        </w:rPr>
        <w:t>7</w:t>
      </w:r>
      <w:r>
        <w:rPr>
          <w:rFonts w:ascii="宋体" w:hAnsi="宋体" w:cs="SimSun-Identity-H"/>
          <w:b/>
          <w:bCs/>
          <w:kern w:val="0"/>
          <w:sz w:val="24"/>
        </w:rPr>
        <w:t xml:space="preserve">.5 </w:t>
      </w:r>
      <w:r>
        <w:rPr>
          <w:rFonts w:hint="eastAsia" w:ascii="宋体" w:hAnsi="宋体" w:cs="SimSun-Identity-H"/>
          <w:b/>
          <w:bCs/>
          <w:kern w:val="0"/>
          <w:sz w:val="24"/>
        </w:rPr>
        <w:t>推迟与终止</w:t>
      </w:r>
      <w:bookmarkEnd w:id="646"/>
      <w:bookmarkEnd w:id="647"/>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48" w:name="_Toc441148820"/>
      <w:bookmarkStart w:id="649" w:name="_Toc429404195"/>
      <w:r>
        <w:rPr>
          <w:rFonts w:hint="eastAsia" w:ascii="宋体" w:hAnsi="宋体" w:cs="SimSun-Identity-H"/>
          <w:kern w:val="0"/>
          <w:sz w:val="24"/>
        </w:rPr>
        <w:t>7.5.1 发包人可以在至少</w:t>
      </w:r>
      <w:r>
        <w:rPr>
          <w:rFonts w:ascii="宋体" w:hAnsi="宋体" w:cs="SimSun-Identity-H"/>
          <w:kern w:val="0"/>
          <w:sz w:val="24"/>
        </w:rPr>
        <w:t>28</w:t>
      </w:r>
      <w:r>
        <w:rPr>
          <w:rFonts w:hint="eastAsia" w:ascii="宋体" w:hAnsi="宋体" w:cs="SimSun-Identity-H"/>
          <w:kern w:val="0"/>
          <w:sz w:val="24"/>
        </w:rPr>
        <w:t>天以前以书面通知咨询单位暂停全部或部分咨询工作或终止本合同协议书，一旦收到此类通知，咨询单位应立即安排停止计划并将费用减到最小。</w:t>
      </w:r>
      <w:bookmarkEnd w:id="648"/>
      <w:bookmarkEnd w:id="649"/>
    </w:p>
    <w:p>
      <w:pPr>
        <w:wordWrap w:val="0"/>
        <w:topLinePunct/>
        <w:spacing w:line="360" w:lineRule="auto"/>
        <w:ind w:firstLine="480" w:firstLineChars="200"/>
        <w:contextualSpacing/>
        <w:jc w:val="left"/>
        <w:textAlignment w:val="baseline"/>
        <w:rPr>
          <w:rFonts w:ascii="宋体" w:hAnsi="宋体" w:cs="SimSun-Identity-H"/>
          <w:kern w:val="0"/>
          <w:sz w:val="24"/>
        </w:rPr>
      </w:pPr>
      <w:bookmarkStart w:id="650" w:name="_Toc441148821"/>
      <w:bookmarkStart w:id="651" w:name="_Toc429404196"/>
      <w:r>
        <w:rPr>
          <w:rFonts w:hint="eastAsia" w:ascii="宋体" w:hAnsi="宋体" w:cs="SimSun-Identity-H"/>
          <w:kern w:val="0"/>
          <w:sz w:val="24"/>
        </w:rPr>
        <w:t>7.5.2 发包人认为咨询单位无正当理由而未履行本合同规定的责任与义务时，应书面通知咨询单位，并说明理由。若发包人在</w:t>
      </w:r>
      <w:r>
        <w:rPr>
          <w:rFonts w:ascii="宋体" w:hAnsi="宋体" w:cs="SimSun-Identity-H"/>
          <w:kern w:val="0"/>
          <w:sz w:val="24"/>
        </w:rPr>
        <w:t>21</w:t>
      </w:r>
      <w:r>
        <w:rPr>
          <w:rFonts w:hint="eastAsia" w:ascii="宋体" w:hAnsi="宋体" w:cs="SimSun-Identity-H"/>
          <w:kern w:val="0"/>
          <w:sz w:val="24"/>
        </w:rPr>
        <w:t>天内没有收到满意的答复，发包人可以发出进一步的通知终止本合同，但此进一步的通知必须在第一个通知发出</w:t>
      </w:r>
      <w:r>
        <w:rPr>
          <w:rFonts w:ascii="宋体" w:hAnsi="宋体" w:cs="SimSun-Identity-H"/>
          <w:kern w:val="0"/>
          <w:sz w:val="24"/>
        </w:rPr>
        <w:t xml:space="preserve">28 </w:t>
      </w:r>
      <w:r>
        <w:rPr>
          <w:rFonts w:hint="eastAsia" w:ascii="宋体" w:hAnsi="宋体" w:cs="SimSun-Identity-H"/>
          <w:kern w:val="0"/>
          <w:sz w:val="24"/>
        </w:rPr>
        <w:t>天后发出。</w:t>
      </w:r>
      <w:bookmarkEnd w:id="650"/>
      <w:bookmarkEnd w:id="651"/>
    </w:p>
    <w:p>
      <w:pPr>
        <w:wordWrap w:val="0"/>
        <w:topLinePunct/>
        <w:spacing w:line="360" w:lineRule="auto"/>
        <w:ind w:firstLine="482" w:firstLineChars="200"/>
        <w:contextualSpacing/>
        <w:jc w:val="left"/>
        <w:textAlignment w:val="baseline"/>
        <w:rPr>
          <w:rFonts w:ascii="宋体" w:hAnsi="宋体" w:cs="SimSun-Identity-H"/>
          <w:b/>
          <w:bCs/>
          <w:kern w:val="0"/>
          <w:sz w:val="24"/>
        </w:rPr>
      </w:pPr>
      <w:bookmarkStart w:id="652" w:name="_Toc429404197"/>
      <w:bookmarkStart w:id="653" w:name="_Toc441148822"/>
      <w:r>
        <w:rPr>
          <w:rFonts w:hint="eastAsia" w:ascii="宋体" w:hAnsi="宋体" w:cs="SimSun-Identity-H"/>
          <w:b/>
          <w:bCs/>
          <w:kern w:val="0"/>
          <w:sz w:val="24"/>
        </w:rPr>
        <w:t>7</w:t>
      </w:r>
      <w:r>
        <w:rPr>
          <w:rFonts w:ascii="宋体" w:hAnsi="宋体" w:cs="SimSun-Identity-H"/>
          <w:b/>
          <w:bCs/>
          <w:kern w:val="0"/>
          <w:sz w:val="24"/>
        </w:rPr>
        <w:t xml:space="preserve">.6 </w:t>
      </w:r>
      <w:r>
        <w:rPr>
          <w:rFonts w:hint="eastAsia" w:ascii="宋体" w:hAnsi="宋体" w:cs="SimSun-Identity-H"/>
          <w:b/>
          <w:bCs/>
          <w:kern w:val="0"/>
          <w:sz w:val="24"/>
        </w:rPr>
        <w:t>合同终止不影响权利和责任</w:t>
      </w:r>
      <w:bookmarkEnd w:id="652"/>
      <w:bookmarkEnd w:id="653"/>
    </w:p>
    <w:p>
      <w:pPr>
        <w:wordWrap w:val="0"/>
        <w:topLinePunct/>
        <w:spacing w:line="360" w:lineRule="auto"/>
        <w:ind w:firstLine="480" w:firstLineChars="200"/>
        <w:contextualSpacing/>
        <w:jc w:val="left"/>
        <w:textAlignment w:val="baseline"/>
        <w:rPr>
          <w:rFonts w:ascii="宋体" w:hAnsi="宋体" w:cs="SimSun-Identity-H"/>
          <w:b/>
          <w:kern w:val="0"/>
          <w:sz w:val="24"/>
        </w:rPr>
      </w:pPr>
      <w:bookmarkStart w:id="654" w:name="_Toc429404198"/>
      <w:bookmarkStart w:id="655" w:name="_Toc441148823"/>
      <w:r>
        <w:rPr>
          <w:rFonts w:hint="eastAsia" w:ascii="宋体" w:hAnsi="宋体" w:cs="SimSun-Identity-H"/>
          <w:kern w:val="0"/>
          <w:sz w:val="24"/>
        </w:rPr>
        <w:t>不论何种原因，本合同的终止，不应损害和影响各方应有的权利、索赔要求和应负的责任。</w:t>
      </w:r>
      <w:bookmarkEnd w:id="654"/>
      <w:bookmarkEnd w:id="655"/>
      <w:bookmarkStart w:id="656" w:name="_Toc429404199"/>
    </w:p>
    <w:bookmarkEnd w:id="656"/>
    <w:p>
      <w:pPr>
        <w:wordWrap w:val="0"/>
        <w:topLinePunct/>
        <w:spacing w:line="360" w:lineRule="auto"/>
        <w:contextualSpacing/>
        <w:jc w:val="center"/>
        <w:textAlignment w:val="baseline"/>
        <w:rPr>
          <w:rFonts w:ascii="黑体" w:hAnsi="黑体" w:eastAsia="黑体" w:cs="SimSun-Identity-H"/>
          <w:kern w:val="0"/>
          <w:sz w:val="28"/>
          <w:szCs w:val="28"/>
        </w:rPr>
      </w:pPr>
      <w:bookmarkStart w:id="657" w:name="_Toc429404209"/>
      <w:bookmarkStart w:id="658" w:name="_Toc441148824"/>
      <w:r>
        <w:rPr>
          <w:rFonts w:hint="eastAsia" w:ascii="黑体" w:hAnsi="黑体" w:eastAsia="黑体" w:cs="SimSun-Identity-H"/>
          <w:kern w:val="0"/>
          <w:sz w:val="28"/>
          <w:szCs w:val="28"/>
        </w:rPr>
        <w:t>第八条  其它</w:t>
      </w:r>
      <w:bookmarkEnd w:id="657"/>
      <w:bookmarkEnd w:id="658"/>
    </w:p>
    <w:p>
      <w:pPr>
        <w:topLinePunct/>
        <w:spacing w:line="360" w:lineRule="auto"/>
        <w:ind w:firstLine="482" w:firstLineChars="200"/>
        <w:contextualSpacing/>
        <w:jc w:val="left"/>
        <w:textAlignment w:val="baseline"/>
        <w:rPr>
          <w:rFonts w:ascii="宋体" w:hAnsi="宋体" w:cs="SimSun-Identity-H"/>
          <w:b/>
          <w:bCs/>
          <w:kern w:val="0"/>
          <w:sz w:val="24"/>
        </w:rPr>
      </w:pPr>
      <w:bookmarkStart w:id="659" w:name="_Toc441148825"/>
      <w:bookmarkStart w:id="660" w:name="_Toc429404210"/>
      <w:r>
        <w:rPr>
          <w:rFonts w:hint="eastAsia" w:ascii="宋体" w:hAnsi="宋体" w:cs="SimSun-Identity-H"/>
          <w:b/>
          <w:bCs/>
          <w:kern w:val="0"/>
          <w:sz w:val="24"/>
        </w:rPr>
        <w:t>8</w:t>
      </w:r>
      <w:r>
        <w:rPr>
          <w:rFonts w:ascii="宋体" w:hAnsi="宋体" w:cs="SimSun-Identity-H"/>
          <w:b/>
          <w:bCs/>
          <w:kern w:val="0"/>
          <w:sz w:val="24"/>
        </w:rPr>
        <w:t xml:space="preserve">.1 </w:t>
      </w:r>
      <w:r>
        <w:rPr>
          <w:rFonts w:hint="eastAsia" w:ascii="宋体" w:hAnsi="宋体" w:cs="SimSun-Identity-H"/>
          <w:b/>
          <w:bCs/>
          <w:kern w:val="0"/>
          <w:sz w:val="24"/>
        </w:rPr>
        <w:t>语言和法律、法规</w:t>
      </w:r>
      <w:bookmarkEnd w:id="659"/>
      <w:bookmarkEnd w:id="660"/>
    </w:p>
    <w:p>
      <w:pPr>
        <w:topLinePunct/>
        <w:spacing w:line="360" w:lineRule="auto"/>
        <w:ind w:firstLine="480" w:firstLineChars="200"/>
        <w:contextualSpacing/>
        <w:jc w:val="left"/>
        <w:textAlignment w:val="baseline"/>
        <w:rPr>
          <w:rFonts w:ascii="宋体" w:hAnsi="宋体"/>
          <w:bCs/>
          <w:kern w:val="0"/>
          <w:sz w:val="24"/>
        </w:rPr>
      </w:pPr>
      <w:bookmarkStart w:id="661" w:name="_Toc441148826"/>
      <w:bookmarkStart w:id="662" w:name="_Toc429404212"/>
      <w:r>
        <w:rPr>
          <w:rFonts w:hint="eastAsia" w:ascii="宋体" w:hAnsi="宋体"/>
          <w:bCs/>
          <w:kern w:val="0"/>
          <w:sz w:val="24"/>
        </w:rPr>
        <w:t>8.1.1 除专用术语外，本合同使用的语言文字为中文。必要时专用术语应附有中文注释。</w:t>
      </w:r>
      <w:bookmarkEnd w:id="661"/>
      <w:bookmarkStart w:id="663" w:name="_Toc441148827"/>
    </w:p>
    <w:p>
      <w:pPr>
        <w:topLinePunct/>
        <w:spacing w:line="360" w:lineRule="auto"/>
        <w:ind w:firstLine="480" w:firstLineChars="200"/>
        <w:contextualSpacing/>
        <w:jc w:val="left"/>
        <w:textAlignment w:val="baseline"/>
        <w:rPr>
          <w:rFonts w:ascii="宋体" w:hAnsi="宋体"/>
          <w:bCs/>
          <w:kern w:val="0"/>
          <w:sz w:val="24"/>
        </w:rPr>
      </w:pPr>
      <w:r>
        <w:rPr>
          <w:rFonts w:hint="eastAsia" w:ascii="宋体" w:hAnsi="宋体"/>
          <w:bCs/>
          <w:kern w:val="0"/>
          <w:sz w:val="24"/>
        </w:rPr>
        <w:t>8.1.2 合同文件中的标题不应在其解释中应用。</w:t>
      </w:r>
      <w:bookmarkEnd w:id="663"/>
      <w:bookmarkStart w:id="664" w:name="_Toc441148828"/>
    </w:p>
    <w:p>
      <w:pPr>
        <w:topLinePunct/>
        <w:spacing w:line="360" w:lineRule="auto"/>
        <w:ind w:firstLine="480" w:firstLineChars="200"/>
        <w:contextualSpacing/>
        <w:jc w:val="left"/>
        <w:textAlignment w:val="baseline"/>
        <w:rPr>
          <w:rFonts w:ascii="宋体" w:hAnsi="宋体"/>
          <w:bCs/>
          <w:kern w:val="0"/>
          <w:sz w:val="24"/>
        </w:rPr>
      </w:pPr>
      <w:r>
        <w:rPr>
          <w:rFonts w:hint="eastAsia" w:ascii="宋体" w:hAnsi="宋体"/>
          <w:bCs/>
          <w:kern w:val="0"/>
          <w:sz w:val="24"/>
        </w:rPr>
        <w:t>8.1.3</w:t>
      </w:r>
      <w:r>
        <w:rPr>
          <w:rFonts w:hint="eastAsia" w:ascii="宋体" w:hAnsi="宋体"/>
          <w:kern w:val="0"/>
          <w:sz w:val="24"/>
        </w:rPr>
        <w:t>适用于本勘察设计咨询合同的法律包括中华人民共和国法律、行政法规、部门规章以及工程所在地的地方法规、自治条例和地方政府规章。</w:t>
      </w:r>
      <w:bookmarkEnd w:id="664"/>
    </w:p>
    <w:p>
      <w:pPr>
        <w:topLinePunct/>
        <w:spacing w:line="360" w:lineRule="auto"/>
        <w:ind w:firstLine="482" w:firstLineChars="200"/>
        <w:contextualSpacing/>
        <w:jc w:val="left"/>
        <w:textAlignment w:val="baseline"/>
        <w:rPr>
          <w:rFonts w:ascii="宋体" w:hAnsi="宋体" w:cs="SimSun-Identity-H"/>
          <w:b/>
          <w:bCs/>
          <w:kern w:val="0"/>
          <w:sz w:val="24"/>
        </w:rPr>
      </w:pPr>
      <w:bookmarkStart w:id="665" w:name="_Toc441148829"/>
      <w:r>
        <w:rPr>
          <w:rFonts w:hint="eastAsia" w:ascii="宋体" w:hAnsi="宋体" w:cs="SimSun-Identity-H"/>
          <w:b/>
          <w:bCs/>
          <w:kern w:val="0"/>
          <w:sz w:val="24"/>
        </w:rPr>
        <w:t>8</w:t>
      </w:r>
      <w:r>
        <w:rPr>
          <w:rFonts w:ascii="宋体" w:hAnsi="宋体" w:cs="SimSun-Identity-H"/>
          <w:b/>
          <w:bCs/>
          <w:kern w:val="0"/>
          <w:sz w:val="24"/>
        </w:rPr>
        <w:t xml:space="preserve">.2 </w:t>
      </w:r>
      <w:r>
        <w:rPr>
          <w:rFonts w:hint="eastAsia" w:ascii="宋体" w:hAnsi="宋体" w:cs="SimSun-Identity-H"/>
          <w:b/>
          <w:bCs/>
          <w:kern w:val="0"/>
          <w:sz w:val="24"/>
        </w:rPr>
        <w:t>转包和分包</w:t>
      </w:r>
      <w:bookmarkEnd w:id="662"/>
      <w:bookmarkEnd w:id="665"/>
    </w:p>
    <w:p>
      <w:pPr>
        <w:spacing w:line="360" w:lineRule="auto"/>
        <w:ind w:firstLine="480" w:firstLineChars="200"/>
        <w:rPr>
          <w:rFonts w:ascii="宋体" w:hAnsi="宋体"/>
          <w:sz w:val="24"/>
        </w:rPr>
      </w:pPr>
      <w:bookmarkStart w:id="666" w:name="_Toc441148830"/>
      <w:bookmarkStart w:id="667" w:name="_Toc429404213"/>
      <w:r>
        <w:rPr>
          <w:rFonts w:hint="eastAsia" w:ascii="宋体" w:hAnsi="宋体"/>
          <w:sz w:val="24"/>
        </w:rPr>
        <w:t>8.2</w:t>
      </w:r>
      <w:r>
        <w:rPr>
          <w:rFonts w:ascii="宋体" w:hAnsi="宋体"/>
          <w:sz w:val="24"/>
        </w:rPr>
        <w:t xml:space="preserve">.1 </w:t>
      </w:r>
      <w:r>
        <w:rPr>
          <w:rFonts w:hint="eastAsia" w:ascii="宋体" w:hAnsi="宋体"/>
          <w:sz w:val="24"/>
        </w:rPr>
        <w:t>咨询单位</w:t>
      </w:r>
      <w:r>
        <w:rPr>
          <w:rFonts w:ascii="宋体" w:hAnsi="宋体"/>
          <w:sz w:val="24"/>
        </w:rPr>
        <w:t>不得将其</w:t>
      </w:r>
      <w:r>
        <w:rPr>
          <w:rFonts w:hint="eastAsia" w:ascii="宋体" w:hAnsi="宋体"/>
          <w:sz w:val="24"/>
        </w:rPr>
        <w:t>勘察</w:t>
      </w:r>
      <w:r>
        <w:rPr>
          <w:rFonts w:ascii="宋体" w:hAnsi="宋体"/>
          <w:sz w:val="24"/>
        </w:rPr>
        <w:t>设计</w:t>
      </w:r>
      <w:r>
        <w:rPr>
          <w:rFonts w:hint="eastAsia" w:ascii="宋体" w:hAnsi="宋体"/>
          <w:sz w:val="24"/>
        </w:rPr>
        <w:t>咨询</w:t>
      </w:r>
      <w:r>
        <w:rPr>
          <w:rFonts w:ascii="宋体" w:hAnsi="宋体"/>
          <w:sz w:val="24"/>
        </w:rPr>
        <w:t>的全部工作转包给第三人。</w:t>
      </w:r>
    </w:p>
    <w:p>
      <w:pPr>
        <w:spacing w:line="360" w:lineRule="auto"/>
        <w:ind w:firstLine="480" w:firstLineChars="200"/>
        <w:rPr>
          <w:rFonts w:ascii="宋体" w:hAnsi="宋体"/>
          <w:sz w:val="24"/>
        </w:rPr>
      </w:pPr>
      <w:r>
        <w:rPr>
          <w:rFonts w:hint="eastAsia" w:ascii="宋体" w:hAnsi="宋体"/>
          <w:sz w:val="24"/>
        </w:rPr>
        <w:t>8.2</w:t>
      </w:r>
      <w:r>
        <w:rPr>
          <w:rFonts w:ascii="宋体" w:hAnsi="宋体"/>
          <w:sz w:val="24"/>
        </w:rPr>
        <w:t xml:space="preserve">.2 </w:t>
      </w:r>
      <w:r>
        <w:rPr>
          <w:rFonts w:hint="eastAsia" w:ascii="宋体" w:hAnsi="宋体"/>
          <w:sz w:val="24"/>
        </w:rPr>
        <w:t>咨询单位</w:t>
      </w:r>
      <w:r>
        <w:rPr>
          <w:rFonts w:ascii="宋体" w:hAnsi="宋体"/>
          <w:sz w:val="24"/>
        </w:rPr>
        <w:t>不得将</w:t>
      </w:r>
      <w:r>
        <w:rPr>
          <w:rFonts w:hint="eastAsia" w:ascii="宋体" w:hAnsi="宋体"/>
          <w:sz w:val="24"/>
        </w:rPr>
        <w:t>勘察</w:t>
      </w:r>
      <w:r>
        <w:rPr>
          <w:rFonts w:ascii="宋体" w:hAnsi="宋体"/>
          <w:sz w:val="24"/>
        </w:rPr>
        <w:t>设计</w:t>
      </w:r>
      <w:r>
        <w:rPr>
          <w:rFonts w:hint="eastAsia" w:ascii="宋体" w:hAnsi="宋体"/>
          <w:sz w:val="24"/>
        </w:rPr>
        <w:t>咨询</w:t>
      </w:r>
      <w:r>
        <w:rPr>
          <w:rFonts w:ascii="宋体" w:hAnsi="宋体"/>
          <w:sz w:val="24"/>
        </w:rPr>
        <w:t>的主体、关键性工作分包给第三人。除另有约定外，</w:t>
      </w:r>
      <w:r>
        <w:rPr>
          <w:rFonts w:hint="eastAsia" w:ascii="宋体" w:hAnsi="宋体"/>
          <w:sz w:val="24"/>
        </w:rPr>
        <w:t>经发包人同意，咨询单位可将工程设计中跨专业或有特殊要求的勘察、设计咨询工作</w:t>
      </w:r>
      <w:r>
        <w:rPr>
          <w:rFonts w:ascii="宋体" w:hAnsi="宋体"/>
          <w:sz w:val="24"/>
        </w:rPr>
        <w:t>进行分包。</w:t>
      </w:r>
    </w:p>
    <w:p>
      <w:pPr>
        <w:spacing w:line="360" w:lineRule="auto"/>
        <w:ind w:firstLine="480" w:firstLineChars="200"/>
        <w:rPr>
          <w:rFonts w:ascii="宋体" w:hAnsi="宋体"/>
          <w:sz w:val="24"/>
        </w:rPr>
      </w:pPr>
      <w:r>
        <w:rPr>
          <w:rFonts w:hint="eastAsia" w:ascii="宋体" w:hAnsi="宋体"/>
          <w:sz w:val="24"/>
        </w:rPr>
        <w:t>8.2</w:t>
      </w:r>
      <w:r>
        <w:rPr>
          <w:rFonts w:ascii="宋体" w:hAnsi="宋体"/>
          <w:sz w:val="24"/>
        </w:rPr>
        <w:t>.3 发包人同意</w:t>
      </w:r>
      <w:r>
        <w:rPr>
          <w:rFonts w:hint="eastAsia" w:ascii="宋体" w:hAnsi="宋体"/>
          <w:sz w:val="24"/>
        </w:rPr>
        <w:t>咨询单位</w:t>
      </w:r>
      <w:r>
        <w:rPr>
          <w:rFonts w:ascii="宋体" w:hAnsi="宋体"/>
          <w:sz w:val="24"/>
        </w:rPr>
        <w:t>分包工作的，也不应解除</w:t>
      </w:r>
      <w:r>
        <w:rPr>
          <w:rFonts w:hint="eastAsia" w:ascii="宋体" w:hAnsi="宋体"/>
          <w:sz w:val="24"/>
        </w:rPr>
        <w:t>咨询单位</w:t>
      </w:r>
      <w:r>
        <w:rPr>
          <w:rFonts w:ascii="宋体" w:hAnsi="宋体"/>
          <w:sz w:val="24"/>
        </w:rPr>
        <w:t>根据合同规定应承担的全部责任和义务，</w:t>
      </w:r>
      <w:r>
        <w:rPr>
          <w:rFonts w:hint="eastAsia" w:ascii="宋体" w:hAnsi="宋体"/>
          <w:sz w:val="24"/>
        </w:rPr>
        <w:t>咨询单位</w:t>
      </w:r>
      <w:r>
        <w:rPr>
          <w:rFonts w:ascii="宋体" w:hAnsi="宋体"/>
          <w:sz w:val="24"/>
        </w:rPr>
        <w:t>应对其分包人的工作负全部责任</w:t>
      </w:r>
      <w:r>
        <w:rPr>
          <w:rFonts w:hint="eastAsia" w:ascii="宋体" w:hAnsi="宋体"/>
          <w:sz w:val="24"/>
        </w:rPr>
        <w:t>。咨询单位</w:t>
      </w:r>
      <w:r>
        <w:rPr>
          <w:rFonts w:ascii="宋体" w:hAnsi="宋体"/>
          <w:sz w:val="24"/>
        </w:rPr>
        <w:t>应</w:t>
      </w:r>
      <w:r>
        <w:rPr>
          <w:rFonts w:hint="eastAsia" w:ascii="宋体" w:hAnsi="宋体"/>
          <w:sz w:val="24"/>
        </w:rPr>
        <w:t>在</w:t>
      </w:r>
      <w:r>
        <w:rPr>
          <w:rFonts w:ascii="宋体" w:hAnsi="宋体"/>
          <w:sz w:val="24"/>
        </w:rPr>
        <w:t>分包合同签订之日</w:t>
      </w:r>
      <w:r>
        <w:rPr>
          <w:rFonts w:hint="eastAsia" w:ascii="宋体" w:hAnsi="宋体"/>
          <w:sz w:val="24"/>
        </w:rPr>
        <w:t>起</w:t>
      </w:r>
      <w:r>
        <w:rPr>
          <w:rFonts w:ascii="宋体" w:hAnsi="宋体"/>
          <w:sz w:val="24"/>
        </w:rPr>
        <w:t>7天</w:t>
      </w:r>
      <w:r>
        <w:rPr>
          <w:rFonts w:hint="eastAsia" w:ascii="宋体" w:hAnsi="宋体"/>
          <w:sz w:val="24"/>
        </w:rPr>
        <w:t>内</w:t>
      </w:r>
      <w:r>
        <w:rPr>
          <w:rFonts w:ascii="宋体" w:hAnsi="宋体"/>
          <w:sz w:val="24"/>
        </w:rPr>
        <w:t>向发包人提交1份分包合同副本</w:t>
      </w:r>
      <w:r>
        <w:rPr>
          <w:rFonts w:hint="eastAsia" w:ascii="宋体" w:hAnsi="宋体"/>
          <w:sz w:val="24"/>
        </w:rPr>
        <w:t>，</w:t>
      </w:r>
      <w:r>
        <w:rPr>
          <w:rFonts w:ascii="宋体" w:hAnsi="宋体"/>
          <w:sz w:val="24"/>
        </w:rPr>
        <w:t>除另有约定外，分包人的</w:t>
      </w:r>
      <w:r>
        <w:rPr>
          <w:rFonts w:hint="eastAsia" w:ascii="宋体" w:hAnsi="宋体"/>
          <w:sz w:val="24"/>
        </w:rPr>
        <w:t>勘察</w:t>
      </w:r>
      <w:r>
        <w:rPr>
          <w:rFonts w:ascii="宋体" w:hAnsi="宋体"/>
          <w:sz w:val="24"/>
        </w:rPr>
        <w:t>设计</w:t>
      </w:r>
      <w:r>
        <w:rPr>
          <w:rFonts w:hint="eastAsia" w:ascii="宋体" w:hAnsi="宋体"/>
          <w:sz w:val="24"/>
        </w:rPr>
        <w:t>咨询</w:t>
      </w:r>
      <w:r>
        <w:rPr>
          <w:rFonts w:ascii="宋体" w:hAnsi="宋体"/>
          <w:sz w:val="24"/>
        </w:rPr>
        <w:t>费用由</w:t>
      </w:r>
      <w:r>
        <w:rPr>
          <w:rFonts w:hint="eastAsia" w:ascii="宋体" w:hAnsi="宋体"/>
          <w:sz w:val="24"/>
        </w:rPr>
        <w:t>咨询单位向</w:t>
      </w:r>
      <w:r>
        <w:rPr>
          <w:rFonts w:ascii="宋体" w:hAnsi="宋体"/>
          <w:sz w:val="24"/>
        </w:rPr>
        <w:t>分包人自行支付。</w:t>
      </w:r>
    </w:p>
    <w:p>
      <w:pPr>
        <w:spacing w:line="360" w:lineRule="auto"/>
        <w:ind w:firstLine="480" w:firstLineChars="200"/>
        <w:rPr>
          <w:rFonts w:ascii="宋体" w:hAnsi="宋体"/>
          <w:sz w:val="24"/>
        </w:rPr>
      </w:pPr>
      <w:r>
        <w:rPr>
          <w:rFonts w:hint="eastAsia" w:ascii="宋体" w:hAnsi="宋体"/>
          <w:sz w:val="24"/>
        </w:rPr>
        <w:t>8.2</w:t>
      </w:r>
      <w:r>
        <w:rPr>
          <w:rFonts w:ascii="宋体" w:hAnsi="宋体"/>
          <w:sz w:val="24"/>
        </w:rPr>
        <w:t>.4 分包人的资格能力应与其分包工作的标准和规模相适应，包括必要的企业资质、人员、设备和类似业绩等。分包人不得将分包项目再次分包或转包。</w:t>
      </w:r>
    </w:p>
    <w:p>
      <w:pPr>
        <w:topLinePunct/>
        <w:spacing w:line="360" w:lineRule="auto"/>
        <w:ind w:firstLine="480" w:firstLineChars="200"/>
        <w:contextualSpacing/>
        <w:jc w:val="left"/>
        <w:textAlignment w:val="baseline"/>
        <w:rPr>
          <w:rFonts w:ascii="宋体" w:hAnsi="宋体" w:cs="SimSun-Identity-H"/>
          <w:kern w:val="0"/>
          <w:sz w:val="24"/>
        </w:rPr>
      </w:pPr>
      <w:r>
        <w:rPr>
          <w:rFonts w:hint="eastAsia" w:ascii="宋体" w:hAnsi="宋体"/>
          <w:sz w:val="24"/>
        </w:rPr>
        <w:t xml:space="preserve">8.2.5 </w:t>
      </w:r>
      <w:r>
        <w:rPr>
          <w:rFonts w:ascii="宋体" w:hAnsi="宋体"/>
          <w:sz w:val="24"/>
        </w:rPr>
        <w:t>发包人对</w:t>
      </w:r>
      <w:r>
        <w:rPr>
          <w:rFonts w:hint="eastAsia" w:ascii="宋体" w:hAnsi="宋体"/>
          <w:sz w:val="24"/>
        </w:rPr>
        <w:t>咨询单位</w:t>
      </w:r>
      <w:r>
        <w:rPr>
          <w:rFonts w:ascii="宋体" w:hAnsi="宋体"/>
          <w:sz w:val="24"/>
        </w:rPr>
        <w:t>与各分包人之间的法律和经济纠纷不承担任何责任和义务。</w:t>
      </w:r>
      <w:bookmarkEnd w:id="666"/>
      <w:bookmarkEnd w:id="667"/>
    </w:p>
    <w:p>
      <w:pPr>
        <w:wordWrap w:val="0"/>
        <w:topLinePunct/>
        <w:spacing w:line="360" w:lineRule="auto"/>
        <w:ind w:firstLine="482" w:firstLineChars="200"/>
        <w:contextualSpacing/>
        <w:jc w:val="left"/>
        <w:textAlignment w:val="baseline"/>
        <w:rPr>
          <w:rFonts w:ascii="宋体" w:hAnsi="宋体"/>
          <w:b/>
          <w:kern w:val="0"/>
          <w:sz w:val="24"/>
        </w:rPr>
      </w:pPr>
      <w:bookmarkStart w:id="668" w:name="_Toc441148832"/>
      <w:r>
        <w:rPr>
          <w:rFonts w:hint="eastAsia" w:ascii="宋体" w:hAnsi="宋体"/>
          <w:b/>
          <w:kern w:val="0"/>
          <w:sz w:val="24"/>
        </w:rPr>
        <w:t>8.3不可抗力</w:t>
      </w:r>
      <w:bookmarkEnd w:id="668"/>
    </w:p>
    <w:p>
      <w:pPr>
        <w:spacing w:line="480" w:lineRule="exact"/>
        <w:ind w:firstLine="482" w:firstLineChars="200"/>
        <w:rPr>
          <w:rFonts w:ascii="宋体" w:hAnsi="宋体"/>
          <w:b/>
          <w:bCs/>
          <w:sz w:val="24"/>
        </w:rPr>
      </w:pPr>
      <w:r>
        <w:rPr>
          <w:rFonts w:hint="eastAsia" w:ascii="宋体" w:hAnsi="宋体"/>
          <w:b/>
          <w:bCs/>
          <w:sz w:val="24"/>
        </w:rPr>
        <w:t>8.3</w:t>
      </w:r>
      <w:r>
        <w:rPr>
          <w:rFonts w:ascii="宋体" w:hAnsi="宋体"/>
          <w:b/>
          <w:bCs/>
          <w:sz w:val="24"/>
        </w:rPr>
        <w:t xml:space="preserve">.1 </w:t>
      </w:r>
      <w:r>
        <w:rPr>
          <w:rFonts w:hint="eastAsia" w:ascii="宋体" w:hAnsi="宋体"/>
          <w:b/>
          <w:bCs/>
          <w:sz w:val="24"/>
        </w:rPr>
        <w:t>不可抗力的确认</w:t>
      </w:r>
    </w:p>
    <w:p>
      <w:pPr>
        <w:spacing w:line="480" w:lineRule="exact"/>
        <w:ind w:firstLine="480" w:firstLineChars="200"/>
        <w:rPr>
          <w:rFonts w:ascii="宋体" w:hAnsi="宋体"/>
          <w:sz w:val="24"/>
        </w:rPr>
      </w:pPr>
      <w:r>
        <w:rPr>
          <w:rFonts w:hint="eastAsia" w:ascii="宋体" w:hAnsi="宋体"/>
          <w:sz w:val="24"/>
        </w:rPr>
        <w:t>8.3.1</w:t>
      </w:r>
      <w:r>
        <w:rPr>
          <w:rFonts w:ascii="宋体" w:hAnsi="宋体"/>
          <w:sz w:val="24"/>
        </w:rPr>
        <w:t>.1 不可抗力是指</w:t>
      </w:r>
      <w:r>
        <w:rPr>
          <w:rFonts w:hint="eastAsia" w:ascii="宋体" w:hAnsi="宋体"/>
          <w:sz w:val="24"/>
        </w:rPr>
        <w:t>咨询单位</w:t>
      </w:r>
      <w:r>
        <w:rPr>
          <w:rFonts w:ascii="宋体" w:hAnsi="宋体"/>
          <w:sz w:val="24"/>
        </w:rPr>
        <w:t>和发包人在订立合同时不可预见，在履行合同过程中不可避免发生并不能克服的自然灾害和社会性突发事件，如地震、海啸、瘟疫、水灾、骚乱、暴动、战争</w:t>
      </w:r>
      <w:r>
        <w:rPr>
          <w:rFonts w:hint="eastAsia" w:ascii="宋体" w:hAnsi="宋体"/>
          <w:sz w:val="24"/>
        </w:rPr>
        <w:t>等</w:t>
      </w:r>
      <w:r>
        <w:rPr>
          <w:rFonts w:ascii="宋体" w:hAnsi="宋体"/>
          <w:sz w:val="24"/>
        </w:rPr>
        <w:t>。</w:t>
      </w:r>
    </w:p>
    <w:p>
      <w:pPr>
        <w:spacing w:line="480" w:lineRule="exact"/>
        <w:ind w:firstLine="480" w:firstLineChars="200"/>
        <w:rPr>
          <w:rFonts w:ascii="宋体" w:hAnsi="宋体"/>
          <w:sz w:val="24"/>
        </w:rPr>
      </w:pPr>
      <w:r>
        <w:rPr>
          <w:rFonts w:hint="eastAsia" w:ascii="宋体" w:hAnsi="宋体"/>
          <w:sz w:val="24"/>
        </w:rPr>
        <w:t>8.3.1</w:t>
      </w:r>
      <w:r>
        <w:rPr>
          <w:rFonts w:ascii="宋体" w:hAnsi="宋体"/>
          <w:sz w:val="24"/>
        </w:rPr>
        <w:t>.1  不可抗力发生后，发包人和</w:t>
      </w:r>
      <w:r>
        <w:rPr>
          <w:rFonts w:hint="eastAsia" w:ascii="宋体" w:hAnsi="宋体"/>
          <w:sz w:val="24"/>
        </w:rPr>
        <w:t>咨询单位</w:t>
      </w:r>
      <w:r>
        <w:rPr>
          <w:rFonts w:ascii="宋体" w:hAnsi="宋体"/>
          <w:sz w:val="24"/>
        </w:rPr>
        <w:t>应及时认真统计所造成的损失，收集不可抗力造成损失的证据。合同双方对是否属于不可抗力或其损失的意见不一致的，由合同双方协商确定。</w:t>
      </w:r>
    </w:p>
    <w:p>
      <w:pPr>
        <w:spacing w:line="480" w:lineRule="exact"/>
        <w:ind w:firstLine="482" w:firstLineChars="200"/>
        <w:rPr>
          <w:rFonts w:ascii="宋体" w:hAnsi="宋体"/>
          <w:b/>
          <w:bCs/>
          <w:sz w:val="24"/>
        </w:rPr>
      </w:pPr>
      <w:r>
        <w:rPr>
          <w:rFonts w:hint="eastAsia" w:ascii="宋体" w:hAnsi="宋体"/>
          <w:b/>
          <w:bCs/>
          <w:sz w:val="24"/>
        </w:rPr>
        <w:t>8.3</w:t>
      </w:r>
      <w:r>
        <w:rPr>
          <w:rFonts w:ascii="宋体" w:hAnsi="宋体"/>
          <w:b/>
          <w:bCs/>
          <w:sz w:val="24"/>
        </w:rPr>
        <w:t xml:space="preserve">.2 </w:t>
      </w:r>
      <w:r>
        <w:rPr>
          <w:rFonts w:hint="eastAsia" w:ascii="宋体" w:hAnsi="宋体"/>
          <w:b/>
          <w:bCs/>
          <w:sz w:val="24"/>
        </w:rPr>
        <w:t>不可抗力的通知</w:t>
      </w:r>
    </w:p>
    <w:p>
      <w:pPr>
        <w:spacing w:line="480" w:lineRule="exact"/>
        <w:ind w:firstLine="480" w:firstLineChars="200"/>
        <w:rPr>
          <w:rFonts w:ascii="宋体" w:hAnsi="宋体"/>
          <w:sz w:val="24"/>
        </w:rPr>
      </w:pPr>
      <w:r>
        <w:rPr>
          <w:rFonts w:hint="eastAsia" w:ascii="宋体" w:hAnsi="宋体"/>
          <w:sz w:val="24"/>
        </w:rPr>
        <w:t>8.3</w:t>
      </w:r>
      <w:r>
        <w:rPr>
          <w:rFonts w:ascii="宋体" w:hAnsi="宋体"/>
          <w:sz w:val="24"/>
        </w:rPr>
        <w:t>.2.1 合同一方当事人遇到不可抗力事件，使其履行合同义务受到阻碍时，应立即通知合同另一方当事人，书面说明不可抗力和受阻碍的详细情况，并提供必要的证明。</w:t>
      </w:r>
    </w:p>
    <w:p>
      <w:pPr>
        <w:spacing w:line="480" w:lineRule="exact"/>
        <w:ind w:firstLine="480" w:firstLineChars="200"/>
        <w:rPr>
          <w:rFonts w:ascii="宋体" w:hAnsi="宋体"/>
          <w:sz w:val="24"/>
        </w:rPr>
      </w:pPr>
      <w:r>
        <w:rPr>
          <w:rFonts w:hint="eastAsia" w:ascii="宋体" w:hAnsi="宋体"/>
          <w:sz w:val="24"/>
        </w:rPr>
        <w:t>8.3</w:t>
      </w:r>
      <w:r>
        <w:rPr>
          <w:rFonts w:ascii="宋体" w:hAnsi="宋体"/>
          <w:sz w:val="24"/>
        </w:rPr>
        <w:t>.2.</w:t>
      </w:r>
      <w:r>
        <w:rPr>
          <w:rFonts w:hint="eastAsia" w:ascii="宋体" w:hAnsi="宋体"/>
          <w:sz w:val="24"/>
        </w:rPr>
        <w:t>2</w:t>
      </w:r>
      <w:r>
        <w:rPr>
          <w:rFonts w:ascii="宋体" w:hAnsi="宋体"/>
          <w:sz w:val="24"/>
        </w:rPr>
        <w:t>如不可抗力持续发生，合同一方当事人应及时向合同另一方当事人提交中间报告，说明不可抗力和履行合同受阻的情况，并于不可抗力事件结束后28天内提交最终报告及有关资料。</w:t>
      </w:r>
    </w:p>
    <w:p>
      <w:pPr>
        <w:spacing w:line="480" w:lineRule="exact"/>
        <w:ind w:firstLine="482" w:firstLineChars="200"/>
        <w:rPr>
          <w:rFonts w:ascii="宋体" w:hAnsi="宋体"/>
          <w:b/>
          <w:bCs/>
          <w:sz w:val="24"/>
        </w:rPr>
      </w:pPr>
      <w:r>
        <w:rPr>
          <w:rFonts w:hint="eastAsia" w:ascii="宋体" w:hAnsi="宋体"/>
          <w:b/>
          <w:bCs/>
          <w:sz w:val="24"/>
        </w:rPr>
        <w:t>8.3</w:t>
      </w:r>
      <w:r>
        <w:rPr>
          <w:rFonts w:ascii="宋体" w:hAnsi="宋体"/>
          <w:b/>
          <w:bCs/>
          <w:sz w:val="24"/>
        </w:rPr>
        <w:t>.</w:t>
      </w:r>
      <w:r>
        <w:rPr>
          <w:rFonts w:hint="eastAsia" w:ascii="宋体" w:hAnsi="宋体"/>
          <w:b/>
          <w:bCs/>
          <w:sz w:val="24"/>
        </w:rPr>
        <w:t>3不可抗力后果及其处理</w:t>
      </w:r>
    </w:p>
    <w:p>
      <w:pPr>
        <w:spacing w:line="360" w:lineRule="auto"/>
        <w:ind w:firstLine="480" w:firstLineChars="200"/>
        <w:rPr>
          <w:rFonts w:ascii="宋体" w:hAnsi="宋体"/>
          <w:sz w:val="24"/>
        </w:rPr>
      </w:pPr>
      <w:r>
        <w:rPr>
          <w:rFonts w:hint="eastAsia" w:ascii="宋体" w:hAnsi="宋体"/>
          <w:sz w:val="24"/>
        </w:rPr>
        <w:t>8.3</w:t>
      </w:r>
      <w:r>
        <w:rPr>
          <w:rFonts w:ascii="宋体" w:hAnsi="宋体"/>
          <w:sz w:val="24"/>
        </w:rPr>
        <w:t>.3.1 不可抗力引起的后果及其损失，应由合同当事人依据法律规定各自承担。不可抗力发生前已完成的</w:t>
      </w:r>
      <w:r>
        <w:rPr>
          <w:rFonts w:hint="eastAsia" w:ascii="宋体" w:hAnsi="宋体"/>
          <w:sz w:val="24"/>
        </w:rPr>
        <w:t>勘察</w:t>
      </w:r>
      <w:r>
        <w:rPr>
          <w:rFonts w:ascii="宋体" w:hAnsi="宋体"/>
          <w:sz w:val="24"/>
        </w:rPr>
        <w:t>设计</w:t>
      </w:r>
      <w:r>
        <w:rPr>
          <w:rFonts w:hint="eastAsia" w:ascii="宋体" w:hAnsi="宋体"/>
          <w:sz w:val="24"/>
        </w:rPr>
        <w:t>咨询</w:t>
      </w:r>
      <w:r>
        <w:rPr>
          <w:rFonts w:ascii="宋体" w:hAnsi="宋体"/>
          <w:sz w:val="24"/>
        </w:rPr>
        <w:t>工作，应当按照合同约定进行支付。</w:t>
      </w:r>
    </w:p>
    <w:p>
      <w:pPr>
        <w:spacing w:line="360" w:lineRule="auto"/>
        <w:ind w:firstLine="480" w:firstLineChars="200"/>
        <w:rPr>
          <w:rFonts w:ascii="宋体" w:hAnsi="宋体"/>
          <w:sz w:val="24"/>
        </w:rPr>
      </w:pPr>
      <w:r>
        <w:rPr>
          <w:rFonts w:hint="eastAsia" w:ascii="宋体" w:hAnsi="宋体"/>
          <w:sz w:val="24"/>
        </w:rPr>
        <w:t>8.3</w:t>
      </w:r>
      <w:r>
        <w:rPr>
          <w:rFonts w:ascii="宋体" w:hAnsi="宋体"/>
          <w:sz w:val="24"/>
        </w:rPr>
        <w:t>.3.</w:t>
      </w:r>
      <w:r>
        <w:rPr>
          <w:rFonts w:hint="eastAsia" w:ascii="宋体" w:hAnsi="宋体"/>
          <w:sz w:val="24"/>
        </w:rPr>
        <w:t>2</w:t>
      </w:r>
      <w:r>
        <w:rPr>
          <w:rFonts w:ascii="宋体" w:hAnsi="宋体"/>
          <w:sz w:val="24"/>
        </w:rPr>
        <w:t>不可抗力发生后，合同当事人应当采取有效措施避免损失进一步扩大，如未采取有效措施致使损失扩大的，应当自行承担扩大部分的损失。</w:t>
      </w:r>
    </w:p>
    <w:p>
      <w:pPr>
        <w:wordWrap w:val="0"/>
        <w:topLinePunct/>
        <w:spacing w:line="360" w:lineRule="auto"/>
        <w:ind w:firstLine="480" w:firstLineChars="200"/>
        <w:contextualSpacing/>
        <w:jc w:val="left"/>
        <w:textAlignment w:val="baseline"/>
        <w:rPr>
          <w:rFonts w:ascii="宋体" w:hAnsi="宋体"/>
          <w:kern w:val="0"/>
          <w:sz w:val="24"/>
        </w:rPr>
      </w:pPr>
      <w:r>
        <w:rPr>
          <w:rFonts w:hint="eastAsia" w:ascii="宋体" w:hAnsi="宋体"/>
          <w:sz w:val="24"/>
        </w:rPr>
        <w:t>8.3</w:t>
      </w:r>
      <w:r>
        <w:rPr>
          <w:rFonts w:ascii="宋体" w:hAnsi="宋体"/>
          <w:sz w:val="24"/>
        </w:rPr>
        <w:t>.3.</w:t>
      </w:r>
      <w:r>
        <w:rPr>
          <w:rFonts w:hint="eastAsia" w:ascii="宋体" w:hAnsi="宋体"/>
          <w:sz w:val="24"/>
        </w:rPr>
        <w:t>3</w:t>
      </w:r>
      <w:r>
        <w:rPr>
          <w:rFonts w:ascii="宋体" w:hAnsi="宋体"/>
          <w:sz w:val="24"/>
        </w:rPr>
        <w:t>因一方当事人迟延履行合同义务，致使迟延履行期间遭遇不可抗力的，应由该当事人承担全部损失。</w:t>
      </w:r>
    </w:p>
    <w:p>
      <w:pPr>
        <w:wordWrap w:val="0"/>
        <w:topLinePunct/>
        <w:spacing w:line="360" w:lineRule="auto"/>
        <w:ind w:firstLine="482" w:firstLineChars="200"/>
        <w:contextualSpacing/>
        <w:jc w:val="left"/>
        <w:textAlignment w:val="baseline"/>
        <w:rPr>
          <w:rFonts w:ascii="宋体" w:hAnsi="宋体"/>
          <w:b/>
          <w:kern w:val="0"/>
          <w:sz w:val="24"/>
        </w:rPr>
      </w:pPr>
      <w:bookmarkStart w:id="669" w:name="_Toc441148834"/>
      <w:r>
        <w:rPr>
          <w:rFonts w:hint="eastAsia" w:ascii="宋体" w:hAnsi="宋体"/>
          <w:b/>
          <w:kern w:val="0"/>
          <w:sz w:val="24"/>
        </w:rPr>
        <w:t>8.4 通知</w:t>
      </w:r>
      <w:bookmarkEnd w:id="669"/>
      <w:bookmarkStart w:id="670" w:name="_Toc5011"/>
      <w:bookmarkStart w:id="671" w:name="_Toc441148835"/>
    </w:p>
    <w:p>
      <w:pPr>
        <w:wordWrap w:val="0"/>
        <w:topLinePunct/>
        <w:spacing w:line="360" w:lineRule="auto"/>
        <w:ind w:firstLine="480" w:firstLineChars="200"/>
        <w:contextualSpacing/>
        <w:jc w:val="left"/>
        <w:textAlignment w:val="baseline"/>
        <w:rPr>
          <w:rFonts w:ascii="宋体" w:hAnsi="宋体"/>
          <w:kern w:val="0"/>
          <w:sz w:val="24"/>
        </w:rPr>
      </w:pPr>
      <w:r>
        <w:rPr>
          <w:rFonts w:hint="eastAsia" w:ascii="宋体" w:hAnsi="宋体"/>
          <w:kern w:val="0"/>
          <w:sz w:val="24"/>
        </w:rPr>
        <w:t>8.4.1本合同规定的任何通知应采取书面形式，以专人亲自向收件方送递，或以挂号邮件、特快专递等方式送达本合同载明的地址。</w:t>
      </w:r>
      <w:bookmarkEnd w:id="670"/>
      <w:bookmarkEnd w:id="671"/>
      <w:bookmarkStart w:id="672" w:name="_Toc441148836"/>
      <w:bookmarkStart w:id="673" w:name="_Toc18576"/>
    </w:p>
    <w:p>
      <w:pPr>
        <w:wordWrap w:val="0"/>
        <w:topLinePunct/>
        <w:spacing w:line="360" w:lineRule="auto"/>
        <w:ind w:firstLine="480" w:firstLineChars="200"/>
        <w:contextualSpacing/>
        <w:jc w:val="left"/>
        <w:textAlignment w:val="baseline"/>
        <w:rPr>
          <w:rFonts w:ascii="宋体" w:hAnsi="宋体"/>
          <w:kern w:val="0"/>
          <w:sz w:val="24"/>
        </w:rPr>
      </w:pPr>
      <w:r>
        <w:rPr>
          <w:rFonts w:hint="eastAsia" w:ascii="宋体" w:hAnsi="宋体"/>
          <w:kern w:val="0"/>
          <w:sz w:val="24"/>
        </w:rPr>
        <w:t>8.4.2 任何一方的接收地址或电话等事项发生变更，应在变更后三日内书面通知另一方。</w:t>
      </w:r>
      <w:bookmarkEnd w:id="672"/>
      <w:bookmarkEnd w:id="673"/>
      <w:bookmarkStart w:id="674" w:name="_Toc603"/>
      <w:bookmarkStart w:id="675" w:name="_Toc441148837"/>
    </w:p>
    <w:p>
      <w:pPr>
        <w:wordWrap w:val="0"/>
        <w:topLinePunct/>
        <w:spacing w:line="360" w:lineRule="auto"/>
        <w:ind w:firstLine="480" w:firstLineChars="200"/>
        <w:contextualSpacing/>
        <w:jc w:val="left"/>
        <w:textAlignment w:val="baseline"/>
        <w:rPr>
          <w:rFonts w:ascii="宋体" w:hAnsi="宋体"/>
          <w:kern w:val="0"/>
          <w:sz w:val="24"/>
        </w:rPr>
      </w:pPr>
      <w:r>
        <w:rPr>
          <w:rFonts w:hint="eastAsia" w:ascii="宋体" w:hAnsi="宋体"/>
          <w:kern w:val="0"/>
          <w:sz w:val="24"/>
        </w:rPr>
        <w:t>8.4.3 在本款前两项规定下，该通知或其它通讯在下述情况下应视为正式送达：</w:t>
      </w:r>
      <w:bookmarkEnd w:id="674"/>
      <w:bookmarkEnd w:id="675"/>
    </w:p>
    <w:p>
      <w:pPr>
        <w:wordWrap w:val="0"/>
        <w:topLinePunct/>
        <w:spacing w:line="360" w:lineRule="auto"/>
        <w:ind w:firstLine="360" w:firstLineChars="150"/>
        <w:contextualSpacing/>
        <w:jc w:val="left"/>
        <w:textAlignment w:val="baseline"/>
        <w:rPr>
          <w:rFonts w:ascii="宋体" w:hAnsi="宋体"/>
          <w:kern w:val="0"/>
          <w:sz w:val="24"/>
        </w:rPr>
      </w:pPr>
      <w:bookmarkStart w:id="676" w:name="_Toc441148838"/>
      <w:r>
        <w:rPr>
          <w:rFonts w:hint="eastAsia" w:ascii="宋体" w:hAnsi="宋体"/>
          <w:kern w:val="0"/>
          <w:sz w:val="24"/>
        </w:rPr>
        <w:t>（1）以专人送交的，以抵达本款第</w:t>
      </w:r>
      <w:r>
        <w:rPr>
          <w:rFonts w:ascii="宋体" w:hAnsi="宋体"/>
          <w:kern w:val="0"/>
          <w:sz w:val="24"/>
        </w:rPr>
        <w:t>1</w:t>
      </w:r>
      <w:r>
        <w:rPr>
          <w:rFonts w:hint="eastAsia" w:ascii="宋体" w:hAnsi="宋体"/>
          <w:kern w:val="0"/>
          <w:sz w:val="24"/>
        </w:rPr>
        <w:t>项、第</w:t>
      </w:r>
      <w:r>
        <w:rPr>
          <w:rFonts w:ascii="宋体" w:hAnsi="宋体"/>
          <w:kern w:val="0"/>
          <w:sz w:val="24"/>
        </w:rPr>
        <w:t>2</w:t>
      </w:r>
      <w:r>
        <w:rPr>
          <w:rFonts w:hint="eastAsia" w:ascii="宋体" w:hAnsi="宋体"/>
          <w:kern w:val="0"/>
          <w:sz w:val="24"/>
        </w:rPr>
        <w:t>项注明的地址经对方指派的专人签收。</w:t>
      </w:r>
      <w:bookmarkEnd w:id="676"/>
    </w:p>
    <w:p>
      <w:pPr>
        <w:wordWrap w:val="0"/>
        <w:topLinePunct/>
        <w:spacing w:line="360" w:lineRule="auto"/>
        <w:ind w:firstLine="360" w:firstLineChars="150"/>
        <w:contextualSpacing/>
        <w:jc w:val="left"/>
        <w:textAlignment w:val="baseline"/>
        <w:rPr>
          <w:rFonts w:ascii="宋体" w:hAnsi="宋体"/>
          <w:kern w:val="0"/>
          <w:sz w:val="24"/>
        </w:rPr>
      </w:pPr>
      <w:bookmarkStart w:id="677" w:name="_Toc441148839"/>
      <w:r>
        <w:rPr>
          <w:rFonts w:hint="eastAsia" w:ascii="宋体" w:hAnsi="宋体"/>
          <w:kern w:val="0"/>
          <w:sz w:val="24"/>
        </w:rPr>
        <w:t>（2）以挂号邮件、特快专递方式送达的，邮递人员已持有送达回执。</w:t>
      </w:r>
      <w:bookmarkEnd w:id="677"/>
      <w:bookmarkStart w:id="678" w:name="_Toc441148840"/>
      <w:bookmarkStart w:id="679" w:name="_Toc429404215"/>
    </w:p>
    <w:p>
      <w:pPr>
        <w:wordWrap w:val="0"/>
        <w:topLinePunct/>
        <w:spacing w:line="360" w:lineRule="auto"/>
        <w:ind w:firstLine="361" w:firstLineChars="150"/>
        <w:contextualSpacing/>
        <w:jc w:val="left"/>
        <w:textAlignment w:val="baseline"/>
        <w:rPr>
          <w:rFonts w:ascii="宋体" w:hAnsi="宋体"/>
          <w:kern w:val="0"/>
          <w:sz w:val="24"/>
        </w:rPr>
      </w:pPr>
      <w:r>
        <w:rPr>
          <w:rFonts w:hint="eastAsia" w:ascii="宋体" w:hAnsi="宋体" w:cs="SimSun-Identity-H"/>
          <w:b/>
          <w:bCs/>
          <w:kern w:val="0"/>
          <w:sz w:val="24"/>
        </w:rPr>
        <w:t>8.5利益的冲突</w:t>
      </w:r>
      <w:bookmarkEnd w:id="678"/>
      <w:bookmarkEnd w:id="679"/>
      <w:bookmarkStart w:id="680" w:name="_Toc441148841"/>
      <w:bookmarkStart w:id="681" w:name="_Toc429404216"/>
    </w:p>
    <w:p>
      <w:pPr>
        <w:wordWrap w:val="0"/>
        <w:topLinePunct/>
        <w:spacing w:line="360" w:lineRule="auto"/>
        <w:ind w:firstLine="480" w:firstLineChars="200"/>
        <w:contextualSpacing/>
        <w:jc w:val="left"/>
        <w:textAlignment w:val="baseline"/>
        <w:rPr>
          <w:rFonts w:ascii="宋体" w:hAnsi="宋体"/>
          <w:kern w:val="0"/>
          <w:sz w:val="24"/>
        </w:rPr>
      </w:pPr>
      <w:r>
        <w:rPr>
          <w:rFonts w:hint="eastAsia" w:ascii="宋体" w:hAnsi="宋体" w:cs="SimSun-Identity-H"/>
          <w:kern w:val="0"/>
          <w:sz w:val="24"/>
        </w:rPr>
        <w:t>除合同另有规定外，咨询单位及其雇员不应接受本合同规定以外的与本项目有关的利益和报酬；咨询单位不得参与与发包人的利益有冲突的任何活动。</w:t>
      </w:r>
      <w:bookmarkEnd w:id="680"/>
      <w:bookmarkEnd w:id="681"/>
      <w:bookmarkStart w:id="682" w:name="_Toc441148842"/>
      <w:bookmarkStart w:id="683" w:name="_Toc429404217"/>
    </w:p>
    <w:p>
      <w:pPr>
        <w:wordWrap w:val="0"/>
        <w:topLinePunct/>
        <w:spacing w:line="360" w:lineRule="auto"/>
        <w:ind w:firstLine="361" w:firstLineChars="150"/>
        <w:contextualSpacing/>
        <w:jc w:val="left"/>
        <w:textAlignment w:val="baseline"/>
        <w:rPr>
          <w:rFonts w:ascii="宋体" w:hAnsi="宋体"/>
          <w:kern w:val="0"/>
          <w:sz w:val="24"/>
        </w:rPr>
      </w:pPr>
      <w:r>
        <w:rPr>
          <w:rFonts w:hint="eastAsia" w:ascii="宋体" w:hAnsi="宋体" w:cs="SimSun-Identity-H"/>
          <w:b/>
          <w:bCs/>
          <w:kern w:val="0"/>
          <w:sz w:val="24"/>
        </w:rPr>
        <w:t>8.6争端的解决</w:t>
      </w:r>
      <w:bookmarkEnd w:id="682"/>
      <w:bookmarkEnd w:id="683"/>
      <w:bookmarkStart w:id="684" w:name="_Toc429404218"/>
      <w:bookmarkStart w:id="685" w:name="_Toc441148843"/>
    </w:p>
    <w:p>
      <w:pPr>
        <w:spacing w:line="360" w:lineRule="auto"/>
        <w:ind w:firstLine="480" w:firstLineChars="200"/>
        <w:rPr>
          <w:rFonts w:eastAsia="黑体"/>
          <w:sz w:val="24"/>
        </w:rPr>
      </w:pPr>
      <w:r>
        <w:rPr>
          <w:rFonts w:hint="eastAsia" w:ascii="宋体" w:hAnsi="宋体" w:cs="SimSun-Identity-H"/>
          <w:kern w:val="0"/>
          <w:sz w:val="24"/>
        </w:rPr>
        <w:t>本合同在执行过程中，如发生任何争端、纠纷或因违反、终止本合同而引起的对损失损害的任何赔偿，应事先协商，如未能达成一致，可向发包人所在地的仲裁委员会申请仲裁，或向提交发包人所在地人民法院提出诉讼。</w:t>
      </w:r>
      <w:bookmarkEnd w:id="684"/>
      <w:bookmarkEnd w:id="685"/>
    </w:p>
    <w:p>
      <w:pPr>
        <w:spacing w:line="380" w:lineRule="atLeast"/>
        <w:rPr>
          <w:rFonts w:eastAsia="黑体"/>
          <w:sz w:val="24"/>
        </w:rPr>
      </w:pPr>
    </w:p>
    <w:p>
      <w:pPr>
        <w:spacing w:line="380" w:lineRule="atLeast"/>
        <w:rPr>
          <w:rFonts w:eastAsia="黑体"/>
          <w:sz w:val="24"/>
        </w:rPr>
      </w:pPr>
    </w:p>
    <w:p>
      <w:pPr>
        <w:spacing w:line="380" w:lineRule="atLeast"/>
        <w:rPr>
          <w:rFonts w:eastAsia="黑体"/>
          <w:sz w:val="24"/>
        </w:rPr>
      </w:pPr>
    </w:p>
    <w:p>
      <w:pPr>
        <w:widowControl/>
        <w:jc w:val="left"/>
        <w:rPr>
          <w:rFonts w:eastAsia="黑体"/>
          <w:sz w:val="24"/>
        </w:rPr>
      </w:pPr>
      <w:r>
        <w:rPr>
          <w:rFonts w:eastAsia="黑体"/>
          <w:sz w:val="24"/>
        </w:rPr>
        <w:br w:type="page"/>
      </w:r>
    </w:p>
    <w:p>
      <w:pPr>
        <w:spacing w:line="380" w:lineRule="atLeast"/>
        <w:rPr>
          <w:rFonts w:eastAsia="黑体"/>
          <w:sz w:val="24"/>
        </w:rPr>
      </w:pPr>
    </w:p>
    <w:p>
      <w:pPr>
        <w:spacing w:line="380" w:lineRule="atLeast"/>
        <w:rPr>
          <w:rFonts w:eastAsia="黑体"/>
          <w:sz w:val="24"/>
        </w:rPr>
      </w:pPr>
    </w:p>
    <w:p>
      <w:pPr>
        <w:spacing w:line="380" w:lineRule="atLeast"/>
        <w:rPr>
          <w:rFonts w:eastAsia="黑体"/>
          <w:sz w:val="24"/>
        </w:rPr>
      </w:pPr>
    </w:p>
    <w:p>
      <w:pPr>
        <w:pStyle w:val="18"/>
        <w:rPr>
          <w:rFonts w:eastAsia="黑体"/>
          <w:sz w:val="24"/>
        </w:rPr>
      </w:pPr>
    </w:p>
    <w:p>
      <w:pPr>
        <w:rPr>
          <w:rFonts w:eastAsia="黑体"/>
          <w:sz w:val="24"/>
        </w:rPr>
      </w:pPr>
    </w:p>
    <w:p>
      <w:pPr>
        <w:pStyle w:val="18"/>
        <w:rPr>
          <w:rFonts w:eastAsia="黑体"/>
          <w:sz w:val="24"/>
        </w:rPr>
      </w:pPr>
    </w:p>
    <w:p>
      <w:pPr>
        <w:rPr>
          <w:rFonts w:eastAsia="黑体"/>
          <w:sz w:val="24"/>
        </w:rPr>
      </w:pPr>
    </w:p>
    <w:p>
      <w:pPr>
        <w:pStyle w:val="18"/>
        <w:rPr>
          <w:rFonts w:eastAsia="黑体"/>
          <w:sz w:val="24"/>
        </w:rPr>
      </w:pPr>
    </w:p>
    <w:p/>
    <w:p>
      <w:pPr>
        <w:spacing w:line="380" w:lineRule="atLeast"/>
        <w:rPr>
          <w:rFonts w:eastAsia="黑体"/>
          <w:sz w:val="24"/>
        </w:rPr>
      </w:pPr>
    </w:p>
    <w:p>
      <w:pPr>
        <w:spacing w:line="380" w:lineRule="atLeast"/>
        <w:rPr>
          <w:rFonts w:eastAsia="黑体"/>
          <w:sz w:val="24"/>
        </w:rPr>
      </w:pPr>
    </w:p>
    <w:p>
      <w:pPr>
        <w:spacing w:line="380" w:lineRule="atLeast"/>
        <w:rPr>
          <w:rFonts w:eastAsia="黑体"/>
          <w:sz w:val="24"/>
        </w:rPr>
      </w:pPr>
    </w:p>
    <w:p>
      <w:pPr>
        <w:spacing w:line="380" w:lineRule="atLeast"/>
        <w:rPr>
          <w:rFonts w:eastAsia="黑体"/>
          <w:sz w:val="24"/>
        </w:rPr>
      </w:pPr>
    </w:p>
    <w:p>
      <w:pPr>
        <w:pStyle w:val="2"/>
        <w:jc w:val="center"/>
        <w:rPr>
          <w:rFonts w:ascii="黑体" w:hAnsi="黑体" w:eastAsia="黑体"/>
          <w:b w:val="0"/>
          <w:sz w:val="32"/>
          <w:szCs w:val="32"/>
        </w:rPr>
      </w:pPr>
      <w:bookmarkStart w:id="686" w:name="_Toc503235824"/>
      <w:bookmarkStart w:id="687" w:name="_Toc508984349"/>
      <w:bookmarkStart w:id="688" w:name="_Toc508984150"/>
      <w:r>
        <w:rPr>
          <w:rFonts w:hint="eastAsia" w:ascii="黑体" w:hAnsi="黑体" w:eastAsia="黑体"/>
          <w:b w:val="0"/>
          <w:sz w:val="32"/>
          <w:szCs w:val="32"/>
        </w:rPr>
        <w:t>第二节合同附件格式</w:t>
      </w:r>
      <w:bookmarkEnd w:id="476"/>
      <w:bookmarkEnd w:id="686"/>
      <w:bookmarkEnd w:id="687"/>
      <w:bookmarkEnd w:id="688"/>
    </w:p>
    <w:p>
      <w:pPr>
        <w:spacing w:line="440" w:lineRule="exact"/>
        <w:rPr>
          <w:rFonts w:eastAsia="黑体"/>
          <w:sz w:val="20"/>
          <w:szCs w:val="20"/>
        </w:rPr>
      </w:pPr>
    </w:p>
    <w:p>
      <w:pPr>
        <w:pStyle w:val="2"/>
        <w:spacing w:before="0" w:after="0" w:line="380" w:lineRule="atLeast"/>
        <w:rPr>
          <w:rFonts w:eastAsia="黑体"/>
          <w:b w:val="0"/>
          <w:sz w:val="24"/>
          <w:szCs w:val="24"/>
        </w:rPr>
      </w:pPr>
      <w:r>
        <w:rPr>
          <w:rFonts w:eastAsia="黑体"/>
          <w:sz w:val="20"/>
          <w:szCs w:val="20"/>
        </w:rPr>
        <w:br w:type="page"/>
      </w:r>
      <w:bookmarkStart w:id="689" w:name="_Toc508984350"/>
      <w:bookmarkStart w:id="690" w:name="_Toc508984151"/>
      <w:bookmarkStart w:id="691" w:name="_Toc503235825"/>
      <w:bookmarkStart w:id="692" w:name="_Toc234833231"/>
      <w:r>
        <w:rPr>
          <w:rFonts w:eastAsia="黑体"/>
          <w:b w:val="0"/>
          <w:sz w:val="24"/>
          <w:szCs w:val="24"/>
        </w:rPr>
        <w:t>附件一：合同协议书</w:t>
      </w:r>
      <w:bookmarkEnd w:id="689"/>
      <w:bookmarkEnd w:id="690"/>
      <w:bookmarkEnd w:id="691"/>
      <w:bookmarkEnd w:id="692"/>
    </w:p>
    <w:p>
      <w:pPr>
        <w:spacing w:line="440" w:lineRule="exact"/>
        <w:jc w:val="center"/>
        <w:rPr>
          <w:rFonts w:eastAsia="黑体"/>
          <w:sz w:val="28"/>
          <w:szCs w:val="28"/>
        </w:rPr>
      </w:pPr>
      <w:r>
        <w:rPr>
          <w:rFonts w:eastAsia="黑体"/>
          <w:sz w:val="28"/>
          <w:szCs w:val="28"/>
        </w:rPr>
        <w:t>合 同 协 议 书</w:t>
      </w:r>
    </w:p>
    <w:p>
      <w:pPr>
        <w:spacing w:line="440" w:lineRule="exact"/>
        <w:ind w:firstLine="480" w:firstLineChars="200"/>
        <w:rPr>
          <w:sz w:val="24"/>
          <w:u w:val="single"/>
        </w:rPr>
      </w:pPr>
    </w:p>
    <w:p>
      <w:pPr>
        <w:spacing w:line="440" w:lineRule="exact"/>
        <w:ind w:firstLine="480" w:firstLineChars="200"/>
        <w:rPr>
          <w:rFonts w:ascii="宋体" w:hAnsi="宋体"/>
          <w:sz w:val="24"/>
        </w:rPr>
      </w:pPr>
      <w:r>
        <w:rPr>
          <w:rFonts w:ascii="宋体" w:hAnsi="宋体"/>
          <w:sz w:val="24"/>
        </w:rPr>
        <w:t>（发包人名称，以下简称“发包人”）为实施（项目名称），已接受（</w:t>
      </w:r>
      <w:r>
        <w:rPr>
          <w:rFonts w:hint="eastAsia" w:ascii="宋体" w:hAnsi="宋体"/>
          <w:sz w:val="24"/>
        </w:rPr>
        <w:t>咨询单位</w:t>
      </w:r>
      <w:r>
        <w:rPr>
          <w:rFonts w:ascii="宋体" w:hAnsi="宋体"/>
          <w:sz w:val="24"/>
        </w:rPr>
        <w:t>名称，以下简称“</w:t>
      </w:r>
      <w:r>
        <w:rPr>
          <w:rFonts w:hint="eastAsia" w:ascii="宋体" w:hAnsi="宋体"/>
          <w:sz w:val="24"/>
        </w:rPr>
        <w:t>咨询单位</w:t>
      </w:r>
      <w:r>
        <w:rPr>
          <w:rFonts w:ascii="宋体" w:hAnsi="宋体"/>
          <w:sz w:val="24"/>
        </w:rPr>
        <w:t>”）对该项目</w:t>
      </w:r>
      <w:r>
        <w:rPr>
          <w:rFonts w:ascii="宋体" w:hAnsi="宋体"/>
          <w:sz w:val="24"/>
          <w:u w:val="single"/>
        </w:rPr>
        <w:t xml:space="preserve">       标段勘察设计</w:t>
      </w:r>
      <w:r>
        <w:rPr>
          <w:rFonts w:ascii="宋体" w:hAnsi="宋体"/>
          <w:sz w:val="24"/>
        </w:rPr>
        <w:t>咨询的投标。发包人和</w:t>
      </w:r>
      <w:r>
        <w:rPr>
          <w:rFonts w:hint="eastAsia" w:ascii="宋体" w:hAnsi="宋体"/>
          <w:sz w:val="24"/>
        </w:rPr>
        <w:t>咨询单位</w:t>
      </w:r>
      <w:r>
        <w:rPr>
          <w:rFonts w:ascii="宋体" w:hAnsi="宋体"/>
          <w:sz w:val="24"/>
        </w:rPr>
        <w:t>共同达成如下协议。</w:t>
      </w:r>
    </w:p>
    <w:p>
      <w:pPr>
        <w:spacing w:line="440" w:lineRule="exact"/>
        <w:ind w:firstLine="616" w:firstLineChars="257"/>
        <w:rPr>
          <w:rFonts w:ascii="宋体" w:hAnsi="宋体"/>
          <w:sz w:val="24"/>
        </w:rPr>
      </w:pPr>
      <w:r>
        <w:rPr>
          <w:rFonts w:ascii="宋体" w:hAnsi="宋体"/>
          <w:sz w:val="24"/>
        </w:rPr>
        <w:t xml:space="preserve">1. </w:t>
      </w:r>
      <w:r>
        <w:rPr>
          <w:rFonts w:hint="eastAsia" w:ascii="宋体" w:hAnsi="宋体"/>
          <w:sz w:val="24"/>
        </w:rPr>
        <w:t>根据</w:t>
      </w:r>
      <w:r>
        <w:rPr>
          <w:rFonts w:hint="eastAsia" w:ascii="宋体" w:hAnsi="宋体"/>
          <w:sz w:val="24"/>
          <w:u w:val="single"/>
        </w:rPr>
        <w:t xml:space="preserve"> （项目名称）</w:t>
      </w:r>
      <w:r>
        <w:rPr>
          <w:rFonts w:hint="eastAsia" w:ascii="宋体" w:hAnsi="宋体"/>
          <w:sz w:val="24"/>
          <w:u w:val="single"/>
          <w:lang w:val="en-US" w:eastAsia="zh-CN"/>
        </w:rPr>
        <w:t xml:space="preserve">   </w:t>
      </w:r>
      <w:r>
        <w:rPr>
          <w:rFonts w:ascii="宋体" w:hAnsi="宋体"/>
          <w:sz w:val="24"/>
          <w:u w:val="single"/>
        </w:rPr>
        <w:t>标段</w:t>
      </w:r>
      <w:r>
        <w:rPr>
          <w:rFonts w:hint="eastAsia" w:ascii="宋体" w:hAnsi="宋体"/>
          <w:sz w:val="24"/>
        </w:rPr>
        <w:t>需要，按发包人提供的资料，完成项目所含的勘察设计咨询工作</w:t>
      </w:r>
      <w:r>
        <w:rPr>
          <w:rFonts w:ascii="宋体" w:hAnsi="宋体"/>
          <w:sz w:val="24"/>
        </w:rPr>
        <w:t>。</w:t>
      </w:r>
    </w:p>
    <w:p>
      <w:pPr>
        <w:spacing w:line="440" w:lineRule="exact"/>
        <w:ind w:right="34" w:rightChars="16" w:firstLine="616" w:firstLineChars="257"/>
        <w:rPr>
          <w:rFonts w:ascii="宋体" w:hAnsi="宋体"/>
          <w:sz w:val="24"/>
        </w:rPr>
      </w:pPr>
      <w:r>
        <w:rPr>
          <w:rFonts w:ascii="宋体" w:hAnsi="宋体"/>
          <w:sz w:val="24"/>
        </w:rPr>
        <w:t>2. 下列文件应视为构成合同文件的组成部分：</w:t>
      </w:r>
    </w:p>
    <w:p>
      <w:pPr>
        <w:spacing w:line="440" w:lineRule="exact"/>
        <w:ind w:right="34" w:rightChars="16" w:firstLine="616" w:firstLineChars="257"/>
        <w:rPr>
          <w:rFonts w:ascii="宋体" w:hAnsi="宋体"/>
          <w:sz w:val="24"/>
        </w:rPr>
      </w:pPr>
      <w:r>
        <w:rPr>
          <w:rFonts w:ascii="宋体" w:hAnsi="宋体"/>
          <w:sz w:val="24"/>
        </w:rPr>
        <w:t>（1）</w:t>
      </w:r>
      <w:r>
        <w:rPr>
          <w:rFonts w:hint="eastAsia" w:ascii="宋体" w:hAnsi="宋体"/>
          <w:sz w:val="24"/>
        </w:rPr>
        <w:t>本</w:t>
      </w:r>
      <w:r>
        <w:rPr>
          <w:rFonts w:ascii="宋体" w:hAnsi="宋体"/>
          <w:sz w:val="24"/>
        </w:rPr>
        <w:t>合同协议书及各种合同附件（含评标期间和合同谈判过程中的澄清文件和补充资料）；</w:t>
      </w:r>
    </w:p>
    <w:p>
      <w:pPr>
        <w:spacing w:line="440" w:lineRule="exact"/>
        <w:ind w:right="34" w:rightChars="16" w:firstLine="616" w:firstLineChars="257"/>
        <w:rPr>
          <w:rFonts w:ascii="宋体" w:hAnsi="宋体"/>
          <w:sz w:val="24"/>
        </w:rPr>
      </w:pPr>
      <w:r>
        <w:rPr>
          <w:rFonts w:ascii="宋体" w:hAnsi="宋体"/>
          <w:sz w:val="24"/>
        </w:rPr>
        <w:t>（2）中标通知书；</w:t>
      </w:r>
    </w:p>
    <w:p>
      <w:pPr>
        <w:spacing w:line="440" w:lineRule="exact"/>
        <w:ind w:right="34" w:rightChars="16" w:firstLine="616" w:firstLineChars="257"/>
        <w:rPr>
          <w:rFonts w:ascii="宋体" w:hAnsi="宋体"/>
          <w:sz w:val="24"/>
        </w:rPr>
      </w:pPr>
      <w:r>
        <w:rPr>
          <w:rFonts w:ascii="宋体" w:hAnsi="宋体"/>
          <w:sz w:val="24"/>
        </w:rPr>
        <w:t>（3）投标函；</w:t>
      </w:r>
    </w:p>
    <w:p>
      <w:pPr>
        <w:spacing w:line="440" w:lineRule="exact"/>
        <w:ind w:right="34" w:rightChars="16" w:firstLine="616" w:firstLineChars="257"/>
        <w:rPr>
          <w:rFonts w:ascii="宋体" w:hAnsi="宋体"/>
          <w:sz w:val="24"/>
        </w:rPr>
      </w:pPr>
      <w:r>
        <w:rPr>
          <w:rFonts w:ascii="宋体" w:hAnsi="宋体"/>
          <w:sz w:val="24"/>
        </w:rPr>
        <w:t>（4）合同条款；</w:t>
      </w:r>
    </w:p>
    <w:p>
      <w:pPr>
        <w:spacing w:line="440" w:lineRule="exact"/>
        <w:ind w:right="34" w:rightChars="16" w:firstLine="616" w:firstLineChars="257"/>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发包人</w:t>
      </w:r>
      <w:r>
        <w:rPr>
          <w:rFonts w:ascii="宋体" w:hAnsi="宋体"/>
          <w:sz w:val="24"/>
        </w:rPr>
        <w:t>要求；</w:t>
      </w:r>
    </w:p>
    <w:p>
      <w:pPr>
        <w:spacing w:line="440" w:lineRule="exact"/>
        <w:ind w:right="34" w:rightChars="16" w:firstLine="616" w:firstLineChars="257"/>
        <w:rPr>
          <w:rFonts w:ascii="宋体" w:hAnsi="宋体"/>
          <w:sz w:val="24"/>
        </w:rPr>
      </w:pPr>
      <w:r>
        <w:rPr>
          <w:rFonts w:ascii="宋体" w:hAnsi="宋体"/>
          <w:sz w:val="24"/>
        </w:rPr>
        <w:t>（</w:t>
      </w:r>
      <w:r>
        <w:rPr>
          <w:rFonts w:hint="eastAsia" w:ascii="宋体" w:hAnsi="宋体"/>
          <w:sz w:val="24"/>
        </w:rPr>
        <w:t>6</w:t>
      </w:r>
      <w:r>
        <w:rPr>
          <w:rFonts w:ascii="宋体" w:hAnsi="宋体"/>
          <w:sz w:val="24"/>
        </w:rPr>
        <w:t>）</w:t>
      </w:r>
      <w:r>
        <w:rPr>
          <w:rFonts w:hint="eastAsia" w:ascii="宋体" w:hAnsi="宋体"/>
          <w:sz w:val="24"/>
        </w:rPr>
        <w:t>勘察设计咨询</w:t>
      </w:r>
      <w:r>
        <w:rPr>
          <w:rFonts w:ascii="宋体" w:hAnsi="宋体"/>
          <w:sz w:val="24"/>
        </w:rPr>
        <w:t>费用清单；</w:t>
      </w:r>
    </w:p>
    <w:p>
      <w:pPr>
        <w:spacing w:line="440" w:lineRule="exact"/>
        <w:ind w:right="34" w:rightChars="16" w:firstLine="616" w:firstLineChars="257"/>
        <w:rPr>
          <w:rFonts w:ascii="宋体" w:hAnsi="宋体"/>
          <w:sz w:val="24"/>
        </w:rPr>
      </w:pPr>
      <w:r>
        <w:rPr>
          <w:rFonts w:hint="eastAsia" w:ascii="宋体" w:hAnsi="宋体"/>
          <w:sz w:val="24"/>
        </w:rPr>
        <w:t>（7</w:t>
      </w:r>
      <w:r>
        <w:rPr>
          <w:rFonts w:ascii="宋体" w:hAnsi="宋体"/>
          <w:sz w:val="24"/>
        </w:rPr>
        <w:t>）咨询单位有关人员</w:t>
      </w:r>
      <w:r>
        <w:rPr>
          <w:rFonts w:hint="eastAsia" w:ascii="宋体" w:hAnsi="宋体"/>
          <w:sz w:val="24"/>
        </w:rPr>
        <w:t>的</w:t>
      </w:r>
      <w:r>
        <w:rPr>
          <w:rFonts w:ascii="宋体" w:hAnsi="宋体"/>
          <w:sz w:val="24"/>
        </w:rPr>
        <w:t>投入；</w:t>
      </w:r>
    </w:p>
    <w:p>
      <w:pPr>
        <w:spacing w:line="440" w:lineRule="exact"/>
        <w:ind w:right="34" w:rightChars="16" w:firstLine="616" w:firstLineChars="257"/>
        <w:rPr>
          <w:rFonts w:ascii="宋体" w:hAnsi="宋体"/>
          <w:sz w:val="24"/>
        </w:rPr>
      </w:pPr>
      <w:r>
        <w:rPr>
          <w:rFonts w:ascii="宋体" w:hAnsi="宋体"/>
          <w:sz w:val="24"/>
        </w:rPr>
        <w:t>（</w:t>
      </w:r>
      <w:r>
        <w:rPr>
          <w:rFonts w:hint="eastAsia" w:ascii="宋体" w:hAnsi="宋体"/>
          <w:sz w:val="24"/>
        </w:rPr>
        <w:t>8</w:t>
      </w:r>
      <w:r>
        <w:rPr>
          <w:rFonts w:ascii="宋体" w:hAnsi="宋体"/>
          <w:sz w:val="24"/>
        </w:rPr>
        <w:t>）其他合同文件。</w:t>
      </w:r>
    </w:p>
    <w:p>
      <w:pPr>
        <w:spacing w:line="440" w:lineRule="exact"/>
        <w:ind w:right="34" w:rightChars="16" w:firstLine="616" w:firstLineChars="257"/>
        <w:rPr>
          <w:rFonts w:ascii="宋体" w:hAnsi="宋体"/>
          <w:sz w:val="24"/>
        </w:rPr>
      </w:pPr>
      <w:r>
        <w:rPr>
          <w:rFonts w:hint="eastAsia" w:ascii="宋体" w:hAnsi="宋体"/>
          <w:sz w:val="24"/>
        </w:rPr>
        <w:t>上述合同文件互相补充和解释。如果合同文件之间存在矛盾或不一致之处，以上述文件的排列顺序在先者为准。</w:t>
      </w:r>
    </w:p>
    <w:p>
      <w:pPr>
        <w:spacing w:line="440" w:lineRule="exact"/>
        <w:ind w:right="34" w:rightChars="16" w:firstLine="616" w:firstLineChars="257"/>
        <w:rPr>
          <w:rFonts w:ascii="宋体" w:hAnsi="宋体"/>
          <w:sz w:val="24"/>
        </w:rPr>
      </w:pPr>
      <w:r>
        <w:rPr>
          <w:rFonts w:ascii="宋体" w:hAnsi="宋体"/>
          <w:sz w:val="24"/>
        </w:rPr>
        <w:t>3.签约合同价：人民币（大写）________元（¥________）。</w:t>
      </w:r>
    </w:p>
    <w:p>
      <w:pPr>
        <w:spacing w:line="440" w:lineRule="exact"/>
        <w:ind w:right="34" w:rightChars="16" w:firstLine="616" w:firstLineChars="257"/>
        <w:rPr>
          <w:rFonts w:ascii="宋体" w:hAnsi="宋体"/>
          <w:sz w:val="24"/>
          <w:u w:val="single"/>
        </w:rPr>
      </w:pPr>
      <w:r>
        <w:rPr>
          <w:rFonts w:ascii="宋体" w:hAnsi="宋体"/>
          <w:sz w:val="24"/>
        </w:rPr>
        <w:t>4.</w:t>
      </w:r>
      <w:r>
        <w:rPr>
          <w:rFonts w:hint="eastAsia" w:ascii="宋体" w:hAnsi="宋体"/>
          <w:sz w:val="24"/>
        </w:rPr>
        <w:t>项目负责人</w:t>
      </w:r>
      <w:r>
        <w:rPr>
          <w:rFonts w:ascii="宋体" w:hAnsi="宋体"/>
          <w:sz w:val="24"/>
        </w:rPr>
        <w:t>：</w:t>
      </w:r>
      <w:r>
        <w:rPr>
          <w:rStyle w:val="214"/>
          <w:rFonts w:hint="eastAsia" w:ascii="宋体" w:hAnsi="宋体" w:eastAsia="宋体"/>
          <w:sz w:val="21"/>
          <w:szCs w:val="21"/>
        </w:rPr>
        <w:t>______</w:t>
      </w:r>
      <w:r>
        <w:rPr>
          <w:rFonts w:ascii="宋体" w:hAnsi="宋体"/>
          <w:sz w:val="24"/>
        </w:rPr>
        <w:t>。</w:t>
      </w:r>
    </w:p>
    <w:p>
      <w:pPr>
        <w:spacing w:line="440" w:lineRule="exact"/>
        <w:ind w:right="34" w:rightChars="16" w:firstLine="616" w:firstLineChars="257"/>
        <w:rPr>
          <w:rFonts w:ascii="宋体" w:hAnsi="宋体"/>
          <w:sz w:val="24"/>
        </w:rPr>
      </w:pPr>
      <w:r>
        <w:rPr>
          <w:rFonts w:ascii="宋体" w:hAnsi="宋体"/>
          <w:sz w:val="24"/>
        </w:rPr>
        <w:t>5.</w:t>
      </w:r>
      <w:r>
        <w:rPr>
          <w:rFonts w:hint="eastAsia" w:ascii="宋体" w:hAnsi="宋体"/>
          <w:sz w:val="24"/>
        </w:rPr>
        <w:t>勘察设计咨询工作质量符合的标准和要求：</w:t>
      </w:r>
      <w:r>
        <w:rPr>
          <w:rStyle w:val="214"/>
          <w:rFonts w:hint="eastAsia" w:ascii="宋体" w:hAnsi="宋体" w:eastAsia="宋体"/>
          <w:sz w:val="21"/>
          <w:szCs w:val="21"/>
        </w:rPr>
        <w:t>______</w:t>
      </w:r>
      <w:r>
        <w:rPr>
          <w:rFonts w:hint="eastAsia" w:ascii="宋体" w:hAnsi="宋体"/>
          <w:sz w:val="24"/>
        </w:rPr>
        <w:t>；安全目标：</w:t>
      </w:r>
      <w:r>
        <w:rPr>
          <w:rStyle w:val="214"/>
          <w:rFonts w:hint="eastAsia" w:ascii="宋体" w:hAnsi="宋体" w:eastAsia="宋体"/>
          <w:sz w:val="21"/>
          <w:szCs w:val="21"/>
        </w:rPr>
        <w:t>______</w:t>
      </w:r>
      <w:r>
        <w:rPr>
          <w:rFonts w:hint="eastAsia" w:ascii="宋体" w:hAnsi="宋体"/>
          <w:sz w:val="24"/>
        </w:rPr>
        <w:t>。</w:t>
      </w:r>
    </w:p>
    <w:p>
      <w:pPr>
        <w:spacing w:line="440" w:lineRule="exact"/>
        <w:ind w:right="34" w:rightChars="16" w:firstLine="616" w:firstLineChars="257"/>
        <w:jc w:val="left"/>
        <w:rPr>
          <w:rFonts w:ascii="宋体" w:hAnsi="宋体"/>
          <w:sz w:val="24"/>
        </w:rPr>
      </w:pPr>
      <w:r>
        <w:rPr>
          <w:rFonts w:hint="eastAsia" w:ascii="宋体" w:hAnsi="宋体"/>
          <w:sz w:val="24"/>
        </w:rPr>
        <w:t>6. 咨询单位</w:t>
      </w:r>
      <w:r>
        <w:rPr>
          <w:rFonts w:ascii="宋体" w:hAnsi="宋体"/>
          <w:sz w:val="24"/>
        </w:rPr>
        <w:t>承诺按合同约定承担工程的</w:t>
      </w:r>
      <w:r>
        <w:rPr>
          <w:rFonts w:hint="eastAsia" w:ascii="宋体" w:hAnsi="宋体"/>
          <w:sz w:val="24"/>
        </w:rPr>
        <w:t>勘察设计咨询</w:t>
      </w:r>
      <w:r>
        <w:rPr>
          <w:rFonts w:ascii="宋体" w:hAnsi="宋体"/>
          <w:sz w:val="24"/>
        </w:rPr>
        <w:t>工作</w:t>
      </w:r>
      <w:r>
        <w:rPr>
          <w:rFonts w:hint="eastAsia" w:ascii="宋体" w:hAnsi="宋体"/>
          <w:sz w:val="24"/>
        </w:rPr>
        <w:t>，包</w:t>
      </w:r>
      <w:r>
        <w:rPr>
          <w:rFonts w:ascii="宋体" w:hAnsi="宋体"/>
          <w:sz w:val="24"/>
        </w:rPr>
        <w:t>括</w:t>
      </w:r>
      <w:r>
        <w:rPr>
          <w:rStyle w:val="214"/>
          <w:rFonts w:hint="eastAsia" w:ascii="宋体" w:hAnsi="宋体" w:eastAsia="宋体"/>
          <w:sz w:val="21"/>
          <w:szCs w:val="21"/>
        </w:rPr>
        <w:t>______</w:t>
      </w:r>
      <w:r>
        <w:rPr>
          <w:rFonts w:ascii="宋体" w:hAnsi="宋体"/>
          <w:sz w:val="24"/>
        </w:rPr>
        <w:t>。</w:t>
      </w:r>
    </w:p>
    <w:p>
      <w:pPr>
        <w:spacing w:line="440" w:lineRule="exact"/>
        <w:ind w:right="34" w:rightChars="16" w:firstLine="616" w:firstLineChars="257"/>
        <w:rPr>
          <w:rFonts w:ascii="宋体" w:hAnsi="宋体"/>
          <w:sz w:val="24"/>
        </w:rPr>
      </w:pPr>
      <w:r>
        <w:rPr>
          <w:rFonts w:ascii="宋体" w:hAnsi="宋体"/>
          <w:sz w:val="24"/>
        </w:rPr>
        <w:t>7. 发包人承诺按合同约定的条件、时间和方式向</w:t>
      </w:r>
      <w:r>
        <w:rPr>
          <w:rFonts w:hint="eastAsia" w:ascii="宋体" w:hAnsi="宋体"/>
          <w:sz w:val="24"/>
        </w:rPr>
        <w:t>咨询单位</w:t>
      </w:r>
      <w:r>
        <w:rPr>
          <w:rFonts w:ascii="宋体" w:hAnsi="宋体"/>
          <w:sz w:val="24"/>
        </w:rPr>
        <w:t>支付合同价款。</w:t>
      </w:r>
    </w:p>
    <w:p>
      <w:pPr>
        <w:spacing w:line="440" w:lineRule="exact"/>
        <w:ind w:right="34" w:rightChars="16" w:firstLine="616" w:firstLineChars="257"/>
        <w:rPr>
          <w:rFonts w:ascii="宋体" w:hAnsi="宋体"/>
          <w:sz w:val="24"/>
        </w:rPr>
      </w:pPr>
      <w:r>
        <w:rPr>
          <w:rFonts w:ascii="宋体" w:hAnsi="宋体"/>
          <w:sz w:val="24"/>
        </w:rPr>
        <w:t>8.</w:t>
      </w:r>
      <w:r>
        <w:rPr>
          <w:rFonts w:hint="eastAsia" w:ascii="宋体" w:hAnsi="宋体"/>
          <w:sz w:val="24"/>
        </w:rPr>
        <w:t xml:space="preserve"> 咨询单位计划开始勘察设计咨询日期：</w:t>
      </w:r>
      <w:r>
        <w:rPr>
          <w:rFonts w:hint="eastAsia" w:ascii="宋体" w:hAnsi="宋体"/>
          <w:sz w:val="24"/>
          <w:u w:val="single"/>
          <w:lang w:val="en-US" w:eastAsia="zh-CN"/>
        </w:rPr>
        <w:t xml:space="preserve">       </w:t>
      </w:r>
      <w:r>
        <w:rPr>
          <w:rFonts w:hint="eastAsia" w:ascii="宋体" w:hAnsi="宋体"/>
          <w:sz w:val="24"/>
        </w:rPr>
        <w:t>，实际日期按照发包人在开始勘察设计咨询通知中载明的开始勘察设计咨询日期为准。勘察设计咨询服务期限为</w:t>
      </w:r>
      <w:r>
        <w:rPr>
          <w:rFonts w:hint="eastAsia" w:ascii="宋体" w:hAnsi="宋体"/>
          <w:sz w:val="24"/>
          <w:u w:val="single"/>
          <w:lang w:val="en-US" w:eastAsia="zh-CN"/>
        </w:rPr>
        <w:t xml:space="preserve">         </w:t>
      </w:r>
      <w:r>
        <w:rPr>
          <w:rFonts w:hint="eastAsia" w:ascii="宋体" w:hAnsi="宋体"/>
          <w:sz w:val="24"/>
        </w:rPr>
        <w:t>。</w:t>
      </w:r>
    </w:p>
    <w:p>
      <w:pPr>
        <w:spacing w:line="440" w:lineRule="exact"/>
        <w:ind w:firstLine="616" w:firstLineChars="257"/>
        <w:rPr>
          <w:rFonts w:ascii="宋体" w:hAnsi="宋体"/>
          <w:sz w:val="24"/>
        </w:rPr>
      </w:pPr>
      <w:r>
        <w:rPr>
          <w:rFonts w:ascii="宋体" w:hAnsi="宋体"/>
          <w:sz w:val="24"/>
        </w:rPr>
        <w:t>9. 本协议书在</w:t>
      </w:r>
      <w:r>
        <w:rPr>
          <w:rFonts w:hint="eastAsia" w:ascii="宋体" w:hAnsi="宋体"/>
          <w:sz w:val="24"/>
        </w:rPr>
        <w:t>咨询单位</w:t>
      </w:r>
      <w:r>
        <w:rPr>
          <w:rFonts w:ascii="宋体" w:hAnsi="宋体"/>
          <w:sz w:val="24"/>
        </w:rPr>
        <w:t>提供履约</w:t>
      </w:r>
      <w:r>
        <w:rPr>
          <w:rFonts w:hint="eastAsia" w:ascii="宋体" w:hAnsi="宋体"/>
          <w:sz w:val="24"/>
        </w:rPr>
        <w:t>保证金</w:t>
      </w:r>
      <w:r>
        <w:rPr>
          <w:rFonts w:ascii="宋体" w:hAnsi="宋体"/>
          <w:sz w:val="24"/>
        </w:rPr>
        <w:t>后，由双方法定代表人或其委托代理人签署并加盖单位章后生效。</w:t>
      </w:r>
      <w:r>
        <w:rPr>
          <w:rFonts w:hint="eastAsia" w:ascii="宋体" w:hAnsi="宋体"/>
          <w:sz w:val="24"/>
        </w:rPr>
        <w:t>咨询单位完成</w:t>
      </w:r>
      <w:r>
        <w:rPr>
          <w:rFonts w:ascii="宋体" w:hAnsi="宋体"/>
          <w:sz w:val="24"/>
        </w:rPr>
        <w:t>全部勘察设计咨询工作且</w:t>
      </w:r>
      <w:r>
        <w:rPr>
          <w:rFonts w:hint="eastAsia" w:ascii="宋体" w:hAnsi="宋体"/>
          <w:sz w:val="24"/>
        </w:rPr>
        <w:t>勘察设计咨询</w:t>
      </w:r>
      <w:r>
        <w:rPr>
          <w:rFonts w:ascii="宋体" w:hAnsi="宋体"/>
          <w:sz w:val="24"/>
        </w:rPr>
        <w:t>费用结清后失效。</w:t>
      </w:r>
    </w:p>
    <w:p>
      <w:pPr>
        <w:spacing w:line="440" w:lineRule="exact"/>
        <w:ind w:firstLine="616" w:firstLineChars="257"/>
        <w:rPr>
          <w:rFonts w:ascii="宋体" w:hAnsi="宋体"/>
          <w:sz w:val="24"/>
        </w:rPr>
      </w:pPr>
      <w:r>
        <w:rPr>
          <w:rFonts w:ascii="宋体" w:hAnsi="宋体"/>
          <w:sz w:val="24"/>
        </w:rPr>
        <w:t>10. 本协议书正本</w:t>
      </w:r>
      <w:r>
        <w:rPr>
          <w:rStyle w:val="214"/>
          <w:rFonts w:hint="eastAsia" w:ascii="宋体" w:hAnsi="宋体" w:eastAsia="宋体"/>
          <w:sz w:val="21"/>
          <w:szCs w:val="21"/>
        </w:rPr>
        <w:t>______</w:t>
      </w:r>
      <w:r>
        <w:rPr>
          <w:rFonts w:ascii="宋体" w:hAnsi="宋体"/>
          <w:sz w:val="24"/>
        </w:rPr>
        <w:t>份、副本____份，合同双方各执正本</w:t>
      </w:r>
      <w:r>
        <w:rPr>
          <w:rStyle w:val="214"/>
          <w:rFonts w:hint="eastAsia" w:ascii="宋体" w:hAnsi="宋体" w:eastAsia="宋体"/>
          <w:sz w:val="21"/>
          <w:szCs w:val="21"/>
        </w:rPr>
        <w:t>______</w:t>
      </w:r>
      <w:r>
        <w:rPr>
          <w:rFonts w:ascii="宋体" w:hAnsi="宋体"/>
          <w:sz w:val="24"/>
        </w:rPr>
        <w:t>份，副本____份，当正本与副本的内容不一致时，以正本为准。</w:t>
      </w:r>
    </w:p>
    <w:p>
      <w:pPr>
        <w:spacing w:line="440" w:lineRule="exact"/>
        <w:ind w:firstLine="616" w:firstLineChars="257"/>
        <w:rPr>
          <w:rFonts w:ascii="宋体" w:hAnsi="宋体"/>
          <w:sz w:val="24"/>
        </w:rPr>
      </w:pPr>
      <w:r>
        <w:rPr>
          <w:rFonts w:ascii="宋体" w:hAnsi="宋体"/>
          <w:sz w:val="24"/>
        </w:rPr>
        <w:t>11. 合同未尽事宜，双方另行签订补充协议。补充协议是合同的组成部分。</w:t>
      </w:r>
    </w:p>
    <w:p>
      <w:pPr>
        <w:spacing w:line="440" w:lineRule="exact"/>
        <w:rPr>
          <w:rFonts w:ascii="宋体" w:hAnsi="宋体"/>
          <w:sz w:val="24"/>
        </w:rPr>
      </w:pPr>
    </w:p>
    <w:p>
      <w:pPr>
        <w:spacing w:line="440" w:lineRule="exact"/>
        <w:rPr>
          <w:rFonts w:ascii="宋体" w:hAnsi="宋体"/>
          <w:sz w:val="24"/>
          <w:u w:val="single"/>
        </w:rPr>
      </w:pPr>
      <w:r>
        <w:rPr>
          <w:rFonts w:ascii="宋体" w:hAnsi="宋体"/>
          <w:sz w:val="24"/>
        </w:rPr>
        <w:t>发包人：</w:t>
      </w:r>
      <w:r>
        <w:rPr>
          <w:rFonts w:ascii="宋体" w:hAnsi="宋体"/>
          <w:sz w:val="24"/>
          <w:u w:val="single"/>
        </w:rPr>
        <w:t>（盖单位章）</w:t>
      </w:r>
      <w:r>
        <w:rPr>
          <w:rFonts w:ascii="宋体" w:hAnsi="宋体"/>
          <w:sz w:val="24"/>
        </w:rPr>
        <w:t xml:space="preserve">     </w:t>
      </w:r>
      <w:r>
        <w:rPr>
          <w:rFonts w:hint="eastAsia" w:ascii="宋体" w:hAnsi="宋体"/>
          <w:sz w:val="24"/>
          <w:lang w:val="en-US" w:eastAsia="zh-CN"/>
        </w:rPr>
        <w:t xml:space="preserve">               </w:t>
      </w:r>
      <w:r>
        <w:rPr>
          <w:rFonts w:ascii="宋体" w:hAnsi="宋体"/>
          <w:sz w:val="24"/>
        </w:rPr>
        <w:t>咨询单位：</w:t>
      </w:r>
      <w:r>
        <w:rPr>
          <w:rFonts w:ascii="宋体" w:hAnsi="宋体"/>
          <w:sz w:val="24"/>
          <w:u w:val="single"/>
        </w:rPr>
        <w:t>（盖单位章）</w:t>
      </w:r>
    </w:p>
    <w:p>
      <w:pPr>
        <w:spacing w:line="440" w:lineRule="exact"/>
        <w:rPr>
          <w:rFonts w:ascii="宋体" w:hAnsi="宋体"/>
          <w:sz w:val="24"/>
          <w:u w:val="single"/>
        </w:rPr>
      </w:pPr>
      <w:r>
        <w:rPr>
          <w:rFonts w:ascii="宋体" w:hAnsi="宋体"/>
          <w:sz w:val="24"/>
        </w:rPr>
        <w:t>法定代表人或其委托代理人：</w:t>
      </w:r>
      <w:r>
        <w:rPr>
          <w:rFonts w:ascii="宋体" w:hAnsi="宋体"/>
          <w:sz w:val="24"/>
          <w:u w:val="single"/>
        </w:rPr>
        <w:t xml:space="preserve">（签字）  </w:t>
      </w:r>
      <w:r>
        <w:rPr>
          <w:rFonts w:hint="eastAsia" w:ascii="宋体" w:hAnsi="宋体"/>
          <w:sz w:val="24"/>
          <w:lang w:val="en-US" w:eastAsia="zh-CN"/>
        </w:rPr>
        <w:t xml:space="preserve">    </w:t>
      </w:r>
      <w:r>
        <w:rPr>
          <w:rFonts w:ascii="宋体" w:hAnsi="宋体"/>
          <w:sz w:val="24"/>
        </w:rPr>
        <w:t>法定代表人或其委托代理人：</w:t>
      </w:r>
      <w:r>
        <w:rPr>
          <w:rFonts w:ascii="宋体" w:hAnsi="宋体"/>
          <w:sz w:val="24"/>
          <w:u w:val="single"/>
        </w:rPr>
        <w:t>（签字）</w:t>
      </w:r>
    </w:p>
    <w:p>
      <w:pPr>
        <w:spacing w:line="440" w:lineRule="exact"/>
        <w:ind w:firstLine="840" w:firstLineChars="350"/>
        <w:rPr>
          <w:rFonts w:ascii="宋体" w:hAnsi="宋体"/>
          <w:sz w:val="24"/>
        </w:rPr>
      </w:pPr>
      <w:r>
        <w:rPr>
          <w:rFonts w:ascii="宋体" w:hAnsi="宋体"/>
          <w:sz w:val="24"/>
        </w:rPr>
        <w:t>年</w:t>
      </w:r>
      <w:r>
        <w:rPr>
          <w:rFonts w:hint="eastAsia" w:ascii="宋体" w:hAnsi="宋体"/>
          <w:sz w:val="24"/>
          <w:lang w:val="en-US" w:eastAsia="zh-CN"/>
        </w:rPr>
        <w:t xml:space="preserve">   </w:t>
      </w:r>
      <w:r>
        <w:rPr>
          <w:rFonts w:ascii="宋体" w:hAnsi="宋体"/>
          <w:sz w:val="24"/>
        </w:rPr>
        <w:t xml:space="preserve">月  日        </w:t>
      </w:r>
      <w:r>
        <w:rPr>
          <w:rFonts w:hint="eastAsia" w:ascii="宋体" w:hAnsi="宋体"/>
          <w:sz w:val="24"/>
          <w:lang w:val="en-US" w:eastAsia="zh-CN"/>
        </w:rPr>
        <w:t xml:space="preserve">                         </w:t>
      </w:r>
      <w:r>
        <w:rPr>
          <w:rFonts w:ascii="宋体" w:hAnsi="宋体"/>
          <w:sz w:val="24"/>
        </w:rPr>
        <w:t xml:space="preserve"> 年</w:t>
      </w:r>
      <w:r>
        <w:rPr>
          <w:rFonts w:hint="eastAsia" w:ascii="宋体" w:hAnsi="宋体"/>
          <w:sz w:val="24"/>
          <w:lang w:val="en-US" w:eastAsia="zh-CN"/>
        </w:rPr>
        <w:t xml:space="preserve">   </w:t>
      </w:r>
      <w:r>
        <w:rPr>
          <w:rFonts w:ascii="宋体" w:hAnsi="宋体"/>
          <w:sz w:val="24"/>
        </w:rPr>
        <w:t>月  日</w:t>
      </w:r>
    </w:p>
    <w:p>
      <w:pPr>
        <w:spacing w:line="440" w:lineRule="exact"/>
        <w:rPr>
          <w:sz w:val="24"/>
        </w:rPr>
      </w:pPr>
    </w:p>
    <w:p>
      <w:pPr>
        <w:pStyle w:val="2"/>
        <w:spacing w:before="0" w:after="0" w:line="380" w:lineRule="atLeast"/>
        <w:rPr>
          <w:rFonts w:eastAsia="黑体"/>
          <w:b w:val="0"/>
          <w:sz w:val="24"/>
          <w:szCs w:val="24"/>
        </w:rPr>
      </w:pPr>
      <w:r>
        <w:rPr>
          <w:rFonts w:eastAsia="黑体"/>
          <w:sz w:val="24"/>
        </w:rPr>
        <w:br w:type="page"/>
      </w:r>
      <w:bookmarkStart w:id="693" w:name="_Toc508984351"/>
      <w:bookmarkStart w:id="694" w:name="_Toc503235826"/>
      <w:bookmarkStart w:id="695" w:name="_Toc234833232"/>
      <w:bookmarkStart w:id="696" w:name="_Toc508984152"/>
      <w:r>
        <w:rPr>
          <w:rFonts w:eastAsia="黑体"/>
          <w:b w:val="0"/>
          <w:sz w:val="24"/>
          <w:szCs w:val="24"/>
        </w:rPr>
        <w:t>附件二：廉政合同</w:t>
      </w:r>
      <w:bookmarkEnd w:id="693"/>
      <w:bookmarkEnd w:id="694"/>
      <w:bookmarkEnd w:id="695"/>
      <w:bookmarkEnd w:id="696"/>
    </w:p>
    <w:p>
      <w:pPr>
        <w:spacing w:line="440" w:lineRule="exact"/>
        <w:jc w:val="center"/>
        <w:rPr>
          <w:rFonts w:eastAsia="黑体"/>
          <w:sz w:val="28"/>
          <w:szCs w:val="28"/>
        </w:rPr>
      </w:pPr>
      <w:r>
        <w:rPr>
          <w:rFonts w:eastAsia="黑体"/>
          <w:sz w:val="28"/>
          <w:szCs w:val="28"/>
        </w:rPr>
        <w:t>廉 政 合 同</w:t>
      </w:r>
    </w:p>
    <w:p>
      <w:pPr>
        <w:spacing w:line="400" w:lineRule="atLeast"/>
        <w:rPr>
          <w:rFonts w:eastAsia="黑体"/>
          <w:b/>
          <w:spacing w:val="30"/>
          <w:sz w:val="24"/>
        </w:rPr>
      </w:pPr>
    </w:p>
    <w:p>
      <w:pPr>
        <w:spacing w:line="360" w:lineRule="auto"/>
        <w:ind w:firstLine="616" w:firstLineChars="257"/>
        <w:rPr>
          <w:sz w:val="24"/>
        </w:rPr>
      </w:pPr>
      <w:r>
        <w:rPr>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sz w:val="24"/>
          <w:u w:val="single"/>
        </w:rPr>
        <w:t>（项目名称）</w:t>
      </w:r>
      <w:r>
        <w:rPr>
          <w:rFonts w:hint="eastAsia"/>
          <w:sz w:val="24"/>
          <w:u w:val="single"/>
          <w:lang w:val="en-US" w:eastAsia="zh-CN"/>
        </w:rPr>
        <w:t xml:space="preserve">  </w:t>
      </w:r>
      <w:r>
        <w:rPr>
          <w:sz w:val="24"/>
          <w:u w:val="single"/>
        </w:rPr>
        <w:t>标段</w:t>
      </w:r>
      <w:r>
        <w:rPr>
          <w:sz w:val="24"/>
        </w:rPr>
        <w:t>的项目法人（项目法人名称，以下简称“发包人”）与该项目标段的勘察设计咨询单位（勘察设计咨询单位名称，以下简称“</w:t>
      </w:r>
      <w:r>
        <w:rPr>
          <w:rFonts w:hint="eastAsia"/>
          <w:sz w:val="24"/>
        </w:rPr>
        <w:t>咨询单位</w:t>
      </w:r>
      <w:r>
        <w:rPr>
          <w:sz w:val="24"/>
        </w:rPr>
        <w:t>”），特订立如下合同。</w:t>
      </w:r>
    </w:p>
    <w:p>
      <w:pPr>
        <w:spacing w:line="360" w:lineRule="auto"/>
        <w:ind w:firstLine="616" w:firstLineChars="257"/>
        <w:rPr>
          <w:rFonts w:eastAsia="黑体"/>
          <w:sz w:val="24"/>
        </w:rPr>
      </w:pPr>
      <w:r>
        <w:rPr>
          <w:rFonts w:eastAsia="黑体"/>
          <w:sz w:val="24"/>
        </w:rPr>
        <w:t>1. 发包人和咨询单位双方的权利和义务</w:t>
      </w:r>
    </w:p>
    <w:p>
      <w:pPr>
        <w:spacing w:line="360" w:lineRule="auto"/>
        <w:ind w:firstLine="616" w:firstLineChars="257"/>
        <w:rPr>
          <w:sz w:val="24"/>
        </w:rPr>
      </w:pPr>
      <w:r>
        <w:rPr>
          <w:sz w:val="24"/>
        </w:rPr>
        <w:t>（1）严格遵守党的政策规定和国家有关法律法规及交通运输部的有关规定。</w:t>
      </w:r>
    </w:p>
    <w:p>
      <w:pPr>
        <w:spacing w:line="360" w:lineRule="auto"/>
        <w:ind w:firstLine="616" w:firstLineChars="257"/>
        <w:rPr>
          <w:sz w:val="24"/>
        </w:rPr>
      </w:pPr>
      <w:r>
        <w:rPr>
          <w:sz w:val="24"/>
        </w:rPr>
        <w:t>（2）严格执行</w:t>
      </w:r>
      <w:r>
        <w:rPr>
          <w:sz w:val="24"/>
          <w:u w:val="single"/>
        </w:rPr>
        <w:t>（项目名称）</w:t>
      </w:r>
      <w:r>
        <w:rPr>
          <w:rFonts w:hint="eastAsia"/>
          <w:sz w:val="24"/>
          <w:u w:val="single"/>
          <w:lang w:val="en-US" w:eastAsia="zh-CN"/>
        </w:rPr>
        <w:t xml:space="preserve">  </w:t>
      </w:r>
      <w:r>
        <w:rPr>
          <w:sz w:val="24"/>
          <w:u w:val="single"/>
        </w:rPr>
        <w:t>标段</w:t>
      </w:r>
      <w:r>
        <w:rPr>
          <w:sz w:val="24"/>
        </w:rPr>
        <w:t>勘察设计咨询合同文件，自觉按合同办事。</w:t>
      </w:r>
    </w:p>
    <w:p>
      <w:pPr>
        <w:spacing w:line="360" w:lineRule="auto"/>
        <w:ind w:firstLine="616" w:firstLineChars="257"/>
        <w:rPr>
          <w:sz w:val="24"/>
        </w:rPr>
      </w:pPr>
      <w:r>
        <w:rPr>
          <w:sz w:val="24"/>
        </w:rPr>
        <w:t>（3）双方的业务活动坚持公开、公正、诚信、透明的原则（法律认定的商业秘密和合同文件另有规定除外），不得损害国家和集体利益，</w:t>
      </w:r>
      <w:r>
        <w:rPr>
          <w:rFonts w:hint="eastAsia"/>
          <w:sz w:val="24"/>
        </w:rPr>
        <w:t>不得</w:t>
      </w:r>
      <w:r>
        <w:rPr>
          <w:sz w:val="24"/>
        </w:rPr>
        <w:t>违反工程建设管理规章制度。</w:t>
      </w:r>
    </w:p>
    <w:p>
      <w:pPr>
        <w:spacing w:line="360" w:lineRule="auto"/>
        <w:ind w:firstLine="616" w:firstLineChars="257"/>
        <w:rPr>
          <w:sz w:val="24"/>
        </w:rPr>
      </w:pPr>
      <w:r>
        <w:rPr>
          <w:sz w:val="24"/>
        </w:rPr>
        <w:t>（4）建立健全廉政制度，开展廉政教育，设立廉政告示牌，公布举报电话，监督并认真查处违法违纪行为。</w:t>
      </w:r>
    </w:p>
    <w:p>
      <w:pPr>
        <w:spacing w:line="360" w:lineRule="auto"/>
        <w:ind w:firstLine="616" w:firstLineChars="257"/>
        <w:rPr>
          <w:sz w:val="24"/>
        </w:rPr>
      </w:pPr>
      <w:r>
        <w:rPr>
          <w:sz w:val="24"/>
        </w:rPr>
        <w:t>（5）发现对方在业务活动中有违反廉政规定的行为，有及时提醒对方纠正的权利和义务。</w:t>
      </w:r>
    </w:p>
    <w:p>
      <w:pPr>
        <w:spacing w:line="360" w:lineRule="auto"/>
        <w:ind w:firstLine="616" w:firstLineChars="257"/>
        <w:rPr>
          <w:sz w:val="24"/>
        </w:rPr>
      </w:pPr>
      <w:r>
        <w:rPr>
          <w:sz w:val="24"/>
        </w:rPr>
        <w:t>（6）发现对方严重违反本合同义务条款的行为，有向其上级有关部门举报、建议给予处理并要求告知处理结果的权利。</w:t>
      </w:r>
    </w:p>
    <w:p>
      <w:pPr>
        <w:spacing w:line="360" w:lineRule="auto"/>
        <w:ind w:firstLine="616" w:firstLineChars="257"/>
        <w:rPr>
          <w:rFonts w:eastAsia="黑体"/>
          <w:sz w:val="24"/>
        </w:rPr>
      </w:pPr>
      <w:r>
        <w:rPr>
          <w:rFonts w:eastAsia="黑体"/>
          <w:sz w:val="24"/>
        </w:rPr>
        <w:t>2. 发包人的义务</w:t>
      </w:r>
    </w:p>
    <w:p>
      <w:pPr>
        <w:spacing w:line="360" w:lineRule="auto"/>
        <w:ind w:firstLine="616" w:firstLineChars="257"/>
        <w:rPr>
          <w:sz w:val="24"/>
        </w:rPr>
      </w:pPr>
      <w:r>
        <w:rPr>
          <w:sz w:val="24"/>
        </w:rPr>
        <w:t>（1）发包人及其工作人员不得索要或接受咨询单位的礼金、有价证券和贵重物品，不得让咨询单位报销任何应由发包人或发包人工作人员个人支付的费用等。</w:t>
      </w:r>
    </w:p>
    <w:p>
      <w:pPr>
        <w:spacing w:line="360" w:lineRule="auto"/>
        <w:ind w:firstLine="616" w:firstLineChars="257"/>
        <w:rPr>
          <w:sz w:val="24"/>
        </w:rPr>
      </w:pPr>
      <w:r>
        <w:rPr>
          <w:sz w:val="24"/>
        </w:rPr>
        <w:t>（2）发包人工作人员不得参加咨询单位安排的超标准宴请和娱乐活动；不得接受咨询单位提供的</w:t>
      </w:r>
      <w:r>
        <w:rPr>
          <w:rFonts w:hint="eastAsia"/>
          <w:sz w:val="24"/>
        </w:rPr>
        <w:t>通信</w:t>
      </w:r>
      <w:r>
        <w:rPr>
          <w:sz w:val="24"/>
        </w:rPr>
        <w:t>工具、交通工具和高档办公用品等。</w:t>
      </w:r>
    </w:p>
    <w:p>
      <w:pPr>
        <w:spacing w:line="360" w:lineRule="auto"/>
        <w:ind w:firstLine="616" w:firstLineChars="257"/>
        <w:rPr>
          <w:sz w:val="24"/>
        </w:rPr>
      </w:pPr>
      <w:r>
        <w:rPr>
          <w:sz w:val="24"/>
        </w:rPr>
        <w:t>（3）发包人及其工作人员不得要求或者接受咨询单位为其住房装修、婚丧嫁娶活动、配偶子女的工作安排以及出国出境、旅游等提供方便等。</w:t>
      </w:r>
    </w:p>
    <w:p>
      <w:pPr>
        <w:spacing w:line="360" w:lineRule="auto"/>
        <w:ind w:firstLine="616" w:firstLineChars="257"/>
        <w:rPr>
          <w:sz w:val="24"/>
        </w:rPr>
      </w:pPr>
      <w:r>
        <w:rPr>
          <w:sz w:val="24"/>
        </w:rPr>
        <w:t>（4）发包人工作人员及其配偶、子女、亲属</w:t>
      </w:r>
      <w:r>
        <w:rPr>
          <w:rFonts w:hint="eastAsia"/>
          <w:sz w:val="24"/>
        </w:rPr>
        <w:t>不得从事</w:t>
      </w:r>
      <w:r>
        <w:rPr>
          <w:sz w:val="24"/>
        </w:rPr>
        <w:t>与本勘察设计咨询合同有关的勘察设计咨询业务等活动。不得以任何理由要求咨询单位和相关单位在设计中使用某种产品、材料和设备。</w:t>
      </w:r>
    </w:p>
    <w:p>
      <w:pPr>
        <w:spacing w:line="360" w:lineRule="auto"/>
        <w:ind w:firstLine="616" w:firstLineChars="257"/>
        <w:rPr>
          <w:sz w:val="24"/>
        </w:rPr>
      </w:pPr>
      <w:r>
        <w:rPr>
          <w:sz w:val="24"/>
        </w:rPr>
        <w:t>（5）发包人工作人员要秉公办事，不准营私舞弊，不准利用职权从事各种个人有偿中介活动和安排个人勘察设计咨询队伍。</w:t>
      </w:r>
    </w:p>
    <w:p>
      <w:pPr>
        <w:spacing w:line="360" w:lineRule="auto"/>
        <w:ind w:firstLine="616" w:firstLineChars="257"/>
        <w:rPr>
          <w:rFonts w:eastAsia="黑体"/>
          <w:sz w:val="24"/>
        </w:rPr>
      </w:pPr>
      <w:r>
        <w:rPr>
          <w:rFonts w:eastAsia="黑体"/>
          <w:sz w:val="24"/>
        </w:rPr>
        <w:t>3. 咨询单位的义务</w:t>
      </w:r>
    </w:p>
    <w:p>
      <w:pPr>
        <w:spacing w:line="360" w:lineRule="auto"/>
        <w:ind w:firstLine="616" w:firstLineChars="257"/>
        <w:rPr>
          <w:sz w:val="24"/>
        </w:rPr>
      </w:pPr>
      <w:r>
        <w:rPr>
          <w:sz w:val="24"/>
        </w:rPr>
        <w:t>（1）咨询单位不得以任何理由向发包人及其工作人员行贿或馈赠礼金、有价证券、贵重礼品。</w:t>
      </w:r>
    </w:p>
    <w:p>
      <w:pPr>
        <w:spacing w:line="360" w:lineRule="auto"/>
        <w:ind w:firstLine="616" w:firstLineChars="257"/>
        <w:rPr>
          <w:sz w:val="24"/>
        </w:rPr>
      </w:pPr>
      <w:r>
        <w:rPr>
          <w:sz w:val="24"/>
        </w:rPr>
        <w:t>（2）咨询单位不得以任何名义为发包人及其工作人员报销应由发包人单位或个人支付的任何费用。</w:t>
      </w:r>
    </w:p>
    <w:p>
      <w:pPr>
        <w:spacing w:line="360" w:lineRule="auto"/>
        <w:ind w:firstLine="616" w:firstLineChars="257"/>
        <w:rPr>
          <w:sz w:val="24"/>
        </w:rPr>
      </w:pPr>
      <w:r>
        <w:rPr>
          <w:sz w:val="24"/>
        </w:rPr>
        <w:t>（3）咨询单位不得以任何理由安排发包人工作人员参加超标准宴请及娱乐活动。</w:t>
      </w:r>
    </w:p>
    <w:p>
      <w:pPr>
        <w:spacing w:line="360" w:lineRule="auto"/>
        <w:ind w:firstLine="616" w:firstLineChars="257"/>
        <w:rPr>
          <w:sz w:val="24"/>
        </w:rPr>
      </w:pPr>
      <w:r>
        <w:rPr>
          <w:sz w:val="24"/>
        </w:rPr>
        <w:t>（4）咨询单位不得为发包人单位和个人购置或提供通信工具、交通工具和高档办公用品等。</w:t>
      </w:r>
    </w:p>
    <w:p>
      <w:pPr>
        <w:spacing w:line="360" w:lineRule="auto"/>
        <w:ind w:firstLine="616" w:firstLineChars="257"/>
        <w:rPr>
          <w:rFonts w:eastAsia="黑体"/>
          <w:sz w:val="24"/>
        </w:rPr>
      </w:pPr>
      <w:r>
        <w:rPr>
          <w:rFonts w:eastAsia="黑体"/>
          <w:sz w:val="24"/>
        </w:rPr>
        <w:t>4. 违约责任</w:t>
      </w:r>
    </w:p>
    <w:p>
      <w:pPr>
        <w:spacing w:line="360" w:lineRule="auto"/>
        <w:ind w:firstLine="616" w:firstLineChars="257"/>
        <w:rPr>
          <w:sz w:val="24"/>
        </w:rPr>
      </w:pPr>
      <w:r>
        <w:rPr>
          <w:sz w:val="24"/>
        </w:rPr>
        <w:t>（1）发包人及其工作人员违反本合同第1、2条，按管理权限，依据有关规定给予党纪、政纪或组织处理；涉嫌犯罪的，移交司法机关追究刑事责任；给咨询单位单位造成经济损失的，应予以赔偿。</w:t>
      </w:r>
    </w:p>
    <w:p>
      <w:pPr>
        <w:spacing w:line="360" w:lineRule="auto"/>
        <w:ind w:firstLine="616" w:firstLineChars="257"/>
        <w:rPr>
          <w:sz w:val="24"/>
        </w:rPr>
      </w:pPr>
      <w:r>
        <w:rPr>
          <w:sz w:val="24"/>
        </w:rPr>
        <w:t>（2）咨询单位及其工作人员违反本合同第1、3条，按管理权限，依据有关规定给予党纪、政纪或组织处理；给发包人单位造成经济损失的，应予以赔偿；情节严重的，发包人建议交通运输主管部门给予咨询单位一至三年内不得进入其主管的</w:t>
      </w:r>
      <w:r>
        <w:rPr>
          <w:rFonts w:hint="eastAsia"/>
          <w:sz w:val="24"/>
        </w:rPr>
        <w:t>水运</w:t>
      </w:r>
      <w:r>
        <w:rPr>
          <w:sz w:val="24"/>
        </w:rPr>
        <w:t>建设市场的处罚。</w:t>
      </w:r>
    </w:p>
    <w:p>
      <w:pPr>
        <w:spacing w:line="360" w:lineRule="auto"/>
        <w:ind w:firstLine="616" w:firstLineChars="257"/>
        <w:rPr>
          <w:sz w:val="24"/>
        </w:rPr>
      </w:pPr>
      <w:r>
        <w:rPr>
          <w:rFonts w:eastAsia="黑体"/>
          <w:sz w:val="24"/>
        </w:rPr>
        <w:t>5.</w:t>
      </w:r>
      <w:r>
        <w:rPr>
          <w:sz w:val="24"/>
        </w:rPr>
        <w:t xml:space="preserve"> 双方约定：本合同由双方或双方上级单位的纪检监察部门负责监督执行。由发包人或发包人上级单位的纪检监察部门约请咨询单位或咨询单位上级单位纪检监察部门对本合同执行情况进行检查，提出在本合同规定范围内的裁定意见。</w:t>
      </w:r>
    </w:p>
    <w:p>
      <w:pPr>
        <w:spacing w:line="360" w:lineRule="auto"/>
        <w:ind w:firstLine="616" w:firstLineChars="257"/>
        <w:rPr>
          <w:sz w:val="24"/>
        </w:rPr>
      </w:pPr>
      <w:r>
        <w:rPr>
          <w:rFonts w:eastAsia="黑体"/>
          <w:sz w:val="24"/>
        </w:rPr>
        <w:t xml:space="preserve">6. </w:t>
      </w:r>
      <w:r>
        <w:rPr>
          <w:sz w:val="24"/>
        </w:rPr>
        <w:t>本合同有效期为</w:t>
      </w:r>
      <w:r>
        <w:rPr>
          <w:rFonts w:hint="eastAsia"/>
          <w:sz w:val="24"/>
        </w:rPr>
        <w:t>合同双方</w:t>
      </w:r>
      <w:r>
        <w:rPr>
          <w:sz w:val="24"/>
        </w:rPr>
        <w:t>签署之日起至</w:t>
      </w:r>
      <w:r>
        <w:rPr>
          <w:rFonts w:hint="eastAsia"/>
          <w:sz w:val="24"/>
        </w:rPr>
        <w:t>勘察设计咨询</w:t>
      </w:r>
      <w:r>
        <w:rPr>
          <w:sz w:val="24"/>
        </w:rPr>
        <w:t>合同失效日止。</w:t>
      </w:r>
    </w:p>
    <w:p>
      <w:pPr>
        <w:spacing w:line="360" w:lineRule="auto"/>
        <w:ind w:firstLine="616" w:firstLineChars="257"/>
        <w:rPr>
          <w:sz w:val="24"/>
        </w:rPr>
      </w:pPr>
      <w:r>
        <w:rPr>
          <w:rFonts w:eastAsia="黑体"/>
          <w:sz w:val="24"/>
        </w:rPr>
        <w:t xml:space="preserve">7. </w:t>
      </w:r>
      <w:r>
        <w:rPr>
          <w:sz w:val="24"/>
        </w:rPr>
        <w:t>本合同作为</w:t>
      </w:r>
      <w:r>
        <w:rPr>
          <w:sz w:val="24"/>
          <w:u w:val="single"/>
        </w:rPr>
        <w:t>（项目名称）</w:t>
      </w:r>
      <w:r>
        <w:rPr>
          <w:rFonts w:hint="eastAsia"/>
          <w:sz w:val="24"/>
          <w:u w:val="single"/>
          <w:lang w:val="en-US" w:eastAsia="zh-CN"/>
        </w:rPr>
        <w:t xml:space="preserve">  </w:t>
      </w:r>
      <w:r>
        <w:rPr>
          <w:sz w:val="24"/>
          <w:u w:val="single"/>
        </w:rPr>
        <w:t>标段</w:t>
      </w:r>
      <w:r>
        <w:rPr>
          <w:sz w:val="24"/>
        </w:rPr>
        <w:t>勘察设计咨询合同的附件，与勘察设计咨询合同具有同等的法律效力，经合同双方签署</w:t>
      </w:r>
      <w:r>
        <w:rPr>
          <w:rFonts w:hint="eastAsia"/>
          <w:sz w:val="24"/>
        </w:rPr>
        <w:t>后</w:t>
      </w:r>
      <w:r>
        <w:rPr>
          <w:sz w:val="24"/>
        </w:rPr>
        <w:t>立即生效。</w:t>
      </w:r>
    </w:p>
    <w:p>
      <w:pPr>
        <w:spacing w:line="360" w:lineRule="auto"/>
        <w:ind w:firstLine="616" w:firstLineChars="257"/>
        <w:rPr>
          <w:sz w:val="24"/>
        </w:rPr>
      </w:pPr>
      <w:r>
        <w:rPr>
          <w:rFonts w:eastAsia="黑体"/>
          <w:sz w:val="24"/>
        </w:rPr>
        <w:t>8.</w:t>
      </w:r>
      <w:r>
        <w:rPr>
          <w:sz w:val="24"/>
        </w:rPr>
        <w:t xml:space="preserve"> 本合同一式四份，由发包人和咨询单位各执一份，送交发包人和咨询单位的监督单位各一份。</w:t>
      </w:r>
    </w:p>
    <w:p>
      <w:pPr>
        <w:spacing w:line="400" w:lineRule="atLeast"/>
        <w:rPr>
          <w:sz w:val="24"/>
        </w:rPr>
      </w:pPr>
    </w:p>
    <w:p>
      <w:pPr>
        <w:spacing w:line="440" w:lineRule="exact"/>
        <w:rPr>
          <w:sz w:val="24"/>
          <w:u w:val="single"/>
        </w:rPr>
      </w:pPr>
      <w:r>
        <w:rPr>
          <w:sz w:val="24"/>
        </w:rPr>
        <w:t>发包人：</w:t>
      </w:r>
      <w:r>
        <w:rPr>
          <w:sz w:val="24"/>
          <w:u w:val="single"/>
        </w:rPr>
        <w:t>（盖单位章）</w:t>
      </w:r>
      <w:r>
        <w:rPr>
          <w:sz w:val="24"/>
        </w:rPr>
        <w:t xml:space="preserve">     </w:t>
      </w:r>
      <w:r>
        <w:rPr>
          <w:rFonts w:hint="eastAsia"/>
          <w:sz w:val="24"/>
          <w:lang w:val="en-US" w:eastAsia="zh-CN"/>
        </w:rPr>
        <w:t xml:space="preserve">              </w:t>
      </w:r>
      <w:r>
        <w:rPr>
          <w:sz w:val="24"/>
        </w:rPr>
        <w:t>咨询单位：</w:t>
      </w:r>
      <w:r>
        <w:rPr>
          <w:sz w:val="24"/>
          <w:u w:val="single"/>
        </w:rPr>
        <w:t>（盖单位章）</w:t>
      </w:r>
    </w:p>
    <w:p>
      <w:pPr>
        <w:spacing w:line="440" w:lineRule="exact"/>
        <w:rPr>
          <w:sz w:val="24"/>
          <w:u w:val="single"/>
        </w:rPr>
      </w:pPr>
      <w:r>
        <w:rPr>
          <w:sz w:val="24"/>
        </w:rPr>
        <w:t>法定代表人或其委托代理人：</w:t>
      </w:r>
      <w:r>
        <w:rPr>
          <w:sz w:val="24"/>
          <w:u w:val="single"/>
        </w:rPr>
        <w:t xml:space="preserve">（签字） </w:t>
      </w:r>
      <w:r>
        <w:rPr>
          <w:sz w:val="24"/>
        </w:rPr>
        <w:t xml:space="preserve"> </w:t>
      </w:r>
      <w:r>
        <w:rPr>
          <w:rFonts w:hint="eastAsia"/>
          <w:sz w:val="24"/>
          <w:lang w:val="en-US" w:eastAsia="zh-CN"/>
        </w:rPr>
        <w:t xml:space="preserve">   </w:t>
      </w:r>
      <w:r>
        <w:rPr>
          <w:sz w:val="24"/>
        </w:rPr>
        <w:t>法定代表人或其委托代理人：</w:t>
      </w:r>
      <w:r>
        <w:rPr>
          <w:sz w:val="24"/>
          <w:u w:val="single"/>
        </w:rPr>
        <w:t>（签字）</w:t>
      </w:r>
    </w:p>
    <w:p>
      <w:pPr>
        <w:spacing w:line="440" w:lineRule="exact"/>
        <w:ind w:firstLine="1080" w:firstLineChars="450"/>
        <w:rPr>
          <w:sz w:val="24"/>
        </w:rPr>
      </w:pPr>
      <w:r>
        <w:rPr>
          <w:sz w:val="24"/>
        </w:rPr>
        <w:t>年</w:t>
      </w:r>
      <w:r>
        <w:rPr>
          <w:rFonts w:hint="eastAsia"/>
          <w:sz w:val="24"/>
          <w:lang w:val="en-US" w:eastAsia="zh-CN"/>
        </w:rPr>
        <w:t xml:space="preserve">   </w:t>
      </w:r>
      <w:r>
        <w:rPr>
          <w:sz w:val="24"/>
        </w:rPr>
        <w:t xml:space="preserve">月  日        </w:t>
      </w:r>
      <w:r>
        <w:rPr>
          <w:rFonts w:hint="eastAsia"/>
          <w:sz w:val="24"/>
          <w:lang w:val="en-US" w:eastAsia="zh-CN"/>
        </w:rPr>
        <w:t xml:space="preserve">                           </w:t>
      </w:r>
      <w:r>
        <w:rPr>
          <w:sz w:val="24"/>
        </w:rPr>
        <w:t xml:space="preserve"> 年</w:t>
      </w:r>
      <w:r>
        <w:rPr>
          <w:rFonts w:hint="eastAsia"/>
          <w:sz w:val="24"/>
          <w:lang w:val="en-US" w:eastAsia="zh-CN"/>
        </w:rPr>
        <w:t xml:space="preserve">    </w:t>
      </w:r>
      <w:r>
        <w:rPr>
          <w:sz w:val="24"/>
        </w:rPr>
        <w:t xml:space="preserve">月 </w:t>
      </w:r>
      <w:r>
        <w:rPr>
          <w:rFonts w:hint="eastAsia"/>
          <w:sz w:val="24"/>
          <w:lang w:val="en-US" w:eastAsia="zh-CN"/>
        </w:rPr>
        <w:t xml:space="preserve"> </w:t>
      </w:r>
      <w:r>
        <w:rPr>
          <w:sz w:val="24"/>
        </w:rPr>
        <w:t xml:space="preserve"> 日</w:t>
      </w:r>
    </w:p>
    <w:p>
      <w:pPr>
        <w:spacing w:line="440" w:lineRule="exact"/>
        <w:ind w:firstLine="360" w:firstLineChars="150"/>
        <w:rPr>
          <w:sz w:val="24"/>
        </w:rPr>
      </w:pPr>
    </w:p>
    <w:p>
      <w:pPr>
        <w:spacing w:line="400" w:lineRule="atLeast"/>
        <w:rPr>
          <w:sz w:val="24"/>
          <w:u w:val="single"/>
        </w:rPr>
      </w:pPr>
      <w:r>
        <w:rPr>
          <w:sz w:val="24"/>
        </w:rPr>
        <w:t>发包人监督单位：</w:t>
      </w:r>
      <w:r>
        <w:rPr>
          <w:sz w:val="24"/>
          <w:u w:val="single"/>
        </w:rPr>
        <w:t>（全称）（盖单位章）</w:t>
      </w:r>
      <w:r>
        <w:rPr>
          <w:sz w:val="24"/>
        </w:rPr>
        <w:t xml:space="preserve">   咨询单位监督单位：</w:t>
      </w:r>
      <w:r>
        <w:rPr>
          <w:sz w:val="24"/>
          <w:u w:val="single"/>
        </w:rPr>
        <w:t>（全称） （盖单位章）</w:t>
      </w:r>
    </w:p>
    <w:p>
      <w:pPr>
        <w:pStyle w:val="2"/>
        <w:spacing w:before="0" w:after="0" w:line="380" w:lineRule="atLeast"/>
        <w:rPr>
          <w:rFonts w:eastAsia="黑体"/>
          <w:b w:val="0"/>
          <w:sz w:val="24"/>
          <w:szCs w:val="24"/>
        </w:rPr>
      </w:pPr>
      <w:r>
        <w:rPr>
          <w:sz w:val="24"/>
        </w:rPr>
        <w:br w:type="page"/>
      </w:r>
      <w:bookmarkStart w:id="697" w:name="_Toc234833234"/>
      <w:bookmarkStart w:id="698" w:name="_Toc503235827"/>
      <w:bookmarkStart w:id="699" w:name="_Toc508984153"/>
      <w:bookmarkStart w:id="700" w:name="_Toc508984352"/>
      <w:r>
        <w:rPr>
          <w:rFonts w:eastAsia="黑体"/>
          <w:b w:val="0"/>
          <w:sz w:val="24"/>
          <w:szCs w:val="24"/>
        </w:rPr>
        <w:t>附件</w:t>
      </w:r>
      <w:r>
        <w:rPr>
          <w:rFonts w:hint="eastAsia" w:eastAsia="黑体"/>
          <w:b w:val="0"/>
          <w:sz w:val="24"/>
          <w:szCs w:val="24"/>
        </w:rPr>
        <w:t>三</w:t>
      </w:r>
      <w:r>
        <w:rPr>
          <w:rFonts w:eastAsia="黑体"/>
          <w:b w:val="0"/>
          <w:sz w:val="24"/>
          <w:szCs w:val="24"/>
        </w:rPr>
        <w:t>：分项咨询负责人最低要求</w:t>
      </w:r>
      <w:bookmarkEnd w:id="697"/>
      <w:bookmarkEnd w:id="698"/>
      <w:bookmarkEnd w:id="699"/>
      <w:bookmarkEnd w:id="700"/>
    </w:p>
    <w:p>
      <w:pPr>
        <w:pStyle w:val="230"/>
        <w:spacing w:beforeLines="0" w:line="360" w:lineRule="auto"/>
        <w:jc w:val="left"/>
        <w:rPr>
          <w:rFonts w:ascii="宋体" w:hAnsi="宋体" w:eastAsia="宋体" w:cs="宋体"/>
          <w:snapToGrid w:val="0"/>
          <w:color w:val="auto"/>
          <w:kern w:val="0"/>
          <w:sz w:val="24"/>
          <w:szCs w:val="24"/>
        </w:rPr>
      </w:pPr>
      <w:bookmarkStart w:id="701" w:name="_Toc503235828"/>
      <w:bookmarkStart w:id="702" w:name="_Toc508984353"/>
      <w:bookmarkStart w:id="703" w:name="_Toc508984154"/>
    </w:p>
    <w:p>
      <w:pPr>
        <w:pStyle w:val="230"/>
        <w:spacing w:beforeLines="0" w:line="360" w:lineRule="auto"/>
        <w:jc w:val="left"/>
        <w:rPr>
          <w:rFonts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详见第二章投标人须知附录 5资格审查条件(分项咨询负责人最低要求)</w:t>
      </w:r>
    </w:p>
    <w:p>
      <w:pPr>
        <w:pStyle w:val="230"/>
        <w:spacing w:beforeLines="0" w:line="360" w:lineRule="auto"/>
        <w:jc w:val="left"/>
        <w:rPr>
          <w:rFonts w:ascii="宋体" w:hAnsi="宋体" w:eastAsia="宋体" w:cs="宋体"/>
          <w:snapToGrid w:val="0"/>
          <w:color w:val="auto"/>
          <w:kern w:val="0"/>
          <w:sz w:val="24"/>
          <w:szCs w:val="24"/>
        </w:rPr>
      </w:pPr>
    </w:p>
    <w:p>
      <w:pPr>
        <w:pStyle w:val="230"/>
        <w:spacing w:beforeLines="0" w:line="360" w:lineRule="auto"/>
        <w:jc w:val="left"/>
        <w:rPr>
          <w:rFonts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注：1、投标人应按投标函的规定，承诺中标后按照本表的最低要求填报派驻本标段的分项咨询负责人，在经发包人审批后作为派驻本标段的项目管理机构的分项咨询负责人且不允许无故更换。</w:t>
      </w:r>
    </w:p>
    <w:p>
      <w:pPr>
        <w:pStyle w:val="2"/>
        <w:spacing w:before="0" w:after="0" w:line="360" w:lineRule="auto"/>
        <w:rPr>
          <w:rFonts w:ascii="宋体" w:hAnsi="宋体" w:cs="宋体"/>
          <w:b w:val="0"/>
          <w:bCs w:val="0"/>
          <w:snapToGrid w:val="0"/>
          <w:kern w:val="0"/>
          <w:sz w:val="24"/>
          <w:szCs w:val="24"/>
        </w:rPr>
        <w:sectPr>
          <w:footnotePr>
            <w:numRestart w:val="eachPage"/>
          </w:footnotePr>
          <w:pgSz w:w="11905" w:h="16838"/>
          <w:pgMar w:top="1803" w:right="1440" w:bottom="1803" w:left="1440" w:header="851" w:footer="850" w:gutter="0"/>
          <w:cols w:space="0" w:num="1"/>
          <w:docGrid w:linePitch="312" w:charSpace="0"/>
        </w:sectPr>
      </w:pPr>
      <w:r>
        <w:rPr>
          <w:rFonts w:hint="eastAsia" w:ascii="宋体" w:hAnsi="宋体" w:cs="宋体"/>
          <w:b w:val="0"/>
          <w:bCs w:val="0"/>
          <w:snapToGrid w:val="0"/>
          <w:kern w:val="0"/>
          <w:sz w:val="24"/>
          <w:szCs w:val="24"/>
        </w:rPr>
        <w:t>2、如果设计人不能在规定时间内派驻合格的人员，则视为相应岗位空缺，将严格按照合同条款的规定承担违约责任。</w:t>
      </w:r>
    </w:p>
    <w:p>
      <w:pPr>
        <w:pStyle w:val="2"/>
        <w:spacing w:before="0" w:after="0" w:line="380" w:lineRule="atLeast"/>
        <w:rPr>
          <w:rFonts w:eastAsia="黑体"/>
          <w:bCs w:val="0"/>
          <w:sz w:val="24"/>
        </w:rPr>
        <w:sectPr>
          <w:footnotePr>
            <w:numRestart w:val="eachPage"/>
          </w:footnotePr>
          <w:type w:val="continuous"/>
          <w:pgSz w:w="11905" w:h="16838"/>
          <w:pgMar w:top="1803" w:right="1440" w:bottom="1803" w:left="1440" w:header="851" w:footer="850" w:gutter="0"/>
          <w:cols w:space="0" w:num="1"/>
          <w:docGrid w:linePitch="312" w:charSpace="0"/>
        </w:sectPr>
      </w:pPr>
    </w:p>
    <w:p>
      <w:pPr>
        <w:pStyle w:val="2"/>
        <w:spacing w:before="0" w:after="0" w:line="380" w:lineRule="atLeast"/>
        <w:rPr>
          <w:rFonts w:eastAsia="黑体"/>
          <w:bCs w:val="0"/>
          <w:sz w:val="24"/>
        </w:rPr>
      </w:pPr>
      <w:r>
        <w:rPr>
          <w:rFonts w:eastAsia="黑体"/>
          <w:bCs w:val="0"/>
          <w:sz w:val="24"/>
        </w:rPr>
        <w:t>附件</w:t>
      </w:r>
      <w:r>
        <w:rPr>
          <w:rFonts w:hint="eastAsia" w:eastAsia="黑体"/>
          <w:bCs w:val="0"/>
          <w:sz w:val="24"/>
        </w:rPr>
        <w:t>四</w:t>
      </w:r>
      <w:r>
        <w:rPr>
          <w:rFonts w:eastAsia="黑体"/>
          <w:bCs w:val="0"/>
          <w:sz w:val="24"/>
        </w:rPr>
        <w:t>：履约</w:t>
      </w:r>
      <w:r>
        <w:rPr>
          <w:rFonts w:hint="eastAsia" w:eastAsia="黑体"/>
          <w:bCs w:val="0"/>
          <w:sz w:val="24"/>
        </w:rPr>
        <w:t>保证金</w:t>
      </w:r>
      <w:r>
        <w:rPr>
          <w:rFonts w:eastAsia="黑体"/>
          <w:bCs w:val="0"/>
          <w:sz w:val="24"/>
        </w:rPr>
        <w:t>格式</w:t>
      </w:r>
      <w:bookmarkEnd w:id="701"/>
      <w:bookmarkEnd w:id="702"/>
      <w:bookmarkEnd w:id="703"/>
    </w:p>
    <w:p>
      <w:pPr>
        <w:spacing w:line="400" w:lineRule="atLeast"/>
        <w:jc w:val="left"/>
        <w:rPr>
          <w:sz w:val="24"/>
        </w:rPr>
      </w:pPr>
      <w:r>
        <w:rPr>
          <w:sz w:val="24"/>
        </w:rPr>
        <w:t>如采用银行保函，格式如下。</w:t>
      </w:r>
    </w:p>
    <w:p>
      <w:pPr>
        <w:spacing w:line="400" w:lineRule="atLeast"/>
        <w:ind w:firstLine="2880"/>
        <w:jc w:val="left"/>
        <w:rPr>
          <w:rFonts w:eastAsia="黑体"/>
          <w:sz w:val="24"/>
        </w:rPr>
      </w:pPr>
    </w:p>
    <w:p>
      <w:pPr>
        <w:spacing w:line="400" w:lineRule="atLeast"/>
        <w:jc w:val="center"/>
        <w:rPr>
          <w:rFonts w:eastAsia="黑体"/>
          <w:sz w:val="28"/>
          <w:szCs w:val="28"/>
        </w:rPr>
      </w:pPr>
      <w:r>
        <w:rPr>
          <w:rFonts w:hint="eastAsia" w:eastAsia="黑体"/>
          <w:sz w:val="28"/>
          <w:szCs w:val="28"/>
        </w:rPr>
        <w:t>履约保证金</w:t>
      </w:r>
    </w:p>
    <w:p>
      <w:pPr>
        <w:spacing w:line="400" w:lineRule="atLeast"/>
        <w:rPr>
          <w:sz w:val="24"/>
        </w:rPr>
      </w:pPr>
      <w:r>
        <w:rPr>
          <w:sz w:val="24"/>
          <w:u w:val="single"/>
        </w:rPr>
        <w:tab/>
      </w:r>
      <w:r>
        <w:rPr>
          <w:sz w:val="24"/>
          <w:u w:val="single"/>
        </w:rPr>
        <w:tab/>
      </w:r>
      <w:r>
        <w:rPr>
          <w:sz w:val="24"/>
        </w:rPr>
        <w:t>（发包人名称）：</w:t>
      </w:r>
    </w:p>
    <w:p>
      <w:pPr>
        <w:spacing w:line="400" w:lineRule="atLeast"/>
        <w:rPr>
          <w:sz w:val="24"/>
        </w:rPr>
      </w:pPr>
    </w:p>
    <w:p>
      <w:pPr>
        <w:spacing w:line="360" w:lineRule="auto"/>
        <w:ind w:firstLine="600" w:firstLineChars="250"/>
        <w:rPr>
          <w:sz w:val="24"/>
        </w:rPr>
      </w:pPr>
      <w:r>
        <w:rPr>
          <w:sz w:val="24"/>
        </w:rPr>
        <w:t>鉴于（发包人名称，以下简称“发包人”）接受（咨询单位名称</w:t>
      </w:r>
      <w:r>
        <w:rPr>
          <w:rFonts w:hint="eastAsia"/>
          <w:sz w:val="24"/>
        </w:rPr>
        <w:t>，</w:t>
      </w:r>
      <w:r>
        <w:rPr>
          <w:sz w:val="24"/>
        </w:rPr>
        <w:t>以下</w:t>
      </w:r>
      <w:r>
        <w:rPr>
          <w:rFonts w:hint="eastAsia"/>
          <w:sz w:val="24"/>
        </w:rPr>
        <w:t>简</w:t>
      </w:r>
      <w:r>
        <w:rPr>
          <w:sz w:val="24"/>
        </w:rPr>
        <w:t>称“咨询单位”）于</w:t>
      </w:r>
      <w:r>
        <w:rPr>
          <w:rFonts w:hint="eastAsia"/>
          <w:sz w:val="24"/>
          <w:u w:val="single"/>
          <w:lang w:val="en-US" w:eastAsia="zh-CN"/>
        </w:rPr>
        <w:t xml:space="preserve">  </w:t>
      </w:r>
      <w:r>
        <w:rPr>
          <w:sz w:val="24"/>
        </w:rPr>
        <w:t>年</w:t>
      </w:r>
      <w:r>
        <w:rPr>
          <w:rFonts w:hint="eastAsia"/>
          <w:sz w:val="24"/>
          <w:u w:val="single"/>
          <w:lang w:val="en-US" w:eastAsia="zh-CN"/>
        </w:rPr>
        <w:t xml:space="preserve">  </w:t>
      </w:r>
      <w:r>
        <w:rPr>
          <w:sz w:val="24"/>
        </w:rPr>
        <w:t>月</w:t>
      </w:r>
      <w:r>
        <w:rPr>
          <w:rFonts w:hint="eastAsia"/>
          <w:sz w:val="24"/>
          <w:u w:val="single"/>
          <w:lang w:val="en-US" w:eastAsia="zh-CN"/>
        </w:rPr>
        <w:t xml:space="preserve">  </w:t>
      </w:r>
      <w:r>
        <w:rPr>
          <w:sz w:val="24"/>
        </w:rPr>
        <w:t>日参加</w:t>
      </w:r>
      <w:r>
        <w:rPr>
          <w:sz w:val="24"/>
          <w:u w:val="single"/>
        </w:rPr>
        <w:t>（项目名称）</w:t>
      </w:r>
      <w:r>
        <w:rPr>
          <w:rFonts w:hint="eastAsia"/>
          <w:sz w:val="24"/>
          <w:u w:val="single"/>
          <w:lang w:val="en-US" w:eastAsia="zh-CN"/>
        </w:rPr>
        <w:t xml:space="preserve">   </w:t>
      </w:r>
      <w:r>
        <w:rPr>
          <w:sz w:val="24"/>
          <w:u w:val="single"/>
        </w:rPr>
        <w:t>标段勘察设计</w:t>
      </w:r>
      <w:r>
        <w:rPr>
          <w:sz w:val="24"/>
        </w:rPr>
        <w:t>咨询的投标。我方愿意无条件地、不可撤销地就咨询单位履行与你方订立的合同，向你方提供担保。</w:t>
      </w:r>
    </w:p>
    <w:p>
      <w:pPr>
        <w:spacing w:line="360" w:lineRule="auto"/>
        <w:ind w:firstLine="480" w:firstLineChars="200"/>
        <w:rPr>
          <w:sz w:val="24"/>
        </w:rPr>
      </w:pPr>
      <w:r>
        <w:rPr>
          <w:sz w:val="24"/>
        </w:rPr>
        <w:t>1. 担保金额人民币（大写）</w:t>
      </w:r>
      <w:r>
        <w:rPr>
          <w:rStyle w:val="214"/>
          <w:rFonts w:hint="eastAsia" w:ascii="宋体" w:hAnsi="宋体" w:eastAsia="宋体"/>
          <w:sz w:val="21"/>
          <w:szCs w:val="21"/>
        </w:rPr>
        <w:t>______</w:t>
      </w:r>
      <w:r>
        <w:rPr>
          <w:sz w:val="24"/>
        </w:rPr>
        <w:t>元（¥</w:t>
      </w:r>
      <w:r>
        <w:rPr>
          <w:rStyle w:val="214"/>
          <w:rFonts w:hint="eastAsia" w:ascii="宋体" w:hAnsi="宋体" w:eastAsia="宋体"/>
          <w:sz w:val="21"/>
          <w:szCs w:val="21"/>
        </w:rPr>
        <w:t>______</w:t>
      </w:r>
      <w:r>
        <w:rPr>
          <w:sz w:val="24"/>
        </w:rPr>
        <w:t>）。</w:t>
      </w:r>
    </w:p>
    <w:p>
      <w:pPr>
        <w:spacing w:line="360" w:lineRule="auto"/>
        <w:ind w:firstLine="480" w:firstLineChars="200"/>
        <w:rPr>
          <w:sz w:val="24"/>
        </w:rPr>
      </w:pPr>
      <w:r>
        <w:rPr>
          <w:sz w:val="24"/>
        </w:rPr>
        <w:t>2. 担保有效期自发包人与咨询单位签订的合同生效之日起至发包人签</w:t>
      </w:r>
      <w:r>
        <w:rPr>
          <w:rFonts w:hint="eastAsia"/>
          <w:sz w:val="24"/>
        </w:rPr>
        <w:t>收最后</w:t>
      </w:r>
      <w:r>
        <w:rPr>
          <w:sz w:val="24"/>
        </w:rPr>
        <w:t>一</w:t>
      </w:r>
      <w:r>
        <w:rPr>
          <w:rFonts w:hint="eastAsia"/>
          <w:sz w:val="24"/>
        </w:rPr>
        <w:t>批勘察</w:t>
      </w:r>
      <w:r>
        <w:rPr>
          <w:rFonts w:hint="cs"/>
          <w:sz w:val="24"/>
        </w:rPr>
        <w:t>设计</w:t>
      </w:r>
      <w:r>
        <w:rPr>
          <w:rFonts w:hint="eastAsia"/>
          <w:sz w:val="24"/>
        </w:rPr>
        <w:t>成果文件之日止</w:t>
      </w:r>
      <w:r>
        <w:rPr>
          <w:sz w:val="24"/>
        </w:rPr>
        <w:t>。</w:t>
      </w:r>
      <w:r>
        <w:rPr>
          <w:rStyle w:val="56"/>
          <w:rFonts w:ascii="宋体" w:hAnsi="宋体"/>
          <w:sz w:val="32"/>
          <w:szCs w:val="32"/>
        </w:rPr>
        <w:footnoteReference w:id="75"/>
      </w:r>
    </w:p>
    <w:p>
      <w:pPr>
        <w:spacing w:line="360" w:lineRule="auto"/>
        <w:ind w:firstLine="480" w:firstLineChars="200"/>
        <w:rPr>
          <w:sz w:val="24"/>
        </w:rPr>
      </w:pPr>
      <w:r>
        <w:rPr>
          <w:sz w:val="24"/>
        </w:rPr>
        <w:t>3. 在本担保有效期内，</w:t>
      </w:r>
      <w:r>
        <w:rPr>
          <w:rFonts w:hint="eastAsia"/>
          <w:sz w:val="24"/>
        </w:rPr>
        <w:t>如果咨询单位不履行合同约定的义务或其履行不符合合同的约定，</w:t>
      </w:r>
      <w:r>
        <w:rPr>
          <w:sz w:val="24"/>
        </w:rPr>
        <w:t>我方在收到你方以书面形式提出的在担保金额内的赔偿要求后，在7</w:t>
      </w:r>
      <w:r>
        <w:rPr>
          <w:rFonts w:hint="eastAsia"/>
          <w:sz w:val="24"/>
        </w:rPr>
        <w:t>日</w:t>
      </w:r>
      <w:r>
        <w:rPr>
          <w:sz w:val="24"/>
        </w:rPr>
        <w:t>内无条件支付，无须你方出具证明或陈述理由。</w:t>
      </w:r>
    </w:p>
    <w:p>
      <w:pPr>
        <w:spacing w:line="360" w:lineRule="auto"/>
        <w:ind w:firstLine="480" w:firstLineChars="200"/>
        <w:rPr>
          <w:sz w:val="24"/>
        </w:rPr>
      </w:pPr>
      <w:r>
        <w:rPr>
          <w:sz w:val="24"/>
        </w:rPr>
        <w:t>4. 发包人和咨询单位变更合同时，</w:t>
      </w:r>
      <w:r>
        <w:rPr>
          <w:rFonts w:hint="eastAsia"/>
          <w:sz w:val="24"/>
        </w:rPr>
        <w:t>无论我方是否收到该变更，</w:t>
      </w:r>
      <w:r>
        <w:rPr>
          <w:sz w:val="24"/>
        </w:rPr>
        <w:t>我方承担本担保规定的义务不变。</w:t>
      </w:r>
    </w:p>
    <w:p>
      <w:pPr>
        <w:spacing w:line="400" w:lineRule="atLeast"/>
        <w:rPr>
          <w:sz w:val="24"/>
        </w:rPr>
      </w:pPr>
    </w:p>
    <w:p>
      <w:pPr>
        <w:spacing w:line="400" w:lineRule="atLeast"/>
        <w:ind w:firstLine="3496" w:firstLineChars="1457"/>
        <w:rPr>
          <w:sz w:val="24"/>
        </w:rPr>
      </w:pPr>
      <w:r>
        <w:rPr>
          <w:sz w:val="24"/>
        </w:rPr>
        <w:t>担保人</w:t>
      </w:r>
      <w:r>
        <w:rPr>
          <w:rFonts w:hint="eastAsia"/>
          <w:sz w:val="24"/>
        </w:rPr>
        <w:t>名称</w:t>
      </w:r>
      <w:r>
        <w:rPr>
          <w:sz w:val="24"/>
        </w:rPr>
        <w:t>：</w:t>
      </w:r>
      <w:r>
        <w:rPr>
          <w:rStyle w:val="214"/>
          <w:rFonts w:hint="eastAsia" w:ascii="宋体" w:hAnsi="宋体" w:eastAsia="宋体"/>
          <w:sz w:val="21"/>
          <w:szCs w:val="21"/>
        </w:rPr>
        <w:t>___________</w:t>
      </w:r>
      <w:r>
        <w:rPr>
          <w:sz w:val="24"/>
        </w:rPr>
        <w:t>（盖单位章）</w:t>
      </w:r>
    </w:p>
    <w:p>
      <w:pPr>
        <w:spacing w:line="400" w:lineRule="atLeast"/>
        <w:ind w:firstLine="3496" w:firstLineChars="1457"/>
        <w:rPr>
          <w:sz w:val="24"/>
        </w:rPr>
      </w:pPr>
      <w:r>
        <w:rPr>
          <w:sz w:val="24"/>
        </w:rPr>
        <w:t>法定代表人或其委托代理人：</w:t>
      </w:r>
      <w:r>
        <w:rPr>
          <w:rStyle w:val="214"/>
          <w:rFonts w:hint="eastAsia" w:ascii="宋体" w:hAnsi="宋体" w:eastAsia="宋体"/>
          <w:sz w:val="21"/>
          <w:szCs w:val="21"/>
        </w:rPr>
        <w:t>__________</w:t>
      </w:r>
      <w:r>
        <w:rPr>
          <w:sz w:val="24"/>
        </w:rPr>
        <w:t>（签字）</w:t>
      </w:r>
    </w:p>
    <w:p>
      <w:pPr>
        <w:spacing w:line="400" w:lineRule="atLeast"/>
        <w:ind w:firstLine="3496" w:firstLineChars="1457"/>
        <w:rPr>
          <w:sz w:val="24"/>
        </w:rPr>
      </w:pPr>
      <w:r>
        <w:rPr>
          <w:sz w:val="24"/>
        </w:rPr>
        <w:t>地    址：</w:t>
      </w:r>
      <w:r>
        <w:rPr>
          <w:rStyle w:val="214"/>
          <w:rFonts w:hint="eastAsia" w:ascii="宋体" w:hAnsi="宋体" w:eastAsia="宋体"/>
          <w:sz w:val="21"/>
          <w:szCs w:val="21"/>
        </w:rPr>
        <w:t>______________________________</w:t>
      </w:r>
    </w:p>
    <w:p>
      <w:pPr>
        <w:spacing w:line="400" w:lineRule="atLeast"/>
        <w:ind w:firstLine="3496" w:firstLineChars="1457"/>
        <w:rPr>
          <w:sz w:val="24"/>
        </w:rPr>
      </w:pPr>
      <w:r>
        <w:rPr>
          <w:sz w:val="24"/>
        </w:rPr>
        <w:t>邮政编码：</w:t>
      </w:r>
      <w:r>
        <w:rPr>
          <w:rStyle w:val="214"/>
          <w:rFonts w:hint="eastAsia" w:ascii="宋体" w:hAnsi="宋体" w:eastAsia="宋体"/>
          <w:sz w:val="21"/>
          <w:szCs w:val="21"/>
        </w:rPr>
        <w:t>______________________________</w:t>
      </w:r>
    </w:p>
    <w:p>
      <w:pPr>
        <w:spacing w:line="400" w:lineRule="atLeast"/>
        <w:ind w:firstLine="3496" w:firstLineChars="1457"/>
        <w:rPr>
          <w:sz w:val="24"/>
        </w:rPr>
      </w:pPr>
      <w:r>
        <w:rPr>
          <w:sz w:val="24"/>
        </w:rPr>
        <w:t>电    话：</w:t>
      </w:r>
      <w:r>
        <w:rPr>
          <w:rStyle w:val="214"/>
          <w:rFonts w:hint="eastAsia" w:ascii="宋体" w:hAnsi="宋体" w:eastAsia="宋体"/>
          <w:sz w:val="21"/>
          <w:szCs w:val="21"/>
        </w:rPr>
        <w:t>______________________________</w:t>
      </w:r>
    </w:p>
    <w:p>
      <w:pPr>
        <w:spacing w:line="400" w:lineRule="atLeast"/>
        <w:ind w:firstLine="3496" w:firstLineChars="1457"/>
        <w:rPr>
          <w:sz w:val="24"/>
        </w:rPr>
      </w:pPr>
      <w:r>
        <w:rPr>
          <w:sz w:val="24"/>
        </w:rPr>
        <w:t>传    真：</w:t>
      </w:r>
      <w:r>
        <w:rPr>
          <w:rStyle w:val="214"/>
          <w:rFonts w:hint="eastAsia" w:ascii="宋体" w:hAnsi="宋体" w:eastAsia="宋体"/>
          <w:sz w:val="21"/>
          <w:szCs w:val="21"/>
        </w:rPr>
        <w:t>______________________________</w:t>
      </w:r>
    </w:p>
    <w:p>
      <w:pPr>
        <w:spacing w:line="400" w:lineRule="atLeast"/>
        <w:ind w:firstLine="3689" w:firstLineChars="1757"/>
        <w:jc w:val="right"/>
        <w:rPr>
          <w:sz w:val="24"/>
        </w:rPr>
      </w:pPr>
      <w:r>
        <w:rPr>
          <w:rStyle w:val="214"/>
          <w:rFonts w:hint="eastAsia" w:ascii="宋体" w:hAnsi="宋体" w:eastAsia="宋体"/>
          <w:sz w:val="21"/>
          <w:szCs w:val="21"/>
        </w:rPr>
        <w:t>______</w:t>
      </w:r>
      <w:r>
        <w:rPr>
          <w:sz w:val="24"/>
        </w:rPr>
        <w:t>年</w:t>
      </w:r>
      <w:r>
        <w:rPr>
          <w:rStyle w:val="214"/>
          <w:rFonts w:hint="eastAsia" w:ascii="宋体" w:hAnsi="宋体" w:eastAsia="宋体"/>
          <w:sz w:val="21"/>
          <w:szCs w:val="21"/>
        </w:rPr>
        <w:t>______</w:t>
      </w:r>
      <w:r>
        <w:rPr>
          <w:sz w:val="24"/>
        </w:rPr>
        <w:t>月</w:t>
      </w:r>
      <w:r>
        <w:rPr>
          <w:rStyle w:val="214"/>
          <w:rFonts w:hint="eastAsia" w:ascii="宋体" w:hAnsi="宋体" w:eastAsia="宋体"/>
          <w:sz w:val="21"/>
          <w:szCs w:val="21"/>
        </w:rPr>
        <w:t>______</w:t>
      </w:r>
      <w:r>
        <w:rPr>
          <w:sz w:val="24"/>
        </w:rPr>
        <w:t>日</w:t>
      </w:r>
    </w:p>
    <w:p>
      <w:pPr>
        <w:rPr>
          <w:sz w:val="24"/>
        </w:rPr>
      </w:pPr>
    </w:p>
    <w:p>
      <w:pPr>
        <w:jc w:val="left"/>
        <w:rPr>
          <w:rFonts w:eastAsia="黑体"/>
          <w:sz w:val="29"/>
          <w:szCs w:val="29"/>
        </w:rPr>
      </w:pPr>
      <w:r>
        <w:rPr>
          <w:rFonts w:hint="eastAsia" w:ascii="宋体" w:hAnsi="宋体" w:cs="宋体"/>
          <w:sz w:val="18"/>
          <w:szCs w:val="18"/>
        </w:rPr>
        <w:t>注：本保函格式只作为参考，投标人可根据当地银行及相关规定的格式填写，但主要内容须与本保函内容原则上保持一致。</w:t>
      </w:r>
    </w:p>
    <w:p>
      <w:pPr>
        <w:pStyle w:val="44"/>
        <w:rPr>
          <w:rFonts w:ascii="黑体" w:eastAsia="黑体"/>
          <w:sz w:val="52"/>
          <w:szCs w:val="52"/>
        </w:rPr>
      </w:pPr>
      <w:bookmarkStart w:id="704" w:name="_Toc267901496"/>
      <w:bookmarkStart w:id="705" w:name="_Toc508984354"/>
      <w:bookmarkStart w:id="706" w:name="_Toc508984155"/>
      <w:bookmarkStart w:id="707" w:name="_Toc503235829"/>
    </w:p>
    <w:p>
      <w:pPr>
        <w:pStyle w:val="44"/>
        <w:rPr>
          <w:rFonts w:ascii="黑体" w:eastAsia="黑体"/>
          <w:sz w:val="52"/>
          <w:szCs w:val="52"/>
        </w:rPr>
      </w:pPr>
    </w:p>
    <w:p>
      <w:pPr>
        <w:pStyle w:val="44"/>
        <w:rPr>
          <w:rFonts w:ascii="黑体" w:eastAsia="黑体"/>
          <w:sz w:val="52"/>
          <w:szCs w:val="52"/>
        </w:rPr>
      </w:pPr>
    </w:p>
    <w:p>
      <w:pPr>
        <w:pStyle w:val="44"/>
        <w:rPr>
          <w:rFonts w:ascii="黑体" w:eastAsia="黑体"/>
          <w:sz w:val="52"/>
          <w:szCs w:val="52"/>
        </w:rPr>
      </w:pPr>
    </w:p>
    <w:p>
      <w:pPr>
        <w:pStyle w:val="44"/>
        <w:rPr>
          <w:rFonts w:ascii="黑体" w:eastAsia="黑体"/>
          <w:sz w:val="52"/>
          <w:szCs w:val="52"/>
        </w:rPr>
      </w:pPr>
    </w:p>
    <w:p>
      <w:pPr>
        <w:pStyle w:val="44"/>
        <w:rPr>
          <w:rFonts w:ascii="黑体" w:eastAsia="黑体"/>
          <w:sz w:val="52"/>
          <w:szCs w:val="52"/>
        </w:rPr>
      </w:pPr>
    </w:p>
    <w:p>
      <w:pPr>
        <w:pStyle w:val="44"/>
        <w:rPr>
          <w:rFonts w:ascii="黑体" w:eastAsia="黑体"/>
          <w:sz w:val="36"/>
          <w:szCs w:val="36"/>
        </w:rPr>
      </w:pPr>
      <w:r>
        <w:rPr>
          <w:rFonts w:ascii="黑体" w:eastAsia="黑体"/>
          <w:sz w:val="52"/>
          <w:szCs w:val="52"/>
        </w:rPr>
        <w:t>第</w:t>
      </w:r>
      <w:r>
        <w:rPr>
          <w:rFonts w:hint="eastAsia" w:ascii="黑体" w:eastAsia="黑体"/>
          <w:sz w:val="52"/>
          <w:szCs w:val="52"/>
        </w:rPr>
        <w:t>五</w:t>
      </w:r>
      <w:r>
        <w:rPr>
          <w:rFonts w:ascii="黑体" w:eastAsia="黑体"/>
          <w:sz w:val="52"/>
          <w:szCs w:val="52"/>
        </w:rPr>
        <w:t xml:space="preserve">章  </w:t>
      </w:r>
      <w:bookmarkEnd w:id="704"/>
      <w:r>
        <w:rPr>
          <w:rFonts w:ascii="黑体" w:eastAsia="黑体"/>
          <w:sz w:val="52"/>
          <w:szCs w:val="52"/>
        </w:rPr>
        <w:t>发包人要求</w:t>
      </w:r>
      <w:r>
        <w:rPr>
          <w:rStyle w:val="56"/>
          <w:rFonts w:ascii="宋体" w:hAnsi="宋体"/>
          <w:b w:val="0"/>
          <w:kern w:val="2"/>
          <w:szCs w:val="32"/>
        </w:rPr>
        <w:footnoteReference w:id="76"/>
      </w:r>
      <w:bookmarkEnd w:id="705"/>
      <w:bookmarkEnd w:id="706"/>
      <w:bookmarkEnd w:id="707"/>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jc w:val="center"/>
        <w:rPr>
          <w:rFonts w:eastAsia="黑体"/>
          <w:sz w:val="30"/>
        </w:rPr>
      </w:pPr>
      <w:r>
        <w:rPr>
          <w:rFonts w:eastAsia="黑体"/>
          <w:sz w:val="20"/>
          <w:szCs w:val="20"/>
        </w:rPr>
        <w:br w:type="page"/>
      </w:r>
      <w:r>
        <w:rPr>
          <w:rFonts w:eastAsia="黑体"/>
          <w:sz w:val="30"/>
        </w:rPr>
        <w:t>发包人要求</w:t>
      </w:r>
    </w:p>
    <w:p>
      <w:pPr>
        <w:spacing w:line="480" w:lineRule="atLeast"/>
        <w:jc w:val="center"/>
        <w:rPr>
          <w:rFonts w:eastAsia="黑体"/>
          <w:sz w:val="28"/>
        </w:rPr>
      </w:pPr>
    </w:p>
    <w:p>
      <w:pPr>
        <w:spacing w:line="440" w:lineRule="exact"/>
        <w:ind w:firstLine="480" w:firstLineChars="200"/>
        <w:rPr>
          <w:sz w:val="24"/>
        </w:rPr>
      </w:pPr>
      <w:r>
        <w:rPr>
          <w:sz w:val="24"/>
        </w:rPr>
        <w:t>发包人要求通常包括但不限于以下内容：</w:t>
      </w:r>
    </w:p>
    <w:p>
      <w:pPr>
        <w:spacing w:beforeLines="50" w:afterLines="50" w:line="440" w:lineRule="exact"/>
        <w:rPr>
          <w:rFonts w:ascii="黑体" w:hAnsi="黑体" w:eastAsia="黑体"/>
          <w:b/>
          <w:sz w:val="24"/>
        </w:rPr>
      </w:pPr>
      <w:bookmarkStart w:id="708" w:name="_Toc492300513"/>
      <w:bookmarkStart w:id="709" w:name="_Toc482188637"/>
      <w:r>
        <w:rPr>
          <w:rFonts w:hint="eastAsia" w:ascii="黑体" w:hAnsi="黑体" w:eastAsia="黑体"/>
          <w:b/>
          <w:sz w:val="24"/>
        </w:rPr>
        <w:t>一、勘察设计咨询要求</w:t>
      </w:r>
      <w:bookmarkEnd w:id="708"/>
      <w:bookmarkEnd w:id="709"/>
    </w:p>
    <w:p>
      <w:pPr>
        <w:keepNext/>
        <w:keepLines/>
        <w:spacing w:before="260" w:after="260" w:line="416" w:lineRule="auto"/>
        <w:jc w:val="center"/>
        <w:outlineLvl w:val="1"/>
        <w:rPr>
          <w:rFonts w:ascii="宋体" w:hAnsi="宋体"/>
          <w:sz w:val="24"/>
        </w:rPr>
      </w:pPr>
      <w:bookmarkStart w:id="710" w:name="_Toc421963338"/>
      <w:bookmarkStart w:id="711" w:name="_Toc508984355"/>
      <w:r>
        <w:rPr>
          <w:rFonts w:hint="eastAsia" w:ascii="宋体" w:hAnsi="宋体"/>
          <w:sz w:val="24"/>
        </w:rPr>
        <w:t>第一条　总　则</w:t>
      </w:r>
      <w:bookmarkEnd w:id="710"/>
      <w:bookmarkEnd w:id="711"/>
    </w:p>
    <w:p>
      <w:pPr>
        <w:spacing w:line="360" w:lineRule="auto"/>
        <w:ind w:firstLine="480" w:firstLineChars="200"/>
        <w:rPr>
          <w:rFonts w:ascii="宋体" w:hAnsi="宋体"/>
          <w:sz w:val="24"/>
        </w:rPr>
      </w:pPr>
      <w:r>
        <w:rPr>
          <w:rFonts w:hint="eastAsia" w:ascii="宋体" w:hAnsi="宋体"/>
          <w:sz w:val="24"/>
        </w:rPr>
        <w:t>1.1　技术审查咨询应遵循科学、客观、公正的原则，以确保工程结构安全和通航安全、满足使用功能、降低工程造价、节约土地为宗旨，为设计人提高勘察设计质量提供有益的建议，为发包人把好勘察设计技术关，为行业主管部门的勘察设计审查工作提供技术支持。</w:t>
      </w:r>
    </w:p>
    <w:p>
      <w:pPr>
        <w:spacing w:line="360" w:lineRule="auto"/>
        <w:ind w:firstLine="480" w:firstLineChars="200"/>
        <w:rPr>
          <w:rFonts w:ascii="宋体" w:hAnsi="宋体"/>
          <w:sz w:val="24"/>
        </w:rPr>
      </w:pPr>
      <w:r>
        <w:rPr>
          <w:rFonts w:hint="eastAsia" w:ascii="宋体" w:hAnsi="宋体"/>
          <w:sz w:val="24"/>
        </w:rPr>
        <w:t>1.2　勘察设计咨询视咨询内容选择下列文件的相关部分作为咨询依据：</w:t>
      </w:r>
    </w:p>
    <w:p>
      <w:pPr>
        <w:spacing w:line="360" w:lineRule="auto"/>
        <w:ind w:firstLine="480" w:firstLineChars="200"/>
        <w:rPr>
          <w:rFonts w:ascii="宋体" w:hAnsi="宋体"/>
          <w:sz w:val="24"/>
        </w:rPr>
      </w:pPr>
      <w:r>
        <w:rPr>
          <w:rFonts w:hint="eastAsia" w:ascii="宋体" w:hAnsi="宋体"/>
          <w:sz w:val="24"/>
        </w:rPr>
        <w:t>（1）发包人与咨询单位签订的《勘察设计咨询合同》；</w:t>
      </w:r>
    </w:p>
    <w:p>
      <w:pPr>
        <w:spacing w:line="360" w:lineRule="auto"/>
        <w:ind w:firstLine="480" w:firstLineChars="200"/>
        <w:rPr>
          <w:rFonts w:ascii="宋体" w:hAnsi="宋体"/>
          <w:sz w:val="24"/>
        </w:rPr>
      </w:pPr>
      <w:r>
        <w:rPr>
          <w:rFonts w:hint="eastAsia" w:ascii="宋体" w:hAnsi="宋体"/>
          <w:sz w:val="24"/>
        </w:rPr>
        <w:t>（2）发包人与设计人签订的《勘察设计合同》；</w:t>
      </w:r>
    </w:p>
    <w:p>
      <w:pPr>
        <w:spacing w:line="360" w:lineRule="auto"/>
        <w:ind w:firstLine="480" w:firstLineChars="200"/>
        <w:rPr>
          <w:rFonts w:ascii="宋体" w:hAnsi="宋体"/>
          <w:sz w:val="24"/>
        </w:rPr>
      </w:pPr>
      <w:r>
        <w:rPr>
          <w:rFonts w:hint="eastAsia" w:ascii="宋体" w:hAnsi="宋体"/>
          <w:sz w:val="24"/>
        </w:rPr>
        <w:t>（3）国家、交通运输部及广东省交通运输厅有关交通基本建设的法律、法规及规定；</w:t>
      </w:r>
    </w:p>
    <w:p>
      <w:pPr>
        <w:spacing w:line="360" w:lineRule="auto"/>
        <w:ind w:firstLine="480" w:firstLineChars="200"/>
        <w:rPr>
          <w:rFonts w:ascii="宋体" w:hAnsi="宋体"/>
          <w:sz w:val="24"/>
        </w:rPr>
      </w:pPr>
      <w:r>
        <w:rPr>
          <w:rFonts w:hint="eastAsia" w:ascii="宋体" w:hAnsi="宋体"/>
          <w:sz w:val="24"/>
        </w:rPr>
        <w:t>（4）国家、交通运输部颁布的规范、规程、技术标准以及发包人要求参照执行的相关行业规范、规程。</w:t>
      </w:r>
    </w:p>
    <w:p>
      <w:pPr>
        <w:spacing w:line="360" w:lineRule="auto"/>
        <w:ind w:firstLine="480" w:firstLineChars="200"/>
        <w:rPr>
          <w:rFonts w:ascii="宋体" w:hAnsi="宋体"/>
          <w:sz w:val="24"/>
        </w:rPr>
      </w:pPr>
      <w:r>
        <w:rPr>
          <w:rFonts w:hint="eastAsia" w:ascii="宋体" w:hAnsi="宋体"/>
          <w:sz w:val="24"/>
        </w:rPr>
        <w:t>（5）交通运输部等有关部门有关水运工程勘察设计的规范性文件、管理办法、工作制度；</w:t>
      </w:r>
    </w:p>
    <w:p>
      <w:pPr>
        <w:spacing w:line="360" w:lineRule="auto"/>
        <w:ind w:firstLine="480" w:firstLineChars="200"/>
        <w:rPr>
          <w:rFonts w:ascii="宋体" w:hAnsi="宋体"/>
          <w:sz w:val="24"/>
        </w:rPr>
      </w:pPr>
      <w:r>
        <w:rPr>
          <w:rFonts w:hint="eastAsia" w:ascii="宋体" w:hAnsi="宋体"/>
          <w:sz w:val="24"/>
        </w:rPr>
        <w:t>（6）环评、水保、地质灾害、地震安全性、压覆矿藏、文物调查等评估报告及批复文件；</w:t>
      </w:r>
    </w:p>
    <w:p>
      <w:pPr>
        <w:spacing w:line="360" w:lineRule="auto"/>
        <w:ind w:firstLine="480" w:firstLineChars="200"/>
        <w:rPr>
          <w:rFonts w:ascii="宋体" w:hAnsi="宋体"/>
          <w:sz w:val="24"/>
        </w:rPr>
      </w:pPr>
      <w:r>
        <w:rPr>
          <w:rFonts w:hint="eastAsia" w:ascii="宋体" w:hAnsi="宋体"/>
          <w:sz w:val="24"/>
        </w:rPr>
        <w:t>（7）风景名胜区、生态保护区、地质公园、森林公园、地方规划区等穿越的批复或同意文件；</w:t>
      </w:r>
    </w:p>
    <w:p>
      <w:pPr>
        <w:spacing w:line="360" w:lineRule="auto"/>
        <w:ind w:firstLine="480" w:firstLineChars="200"/>
        <w:rPr>
          <w:rFonts w:ascii="宋体" w:hAnsi="宋体"/>
          <w:sz w:val="24"/>
        </w:rPr>
      </w:pPr>
      <w:r>
        <w:rPr>
          <w:rFonts w:hint="eastAsia" w:ascii="宋体" w:hAnsi="宋体"/>
          <w:sz w:val="24"/>
        </w:rPr>
        <w:t>（8）项目的工程可行性研究报告（以下简称“工可”）及其批复文件；</w:t>
      </w:r>
    </w:p>
    <w:p>
      <w:pPr>
        <w:spacing w:line="360" w:lineRule="auto"/>
        <w:ind w:firstLine="480" w:firstLineChars="200"/>
        <w:rPr>
          <w:rFonts w:ascii="宋体" w:hAnsi="宋体"/>
          <w:sz w:val="24"/>
        </w:rPr>
      </w:pPr>
      <w:r>
        <w:rPr>
          <w:rFonts w:hint="eastAsia" w:ascii="宋体" w:hAnsi="宋体"/>
          <w:sz w:val="24"/>
        </w:rPr>
        <w:t>（9）初步设计文件及其批复文件；</w:t>
      </w:r>
    </w:p>
    <w:p>
      <w:pPr>
        <w:spacing w:line="360" w:lineRule="auto"/>
        <w:ind w:firstLine="480" w:firstLineChars="200"/>
        <w:rPr>
          <w:rFonts w:ascii="宋体" w:hAnsi="宋体"/>
          <w:sz w:val="24"/>
        </w:rPr>
      </w:pPr>
      <w:r>
        <w:rPr>
          <w:rFonts w:hint="eastAsia" w:ascii="宋体" w:hAnsi="宋体"/>
          <w:sz w:val="24"/>
        </w:rPr>
        <w:t>（10）与工程临近的铁路、公路、电力、通信、管线等相关部门的批复或协议文件；</w:t>
      </w:r>
    </w:p>
    <w:p>
      <w:pPr>
        <w:spacing w:line="360" w:lineRule="auto"/>
        <w:ind w:firstLine="480" w:firstLineChars="200"/>
        <w:rPr>
          <w:rFonts w:ascii="宋体" w:hAnsi="宋体"/>
          <w:sz w:val="24"/>
        </w:rPr>
      </w:pPr>
      <w:r>
        <w:rPr>
          <w:rFonts w:hint="eastAsia" w:ascii="宋体" w:hAnsi="宋体"/>
          <w:sz w:val="24"/>
        </w:rPr>
        <w:t>（11）上级</w:t>
      </w:r>
      <w:r>
        <w:rPr>
          <w:rFonts w:ascii="宋体" w:hAnsi="宋体"/>
          <w:sz w:val="24"/>
        </w:rPr>
        <w:t>主管部门</w:t>
      </w:r>
      <w:r>
        <w:rPr>
          <w:rFonts w:hint="eastAsia" w:ascii="宋体" w:hAnsi="宋体"/>
          <w:sz w:val="24"/>
        </w:rPr>
        <w:t>、发包人的有关指示、会议纪要。</w:t>
      </w:r>
    </w:p>
    <w:p>
      <w:pPr>
        <w:spacing w:line="360" w:lineRule="auto"/>
        <w:ind w:firstLine="480" w:firstLineChars="200"/>
        <w:rPr>
          <w:rFonts w:ascii="宋体" w:hAnsi="宋体"/>
          <w:sz w:val="24"/>
        </w:rPr>
      </w:pPr>
      <w:r>
        <w:rPr>
          <w:rFonts w:hint="eastAsia" w:ascii="宋体" w:hAnsi="宋体"/>
          <w:sz w:val="24"/>
        </w:rPr>
        <w:t>1.3　咨询单位对咨询过程中的有关资料要予以保密，有关资料不得提供给与工作无关的人员，更不得将咨询成果向其他单位提供。</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咨询单位应按照</w:t>
      </w:r>
      <w:r>
        <w:rPr>
          <w:rFonts w:hint="eastAsia" w:ascii="宋体" w:hAnsi="宋体"/>
          <w:sz w:val="24"/>
        </w:rPr>
        <w:t>交通运输部、广东</w:t>
      </w:r>
      <w:r>
        <w:rPr>
          <w:rFonts w:ascii="宋体" w:hAnsi="宋体"/>
          <w:sz w:val="24"/>
        </w:rPr>
        <w:t>省关于绿色</w:t>
      </w:r>
      <w:r>
        <w:rPr>
          <w:rFonts w:hint="eastAsia" w:ascii="宋体" w:hAnsi="宋体"/>
          <w:sz w:val="24"/>
        </w:rPr>
        <w:t>港口、</w:t>
      </w:r>
      <w:r>
        <w:rPr>
          <w:rFonts w:ascii="宋体" w:hAnsi="宋体"/>
          <w:sz w:val="24"/>
        </w:rPr>
        <w:t>品质工程</w:t>
      </w:r>
      <w:r>
        <w:rPr>
          <w:rFonts w:hint="eastAsia" w:ascii="宋体" w:hAnsi="宋体"/>
          <w:sz w:val="24"/>
        </w:rPr>
        <w:t>的</w:t>
      </w:r>
      <w:r>
        <w:rPr>
          <w:rFonts w:ascii="宋体" w:hAnsi="宋体"/>
          <w:sz w:val="24"/>
        </w:rPr>
        <w:t>相关要求开展设计咨询审查工作。</w:t>
      </w:r>
    </w:p>
    <w:p>
      <w:pPr>
        <w:keepNext/>
        <w:keepLines/>
        <w:spacing w:before="260" w:after="260" w:line="416" w:lineRule="auto"/>
        <w:jc w:val="center"/>
        <w:outlineLvl w:val="1"/>
        <w:rPr>
          <w:rFonts w:ascii="宋体" w:hAnsi="宋体"/>
          <w:sz w:val="24"/>
        </w:rPr>
      </w:pPr>
      <w:bookmarkStart w:id="712" w:name="_Toc421963339"/>
      <w:bookmarkStart w:id="713" w:name="_Toc508984356"/>
      <w:r>
        <w:rPr>
          <w:rFonts w:hint="eastAsia" w:ascii="宋体" w:hAnsi="宋体"/>
          <w:sz w:val="24"/>
        </w:rPr>
        <w:t>第二条　工作程序和任务</w:t>
      </w:r>
      <w:bookmarkEnd w:id="712"/>
      <w:bookmarkEnd w:id="713"/>
    </w:p>
    <w:p>
      <w:pPr>
        <w:spacing w:line="360" w:lineRule="auto"/>
        <w:ind w:firstLine="480" w:firstLineChars="200"/>
        <w:rPr>
          <w:rFonts w:ascii="宋体" w:hAnsi="宋体"/>
          <w:sz w:val="24"/>
        </w:rPr>
      </w:pPr>
      <w:r>
        <w:rPr>
          <w:rFonts w:hint="eastAsia" w:ascii="宋体" w:hAnsi="宋体"/>
          <w:sz w:val="24"/>
        </w:rPr>
        <w:t>2.1勘察设计咨询工作按以下阶段进行：</w:t>
      </w:r>
      <w:r>
        <w:rPr>
          <w:rFonts w:hint="eastAsia" w:ascii="宋体" w:hAnsi="宋体"/>
          <w:sz w:val="24"/>
          <w:u w:val="single"/>
        </w:rPr>
        <w:t>初勘初测阶段、初步设计阶段、技术设计阶段（若有）、详勘定测阶段、施工图设计阶段</w:t>
      </w:r>
      <w:r>
        <w:rPr>
          <w:rFonts w:hint="eastAsia" w:ascii="宋体" w:hAnsi="宋体"/>
          <w:sz w:val="24"/>
        </w:rPr>
        <w:t>，咨询单位按发包人要求分阶段提交书面咨询报告。</w:t>
      </w:r>
    </w:p>
    <w:p>
      <w:pPr>
        <w:spacing w:line="360" w:lineRule="auto"/>
        <w:ind w:firstLine="480" w:firstLineChars="200"/>
        <w:rPr>
          <w:rFonts w:ascii="宋体" w:hAnsi="宋体"/>
          <w:sz w:val="24"/>
        </w:rPr>
      </w:pPr>
      <w:r>
        <w:rPr>
          <w:rFonts w:hint="eastAsia" w:ascii="宋体" w:hAnsi="宋体"/>
          <w:sz w:val="24"/>
        </w:rPr>
        <w:t>2.2初勘初测及初步</w:t>
      </w:r>
      <w:r>
        <w:rPr>
          <w:rFonts w:ascii="宋体" w:hAnsi="宋体"/>
          <w:sz w:val="24"/>
        </w:rPr>
        <w:t>设计</w:t>
      </w:r>
      <w:r>
        <w:rPr>
          <w:rFonts w:hint="eastAsia" w:ascii="宋体" w:hAnsi="宋体"/>
          <w:sz w:val="24"/>
        </w:rPr>
        <w:t>阶段咨询工作重点：工可批复执行情况，环评、土地、规划选址等专项批复执行情况，总体设计原则，</w:t>
      </w:r>
      <w:r>
        <w:rPr>
          <w:rFonts w:ascii="宋体" w:hAnsi="宋体"/>
          <w:sz w:val="24"/>
        </w:rPr>
        <w:t>建设规模、</w:t>
      </w:r>
      <w:r>
        <w:rPr>
          <w:rFonts w:hint="eastAsia" w:ascii="宋体" w:hAnsi="宋体"/>
          <w:sz w:val="24"/>
        </w:rPr>
        <w:t>技术</w:t>
      </w:r>
      <w:r>
        <w:rPr>
          <w:rFonts w:ascii="宋体" w:hAnsi="宋体"/>
          <w:sz w:val="24"/>
        </w:rPr>
        <w:t>标准、</w:t>
      </w:r>
      <w:r>
        <w:rPr>
          <w:rFonts w:hint="eastAsia" w:ascii="宋体" w:hAnsi="宋体"/>
          <w:sz w:val="24"/>
        </w:rPr>
        <w:t>安全性总体设计、设计方案、工程测量、地勘工作、</w:t>
      </w:r>
      <w:r>
        <w:rPr>
          <w:rFonts w:ascii="宋体" w:hAnsi="宋体"/>
          <w:sz w:val="24"/>
        </w:rPr>
        <w:t>设计概算</w:t>
      </w:r>
      <w:r>
        <w:rPr>
          <w:rFonts w:hint="eastAsia" w:ascii="宋体" w:hAnsi="宋体"/>
          <w:sz w:val="24"/>
        </w:rPr>
        <w:t>、土地指标</w:t>
      </w:r>
      <w:r>
        <w:rPr>
          <w:rFonts w:ascii="宋体" w:hAnsi="宋体"/>
          <w:sz w:val="24"/>
        </w:rPr>
        <w:t>及涉及</w:t>
      </w:r>
      <w:r>
        <w:rPr>
          <w:rFonts w:hint="eastAsia" w:ascii="宋体" w:hAnsi="宋体"/>
          <w:sz w:val="24"/>
        </w:rPr>
        <w:t>其他</w:t>
      </w:r>
      <w:r>
        <w:rPr>
          <w:rFonts w:ascii="宋体" w:hAnsi="宋体"/>
          <w:sz w:val="24"/>
        </w:rPr>
        <w:t>公众利益和公共安全的重大</w:t>
      </w:r>
      <w:r>
        <w:rPr>
          <w:rFonts w:hint="eastAsia" w:ascii="宋体" w:hAnsi="宋体"/>
          <w:sz w:val="24"/>
        </w:rPr>
        <w:t>敏感</w:t>
      </w:r>
      <w:r>
        <w:rPr>
          <w:rFonts w:ascii="宋体" w:hAnsi="宋体"/>
          <w:sz w:val="24"/>
        </w:rPr>
        <w:t>问题。</w:t>
      </w:r>
    </w:p>
    <w:p>
      <w:pPr>
        <w:spacing w:line="360" w:lineRule="auto"/>
        <w:ind w:firstLine="480" w:firstLineChars="200"/>
        <w:rPr>
          <w:rFonts w:ascii="宋体" w:hAnsi="宋体"/>
          <w:sz w:val="24"/>
        </w:rPr>
      </w:pPr>
      <w:r>
        <w:rPr>
          <w:rFonts w:hint="eastAsia" w:ascii="宋体" w:hAnsi="宋体"/>
          <w:sz w:val="24"/>
        </w:rPr>
        <w:t>2.3详勘定测及施工图设计阶段工作重点：初步设计批复执行情况，安全性总体设计的落实情况，施工图设计阶段勘察及各专业细部设计，结构安全、运营安全验算，施工组织设计；安全保障措施，预算控制。</w:t>
      </w:r>
    </w:p>
    <w:p>
      <w:pPr>
        <w:spacing w:line="360" w:lineRule="auto"/>
        <w:ind w:firstLine="480" w:firstLineChars="200"/>
        <w:rPr>
          <w:rFonts w:ascii="宋体" w:hAnsi="宋体"/>
          <w:sz w:val="24"/>
        </w:rPr>
      </w:pPr>
      <w:r>
        <w:rPr>
          <w:rFonts w:hint="eastAsia" w:ascii="宋体" w:hAnsi="宋体"/>
          <w:sz w:val="24"/>
        </w:rPr>
        <w:t>2.4咨询工作应客观、真实反映设计文件存在的主要问题和缺陷。咨询审查过程中，相关各方要加强沟通、交流，增强互动，及时将发现的重大问题反馈至业主和设计单位。业主应对咨询工作给予积极配合，督促设计单位及时提供相关资料，以免占用咨询单位时间。复杂技术问题必要时可选择第三方进行咨询。</w:t>
      </w:r>
    </w:p>
    <w:p>
      <w:pPr>
        <w:keepNext/>
        <w:keepLines/>
        <w:spacing w:before="260" w:after="260" w:line="416" w:lineRule="auto"/>
        <w:jc w:val="center"/>
        <w:outlineLvl w:val="1"/>
        <w:rPr>
          <w:rFonts w:ascii="宋体" w:hAnsi="宋体"/>
          <w:sz w:val="24"/>
        </w:rPr>
      </w:pPr>
      <w:bookmarkStart w:id="714" w:name="_Toc421963340"/>
      <w:bookmarkStart w:id="715" w:name="_Toc508984357"/>
      <w:r>
        <w:rPr>
          <w:rFonts w:hint="eastAsia" w:ascii="宋体" w:hAnsi="宋体"/>
          <w:sz w:val="24"/>
        </w:rPr>
        <w:t>第三条　初勘初测及初步设计咨询工作要点</w:t>
      </w:r>
      <w:bookmarkEnd w:id="714"/>
      <w:bookmarkEnd w:id="715"/>
    </w:p>
    <w:p>
      <w:pPr>
        <w:spacing w:line="360" w:lineRule="auto"/>
        <w:ind w:firstLine="480" w:firstLineChars="200"/>
        <w:rPr>
          <w:rFonts w:ascii="宋体" w:hAnsi="宋体"/>
          <w:sz w:val="24"/>
        </w:rPr>
      </w:pPr>
      <w:r>
        <w:rPr>
          <w:rFonts w:hint="eastAsia" w:ascii="宋体" w:hAnsi="宋体"/>
          <w:sz w:val="24"/>
        </w:rPr>
        <w:t>3.1初勘初测及初步设计咨询应着重围绕以下要点进行咨询审查：</w:t>
      </w:r>
    </w:p>
    <w:p>
      <w:pPr>
        <w:spacing w:line="360" w:lineRule="auto"/>
        <w:ind w:firstLine="480" w:firstLineChars="200"/>
        <w:rPr>
          <w:rFonts w:ascii="宋体" w:hAnsi="宋体"/>
          <w:sz w:val="24"/>
        </w:rPr>
      </w:pPr>
      <w:r>
        <w:rPr>
          <w:rFonts w:hint="eastAsia" w:ascii="宋体" w:hAnsi="宋体"/>
          <w:sz w:val="24"/>
        </w:rPr>
        <w:t>（1）审查</w:t>
      </w:r>
      <w:r>
        <w:rPr>
          <w:rFonts w:ascii="宋体" w:hAnsi="宋体"/>
          <w:sz w:val="24"/>
        </w:rPr>
        <w:t>设计文件执行</w:t>
      </w:r>
      <w:r>
        <w:rPr>
          <w:rFonts w:hint="eastAsia" w:ascii="宋体" w:hAnsi="宋体"/>
          <w:sz w:val="24"/>
        </w:rPr>
        <w:t>工可</w:t>
      </w:r>
      <w:r>
        <w:rPr>
          <w:rFonts w:ascii="宋体" w:hAnsi="宋体"/>
          <w:sz w:val="24"/>
        </w:rPr>
        <w:t>批复的情况</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（2）审查设计文件</w:t>
      </w:r>
      <w:r>
        <w:rPr>
          <w:rFonts w:ascii="宋体" w:hAnsi="宋体"/>
          <w:sz w:val="24"/>
        </w:rPr>
        <w:t>组成和内容</w:t>
      </w:r>
      <w:r>
        <w:rPr>
          <w:rFonts w:hint="eastAsia" w:ascii="宋体" w:hAnsi="宋体"/>
          <w:sz w:val="24"/>
        </w:rPr>
        <w:t>是否</w:t>
      </w:r>
      <w:r>
        <w:rPr>
          <w:rFonts w:ascii="宋体" w:hAnsi="宋体"/>
          <w:sz w:val="24"/>
        </w:rPr>
        <w:t>符合</w:t>
      </w:r>
      <w:r>
        <w:rPr>
          <w:rFonts w:hint="eastAsia" w:ascii="宋体" w:hAnsi="宋体"/>
          <w:sz w:val="24"/>
        </w:rPr>
        <w:t>国家和行业现有的有关技术标准及规范</w:t>
      </w:r>
      <w:r>
        <w:rPr>
          <w:rFonts w:ascii="宋体" w:hAnsi="宋体"/>
          <w:sz w:val="24"/>
        </w:rPr>
        <w:t>要求</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设计方案比较内容</w:t>
      </w:r>
      <w:r>
        <w:rPr>
          <w:rFonts w:hint="eastAsia" w:ascii="宋体" w:hAnsi="宋体"/>
          <w:sz w:val="24"/>
        </w:rPr>
        <w:t>和比较</w:t>
      </w:r>
      <w:r>
        <w:rPr>
          <w:rFonts w:ascii="宋体" w:hAnsi="宋体"/>
          <w:sz w:val="24"/>
        </w:rPr>
        <w:t>深度的客观性、科学性和合理性，设计方案所采用的地质、水文、地形等基础资料的</w:t>
      </w:r>
      <w:r>
        <w:rPr>
          <w:rFonts w:hint="eastAsia" w:ascii="宋体" w:hAnsi="宋体"/>
          <w:sz w:val="24"/>
        </w:rPr>
        <w:t>搜集是否</w:t>
      </w:r>
      <w:r>
        <w:rPr>
          <w:rFonts w:ascii="宋体" w:hAnsi="宋体"/>
          <w:sz w:val="24"/>
        </w:rPr>
        <w:t>完整、</w:t>
      </w:r>
      <w:r>
        <w:rPr>
          <w:rFonts w:hint="eastAsia" w:ascii="宋体" w:hAnsi="宋体"/>
          <w:sz w:val="24"/>
        </w:rPr>
        <w:t>详实、</w:t>
      </w:r>
      <w:r>
        <w:rPr>
          <w:rFonts w:ascii="宋体" w:hAnsi="宋体"/>
          <w:sz w:val="24"/>
        </w:rPr>
        <w:t>可靠</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（4）设计文件所体现的安全可靠性、经济合理性、技术先进性和施工操作性。审查设计和勘察测量深度是否达到规定要求，施工组织设计是否与现场情况一致，是否达到概预算编制深度要求；</w:t>
      </w:r>
    </w:p>
    <w:p>
      <w:pPr>
        <w:spacing w:line="360" w:lineRule="auto"/>
        <w:ind w:firstLine="480" w:firstLineChars="200"/>
        <w:rPr>
          <w:rFonts w:ascii="宋体" w:hAnsi="宋体"/>
          <w:sz w:val="24"/>
        </w:rPr>
      </w:pPr>
      <w:r>
        <w:rPr>
          <w:rFonts w:hint="eastAsia" w:ascii="宋体" w:hAnsi="宋体"/>
          <w:sz w:val="24"/>
        </w:rPr>
        <w:t>（5）土地指标是否满足国土资源部门的有关规定，概算是否控制在工可批复（核准）的估算范围内；</w:t>
      </w:r>
    </w:p>
    <w:p>
      <w:pPr>
        <w:spacing w:line="360" w:lineRule="auto"/>
        <w:ind w:firstLine="480" w:firstLineChars="200"/>
        <w:rPr>
          <w:rFonts w:ascii="宋体" w:hAnsi="宋体"/>
          <w:sz w:val="24"/>
        </w:rPr>
      </w:pPr>
      <w:r>
        <w:rPr>
          <w:rFonts w:hint="eastAsia" w:ascii="宋体" w:hAnsi="宋体"/>
          <w:sz w:val="24"/>
        </w:rPr>
        <w:t>（6）需要与城市、水利、航道、铁路、公路、电力、电信、石油、矿区、土地、林业等相关部门签订的协议，或对方的同意文件是否齐备；</w:t>
      </w:r>
    </w:p>
    <w:p>
      <w:pPr>
        <w:spacing w:line="360" w:lineRule="auto"/>
        <w:ind w:firstLine="480" w:firstLineChars="200"/>
        <w:rPr>
          <w:rFonts w:ascii="宋体" w:hAnsi="宋体"/>
          <w:sz w:val="24"/>
        </w:rPr>
      </w:pPr>
      <w:r>
        <w:rPr>
          <w:rFonts w:hint="eastAsia" w:ascii="宋体" w:hAnsi="宋体"/>
          <w:sz w:val="24"/>
        </w:rPr>
        <w:t>（7）安全性总体设计是否符合项目实际。</w:t>
      </w:r>
    </w:p>
    <w:p>
      <w:pPr>
        <w:spacing w:line="360" w:lineRule="auto"/>
        <w:ind w:firstLine="480" w:firstLineChars="200"/>
        <w:rPr>
          <w:rFonts w:ascii="宋体" w:hAnsi="宋体"/>
          <w:sz w:val="24"/>
        </w:rPr>
      </w:pPr>
      <w:r>
        <w:rPr>
          <w:rFonts w:hint="eastAsia" w:ascii="宋体" w:hAnsi="宋体"/>
          <w:sz w:val="24"/>
        </w:rPr>
        <w:t>（8）工程地质勘察的内容和深度是否满足设计需要，不良地质调查的完整性及勘察方法的正确性、地质勘察报告的内容和深度是否符合规范、规程要求；</w:t>
      </w:r>
    </w:p>
    <w:p>
      <w:pPr>
        <w:spacing w:line="360" w:lineRule="auto"/>
        <w:ind w:firstLine="480" w:firstLineChars="200"/>
        <w:rPr>
          <w:rFonts w:ascii="宋体" w:hAnsi="宋体"/>
          <w:sz w:val="24"/>
        </w:rPr>
      </w:pPr>
      <w:r>
        <w:rPr>
          <w:rFonts w:hint="eastAsia" w:ascii="宋体" w:hAnsi="宋体"/>
          <w:sz w:val="24"/>
        </w:rPr>
        <w:t>（9）水文分析的调查及计算资料是否完整、准确；</w:t>
      </w:r>
    </w:p>
    <w:p>
      <w:pPr>
        <w:spacing w:line="360" w:lineRule="auto"/>
        <w:ind w:firstLine="480" w:firstLineChars="200"/>
        <w:rPr>
          <w:rFonts w:ascii="宋体" w:hAnsi="宋体"/>
          <w:sz w:val="24"/>
        </w:rPr>
      </w:pPr>
      <w:r>
        <w:rPr>
          <w:rFonts w:hint="eastAsia" w:ascii="宋体" w:hAnsi="宋体"/>
          <w:sz w:val="24"/>
        </w:rPr>
        <w:t>（10）测量方法、手段及精度是否满足规范要求和工程实际需要。</w:t>
      </w:r>
    </w:p>
    <w:p>
      <w:pPr>
        <w:spacing w:line="360" w:lineRule="auto"/>
        <w:ind w:firstLine="480" w:firstLineChars="200"/>
        <w:rPr>
          <w:rFonts w:ascii="宋体" w:hAnsi="宋体"/>
          <w:sz w:val="24"/>
        </w:rPr>
      </w:pPr>
      <w:r>
        <w:rPr>
          <w:rFonts w:hint="eastAsia" w:ascii="宋体" w:hAnsi="宋体"/>
          <w:sz w:val="24"/>
        </w:rPr>
        <w:t>（11）审查总体设计、总平面设计、各单位工程及设备购置等内容的合理性、可行性及经济性；</w:t>
      </w:r>
    </w:p>
    <w:p>
      <w:pPr>
        <w:spacing w:line="360" w:lineRule="auto"/>
        <w:ind w:firstLine="480" w:firstLineChars="200"/>
        <w:rPr>
          <w:rFonts w:ascii="宋体" w:hAnsi="宋体"/>
          <w:sz w:val="24"/>
        </w:rPr>
      </w:pPr>
      <w:r>
        <w:rPr>
          <w:rFonts w:hint="eastAsia" w:ascii="宋体" w:hAnsi="宋体"/>
          <w:sz w:val="24"/>
        </w:rPr>
        <w:t>（12）核查工程主体结构、地基基础、金属结构等设计的合理性、安全性、稳定性、 耐久性、经济性、可施工性；对结构设计方案和结构计算书进行审核，核查其设计可靠性和施工受力状况，确保安全；核查生产、生活建筑物等配套工程的完整性和合理性；对设计图纸进行逐页审核签署；</w:t>
      </w:r>
    </w:p>
    <w:p>
      <w:pPr>
        <w:spacing w:line="360" w:lineRule="auto"/>
        <w:ind w:firstLine="480"/>
        <w:rPr>
          <w:rFonts w:ascii="宋体" w:hAnsi="宋体"/>
          <w:sz w:val="24"/>
        </w:rPr>
      </w:pPr>
      <w:r>
        <w:rPr>
          <w:rFonts w:hint="eastAsia" w:ascii="宋体" w:hAnsi="宋体"/>
          <w:sz w:val="24"/>
        </w:rPr>
        <w:t>（13）审查环境保护、安全、防震、消防、节能等涉及公共利益、公共安全的工程措施与强制性标准的符合性；</w:t>
      </w:r>
    </w:p>
    <w:p>
      <w:pPr>
        <w:spacing w:line="360" w:lineRule="auto"/>
        <w:ind w:firstLine="480"/>
        <w:rPr>
          <w:rFonts w:ascii="宋体" w:hAnsi="宋体"/>
          <w:sz w:val="24"/>
        </w:rPr>
      </w:pPr>
      <w:r>
        <w:rPr>
          <w:rFonts w:hint="eastAsia" w:ascii="宋体" w:hAnsi="宋体"/>
          <w:sz w:val="24"/>
        </w:rPr>
        <w:t>（14）与铁路、公路、管道、电力、通信等设施有干拢的施工方案的可行性，对工期是否有影响；</w:t>
      </w:r>
    </w:p>
    <w:p>
      <w:pPr>
        <w:spacing w:line="360" w:lineRule="auto"/>
        <w:ind w:firstLine="480"/>
        <w:rPr>
          <w:rFonts w:ascii="宋体" w:hAnsi="宋体"/>
          <w:sz w:val="24"/>
        </w:rPr>
      </w:pPr>
      <w:r>
        <w:rPr>
          <w:rFonts w:hint="eastAsia" w:ascii="宋体" w:hAnsi="宋体"/>
          <w:sz w:val="24"/>
        </w:rPr>
        <w:t>提出对初步设计方案、深化设计方案的优化建议；审查初步设计、深化设计文字说明、图纸表述是否清晰、完整、存在错漏缺现象；签章是否符合规定和要求；</w:t>
      </w:r>
    </w:p>
    <w:p>
      <w:pPr>
        <w:spacing w:line="360" w:lineRule="auto"/>
        <w:ind w:firstLine="480" w:firstLineChars="200"/>
        <w:rPr>
          <w:rFonts w:ascii="宋体" w:hAnsi="宋体"/>
          <w:sz w:val="24"/>
          <w:u w:val="single"/>
        </w:rPr>
      </w:pPr>
      <w:r>
        <w:rPr>
          <w:rFonts w:hint="eastAsia" w:ascii="宋体" w:hAnsi="宋体"/>
          <w:sz w:val="24"/>
          <w:u w:val="single"/>
        </w:rPr>
        <w:t>（15）审查经济评价、工程概算的编制依据和方法的合理性，核查主要工程数量， 检查单位或单项工程概算指标是否合理；</w:t>
      </w:r>
    </w:p>
    <w:p>
      <w:pPr>
        <w:spacing w:line="360" w:lineRule="auto"/>
        <w:ind w:firstLine="480" w:firstLineChars="200"/>
        <w:rPr>
          <w:rFonts w:ascii="宋体" w:hAnsi="宋体"/>
          <w:sz w:val="24"/>
          <w:u w:val="single"/>
        </w:rPr>
      </w:pPr>
      <w:r>
        <w:rPr>
          <w:rFonts w:hint="eastAsia" w:ascii="宋体" w:hAnsi="宋体"/>
          <w:sz w:val="24"/>
          <w:u w:val="single"/>
        </w:rPr>
        <w:t>（12）对设计人的专题研究进行审查咨询并提出相关意见，参与对专题研究成果的验收等；</w:t>
      </w:r>
    </w:p>
    <w:p>
      <w:pPr>
        <w:spacing w:line="360" w:lineRule="auto"/>
        <w:ind w:firstLine="480" w:firstLineChars="200"/>
        <w:rPr>
          <w:rFonts w:ascii="宋体" w:hAnsi="宋体"/>
          <w:sz w:val="24"/>
        </w:rPr>
      </w:pPr>
      <w:r>
        <w:rPr>
          <w:rFonts w:hint="eastAsia" w:ascii="宋体" w:hAnsi="宋体"/>
          <w:sz w:val="24"/>
        </w:rPr>
        <w:t>（16）国家、省、市建设主管部门规定的必须审查的其他审查内容；</w:t>
      </w:r>
    </w:p>
    <w:p>
      <w:pPr>
        <w:spacing w:line="360" w:lineRule="auto"/>
        <w:ind w:firstLine="480" w:firstLineChars="200"/>
        <w:rPr>
          <w:rFonts w:ascii="宋体" w:hAnsi="宋体"/>
          <w:sz w:val="24"/>
        </w:rPr>
      </w:pPr>
      <w:r>
        <w:rPr>
          <w:rFonts w:hint="eastAsia" w:ascii="宋体" w:hAnsi="宋体"/>
          <w:sz w:val="24"/>
        </w:rPr>
        <w:t>（17）对设计人提交的初步设计、深化设计成果文件出具符合要求的技术审查咨询报告；</w:t>
      </w:r>
    </w:p>
    <w:p>
      <w:pPr>
        <w:spacing w:line="360" w:lineRule="auto"/>
        <w:ind w:firstLine="480" w:firstLineChars="200"/>
        <w:rPr>
          <w:rFonts w:ascii="宋体" w:hAnsi="宋体"/>
          <w:sz w:val="24"/>
        </w:rPr>
      </w:pPr>
      <w:r>
        <w:rPr>
          <w:rFonts w:hint="eastAsia" w:ascii="宋体" w:hAnsi="宋体"/>
          <w:sz w:val="24"/>
          <w:u w:val="single"/>
        </w:rPr>
        <w:t>（18）发包人要求审查的其他内容。</w:t>
      </w:r>
    </w:p>
    <w:p>
      <w:pPr>
        <w:keepNext/>
        <w:keepLines/>
        <w:spacing w:before="260" w:after="260" w:line="416" w:lineRule="auto"/>
        <w:jc w:val="center"/>
        <w:outlineLvl w:val="1"/>
        <w:rPr>
          <w:rFonts w:ascii="宋体" w:hAnsi="宋体"/>
          <w:sz w:val="24"/>
        </w:rPr>
      </w:pPr>
      <w:bookmarkStart w:id="716" w:name="_Toc508984358"/>
      <w:bookmarkStart w:id="717" w:name="_Toc421963341"/>
      <w:r>
        <w:rPr>
          <w:rFonts w:hint="eastAsia" w:ascii="宋体" w:hAnsi="宋体"/>
          <w:sz w:val="24"/>
        </w:rPr>
        <w:t>第四条　 详勘定测及施工图设计阶段咨询工作要点</w:t>
      </w:r>
      <w:bookmarkEnd w:id="716"/>
      <w:bookmarkEnd w:id="717"/>
    </w:p>
    <w:p>
      <w:pPr>
        <w:spacing w:line="360" w:lineRule="auto"/>
        <w:ind w:firstLine="480" w:firstLineChars="200"/>
        <w:rPr>
          <w:rFonts w:ascii="宋体" w:hAnsi="宋体"/>
          <w:sz w:val="24"/>
        </w:rPr>
      </w:pPr>
      <w:r>
        <w:rPr>
          <w:rFonts w:hint="eastAsia" w:ascii="宋体" w:hAnsi="宋体"/>
          <w:sz w:val="24"/>
        </w:rPr>
        <w:t>4.1　详勘定测及施工图设计阶段，咨询审查主要围绕以下要点进行：</w:t>
      </w:r>
    </w:p>
    <w:p>
      <w:pPr>
        <w:spacing w:line="360" w:lineRule="auto"/>
        <w:ind w:firstLine="480" w:firstLineChars="200"/>
        <w:rPr>
          <w:rFonts w:ascii="宋体" w:hAnsi="宋体"/>
          <w:sz w:val="24"/>
        </w:rPr>
      </w:pPr>
      <w:r>
        <w:rPr>
          <w:rFonts w:hint="eastAsia" w:ascii="宋体" w:hAnsi="宋体"/>
          <w:sz w:val="24"/>
        </w:rPr>
        <w:t>（1）审查初步设计批复执行情况；</w:t>
      </w:r>
    </w:p>
    <w:p>
      <w:pPr>
        <w:spacing w:line="360" w:lineRule="auto"/>
        <w:ind w:firstLine="480" w:firstLineChars="200"/>
        <w:rPr>
          <w:rFonts w:ascii="宋体" w:hAnsi="宋体"/>
          <w:sz w:val="24"/>
        </w:rPr>
      </w:pPr>
      <w:r>
        <w:rPr>
          <w:rFonts w:hint="eastAsia" w:ascii="宋体" w:hAnsi="宋体"/>
          <w:sz w:val="24"/>
        </w:rPr>
        <w:t>（2）审查设计文件</w:t>
      </w:r>
      <w:r>
        <w:rPr>
          <w:rFonts w:ascii="宋体" w:hAnsi="宋体"/>
          <w:sz w:val="24"/>
        </w:rPr>
        <w:t>组成和内容</w:t>
      </w:r>
      <w:r>
        <w:rPr>
          <w:rFonts w:hint="eastAsia" w:ascii="宋体" w:hAnsi="宋体"/>
          <w:sz w:val="24"/>
        </w:rPr>
        <w:t>是否</w:t>
      </w:r>
      <w:r>
        <w:rPr>
          <w:rFonts w:ascii="宋体" w:hAnsi="宋体"/>
          <w:sz w:val="24"/>
        </w:rPr>
        <w:t>符合</w:t>
      </w:r>
      <w:r>
        <w:rPr>
          <w:rFonts w:hint="eastAsia" w:ascii="宋体" w:hAnsi="宋体"/>
          <w:sz w:val="24"/>
        </w:rPr>
        <w:t>国家和行业现有的有关技术标准及规范</w:t>
      </w:r>
      <w:r>
        <w:rPr>
          <w:rFonts w:ascii="宋体" w:hAnsi="宋体"/>
          <w:sz w:val="24"/>
        </w:rPr>
        <w:t>要求</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（3）详勘定测是否达到设计要求，各专业细部设计是否符合有关标准、规范要求；结构安全、运营安全验算是否符合要求；</w:t>
      </w:r>
    </w:p>
    <w:p>
      <w:pPr>
        <w:spacing w:line="360" w:lineRule="auto"/>
        <w:ind w:firstLine="480" w:firstLineChars="200"/>
        <w:rPr>
          <w:rFonts w:ascii="宋体" w:hAnsi="宋体"/>
          <w:sz w:val="24"/>
        </w:rPr>
      </w:pPr>
      <w:r>
        <w:rPr>
          <w:rFonts w:hint="eastAsia" w:ascii="宋体" w:hAnsi="宋体"/>
          <w:sz w:val="24"/>
        </w:rPr>
        <w:t>（4）测设方法、地质勘察等基础性工作及基础资料是否满足施工图设计要求；</w:t>
      </w:r>
    </w:p>
    <w:p>
      <w:pPr>
        <w:spacing w:line="360" w:lineRule="auto"/>
        <w:ind w:firstLine="480" w:firstLineChars="200"/>
        <w:rPr>
          <w:rFonts w:ascii="宋体" w:hAnsi="宋体"/>
          <w:sz w:val="24"/>
        </w:rPr>
      </w:pPr>
      <w:r>
        <w:rPr>
          <w:rFonts w:hint="eastAsia" w:ascii="宋体" w:hAnsi="宋体"/>
          <w:sz w:val="24"/>
        </w:rPr>
        <w:t>（5）审查总体设计、总平面设计、各单位工程及设备购置等内容的合理性、可行性及经济性；</w:t>
      </w:r>
    </w:p>
    <w:p>
      <w:pPr>
        <w:spacing w:line="360" w:lineRule="auto"/>
        <w:ind w:firstLine="480" w:firstLineChars="200"/>
        <w:rPr>
          <w:rFonts w:ascii="宋体" w:hAnsi="宋体"/>
          <w:sz w:val="24"/>
        </w:rPr>
      </w:pPr>
      <w:r>
        <w:rPr>
          <w:rFonts w:hint="eastAsia" w:ascii="宋体" w:hAnsi="宋体"/>
          <w:sz w:val="24"/>
        </w:rPr>
        <w:t>（6）核查工程主体结构、地基基础、金属结构等设计的合理性、安全性、稳定性、 耐久性、经济性、可施工性；对结构设计方案和结构计算书进行审核，核查其设计可靠性和施工受力状况，确保安全；核查生产、生活建筑物等配套工程的完整性和合理性；对设计图纸进行逐页审核签署；</w:t>
      </w:r>
    </w:p>
    <w:p>
      <w:pPr>
        <w:spacing w:line="360" w:lineRule="auto"/>
        <w:ind w:firstLine="480"/>
        <w:rPr>
          <w:rFonts w:ascii="宋体" w:hAnsi="宋体"/>
          <w:sz w:val="24"/>
        </w:rPr>
      </w:pPr>
      <w:r>
        <w:rPr>
          <w:rFonts w:hint="eastAsia" w:ascii="宋体" w:hAnsi="宋体"/>
          <w:sz w:val="24"/>
        </w:rPr>
        <w:t>（7）审查环境保护、安全、防震、消防、节能等涉及公共利益、公共安全的工程措施与强制性标准的符合性；</w:t>
      </w:r>
    </w:p>
    <w:p>
      <w:pPr>
        <w:spacing w:line="360" w:lineRule="auto"/>
        <w:ind w:firstLine="480"/>
        <w:rPr>
          <w:rFonts w:ascii="宋体" w:hAnsi="宋体"/>
          <w:sz w:val="24"/>
        </w:rPr>
      </w:pPr>
      <w:r>
        <w:rPr>
          <w:rFonts w:hint="eastAsia" w:ascii="宋体" w:hAnsi="宋体"/>
          <w:sz w:val="24"/>
        </w:rPr>
        <w:t>（8）施工组织设计、施工工期安排等是否合理，质量保证措施、安全保障措施是否满足要求；</w:t>
      </w:r>
    </w:p>
    <w:p>
      <w:pPr>
        <w:spacing w:line="360" w:lineRule="auto"/>
        <w:ind w:firstLine="480"/>
        <w:rPr>
          <w:rFonts w:ascii="宋体" w:hAnsi="宋体"/>
          <w:sz w:val="24"/>
        </w:rPr>
      </w:pPr>
      <w:r>
        <w:rPr>
          <w:rFonts w:hint="eastAsia" w:ascii="宋体" w:hAnsi="宋体"/>
          <w:sz w:val="24"/>
        </w:rPr>
        <w:t>（9）详细复查各部尺寸、参数和工程数量以及各专业之间的相互衔接;</w:t>
      </w:r>
    </w:p>
    <w:p>
      <w:pPr>
        <w:spacing w:line="360" w:lineRule="auto"/>
        <w:ind w:firstLine="480" w:firstLineChars="200"/>
        <w:rPr>
          <w:rFonts w:ascii="宋体" w:hAnsi="宋体"/>
          <w:sz w:val="24"/>
        </w:rPr>
      </w:pPr>
      <w:r>
        <w:rPr>
          <w:rFonts w:hint="eastAsia" w:ascii="宋体" w:hAnsi="宋体"/>
          <w:sz w:val="24"/>
        </w:rPr>
        <w:t>（10）与铁路、公路、管道、电力、通信等设施有干拢的施工方案的可行性，对工期是否有影响；</w:t>
      </w:r>
    </w:p>
    <w:p>
      <w:pPr>
        <w:spacing w:line="360" w:lineRule="auto"/>
        <w:ind w:firstLine="480" w:firstLineChars="200"/>
        <w:rPr>
          <w:rFonts w:ascii="宋体" w:hAnsi="宋体"/>
          <w:sz w:val="24"/>
          <w:u w:val="single"/>
        </w:rPr>
      </w:pPr>
      <w:r>
        <w:rPr>
          <w:rFonts w:hint="eastAsia" w:ascii="宋体" w:hAnsi="宋体"/>
          <w:sz w:val="24"/>
          <w:u w:val="single"/>
        </w:rPr>
        <w:t>（11）施工图预算编制是否合理，是否存在遗漏，是否控制在批复概算范围内，核查主要工程量，检查主要单位工程施工图预算指标是否合理；</w:t>
      </w:r>
    </w:p>
    <w:p>
      <w:pPr>
        <w:spacing w:line="360" w:lineRule="auto"/>
        <w:ind w:firstLine="480" w:firstLineChars="200"/>
        <w:rPr>
          <w:rFonts w:ascii="宋体" w:hAnsi="宋体"/>
          <w:sz w:val="24"/>
          <w:u w:val="single"/>
        </w:rPr>
      </w:pPr>
      <w:r>
        <w:rPr>
          <w:rFonts w:hint="eastAsia" w:ascii="宋体" w:hAnsi="宋体"/>
          <w:sz w:val="24"/>
          <w:u w:val="single"/>
        </w:rPr>
        <w:t>（12）对设计人的专题研究进行审查咨询并提出相关意见，参与对专题研究成果的验收等；</w:t>
      </w:r>
    </w:p>
    <w:p>
      <w:pPr>
        <w:spacing w:line="360" w:lineRule="auto"/>
        <w:ind w:firstLine="480" w:firstLineChars="200"/>
        <w:rPr>
          <w:rFonts w:ascii="宋体" w:hAnsi="宋体"/>
          <w:sz w:val="24"/>
        </w:rPr>
      </w:pPr>
      <w:r>
        <w:rPr>
          <w:rFonts w:hint="eastAsia" w:ascii="宋体" w:hAnsi="宋体"/>
          <w:sz w:val="24"/>
        </w:rPr>
        <w:t>（13）国家、省、市建设主管部门规定的必须审查的其他审查内容；</w:t>
      </w:r>
    </w:p>
    <w:p>
      <w:pPr>
        <w:spacing w:line="360" w:lineRule="auto"/>
        <w:ind w:firstLine="480" w:firstLineChars="200"/>
        <w:rPr>
          <w:rFonts w:ascii="宋体" w:hAnsi="宋体"/>
          <w:sz w:val="24"/>
        </w:rPr>
      </w:pPr>
      <w:r>
        <w:rPr>
          <w:rFonts w:hint="eastAsia" w:ascii="宋体" w:hAnsi="宋体"/>
          <w:sz w:val="24"/>
        </w:rPr>
        <w:t>（14）对设计人提交的施工图设计出具符合要求的技术审查咨询报告；</w:t>
      </w:r>
    </w:p>
    <w:p>
      <w:pPr>
        <w:spacing w:line="360" w:lineRule="auto"/>
        <w:ind w:firstLine="480" w:firstLineChars="200"/>
        <w:rPr>
          <w:sz w:val="24"/>
          <w:u w:val="single"/>
        </w:rPr>
      </w:pPr>
      <w:r>
        <w:rPr>
          <w:rFonts w:hint="eastAsia" w:ascii="宋体" w:hAnsi="宋体"/>
          <w:sz w:val="24"/>
          <w:u w:val="single"/>
        </w:rPr>
        <w:t>（15）发包人要求审查的其他内容。</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rFonts w:ascii="黑体" w:hAnsi="黑体" w:eastAsia="黑体"/>
          <w:b/>
          <w:sz w:val="24"/>
        </w:rPr>
      </w:pPr>
      <w:bookmarkStart w:id="718" w:name="_Toc482188638"/>
      <w:bookmarkStart w:id="719" w:name="_Toc492300514"/>
      <w:r>
        <w:rPr>
          <w:rFonts w:ascii="黑体" w:hAnsi="黑体" w:eastAsia="黑体"/>
          <w:b/>
          <w:sz w:val="24"/>
        </w:rPr>
        <w:t>二、适用规范标准</w:t>
      </w:r>
      <w:bookmarkEnd w:id="718"/>
      <w:bookmarkEnd w:id="7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本工程的勘察设计咨询过程和成果必须符合国家有关工程建设标准强制性条文和交通运输部关于</w:t>
      </w:r>
      <w:r>
        <w:rPr>
          <w:rFonts w:hint="eastAsia"/>
          <w:sz w:val="24"/>
        </w:rPr>
        <w:t>水运</w:t>
      </w:r>
      <w:r>
        <w:rPr>
          <w:sz w:val="24"/>
        </w:rPr>
        <w:t>勘察设计咨询方面现行的标准、规范、规程、定额、办法、示例以及招标项目所在地关于</w:t>
      </w:r>
      <w:r>
        <w:rPr>
          <w:rFonts w:hint="eastAsia"/>
          <w:sz w:val="24"/>
        </w:rPr>
        <w:t>水运</w:t>
      </w:r>
      <w:r>
        <w:rPr>
          <w:sz w:val="24"/>
        </w:rPr>
        <w:t>工程勘察设计咨询方面的文件、规定。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咨询单位在勘察设计咨询工作中使用或参考上述标准、规范以外的技术标准、规范时，应征得</w:t>
      </w:r>
      <w:r>
        <w:rPr>
          <w:rFonts w:hint="eastAsia"/>
          <w:sz w:val="24"/>
        </w:rPr>
        <w:t>发包人</w:t>
      </w:r>
      <w:r>
        <w:rPr>
          <w:sz w:val="24"/>
        </w:rPr>
        <w:t>或</w:t>
      </w:r>
      <w:r>
        <w:rPr>
          <w:rFonts w:hint="eastAsia"/>
          <w:sz w:val="24"/>
        </w:rPr>
        <w:t>发包人</w:t>
      </w:r>
      <w:r>
        <w:rPr>
          <w:sz w:val="24"/>
        </w:rPr>
        <w:t>的指定代表人的同意。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在</w:t>
      </w:r>
      <w:r>
        <w:rPr>
          <w:rFonts w:hint="eastAsia"/>
          <w:sz w:val="24"/>
        </w:rPr>
        <w:t>咨询</w:t>
      </w:r>
      <w:r>
        <w:rPr>
          <w:sz w:val="24"/>
        </w:rPr>
        <w:t>过程中，如果国家或有关部门颁布了新的技术标准或规范，则咨询单位应采用新的标准或规范进行勘察设计咨询。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咨询单位在勘察设计咨询工作中必须使用中华人民共和国《工程建设标准强制性条文》（</w:t>
      </w:r>
      <w:r>
        <w:rPr>
          <w:rFonts w:hint="eastAsia"/>
          <w:sz w:val="24"/>
        </w:rPr>
        <w:t>水运</w:t>
      </w:r>
      <w:r>
        <w:rPr>
          <w:sz w:val="24"/>
        </w:rPr>
        <w:t>工程部分）和下述标准、规范（不限于）：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黑体" w:hAnsi="宋体" w:eastAsia="黑体"/>
          <w:b/>
          <w:sz w:val="24"/>
        </w:rPr>
      </w:pPr>
      <w:bookmarkStart w:id="720" w:name="_Toc492300515"/>
      <w:bookmarkStart w:id="721" w:name="_Toc482188639"/>
      <w:r>
        <w:rPr>
          <w:rFonts w:hint="eastAsia" w:ascii="宋体" w:hAnsi="宋体" w:cs="宋体"/>
          <w:b/>
          <w:sz w:val="24"/>
        </w:rPr>
        <w:t>（一）管 理 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1．港口工程基本术语标准</w:t>
      </w:r>
      <w:r>
        <w:rPr>
          <w:rFonts w:hint="eastAsia" w:ascii="宋体" w:hAnsi="宋体"/>
          <w:sz w:val="24"/>
        </w:rPr>
        <w:t>(GB/T 50186-2013)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2．航道工程基本术语标准</w:t>
      </w:r>
      <w:r>
        <w:rPr>
          <w:rFonts w:hint="eastAsia" w:ascii="宋体" w:hAnsi="宋体"/>
          <w:sz w:val="24"/>
        </w:rPr>
        <w:t>(JTS/T 103-2-2021)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3．港口工程初步设计</w:t>
      </w:r>
      <w:r>
        <w:rPr>
          <w:rFonts w:hint="eastAsia" w:ascii="宋体" w:hAnsi="宋体"/>
          <w:sz w:val="24"/>
        </w:rPr>
        <w:t>文件</w:t>
      </w:r>
      <w:r>
        <w:rPr>
          <w:rFonts w:ascii="宋体" w:hAnsi="宋体"/>
          <w:sz w:val="24"/>
        </w:rPr>
        <w:t>编制规定</w:t>
      </w:r>
      <w:r>
        <w:rPr>
          <w:rFonts w:hint="eastAsia" w:ascii="宋体" w:hAnsi="宋体"/>
          <w:sz w:val="24"/>
        </w:rPr>
        <w:t>（JTS110-4-2008）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宋体"/>
          <w:b/>
          <w:sz w:val="32"/>
          <w:szCs w:val="32"/>
        </w:rPr>
      </w:pPr>
      <w:r>
        <w:rPr>
          <w:rFonts w:ascii="宋体" w:hAnsi="宋体"/>
          <w:sz w:val="24"/>
        </w:rPr>
        <w:t>4．航道工程初步设计</w:t>
      </w:r>
      <w:r>
        <w:rPr>
          <w:rFonts w:hint="eastAsia" w:ascii="宋体" w:hAnsi="宋体"/>
          <w:sz w:val="24"/>
        </w:rPr>
        <w:t>文件</w:t>
      </w:r>
      <w:r>
        <w:rPr>
          <w:rFonts w:ascii="宋体" w:hAnsi="宋体"/>
          <w:sz w:val="24"/>
        </w:rPr>
        <w:t>编制规定</w:t>
      </w:r>
      <w:r>
        <w:rPr>
          <w:rFonts w:hint="eastAsia" w:ascii="宋体" w:hAnsi="宋体"/>
          <w:sz w:val="24"/>
        </w:rPr>
        <w:t>（JTS110-5-2008）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sz w:val="24"/>
        </w:rPr>
      </w:pPr>
      <w:r>
        <w:rPr>
          <w:rFonts w:hint="eastAsia" w:ascii="宋体" w:hAnsi="宋体" w:cs="宋体"/>
          <w:b/>
          <w:sz w:val="24"/>
        </w:rPr>
        <w:t>（二）勘察技术类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1．水运工程测量规范</w:t>
      </w:r>
      <w:r>
        <w:rPr>
          <w:rFonts w:ascii="宋体" w:hAnsi="宋体" w:cs="宋体"/>
          <w:sz w:val="24"/>
        </w:rPr>
        <w:t>(JTS131-2012)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2．</w:t>
      </w:r>
      <w:r>
        <w:rPr>
          <w:rFonts w:hint="eastAsia" w:ascii="宋体" w:hAnsi="宋体"/>
          <w:sz w:val="24"/>
        </w:rPr>
        <w:t>水运工程水文观测规范(JTS132-2015)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水运工程岩土勘察规范(JTS133-2013)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 水运工程岩土勘察报告编制标准（JTS 109-2018）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sz w:val="24"/>
        </w:rPr>
      </w:pPr>
      <w:r>
        <w:rPr>
          <w:rFonts w:hint="eastAsia" w:ascii="宋体" w:hAnsi="宋体" w:cs="宋体"/>
          <w:b/>
          <w:sz w:val="24"/>
        </w:rPr>
        <w:t>（三）设计技术类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cs="宋体"/>
          <w:b/>
          <w:sz w:val="24"/>
        </w:rPr>
        <w:t>第一部分：综合类标准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1</w:t>
      </w:r>
      <w:r>
        <w:rPr>
          <w:rFonts w:hint="eastAsia" w:ascii="宋体" w:hAnsi="宋体"/>
          <w:sz w:val="24"/>
        </w:rPr>
        <w:t>.港口与航道水文规范（JTS 145-2015-2022）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2.水运工程抗震设计规范(JTS 146-2012)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3.水运工程建设项目环境影响评价指南 (JTS/T 105-2021)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4.水运工程环境保护设计规范 (JTS 149-2018)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5.港口与航道工程制图标准(JTS/T 142-1-2019 )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6.防波堤与护岸施工规范(JTS 208-2020 )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7.水运工程爆破技术规范(JTS 204-2008)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8.水运工程土工合成材料应用技术规范(JTS/T 148-2020)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9.水运工程设计通则(JTS 141-2011)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第二部分：地基与基础类标准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1.水运工程地基设计规范（JTS 147-2017）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2.水运工程桩基设计规范（JTS 147-7-2022）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3.水运工程塑料排水板应用技术规程(JTS 206-1-2009)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4.港口工程后张法预应力混凝土长管节管桩设计与施工规程(JTS/T 167-17-2020)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5.水运工程预制高强混凝土薄壁钢管桩设计与施工规程（JTS 167-15-2019）</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第三部分：混凝土类标准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1.水运工程混凝土结构设计规范（JTS151-2011）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2.水运工程混凝土质量控制标准（JTS202-2-2011）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3.水运工程机制砂混凝土应用技术规范（JTS-T 227-2022）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4.水运工程大体积混凝土温度裂缝控制技术规范（JTS-T 202-1-2022）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5.水运工程自密实混凝土技术规范（JTS-T 226-2021）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6.水运工程模袋混凝土应用技术规范（JTS/T 159-2021）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7.水运工程混凝土试验检测技术规范（JTS-T 236-2019）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8.水运工程混凝土结构实体检测技术规程（JTS239-2015）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9.水运工程大体积混凝土温度裂缝控制技术规程（JTS202-1-2010）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10.海港工程高性能混凝土质量控制标准（JTS257-2-2012）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11.海港工程钢筋混凝土结构电化学防腐蚀技术规范（JTS153-2-2012）</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第四部分：港口类标准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1.海港总体设计规范（JTS 165-2013）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2.河港总体设计规范（JTS 166-2020）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3.码头结构设计规范（JTS 167-2018）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4.港口工程荷载规范（JTS 144-1-2010）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5.水运工程质量检验标准（JTS 257-2008）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6.水运工程水工建筑物检测与评估技术规范（JTS 304-2019）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7.装卸油品码头防火设计规范(JTJ 238-1999)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8.水运工程钢结构设计规范 （JTS 152-2012）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9.港口道路与堆场设计规范（JTS 168–2017）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10.码头附属设施技术规范（JTS 169-2017）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11.液化天然气码头设计规范（JTS 165-5-2016）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12.港口工程桩式柔性靠船设施设计与施工技术规程(JTJ 279-2005)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第五部分：航道类标准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1.内河通航标准（GB 50139-2014）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2.渠化工程枢纽总体设计规范（JTS 182-1-2009）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3.航道养护技术规范（JTS/T 320-2021）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4.船闸总体设计规范（JTJ 305-2001）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5.船闸输水系统设计规范（JTJ 306-2001）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6.船闸水工建筑物设计规范（JTJ 307-2001）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7.船闸闸阀门设计规范（JTJ 308-2003）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8.船闸启闭机设计规范（JTJ 309-2005）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9.船闸电气设计规范（JTJ 310-2004）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10.疏浚与吹填工程设计规范（JTS 181-5-2012）</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第六部分：船厂类标准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1.船厂水工工程设计规范（JTS 190-2018）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sz w:val="24"/>
        </w:rPr>
        <w:t>2.干船坞设计规范（CB/T 8524-2011）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第七部分：通信导航类标准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1.内河助航标志（GB 5863-1993）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2.内河助航标志的主要外形尺寸（GB 5864-1993）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3.中国海区水上助航标志（GB 4696-2016）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4.中国海区水上助航标志形状显示规定（GB 16161-1996）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5.视觉航标表面色规定（GB 17381-2020）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6.航标灯光信号颜色（GB 12708-2020）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7.航标灯通用技术条件（JT/T 761-2009）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8.船舶交通管理系统工程技术规范（JTJ/T 351-1996）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9.集装箱码头计算机管理控制系统设计规范（JTJ/T 282-2006）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10.港口地区有线电话通信系统工程设计规范(JTJ/T 343-1996)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11.海岸电台总体及工艺设计规范(JTJ/T 341-1996)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12.甚高频海岸电台工程设计规范(JTJ/T 345-1999)</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rPr>
      </w:pPr>
      <w:r>
        <w:rPr>
          <w:rFonts w:hint="eastAsia" w:ascii="宋体" w:hAnsi="宋体"/>
          <w:b/>
          <w:sz w:val="24"/>
        </w:rPr>
        <w:t>第八部分：概预算定额类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1.水运工程工程量清单计价规范(JTS/T 271-2020)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2.内河航运水工建筑工程定额(JTS/T 275-1—2019)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3.内河航运设备安装工程定额(JTS/T 275-3—2019)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4.沿海港口水工建筑工程定额(JTS/T 276-1—2019)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5.沿海港口工程船舶机械艘（台）班费用定额（JTS/T 276-2—2019）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6.内河航运工程船舶机械艘（台）班费用定额（JTS/T 275-2—2019）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7.水运建设工程概算预算编制规定(JTS/T 116—2019)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7.疏浚工程预算定额(JTS/T 278-1—2019)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9.疏浚工程船舶艘（台）班费用定额(JTS/T 278-2—2019)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10.水运工程混凝土和砂浆材料用量定额(JTS/T 277—2019)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b/>
          <w:sz w:val="24"/>
        </w:rPr>
      </w:pPr>
      <w:r>
        <w:rPr>
          <w:rFonts w:hint="eastAsia" w:ascii="宋体" w:hAnsi="宋体"/>
          <w:sz w:val="24"/>
        </w:rPr>
        <w:t>11.《广东省交通运输厅关于印发《水运建设工程概算预算编制规定》及配套定额补充规定的通知》粤交基〔2020〕737 号。</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rFonts w:ascii="黑体" w:hAnsi="黑体" w:eastAsia="黑体"/>
          <w:b/>
          <w:sz w:val="24"/>
        </w:rPr>
      </w:pPr>
      <w:r>
        <w:rPr>
          <w:rFonts w:ascii="黑体" w:hAnsi="黑体" w:eastAsia="黑体"/>
          <w:b/>
          <w:sz w:val="24"/>
        </w:rPr>
        <w:t>三、成果文件要求</w:t>
      </w:r>
      <w:bookmarkEnd w:id="720"/>
      <w:bookmarkEnd w:id="7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详见合同条款</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rFonts w:ascii="黑体" w:hAnsi="黑体" w:eastAsia="黑体"/>
          <w:b/>
          <w:sz w:val="24"/>
        </w:rPr>
      </w:pPr>
      <w:bookmarkStart w:id="722" w:name="_Toc482188640"/>
      <w:bookmarkStart w:id="723" w:name="_Toc492300516"/>
      <w:r>
        <w:rPr>
          <w:rFonts w:ascii="黑体" w:hAnsi="黑体" w:eastAsia="黑体"/>
          <w:b/>
          <w:sz w:val="24"/>
        </w:rPr>
        <w:t>四、发包人财产清单</w:t>
      </w:r>
      <w:bookmarkEnd w:id="722"/>
      <w:bookmarkEnd w:id="7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bookmarkStart w:id="724" w:name="_Toc492300517"/>
      <w:bookmarkStart w:id="725" w:name="_Toc482188641"/>
      <w:r>
        <w:rPr>
          <w:sz w:val="24"/>
        </w:rPr>
        <w:t>（一）发包人提供的设备、设施</w:t>
      </w:r>
      <w:bookmarkEnd w:id="724"/>
      <w:bookmarkEnd w:id="7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1. 发包人提供的办公房屋及冷暖设施：如办公室数量及面积、空调等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2. 发包人提供的设备清单：如电脑、投影、打印机、复印机等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3. 发包人提供的设施清单：如办公桌椅、文件柜等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bookmarkStart w:id="726" w:name="_Toc482188642"/>
      <w:r>
        <w:rPr>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bookmarkStart w:id="727" w:name="_Toc492300518"/>
      <w:r>
        <w:rPr>
          <w:sz w:val="24"/>
        </w:rPr>
        <w:t>（二）发包人提供的资料</w:t>
      </w:r>
      <w:bookmarkEnd w:id="726"/>
      <w:bookmarkEnd w:id="7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1. 施工场地及毗邻区域内的供水、排水、供电、供气、供热、通信、广播电视等地下管线资料</w:t>
      </w:r>
      <w:r>
        <w:rPr>
          <w:rFonts w:hint="eastAsia"/>
          <w:sz w:val="24"/>
        </w:rPr>
        <w:t>，</w:t>
      </w:r>
      <w:r>
        <w:rPr>
          <w:sz w:val="24"/>
        </w:rPr>
        <w:t>气象和水文观测资料，相邻建筑物和构筑物、地下工程的有关资料，以及其他与</w:t>
      </w:r>
      <w:r>
        <w:rPr>
          <w:rFonts w:hint="eastAsia"/>
          <w:sz w:val="24"/>
        </w:rPr>
        <w:t>水运</w:t>
      </w:r>
      <w:r>
        <w:rPr>
          <w:sz w:val="24"/>
        </w:rPr>
        <w:t>工程有关的原始资料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2. 定位放线的基准点、基准线和基准标高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3. 发包人取得的有关审批、核准和备案材料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4</w:t>
      </w:r>
      <w:r>
        <w:rPr>
          <w:sz w:val="24"/>
        </w:rPr>
        <w:t>.</w:t>
      </w:r>
      <w:r>
        <w:rPr>
          <w:bCs/>
          <w:sz w:val="24"/>
        </w:rPr>
        <w:t>前一阶段研究或设计的成果文件及相应的批件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 xml:space="preserve">5. </w:t>
      </w:r>
      <w:r>
        <w:rPr>
          <w:sz w:val="24"/>
        </w:rPr>
        <w:t>发包人提供的技术标准、规范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6</w:t>
      </w:r>
      <w:r>
        <w:rPr>
          <w:sz w:val="24"/>
        </w:rPr>
        <w:t>. 其他资料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bookmarkStart w:id="728" w:name="_Toc482188643"/>
      <w:r>
        <w:rPr>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bookmarkStart w:id="729" w:name="_Toc492300519"/>
      <w:r>
        <w:rPr>
          <w:sz w:val="24"/>
        </w:rPr>
        <w:t>（三）发包人财产使用要求及退还要求</w:t>
      </w:r>
      <w:bookmarkEnd w:id="728"/>
      <w:bookmarkEnd w:id="7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1. 发包人财产使用要求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2. 发包人财产退还要求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bookmarkStart w:id="730" w:name="_Toc482188644"/>
      <w:r>
        <w:rPr>
          <w:sz w:val="24"/>
        </w:rPr>
        <w:t>……</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rFonts w:ascii="黑体" w:hAnsi="黑体" w:eastAsia="黑体"/>
          <w:b/>
          <w:sz w:val="24"/>
        </w:rPr>
      </w:pPr>
      <w:bookmarkStart w:id="731" w:name="_Toc492300520"/>
      <w:r>
        <w:rPr>
          <w:rFonts w:ascii="黑体" w:hAnsi="黑体" w:eastAsia="黑体"/>
          <w:b/>
          <w:sz w:val="24"/>
        </w:rPr>
        <w:t>五、发包人提供的便利条件</w:t>
      </w:r>
      <w:bookmarkEnd w:id="730"/>
      <w:bookmarkEnd w:id="7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1. 发包人提供的生活条件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2. 发包人提供的交通条件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3. 发包人提供的网络、通讯条件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4. 发包人提供的协助人员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bookmarkStart w:id="732" w:name="_Toc482188645"/>
      <w:r>
        <w:rPr>
          <w:sz w:val="24"/>
        </w:rPr>
        <w:t>……</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rFonts w:ascii="黑体" w:hAnsi="黑体" w:eastAsia="黑体"/>
          <w:b/>
          <w:sz w:val="24"/>
        </w:rPr>
      </w:pPr>
      <w:bookmarkStart w:id="733" w:name="_Toc492300521"/>
      <w:r>
        <w:rPr>
          <w:rFonts w:hint="eastAsia" w:ascii="黑体" w:hAnsi="黑体" w:eastAsia="黑体"/>
          <w:b/>
          <w:sz w:val="24"/>
        </w:rPr>
        <w:t>六、咨询单位需要自备的工作条件</w:t>
      </w:r>
      <w:bookmarkEnd w:id="732"/>
      <w:bookmarkEnd w:id="7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1. 咨询单位自备的工作手册：如本项目必备的规范标准、图集等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2. 咨询单位自备的办公设备：如电脑、软件、投影、打印机、复印机、照相机等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3. 咨询单位自备的交通工具：如出行车辆等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4. 咨询单位自备的现场办公设施：如办公桌椅、文件柜等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5. 咨询单位自备的安全设施：如安全帽、安全鞋、手电筒等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 xml:space="preserve">6. </w:t>
      </w:r>
      <w:r>
        <w:rPr>
          <w:rFonts w:hint="eastAsia"/>
          <w:sz w:val="24"/>
        </w:rPr>
        <w:t>咨询单位</w:t>
      </w:r>
      <w:r>
        <w:rPr>
          <w:sz w:val="24"/>
        </w:rPr>
        <w:t>自备的勘察检测仪器</w:t>
      </w:r>
      <w:r>
        <w:rPr>
          <w:rFonts w:hint="eastAsia"/>
          <w:sz w:val="24"/>
        </w:rPr>
        <w:t>、设备、</w:t>
      </w:r>
      <w:r>
        <w:rPr>
          <w:sz w:val="24"/>
        </w:rPr>
        <w:t>工具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bookmarkStart w:id="734" w:name="_Toc482188646"/>
      <w:r>
        <w:rPr>
          <w:sz w:val="24"/>
        </w:rPr>
        <w:t>……</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rFonts w:ascii="黑体" w:hAnsi="黑体" w:eastAsia="黑体"/>
          <w:b/>
          <w:sz w:val="24"/>
        </w:rPr>
      </w:pPr>
      <w:bookmarkStart w:id="735" w:name="_Toc492300522"/>
      <w:r>
        <w:rPr>
          <w:rFonts w:ascii="黑体" w:hAnsi="黑体" w:eastAsia="黑体"/>
          <w:b/>
          <w:sz w:val="24"/>
        </w:rPr>
        <w:t>七、发包人的其他要求</w:t>
      </w:r>
      <w:bookmarkEnd w:id="734"/>
      <w:bookmarkEnd w:id="7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发包人的其他要求包括</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w:t>
      </w:r>
    </w:p>
    <w:p>
      <w:pPr>
        <w:spacing w:line="480" w:lineRule="atLeast"/>
        <w:jc w:val="center"/>
        <w:rPr>
          <w:rFonts w:eastAsia="黑体"/>
          <w:sz w:val="28"/>
        </w:rPr>
      </w:pPr>
    </w:p>
    <w:p>
      <w:pPr>
        <w:spacing w:line="440" w:lineRule="exact"/>
        <w:jc w:val="center"/>
        <w:rPr>
          <w:rFonts w:eastAsia="黑体"/>
          <w:sz w:val="29"/>
          <w:szCs w:val="29"/>
        </w:rPr>
      </w:pPr>
      <w:r>
        <w:rPr>
          <w:rFonts w:eastAsia="黑体"/>
          <w:sz w:val="29"/>
          <w:szCs w:val="29"/>
        </w:rPr>
        <w:br w:type="page"/>
      </w: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spacing w:line="440" w:lineRule="exact"/>
        <w:jc w:val="center"/>
        <w:rPr>
          <w:rFonts w:eastAsia="黑体"/>
          <w:sz w:val="29"/>
          <w:szCs w:val="29"/>
        </w:rPr>
      </w:pPr>
    </w:p>
    <w:p>
      <w:pPr>
        <w:pStyle w:val="2"/>
        <w:spacing w:beforeLines="150" w:afterLines="100" w:line="380" w:lineRule="atLeast"/>
        <w:jc w:val="center"/>
        <w:rPr>
          <w:rFonts w:eastAsia="黑体"/>
          <w:b w:val="0"/>
          <w:sz w:val="56"/>
          <w:szCs w:val="56"/>
        </w:rPr>
      </w:pPr>
      <w:bookmarkStart w:id="736" w:name="_Toc508984359"/>
      <w:bookmarkStart w:id="737" w:name="_Toc508984156"/>
      <w:bookmarkStart w:id="738" w:name="_Toc234833252"/>
      <w:bookmarkStart w:id="739" w:name="_Toc503235830"/>
      <w:r>
        <w:rPr>
          <w:rFonts w:eastAsia="黑体"/>
          <w:b w:val="0"/>
          <w:sz w:val="56"/>
          <w:szCs w:val="56"/>
        </w:rPr>
        <w:t>第</w:t>
      </w:r>
      <w:r>
        <w:rPr>
          <w:rFonts w:hint="eastAsia" w:eastAsia="黑体"/>
          <w:b w:val="0"/>
          <w:sz w:val="56"/>
          <w:szCs w:val="56"/>
        </w:rPr>
        <w:t>六</w:t>
      </w:r>
      <w:r>
        <w:rPr>
          <w:rFonts w:eastAsia="黑体"/>
          <w:b w:val="0"/>
          <w:sz w:val="56"/>
          <w:szCs w:val="56"/>
        </w:rPr>
        <w:t>章  投标文件格式</w:t>
      </w:r>
      <w:r>
        <w:rPr>
          <w:rStyle w:val="56"/>
          <w:rFonts w:hint="eastAsia" w:ascii="宋体"/>
        </w:rPr>
        <w:footnoteReference w:id="77"/>
      </w:r>
      <w:bookmarkEnd w:id="736"/>
      <w:bookmarkEnd w:id="737"/>
      <w:bookmarkEnd w:id="738"/>
      <w:bookmarkEnd w:id="739"/>
    </w:p>
    <w:p>
      <w:pPr>
        <w:spacing w:line="440" w:lineRule="exact"/>
        <w:jc w:val="center"/>
        <w:rPr>
          <w:rFonts w:eastAsia="黑体"/>
          <w:sz w:val="36"/>
          <w:szCs w:val="36"/>
        </w:rPr>
      </w:pPr>
    </w:p>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spacing w:line="360" w:lineRule="auto"/>
        <w:jc w:val="center"/>
        <w:rPr>
          <w:rFonts w:hint="eastAsia" w:ascii="宋体" w:hAnsi="宋体" w:eastAsia="宋体" w:cs="宋体"/>
          <w:bCs/>
          <w:sz w:val="44"/>
          <w:szCs w:val="44"/>
          <w:lang w:eastAsia="zh-CN"/>
        </w:rPr>
      </w:pPr>
      <w:r>
        <w:rPr>
          <w:rFonts w:hint="eastAsia" w:ascii="宋体" w:hAnsi="宋体" w:cs="宋体"/>
          <w:bCs/>
          <w:sz w:val="44"/>
          <w:szCs w:val="44"/>
          <w:lang w:eastAsia="zh-CN"/>
        </w:rPr>
        <w:t>湛江市</w:t>
      </w:r>
    </w:p>
    <w:p>
      <w:pPr>
        <w:spacing w:line="360" w:lineRule="auto"/>
        <w:jc w:val="center"/>
        <w:rPr>
          <w:rFonts w:ascii="宋体" w:hAnsi="宋体" w:cs="宋体"/>
          <w:bCs/>
          <w:sz w:val="44"/>
          <w:szCs w:val="44"/>
        </w:rPr>
      </w:pPr>
    </w:p>
    <w:p>
      <w:pPr>
        <w:spacing w:line="360" w:lineRule="auto"/>
        <w:jc w:val="center"/>
        <w:rPr>
          <w:rFonts w:ascii="宋体" w:hAnsi="宋体" w:cs="宋体"/>
          <w:bCs/>
          <w:sz w:val="44"/>
          <w:szCs w:val="44"/>
        </w:rPr>
      </w:pPr>
      <w:r>
        <w:rPr>
          <w:rFonts w:hint="eastAsia" w:ascii="宋体" w:hAnsi="宋体" w:cs="宋体"/>
          <w:bCs/>
          <w:sz w:val="44"/>
          <w:szCs w:val="44"/>
          <w:u w:val="single"/>
          <w:lang w:val="en-US" w:eastAsia="zh-CN"/>
        </w:rPr>
        <w:t xml:space="preserve">    （</w:t>
      </w:r>
      <w:r>
        <w:rPr>
          <w:rFonts w:ascii="宋体" w:hAnsi="宋体" w:cs="宋体"/>
          <w:bCs/>
          <w:sz w:val="44"/>
          <w:szCs w:val="44"/>
          <w:u w:val="single"/>
        </w:rPr>
        <w:t>项目名称）   标段</w:t>
      </w:r>
      <w:r>
        <w:rPr>
          <w:rFonts w:ascii="宋体" w:hAnsi="宋体" w:cs="宋体"/>
          <w:bCs/>
          <w:sz w:val="44"/>
          <w:szCs w:val="44"/>
        </w:rPr>
        <w:t>勘察设计咨询招标</w:t>
      </w:r>
    </w:p>
    <w:p>
      <w:pPr>
        <w:spacing w:line="360" w:lineRule="auto"/>
        <w:jc w:val="center"/>
        <w:rPr>
          <w:rFonts w:ascii="宋体" w:hAnsi="宋体" w:cs="宋体"/>
          <w:bCs/>
          <w:sz w:val="44"/>
          <w:szCs w:val="44"/>
        </w:rPr>
      </w:pPr>
    </w:p>
    <w:p>
      <w:pPr>
        <w:spacing w:line="440" w:lineRule="exact"/>
        <w:rPr>
          <w:rFonts w:eastAsia="黑体"/>
          <w:sz w:val="40"/>
          <w:szCs w:val="40"/>
        </w:rPr>
      </w:pPr>
    </w:p>
    <w:p>
      <w:pPr>
        <w:spacing w:line="440" w:lineRule="exact"/>
        <w:jc w:val="center"/>
        <w:rPr>
          <w:rFonts w:eastAsia="黑体"/>
          <w:sz w:val="40"/>
          <w:szCs w:val="40"/>
        </w:rPr>
      </w:pPr>
    </w:p>
    <w:p>
      <w:pPr>
        <w:spacing w:line="440" w:lineRule="exact"/>
        <w:jc w:val="center"/>
        <w:rPr>
          <w:rFonts w:eastAsia="黑体"/>
          <w:sz w:val="40"/>
          <w:szCs w:val="40"/>
        </w:rPr>
      </w:pPr>
    </w:p>
    <w:p>
      <w:pPr>
        <w:spacing w:line="440" w:lineRule="exact"/>
        <w:jc w:val="center"/>
        <w:rPr>
          <w:rFonts w:eastAsia="黑体"/>
          <w:sz w:val="40"/>
          <w:szCs w:val="40"/>
        </w:rPr>
      </w:pPr>
    </w:p>
    <w:p>
      <w:pPr>
        <w:pStyle w:val="2"/>
        <w:spacing w:before="0" w:afterLines="200" w:line="400" w:lineRule="atLeast"/>
        <w:jc w:val="center"/>
        <w:rPr>
          <w:rFonts w:ascii="宋体" w:hAnsi="宋体"/>
          <w:b w:val="0"/>
          <w:sz w:val="50"/>
          <w:szCs w:val="50"/>
        </w:rPr>
      </w:pPr>
      <w:bookmarkStart w:id="740" w:name="_Toc508984157"/>
      <w:bookmarkStart w:id="741" w:name="_Toc508984360"/>
      <w:bookmarkStart w:id="742" w:name="_Toc503235831"/>
      <w:bookmarkStart w:id="743" w:name="_Toc470761082"/>
      <w:r>
        <w:rPr>
          <w:rFonts w:ascii="宋体" w:hAnsi="宋体"/>
          <w:b w:val="0"/>
          <w:sz w:val="50"/>
          <w:szCs w:val="50"/>
        </w:rPr>
        <w:t>投  标  文  件</w:t>
      </w:r>
      <w:bookmarkEnd w:id="740"/>
      <w:bookmarkEnd w:id="741"/>
      <w:bookmarkEnd w:id="742"/>
      <w:bookmarkEnd w:id="743"/>
    </w:p>
    <w:p>
      <w:pPr>
        <w:pStyle w:val="2"/>
        <w:spacing w:before="0" w:after="0" w:line="400" w:lineRule="atLeast"/>
        <w:jc w:val="center"/>
        <w:rPr>
          <w:rFonts w:ascii="宋体" w:hAnsi="宋体"/>
          <w:b w:val="0"/>
          <w:sz w:val="36"/>
          <w:szCs w:val="36"/>
        </w:rPr>
      </w:pPr>
      <w:bookmarkStart w:id="744" w:name="_Toc503235832"/>
      <w:bookmarkStart w:id="745" w:name="_Toc508984158"/>
      <w:bookmarkStart w:id="746" w:name="_Toc508984361"/>
      <w:r>
        <w:rPr>
          <w:rFonts w:hint="eastAsia" w:ascii="宋体" w:hAnsi="宋体"/>
          <w:b w:val="0"/>
          <w:sz w:val="36"/>
          <w:szCs w:val="36"/>
        </w:rPr>
        <w:t>（</w:t>
      </w:r>
      <w:r>
        <w:rPr>
          <w:rFonts w:hint="eastAsia" w:ascii="宋体" w:hAnsi="宋体" w:cs="宋体"/>
          <w:bCs w:val="0"/>
          <w:kern w:val="2"/>
        </w:rPr>
        <w:t>第一个信封：商务及技术文件</w:t>
      </w:r>
      <w:r>
        <w:rPr>
          <w:rFonts w:hint="eastAsia" w:ascii="宋体" w:hAnsi="宋体"/>
          <w:b w:val="0"/>
          <w:sz w:val="36"/>
          <w:szCs w:val="36"/>
        </w:rPr>
        <w:t>）</w:t>
      </w:r>
      <w:bookmarkEnd w:id="744"/>
      <w:bookmarkEnd w:id="745"/>
      <w:bookmarkEnd w:id="746"/>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360" w:lineRule="auto"/>
        <w:ind w:firstLine="470" w:firstLineChars="147"/>
        <w:jc w:val="center"/>
        <w:rPr>
          <w:rFonts w:ascii="宋体" w:hAnsi="宋体"/>
          <w:bCs/>
          <w:sz w:val="32"/>
          <w:szCs w:val="32"/>
        </w:rPr>
      </w:pPr>
      <w:r>
        <w:rPr>
          <w:rFonts w:hint="eastAsia" w:ascii="宋体" w:hAnsi="宋体" w:cs="黑体"/>
          <w:bCs/>
          <w:sz w:val="32"/>
          <w:szCs w:val="32"/>
        </w:rPr>
        <w:t>投标人：</w:t>
      </w:r>
      <w:r>
        <w:rPr>
          <w:rStyle w:val="214"/>
          <w:rFonts w:hint="eastAsia" w:ascii="宋体" w:hAnsi="宋体" w:eastAsia="宋体"/>
          <w:sz w:val="21"/>
          <w:szCs w:val="21"/>
        </w:rPr>
        <w:t>______________________</w:t>
      </w:r>
      <w:r>
        <w:rPr>
          <w:rFonts w:hint="eastAsia" w:ascii="宋体" w:hAnsi="宋体" w:cs="黑体"/>
          <w:bCs/>
          <w:sz w:val="32"/>
          <w:szCs w:val="32"/>
        </w:rPr>
        <w:t>（盖单位章）</w:t>
      </w:r>
    </w:p>
    <w:p>
      <w:pPr>
        <w:spacing w:line="440" w:lineRule="exact"/>
        <w:jc w:val="center"/>
        <w:rPr>
          <w:rFonts w:eastAsia="黑体"/>
          <w:sz w:val="28"/>
          <w:szCs w:val="28"/>
        </w:rPr>
      </w:pPr>
      <w:r>
        <w:rPr>
          <w:rStyle w:val="214"/>
          <w:rFonts w:hint="eastAsia" w:ascii="宋体" w:hAnsi="宋体" w:eastAsia="宋体"/>
          <w:sz w:val="21"/>
          <w:szCs w:val="21"/>
        </w:rPr>
        <w:t>________</w:t>
      </w:r>
      <w:r>
        <w:rPr>
          <w:rFonts w:hint="eastAsia" w:ascii="宋体" w:hAnsi="宋体" w:cs="黑体"/>
          <w:bCs/>
          <w:sz w:val="32"/>
          <w:szCs w:val="32"/>
        </w:rPr>
        <w:t>年</w:t>
      </w:r>
      <w:r>
        <w:rPr>
          <w:rStyle w:val="214"/>
          <w:rFonts w:hint="eastAsia" w:ascii="宋体" w:hAnsi="宋体" w:eastAsia="宋体"/>
          <w:sz w:val="21"/>
          <w:szCs w:val="21"/>
        </w:rPr>
        <w:t>________</w:t>
      </w:r>
      <w:r>
        <w:rPr>
          <w:rFonts w:hint="eastAsia" w:ascii="宋体" w:hAnsi="宋体" w:cs="黑体"/>
          <w:bCs/>
          <w:sz w:val="32"/>
          <w:szCs w:val="32"/>
        </w:rPr>
        <w:t>月</w:t>
      </w:r>
      <w:r>
        <w:rPr>
          <w:rStyle w:val="214"/>
          <w:rFonts w:hint="eastAsia" w:ascii="宋体" w:hAnsi="宋体" w:eastAsia="宋体"/>
          <w:sz w:val="21"/>
          <w:szCs w:val="21"/>
        </w:rPr>
        <w:t>________</w:t>
      </w:r>
      <w:r>
        <w:rPr>
          <w:rFonts w:hint="eastAsia" w:ascii="宋体" w:hAnsi="宋体" w:cs="黑体"/>
          <w:bCs/>
          <w:sz w:val="32"/>
          <w:szCs w:val="32"/>
        </w:rPr>
        <w:t>日</w:t>
      </w:r>
    </w:p>
    <w:p>
      <w:pPr>
        <w:spacing w:line="440" w:lineRule="exact"/>
        <w:rPr>
          <w:rFonts w:eastAsia="黑体"/>
          <w:sz w:val="28"/>
          <w:szCs w:val="28"/>
        </w:rPr>
      </w:pPr>
    </w:p>
    <w:p>
      <w:pPr>
        <w:pStyle w:val="2"/>
        <w:spacing w:beforeLines="150" w:afterLines="100" w:line="380" w:lineRule="atLeast"/>
        <w:jc w:val="center"/>
        <w:rPr>
          <w:rFonts w:eastAsia="黑体"/>
          <w:b w:val="0"/>
          <w:sz w:val="30"/>
          <w:szCs w:val="30"/>
        </w:rPr>
      </w:pPr>
      <w:r>
        <w:rPr>
          <w:rFonts w:eastAsia="黑体"/>
          <w:sz w:val="20"/>
          <w:szCs w:val="20"/>
        </w:rPr>
        <w:br w:type="page"/>
      </w:r>
      <w:bookmarkStart w:id="747" w:name="_Toc508984362"/>
      <w:bookmarkStart w:id="748" w:name="_Toc234833253"/>
      <w:bookmarkStart w:id="749" w:name="_Toc503235833"/>
      <w:bookmarkStart w:id="750" w:name="_Toc508984159"/>
      <w:r>
        <w:rPr>
          <w:rFonts w:eastAsia="黑体"/>
          <w:b w:val="0"/>
          <w:sz w:val="30"/>
          <w:szCs w:val="30"/>
        </w:rPr>
        <w:t>目     录</w:t>
      </w:r>
      <w:bookmarkEnd w:id="747"/>
      <w:bookmarkEnd w:id="748"/>
      <w:bookmarkEnd w:id="749"/>
      <w:bookmarkEnd w:id="750"/>
    </w:p>
    <w:p>
      <w:pPr>
        <w:spacing w:line="440" w:lineRule="exact"/>
        <w:rPr>
          <w:rFonts w:eastAsia="黑体"/>
          <w:sz w:val="20"/>
          <w:szCs w:val="20"/>
        </w:rPr>
      </w:pPr>
    </w:p>
    <w:p>
      <w:pPr>
        <w:spacing w:line="360" w:lineRule="auto"/>
        <w:jc w:val="left"/>
        <w:rPr>
          <w:rFonts w:ascii="宋体" w:hAnsi="宋体"/>
          <w:sz w:val="24"/>
        </w:rPr>
      </w:pPr>
      <w:r>
        <w:rPr>
          <w:rFonts w:hint="eastAsia" w:ascii="宋体" w:hAnsi="宋体"/>
          <w:sz w:val="24"/>
        </w:rPr>
        <w:t>第一个信封(商务及技术文件)</w:t>
      </w:r>
    </w:p>
    <w:p>
      <w:pPr>
        <w:spacing w:line="360" w:lineRule="auto"/>
        <w:jc w:val="left"/>
        <w:rPr>
          <w:rFonts w:ascii="宋体" w:hAnsi="宋体"/>
          <w:sz w:val="24"/>
        </w:rPr>
      </w:pPr>
      <w:r>
        <w:rPr>
          <w:rFonts w:hint="eastAsia" w:ascii="宋体" w:hAnsi="宋体"/>
          <w:sz w:val="24"/>
        </w:rPr>
        <w:t>一、投标函</w:t>
      </w:r>
    </w:p>
    <w:p>
      <w:pPr>
        <w:spacing w:line="360" w:lineRule="auto"/>
        <w:jc w:val="left"/>
        <w:rPr>
          <w:rFonts w:ascii="宋体" w:hAnsi="宋体"/>
          <w:sz w:val="24"/>
        </w:rPr>
      </w:pPr>
      <w:r>
        <w:rPr>
          <w:rFonts w:hint="eastAsia" w:ascii="宋体" w:hAnsi="宋体"/>
          <w:sz w:val="24"/>
        </w:rPr>
        <w:t>二、授权委托书或法定代表人身份证明</w:t>
      </w:r>
    </w:p>
    <w:p>
      <w:pPr>
        <w:spacing w:line="360" w:lineRule="auto"/>
        <w:jc w:val="left"/>
        <w:rPr>
          <w:rFonts w:ascii="宋体" w:hAnsi="宋体"/>
          <w:sz w:val="24"/>
        </w:rPr>
      </w:pPr>
      <w:r>
        <w:rPr>
          <w:rFonts w:hint="eastAsia" w:ascii="宋体" w:hAnsi="宋体"/>
          <w:sz w:val="24"/>
        </w:rPr>
        <w:t>三、联合体协议书（如有）</w:t>
      </w:r>
    </w:p>
    <w:p>
      <w:pPr>
        <w:spacing w:line="360" w:lineRule="auto"/>
        <w:jc w:val="left"/>
        <w:rPr>
          <w:rFonts w:ascii="宋体" w:hAnsi="宋体"/>
          <w:sz w:val="24"/>
        </w:rPr>
      </w:pPr>
      <w:r>
        <w:rPr>
          <w:rFonts w:hint="eastAsia" w:ascii="宋体" w:hAnsi="宋体"/>
          <w:sz w:val="24"/>
        </w:rPr>
        <w:t>四、投标保证金</w:t>
      </w:r>
    </w:p>
    <w:p>
      <w:pPr>
        <w:spacing w:line="360" w:lineRule="auto"/>
        <w:jc w:val="left"/>
        <w:rPr>
          <w:rFonts w:ascii="宋体" w:hAnsi="宋体"/>
          <w:sz w:val="24"/>
        </w:rPr>
      </w:pPr>
      <w:r>
        <w:rPr>
          <w:rFonts w:hint="eastAsia" w:ascii="宋体" w:hAnsi="宋体"/>
          <w:sz w:val="24"/>
        </w:rPr>
        <w:t>五、拟分包项目情况表</w:t>
      </w:r>
    </w:p>
    <w:p>
      <w:pPr>
        <w:spacing w:line="360" w:lineRule="auto"/>
        <w:jc w:val="left"/>
        <w:rPr>
          <w:rFonts w:ascii="宋体" w:hAnsi="宋体"/>
          <w:sz w:val="24"/>
        </w:rPr>
      </w:pPr>
      <w:r>
        <w:rPr>
          <w:rFonts w:hint="eastAsia" w:ascii="宋体" w:hAnsi="宋体"/>
          <w:sz w:val="24"/>
        </w:rPr>
        <w:t>六、资格审查资料</w:t>
      </w:r>
    </w:p>
    <w:p>
      <w:pPr>
        <w:spacing w:line="360" w:lineRule="auto"/>
        <w:jc w:val="left"/>
        <w:rPr>
          <w:rFonts w:ascii="宋体" w:hAnsi="宋体"/>
          <w:sz w:val="24"/>
        </w:rPr>
      </w:pPr>
      <w:r>
        <w:rPr>
          <w:rFonts w:hint="eastAsia" w:ascii="宋体" w:hAnsi="宋体"/>
          <w:sz w:val="24"/>
        </w:rPr>
        <w:t>七、其他资料</w:t>
      </w:r>
    </w:p>
    <w:p>
      <w:pPr>
        <w:spacing w:line="360" w:lineRule="auto"/>
        <w:jc w:val="left"/>
        <w:rPr>
          <w:rFonts w:ascii="宋体" w:hAnsi="宋体"/>
          <w:sz w:val="24"/>
        </w:rPr>
      </w:pPr>
      <w:r>
        <w:rPr>
          <w:rFonts w:hint="eastAsia" w:ascii="宋体" w:hAnsi="宋体"/>
          <w:sz w:val="24"/>
        </w:rPr>
        <w:t>八、技术建议书</w:t>
      </w:r>
    </w:p>
    <w:p>
      <w:pPr>
        <w:spacing w:line="360" w:lineRule="auto"/>
        <w:jc w:val="left"/>
        <w:rPr>
          <w:rFonts w:ascii="宋体" w:hAnsi="宋体"/>
          <w:sz w:val="24"/>
        </w:rPr>
      </w:pPr>
    </w:p>
    <w:p>
      <w:pPr>
        <w:pStyle w:val="2"/>
        <w:tabs>
          <w:tab w:val="center" w:pos="4337"/>
          <w:tab w:val="right" w:pos="8675"/>
        </w:tabs>
        <w:spacing w:beforeLines="150" w:afterLines="100" w:line="380" w:lineRule="atLeast"/>
        <w:jc w:val="left"/>
        <w:rPr>
          <w:rFonts w:eastAsia="黑体"/>
          <w:b w:val="0"/>
          <w:sz w:val="30"/>
          <w:szCs w:val="30"/>
        </w:rPr>
        <w:sectPr>
          <w:footnotePr>
            <w:numRestart w:val="eachPage"/>
          </w:footnotePr>
          <w:pgSz w:w="11905" w:h="16838"/>
          <w:pgMar w:top="1803" w:right="1440" w:bottom="1803" w:left="1440" w:header="851" w:footer="850" w:gutter="0"/>
          <w:cols w:space="0" w:num="1"/>
          <w:docGrid w:linePitch="312" w:charSpace="0"/>
        </w:sectPr>
      </w:pPr>
      <w:bookmarkStart w:id="751" w:name="_Toc234833254"/>
      <w:r>
        <w:rPr>
          <w:rFonts w:eastAsia="黑体"/>
          <w:b w:val="0"/>
          <w:sz w:val="30"/>
          <w:szCs w:val="30"/>
        </w:rPr>
        <w:tab/>
      </w:r>
    </w:p>
    <w:bookmarkEnd w:id="751"/>
    <w:p>
      <w:pPr>
        <w:pStyle w:val="2"/>
        <w:spacing w:before="0" w:after="0" w:line="400" w:lineRule="atLeast"/>
        <w:jc w:val="center"/>
        <w:rPr>
          <w:rFonts w:eastAsia="黑体"/>
          <w:b w:val="0"/>
          <w:sz w:val="30"/>
          <w:szCs w:val="30"/>
        </w:rPr>
      </w:pPr>
      <w:bookmarkStart w:id="752" w:name="_Toc503235834"/>
      <w:bookmarkStart w:id="753" w:name="_Toc508984160"/>
      <w:bookmarkStart w:id="754" w:name="_Toc234833255"/>
      <w:bookmarkStart w:id="755" w:name="_Toc508984363"/>
      <w:r>
        <w:rPr>
          <w:rFonts w:eastAsia="黑体"/>
          <w:b w:val="0"/>
          <w:sz w:val="30"/>
          <w:szCs w:val="30"/>
        </w:rPr>
        <w:t>一、投标函</w:t>
      </w:r>
      <w:bookmarkEnd w:id="752"/>
      <w:bookmarkEnd w:id="753"/>
      <w:bookmarkEnd w:id="754"/>
      <w:bookmarkEnd w:id="755"/>
    </w:p>
    <w:p>
      <w:pPr>
        <w:spacing w:line="380" w:lineRule="exact"/>
        <w:rPr>
          <w:sz w:val="24"/>
        </w:rPr>
      </w:pPr>
      <w:r>
        <w:rPr>
          <w:rFonts w:hint="eastAsia"/>
          <w:sz w:val="24"/>
        </w:rPr>
        <w:t>______</w:t>
      </w:r>
      <w:r>
        <w:rPr>
          <w:sz w:val="24"/>
        </w:rPr>
        <w:t>（招标人名称）：</w:t>
      </w:r>
    </w:p>
    <w:p>
      <w:pPr>
        <w:spacing w:line="380" w:lineRule="exact"/>
        <w:ind w:firstLine="480" w:firstLineChars="200"/>
        <w:rPr>
          <w:sz w:val="24"/>
        </w:rPr>
      </w:pPr>
      <w:r>
        <w:rPr>
          <w:sz w:val="24"/>
        </w:rPr>
        <w:t>1．我方已仔细研究</w:t>
      </w:r>
      <w:r>
        <w:rPr>
          <w:rFonts w:hint="eastAsia"/>
          <w:sz w:val="24"/>
        </w:rPr>
        <w:t>______</w:t>
      </w:r>
      <w:r>
        <w:rPr>
          <w:sz w:val="24"/>
          <w:u w:val="single"/>
        </w:rPr>
        <w:t>（项目名称）   标段勘察设计</w:t>
      </w:r>
      <w:r>
        <w:rPr>
          <w:sz w:val="24"/>
        </w:rPr>
        <w:t>咨询招标文件的全部内容（含补遗书），在考察工程现场后，愿意以</w:t>
      </w:r>
      <w:r>
        <w:rPr>
          <w:rFonts w:hint="eastAsia"/>
          <w:sz w:val="24"/>
        </w:rPr>
        <w:t>第二个信封（报价文件）中</w:t>
      </w:r>
      <w:r>
        <w:rPr>
          <w:sz w:val="24"/>
        </w:rPr>
        <w:t>的投标总报价（或根据招标文件规定修正核实后确定的另一金额），按合同约定完成</w:t>
      </w:r>
      <w:r>
        <w:rPr>
          <w:rFonts w:hint="eastAsia"/>
          <w:sz w:val="24"/>
          <w:u w:val="single"/>
        </w:rPr>
        <w:t>勘察设计</w:t>
      </w:r>
      <w:r>
        <w:rPr>
          <w:rFonts w:hint="eastAsia"/>
          <w:sz w:val="24"/>
        </w:rPr>
        <w:t>咨询工作</w:t>
      </w:r>
      <w:r>
        <w:rPr>
          <w:sz w:val="24"/>
        </w:rPr>
        <w:t>。</w:t>
      </w:r>
    </w:p>
    <w:p>
      <w:pPr>
        <w:spacing w:line="380" w:lineRule="exact"/>
        <w:ind w:firstLine="480" w:firstLineChars="200"/>
        <w:rPr>
          <w:sz w:val="24"/>
        </w:rPr>
      </w:pPr>
      <w:r>
        <w:rPr>
          <w:sz w:val="24"/>
        </w:rPr>
        <w:t>2．我方承诺在招标文件规定的投标有效期内不撤销投标文件。</w:t>
      </w:r>
    </w:p>
    <w:p>
      <w:pPr>
        <w:spacing w:line="380" w:lineRule="exact"/>
        <w:ind w:firstLine="480" w:firstLineChars="200"/>
        <w:rPr>
          <w:sz w:val="24"/>
        </w:rPr>
      </w:pPr>
      <w:r>
        <w:rPr>
          <w:rFonts w:hint="eastAsia"/>
          <w:sz w:val="24"/>
        </w:rPr>
        <w:t>3．项目</w:t>
      </w:r>
      <w:r>
        <w:rPr>
          <w:sz w:val="24"/>
        </w:rPr>
        <w:t>负责人姓名：</w:t>
      </w:r>
      <w:r>
        <w:rPr>
          <w:rFonts w:hint="eastAsia"/>
          <w:sz w:val="24"/>
        </w:rPr>
        <w:t>______，年龄：______，职称：______。</w:t>
      </w:r>
    </w:p>
    <w:p>
      <w:pPr>
        <w:spacing w:line="380" w:lineRule="exact"/>
        <w:ind w:firstLine="480" w:firstLineChars="200"/>
        <w:rPr>
          <w:sz w:val="24"/>
        </w:rPr>
      </w:pPr>
      <w:r>
        <w:rPr>
          <w:rFonts w:hint="eastAsia"/>
          <w:sz w:val="24"/>
        </w:rPr>
        <w:t>4</w:t>
      </w:r>
      <w:r>
        <w:rPr>
          <w:sz w:val="24"/>
        </w:rPr>
        <w:t>.质量要求</w:t>
      </w:r>
      <w:r>
        <w:rPr>
          <w:rFonts w:hint="eastAsia"/>
          <w:sz w:val="24"/>
        </w:rPr>
        <w:t>：______，安全</w:t>
      </w:r>
      <w:r>
        <w:rPr>
          <w:sz w:val="24"/>
        </w:rPr>
        <w:t>目标</w:t>
      </w:r>
      <w:r>
        <w:rPr>
          <w:rFonts w:hint="eastAsia"/>
          <w:sz w:val="24"/>
        </w:rPr>
        <w:t>：______，服务期限：______。</w:t>
      </w:r>
    </w:p>
    <w:p>
      <w:pPr>
        <w:spacing w:line="380" w:lineRule="exact"/>
        <w:ind w:firstLine="480" w:firstLineChars="200"/>
        <w:rPr>
          <w:sz w:val="24"/>
        </w:rPr>
      </w:pPr>
      <w:r>
        <w:rPr>
          <w:rFonts w:hint="eastAsia"/>
          <w:sz w:val="24"/>
        </w:rPr>
        <w:t xml:space="preserve">5. </w:t>
      </w:r>
      <w:r>
        <w:rPr>
          <w:sz w:val="24"/>
        </w:rPr>
        <w:t>如我方中标</w:t>
      </w:r>
      <w:r>
        <w:rPr>
          <w:rFonts w:hint="eastAsia"/>
          <w:sz w:val="24"/>
        </w:rPr>
        <w:t>，</w:t>
      </w:r>
      <w:r>
        <w:rPr>
          <w:sz w:val="24"/>
        </w:rPr>
        <w:t>我方承诺：</w:t>
      </w:r>
    </w:p>
    <w:p>
      <w:pPr>
        <w:spacing w:line="380" w:lineRule="exact"/>
        <w:ind w:firstLine="480" w:firstLineChars="200"/>
        <w:rPr>
          <w:sz w:val="24"/>
        </w:rPr>
      </w:pPr>
      <w:r>
        <w:rPr>
          <w:sz w:val="24"/>
        </w:rPr>
        <w:t>（1）在收到中标通知书后，在规定的期限内与你方签订合同；</w:t>
      </w:r>
    </w:p>
    <w:p>
      <w:pPr>
        <w:spacing w:line="380" w:lineRule="exact"/>
        <w:ind w:firstLine="480" w:firstLineChars="200"/>
        <w:rPr>
          <w:sz w:val="24"/>
        </w:rPr>
      </w:pPr>
      <w:r>
        <w:rPr>
          <w:sz w:val="24"/>
        </w:rPr>
        <w:t>（2）在签订合同时不向你方提出附加条件；</w:t>
      </w:r>
    </w:p>
    <w:p>
      <w:pPr>
        <w:spacing w:line="380" w:lineRule="exact"/>
        <w:ind w:firstLine="480" w:firstLineChars="200"/>
        <w:rPr>
          <w:sz w:val="24"/>
        </w:rPr>
      </w:pPr>
      <w:r>
        <w:rPr>
          <w:sz w:val="24"/>
        </w:rPr>
        <w:t>（3）按照招标文件要求提交履约保证金；</w:t>
      </w:r>
      <w:bookmarkStart w:id="756" w:name="_Toc352691658"/>
      <w:bookmarkStart w:id="757" w:name="_Toc369531694"/>
      <w:bookmarkStart w:id="758" w:name="_Toc1187"/>
    </w:p>
    <w:p>
      <w:pPr>
        <w:spacing w:line="380" w:lineRule="exact"/>
        <w:ind w:firstLine="480" w:firstLineChars="200"/>
        <w:rPr>
          <w:sz w:val="24"/>
        </w:rPr>
      </w:pPr>
      <w:r>
        <w:rPr>
          <w:sz w:val="24"/>
        </w:rPr>
        <w:t>（4）在合</w:t>
      </w:r>
      <w:bookmarkEnd w:id="756"/>
      <w:bookmarkEnd w:id="757"/>
      <w:bookmarkEnd w:id="758"/>
      <w:r>
        <w:rPr>
          <w:sz w:val="24"/>
        </w:rPr>
        <w:t>同约定的期限内完成合同规定的全部义务</w:t>
      </w:r>
      <w:r>
        <w:rPr>
          <w:rFonts w:hint="eastAsia"/>
          <w:sz w:val="24"/>
        </w:rPr>
        <w:t>；</w:t>
      </w:r>
    </w:p>
    <w:p>
      <w:pPr>
        <w:spacing w:line="380" w:lineRule="exact"/>
        <w:ind w:firstLine="480" w:firstLineChars="200"/>
        <w:rPr>
          <w:sz w:val="24"/>
          <w:vertAlign w:val="superscript"/>
        </w:rPr>
      </w:pPr>
      <w:r>
        <w:rPr>
          <w:rFonts w:hint="eastAsia"/>
          <w:sz w:val="24"/>
          <w:u w:val="single"/>
        </w:rPr>
        <w:t>（5）</w:t>
      </w:r>
      <w:r>
        <w:rPr>
          <w:rFonts w:hint="eastAsia" w:ascii="宋体" w:hAnsi="宋体" w:cs="宋体"/>
          <w:sz w:val="24"/>
          <w:u w:val="single"/>
        </w:rPr>
        <w:t>我方将按照招标文件提出的最低要求填报派驻本标段的分项咨询负责人，经你方审批后作为派驻本标段的项目管理机构主要人员不进行更换</w:t>
      </w:r>
      <w:r>
        <w:rPr>
          <w:rStyle w:val="56"/>
          <w:rFonts w:ascii="宋体" w:hAnsi="宋体"/>
          <w:sz w:val="32"/>
          <w:szCs w:val="32"/>
          <w:u w:val="single"/>
        </w:rPr>
        <w:footnoteReference w:id="78"/>
      </w:r>
      <w:r>
        <w:rPr>
          <w:rFonts w:hint="eastAsia" w:ascii="宋体" w:hAnsi="宋体" w:cs="宋体"/>
          <w:u w:val="single"/>
        </w:rPr>
        <w:t>。</w:t>
      </w:r>
    </w:p>
    <w:p>
      <w:pPr>
        <w:spacing w:line="380" w:lineRule="exact"/>
        <w:ind w:firstLine="480" w:firstLineChars="200"/>
        <w:rPr>
          <w:sz w:val="24"/>
        </w:rPr>
      </w:pPr>
      <w:r>
        <w:rPr>
          <w:rFonts w:hint="eastAsia"/>
          <w:sz w:val="24"/>
        </w:rPr>
        <w:t>6</w:t>
      </w:r>
      <w:r>
        <w:rPr>
          <w:sz w:val="24"/>
        </w:rPr>
        <w:t>．我方在此声明，所递交的投标文件及有关资料内容完整、真实和准确，且不存在招标文件第二章“投标人须知”第1.4.3项</w:t>
      </w:r>
      <w:r>
        <w:rPr>
          <w:rFonts w:hint="eastAsia"/>
          <w:sz w:val="24"/>
        </w:rPr>
        <w:t>和</w:t>
      </w:r>
      <w:r>
        <w:rPr>
          <w:sz w:val="24"/>
        </w:rPr>
        <w:t>第</w:t>
      </w:r>
      <w:r>
        <w:rPr>
          <w:rFonts w:hint="eastAsia"/>
          <w:sz w:val="24"/>
        </w:rPr>
        <w:t>1</w:t>
      </w:r>
      <w:r>
        <w:rPr>
          <w:sz w:val="24"/>
        </w:rPr>
        <w:t>.4.4</w:t>
      </w:r>
      <w:r>
        <w:rPr>
          <w:rFonts w:hint="eastAsia"/>
          <w:sz w:val="24"/>
        </w:rPr>
        <w:t>项</w:t>
      </w:r>
      <w:r>
        <w:rPr>
          <w:sz w:val="24"/>
        </w:rPr>
        <w:t>规定的任何一种情形。</w:t>
      </w:r>
    </w:p>
    <w:p>
      <w:pPr>
        <w:spacing w:line="380" w:lineRule="exact"/>
        <w:ind w:firstLine="480" w:firstLineChars="200"/>
        <w:rPr>
          <w:sz w:val="24"/>
        </w:rPr>
      </w:pPr>
      <w:r>
        <w:rPr>
          <w:sz w:val="24"/>
        </w:rPr>
        <w:t>7. 我方在此承诺：权利义务满足招标文件规定。</w:t>
      </w:r>
    </w:p>
    <w:p>
      <w:pPr>
        <w:spacing w:line="380" w:lineRule="exact"/>
        <w:ind w:firstLine="480" w:firstLineChars="200"/>
        <w:rPr>
          <w:sz w:val="24"/>
        </w:rPr>
      </w:pPr>
      <w:r>
        <w:rPr>
          <w:rFonts w:hint="eastAsia"/>
          <w:sz w:val="24"/>
        </w:rPr>
        <w:t>8</w:t>
      </w:r>
      <w:r>
        <w:rPr>
          <w:sz w:val="24"/>
        </w:rPr>
        <w:t>．在合同协议书正式签署生效之前，本投标函连同你方的中标通知书将构成我们双方之间共同遵守的文件，对双方具有约束力。</w:t>
      </w:r>
    </w:p>
    <w:p>
      <w:pPr>
        <w:spacing w:line="380" w:lineRule="exact"/>
        <w:ind w:firstLine="480" w:firstLineChars="200"/>
        <w:rPr>
          <w:sz w:val="24"/>
        </w:rPr>
      </w:pPr>
      <w:r>
        <w:rPr>
          <w:rFonts w:hint="eastAsia"/>
          <w:sz w:val="24"/>
        </w:rPr>
        <w:t>9</w:t>
      </w:r>
      <w:r>
        <w:rPr>
          <w:sz w:val="24"/>
        </w:rPr>
        <w:t>．</w:t>
      </w:r>
      <w:r>
        <w:rPr>
          <w:rFonts w:hint="eastAsia"/>
          <w:sz w:val="24"/>
        </w:rPr>
        <w:t>______</w:t>
      </w:r>
      <w:r>
        <w:rPr>
          <w:sz w:val="24"/>
        </w:rPr>
        <w:t>（其他补充说明）。</w:t>
      </w:r>
    </w:p>
    <w:p>
      <w:pPr>
        <w:spacing w:line="380" w:lineRule="exact"/>
        <w:ind w:firstLine="3420" w:firstLineChars="1425"/>
        <w:rPr>
          <w:sz w:val="24"/>
        </w:rPr>
      </w:pPr>
      <w:r>
        <w:rPr>
          <w:sz w:val="24"/>
        </w:rPr>
        <w:t>投 标 人：</w:t>
      </w:r>
      <w:r>
        <w:rPr>
          <w:rFonts w:hint="eastAsia"/>
          <w:sz w:val="24"/>
        </w:rPr>
        <w:t>_________________</w:t>
      </w:r>
      <w:r>
        <w:rPr>
          <w:sz w:val="24"/>
        </w:rPr>
        <w:t>（盖单位章）</w:t>
      </w:r>
      <w:r>
        <w:rPr>
          <w:rStyle w:val="56"/>
          <w:rFonts w:ascii="宋体" w:hAnsi="宋体"/>
          <w:sz w:val="32"/>
          <w:szCs w:val="32"/>
        </w:rPr>
        <w:footnoteReference w:id="79"/>
      </w:r>
    </w:p>
    <w:p>
      <w:pPr>
        <w:spacing w:line="380" w:lineRule="exact"/>
        <w:ind w:firstLine="3420" w:firstLineChars="1425"/>
        <w:rPr>
          <w:sz w:val="24"/>
        </w:rPr>
      </w:pPr>
      <w:r>
        <w:rPr>
          <w:sz w:val="24"/>
        </w:rPr>
        <w:t>法定代表人或其委托代理人：</w:t>
      </w:r>
      <w:r>
        <w:rPr>
          <w:rFonts w:hint="eastAsia"/>
          <w:sz w:val="24"/>
        </w:rPr>
        <w:t>______</w:t>
      </w:r>
      <w:r>
        <w:rPr>
          <w:sz w:val="24"/>
        </w:rPr>
        <w:t>（签字）</w:t>
      </w:r>
    </w:p>
    <w:p>
      <w:pPr>
        <w:spacing w:line="380" w:lineRule="exact"/>
        <w:ind w:firstLine="3420" w:firstLineChars="1425"/>
        <w:rPr>
          <w:sz w:val="24"/>
        </w:rPr>
      </w:pPr>
      <w:r>
        <w:rPr>
          <w:sz w:val="24"/>
        </w:rPr>
        <w:t>地址：</w:t>
      </w:r>
      <w:r>
        <w:rPr>
          <w:rFonts w:hint="eastAsia"/>
          <w:sz w:val="24"/>
        </w:rPr>
        <w:t>______________________________</w:t>
      </w:r>
    </w:p>
    <w:p>
      <w:pPr>
        <w:spacing w:line="380" w:lineRule="exact"/>
        <w:ind w:firstLine="3420" w:firstLineChars="1425"/>
        <w:rPr>
          <w:sz w:val="24"/>
        </w:rPr>
      </w:pPr>
      <w:r>
        <w:rPr>
          <w:sz w:val="24"/>
        </w:rPr>
        <w:t>网址：</w:t>
      </w:r>
      <w:r>
        <w:rPr>
          <w:rFonts w:hint="eastAsia"/>
          <w:sz w:val="24"/>
        </w:rPr>
        <w:t>______________________________</w:t>
      </w:r>
    </w:p>
    <w:p>
      <w:pPr>
        <w:spacing w:line="380" w:lineRule="exact"/>
        <w:ind w:firstLine="3420" w:firstLineChars="1425"/>
        <w:rPr>
          <w:sz w:val="24"/>
        </w:rPr>
      </w:pPr>
      <w:r>
        <w:rPr>
          <w:sz w:val="24"/>
        </w:rPr>
        <w:t>电话：</w:t>
      </w:r>
      <w:r>
        <w:rPr>
          <w:rFonts w:hint="eastAsia"/>
          <w:sz w:val="24"/>
        </w:rPr>
        <w:t>______________________________</w:t>
      </w:r>
    </w:p>
    <w:p>
      <w:pPr>
        <w:spacing w:line="380" w:lineRule="exact"/>
        <w:ind w:firstLine="3420" w:firstLineChars="1425"/>
        <w:rPr>
          <w:sz w:val="24"/>
        </w:rPr>
      </w:pPr>
      <w:r>
        <w:rPr>
          <w:sz w:val="24"/>
        </w:rPr>
        <w:t>传真：</w:t>
      </w:r>
      <w:r>
        <w:rPr>
          <w:rFonts w:hint="eastAsia"/>
          <w:sz w:val="24"/>
        </w:rPr>
        <w:t>______________________________</w:t>
      </w:r>
    </w:p>
    <w:p>
      <w:pPr>
        <w:spacing w:line="380" w:lineRule="exact"/>
        <w:ind w:firstLine="3420" w:firstLineChars="1425"/>
        <w:rPr>
          <w:sz w:val="24"/>
        </w:rPr>
      </w:pPr>
      <w:r>
        <w:rPr>
          <w:sz w:val="24"/>
        </w:rPr>
        <w:t>邮政编码：</w:t>
      </w:r>
      <w:r>
        <w:rPr>
          <w:rFonts w:hint="eastAsia"/>
          <w:sz w:val="24"/>
        </w:rPr>
        <w:t>______________________________</w:t>
      </w:r>
    </w:p>
    <w:p>
      <w:pPr>
        <w:spacing w:line="380" w:lineRule="exact"/>
        <w:ind w:firstLine="4740" w:firstLineChars="1975"/>
        <w:rPr>
          <w:sz w:val="24"/>
        </w:rPr>
        <w:sectPr>
          <w:headerReference r:id="rId24" w:type="even"/>
          <w:footnotePr>
            <w:numRestart w:val="eachPage"/>
          </w:footnotePr>
          <w:pgSz w:w="11905" w:h="16838"/>
          <w:pgMar w:top="1803" w:right="1440" w:bottom="1803" w:left="1440" w:header="851" w:footer="850" w:gutter="0"/>
          <w:cols w:space="0" w:num="1"/>
          <w:docGrid w:linePitch="312" w:charSpace="0"/>
        </w:sectPr>
      </w:pPr>
      <w:r>
        <w:rPr>
          <w:rFonts w:hint="eastAsia"/>
          <w:sz w:val="24"/>
        </w:rPr>
        <w:t>______</w:t>
      </w:r>
      <w:r>
        <w:rPr>
          <w:sz w:val="24"/>
        </w:rPr>
        <w:t>年</w:t>
      </w:r>
      <w:r>
        <w:rPr>
          <w:rFonts w:hint="eastAsia"/>
          <w:sz w:val="24"/>
        </w:rPr>
        <w:t>______</w:t>
      </w:r>
      <w:r>
        <w:rPr>
          <w:sz w:val="24"/>
        </w:rPr>
        <w:t>月</w:t>
      </w:r>
      <w:r>
        <w:rPr>
          <w:rFonts w:hint="eastAsia"/>
          <w:sz w:val="24"/>
        </w:rPr>
        <w:t>______</w:t>
      </w:r>
      <w:r>
        <w:rPr>
          <w:sz w:val="24"/>
        </w:rPr>
        <w:t>日</w:t>
      </w:r>
    </w:p>
    <w:p>
      <w:pPr>
        <w:spacing w:beforeLines="100" w:afterLines="50" w:line="400" w:lineRule="atLeast"/>
        <w:jc w:val="center"/>
        <w:rPr>
          <w:rFonts w:eastAsia="黑体"/>
          <w:b/>
          <w:sz w:val="30"/>
          <w:szCs w:val="30"/>
        </w:rPr>
      </w:pPr>
      <w:bookmarkStart w:id="759" w:name="_Toc462746991"/>
      <w:bookmarkStart w:id="760" w:name="_Toc503235835"/>
      <w:bookmarkStart w:id="761" w:name="_Toc234833258"/>
      <w:bookmarkStart w:id="762" w:name="_Toc234833260"/>
      <w:r>
        <w:rPr>
          <w:rFonts w:eastAsia="黑体"/>
          <w:sz w:val="30"/>
          <w:szCs w:val="30"/>
        </w:rPr>
        <w:t>二、</w:t>
      </w:r>
      <w:r>
        <w:rPr>
          <w:rFonts w:hint="eastAsia" w:eastAsia="黑体"/>
          <w:sz w:val="30"/>
          <w:szCs w:val="30"/>
        </w:rPr>
        <w:t>授权</w:t>
      </w:r>
      <w:r>
        <w:rPr>
          <w:rFonts w:eastAsia="黑体"/>
          <w:sz w:val="30"/>
          <w:szCs w:val="30"/>
        </w:rPr>
        <w:t>委托书或法定代表人身份证明</w:t>
      </w:r>
      <w:bookmarkEnd w:id="759"/>
      <w:bookmarkEnd w:id="760"/>
    </w:p>
    <w:p>
      <w:pPr>
        <w:pStyle w:val="2"/>
        <w:spacing w:beforeLines="150" w:afterLines="100" w:line="380" w:lineRule="atLeast"/>
        <w:jc w:val="center"/>
        <w:rPr>
          <w:rFonts w:eastAsia="黑体"/>
          <w:sz w:val="28"/>
          <w:szCs w:val="28"/>
        </w:rPr>
      </w:pPr>
      <w:bookmarkStart w:id="763" w:name="_Toc503235836"/>
      <w:bookmarkStart w:id="764" w:name="_Toc508984161"/>
      <w:bookmarkStart w:id="765" w:name="_Toc508984364"/>
      <w:bookmarkStart w:id="766" w:name="_Toc462746992"/>
      <w:r>
        <w:rPr>
          <w:rFonts w:hint="eastAsia" w:eastAsia="黑体"/>
          <w:bCs w:val="0"/>
          <w:sz w:val="28"/>
          <w:szCs w:val="28"/>
        </w:rPr>
        <w:t>（一）</w:t>
      </w:r>
      <w:r>
        <w:rPr>
          <w:rFonts w:eastAsia="黑体"/>
          <w:b w:val="0"/>
          <w:sz w:val="28"/>
          <w:szCs w:val="28"/>
        </w:rPr>
        <w:t>授权委托书</w:t>
      </w:r>
      <w:r>
        <w:rPr>
          <w:rStyle w:val="56"/>
          <w:rFonts w:ascii="宋体" w:hAnsi="宋体"/>
          <w:b w:val="0"/>
          <w:bCs w:val="0"/>
          <w:kern w:val="2"/>
          <w:sz w:val="32"/>
          <w:szCs w:val="32"/>
        </w:rPr>
        <w:footnoteReference w:id="80"/>
      </w:r>
      <w:bookmarkEnd w:id="763"/>
      <w:bookmarkEnd w:id="764"/>
      <w:bookmarkEnd w:id="765"/>
    </w:p>
    <w:p>
      <w:pPr>
        <w:spacing w:line="440" w:lineRule="exact"/>
        <w:rPr>
          <w:rFonts w:eastAsia="黑体"/>
          <w:sz w:val="24"/>
        </w:rPr>
      </w:pPr>
    </w:p>
    <w:p>
      <w:pPr>
        <w:topLinePunct/>
        <w:spacing w:line="440" w:lineRule="exact"/>
        <w:ind w:firstLine="480" w:firstLineChars="200"/>
        <w:rPr>
          <w:sz w:val="24"/>
        </w:rPr>
      </w:pPr>
      <w:r>
        <w:rPr>
          <w:sz w:val="24"/>
        </w:rPr>
        <w:t>本人</w:t>
      </w:r>
      <w:r>
        <w:rPr>
          <w:rFonts w:hint="eastAsia"/>
          <w:sz w:val="24"/>
        </w:rPr>
        <w:t>______</w:t>
      </w:r>
      <w:r>
        <w:rPr>
          <w:sz w:val="24"/>
        </w:rPr>
        <w:t>（姓名）系</w:t>
      </w:r>
      <w:r>
        <w:rPr>
          <w:rFonts w:hint="eastAsia"/>
          <w:sz w:val="24"/>
        </w:rPr>
        <w:t>______</w:t>
      </w:r>
      <w:r>
        <w:rPr>
          <w:sz w:val="24"/>
        </w:rPr>
        <w:t>（投标人名称）的法定代表人，现委托</w:t>
      </w:r>
      <w:r>
        <w:rPr>
          <w:rFonts w:hint="eastAsia"/>
          <w:sz w:val="24"/>
        </w:rPr>
        <w:t>______</w:t>
      </w:r>
      <w:r>
        <w:rPr>
          <w:sz w:val="24"/>
        </w:rPr>
        <w:t>（姓名）为我方代理人。代理人根据授权，以我方名义签署、澄清确认、递交、撤回、修改</w:t>
      </w:r>
      <w:r>
        <w:rPr>
          <w:rFonts w:hint="eastAsia"/>
          <w:sz w:val="24"/>
        </w:rPr>
        <w:t>______</w:t>
      </w:r>
      <w:r>
        <w:rPr>
          <w:sz w:val="24"/>
          <w:u w:val="single"/>
        </w:rPr>
        <w:t>（项目名称）</w:t>
      </w:r>
      <w:r>
        <w:rPr>
          <w:rFonts w:hint="eastAsia"/>
          <w:sz w:val="24"/>
          <w:u w:val="single"/>
          <w:lang w:val="en-US" w:eastAsia="zh-CN"/>
        </w:rPr>
        <w:t xml:space="preserve">    </w:t>
      </w:r>
      <w:r>
        <w:rPr>
          <w:sz w:val="24"/>
          <w:u w:val="single"/>
        </w:rPr>
        <w:t>标段</w:t>
      </w:r>
      <w:r>
        <w:rPr>
          <w:rFonts w:hint="eastAsia"/>
          <w:sz w:val="24"/>
        </w:rPr>
        <w:t>勘察设计咨询投标</w:t>
      </w:r>
      <w:r>
        <w:rPr>
          <w:sz w:val="24"/>
        </w:rPr>
        <w:t>文件、签订合同和处理有关事宜，其法律后果由我方承担。</w:t>
      </w:r>
    </w:p>
    <w:p>
      <w:pPr>
        <w:spacing w:line="440" w:lineRule="exact"/>
        <w:rPr>
          <w:sz w:val="24"/>
        </w:rPr>
      </w:pPr>
      <w:r>
        <w:rPr>
          <w:sz w:val="24"/>
        </w:rPr>
        <w:t xml:space="preserve">    委托期限：</w:t>
      </w:r>
      <w:r>
        <w:rPr>
          <w:rFonts w:hint="eastAsia"/>
          <w:sz w:val="24"/>
        </w:rPr>
        <w:t>自本委托书签署之日起至投标有效期</w:t>
      </w:r>
      <w:r>
        <w:rPr>
          <w:sz w:val="24"/>
        </w:rPr>
        <w:t>期</w:t>
      </w:r>
      <w:r>
        <w:rPr>
          <w:rFonts w:hint="eastAsia"/>
          <w:sz w:val="24"/>
        </w:rPr>
        <w:t>满</w:t>
      </w:r>
      <w:r>
        <w:rPr>
          <w:sz w:val="24"/>
        </w:rPr>
        <w:t>。</w:t>
      </w:r>
    </w:p>
    <w:p>
      <w:pPr>
        <w:spacing w:line="440" w:lineRule="exact"/>
        <w:ind w:firstLine="480" w:firstLineChars="200"/>
        <w:rPr>
          <w:sz w:val="24"/>
        </w:rPr>
      </w:pPr>
      <w:r>
        <w:rPr>
          <w:sz w:val="24"/>
        </w:rPr>
        <w:t>代理人无转委托权。</w:t>
      </w:r>
    </w:p>
    <w:p>
      <w:pPr>
        <w:spacing w:line="440" w:lineRule="exact"/>
        <w:rPr>
          <w:sz w:val="24"/>
        </w:rPr>
      </w:pPr>
    </w:p>
    <w:p>
      <w:pPr>
        <w:spacing w:line="440" w:lineRule="exact"/>
        <w:ind w:firstLine="480" w:firstLineChars="200"/>
        <w:rPr>
          <w:sz w:val="24"/>
        </w:rPr>
      </w:pPr>
      <w:r>
        <w:rPr>
          <w:sz w:val="24"/>
        </w:rPr>
        <w:t>附：法定代表人身份证复印件及委托代理人身份证复印件。</w:t>
      </w:r>
    </w:p>
    <w:p>
      <w:pPr>
        <w:spacing w:line="440" w:lineRule="exact"/>
        <w:rPr>
          <w:sz w:val="24"/>
        </w:rPr>
      </w:pPr>
    </w:p>
    <w:p>
      <w:pPr>
        <w:topLinePunct/>
        <w:spacing w:line="400" w:lineRule="atLeast"/>
        <w:ind w:firstLine="3290" w:firstLineChars="1371"/>
        <w:rPr>
          <w:sz w:val="24"/>
        </w:rPr>
      </w:pPr>
      <w:r>
        <w:rPr>
          <w:sz w:val="24"/>
        </w:rPr>
        <w:t>投标人：</w:t>
      </w:r>
      <w:r>
        <w:rPr>
          <w:rFonts w:hint="eastAsia"/>
          <w:sz w:val="24"/>
        </w:rPr>
        <w:t>__________________</w:t>
      </w:r>
      <w:r>
        <w:rPr>
          <w:sz w:val="24"/>
        </w:rPr>
        <w:t>（盖单位章）</w:t>
      </w:r>
    </w:p>
    <w:p>
      <w:pPr>
        <w:topLinePunct/>
        <w:spacing w:line="400" w:lineRule="atLeast"/>
        <w:ind w:firstLine="3290" w:firstLineChars="1371"/>
        <w:rPr>
          <w:sz w:val="24"/>
        </w:rPr>
      </w:pPr>
    </w:p>
    <w:p>
      <w:pPr>
        <w:topLinePunct/>
        <w:spacing w:line="400" w:lineRule="atLeast"/>
        <w:ind w:firstLine="3290" w:firstLineChars="1371"/>
        <w:rPr>
          <w:sz w:val="24"/>
        </w:rPr>
      </w:pPr>
      <w:r>
        <w:rPr>
          <w:sz w:val="24"/>
        </w:rPr>
        <w:t>法定代表人：</w:t>
      </w:r>
      <w:r>
        <w:rPr>
          <w:rFonts w:hint="eastAsia"/>
          <w:sz w:val="24"/>
        </w:rPr>
        <w:t>__________________</w:t>
      </w:r>
      <w:r>
        <w:rPr>
          <w:sz w:val="24"/>
        </w:rPr>
        <w:t>（签字）</w:t>
      </w:r>
    </w:p>
    <w:p>
      <w:pPr>
        <w:topLinePunct/>
        <w:spacing w:line="400" w:lineRule="atLeast"/>
        <w:ind w:firstLine="3290" w:firstLineChars="1371"/>
        <w:rPr>
          <w:sz w:val="24"/>
        </w:rPr>
      </w:pPr>
    </w:p>
    <w:p>
      <w:pPr>
        <w:topLinePunct/>
        <w:spacing w:line="400" w:lineRule="atLeast"/>
        <w:ind w:firstLine="3290" w:firstLineChars="1371"/>
        <w:rPr>
          <w:sz w:val="24"/>
          <w:u w:val="single"/>
        </w:rPr>
      </w:pPr>
      <w:r>
        <w:rPr>
          <w:sz w:val="24"/>
        </w:rPr>
        <w:t>身份证号码：</w:t>
      </w:r>
      <w:r>
        <w:rPr>
          <w:rFonts w:hint="eastAsia"/>
          <w:sz w:val="24"/>
        </w:rPr>
        <w:t>__________________</w:t>
      </w:r>
    </w:p>
    <w:p>
      <w:pPr>
        <w:topLinePunct/>
        <w:spacing w:line="400" w:lineRule="atLeast"/>
        <w:ind w:firstLine="3290" w:firstLineChars="1371"/>
        <w:rPr>
          <w:sz w:val="24"/>
        </w:rPr>
      </w:pPr>
    </w:p>
    <w:p>
      <w:pPr>
        <w:topLinePunct/>
        <w:spacing w:line="400" w:lineRule="atLeast"/>
        <w:ind w:firstLine="3290" w:firstLineChars="1371"/>
        <w:rPr>
          <w:sz w:val="24"/>
        </w:rPr>
      </w:pPr>
      <w:r>
        <w:rPr>
          <w:sz w:val="24"/>
        </w:rPr>
        <w:t>委托代理人：</w:t>
      </w:r>
      <w:r>
        <w:rPr>
          <w:rFonts w:hint="eastAsia"/>
          <w:sz w:val="24"/>
        </w:rPr>
        <w:t>__________________</w:t>
      </w:r>
      <w:r>
        <w:rPr>
          <w:sz w:val="24"/>
        </w:rPr>
        <w:t xml:space="preserve">（签字）   </w:t>
      </w:r>
    </w:p>
    <w:p>
      <w:pPr>
        <w:topLinePunct/>
        <w:spacing w:line="400" w:lineRule="atLeast"/>
        <w:ind w:left="2699" w:firstLine="3290" w:firstLineChars="1371"/>
        <w:rPr>
          <w:sz w:val="24"/>
        </w:rPr>
      </w:pPr>
    </w:p>
    <w:p>
      <w:pPr>
        <w:topLinePunct/>
        <w:spacing w:line="400" w:lineRule="atLeast"/>
        <w:ind w:firstLine="3290" w:firstLineChars="1371"/>
        <w:rPr>
          <w:sz w:val="24"/>
          <w:u w:val="single"/>
        </w:rPr>
      </w:pPr>
      <w:r>
        <w:rPr>
          <w:sz w:val="24"/>
        </w:rPr>
        <w:t>身份证号码：</w:t>
      </w:r>
      <w:r>
        <w:rPr>
          <w:rFonts w:hint="eastAsia"/>
          <w:sz w:val="24"/>
        </w:rPr>
        <w:t>__________________</w:t>
      </w:r>
    </w:p>
    <w:p>
      <w:pPr>
        <w:topLinePunct/>
        <w:spacing w:line="400" w:lineRule="atLeast"/>
        <w:ind w:firstLine="3290" w:firstLineChars="1371"/>
        <w:rPr>
          <w:sz w:val="24"/>
        </w:rPr>
      </w:pPr>
    </w:p>
    <w:p>
      <w:pPr>
        <w:topLinePunct/>
        <w:spacing w:line="400" w:lineRule="atLeast"/>
        <w:ind w:left="418" w:leftChars="199" w:firstLine="4200" w:firstLineChars="1750"/>
        <w:jc w:val="left"/>
        <w:rPr>
          <w:sz w:val="24"/>
        </w:rPr>
      </w:pPr>
      <w:r>
        <w:rPr>
          <w:rFonts w:hint="eastAsia"/>
          <w:sz w:val="24"/>
        </w:rPr>
        <w:t>______</w:t>
      </w:r>
      <w:r>
        <w:rPr>
          <w:sz w:val="24"/>
        </w:rPr>
        <w:t>年</w:t>
      </w:r>
      <w:r>
        <w:rPr>
          <w:rFonts w:hint="eastAsia"/>
          <w:sz w:val="24"/>
        </w:rPr>
        <w:t>______</w:t>
      </w:r>
      <w:r>
        <w:rPr>
          <w:sz w:val="24"/>
        </w:rPr>
        <w:t>月</w:t>
      </w:r>
      <w:r>
        <w:rPr>
          <w:rFonts w:hint="eastAsia"/>
          <w:sz w:val="24"/>
        </w:rPr>
        <w:t>______</w:t>
      </w:r>
      <w:r>
        <w:rPr>
          <w:sz w:val="24"/>
        </w:rPr>
        <w:t>日</w:t>
      </w:r>
    </w:p>
    <w:p>
      <w:pPr>
        <w:spacing w:line="440" w:lineRule="exact"/>
        <w:rPr>
          <w:rFonts w:eastAsia="黑体"/>
          <w:sz w:val="24"/>
        </w:rPr>
      </w:pPr>
    </w:p>
    <w:p>
      <w:pPr>
        <w:pStyle w:val="36"/>
        <w:adjustRightInd/>
        <w:spacing w:line="240" w:lineRule="auto"/>
        <w:ind w:firstLine="0"/>
        <w:textAlignment w:val="auto"/>
        <w:rPr>
          <w:kern w:val="2"/>
          <w:sz w:val="21"/>
          <w:szCs w:val="21"/>
        </w:rPr>
      </w:pPr>
      <w:r>
        <w:rPr>
          <w:kern w:val="2"/>
          <w:sz w:val="21"/>
          <w:szCs w:val="21"/>
        </w:rPr>
        <w:t>注：</w:t>
      </w:r>
    </w:p>
    <w:p>
      <w:pPr>
        <w:pStyle w:val="36"/>
        <w:rPr>
          <w:kern w:val="2"/>
          <w:sz w:val="21"/>
          <w:szCs w:val="21"/>
        </w:rPr>
      </w:pPr>
      <w:r>
        <w:rPr>
          <w:rFonts w:hint="eastAsia"/>
          <w:kern w:val="2"/>
          <w:sz w:val="21"/>
          <w:szCs w:val="21"/>
        </w:rPr>
        <w:t>1. 法定代表人和委托代理人必须在授权书上亲笔签名，不得使用印章、签名章或其他电子制版签名；如果由投标人的委托代理人签署投标文件，则不需提交法定代表人身份证明。</w:t>
      </w:r>
    </w:p>
    <w:p>
      <w:pPr>
        <w:spacing w:line="400" w:lineRule="atLeast"/>
        <w:ind w:firstLine="420" w:firstLineChars="200"/>
        <w:rPr>
          <w:szCs w:val="21"/>
        </w:rPr>
      </w:pPr>
      <w:r>
        <w:rPr>
          <w:rFonts w:hint="eastAsia"/>
          <w:szCs w:val="21"/>
        </w:rPr>
        <w:t>2.以联合体形式投标的，本授权委托书应由联合体牵头人的法定代表人按上述规定签署。</w:t>
      </w:r>
    </w:p>
    <w:p>
      <w:pPr>
        <w:pStyle w:val="2"/>
        <w:spacing w:beforeLines="150" w:afterLines="100" w:line="380" w:lineRule="atLeast"/>
        <w:jc w:val="center"/>
        <w:rPr>
          <w:rFonts w:eastAsia="黑体"/>
          <w:b w:val="0"/>
          <w:sz w:val="28"/>
          <w:szCs w:val="28"/>
        </w:rPr>
      </w:pPr>
      <w:r>
        <w:rPr>
          <w:rFonts w:eastAsia="黑体"/>
          <w:sz w:val="28"/>
          <w:szCs w:val="28"/>
        </w:rPr>
        <w:br w:type="page"/>
      </w:r>
      <w:bookmarkStart w:id="767" w:name="_Toc508984365"/>
      <w:bookmarkStart w:id="768" w:name="_Toc503235837"/>
      <w:bookmarkStart w:id="769" w:name="_Toc508984162"/>
      <w:r>
        <w:rPr>
          <w:rFonts w:hint="eastAsia" w:eastAsia="黑体"/>
          <w:b w:val="0"/>
          <w:sz w:val="28"/>
          <w:szCs w:val="28"/>
        </w:rPr>
        <w:t>（二）</w:t>
      </w:r>
      <w:r>
        <w:rPr>
          <w:rFonts w:eastAsia="黑体"/>
          <w:b w:val="0"/>
          <w:sz w:val="28"/>
          <w:szCs w:val="28"/>
        </w:rPr>
        <w:t xml:space="preserve"> 法定代表人身份证明</w:t>
      </w:r>
      <w:bookmarkEnd w:id="766"/>
      <w:bookmarkEnd w:id="767"/>
      <w:bookmarkEnd w:id="768"/>
      <w:bookmarkEnd w:id="769"/>
      <w:r>
        <w:rPr>
          <w:rStyle w:val="56"/>
          <w:rFonts w:ascii="宋体" w:hAnsi="宋体"/>
          <w:b w:val="0"/>
          <w:bCs w:val="0"/>
          <w:kern w:val="2"/>
          <w:sz w:val="32"/>
          <w:szCs w:val="32"/>
        </w:rPr>
        <w:footnoteReference w:id="81"/>
      </w:r>
    </w:p>
    <w:p>
      <w:pPr>
        <w:spacing w:line="440" w:lineRule="exact"/>
        <w:rPr>
          <w:sz w:val="20"/>
          <w:szCs w:val="20"/>
        </w:rPr>
      </w:pPr>
    </w:p>
    <w:p>
      <w:pPr>
        <w:spacing w:line="440" w:lineRule="exact"/>
        <w:rPr>
          <w:sz w:val="24"/>
        </w:rPr>
      </w:pPr>
      <w:r>
        <w:rPr>
          <w:sz w:val="24"/>
        </w:rPr>
        <w:t>投标人名称：</w:t>
      </w:r>
      <w:r>
        <w:rPr>
          <w:rFonts w:hint="eastAsia"/>
          <w:sz w:val="24"/>
        </w:rPr>
        <w:t>_____</w:t>
      </w:r>
    </w:p>
    <w:p>
      <w:pPr>
        <w:spacing w:line="440" w:lineRule="exact"/>
        <w:ind w:firstLine="480" w:firstLineChars="200"/>
        <w:rPr>
          <w:sz w:val="24"/>
        </w:rPr>
      </w:pPr>
      <w:r>
        <w:rPr>
          <w:sz w:val="24"/>
        </w:rPr>
        <w:t>姓名：</w:t>
      </w:r>
      <w:r>
        <w:rPr>
          <w:bCs/>
          <w:sz w:val="24"/>
          <w:u w:val="single"/>
        </w:rPr>
        <w:t>（法定代表人</w:t>
      </w:r>
      <w:r>
        <w:rPr>
          <w:rFonts w:hint="eastAsia"/>
          <w:bCs/>
          <w:sz w:val="24"/>
          <w:u w:val="single"/>
        </w:rPr>
        <w:t>亲笔</w:t>
      </w:r>
      <w:r>
        <w:rPr>
          <w:bCs/>
          <w:sz w:val="24"/>
          <w:u w:val="single"/>
        </w:rPr>
        <w:t>签字）</w:t>
      </w:r>
      <w:r>
        <w:rPr>
          <w:sz w:val="24"/>
        </w:rPr>
        <w:t xml:space="preserve"> 性别：</w:t>
      </w:r>
      <w:r>
        <w:rPr>
          <w:rFonts w:hint="eastAsia"/>
          <w:sz w:val="24"/>
        </w:rPr>
        <w:t>_____</w:t>
      </w:r>
      <w:r>
        <w:rPr>
          <w:sz w:val="24"/>
        </w:rPr>
        <w:t>年龄：</w:t>
      </w:r>
      <w:r>
        <w:rPr>
          <w:rFonts w:hint="eastAsia"/>
          <w:sz w:val="24"/>
        </w:rPr>
        <w:t>_____</w:t>
      </w:r>
      <w:r>
        <w:rPr>
          <w:sz w:val="24"/>
        </w:rPr>
        <w:t>职务：</w:t>
      </w:r>
      <w:r>
        <w:rPr>
          <w:rFonts w:hint="eastAsia"/>
          <w:sz w:val="24"/>
        </w:rPr>
        <w:t>_____</w:t>
      </w:r>
    </w:p>
    <w:p>
      <w:pPr>
        <w:spacing w:line="440" w:lineRule="exact"/>
        <w:rPr>
          <w:sz w:val="24"/>
        </w:rPr>
      </w:pPr>
      <w:r>
        <w:rPr>
          <w:sz w:val="24"/>
        </w:rPr>
        <w:t xml:space="preserve">系 </w:t>
      </w:r>
      <w:r>
        <w:rPr>
          <w:rFonts w:hint="eastAsia"/>
          <w:sz w:val="24"/>
        </w:rPr>
        <w:t>__________</w:t>
      </w:r>
      <w:r>
        <w:rPr>
          <w:sz w:val="24"/>
        </w:rPr>
        <w:t>（投标人名称）的法定代表人。</w:t>
      </w:r>
    </w:p>
    <w:p>
      <w:pPr>
        <w:spacing w:line="440" w:lineRule="exact"/>
        <w:ind w:firstLine="480" w:firstLineChars="200"/>
        <w:rPr>
          <w:sz w:val="24"/>
        </w:rPr>
      </w:pPr>
      <w:r>
        <w:rPr>
          <w:sz w:val="24"/>
        </w:rPr>
        <w:t>特此证明。</w:t>
      </w:r>
    </w:p>
    <w:p>
      <w:pPr>
        <w:spacing w:line="440" w:lineRule="exact"/>
        <w:rPr>
          <w:sz w:val="24"/>
        </w:rPr>
      </w:pPr>
    </w:p>
    <w:p>
      <w:pPr>
        <w:spacing w:line="440" w:lineRule="exact"/>
        <w:ind w:firstLine="480" w:firstLineChars="200"/>
        <w:rPr>
          <w:sz w:val="24"/>
        </w:rPr>
      </w:pPr>
      <w:r>
        <w:rPr>
          <w:sz w:val="24"/>
        </w:rPr>
        <w:t>附：法定代表人身份证复印件。</w:t>
      </w:r>
    </w:p>
    <w:p>
      <w:pPr>
        <w:spacing w:line="440" w:lineRule="exact"/>
      </w:pPr>
    </w:p>
    <w:p>
      <w:pPr>
        <w:spacing w:line="440" w:lineRule="exact"/>
        <w:rPr>
          <w:sz w:val="24"/>
        </w:rPr>
      </w:pPr>
    </w:p>
    <w:p>
      <w:pPr>
        <w:spacing w:line="440" w:lineRule="exact"/>
        <w:rPr>
          <w:sz w:val="24"/>
        </w:rPr>
      </w:pPr>
    </w:p>
    <w:p>
      <w:pPr>
        <w:spacing w:line="440" w:lineRule="exact"/>
        <w:ind w:firstLine="5520" w:firstLineChars="2300"/>
        <w:rPr>
          <w:sz w:val="24"/>
        </w:rPr>
      </w:pPr>
      <w:r>
        <w:rPr>
          <w:sz w:val="24"/>
        </w:rPr>
        <w:t>投标人：</w:t>
      </w:r>
      <w:r>
        <w:rPr>
          <w:rFonts w:hint="eastAsia"/>
          <w:sz w:val="24"/>
        </w:rPr>
        <w:t>_____</w:t>
      </w:r>
      <w:r>
        <w:rPr>
          <w:sz w:val="24"/>
        </w:rPr>
        <w:t>（盖单位章）</w:t>
      </w:r>
    </w:p>
    <w:p>
      <w:pPr>
        <w:spacing w:line="440" w:lineRule="exact"/>
        <w:ind w:right="480" w:firstLine="5640" w:firstLineChars="2350"/>
        <w:rPr>
          <w:sz w:val="24"/>
        </w:rPr>
      </w:pPr>
      <w:r>
        <w:rPr>
          <w:rFonts w:hint="eastAsia"/>
          <w:sz w:val="24"/>
        </w:rPr>
        <w:t>_____</w:t>
      </w:r>
      <w:r>
        <w:rPr>
          <w:sz w:val="24"/>
        </w:rPr>
        <w:t>年</w:t>
      </w:r>
      <w:r>
        <w:rPr>
          <w:rFonts w:hint="eastAsia"/>
          <w:sz w:val="24"/>
        </w:rPr>
        <w:t>_____</w:t>
      </w:r>
      <w:r>
        <w:rPr>
          <w:sz w:val="24"/>
        </w:rPr>
        <w:t>月</w:t>
      </w:r>
      <w:r>
        <w:rPr>
          <w:rFonts w:hint="eastAsia"/>
          <w:sz w:val="24"/>
        </w:rPr>
        <w:t>_____</w:t>
      </w:r>
      <w:r>
        <w:rPr>
          <w:sz w:val="24"/>
        </w:rPr>
        <w:t xml:space="preserve">日 </w:t>
      </w:r>
    </w:p>
    <w:p>
      <w:pPr>
        <w:topLinePunct/>
        <w:spacing w:line="440" w:lineRule="exact"/>
        <w:rPr>
          <w:rFonts w:eastAsia="黑体"/>
          <w:sz w:val="24"/>
        </w:rPr>
      </w:pPr>
    </w:p>
    <w:p>
      <w:pPr>
        <w:topLinePunct/>
        <w:spacing w:line="440" w:lineRule="exact"/>
        <w:rPr>
          <w:rFonts w:eastAsia="黑体"/>
          <w:sz w:val="24"/>
        </w:rPr>
      </w:pPr>
    </w:p>
    <w:p>
      <w:pPr>
        <w:topLinePunct/>
        <w:spacing w:line="440" w:lineRule="exact"/>
        <w:rPr>
          <w:rFonts w:eastAsia="黑体"/>
          <w:sz w:val="24"/>
        </w:rPr>
      </w:pPr>
    </w:p>
    <w:p>
      <w:pPr>
        <w:topLinePunct/>
        <w:spacing w:line="440" w:lineRule="exact"/>
        <w:rPr>
          <w:rFonts w:eastAsia="黑体"/>
          <w:sz w:val="24"/>
        </w:rPr>
      </w:pPr>
    </w:p>
    <w:p>
      <w:pPr>
        <w:spacing w:line="400" w:lineRule="atLeast"/>
        <w:ind w:firstLine="420" w:firstLineChars="200"/>
        <w:rPr>
          <w:szCs w:val="21"/>
        </w:rPr>
      </w:pPr>
      <w:r>
        <w:rPr>
          <w:szCs w:val="21"/>
        </w:rPr>
        <w:t>注：.法定代表人的签字必须是亲笔签名，不得使用印章、签名章或其他电子制版签名</w:t>
      </w:r>
      <w:r>
        <w:rPr>
          <w:rFonts w:hint="eastAsia"/>
          <w:szCs w:val="21"/>
        </w:rPr>
        <w:t>代替</w:t>
      </w:r>
      <w:r>
        <w:rPr>
          <w:szCs w:val="21"/>
        </w:rPr>
        <w:t>。</w:t>
      </w:r>
    </w:p>
    <w:p>
      <w:pPr>
        <w:spacing w:line="400" w:lineRule="atLeast"/>
        <w:jc w:val="left"/>
        <w:rPr>
          <w:szCs w:val="21"/>
        </w:rPr>
      </w:pPr>
    </w:p>
    <w:p>
      <w:pPr>
        <w:spacing w:line="440" w:lineRule="exact"/>
        <w:jc w:val="center"/>
        <w:rPr>
          <w:rFonts w:eastAsia="黑体"/>
          <w:sz w:val="24"/>
        </w:rPr>
      </w:pPr>
    </w:p>
    <w:p>
      <w:pPr>
        <w:pStyle w:val="2"/>
        <w:spacing w:beforeLines="150" w:afterLines="100" w:line="380" w:lineRule="atLeast"/>
        <w:jc w:val="center"/>
        <w:rPr>
          <w:rFonts w:eastAsia="黑体"/>
          <w:sz w:val="28"/>
          <w:szCs w:val="28"/>
        </w:rPr>
      </w:pPr>
      <w:r>
        <w:rPr>
          <w:rFonts w:eastAsia="黑体"/>
          <w:bCs w:val="0"/>
          <w:sz w:val="28"/>
          <w:szCs w:val="28"/>
        </w:rPr>
        <w:br w:type="page"/>
      </w:r>
      <w:bookmarkEnd w:id="761"/>
      <w:bookmarkEnd w:id="762"/>
      <w:bookmarkStart w:id="770" w:name="_Toc234833261"/>
      <w:bookmarkStart w:id="771" w:name="_Toc503235838"/>
      <w:bookmarkStart w:id="772" w:name="_Toc508984366"/>
      <w:bookmarkStart w:id="773" w:name="_Toc508984163"/>
      <w:r>
        <w:rPr>
          <w:rFonts w:eastAsia="黑体"/>
          <w:sz w:val="28"/>
          <w:szCs w:val="28"/>
        </w:rPr>
        <w:t>三、</w:t>
      </w:r>
      <w:r>
        <w:rPr>
          <w:rFonts w:eastAsia="黑体"/>
          <w:b w:val="0"/>
          <w:sz w:val="28"/>
          <w:szCs w:val="28"/>
        </w:rPr>
        <w:t>联合体协议书</w:t>
      </w:r>
      <w:bookmarkEnd w:id="770"/>
      <w:bookmarkEnd w:id="771"/>
      <w:bookmarkEnd w:id="772"/>
      <w:bookmarkEnd w:id="773"/>
      <w:r>
        <w:rPr>
          <w:rFonts w:hint="eastAsia" w:eastAsia="黑体"/>
          <w:b w:val="0"/>
          <w:sz w:val="28"/>
          <w:szCs w:val="28"/>
        </w:rPr>
        <w:t>（如有）</w:t>
      </w:r>
    </w:p>
    <w:p>
      <w:pPr>
        <w:spacing w:line="440" w:lineRule="exact"/>
        <w:jc w:val="center"/>
        <w:rPr>
          <w:rFonts w:eastAsia="黑体"/>
          <w:sz w:val="24"/>
        </w:rPr>
      </w:pPr>
    </w:p>
    <w:p>
      <w:pPr>
        <w:spacing w:line="400" w:lineRule="atLeast"/>
        <w:ind w:firstLine="360"/>
        <w:rPr>
          <w:rFonts w:ascii="宋体" w:hAnsi="宋体"/>
          <w:sz w:val="24"/>
        </w:rPr>
      </w:pPr>
      <w:r>
        <w:rPr>
          <w:rFonts w:hint="eastAsia" w:ascii="宋体" w:hAnsi="宋体"/>
          <w:sz w:val="24"/>
        </w:rPr>
        <w:t>__________</w:t>
      </w:r>
      <w:r>
        <w:rPr>
          <w:rFonts w:ascii="宋体" w:hAnsi="宋体" w:eastAsia="宋体"/>
          <w:sz w:val="24"/>
        </w:rPr>
        <w:t>（</w:t>
      </w:r>
      <w:r>
        <w:rPr>
          <w:rFonts w:ascii="宋体" w:hAnsi="宋体"/>
          <w:sz w:val="24"/>
        </w:rPr>
        <w:t>所有成员单位名称）自愿组成（</w:t>
      </w:r>
      <w:r>
        <w:rPr>
          <w:rFonts w:hint="eastAsia" w:ascii="宋体" w:hAnsi="宋体"/>
          <w:sz w:val="24"/>
        </w:rPr>
        <w:t>_______________</w:t>
      </w:r>
      <w:r>
        <w:rPr>
          <w:rFonts w:ascii="宋体" w:hAnsi="宋体"/>
          <w:sz w:val="24"/>
        </w:rPr>
        <w:t>联合体名称）联合体，共同参加</w:t>
      </w:r>
      <w:r>
        <w:rPr>
          <w:rFonts w:hint="eastAsia" w:ascii="宋体" w:hAnsi="宋体"/>
          <w:sz w:val="24"/>
          <w:u w:val="single"/>
          <w:lang w:val="en-US" w:eastAsia="zh-CN"/>
        </w:rPr>
        <w:t xml:space="preserve">  </w:t>
      </w:r>
      <w:r>
        <w:rPr>
          <w:rFonts w:ascii="宋体" w:hAnsi="宋体"/>
          <w:sz w:val="24"/>
          <w:u w:val="single"/>
        </w:rPr>
        <w:t>（项目名称）</w:t>
      </w:r>
      <w:r>
        <w:rPr>
          <w:rFonts w:hint="eastAsia" w:ascii="宋体" w:hAnsi="宋体"/>
          <w:sz w:val="24"/>
          <w:u w:val="single"/>
          <w:lang w:val="en-US" w:eastAsia="zh-CN"/>
        </w:rPr>
        <w:t xml:space="preserve">  </w:t>
      </w:r>
      <w:r>
        <w:rPr>
          <w:rFonts w:ascii="宋体" w:hAnsi="宋体"/>
          <w:sz w:val="24"/>
          <w:u w:val="single"/>
        </w:rPr>
        <w:t>标段</w:t>
      </w:r>
      <w:r>
        <w:rPr>
          <w:rFonts w:ascii="宋体" w:hAnsi="宋体"/>
          <w:sz w:val="24"/>
        </w:rPr>
        <w:t>勘察设计咨询投标。现就联合体投标事宜订立如下协议。</w:t>
      </w:r>
    </w:p>
    <w:p>
      <w:pPr>
        <w:spacing w:line="400" w:lineRule="atLeast"/>
        <w:ind w:firstLine="390"/>
        <w:rPr>
          <w:rFonts w:ascii="宋体" w:hAnsi="宋体"/>
          <w:sz w:val="24"/>
        </w:rPr>
      </w:pPr>
      <w:r>
        <w:rPr>
          <w:rFonts w:ascii="宋体" w:hAnsi="宋体"/>
          <w:sz w:val="24"/>
        </w:rPr>
        <w:t>1</w:t>
      </w:r>
      <w:r>
        <w:rPr>
          <w:rFonts w:hint="eastAsia" w:ascii="宋体" w:hAnsi="宋体"/>
          <w:sz w:val="24"/>
        </w:rPr>
        <w:t>. __________</w:t>
      </w:r>
      <w:r>
        <w:rPr>
          <w:rFonts w:ascii="宋体" w:hAnsi="宋体"/>
          <w:sz w:val="24"/>
        </w:rPr>
        <w:t>（某成员单位名称）为</w:t>
      </w:r>
      <w:r>
        <w:rPr>
          <w:rFonts w:hint="eastAsia" w:ascii="宋体" w:hAnsi="宋体"/>
          <w:sz w:val="24"/>
        </w:rPr>
        <w:t>__________</w:t>
      </w:r>
      <w:r>
        <w:rPr>
          <w:rFonts w:ascii="宋体" w:hAnsi="宋体"/>
          <w:sz w:val="24"/>
        </w:rPr>
        <w:t>（联合体名称）牵头人。</w:t>
      </w:r>
    </w:p>
    <w:p>
      <w:pPr>
        <w:spacing w:line="400" w:lineRule="atLeast"/>
        <w:ind w:firstLine="390"/>
        <w:rPr>
          <w:rFonts w:ascii="宋体" w:hAnsi="宋体"/>
          <w:sz w:val="24"/>
        </w:rPr>
      </w:pPr>
      <w:r>
        <w:rPr>
          <w:rFonts w:ascii="宋体" w:hAnsi="宋体"/>
          <w:sz w:val="24"/>
        </w:rPr>
        <w:t>2</w:t>
      </w:r>
      <w:r>
        <w:rPr>
          <w:rFonts w:hint="eastAsia" w:ascii="宋体" w:hAnsi="宋体"/>
          <w:sz w:val="24"/>
        </w:rPr>
        <w:t>.</w:t>
      </w:r>
      <w:r>
        <w:rPr>
          <w:rFonts w:ascii="宋体" w:hAnsi="宋体"/>
          <w:sz w:val="24"/>
        </w:rPr>
        <w:t>联合体各成员授权牵头人代表联合体参加投标活动，签署文件，提交和接收相</w:t>
      </w:r>
      <w:bookmarkStart w:id="774" w:name="_Toc361508755"/>
      <w:bookmarkStart w:id="775" w:name="_Toc152042579"/>
      <w:bookmarkStart w:id="776" w:name="_Toc152045790"/>
      <w:bookmarkStart w:id="777" w:name="_Toc247514249"/>
      <w:bookmarkStart w:id="778" w:name="_Toc384308378"/>
      <w:bookmarkStart w:id="779" w:name="_Toc247527830"/>
      <w:bookmarkStart w:id="780" w:name="_Toc300835212"/>
      <w:bookmarkStart w:id="781" w:name="_Toc144974859"/>
      <w:r>
        <w:rPr>
          <w:rFonts w:ascii="宋体" w:hAnsi="宋体"/>
          <w:sz w:val="24"/>
        </w:rPr>
        <w:t>关的</w:t>
      </w:r>
      <w:bookmarkStart w:id="782" w:name="_Toc369531700"/>
      <w:bookmarkStart w:id="783" w:name="_Toc7749"/>
      <w:bookmarkStart w:id="784" w:name="_Toc352691664"/>
      <w:r>
        <w:rPr>
          <w:rFonts w:ascii="宋体" w:hAnsi="宋体"/>
          <w:sz w:val="24"/>
        </w:rPr>
        <w:t>资料、信息及</w:t>
      </w:r>
      <w:bookmarkEnd w:id="782"/>
      <w:bookmarkEnd w:id="783"/>
      <w:bookmarkEnd w:id="784"/>
      <w:r>
        <w:rPr>
          <w:rFonts w:ascii="宋体" w:hAnsi="宋体"/>
          <w:sz w:val="24"/>
        </w:rPr>
        <w:t>指</w:t>
      </w:r>
      <w:bookmarkEnd w:id="774"/>
      <w:bookmarkEnd w:id="775"/>
      <w:bookmarkEnd w:id="776"/>
      <w:bookmarkEnd w:id="777"/>
      <w:bookmarkEnd w:id="778"/>
      <w:bookmarkEnd w:id="779"/>
      <w:bookmarkEnd w:id="780"/>
      <w:bookmarkEnd w:id="781"/>
      <w:r>
        <w:rPr>
          <w:rFonts w:ascii="宋体" w:hAnsi="宋体"/>
          <w:sz w:val="24"/>
        </w:rPr>
        <w:t>示，进行合同谈判活动，负责合同实施阶段的组织和协调工作，以及处理与本招标项目有关的一切事宜。</w:t>
      </w:r>
    </w:p>
    <w:p>
      <w:pPr>
        <w:spacing w:line="400" w:lineRule="atLeast"/>
        <w:ind w:firstLine="390"/>
        <w:rPr>
          <w:rFonts w:ascii="宋体" w:hAnsi="宋体"/>
          <w:sz w:val="24"/>
        </w:rPr>
      </w:pPr>
      <w:r>
        <w:rPr>
          <w:rFonts w:ascii="宋体" w:hAnsi="宋体"/>
          <w:sz w:val="24"/>
        </w:rPr>
        <w:t>3</w:t>
      </w:r>
      <w:r>
        <w:rPr>
          <w:rFonts w:hint="eastAsia" w:ascii="宋体" w:hAnsi="宋体"/>
          <w:sz w:val="24"/>
        </w:rPr>
        <w:t>.</w:t>
      </w:r>
      <w:r>
        <w:rPr>
          <w:rFonts w:ascii="宋体" w:hAnsi="宋体"/>
          <w:sz w:val="24"/>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00" w:lineRule="atLeast"/>
        <w:ind w:firstLine="480" w:firstLineChars="200"/>
        <w:rPr>
          <w:rFonts w:ascii="宋体" w:hAnsi="宋体"/>
          <w:sz w:val="24"/>
        </w:rPr>
      </w:pPr>
      <w:r>
        <w:rPr>
          <w:rFonts w:ascii="宋体" w:hAnsi="宋体"/>
          <w:sz w:val="24"/>
        </w:rPr>
        <w:t>4</w:t>
      </w:r>
      <w:r>
        <w:rPr>
          <w:rFonts w:hint="eastAsia" w:ascii="宋体" w:hAnsi="宋体"/>
          <w:sz w:val="24"/>
        </w:rPr>
        <w:t>. 联合体各成员单位内部的职责分工如下：</w:t>
      </w:r>
      <w:r>
        <w:rPr>
          <w:rFonts w:ascii="宋体" w:hAnsi="宋体"/>
          <w:sz w:val="24"/>
        </w:rPr>
        <w:t>。</w:t>
      </w:r>
    </w:p>
    <w:p>
      <w:pPr>
        <w:topLinePunct/>
        <w:spacing w:line="400" w:lineRule="atLeast"/>
        <w:ind w:firstLine="480" w:firstLineChars="200"/>
        <w:rPr>
          <w:rFonts w:ascii="宋体" w:hAnsi="宋体"/>
          <w:sz w:val="24"/>
        </w:rPr>
      </w:pPr>
      <w:r>
        <w:rPr>
          <w:rFonts w:hint="eastAsia" w:ascii="宋体" w:hAnsi="宋体"/>
          <w:sz w:val="24"/>
        </w:rPr>
        <w:t>5.</w:t>
      </w:r>
      <w:r>
        <w:rPr>
          <w:rFonts w:ascii="宋体" w:hAnsi="宋体"/>
          <w:sz w:val="24"/>
        </w:rPr>
        <w:t>投标工作和联合体在中标后工程实施过程中的有关费用按各自承担的工作量分摊。</w:t>
      </w:r>
    </w:p>
    <w:p>
      <w:pPr>
        <w:topLinePunct/>
        <w:spacing w:line="400" w:lineRule="atLeast"/>
        <w:ind w:firstLine="480" w:firstLineChars="200"/>
        <w:rPr>
          <w:rFonts w:ascii="宋体" w:hAnsi="宋体"/>
          <w:sz w:val="24"/>
        </w:rPr>
      </w:pPr>
      <w:r>
        <w:rPr>
          <w:rFonts w:hint="eastAsia" w:ascii="宋体" w:hAnsi="宋体"/>
          <w:sz w:val="24"/>
        </w:rPr>
        <w:t>6</w:t>
      </w:r>
      <w:r>
        <w:rPr>
          <w:rFonts w:ascii="宋体" w:hAnsi="宋体"/>
          <w:sz w:val="24"/>
        </w:rPr>
        <w:t>.本协议书自所有成员单位法定代表人签字或盖单位章之日起生效，合同履行完毕后自动失效。</w:t>
      </w:r>
    </w:p>
    <w:p>
      <w:pPr>
        <w:spacing w:line="400" w:lineRule="atLeast"/>
        <w:ind w:firstLine="480" w:firstLineChars="200"/>
        <w:rPr>
          <w:rFonts w:ascii="宋体" w:hAnsi="宋体"/>
          <w:sz w:val="24"/>
        </w:rPr>
      </w:pPr>
      <w:r>
        <w:rPr>
          <w:rFonts w:hint="eastAsia" w:ascii="宋体" w:hAnsi="宋体"/>
          <w:sz w:val="24"/>
        </w:rPr>
        <w:t>7.</w:t>
      </w:r>
      <w:r>
        <w:rPr>
          <w:rFonts w:ascii="宋体" w:hAnsi="宋体"/>
          <w:sz w:val="24"/>
        </w:rPr>
        <w:t>本协议书一式</w:t>
      </w:r>
      <w:r>
        <w:rPr>
          <w:rFonts w:hint="eastAsia" w:ascii="宋体" w:hAnsi="宋体"/>
          <w:sz w:val="24"/>
        </w:rPr>
        <w:t>______</w:t>
      </w:r>
      <w:r>
        <w:rPr>
          <w:rFonts w:ascii="宋体" w:hAnsi="宋体"/>
          <w:sz w:val="24"/>
        </w:rPr>
        <w:t>份，联合体成员和招标人各执一份。</w:t>
      </w:r>
    </w:p>
    <w:p>
      <w:pPr>
        <w:spacing w:line="400" w:lineRule="atLeas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联合体牵头人名称：</w:t>
      </w:r>
      <w:r>
        <w:rPr>
          <w:rStyle w:val="214"/>
          <w:rFonts w:hint="eastAsia" w:ascii="宋体" w:hAnsi="宋体" w:eastAsia="宋体"/>
          <w:sz w:val="21"/>
          <w:szCs w:val="21"/>
        </w:rPr>
        <w:t>________</w:t>
      </w:r>
      <w:r>
        <w:rPr>
          <w:rFonts w:hint="eastAsia" w:ascii="宋体" w:hAnsi="宋体"/>
          <w:sz w:val="24"/>
        </w:rPr>
        <w:t>（盖单位章）</w:t>
      </w:r>
    </w:p>
    <w:p>
      <w:pPr>
        <w:spacing w:line="440" w:lineRule="exact"/>
        <w:ind w:firstLine="480" w:firstLineChars="200"/>
        <w:rPr>
          <w:rFonts w:ascii="宋体" w:hAnsi="宋体"/>
          <w:sz w:val="24"/>
        </w:rPr>
      </w:pPr>
      <w:r>
        <w:rPr>
          <w:rFonts w:hint="eastAsia" w:ascii="宋体" w:hAnsi="宋体"/>
          <w:sz w:val="24"/>
        </w:rPr>
        <w:t>法定代表人：</w:t>
      </w:r>
      <w:r>
        <w:rPr>
          <w:rStyle w:val="214"/>
          <w:rFonts w:hint="eastAsia" w:ascii="宋体" w:hAnsi="宋体" w:eastAsia="宋体"/>
          <w:sz w:val="21"/>
          <w:szCs w:val="21"/>
        </w:rPr>
        <w:t>________</w:t>
      </w:r>
      <w:r>
        <w:rPr>
          <w:rFonts w:hint="eastAsia" w:ascii="宋体" w:hAnsi="宋体"/>
          <w:sz w:val="24"/>
        </w:rPr>
        <w:t>（签字）</w:t>
      </w:r>
    </w:p>
    <w:p>
      <w:pPr>
        <w:spacing w:line="440" w:lineRule="exact"/>
        <w:rPr>
          <w:rFonts w:ascii="宋体" w:hAnsi="宋体"/>
          <w:sz w:val="24"/>
        </w:rPr>
      </w:pPr>
    </w:p>
    <w:p>
      <w:pPr>
        <w:spacing w:line="440" w:lineRule="exact"/>
        <w:ind w:firstLine="480" w:firstLineChars="200"/>
        <w:rPr>
          <w:rFonts w:ascii="宋体" w:hAnsi="宋体" w:cs="宋体"/>
          <w:sz w:val="24"/>
        </w:rPr>
      </w:pPr>
      <w:r>
        <w:rPr>
          <w:rFonts w:hint="eastAsia" w:ascii="宋体" w:hAnsi="宋体"/>
          <w:sz w:val="24"/>
        </w:rPr>
        <w:t>联合体成员一名称：</w:t>
      </w:r>
      <w:r>
        <w:rPr>
          <w:rStyle w:val="214"/>
          <w:rFonts w:hint="eastAsia" w:ascii="宋体" w:hAnsi="宋体" w:eastAsia="宋体"/>
          <w:sz w:val="21"/>
          <w:szCs w:val="21"/>
        </w:rPr>
        <w:t>________</w:t>
      </w:r>
      <w:r>
        <w:rPr>
          <w:rFonts w:hint="eastAsia" w:ascii="宋体" w:hAnsi="宋体"/>
          <w:sz w:val="24"/>
        </w:rPr>
        <w:t>（盖单位章）</w:t>
      </w:r>
    </w:p>
    <w:p>
      <w:pPr>
        <w:spacing w:line="440" w:lineRule="exact"/>
        <w:ind w:firstLine="480" w:firstLineChars="200"/>
        <w:rPr>
          <w:rFonts w:ascii="宋体" w:hAnsi="宋体"/>
          <w:sz w:val="24"/>
        </w:rPr>
      </w:pPr>
      <w:r>
        <w:rPr>
          <w:rFonts w:hint="eastAsia" w:ascii="宋体" w:hAnsi="宋体"/>
          <w:sz w:val="24"/>
        </w:rPr>
        <w:t>法定代表人：</w:t>
      </w:r>
      <w:r>
        <w:rPr>
          <w:rStyle w:val="214"/>
          <w:rFonts w:hint="eastAsia" w:ascii="宋体" w:hAnsi="宋体" w:eastAsia="宋体"/>
          <w:sz w:val="21"/>
          <w:szCs w:val="21"/>
        </w:rPr>
        <w:t>________</w:t>
      </w:r>
      <w:r>
        <w:rPr>
          <w:rFonts w:hint="eastAsia" w:ascii="宋体" w:hAnsi="宋体"/>
          <w:sz w:val="24"/>
        </w:rPr>
        <w:t>（签字）</w:t>
      </w:r>
    </w:p>
    <w:p>
      <w:pPr>
        <w:spacing w:line="440" w:lineRule="exact"/>
        <w:rPr>
          <w:rFonts w:ascii="宋体" w:hAnsi="宋体"/>
          <w:sz w:val="24"/>
        </w:rPr>
      </w:pPr>
    </w:p>
    <w:p>
      <w:pPr>
        <w:spacing w:line="440" w:lineRule="exact"/>
        <w:ind w:firstLine="480" w:firstLineChars="200"/>
        <w:rPr>
          <w:rFonts w:ascii="宋体" w:hAnsi="宋体" w:cs="宋体"/>
          <w:sz w:val="24"/>
        </w:rPr>
      </w:pPr>
      <w:r>
        <w:rPr>
          <w:rFonts w:hint="eastAsia" w:ascii="宋体" w:hAnsi="宋体"/>
          <w:sz w:val="24"/>
        </w:rPr>
        <w:t>联合体成员二名称：</w:t>
      </w:r>
      <w:r>
        <w:rPr>
          <w:rStyle w:val="214"/>
          <w:rFonts w:hint="eastAsia" w:ascii="宋体" w:hAnsi="宋体" w:eastAsia="宋体"/>
          <w:sz w:val="21"/>
          <w:szCs w:val="21"/>
        </w:rPr>
        <w:t>________</w:t>
      </w:r>
      <w:r>
        <w:rPr>
          <w:rFonts w:hint="eastAsia" w:ascii="宋体" w:hAnsi="宋体"/>
          <w:sz w:val="24"/>
        </w:rPr>
        <w:t>（盖单位章）</w:t>
      </w:r>
    </w:p>
    <w:p>
      <w:pPr>
        <w:spacing w:line="440" w:lineRule="exact"/>
        <w:ind w:firstLine="480" w:firstLineChars="200"/>
        <w:rPr>
          <w:rFonts w:ascii="宋体" w:hAnsi="宋体"/>
          <w:sz w:val="24"/>
        </w:rPr>
      </w:pPr>
      <w:r>
        <w:rPr>
          <w:rFonts w:hint="eastAsia" w:ascii="宋体" w:hAnsi="宋体"/>
          <w:sz w:val="24"/>
        </w:rPr>
        <w:t>法定代表人：</w:t>
      </w:r>
      <w:r>
        <w:rPr>
          <w:rStyle w:val="214"/>
          <w:rFonts w:hint="eastAsia" w:ascii="宋体" w:hAnsi="宋体" w:eastAsia="宋体"/>
          <w:sz w:val="21"/>
          <w:szCs w:val="21"/>
        </w:rPr>
        <w:t>________</w:t>
      </w:r>
      <w:r>
        <w:rPr>
          <w:rFonts w:hint="eastAsia" w:ascii="宋体" w:hAnsi="宋体"/>
          <w:sz w:val="24"/>
        </w:rPr>
        <w:t>（签字）</w:t>
      </w:r>
    </w:p>
    <w:p>
      <w:pPr>
        <w:spacing w:line="440" w:lineRule="exact"/>
        <w:ind w:firstLine="480" w:firstLineChars="200"/>
        <w:rPr>
          <w:rFonts w:ascii="宋体" w:hAnsi="宋体" w:cs="宋体"/>
          <w:sz w:val="24"/>
        </w:rPr>
      </w:pPr>
      <w:r>
        <w:rPr>
          <w:rFonts w:hint="eastAsia" w:ascii="宋体" w:hAnsi="宋体" w:cs="宋体"/>
          <w:sz w:val="24"/>
        </w:rPr>
        <w:t>……</w:t>
      </w:r>
    </w:p>
    <w:p>
      <w:pPr>
        <w:spacing w:line="440" w:lineRule="exact"/>
        <w:ind w:right="480" w:firstLine="4200"/>
        <w:rPr>
          <w:rFonts w:ascii="宋体" w:hAnsi="宋体"/>
          <w:sz w:val="24"/>
        </w:rPr>
      </w:pPr>
      <w:r>
        <w:rPr>
          <w:rStyle w:val="214"/>
          <w:rFonts w:hint="eastAsia" w:ascii="宋体" w:hAnsi="宋体" w:eastAsia="宋体"/>
          <w:sz w:val="21"/>
          <w:szCs w:val="21"/>
        </w:rPr>
        <w:t>________</w:t>
      </w:r>
      <w:r>
        <w:rPr>
          <w:rFonts w:hint="eastAsia" w:ascii="宋体" w:hAnsi="宋体"/>
          <w:sz w:val="24"/>
        </w:rPr>
        <w:t>年</w:t>
      </w:r>
      <w:r>
        <w:rPr>
          <w:rStyle w:val="214"/>
          <w:rFonts w:hint="eastAsia" w:ascii="宋体" w:hAnsi="宋体" w:eastAsia="宋体"/>
          <w:sz w:val="21"/>
          <w:szCs w:val="21"/>
        </w:rPr>
        <w:t>________</w:t>
      </w:r>
      <w:r>
        <w:rPr>
          <w:rFonts w:hint="eastAsia" w:ascii="宋体" w:hAnsi="宋体"/>
          <w:sz w:val="24"/>
        </w:rPr>
        <w:t>月</w:t>
      </w:r>
      <w:r>
        <w:rPr>
          <w:rStyle w:val="214"/>
          <w:rFonts w:hint="eastAsia" w:ascii="宋体" w:hAnsi="宋体" w:eastAsia="宋体"/>
          <w:sz w:val="21"/>
          <w:szCs w:val="21"/>
        </w:rPr>
        <w:t>________</w:t>
      </w:r>
      <w:r>
        <w:rPr>
          <w:rFonts w:hint="eastAsia" w:ascii="宋体" w:hAnsi="宋体"/>
          <w:sz w:val="24"/>
        </w:rPr>
        <w:t>日</w:t>
      </w:r>
    </w:p>
    <w:p>
      <w:pPr>
        <w:pStyle w:val="2"/>
        <w:spacing w:before="0" w:after="0" w:line="380" w:lineRule="atLeast"/>
        <w:jc w:val="center"/>
        <w:rPr>
          <w:rFonts w:eastAsia="黑体"/>
          <w:b w:val="0"/>
          <w:sz w:val="28"/>
          <w:szCs w:val="28"/>
        </w:rPr>
      </w:pPr>
      <w:bookmarkStart w:id="785" w:name="_Toc234833262"/>
      <w:r>
        <w:rPr>
          <w:rFonts w:eastAsia="黑体"/>
          <w:b w:val="0"/>
          <w:sz w:val="28"/>
          <w:szCs w:val="28"/>
        </w:rPr>
        <w:br w:type="page"/>
      </w:r>
      <w:bookmarkStart w:id="786" w:name="_Toc508984367"/>
      <w:bookmarkStart w:id="787" w:name="_Toc503235839"/>
      <w:bookmarkStart w:id="788" w:name="_Toc508984164"/>
      <w:r>
        <w:rPr>
          <w:rFonts w:eastAsia="黑体"/>
          <w:b w:val="0"/>
          <w:sz w:val="28"/>
          <w:szCs w:val="28"/>
        </w:rPr>
        <w:t>四、投标保证金</w:t>
      </w:r>
      <w:bookmarkEnd w:id="785"/>
      <w:bookmarkEnd w:id="786"/>
      <w:bookmarkEnd w:id="787"/>
      <w:bookmarkEnd w:id="788"/>
    </w:p>
    <w:p>
      <w:pPr>
        <w:spacing w:line="440" w:lineRule="exact"/>
        <w:jc w:val="center"/>
        <w:rPr>
          <w:rFonts w:eastAsia="黑体"/>
          <w:sz w:val="28"/>
          <w:szCs w:val="28"/>
        </w:rPr>
      </w:pPr>
    </w:p>
    <w:p>
      <w:pPr>
        <w:spacing w:line="360" w:lineRule="auto"/>
        <w:ind w:firstLine="480" w:firstLineChars="200"/>
        <w:jc w:val="left"/>
        <w:rPr>
          <w:rFonts w:ascii="宋体" w:hAnsi="宋体"/>
          <w:sz w:val="24"/>
        </w:rPr>
      </w:pPr>
      <w:r>
        <w:rPr>
          <w:rFonts w:hint="eastAsia" w:ascii="宋体" w:hAnsi="宋体"/>
          <w:sz w:val="24"/>
        </w:rPr>
        <w:t>若采用现金或支票，投标人应在此提供汇款凭证的复印件。</w:t>
      </w:r>
    </w:p>
    <w:p>
      <w:pPr>
        <w:spacing w:line="360" w:lineRule="auto"/>
        <w:ind w:firstLine="480" w:firstLineChars="200"/>
        <w:jc w:val="left"/>
        <w:rPr>
          <w:rFonts w:ascii="宋体" w:hAnsi="宋体"/>
          <w:sz w:val="24"/>
        </w:rPr>
      </w:pPr>
      <w:r>
        <w:rPr>
          <w:rFonts w:hint="eastAsia" w:ascii="宋体" w:hAnsi="宋体"/>
          <w:sz w:val="24"/>
        </w:rPr>
        <w:t>如采用银行保函，银行保函复印件装订在投标文件中（原件单独密封递交），格式如下。</w:t>
      </w:r>
    </w:p>
    <w:p>
      <w:pPr>
        <w:spacing w:line="360" w:lineRule="auto"/>
        <w:ind w:firstLine="480" w:firstLineChars="200"/>
        <w:jc w:val="left"/>
        <w:rPr>
          <w:rFonts w:ascii="宋体" w:hAnsi="宋体"/>
          <w:sz w:val="24"/>
        </w:rPr>
      </w:pPr>
      <w:r>
        <w:rPr>
          <w:rFonts w:hint="eastAsia" w:ascii="宋体" w:hAnsi="宋体"/>
          <w:sz w:val="24"/>
        </w:rPr>
        <w:t>如采用其他形式提交，应满足须知前附表3.4.1项的规定。</w:t>
      </w:r>
    </w:p>
    <w:p>
      <w:pPr>
        <w:spacing w:line="360" w:lineRule="auto"/>
        <w:ind w:firstLine="480" w:firstLineChars="200"/>
        <w:jc w:val="left"/>
        <w:rPr>
          <w:rFonts w:ascii="宋体" w:hAnsi="宋体"/>
          <w:sz w:val="24"/>
        </w:rPr>
      </w:pPr>
    </w:p>
    <w:p>
      <w:pPr>
        <w:spacing w:line="440" w:lineRule="exact"/>
        <w:rPr>
          <w:rFonts w:ascii="宋体" w:hAnsi="宋体"/>
          <w:sz w:val="24"/>
        </w:rPr>
      </w:pPr>
      <w:r>
        <w:rPr>
          <w:rFonts w:ascii="宋体" w:hAnsi="宋体"/>
          <w:sz w:val="24"/>
          <w:u w:val="single"/>
        </w:rPr>
        <w:tab/>
      </w:r>
      <w:r>
        <w:rPr>
          <w:rFonts w:ascii="宋体" w:hAnsi="宋体"/>
          <w:sz w:val="24"/>
          <w:u w:val="single"/>
        </w:rPr>
        <w:tab/>
      </w:r>
      <w:r>
        <w:rPr>
          <w:rFonts w:ascii="宋体" w:hAnsi="宋体"/>
          <w:sz w:val="24"/>
        </w:rPr>
        <w:t>（招标人名称）：</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鉴于</w:t>
      </w:r>
      <w:r>
        <w:rPr>
          <w:rFonts w:hint="eastAsia" w:ascii="宋体" w:hAnsi="宋体"/>
          <w:sz w:val="24"/>
        </w:rPr>
        <w:t>______</w:t>
      </w:r>
      <w:r>
        <w:rPr>
          <w:rFonts w:ascii="宋体" w:hAnsi="宋体"/>
          <w:sz w:val="24"/>
        </w:rPr>
        <w:t>（投标人名称）（以下称“投标人”）于</w:t>
      </w:r>
      <w:r>
        <w:rPr>
          <w:rFonts w:hint="eastAsia" w:ascii="宋体" w:hAnsi="宋体"/>
          <w:sz w:val="24"/>
        </w:rPr>
        <w:t>______</w:t>
      </w:r>
      <w:r>
        <w:rPr>
          <w:rFonts w:ascii="宋体" w:hAnsi="宋体"/>
          <w:sz w:val="24"/>
        </w:rPr>
        <w:t>年</w:t>
      </w:r>
      <w:r>
        <w:rPr>
          <w:rFonts w:hint="eastAsia" w:ascii="宋体" w:hAnsi="宋体"/>
          <w:sz w:val="24"/>
        </w:rPr>
        <w:t>______</w:t>
      </w:r>
      <w:r>
        <w:rPr>
          <w:rFonts w:ascii="宋体" w:hAnsi="宋体"/>
          <w:sz w:val="24"/>
        </w:rPr>
        <w:t>月</w:t>
      </w:r>
      <w:r>
        <w:rPr>
          <w:rFonts w:hint="eastAsia" w:ascii="宋体" w:hAnsi="宋体"/>
          <w:sz w:val="24"/>
        </w:rPr>
        <w:t>______</w:t>
      </w:r>
      <w:r>
        <w:rPr>
          <w:rFonts w:ascii="宋体" w:hAnsi="宋体"/>
          <w:sz w:val="24"/>
        </w:rPr>
        <w:t>日参加</w:t>
      </w:r>
      <w:r>
        <w:rPr>
          <w:rFonts w:hint="eastAsia" w:ascii="宋体" w:hAnsi="宋体"/>
          <w:sz w:val="24"/>
          <w:u w:val="single"/>
          <w:lang w:val="en-US" w:eastAsia="zh-CN"/>
        </w:rPr>
        <w:t xml:space="preserve">  （</w:t>
      </w:r>
      <w:r>
        <w:rPr>
          <w:rFonts w:ascii="宋体" w:hAnsi="宋体"/>
          <w:sz w:val="24"/>
          <w:u w:val="single"/>
        </w:rPr>
        <w:t>项目名称）</w:t>
      </w:r>
      <w:r>
        <w:rPr>
          <w:rFonts w:hint="eastAsia" w:ascii="宋体" w:hAnsi="宋体"/>
          <w:sz w:val="24"/>
          <w:u w:val="single"/>
          <w:lang w:val="en-US" w:eastAsia="zh-CN"/>
        </w:rPr>
        <w:t xml:space="preserve">    </w:t>
      </w:r>
      <w:r>
        <w:rPr>
          <w:rFonts w:ascii="宋体" w:hAnsi="宋体"/>
          <w:sz w:val="24"/>
          <w:u w:val="single"/>
        </w:rPr>
        <w:t>标段</w:t>
      </w:r>
      <w:r>
        <w:rPr>
          <w:rFonts w:ascii="宋体" w:hAnsi="宋体"/>
          <w:sz w:val="24"/>
        </w:rPr>
        <w:t>勘察设计咨询的投标，</w:t>
      </w:r>
      <w:r>
        <w:rPr>
          <w:rFonts w:hint="eastAsia" w:ascii="宋体" w:hAnsi="宋体"/>
          <w:sz w:val="24"/>
        </w:rPr>
        <w:t>______</w:t>
      </w:r>
      <w:r>
        <w:rPr>
          <w:rFonts w:ascii="宋体" w:hAnsi="宋体"/>
          <w:sz w:val="24"/>
        </w:rPr>
        <w:t>（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rFonts w:hint="eastAsia" w:ascii="宋体" w:hAnsi="宋体"/>
          <w:sz w:val="24"/>
        </w:rPr>
        <w:t>______</w:t>
      </w:r>
      <w:r>
        <w:rPr>
          <w:rFonts w:ascii="宋体" w:hAnsi="宋体"/>
          <w:sz w:val="24"/>
        </w:rPr>
        <w:t>元。</w:t>
      </w:r>
    </w:p>
    <w:p>
      <w:pPr>
        <w:spacing w:line="440" w:lineRule="exact"/>
        <w:ind w:firstLine="480" w:firstLineChars="200"/>
        <w:rPr>
          <w:rFonts w:ascii="宋体" w:hAnsi="宋体"/>
          <w:sz w:val="24"/>
        </w:rPr>
      </w:pPr>
      <w:r>
        <w:rPr>
          <w:rFonts w:ascii="宋体" w:hAnsi="宋体"/>
          <w:sz w:val="24"/>
        </w:rPr>
        <w:t>本保函在投标有效期或经延长的投标有效期内保持有效。要求我方承担保证责任的通知应在上述期限内送达我方。你方延长投标有效期的决定，应通知我方。</w:t>
      </w:r>
    </w:p>
    <w:p>
      <w:pPr>
        <w:spacing w:line="440" w:lineRule="exact"/>
        <w:rPr>
          <w:rFonts w:ascii="宋体" w:hAnsi="宋体"/>
          <w:sz w:val="24"/>
        </w:rPr>
      </w:pPr>
    </w:p>
    <w:p>
      <w:pPr>
        <w:spacing w:line="360" w:lineRule="auto"/>
        <w:ind w:firstLine="0" w:firstLineChars="0"/>
        <w:rPr>
          <w:rFonts w:ascii="宋体" w:hAnsi="宋体"/>
          <w:sz w:val="24"/>
        </w:rPr>
      </w:pPr>
      <w:r>
        <w:rPr>
          <w:rFonts w:hint="eastAsia" w:ascii="宋体" w:hAnsi="宋体"/>
          <w:sz w:val="24"/>
        </w:rPr>
        <w:t>担保人名称：</w:t>
      </w:r>
      <w:r>
        <w:rPr>
          <w:rStyle w:val="214"/>
          <w:rFonts w:hint="eastAsia" w:ascii="宋体" w:hAnsi="宋体" w:eastAsia="宋体"/>
          <w:sz w:val="21"/>
          <w:szCs w:val="21"/>
        </w:rPr>
        <w:t>________</w:t>
      </w:r>
      <w:r>
        <w:rPr>
          <w:rFonts w:hint="eastAsia" w:ascii="宋体" w:hAnsi="宋体"/>
          <w:sz w:val="24"/>
        </w:rPr>
        <w:t>（盖单位章）</w:t>
      </w:r>
    </w:p>
    <w:p>
      <w:pPr>
        <w:spacing w:line="360" w:lineRule="auto"/>
        <w:rPr>
          <w:rFonts w:ascii="宋体" w:hAnsi="宋体"/>
          <w:sz w:val="24"/>
        </w:rPr>
      </w:pPr>
      <w:r>
        <w:rPr>
          <w:rFonts w:hint="eastAsia" w:ascii="宋体" w:hAnsi="宋体"/>
          <w:sz w:val="24"/>
        </w:rPr>
        <w:t>法定代表人或其委托代理人：</w:t>
      </w:r>
      <w:r>
        <w:rPr>
          <w:rStyle w:val="214"/>
          <w:rFonts w:hint="eastAsia" w:ascii="宋体" w:hAnsi="宋体" w:eastAsia="宋体"/>
          <w:sz w:val="21"/>
          <w:szCs w:val="21"/>
        </w:rPr>
        <w:t>________</w:t>
      </w:r>
      <w:r>
        <w:rPr>
          <w:rFonts w:hint="eastAsia" w:ascii="宋体" w:hAnsi="宋体"/>
          <w:sz w:val="24"/>
        </w:rPr>
        <w:t>（签字）</w:t>
      </w:r>
    </w:p>
    <w:p>
      <w:pPr>
        <w:spacing w:line="360" w:lineRule="auto"/>
        <w:rPr>
          <w:rFonts w:ascii="宋体" w:hAnsi="宋体"/>
          <w:sz w:val="24"/>
        </w:rPr>
      </w:pPr>
      <w:r>
        <w:rPr>
          <w:rFonts w:hint="eastAsia" w:ascii="宋体" w:hAnsi="宋体"/>
          <w:sz w:val="24"/>
        </w:rPr>
        <w:t>地址：</w:t>
      </w:r>
      <w:r>
        <w:rPr>
          <w:rStyle w:val="214"/>
          <w:rFonts w:hint="eastAsia" w:ascii="宋体" w:hAnsi="宋体" w:eastAsia="宋体"/>
          <w:sz w:val="21"/>
          <w:szCs w:val="21"/>
        </w:rPr>
        <w:t>________________________________</w:t>
      </w:r>
    </w:p>
    <w:p>
      <w:pPr>
        <w:spacing w:line="360" w:lineRule="auto"/>
        <w:rPr>
          <w:rFonts w:ascii="宋体" w:hAnsi="宋体"/>
          <w:sz w:val="24"/>
        </w:rPr>
      </w:pPr>
      <w:r>
        <w:rPr>
          <w:rFonts w:hint="eastAsia" w:ascii="宋体" w:hAnsi="宋体"/>
          <w:sz w:val="24"/>
        </w:rPr>
        <w:t>邮政编码：</w:t>
      </w:r>
      <w:r>
        <w:rPr>
          <w:rStyle w:val="214"/>
          <w:rFonts w:hint="eastAsia" w:ascii="宋体" w:hAnsi="宋体" w:eastAsia="宋体"/>
          <w:sz w:val="21"/>
          <w:szCs w:val="21"/>
        </w:rPr>
        <w:t>____________________________</w:t>
      </w:r>
    </w:p>
    <w:p>
      <w:pPr>
        <w:spacing w:line="360" w:lineRule="auto"/>
        <w:rPr>
          <w:rFonts w:ascii="宋体" w:hAnsi="宋体"/>
          <w:sz w:val="24"/>
        </w:rPr>
      </w:pPr>
      <w:r>
        <w:rPr>
          <w:rFonts w:hint="eastAsia" w:ascii="宋体" w:hAnsi="宋体"/>
          <w:sz w:val="24"/>
        </w:rPr>
        <w:t>电话：</w:t>
      </w:r>
      <w:r>
        <w:rPr>
          <w:rStyle w:val="214"/>
          <w:rFonts w:hint="eastAsia" w:ascii="宋体" w:hAnsi="宋体" w:eastAsia="宋体"/>
          <w:sz w:val="21"/>
          <w:szCs w:val="21"/>
        </w:rPr>
        <w:t>________________________________</w:t>
      </w:r>
    </w:p>
    <w:p>
      <w:pPr>
        <w:spacing w:line="360" w:lineRule="auto"/>
        <w:rPr>
          <w:rFonts w:ascii="宋体" w:hAnsi="宋体"/>
          <w:sz w:val="24"/>
        </w:rPr>
      </w:pPr>
      <w:r>
        <w:rPr>
          <w:rFonts w:hint="eastAsia" w:ascii="宋体" w:hAnsi="宋体"/>
          <w:sz w:val="24"/>
        </w:rPr>
        <w:t>传真：</w:t>
      </w:r>
      <w:r>
        <w:rPr>
          <w:rStyle w:val="214"/>
          <w:rFonts w:hint="eastAsia" w:ascii="宋体" w:hAnsi="宋体" w:eastAsia="宋体"/>
          <w:sz w:val="21"/>
          <w:szCs w:val="21"/>
        </w:rPr>
        <w:t>________________________________</w:t>
      </w:r>
    </w:p>
    <w:p>
      <w:pPr>
        <w:rPr>
          <w:rFonts w:ascii="宋体" w:hAnsi="宋体"/>
          <w:sz w:val="24"/>
        </w:rPr>
      </w:pPr>
    </w:p>
    <w:p>
      <w:pPr>
        <w:spacing w:line="440" w:lineRule="exact"/>
        <w:ind w:firstLine="4410" w:firstLineChars="2100"/>
        <w:rPr>
          <w:rFonts w:ascii="宋体" w:hAnsi="宋体"/>
          <w:sz w:val="24"/>
        </w:rPr>
      </w:pPr>
      <w:r>
        <w:rPr>
          <w:rStyle w:val="214"/>
          <w:rFonts w:hint="eastAsia" w:ascii="宋体" w:hAnsi="宋体" w:eastAsia="宋体"/>
          <w:sz w:val="21"/>
          <w:szCs w:val="21"/>
        </w:rPr>
        <w:t>_______</w:t>
      </w:r>
      <w:r>
        <w:rPr>
          <w:rFonts w:hint="eastAsia" w:ascii="宋体" w:hAnsi="宋体"/>
          <w:sz w:val="24"/>
        </w:rPr>
        <w:t>年</w:t>
      </w:r>
      <w:r>
        <w:rPr>
          <w:rStyle w:val="214"/>
          <w:rFonts w:hint="eastAsia" w:ascii="宋体" w:hAnsi="宋体" w:eastAsia="宋体"/>
          <w:sz w:val="21"/>
          <w:szCs w:val="21"/>
        </w:rPr>
        <w:t>_______</w:t>
      </w:r>
      <w:r>
        <w:rPr>
          <w:rFonts w:hint="eastAsia" w:ascii="宋体" w:hAnsi="宋体"/>
          <w:sz w:val="24"/>
        </w:rPr>
        <w:t>月</w:t>
      </w:r>
      <w:r>
        <w:rPr>
          <w:rStyle w:val="214"/>
          <w:rFonts w:hint="eastAsia" w:ascii="宋体" w:hAnsi="宋体" w:eastAsia="宋体"/>
          <w:sz w:val="21"/>
          <w:szCs w:val="21"/>
        </w:rPr>
        <w:t>_______</w:t>
      </w:r>
      <w:r>
        <w:rPr>
          <w:rFonts w:hint="eastAsia" w:ascii="宋体" w:hAnsi="宋体"/>
          <w:sz w:val="24"/>
        </w:rPr>
        <w:t>日</w:t>
      </w:r>
    </w:p>
    <w:p>
      <w:pPr>
        <w:spacing w:line="440" w:lineRule="exact"/>
        <w:rPr>
          <w:rFonts w:eastAsia="黑体"/>
          <w:sz w:val="24"/>
        </w:rPr>
      </w:pPr>
    </w:p>
    <w:p>
      <w:pPr>
        <w:jc w:val="left"/>
        <w:rPr>
          <w:rFonts w:eastAsia="黑体"/>
          <w:sz w:val="28"/>
          <w:szCs w:val="28"/>
        </w:rPr>
      </w:pPr>
      <w:bookmarkStart w:id="789" w:name="_Toc234833264"/>
      <w:r>
        <w:rPr>
          <w:rFonts w:hint="eastAsia" w:ascii="宋体" w:hAnsi="宋体" w:cs="宋体"/>
          <w:sz w:val="18"/>
          <w:szCs w:val="18"/>
        </w:rPr>
        <w:t>注：本保函格式只作为参考，投标人可根据当地银行及相关规定的格式填写，但主要内容须与本保函内容原则上保持一致。如：“本保函在投标有效期或经延长的投标有效期内保持有效”可改为本保函自</w:t>
      </w:r>
      <w:r>
        <w:rPr>
          <w:rFonts w:hint="eastAsia" w:ascii="宋体" w:hAnsi="宋体" w:cs="宋体"/>
          <w:sz w:val="18"/>
          <w:szCs w:val="18"/>
          <w:u w:val="single"/>
        </w:rPr>
        <w:t xml:space="preserve">     （生效日期）</w:t>
      </w:r>
      <w:r>
        <w:rPr>
          <w:rFonts w:hint="eastAsia" w:ascii="宋体" w:hAnsi="宋体" w:cs="宋体"/>
          <w:sz w:val="18"/>
          <w:szCs w:val="18"/>
        </w:rPr>
        <w:t>之日起生效，至</w:t>
      </w:r>
      <w:r>
        <w:rPr>
          <w:rFonts w:hint="eastAsia" w:ascii="宋体" w:hAnsi="宋体" w:cs="宋体"/>
          <w:sz w:val="18"/>
          <w:szCs w:val="18"/>
          <w:u w:val="single"/>
        </w:rPr>
        <w:t xml:space="preserve">  （失效日期）</w:t>
      </w:r>
      <w:r>
        <w:rPr>
          <w:rFonts w:hint="eastAsia" w:ascii="宋体" w:hAnsi="宋体" w:cs="宋体"/>
          <w:sz w:val="18"/>
          <w:szCs w:val="18"/>
        </w:rPr>
        <w:t>之日失效。</w:t>
      </w:r>
    </w:p>
    <w:p>
      <w:pPr>
        <w:pStyle w:val="2"/>
        <w:spacing w:before="0" w:after="0" w:line="380" w:lineRule="atLeast"/>
        <w:jc w:val="center"/>
        <w:rPr>
          <w:rFonts w:eastAsia="黑体"/>
          <w:b w:val="0"/>
          <w:sz w:val="28"/>
          <w:szCs w:val="28"/>
        </w:rPr>
      </w:pPr>
      <w:r>
        <w:rPr>
          <w:rFonts w:eastAsia="黑体"/>
          <w:sz w:val="28"/>
          <w:szCs w:val="28"/>
        </w:rPr>
        <w:br w:type="page"/>
      </w:r>
      <w:bookmarkStart w:id="790" w:name="_Toc234833276"/>
      <w:bookmarkStart w:id="791" w:name="_Toc503235840"/>
      <w:bookmarkStart w:id="792" w:name="_Toc508984165"/>
      <w:bookmarkStart w:id="793" w:name="_Toc508984368"/>
      <w:r>
        <w:rPr>
          <w:rFonts w:hint="eastAsia" w:eastAsia="黑体"/>
          <w:b w:val="0"/>
          <w:sz w:val="28"/>
          <w:szCs w:val="28"/>
        </w:rPr>
        <w:t>五</w:t>
      </w:r>
      <w:r>
        <w:rPr>
          <w:rFonts w:eastAsia="黑体"/>
          <w:b w:val="0"/>
          <w:sz w:val="28"/>
          <w:szCs w:val="28"/>
        </w:rPr>
        <w:t>、拟分包项目情况表</w:t>
      </w:r>
      <w:bookmarkEnd w:id="790"/>
      <w:bookmarkEnd w:id="791"/>
      <w:bookmarkEnd w:id="792"/>
      <w:bookmarkEnd w:id="793"/>
    </w:p>
    <w:p>
      <w:pPr>
        <w:spacing w:line="440" w:lineRule="exact"/>
        <w:rPr>
          <w:rFonts w:eastAsia="黑体"/>
          <w:sz w:val="20"/>
          <w:szCs w:val="20"/>
        </w:rPr>
      </w:pPr>
    </w:p>
    <w:tbl>
      <w:tblPr>
        <w:tblStyle w:val="4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42"/>
        <w:gridCol w:w="1560"/>
        <w:gridCol w:w="25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440" w:lineRule="exact"/>
              <w:jc w:val="center"/>
              <w:rPr>
                <w:rFonts w:ascii="宋体" w:hAnsi="宋体"/>
                <w:szCs w:val="21"/>
              </w:rPr>
            </w:pPr>
            <w:r>
              <w:rPr>
                <w:rFonts w:ascii="宋体" w:hAnsi="宋体"/>
                <w:szCs w:val="21"/>
              </w:rPr>
              <w:t>拟分包的工程项目</w:t>
            </w:r>
          </w:p>
        </w:tc>
        <w:tc>
          <w:tcPr>
            <w:tcW w:w="1842" w:type="dxa"/>
            <w:vAlign w:val="center"/>
          </w:tcPr>
          <w:p>
            <w:pPr>
              <w:spacing w:line="440" w:lineRule="exact"/>
              <w:jc w:val="center"/>
              <w:rPr>
                <w:rFonts w:ascii="宋体" w:hAnsi="宋体"/>
                <w:szCs w:val="21"/>
              </w:rPr>
            </w:pPr>
            <w:r>
              <w:rPr>
                <w:rFonts w:ascii="宋体" w:hAnsi="宋体"/>
                <w:szCs w:val="21"/>
              </w:rPr>
              <w:t>主要</w:t>
            </w:r>
            <w:r>
              <w:rPr>
                <w:rFonts w:hint="eastAsia" w:ascii="宋体" w:hAnsi="宋体"/>
                <w:szCs w:val="21"/>
              </w:rPr>
              <w:t>工程</w:t>
            </w:r>
            <w:r>
              <w:rPr>
                <w:rFonts w:ascii="宋体" w:hAnsi="宋体"/>
                <w:szCs w:val="21"/>
              </w:rPr>
              <w:t>内容</w:t>
            </w:r>
          </w:p>
        </w:tc>
        <w:tc>
          <w:tcPr>
            <w:tcW w:w="1560" w:type="dxa"/>
            <w:vAlign w:val="center"/>
          </w:tcPr>
          <w:p>
            <w:pPr>
              <w:spacing w:line="440" w:lineRule="exact"/>
              <w:jc w:val="center"/>
              <w:rPr>
                <w:rFonts w:ascii="宋体" w:hAnsi="宋体"/>
                <w:szCs w:val="21"/>
              </w:rPr>
            </w:pPr>
            <w:r>
              <w:rPr>
                <w:rFonts w:hint="eastAsia" w:ascii="宋体" w:hAnsi="宋体"/>
                <w:szCs w:val="21"/>
              </w:rPr>
              <w:t>勘察设计咨询任务</w:t>
            </w:r>
          </w:p>
        </w:tc>
        <w:tc>
          <w:tcPr>
            <w:tcW w:w="2551" w:type="dxa"/>
            <w:vAlign w:val="center"/>
          </w:tcPr>
          <w:p>
            <w:pPr>
              <w:spacing w:line="440" w:lineRule="exact"/>
              <w:jc w:val="center"/>
              <w:rPr>
                <w:rFonts w:ascii="宋体" w:hAnsi="宋体"/>
                <w:szCs w:val="21"/>
              </w:rPr>
            </w:pPr>
            <w:r>
              <w:rPr>
                <w:rFonts w:hint="eastAsia" w:ascii="宋体" w:hAnsi="宋体"/>
                <w:szCs w:val="21"/>
              </w:rPr>
              <w:t>分包工作量占总工作量的比例</w:t>
            </w:r>
            <w:r>
              <w:rPr>
                <w:rFonts w:ascii="宋体" w:hAnsi="宋体"/>
                <w:sz w:val="24"/>
              </w:rPr>
              <w:t>（%）</w:t>
            </w:r>
          </w:p>
        </w:tc>
        <w:tc>
          <w:tcPr>
            <w:tcW w:w="1843" w:type="dxa"/>
            <w:vAlign w:val="center"/>
          </w:tcPr>
          <w:p>
            <w:pPr>
              <w:spacing w:line="440" w:lineRule="exact"/>
              <w:jc w:val="center"/>
              <w:rPr>
                <w:rFonts w:ascii="宋体" w:hAnsi="宋体"/>
                <w:szCs w:val="21"/>
              </w:rPr>
            </w:pPr>
            <w:r>
              <w:rPr>
                <w:rFonts w:hint="eastAsia" w:ascii="宋体" w:hAnsi="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restart"/>
          </w:tcPr>
          <w:p>
            <w:pPr>
              <w:snapToGrid w:val="0"/>
              <w:spacing w:line="400" w:lineRule="atLeast"/>
              <w:rPr>
                <w:rFonts w:ascii="宋体" w:hAnsi="宋体"/>
                <w:szCs w:val="21"/>
              </w:rPr>
            </w:pPr>
            <w:r>
              <w:rPr>
                <w:rFonts w:ascii="宋体" w:hAnsi="宋体"/>
                <w:szCs w:val="21"/>
              </w:rPr>
              <w:t>注：若无</w:t>
            </w:r>
            <w:r>
              <w:rPr>
                <w:rFonts w:hint="eastAsia" w:ascii="宋体" w:hAnsi="宋体"/>
                <w:szCs w:val="21"/>
              </w:rPr>
              <w:t>分包计划</w:t>
            </w:r>
            <w:r>
              <w:rPr>
                <w:rFonts w:ascii="宋体" w:hAnsi="宋体"/>
                <w:szCs w:val="21"/>
              </w:rPr>
              <w:t>，则投标人应</w:t>
            </w:r>
            <w:r>
              <w:rPr>
                <w:rFonts w:hint="eastAsia" w:ascii="宋体" w:hAnsi="宋体"/>
                <w:szCs w:val="21"/>
              </w:rPr>
              <w:t>在本表</w:t>
            </w:r>
            <w:r>
              <w:rPr>
                <w:rFonts w:ascii="宋体" w:hAnsi="宋体"/>
                <w:szCs w:val="21"/>
              </w:rPr>
              <w:t>填写“无</w:t>
            </w:r>
            <w:r>
              <w:rPr>
                <w:rFonts w:hint="eastAsia" w:ascii="宋体" w:hAnsi="宋体"/>
                <w:szCs w:val="21"/>
              </w:rPr>
              <w:t>。</w:t>
            </w:r>
            <w:r>
              <w:rPr>
                <w:rFonts w:ascii="宋体" w:hAnsi="宋体"/>
                <w:szCs w:val="21"/>
              </w:rPr>
              <w:t>”</w:t>
            </w:r>
          </w:p>
          <w:p>
            <w:pPr>
              <w:spacing w:line="440" w:lineRule="exact"/>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68" w:type="dxa"/>
            <w:vAlign w:val="center"/>
          </w:tcPr>
          <w:p>
            <w:pPr>
              <w:spacing w:line="440" w:lineRule="exact"/>
              <w:jc w:val="center"/>
              <w:rPr>
                <w:rFonts w:ascii="宋体" w:hAnsi="宋体"/>
                <w:szCs w:val="21"/>
              </w:rPr>
            </w:pPr>
          </w:p>
        </w:tc>
        <w:tc>
          <w:tcPr>
            <w:tcW w:w="1842" w:type="dxa"/>
            <w:vAlign w:val="center"/>
          </w:tcPr>
          <w:p>
            <w:pPr>
              <w:spacing w:line="440" w:lineRule="exact"/>
              <w:jc w:val="center"/>
              <w:rPr>
                <w:rFonts w:ascii="宋体" w:hAnsi="宋体"/>
                <w:szCs w:val="21"/>
              </w:rPr>
            </w:pPr>
          </w:p>
        </w:tc>
        <w:tc>
          <w:tcPr>
            <w:tcW w:w="1560" w:type="dxa"/>
          </w:tcPr>
          <w:p>
            <w:pPr>
              <w:spacing w:line="440" w:lineRule="exact"/>
              <w:jc w:val="center"/>
              <w:rPr>
                <w:rFonts w:ascii="宋体" w:hAnsi="宋体"/>
                <w:szCs w:val="21"/>
              </w:rPr>
            </w:pP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070" w:type="dxa"/>
            <w:gridSpan w:val="3"/>
            <w:vAlign w:val="center"/>
          </w:tcPr>
          <w:p>
            <w:pPr>
              <w:spacing w:line="440" w:lineRule="exact"/>
              <w:jc w:val="center"/>
              <w:rPr>
                <w:rFonts w:ascii="宋体" w:hAnsi="宋体"/>
                <w:szCs w:val="21"/>
              </w:rPr>
            </w:pPr>
            <w:r>
              <w:rPr>
                <w:rFonts w:hint="eastAsia" w:ascii="宋体" w:hAnsi="宋体"/>
                <w:szCs w:val="21"/>
              </w:rPr>
              <w:t>拟</w:t>
            </w:r>
            <w:r>
              <w:rPr>
                <w:rFonts w:ascii="宋体" w:hAnsi="宋体"/>
                <w:szCs w:val="21"/>
              </w:rPr>
              <w:t>分包</w:t>
            </w:r>
            <w:r>
              <w:rPr>
                <w:rFonts w:hint="eastAsia" w:ascii="宋体" w:hAnsi="宋体"/>
                <w:szCs w:val="21"/>
              </w:rPr>
              <w:t>工作量</w:t>
            </w:r>
            <w:r>
              <w:rPr>
                <w:rFonts w:ascii="宋体" w:hAnsi="宋体"/>
                <w:szCs w:val="21"/>
              </w:rPr>
              <w:t>合计</w:t>
            </w:r>
            <w:r>
              <w:rPr>
                <w:rFonts w:hint="eastAsia" w:ascii="宋体" w:hAnsi="宋体"/>
                <w:szCs w:val="21"/>
              </w:rPr>
              <w:t>比例</w:t>
            </w:r>
            <w:r>
              <w:rPr>
                <w:rFonts w:ascii="宋体" w:hAnsi="宋体"/>
                <w:sz w:val="24"/>
              </w:rPr>
              <w:t>（%）</w:t>
            </w:r>
          </w:p>
        </w:tc>
        <w:tc>
          <w:tcPr>
            <w:tcW w:w="2551" w:type="dxa"/>
            <w:vAlign w:val="center"/>
          </w:tcPr>
          <w:p>
            <w:pPr>
              <w:spacing w:line="440" w:lineRule="exact"/>
              <w:jc w:val="center"/>
              <w:rPr>
                <w:rFonts w:ascii="宋体" w:hAnsi="宋体"/>
                <w:szCs w:val="21"/>
              </w:rPr>
            </w:pPr>
          </w:p>
        </w:tc>
        <w:tc>
          <w:tcPr>
            <w:tcW w:w="1843" w:type="dxa"/>
            <w:vMerge w:val="continue"/>
            <w:vAlign w:val="center"/>
          </w:tcPr>
          <w:p>
            <w:pPr>
              <w:spacing w:line="440" w:lineRule="exact"/>
              <w:jc w:val="center"/>
              <w:rPr>
                <w:rFonts w:ascii="宋体" w:hAnsi="宋体"/>
                <w:szCs w:val="21"/>
              </w:rPr>
            </w:pPr>
          </w:p>
        </w:tc>
      </w:tr>
    </w:tbl>
    <w:p>
      <w:pPr>
        <w:spacing w:line="380" w:lineRule="atLeast"/>
        <w:jc w:val="center"/>
      </w:pPr>
    </w:p>
    <w:p>
      <w:r>
        <w:rPr>
          <w:rFonts w:hint="eastAsia"/>
        </w:rPr>
        <w:t>注：1、若投标人中标须按本招标文件的约定执行。</w:t>
      </w:r>
    </w:p>
    <w:p>
      <w:pPr>
        <w:spacing w:line="380" w:lineRule="atLeast"/>
        <w:ind w:firstLine="420" w:firstLineChars="200"/>
      </w:pPr>
      <w:r>
        <w:rPr>
          <w:rFonts w:hint="eastAsia"/>
        </w:rPr>
        <w:t>2、本表填写的造价不属于投标报价的内容。</w:t>
      </w:r>
    </w:p>
    <w:p>
      <w:pPr>
        <w:spacing w:line="380" w:lineRule="atLeast"/>
        <w:jc w:val="center"/>
        <w:rPr>
          <w:sz w:val="24"/>
        </w:rPr>
      </w:pPr>
      <w:r>
        <w:br w:type="page"/>
      </w:r>
    </w:p>
    <w:p>
      <w:pPr>
        <w:pStyle w:val="2"/>
        <w:spacing w:before="0" w:after="0" w:line="380" w:lineRule="atLeast"/>
        <w:jc w:val="center"/>
        <w:rPr>
          <w:rFonts w:eastAsia="黑体"/>
          <w:b w:val="0"/>
          <w:sz w:val="28"/>
          <w:szCs w:val="28"/>
        </w:rPr>
      </w:pPr>
      <w:bookmarkStart w:id="794" w:name="_Toc508984166"/>
      <w:bookmarkStart w:id="795" w:name="_Toc234833278"/>
      <w:bookmarkStart w:id="796" w:name="_Toc508984369"/>
      <w:bookmarkStart w:id="797" w:name="_Toc503235842"/>
      <w:r>
        <w:rPr>
          <w:rFonts w:hint="eastAsia" w:eastAsia="黑体"/>
          <w:b w:val="0"/>
          <w:sz w:val="28"/>
          <w:szCs w:val="28"/>
        </w:rPr>
        <w:t>六</w:t>
      </w:r>
      <w:r>
        <w:rPr>
          <w:rFonts w:eastAsia="黑体"/>
          <w:b w:val="0"/>
          <w:sz w:val="28"/>
          <w:szCs w:val="28"/>
        </w:rPr>
        <w:t>、资格审查资料</w:t>
      </w:r>
      <w:bookmarkEnd w:id="794"/>
      <w:bookmarkEnd w:id="795"/>
      <w:bookmarkEnd w:id="796"/>
      <w:bookmarkEnd w:id="797"/>
    </w:p>
    <w:p>
      <w:pPr>
        <w:pStyle w:val="2"/>
        <w:spacing w:before="0" w:after="0" w:line="380" w:lineRule="atLeast"/>
        <w:jc w:val="center"/>
        <w:rPr>
          <w:rFonts w:eastAsia="黑体"/>
          <w:b w:val="0"/>
          <w:sz w:val="28"/>
          <w:szCs w:val="28"/>
        </w:rPr>
      </w:pPr>
    </w:p>
    <w:p>
      <w:pPr>
        <w:pStyle w:val="2"/>
        <w:spacing w:before="0" w:after="0" w:line="380" w:lineRule="atLeast"/>
        <w:jc w:val="center"/>
        <w:rPr>
          <w:rFonts w:eastAsia="黑体"/>
          <w:b w:val="0"/>
          <w:sz w:val="24"/>
          <w:szCs w:val="24"/>
        </w:rPr>
      </w:pPr>
      <w:bookmarkStart w:id="798" w:name="_Toc234833279"/>
      <w:bookmarkStart w:id="799" w:name="_Toc503235843"/>
      <w:bookmarkStart w:id="800" w:name="_Toc508984167"/>
      <w:bookmarkStart w:id="801" w:name="_Toc508984370"/>
      <w:r>
        <w:rPr>
          <w:rFonts w:eastAsia="黑体"/>
          <w:b w:val="0"/>
          <w:sz w:val="24"/>
          <w:szCs w:val="24"/>
        </w:rPr>
        <w:t>（一）投标人基本情况表</w:t>
      </w:r>
      <w:bookmarkEnd w:id="798"/>
      <w:bookmarkEnd w:id="799"/>
      <w:bookmarkEnd w:id="800"/>
      <w:bookmarkEnd w:id="801"/>
    </w:p>
    <w:p>
      <w:pPr>
        <w:spacing w:line="440" w:lineRule="exact"/>
        <w:jc w:val="center"/>
        <w:rPr>
          <w:rFonts w:eastAsia="黑体"/>
          <w:sz w:val="23"/>
          <w:szCs w:val="23"/>
        </w:rPr>
      </w:pPr>
    </w:p>
    <w:tbl>
      <w:tblPr>
        <w:tblStyle w:val="47"/>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szCs w:val="21"/>
              </w:rPr>
              <w:t>电子邮件</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企业勘察资质证书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rPr>
            </w:pPr>
            <w:r>
              <w:rPr>
                <w:rFonts w:hint="eastAsia" w:ascii="宋体" w:hAnsi="宋体"/>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企业</w:t>
            </w:r>
            <w:r>
              <w:rPr>
                <w:rFonts w:hint="eastAsia" w:ascii="宋体" w:hAnsi="宋体"/>
                <w:szCs w:val="21"/>
              </w:rPr>
              <w:t>设计</w:t>
            </w:r>
            <w:r>
              <w:rPr>
                <w:rFonts w:hint="eastAsia" w:ascii="宋体" w:hAnsi="宋体"/>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rPr>
            </w:pPr>
            <w:r>
              <w:rPr>
                <w:rFonts w:hint="eastAsia" w:ascii="宋体" w:hAnsi="宋体"/>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营业执照（或事业单位法人证书）号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rPr>
            </w:pPr>
            <w:r>
              <w:rPr>
                <w:rFonts w:hint="eastAsia" w:ascii="宋体" w:hAnsi="宋体"/>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szCs w:val="21"/>
              </w:rPr>
              <w:t>投标人</w:t>
            </w:r>
            <w:r>
              <w:rPr>
                <w:rFonts w:ascii="宋体" w:hAnsi="宋体"/>
                <w:szCs w:val="21"/>
              </w:rPr>
              <w:t>关联企业情况</w:t>
            </w:r>
          </w:p>
        </w:tc>
        <w:tc>
          <w:tcPr>
            <w:tcW w:w="6840" w:type="dxa"/>
            <w:gridSpan w:val="8"/>
            <w:tcBorders>
              <w:top w:val="single" w:color="auto" w:sz="4" w:space="0"/>
              <w:left w:val="single" w:color="auto" w:sz="4" w:space="0"/>
              <w:right w:val="single" w:color="auto" w:sz="4" w:space="0"/>
            </w:tcBorders>
            <w:vAlign w:val="center"/>
          </w:tcPr>
          <w:p>
            <w:pPr>
              <w:topLinePunct/>
              <w:spacing w:line="400" w:lineRule="atLeast"/>
              <w:rPr>
                <w:rFonts w:ascii="宋体" w:hAnsi="宋体"/>
                <w:szCs w:val="21"/>
              </w:rPr>
            </w:pPr>
            <w:r>
              <w:rPr>
                <w:rFonts w:hint="eastAsia" w:ascii="宋体" w:hAnsi="宋体"/>
                <w:szCs w:val="21"/>
              </w:rPr>
              <w:t>投标人应提供</w:t>
            </w:r>
            <w:r>
              <w:rPr>
                <w:rFonts w:ascii="宋体" w:hAnsi="宋体"/>
                <w:szCs w:val="21"/>
              </w:rPr>
              <w:t>关联企业情况</w:t>
            </w:r>
            <w:r>
              <w:rPr>
                <w:rFonts w:hint="eastAsia" w:ascii="宋体" w:hAnsi="宋体"/>
                <w:szCs w:val="21"/>
              </w:rPr>
              <w:t>，包括：</w:t>
            </w:r>
          </w:p>
          <w:p>
            <w:pPr>
              <w:topLinePunct/>
              <w:spacing w:line="400" w:lineRule="atLeast"/>
              <w:rPr>
                <w:rFonts w:ascii="宋体" w:hAnsi="宋体"/>
                <w:szCs w:val="21"/>
              </w:rPr>
            </w:pPr>
            <w:r>
              <w:rPr>
                <w:rFonts w:hint="eastAsia" w:ascii="宋体" w:hAnsi="宋体"/>
                <w:szCs w:val="21"/>
              </w:rPr>
              <w:t>（1）投标人的所有股东名称及相应股权（出资额）比例；如投标人</w:t>
            </w:r>
            <w:r>
              <w:rPr>
                <w:rFonts w:ascii="宋体" w:hAnsi="宋体"/>
                <w:szCs w:val="21"/>
              </w:rPr>
              <w:t>为</w:t>
            </w:r>
            <w:r>
              <w:rPr>
                <w:rFonts w:ascii="宋体" w:hAnsi="宋体" w:cs="Arial"/>
                <w:szCs w:val="21"/>
              </w:rPr>
              <w:t>上市</w:t>
            </w:r>
            <w:r>
              <w:rPr>
                <w:rFonts w:hint="eastAsia" w:ascii="宋体" w:hAnsi="宋体" w:cs="Arial"/>
                <w:szCs w:val="21"/>
              </w:rPr>
              <w:t>公司，</w:t>
            </w:r>
            <w:r>
              <w:rPr>
                <w:rFonts w:ascii="宋体" w:hAnsi="宋体" w:cs="Arial"/>
                <w:szCs w:val="21"/>
              </w:rPr>
              <w:t>投标人应提供</w:t>
            </w:r>
            <w:r>
              <w:rPr>
                <w:rFonts w:hint="eastAsia" w:ascii="宋体" w:hAnsi="宋体" w:cs="Arial"/>
                <w:szCs w:val="21"/>
              </w:rPr>
              <w:t>股权</w:t>
            </w:r>
            <w:r>
              <w:rPr>
                <w:rFonts w:hint="eastAsia" w:ascii="宋体" w:hAnsi="宋体"/>
                <w:szCs w:val="21"/>
              </w:rPr>
              <w:t>占</w:t>
            </w:r>
            <w:r>
              <w:rPr>
                <w:rFonts w:ascii="宋体" w:hAnsi="宋体"/>
                <w:szCs w:val="21"/>
              </w:rPr>
              <w:t>公司股份总数</w:t>
            </w:r>
            <w:r>
              <w:rPr>
                <w:rStyle w:val="214"/>
                <w:rFonts w:hint="eastAsia" w:ascii="宋体" w:hAnsi="宋体" w:eastAsia="宋体"/>
                <w:sz w:val="21"/>
                <w:szCs w:val="21"/>
              </w:rPr>
              <w:t>____</w:t>
            </w:r>
            <w:r>
              <w:rPr>
                <w:rFonts w:ascii="宋体" w:hAnsi="宋体"/>
                <w:szCs w:val="21"/>
              </w:rPr>
              <w:t>%以上的所有</w:t>
            </w:r>
            <w:r>
              <w:rPr>
                <w:rFonts w:hint="eastAsia" w:ascii="宋体" w:hAnsi="宋体"/>
                <w:szCs w:val="21"/>
              </w:rPr>
              <w:t>股东名称及相应股权比例；</w:t>
            </w:r>
          </w:p>
          <w:p>
            <w:pPr>
              <w:topLinePunct/>
              <w:spacing w:line="400" w:lineRule="atLeast"/>
              <w:rPr>
                <w:rFonts w:ascii="宋体" w:hAnsi="宋体"/>
                <w:szCs w:val="21"/>
              </w:rPr>
            </w:pPr>
            <w:r>
              <w:rPr>
                <w:rFonts w:hint="eastAsia" w:ascii="宋体" w:hAnsi="宋体"/>
                <w:szCs w:val="21"/>
              </w:rPr>
              <w:t>（2）投标人投资（控股）或管理的下属企业名称、持有股权（出资额）比例；</w:t>
            </w:r>
          </w:p>
          <w:p>
            <w:pPr>
              <w:topLinePunct/>
              <w:spacing w:line="400" w:lineRule="atLeast"/>
              <w:rPr>
                <w:rFonts w:ascii="宋体" w:hAnsi="宋体"/>
                <w:szCs w:val="21"/>
              </w:rPr>
            </w:pPr>
            <w:r>
              <w:rPr>
                <w:rFonts w:hint="eastAsia" w:ascii="宋体" w:hAnsi="宋体"/>
                <w:szCs w:val="21"/>
              </w:rPr>
              <w:t>（3）与投标人</w:t>
            </w:r>
            <w:r>
              <w:rPr>
                <w:rFonts w:hint="eastAsia" w:ascii="宋体" w:hAnsi="宋体"/>
              </w:rPr>
              <w:t>单位负责人（即法定代表人）为同一人的其他单位名称。</w:t>
            </w:r>
          </w:p>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bl>
    <w:p>
      <w:pPr>
        <w:widowControl/>
        <w:jc w:val="left"/>
        <w:rPr>
          <w:szCs w:val="21"/>
        </w:rPr>
      </w:pPr>
      <w:r>
        <w:rPr>
          <w:rFonts w:hint="eastAsia"/>
          <w:szCs w:val="21"/>
        </w:rPr>
        <w:t>注：1.投标人应根据招标文件第二章“投标人须知”第3.5.1项的要求在本表后附相关证明材料。</w:t>
      </w:r>
    </w:p>
    <w:p>
      <w:pPr>
        <w:widowControl/>
        <w:ind w:firstLine="420" w:firstLineChars="200"/>
        <w:jc w:val="left"/>
        <w:rPr>
          <w:szCs w:val="21"/>
        </w:rPr>
      </w:pPr>
      <w:r>
        <w:rPr>
          <w:rFonts w:hint="eastAsia"/>
          <w:szCs w:val="21"/>
        </w:rPr>
        <w:t>2.以联合体形式投标的，联合体各成员应分别填写。</w:t>
      </w:r>
    </w:p>
    <w:p>
      <w:pPr>
        <w:spacing w:line="280" w:lineRule="atLeast"/>
        <w:ind w:firstLine="420" w:firstLineChars="200"/>
        <w:rPr>
          <w:szCs w:val="21"/>
        </w:rPr>
      </w:pPr>
      <w:r>
        <w:rPr>
          <w:rFonts w:hint="eastAsia"/>
          <w:szCs w:val="21"/>
        </w:rPr>
        <w:t>3. 上述信息如经调查核实未如实填写的，按提供虚假材料对待。</w:t>
      </w:r>
    </w:p>
    <w:p>
      <w:pPr>
        <w:widowControl/>
        <w:jc w:val="left"/>
        <w:rPr>
          <w:rFonts w:eastAsia="黑体"/>
          <w:bCs/>
          <w:kern w:val="44"/>
          <w:sz w:val="24"/>
        </w:rPr>
      </w:pPr>
      <w:bookmarkStart w:id="802" w:name="_Toc503235844"/>
      <w:bookmarkStart w:id="803" w:name="_Toc234833280"/>
      <w:r>
        <w:rPr>
          <w:rFonts w:eastAsia="黑体"/>
          <w:b/>
          <w:sz w:val="24"/>
        </w:rPr>
        <w:br w:type="page"/>
      </w:r>
    </w:p>
    <w:p>
      <w:pPr>
        <w:pStyle w:val="2"/>
        <w:spacing w:before="0" w:after="0" w:line="380" w:lineRule="atLeast"/>
        <w:jc w:val="center"/>
        <w:rPr>
          <w:rFonts w:eastAsia="黑体"/>
          <w:b w:val="0"/>
          <w:sz w:val="24"/>
          <w:szCs w:val="24"/>
        </w:rPr>
      </w:pPr>
      <w:bookmarkStart w:id="804" w:name="_Toc508984371"/>
      <w:bookmarkStart w:id="805" w:name="_Toc508984168"/>
      <w:r>
        <w:rPr>
          <w:rFonts w:eastAsia="黑体"/>
          <w:b w:val="0"/>
          <w:sz w:val="24"/>
          <w:szCs w:val="24"/>
        </w:rPr>
        <w:t>（二）投标人企业组织机构框图</w:t>
      </w:r>
      <w:bookmarkEnd w:id="802"/>
      <w:bookmarkEnd w:id="803"/>
      <w:bookmarkEnd w:id="804"/>
      <w:bookmarkEnd w:id="805"/>
    </w:p>
    <w:p>
      <w:pPr>
        <w:widowControl/>
        <w:autoSpaceDE w:val="0"/>
        <w:autoSpaceDN w:val="0"/>
        <w:spacing w:line="400" w:lineRule="atLeast"/>
        <w:ind w:left="180"/>
        <w:jc w:val="center"/>
        <w:textAlignment w:val="bottom"/>
        <w:rPr>
          <w:sz w:val="20"/>
          <w:szCs w:val="20"/>
        </w:rPr>
      </w:pPr>
    </w:p>
    <w:p>
      <w:pPr>
        <w:widowControl/>
        <w:autoSpaceDE w:val="0"/>
        <w:autoSpaceDN w:val="0"/>
        <w:spacing w:line="400" w:lineRule="atLeast"/>
        <w:ind w:left="180"/>
        <w:textAlignment w:val="bottom"/>
        <w:rPr>
          <w:sz w:val="20"/>
          <w:szCs w:val="20"/>
        </w:rPr>
      </w:pPr>
    </w:p>
    <w:tbl>
      <w:tblPr>
        <w:tblStyle w:val="47"/>
        <w:tblW w:w="88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tcPr>
          <w:p>
            <w:pPr>
              <w:spacing w:line="400" w:lineRule="atLeast"/>
              <w:ind w:left="266" w:right="174" w:rightChars="83" w:firstLine="4"/>
              <w:rPr>
                <w:szCs w:val="21"/>
              </w:rPr>
            </w:pPr>
          </w:p>
          <w:p>
            <w:pPr>
              <w:spacing w:line="520" w:lineRule="atLeast"/>
              <w:ind w:left="266" w:right="174" w:rightChars="83" w:firstLine="4"/>
              <w:rPr>
                <w:szCs w:val="21"/>
              </w:rPr>
            </w:pPr>
            <w:r>
              <w:rPr>
                <w:szCs w:val="21"/>
              </w:rPr>
              <w:t>以框图方式表示</w:t>
            </w:r>
          </w:p>
          <w:p>
            <w:pPr>
              <w:spacing w:line="400" w:lineRule="atLeast"/>
              <w:ind w:left="266" w:right="174" w:rightChars="83" w:firstLine="4"/>
              <w:rPr>
                <w:szCs w:val="21"/>
              </w:rPr>
            </w:pPr>
          </w:p>
          <w:p>
            <w:pPr>
              <w:spacing w:line="400" w:lineRule="atLeast"/>
              <w:ind w:right="174" w:rightChars="83" w:firstLine="4"/>
              <w:rPr>
                <w:szCs w:val="21"/>
              </w:rPr>
            </w:pPr>
          </w:p>
          <w:p>
            <w:pPr>
              <w:spacing w:line="400" w:lineRule="atLeast"/>
              <w:ind w:right="174" w:rightChars="83" w:firstLine="4"/>
              <w:rPr>
                <w:szCs w:val="21"/>
              </w:rPr>
            </w:pPr>
          </w:p>
          <w:p>
            <w:pPr>
              <w:spacing w:line="400" w:lineRule="atLeast"/>
              <w:ind w:right="174" w:rightChars="83" w:firstLine="4"/>
              <w:rPr>
                <w:szCs w:val="21"/>
              </w:rPr>
            </w:pPr>
          </w:p>
          <w:p>
            <w:pPr>
              <w:spacing w:line="400" w:lineRule="atLeast"/>
              <w:ind w:right="174" w:rightChars="83" w:firstLine="4"/>
              <w:rPr>
                <w:szCs w:val="21"/>
              </w:rPr>
            </w:pPr>
          </w:p>
          <w:p>
            <w:pPr>
              <w:spacing w:line="400" w:lineRule="atLeast"/>
              <w:ind w:right="174" w:rightChars="83" w:firstLine="4"/>
              <w:rPr>
                <w:szCs w:val="21"/>
              </w:rPr>
            </w:pPr>
          </w:p>
          <w:p>
            <w:pPr>
              <w:spacing w:line="400" w:lineRule="atLeast"/>
              <w:ind w:right="174" w:rightChars="83" w:firstLine="4"/>
              <w:rPr>
                <w:szCs w:val="21"/>
              </w:rPr>
            </w:pPr>
          </w:p>
          <w:p>
            <w:pPr>
              <w:spacing w:line="400" w:lineRule="atLeast"/>
              <w:ind w:right="174" w:rightChars="83" w:firstLine="4"/>
              <w:rPr>
                <w:szCs w:val="21"/>
              </w:rPr>
            </w:pPr>
          </w:p>
          <w:p>
            <w:pPr>
              <w:spacing w:line="400" w:lineRule="atLeast"/>
              <w:ind w:right="174" w:rightChars="83" w:firstLine="4"/>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tcPr>
          <w:p>
            <w:pPr>
              <w:spacing w:line="400" w:lineRule="atLeast"/>
              <w:ind w:left="266" w:right="174" w:rightChars="83" w:firstLine="4"/>
              <w:rPr>
                <w:szCs w:val="21"/>
              </w:rPr>
            </w:pPr>
            <w:r>
              <w:rPr>
                <w:szCs w:val="21"/>
              </w:rPr>
              <w:t>说明</w:t>
            </w:r>
          </w:p>
          <w:p>
            <w:pPr>
              <w:spacing w:line="400" w:lineRule="atLeast"/>
              <w:ind w:left="266" w:right="174" w:rightChars="83" w:firstLine="4"/>
              <w:rPr>
                <w:szCs w:val="21"/>
              </w:rPr>
            </w:pPr>
          </w:p>
          <w:p>
            <w:pPr>
              <w:spacing w:line="400" w:lineRule="atLeast"/>
              <w:ind w:left="266" w:right="174" w:rightChars="83" w:firstLine="4"/>
              <w:rPr>
                <w:szCs w:val="21"/>
              </w:rPr>
            </w:pPr>
          </w:p>
          <w:p>
            <w:pPr>
              <w:spacing w:line="400" w:lineRule="atLeast"/>
              <w:ind w:left="266" w:right="174" w:rightChars="83" w:firstLine="4"/>
              <w:rPr>
                <w:szCs w:val="21"/>
              </w:rPr>
            </w:pPr>
          </w:p>
          <w:p>
            <w:pPr>
              <w:spacing w:line="400" w:lineRule="atLeast"/>
              <w:ind w:left="266" w:right="174" w:rightChars="83" w:firstLine="4"/>
              <w:rPr>
                <w:szCs w:val="21"/>
              </w:rPr>
            </w:pPr>
          </w:p>
        </w:tc>
      </w:tr>
    </w:tbl>
    <w:p>
      <w:pPr>
        <w:topLinePunct/>
        <w:spacing w:line="340" w:lineRule="atLeast"/>
        <w:jc w:val="center"/>
        <w:rPr>
          <w:rFonts w:eastAsia="黑体"/>
          <w:sz w:val="24"/>
        </w:rPr>
      </w:pPr>
    </w:p>
    <w:p>
      <w:pPr>
        <w:widowControl/>
        <w:jc w:val="left"/>
        <w:rPr>
          <w:rFonts w:eastAsia="黑体"/>
          <w:bCs/>
          <w:kern w:val="44"/>
          <w:sz w:val="24"/>
        </w:rPr>
      </w:pPr>
      <w:bookmarkStart w:id="806" w:name="_Toc234833281"/>
      <w:r>
        <w:rPr>
          <w:rFonts w:eastAsia="黑体"/>
          <w:b/>
          <w:sz w:val="24"/>
        </w:rPr>
        <w:br w:type="page"/>
      </w:r>
    </w:p>
    <w:p>
      <w:pPr>
        <w:spacing w:line="320" w:lineRule="atLeast"/>
        <w:jc w:val="center"/>
        <w:rPr>
          <w:rFonts w:ascii="宋体" w:hAnsi="宋体"/>
        </w:rPr>
      </w:pPr>
      <w:r>
        <w:rPr>
          <w:rFonts w:hint="eastAsia" w:ascii="宋体" w:hAnsi="宋体"/>
          <w:b/>
          <w:bCs/>
          <w:sz w:val="28"/>
          <w:szCs w:val="28"/>
        </w:rPr>
        <w:t>（三）近年</w:t>
      </w:r>
      <w:r>
        <w:rPr>
          <w:rFonts w:ascii="宋体" w:hAnsi="宋体"/>
          <w:b/>
          <w:bCs/>
          <w:sz w:val="28"/>
          <w:szCs w:val="28"/>
        </w:rPr>
        <w:t>完成的类似项目情况</w:t>
      </w:r>
      <w:r>
        <w:rPr>
          <w:rFonts w:hint="eastAsia" w:ascii="宋体" w:hAnsi="宋体"/>
          <w:b/>
          <w:bCs/>
          <w:sz w:val="28"/>
          <w:szCs w:val="28"/>
        </w:rPr>
        <w:t>汇总</w:t>
      </w:r>
      <w:r>
        <w:rPr>
          <w:rFonts w:ascii="宋体" w:hAnsi="宋体"/>
          <w:b/>
          <w:bCs/>
          <w:sz w:val="28"/>
          <w:szCs w:val="28"/>
        </w:rPr>
        <w:t>表</w:t>
      </w:r>
    </w:p>
    <w:p>
      <w:pPr>
        <w:topLinePunct/>
        <w:spacing w:line="400" w:lineRule="atLeast"/>
        <w:jc w:val="center"/>
        <w:rPr>
          <w:rFonts w:ascii="宋体" w:hAnsi="宋体"/>
          <w:sz w:val="28"/>
          <w:szCs w:val="28"/>
        </w:rPr>
      </w:pPr>
    </w:p>
    <w:tbl>
      <w:tblPr>
        <w:tblStyle w:val="47"/>
        <w:tblW w:w="9307" w:type="dxa"/>
        <w:tblInd w:w="0" w:type="dxa"/>
        <w:tblLayout w:type="fixed"/>
        <w:tblCellMar>
          <w:top w:w="0" w:type="dxa"/>
          <w:left w:w="15" w:type="dxa"/>
          <w:bottom w:w="0" w:type="dxa"/>
          <w:right w:w="15" w:type="dxa"/>
        </w:tblCellMar>
      </w:tblPr>
      <w:tblGrid>
        <w:gridCol w:w="531"/>
        <w:gridCol w:w="2361"/>
        <w:gridCol w:w="1511"/>
        <w:gridCol w:w="1500"/>
        <w:gridCol w:w="1281"/>
        <w:gridCol w:w="1246"/>
        <w:gridCol w:w="877"/>
      </w:tblGrid>
      <w:tr>
        <w:tblPrEx>
          <w:tblCellMar>
            <w:top w:w="0" w:type="dxa"/>
            <w:left w:w="15" w:type="dxa"/>
            <w:bottom w:w="0" w:type="dxa"/>
            <w:right w:w="15" w:type="dxa"/>
          </w:tblCellMar>
        </w:tblPrEx>
        <w:trPr>
          <w:trHeight w:val="882"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序号</w:t>
            </w:r>
          </w:p>
        </w:tc>
        <w:tc>
          <w:tcPr>
            <w:tcW w:w="236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项目名称</w:t>
            </w: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起讫时间</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建设单位</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工程投资</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完成情况</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备注</w:t>
            </w: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1</w:t>
            </w:r>
          </w:p>
        </w:tc>
        <w:tc>
          <w:tcPr>
            <w:tcW w:w="2361"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877" w:type="dxa"/>
            <w:tcBorders>
              <w:top w:val="single" w:color="000000" w:sz="4" w:space="0"/>
              <w:left w:val="single" w:color="000000" w:sz="4" w:space="0"/>
              <w:bottom w:val="single" w:color="000000" w:sz="4" w:space="0"/>
              <w:right w:val="single" w:color="000000" w:sz="4" w:space="0"/>
            </w:tcBorders>
            <w:noWrap/>
          </w:tcPr>
          <w:p>
            <w:pPr>
              <w:autoSpaceDN w:val="0"/>
              <w:jc w:val="center"/>
              <w:textAlignment w:val="center"/>
              <w:rPr>
                <w:rFonts w:ascii="宋体" w:hAnsi="宋体" w:cs="宋体"/>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2</w:t>
            </w:r>
          </w:p>
        </w:tc>
        <w:tc>
          <w:tcPr>
            <w:tcW w:w="2361"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877" w:type="dxa"/>
            <w:tcBorders>
              <w:top w:val="single" w:color="000000" w:sz="4" w:space="0"/>
              <w:left w:val="single" w:color="000000" w:sz="4" w:space="0"/>
              <w:bottom w:val="single" w:color="000000" w:sz="4" w:space="0"/>
              <w:right w:val="single" w:color="000000" w:sz="4" w:space="0"/>
            </w:tcBorders>
            <w:noWrap/>
          </w:tcPr>
          <w:p>
            <w:pPr>
              <w:autoSpaceDN w:val="0"/>
              <w:jc w:val="center"/>
              <w:textAlignment w:val="center"/>
              <w:rPr>
                <w:rFonts w:ascii="宋体" w:hAnsi="宋体" w:cs="宋体"/>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3</w:t>
            </w:r>
          </w:p>
        </w:tc>
        <w:tc>
          <w:tcPr>
            <w:tcW w:w="2361"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877" w:type="dxa"/>
            <w:tcBorders>
              <w:top w:val="single" w:color="000000" w:sz="4" w:space="0"/>
              <w:left w:val="single" w:color="000000" w:sz="4" w:space="0"/>
              <w:bottom w:val="single" w:color="000000" w:sz="4" w:space="0"/>
              <w:right w:val="single" w:color="000000" w:sz="4" w:space="0"/>
            </w:tcBorders>
            <w:noWrap/>
          </w:tcPr>
          <w:p>
            <w:pPr>
              <w:autoSpaceDN w:val="0"/>
              <w:jc w:val="center"/>
              <w:textAlignment w:val="center"/>
              <w:rPr>
                <w:rFonts w:ascii="宋体" w:hAnsi="宋体" w:cs="宋体"/>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4</w:t>
            </w:r>
          </w:p>
        </w:tc>
        <w:tc>
          <w:tcPr>
            <w:tcW w:w="2361"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877" w:type="dxa"/>
            <w:tcBorders>
              <w:top w:val="single" w:color="000000" w:sz="4" w:space="0"/>
              <w:left w:val="single" w:color="000000" w:sz="4" w:space="0"/>
              <w:bottom w:val="single" w:color="000000" w:sz="4" w:space="0"/>
              <w:right w:val="single" w:color="000000" w:sz="4" w:space="0"/>
            </w:tcBorders>
            <w:noWrap/>
          </w:tcPr>
          <w:p>
            <w:pPr>
              <w:autoSpaceDN w:val="0"/>
              <w:jc w:val="center"/>
              <w:textAlignment w:val="center"/>
              <w:rPr>
                <w:rFonts w:ascii="宋体" w:hAnsi="宋体" w:cs="宋体"/>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5</w:t>
            </w:r>
          </w:p>
        </w:tc>
        <w:tc>
          <w:tcPr>
            <w:tcW w:w="236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877" w:type="dxa"/>
            <w:tcBorders>
              <w:top w:val="single" w:color="000000" w:sz="4" w:space="0"/>
              <w:left w:val="single" w:color="000000" w:sz="4" w:space="0"/>
              <w:bottom w:val="single" w:color="000000" w:sz="4" w:space="0"/>
              <w:right w:val="single" w:color="000000" w:sz="4" w:space="0"/>
            </w:tcBorders>
            <w:noWrap/>
          </w:tcPr>
          <w:p>
            <w:pPr>
              <w:autoSpaceDN w:val="0"/>
              <w:jc w:val="center"/>
              <w:textAlignment w:val="center"/>
              <w:rPr>
                <w:rFonts w:ascii="宋体" w:hAnsi="宋体" w:cs="宋体"/>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6</w:t>
            </w:r>
          </w:p>
        </w:tc>
        <w:tc>
          <w:tcPr>
            <w:tcW w:w="2361"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right"/>
              <w:textAlignment w:val="center"/>
              <w:rPr>
                <w:rFonts w:ascii="宋体" w:hAnsi="宋体" w:cs="宋体"/>
                <w:szCs w:val="21"/>
              </w:rPr>
            </w:pPr>
          </w:p>
        </w:tc>
        <w:tc>
          <w:tcPr>
            <w:tcW w:w="877" w:type="dxa"/>
            <w:tcBorders>
              <w:top w:val="single" w:color="000000" w:sz="4" w:space="0"/>
              <w:left w:val="single" w:color="000000" w:sz="4" w:space="0"/>
              <w:bottom w:val="single" w:color="000000" w:sz="4" w:space="0"/>
              <w:right w:val="single" w:color="000000" w:sz="4" w:space="0"/>
            </w:tcBorders>
            <w:noWrap/>
          </w:tcPr>
          <w:p>
            <w:pPr>
              <w:autoSpaceDN w:val="0"/>
              <w:jc w:val="right"/>
              <w:textAlignment w:val="center"/>
              <w:rPr>
                <w:rFonts w:ascii="宋体" w:hAnsi="宋体" w:cs="宋体"/>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7</w:t>
            </w:r>
          </w:p>
        </w:tc>
        <w:tc>
          <w:tcPr>
            <w:tcW w:w="2361"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right"/>
              <w:textAlignment w:val="center"/>
              <w:rPr>
                <w:rFonts w:ascii="宋体" w:hAnsi="宋体" w:cs="宋体"/>
                <w:szCs w:val="21"/>
              </w:rPr>
            </w:pPr>
          </w:p>
        </w:tc>
        <w:tc>
          <w:tcPr>
            <w:tcW w:w="877" w:type="dxa"/>
            <w:tcBorders>
              <w:top w:val="single" w:color="000000" w:sz="4" w:space="0"/>
              <w:left w:val="single" w:color="000000" w:sz="4" w:space="0"/>
              <w:bottom w:val="single" w:color="000000" w:sz="4" w:space="0"/>
              <w:right w:val="single" w:color="000000" w:sz="4" w:space="0"/>
            </w:tcBorders>
            <w:noWrap/>
          </w:tcPr>
          <w:p>
            <w:pPr>
              <w:autoSpaceDN w:val="0"/>
              <w:jc w:val="right"/>
              <w:textAlignment w:val="center"/>
              <w:rPr>
                <w:rFonts w:ascii="宋体" w:hAnsi="宋体" w:cs="宋体"/>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w:t>
            </w:r>
          </w:p>
        </w:tc>
        <w:tc>
          <w:tcPr>
            <w:tcW w:w="2361"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right"/>
              <w:textAlignment w:val="center"/>
              <w:rPr>
                <w:rFonts w:ascii="宋体" w:hAnsi="宋体" w:cs="宋体"/>
                <w:szCs w:val="21"/>
              </w:rPr>
            </w:pPr>
          </w:p>
        </w:tc>
        <w:tc>
          <w:tcPr>
            <w:tcW w:w="877" w:type="dxa"/>
            <w:tcBorders>
              <w:top w:val="single" w:color="000000" w:sz="4" w:space="0"/>
              <w:left w:val="single" w:color="000000" w:sz="4" w:space="0"/>
              <w:bottom w:val="single" w:color="000000" w:sz="4" w:space="0"/>
              <w:right w:val="single" w:color="000000" w:sz="4" w:space="0"/>
            </w:tcBorders>
            <w:noWrap/>
          </w:tcPr>
          <w:p>
            <w:pPr>
              <w:autoSpaceDN w:val="0"/>
              <w:jc w:val="right"/>
              <w:textAlignment w:val="center"/>
              <w:rPr>
                <w:rFonts w:ascii="宋体" w:hAnsi="宋体" w:cs="宋体"/>
                <w:szCs w:val="21"/>
              </w:rPr>
            </w:pPr>
          </w:p>
        </w:tc>
      </w:tr>
      <w:tr>
        <w:tblPrEx>
          <w:tblCellMar>
            <w:top w:w="0" w:type="dxa"/>
            <w:left w:w="15" w:type="dxa"/>
            <w:bottom w:w="0" w:type="dxa"/>
            <w:right w:w="15" w:type="dxa"/>
          </w:tblCellMar>
        </w:tblPrEx>
        <w:trPr>
          <w:trHeight w:val="495" w:hRule="atLeast"/>
        </w:trPr>
        <w:tc>
          <w:tcPr>
            <w:tcW w:w="2892"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r>
              <w:rPr>
                <w:rFonts w:hint="eastAsia" w:ascii="宋体" w:hAnsi="宋体" w:cs="宋体"/>
                <w:szCs w:val="21"/>
              </w:rPr>
              <w:t>业绩合计</w:t>
            </w:r>
          </w:p>
        </w:tc>
        <w:tc>
          <w:tcPr>
            <w:tcW w:w="1511"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宋体" w:hAnsi="宋体" w:cs="宋体"/>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宋体" w:hAnsi="宋体" w:cs="宋体"/>
                <w:szCs w:val="21"/>
              </w:rPr>
            </w:pPr>
          </w:p>
        </w:tc>
        <w:tc>
          <w:tcPr>
            <w:tcW w:w="877" w:type="dxa"/>
            <w:tcBorders>
              <w:top w:val="single" w:color="000000" w:sz="4" w:space="0"/>
              <w:left w:val="single" w:color="000000" w:sz="4" w:space="0"/>
              <w:bottom w:val="single" w:color="000000" w:sz="4" w:space="0"/>
              <w:right w:val="single" w:color="000000" w:sz="4" w:space="0"/>
            </w:tcBorders>
            <w:noWrap/>
          </w:tcPr>
          <w:p>
            <w:pPr>
              <w:autoSpaceDN w:val="0"/>
              <w:jc w:val="center"/>
              <w:textAlignment w:val="cente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 xml:space="preserve"> 备注：业绩要求应符合投标人须知前附表3.</w:t>
      </w:r>
      <w:r>
        <w:rPr>
          <w:rFonts w:ascii="宋体" w:hAnsi="宋体" w:cs="宋体"/>
          <w:szCs w:val="21"/>
        </w:rPr>
        <w:t>5</w:t>
      </w:r>
      <w:r>
        <w:rPr>
          <w:rFonts w:hint="eastAsia" w:ascii="宋体" w:hAnsi="宋体" w:cs="宋体"/>
          <w:szCs w:val="21"/>
        </w:rPr>
        <w:t>.2款的要求。</w:t>
      </w:r>
    </w:p>
    <w:p>
      <w:pPr>
        <w:topLinePunct/>
        <w:spacing w:line="400" w:lineRule="atLeast"/>
        <w:jc w:val="center"/>
        <w:rPr>
          <w:rFonts w:ascii="宋体" w:hAnsi="宋体" w:cs="宋体"/>
          <w:szCs w:val="21"/>
        </w:rPr>
      </w:pPr>
    </w:p>
    <w:p>
      <w:pPr>
        <w:topLinePunct/>
        <w:spacing w:line="400" w:lineRule="atLeast"/>
        <w:jc w:val="center"/>
        <w:rPr>
          <w:rFonts w:ascii="宋体" w:hAnsi="宋体"/>
          <w:b/>
          <w:bCs/>
          <w:sz w:val="28"/>
          <w:szCs w:val="28"/>
        </w:rPr>
      </w:pPr>
      <w:r>
        <w:rPr>
          <w:rFonts w:ascii="宋体" w:hAnsi="宋体" w:cs="宋体"/>
          <w:szCs w:val="21"/>
        </w:rPr>
        <w:br w:type="page"/>
      </w:r>
      <w:r>
        <w:rPr>
          <w:rFonts w:hint="eastAsia" w:ascii="宋体" w:hAnsi="宋体" w:cs="宋体"/>
          <w:b/>
          <w:bCs/>
          <w:sz w:val="28"/>
          <w:szCs w:val="28"/>
        </w:rPr>
        <w:t>（四）</w:t>
      </w:r>
      <w:r>
        <w:rPr>
          <w:rFonts w:hint="eastAsia" w:ascii="宋体" w:hAnsi="宋体"/>
          <w:b/>
          <w:bCs/>
          <w:sz w:val="28"/>
          <w:szCs w:val="28"/>
        </w:rPr>
        <w:t>近年完成的类似项目情况表</w:t>
      </w:r>
    </w:p>
    <w:p>
      <w:pPr>
        <w:topLinePunct/>
        <w:spacing w:line="400" w:lineRule="atLeast"/>
        <w:jc w:val="center"/>
        <w:rPr>
          <w:rFonts w:ascii="宋体" w:hAnsi="宋体"/>
          <w:sz w:val="20"/>
          <w:szCs w:val="20"/>
        </w:rPr>
      </w:pPr>
    </w:p>
    <w:tbl>
      <w:tblPr>
        <w:tblStyle w:val="47"/>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4" w:type="dxa"/>
            <w:vAlign w:val="center"/>
          </w:tcPr>
          <w:p>
            <w:pPr>
              <w:topLinePunct/>
              <w:spacing w:line="280" w:lineRule="exact"/>
              <w:jc w:val="center"/>
              <w:rPr>
                <w:rFonts w:ascii="宋体" w:hAnsi="宋体"/>
                <w:szCs w:val="21"/>
              </w:rPr>
            </w:pPr>
            <w:r>
              <w:rPr>
                <w:rFonts w:hint="eastAsia" w:ascii="宋体" w:hAnsi="宋体"/>
                <w:szCs w:val="21"/>
              </w:rPr>
              <w:t>序    号</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4" w:type="dxa"/>
            <w:vAlign w:val="center"/>
          </w:tcPr>
          <w:p>
            <w:pPr>
              <w:topLinePunct/>
              <w:spacing w:line="280" w:lineRule="exact"/>
              <w:jc w:val="center"/>
              <w:rPr>
                <w:rFonts w:ascii="宋体" w:hAnsi="宋体"/>
                <w:szCs w:val="21"/>
              </w:rPr>
            </w:pPr>
            <w:r>
              <w:rPr>
                <w:rFonts w:ascii="宋体" w:hAnsi="宋体"/>
                <w:szCs w:val="21"/>
              </w:rPr>
              <w:t>项目名称</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34" w:type="dxa"/>
            <w:vAlign w:val="center"/>
          </w:tcPr>
          <w:p>
            <w:pPr>
              <w:topLinePunct/>
              <w:spacing w:line="280" w:lineRule="exact"/>
              <w:jc w:val="center"/>
              <w:rPr>
                <w:rFonts w:ascii="宋体" w:hAnsi="宋体"/>
                <w:szCs w:val="21"/>
              </w:rPr>
            </w:pPr>
            <w:r>
              <w:rPr>
                <w:rFonts w:ascii="宋体" w:hAnsi="宋体"/>
                <w:szCs w:val="21"/>
              </w:rPr>
              <w:t>项目所在地</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34" w:type="dxa"/>
            <w:vAlign w:val="center"/>
          </w:tcPr>
          <w:p>
            <w:pPr>
              <w:topLinePunct/>
              <w:spacing w:line="280" w:lineRule="exact"/>
              <w:jc w:val="center"/>
              <w:rPr>
                <w:rFonts w:ascii="宋体" w:hAnsi="宋体"/>
                <w:szCs w:val="21"/>
              </w:rPr>
            </w:pPr>
            <w:r>
              <w:rPr>
                <w:rFonts w:ascii="宋体" w:hAnsi="宋体"/>
                <w:szCs w:val="21"/>
              </w:rPr>
              <w:t>发包人名称</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34" w:type="dxa"/>
            <w:vAlign w:val="center"/>
          </w:tcPr>
          <w:p>
            <w:pPr>
              <w:topLinePunct/>
              <w:spacing w:line="280" w:lineRule="exact"/>
              <w:jc w:val="center"/>
              <w:rPr>
                <w:rFonts w:ascii="宋体" w:hAnsi="宋体"/>
                <w:szCs w:val="21"/>
              </w:rPr>
            </w:pPr>
            <w:r>
              <w:rPr>
                <w:rFonts w:ascii="宋体" w:hAnsi="宋体"/>
                <w:szCs w:val="21"/>
              </w:rPr>
              <w:t>发包人地址</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34" w:type="dxa"/>
            <w:vAlign w:val="center"/>
          </w:tcPr>
          <w:p>
            <w:pPr>
              <w:topLinePunct/>
              <w:spacing w:line="280" w:lineRule="exact"/>
              <w:jc w:val="center"/>
              <w:rPr>
                <w:rFonts w:ascii="宋体" w:hAnsi="宋体"/>
                <w:szCs w:val="21"/>
              </w:rPr>
            </w:pPr>
            <w:r>
              <w:rPr>
                <w:rFonts w:ascii="宋体" w:hAnsi="宋体"/>
                <w:szCs w:val="21"/>
              </w:rPr>
              <w:t>发包人电话</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34" w:type="dxa"/>
            <w:vAlign w:val="center"/>
          </w:tcPr>
          <w:p>
            <w:pPr>
              <w:topLinePunct/>
              <w:spacing w:line="280" w:lineRule="exact"/>
              <w:jc w:val="center"/>
              <w:rPr>
                <w:rFonts w:ascii="宋体" w:hAnsi="宋体"/>
                <w:szCs w:val="21"/>
              </w:rPr>
            </w:pPr>
            <w:r>
              <w:rPr>
                <w:rFonts w:hint="eastAsia" w:ascii="宋体" w:hAnsi="宋体"/>
                <w:szCs w:val="21"/>
              </w:rPr>
              <w:t>项目总投资</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34" w:type="dxa"/>
            <w:vAlign w:val="center"/>
          </w:tcPr>
          <w:p>
            <w:pPr>
              <w:topLinePunct/>
              <w:spacing w:line="280" w:lineRule="exact"/>
              <w:jc w:val="center"/>
              <w:rPr>
                <w:rFonts w:ascii="宋体" w:hAnsi="宋体"/>
                <w:szCs w:val="21"/>
              </w:rPr>
            </w:pPr>
            <w:r>
              <w:rPr>
                <w:rFonts w:ascii="宋体" w:hAnsi="宋体"/>
                <w:szCs w:val="21"/>
              </w:rPr>
              <w:t>合同价格</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34" w:type="dxa"/>
            <w:vAlign w:val="center"/>
          </w:tcPr>
          <w:p>
            <w:pPr>
              <w:topLinePunct/>
              <w:spacing w:line="280" w:lineRule="exact"/>
              <w:jc w:val="center"/>
              <w:rPr>
                <w:rFonts w:ascii="宋体" w:hAnsi="宋体"/>
                <w:szCs w:val="21"/>
              </w:rPr>
            </w:pPr>
            <w:r>
              <w:rPr>
                <w:rFonts w:hint="eastAsia" w:ascii="宋体" w:hAnsi="宋体"/>
                <w:szCs w:val="21"/>
              </w:rPr>
              <w:t>承担的工作</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34" w:type="dxa"/>
            <w:vAlign w:val="center"/>
          </w:tcPr>
          <w:p>
            <w:pPr>
              <w:topLinePunct/>
              <w:spacing w:line="280" w:lineRule="exact"/>
              <w:jc w:val="center"/>
              <w:rPr>
                <w:rFonts w:ascii="宋体" w:hAnsi="宋体"/>
                <w:szCs w:val="21"/>
              </w:rPr>
            </w:pPr>
            <w:r>
              <w:rPr>
                <w:rFonts w:hint="eastAsia" w:ascii="宋体" w:hAnsi="宋体"/>
                <w:szCs w:val="21"/>
              </w:rPr>
              <w:t>服务期限</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34" w:type="dxa"/>
            <w:vAlign w:val="center"/>
          </w:tcPr>
          <w:p>
            <w:pPr>
              <w:topLinePunct/>
              <w:spacing w:line="280" w:lineRule="exact"/>
              <w:jc w:val="center"/>
              <w:rPr>
                <w:rFonts w:ascii="宋体" w:hAnsi="宋体"/>
                <w:szCs w:val="21"/>
              </w:rPr>
            </w:pPr>
            <w:r>
              <w:rPr>
                <w:rFonts w:hint="eastAsia" w:ascii="宋体" w:hAnsi="宋体"/>
                <w:szCs w:val="21"/>
              </w:rPr>
              <w:t>项目负责人</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34" w:type="dxa"/>
            <w:vAlign w:val="center"/>
          </w:tcPr>
          <w:p>
            <w:pPr>
              <w:topLinePunct/>
              <w:spacing w:line="280" w:lineRule="exact"/>
              <w:jc w:val="center"/>
              <w:rPr>
                <w:rFonts w:ascii="宋体" w:hAnsi="宋体"/>
                <w:szCs w:val="21"/>
              </w:rPr>
            </w:pPr>
            <w:r>
              <w:rPr>
                <w:rFonts w:hint="eastAsia" w:ascii="宋体" w:hAnsi="宋体"/>
                <w:szCs w:val="21"/>
              </w:rPr>
              <w:t>项目完成情况</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534" w:type="dxa"/>
            <w:vAlign w:val="center"/>
          </w:tcPr>
          <w:p>
            <w:pPr>
              <w:topLinePunct/>
              <w:spacing w:line="280" w:lineRule="exact"/>
              <w:jc w:val="center"/>
              <w:rPr>
                <w:rFonts w:ascii="宋体" w:hAnsi="宋体"/>
                <w:szCs w:val="21"/>
              </w:rPr>
            </w:pPr>
            <w:r>
              <w:rPr>
                <w:rFonts w:ascii="宋体" w:hAnsi="宋体"/>
                <w:szCs w:val="21"/>
              </w:rPr>
              <w:t>项目描述</w:t>
            </w:r>
          </w:p>
        </w:tc>
        <w:tc>
          <w:tcPr>
            <w:tcW w:w="6243" w:type="dxa"/>
          </w:tcPr>
          <w:p>
            <w:pPr>
              <w:topLinePunct/>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534" w:type="dxa"/>
            <w:vAlign w:val="center"/>
          </w:tcPr>
          <w:p>
            <w:pPr>
              <w:topLinePunct/>
              <w:spacing w:line="280" w:lineRule="exact"/>
              <w:jc w:val="center"/>
              <w:rPr>
                <w:rFonts w:ascii="宋体" w:hAnsi="宋体"/>
                <w:szCs w:val="21"/>
              </w:rPr>
            </w:pPr>
            <w:r>
              <w:rPr>
                <w:rFonts w:ascii="宋体" w:hAnsi="宋体"/>
                <w:szCs w:val="21"/>
              </w:rPr>
              <w:t>备注</w:t>
            </w:r>
          </w:p>
        </w:tc>
        <w:tc>
          <w:tcPr>
            <w:tcW w:w="6243" w:type="dxa"/>
          </w:tcPr>
          <w:p>
            <w:pPr>
              <w:topLinePunct/>
              <w:spacing w:line="280" w:lineRule="exact"/>
              <w:rPr>
                <w:rFonts w:ascii="宋体" w:hAnsi="宋体"/>
                <w:szCs w:val="21"/>
              </w:rPr>
            </w:pPr>
          </w:p>
        </w:tc>
      </w:tr>
    </w:tbl>
    <w:p>
      <w:pPr>
        <w:spacing w:line="320" w:lineRule="atLeast"/>
        <w:rPr>
          <w:rFonts w:ascii="宋体" w:hAnsi="宋体"/>
          <w:sz w:val="18"/>
          <w:szCs w:val="18"/>
        </w:rPr>
      </w:pPr>
      <w:r>
        <w:rPr>
          <w:rFonts w:hint="eastAsia" w:ascii="宋体" w:hAnsi="宋体"/>
          <w:sz w:val="18"/>
          <w:szCs w:val="18"/>
        </w:rPr>
        <w:t>注：1.每张表格只填写一个项目，并标明序号。</w:t>
      </w:r>
    </w:p>
    <w:p>
      <w:pPr>
        <w:spacing w:line="320" w:lineRule="atLeast"/>
        <w:ind w:firstLine="360" w:firstLineChars="200"/>
        <w:rPr>
          <w:rFonts w:ascii="宋体" w:hAnsi="宋体"/>
          <w:sz w:val="18"/>
          <w:szCs w:val="18"/>
        </w:rPr>
      </w:pPr>
      <w:r>
        <w:rPr>
          <w:rFonts w:hint="eastAsia" w:ascii="宋体" w:hAnsi="宋体"/>
          <w:sz w:val="18"/>
          <w:szCs w:val="18"/>
        </w:rPr>
        <w:t>2.项目完成情况：根据先后顺序分为“初步设计已批复”“施工图设计已审批”等不同阶段， 投标人应根据项目实际完成情况进行填报。</w:t>
      </w:r>
    </w:p>
    <w:p>
      <w:pPr>
        <w:spacing w:line="320" w:lineRule="atLeast"/>
        <w:ind w:firstLine="360" w:firstLineChars="200"/>
        <w:rPr>
          <w:rFonts w:ascii="宋体" w:hAnsi="宋体"/>
          <w:sz w:val="18"/>
          <w:szCs w:val="18"/>
        </w:rPr>
      </w:pPr>
      <w:r>
        <w:rPr>
          <w:rFonts w:hint="eastAsia" w:ascii="宋体" w:hAnsi="宋体"/>
          <w:sz w:val="18"/>
          <w:szCs w:val="18"/>
        </w:rPr>
        <w:t>3.投标人应根据招标文件第二章“投标人须知”第3.</w:t>
      </w:r>
      <w:r>
        <w:rPr>
          <w:rFonts w:ascii="宋体" w:hAnsi="宋体"/>
          <w:sz w:val="18"/>
          <w:szCs w:val="18"/>
        </w:rPr>
        <w:t>5</w:t>
      </w:r>
      <w:r>
        <w:rPr>
          <w:rFonts w:hint="eastAsia" w:ascii="宋体" w:hAnsi="宋体"/>
          <w:sz w:val="18"/>
          <w:szCs w:val="18"/>
        </w:rPr>
        <w:t>.2项的要求在本表后附相关证明材料。</w:t>
      </w:r>
    </w:p>
    <w:p>
      <w:pPr>
        <w:spacing w:line="320" w:lineRule="atLeast"/>
        <w:ind w:firstLine="360" w:firstLineChars="200"/>
        <w:rPr>
          <w:rFonts w:ascii="宋体" w:hAnsi="宋体"/>
          <w:sz w:val="18"/>
          <w:szCs w:val="18"/>
        </w:rPr>
      </w:pPr>
      <w:r>
        <w:rPr>
          <w:rFonts w:hint="eastAsia" w:ascii="宋体" w:hAnsi="宋体"/>
          <w:sz w:val="18"/>
          <w:szCs w:val="18"/>
        </w:rPr>
        <w:t>4.如近年来，投标人法人机构发生合法变更或重组或法人名称变更时，应提供相关部门的合法批件或其他相关</w:t>
      </w:r>
    </w:p>
    <w:p>
      <w:pPr>
        <w:spacing w:line="320" w:lineRule="atLeast"/>
        <w:rPr>
          <w:rFonts w:ascii="宋体" w:hAnsi="宋体"/>
          <w:sz w:val="18"/>
          <w:szCs w:val="18"/>
        </w:rPr>
      </w:pPr>
      <w:r>
        <w:rPr>
          <w:rFonts w:hint="eastAsia" w:ascii="宋体" w:hAnsi="宋体"/>
          <w:sz w:val="18"/>
          <w:szCs w:val="18"/>
        </w:rPr>
        <w:t>证明材料来证明其所附业绩的继承性。</w:t>
      </w:r>
    </w:p>
    <w:p>
      <w:pPr>
        <w:spacing w:line="320" w:lineRule="atLeast"/>
        <w:ind w:firstLine="360" w:firstLineChars="200"/>
        <w:rPr>
          <w:rFonts w:ascii="宋体" w:hAnsi="宋体"/>
          <w:sz w:val="18"/>
          <w:szCs w:val="18"/>
        </w:rPr>
      </w:pPr>
      <w:r>
        <w:rPr>
          <w:rFonts w:hint="eastAsia" w:ascii="宋体" w:hAnsi="宋体"/>
          <w:sz w:val="18"/>
          <w:szCs w:val="18"/>
        </w:rPr>
        <w:t>5.以联合体形式投标的，联合体各成员应分别填写。</w:t>
      </w:r>
    </w:p>
    <w:p>
      <w:pPr>
        <w:topLinePunct/>
        <w:spacing w:line="400" w:lineRule="atLeast"/>
        <w:ind w:left="591" w:hanging="213"/>
        <w:jc w:val="center"/>
        <w:rPr>
          <w:rFonts w:ascii="宋体" w:hAnsi="宋体" w:cs="黑体"/>
          <w:b/>
          <w:sz w:val="28"/>
          <w:szCs w:val="28"/>
        </w:rPr>
      </w:pPr>
      <w:r>
        <w:rPr>
          <w:rFonts w:eastAsia="黑体"/>
          <w:sz w:val="23"/>
          <w:szCs w:val="23"/>
        </w:rPr>
        <w:br w:type="page"/>
      </w:r>
      <w:r>
        <w:rPr>
          <w:rFonts w:hint="eastAsia" w:ascii="宋体" w:hAnsi="宋体" w:cs="黑体"/>
          <w:b/>
          <w:sz w:val="28"/>
          <w:szCs w:val="28"/>
        </w:rPr>
        <w:t>（五）投标人的信誉情况表</w:t>
      </w:r>
    </w:p>
    <w:p>
      <w:pPr>
        <w:topLinePunct/>
        <w:spacing w:line="400" w:lineRule="atLeast"/>
        <w:rPr>
          <w:rFonts w:ascii="宋体" w:hAnsi="宋体"/>
          <w:bCs/>
          <w:sz w:val="23"/>
          <w:szCs w:val="23"/>
        </w:rPr>
      </w:pPr>
    </w:p>
    <w:tbl>
      <w:tblPr>
        <w:tblStyle w:val="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Pr>
          <w:p>
            <w:pPr>
              <w:topLinePunct/>
              <w:spacing w:line="400" w:lineRule="atLeast"/>
              <w:jc w:val="center"/>
              <w:rPr>
                <w:rFonts w:ascii="宋体" w:hAnsi="宋体"/>
                <w:bCs/>
                <w:szCs w:val="21"/>
              </w:rPr>
            </w:pPr>
            <w:r>
              <w:rPr>
                <w:rFonts w:ascii="宋体" w:hAnsi="宋体"/>
                <w:bCs/>
                <w:szCs w:val="21"/>
              </w:rPr>
              <w:t>项 目</w:t>
            </w:r>
          </w:p>
        </w:tc>
        <w:tc>
          <w:tcPr>
            <w:tcW w:w="3828" w:type="dxa"/>
          </w:tcPr>
          <w:p>
            <w:pPr>
              <w:topLinePunct/>
              <w:spacing w:line="400" w:lineRule="atLeast"/>
              <w:jc w:val="center"/>
              <w:rPr>
                <w:rFonts w:ascii="宋体" w:hAnsi="宋体"/>
                <w:bCs/>
                <w:szCs w:val="21"/>
              </w:rPr>
            </w:pPr>
            <w:r>
              <w:rPr>
                <w:rFonts w:ascii="宋体" w:hAnsi="宋体"/>
                <w:bCs/>
                <w:szCs w:val="21"/>
              </w:rPr>
              <w:t>投标人情况说明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Pr>
          <w:p>
            <w:pPr>
              <w:adjustRightInd w:val="0"/>
              <w:snapToGrid w:val="0"/>
              <w:spacing w:line="360" w:lineRule="auto"/>
              <w:rPr>
                <w:rFonts w:ascii="宋体" w:hAnsi="宋体"/>
                <w:bCs/>
                <w:szCs w:val="21"/>
              </w:rPr>
            </w:pPr>
            <w:r>
              <w:rPr>
                <w:rFonts w:hint="eastAsia" w:ascii="宋体" w:hAnsi="宋体"/>
                <w:bCs/>
                <w:szCs w:val="21"/>
              </w:rPr>
              <w:t>（1）在最新年度</w:t>
            </w:r>
            <w:r>
              <w:rPr>
                <w:rFonts w:hint="eastAsia" w:ascii="宋体" w:hAnsi="宋体" w:cs="宋体"/>
                <w:szCs w:val="21"/>
                <w:lang w:eastAsia="zh-CN"/>
              </w:rPr>
              <w:t>湛江市</w:t>
            </w:r>
            <w:r>
              <w:rPr>
                <w:rFonts w:hint="eastAsia" w:ascii="宋体" w:hAnsi="宋体"/>
                <w:bCs/>
                <w:szCs w:val="21"/>
              </w:rPr>
              <w:t>水运工程从业单位（工程咨询单位）信用评价（含无最新年度而上一年度有信用评价）中，信用等级被评为D级；初次进入</w:t>
            </w:r>
            <w:r>
              <w:rPr>
                <w:rFonts w:hint="eastAsia" w:ascii="宋体" w:hAnsi="宋体" w:cs="宋体"/>
                <w:szCs w:val="21"/>
                <w:lang w:eastAsia="zh-CN"/>
              </w:rPr>
              <w:t>湛江市</w:t>
            </w:r>
            <w:r>
              <w:rPr>
                <w:rFonts w:hint="eastAsia" w:ascii="宋体" w:hAnsi="宋体"/>
                <w:bCs/>
                <w:szCs w:val="21"/>
              </w:rPr>
              <w:t>的投标人，在最新年度的全国水运从业单位（工程咨询单位）信用评价结果中被评为D级。</w:t>
            </w:r>
          </w:p>
        </w:tc>
        <w:tc>
          <w:tcPr>
            <w:tcW w:w="3828" w:type="dxa"/>
          </w:tcPr>
          <w:p>
            <w:pPr>
              <w:topLinePunct/>
              <w:spacing w:line="40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Pr>
          <w:p>
            <w:pPr>
              <w:topLinePunct/>
              <w:spacing w:line="400" w:lineRule="atLeast"/>
              <w:rPr>
                <w:rFonts w:ascii="宋体" w:hAnsi="宋体"/>
                <w:bCs/>
                <w:szCs w:val="21"/>
              </w:rPr>
            </w:pPr>
            <w:r>
              <w:rPr>
                <w:rFonts w:hint="eastAsia" w:ascii="宋体" w:hAnsi="宋体"/>
                <w:bCs/>
                <w:szCs w:val="21"/>
              </w:rPr>
              <w:t>（2）被省级及以上交通运输主管部门取消广东省的的投标资格且处于有效期内；</w:t>
            </w:r>
          </w:p>
        </w:tc>
        <w:tc>
          <w:tcPr>
            <w:tcW w:w="3828" w:type="dxa"/>
          </w:tcPr>
          <w:p>
            <w:pPr>
              <w:topLinePunct/>
              <w:spacing w:line="40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11" w:type="dxa"/>
          </w:tcPr>
          <w:p>
            <w:pPr>
              <w:topLinePunct/>
              <w:spacing w:line="400" w:lineRule="atLeast"/>
              <w:rPr>
                <w:rFonts w:ascii="宋体" w:hAnsi="宋体"/>
                <w:bCs/>
                <w:szCs w:val="21"/>
              </w:rPr>
            </w:pPr>
            <w:r>
              <w:rPr>
                <w:rFonts w:hint="eastAsia" w:ascii="宋体" w:hAnsi="宋体"/>
                <w:bCs/>
                <w:szCs w:val="21"/>
              </w:rPr>
              <w:t>（3）被责令停业，暂扣或吊销执照，或吊销资质证书；</w:t>
            </w:r>
          </w:p>
        </w:tc>
        <w:tc>
          <w:tcPr>
            <w:tcW w:w="3828" w:type="dxa"/>
          </w:tcPr>
          <w:p>
            <w:pPr>
              <w:topLinePunct/>
              <w:spacing w:line="40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Pr>
          <w:p>
            <w:pPr>
              <w:topLinePunct/>
              <w:spacing w:line="400" w:lineRule="atLeast"/>
              <w:rPr>
                <w:rFonts w:ascii="宋体" w:hAnsi="宋体"/>
                <w:bCs/>
                <w:szCs w:val="21"/>
              </w:rPr>
            </w:pPr>
            <w:r>
              <w:rPr>
                <w:rFonts w:hint="eastAsia" w:ascii="宋体" w:hAnsi="宋体"/>
                <w:bCs/>
                <w:szCs w:val="21"/>
              </w:rPr>
              <w:t>（4）进入清算程序，或被宣告破产，或其他丧失履约能力的情形；</w:t>
            </w:r>
          </w:p>
        </w:tc>
        <w:tc>
          <w:tcPr>
            <w:tcW w:w="3828" w:type="dxa"/>
          </w:tcPr>
          <w:p>
            <w:pPr>
              <w:topLinePunct/>
              <w:spacing w:line="40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Pr>
          <w:p>
            <w:pPr>
              <w:topLinePunct/>
              <w:spacing w:line="400" w:lineRule="atLeast"/>
              <w:rPr>
                <w:rFonts w:ascii="宋体" w:hAnsi="宋体"/>
                <w:bCs/>
                <w:szCs w:val="21"/>
              </w:rPr>
            </w:pPr>
            <w:r>
              <w:rPr>
                <w:rFonts w:hint="eastAsia" w:ascii="宋体" w:hAnsi="宋体"/>
                <w:bCs/>
                <w:szCs w:val="21"/>
              </w:rPr>
              <w:t>（5）在国家企业信用信息公示系统（</w:t>
            </w:r>
            <w:r>
              <w:rPr>
                <w:rFonts w:ascii="宋体" w:hAnsi="宋体"/>
                <w:bCs/>
                <w:szCs w:val="21"/>
              </w:rPr>
              <w:t>http://www.gsxt.gov.cn/</w:t>
            </w:r>
            <w:r>
              <w:rPr>
                <w:rFonts w:hint="eastAsia" w:ascii="宋体" w:hAnsi="宋体"/>
                <w:bCs/>
                <w:szCs w:val="21"/>
              </w:rPr>
              <w:t>）中被列入严重违法失信企业名单；</w:t>
            </w:r>
          </w:p>
        </w:tc>
        <w:tc>
          <w:tcPr>
            <w:tcW w:w="3828" w:type="dxa"/>
          </w:tcPr>
          <w:p>
            <w:pPr>
              <w:topLinePunct/>
              <w:spacing w:line="40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Pr>
          <w:p>
            <w:pPr>
              <w:topLinePunct/>
              <w:spacing w:line="400" w:lineRule="atLeast"/>
              <w:rPr>
                <w:rFonts w:ascii="宋体" w:hAnsi="宋体"/>
                <w:bCs/>
                <w:szCs w:val="21"/>
              </w:rPr>
            </w:pPr>
            <w:r>
              <w:rPr>
                <w:rFonts w:hint="eastAsia" w:ascii="宋体" w:hAnsi="宋体"/>
                <w:bCs/>
                <w:szCs w:val="21"/>
              </w:rPr>
              <w:t>（6）在</w:t>
            </w:r>
            <w:r>
              <w:rPr>
                <w:rFonts w:ascii="宋体" w:hAnsi="宋体"/>
                <w:bCs/>
                <w:szCs w:val="21"/>
              </w:rPr>
              <w:t>“</w:t>
            </w:r>
            <w:r>
              <w:rPr>
                <w:rFonts w:hint="eastAsia" w:ascii="宋体" w:hAnsi="宋体"/>
                <w:bCs/>
                <w:szCs w:val="21"/>
              </w:rPr>
              <w:t>信用中国</w:t>
            </w:r>
            <w:r>
              <w:rPr>
                <w:rFonts w:ascii="宋体" w:hAnsi="宋体"/>
                <w:bCs/>
                <w:szCs w:val="21"/>
              </w:rPr>
              <w:t>”</w:t>
            </w:r>
            <w:r>
              <w:rPr>
                <w:rFonts w:hint="eastAsia" w:ascii="宋体" w:hAnsi="宋体"/>
                <w:bCs/>
                <w:szCs w:val="21"/>
              </w:rPr>
              <w:t>网站（</w:t>
            </w:r>
            <w:r>
              <w:rPr>
                <w:rFonts w:ascii="宋体" w:hAnsi="宋体"/>
                <w:bCs/>
                <w:szCs w:val="21"/>
              </w:rPr>
              <w:t>http://www.creditchina.gov.cn/</w:t>
            </w:r>
            <w:r>
              <w:rPr>
                <w:rFonts w:hint="eastAsia" w:ascii="宋体" w:hAnsi="宋体"/>
                <w:bCs/>
                <w:szCs w:val="21"/>
              </w:rPr>
              <w:t>）中被列入失信被执行人名单；</w:t>
            </w:r>
          </w:p>
        </w:tc>
        <w:tc>
          <w:tcPr>
            <w:tcW w:w="3828" w:type="dxa"/>
          </w:tcPr>
          <w:p>
            <w:pPr>
              <w:topLinePunct/>
              <w:spacing w:line="40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Pr>
          <w:p>
            <w:pPr>
              <w:topLinePunct/>
              <w:spacing w:line="400" w:lineRule="atLeast"/>
              <w:rPr>
                <w:rFonts w:ascii="宋体" w:hAnsi="宋体"/>
                <w:bCs/>
                <w:szCs w:val="21"/>
              </w:rPr>
            </w:pPr>
            <w:r>
              <w:rPr>
                <w:rFonts w:hint="eastAsia" w:ascii="宋体" w:hAnsi="宋体"/>
                <w:bCs/>
                <w:szCs w:val="21"/>
              </w:rPr>
              <w:t>（7）投标人及其法定代表人、拟委任的项目负责人在近三年内有行贿犯罪行为的</w:t>
            </w:r>
            <w:r>
              <w:rPr>
                <w:rFonts w:hint="eastAsia" w:ascii="宋体" w:hAnsi="宋体"/>
                <w:szCs w:val="21"/>
              </w:rPr>
              <w:t>（以投标人投标函中的承诺为准）</w:t>
            </w:r>
            <w:r>
              <w:rPr>
                <w:rFonts w:hint="eastAsia" w:ascii="宋体" w:hAnsi="宋体"/>
                <w:bCs/>
                <w:szCs w:val="21"/>
              </w:rPr>
              <w:t>；</w:t>
            </w:r>
          </w:p>
        </w:tc>
        <w:tc>
          <w:tcPr>
            <w:tcW w:w="3828" w:type="dxa"/>
          </w:tcPr>
          <w:p>
            <w:pPr>
              <w:topLinePunct/>
              <w:spacing w:line="40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11" w:type="dxa"/>
          </w:tcPr>
          <w:p>
            <w:pPr>
              <w:topLinePunct/>
              <w:spacing w:line="400" w:lineRule="atLeast"/>
              <w:rPr>
                <w:rFonts w:ascii="宋体" w:hAnsi="宋体"/>
                <w:bCs/>
                <w:szCs w:val="21"/>
              </w:rPr>
            </w:pPr>
            <w:r>
              <w:rPr>
                <w:rFonts w:hint="eastAsia" w:ascii="宋体" w:hAnsi="宋体"/>
                <w:bCs/>
                <w:szCs w:val="21"/>
              </w:rPr>
              <w:t>（8）法律法规或投标人须知前附表规定的其他情形。</w:t>
            </w:r>
          </w:p>
        </w:tc>
        <w:tc>
          <w:tcPr>
            <w:tcW w:w="3828" w:type="dxa"/>
          </w:tcPr>
          <w:p>
            <w:pPr>
              <w:topLinePunct/>
              <w:spacing w:line="40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Pr>
          <w:p>
            <w:pPr>
              <w:topLinePunct/>
              <w:spacing w:line="400" w:lineRule="atLeast"/>
              <w:rPr>
                <w:rFonts w:ascii="宋体" w:hAnsi="宋体"/>
                <w:bCs/>
                <w:szCs w:val="21"/>
              </w:rPr>
            </w:pPr>
            <w:r>
              <w:rPr>
                <w:rFonts w:ascii="宋体" w:hAnsi="宋体"/>
                <w:bCs/>
                <w:szCs w:val="21"/>
              </w:rPr>
              <w:t>……</w:t>
            </w:r>
          </w:p>
        </w:tc>
        <w:tc>
          <w:tcPr>
            <w:tcW w:w="3828" w:type="dxa"/>
          </w:tcPr>
          <w:p>
            <w:pPr>
              <w:topLinePunct/>
              <w:spacing w:line="400" w:lineRule="atLeast"/>
              <w:rPr>
                <w:rFonts w:ascii="宋体" w:hAnsi="宋体"/>
                <w:bCs/>
                <w:szCs w:val="21"/>
              </w:rPr>
            </w:pPr>
          </w:p>
        </w:tc>
      </w:tr>
    </w:tbl>
    <w:p>
      <w:pPr>
        <w:ind w:left="420" w:hanging="420" w:hangingChars="200"/>
        <w:rPr>
          <w:rFonts w:ascii="宋体" w:hAnsi="宋体"/>
          <w:szCs w:val="21"/>
        </w:rPr>
      </w:pPr>
      <w:r>
        <w:rPr>
          <w:rFonts w:hint="eastAsia" w:ascii="宋体" w:hAnsi="宋体"/>
          <w:szCs w:val="21"/>
        </w:rPr>
        <w:t>注：1.投标人应按照招标文件第二章“投标人须知”前附表附录3和“投标人须知”第1.4.4项规定，逐条说明其信誉情况。</w:t>
      </w:r>
    </w:p>
    <w:p>
      <w:pPr>
        <w:ind w:left="365" w:leftChars="174"/>
        <w:rPr>
          <w:rFonts w:ascii="宋体" w:hAnsi="宋体"/>
          <w:szCs w:val="21"/>
        </w:rPr>
      </w:pPr>
      <w:r>
        <w:rPr>
          <w:rFonts w:hint="eastAsia" w:ascii="宋体" w:hAnsi="宋体"/>
          <w:szCs w:val="21"/>
        </w:rPr>
        <w:t>2.投标人应根据招标文件第二章“投标人须知”第3.</w:t>
      </w:r>
      <w:r>
        <w:rPr>
          <w:rFonts w:ascii="宋体" w:hAnsi="宋体"/>
          <w:szCs w:val="21"/>
        </w:rPr>
        <w:t>5</w:t>
      </w:r>
      <w:r>
        <w:rPr>
          <w:rFonts w:hint="eastAsia" w:ascii="宋体" w:hAnsi="宋体"/>
          <w:szCs w:val="21"/>
        </w:rPr>
        <w:t>.3项的要求在本表后附相关证明材料。</w:t>
      </w:r>
    </w:p>
    <w:p>
      <w:pPr>
        <w:ind w:left="365" w:leftChars="174"/>
        <w:rPr>
          <w:rFonts w:ascii="宋体" w:hAnsi="宋体"/>
          <w:szCs w:val="21"/>
        </w:rPr>
      </w:pPr>
      <w:r>
        <w:rPr>
          <w:rFonts w:hint="eastAsia" w:ascii="宋体" w:hAnsi="宋体"/>
          <w:szCs w:val="21"/>
        </w:rPr>
        <w:t>3.以联合体形式投标的，联合体各成员应分别填写。</w:t>
      </w:r>
    </w:p>
    <w:p>
      <w:pPr>
        <w:spacing w:line="400" w:lineRule="atLeast"/>
        <w:ind w:firstLine="420" w:firstLineChars="200"/>
        <w:rPr>
          <w:szCs w:val="21"/>
        </w:rPr>
      </w:pPr>
    </w:p>
    <w:p>
      <w:pPr>
        <w:spacing w:line="400" w:lineRule="atLeast"/>
        <w:ind w:left="420" w:hanging="420" w:hangingChars="200"/>
        <w:rPr>
          <w:szCs w:val="21"/>
        </w:rPr>
      </w:pPr>
    </w:p>
    <w:p>
      <w:pPr>
        <w:widowControl/>
        <w:jc w:val="left"/>
        <w:rPr>
          <w:rFonts w:eastAsia="黑体"/>
          <w:bCs/>
          <w:kern w:val="44"/>
          <w:sz w:val="24"/>
        </w:rPr>
      </w:pPr>
      <w:r>
        <w:rPr>
          <w:rFonts w:eastAsia="黑体"/>
          <w:b/>
          <w:sz w:val="24"/>
        </w:rPr>
        <w:br w:type="page"/>
      </w:r>
    </w:p>
    <w:bookmarkEnd w:id="806"/>
    <w:p>
      <w:pPr>
        <w:widowControl/>
        <w:autoSpaceDE w:val="0"/>
        <w:autoSpaceDN w:val="0"/>
        <w:spacing w:line="400" w:lineRule="atLeast"/>
        <w:ind w:left="180"/>
        <w:jc w:val="center"/>
        <w:textAlignment w:val="bottom"/>
        <w:rPr>
          <w:rFonts w:ascii="宋体" w:hAnsi="宋体"/>
        </w:rPr>
      </w:pPr>
      <w:bookmarkStart w:id="807" w:name="_Toc234833283"/>
      <w:r>
        <w:rPr>
          <w:rFonts w:hint="eastAsia" w:ascii="宋体" w:hAnsi="宋体"/>
          <w:b/>
          <w:bCs/>
          <w:sz w:val="28"/>
          <w:szCs w:val="28"/>
        </w:rPr>
        <w:t>（六）拟委任的项目负责人资历表</w:t>
      </w:r>
    </w:p>
    <w:p>
      <w:pPr>
        <w:widowControl/>
        <w:autoSpaceDE w:val="0"/>
        <w:autoSpaceDN w:val="0"/>
        <w:spacing w:line="400" w:lineRule="atLeast"/>
        <w:jc w:val="center"/>
        <w:textAlignment w:val="bottom"/>
        <w:rPr>
          <w:rFonts w:ascii="宋体" w:hAnsi="宋体"/>
        </w:rPr>
      </w:pPr>
    </w:p>
    <w:tbl>
      <w:tblPr>
        <w:tblStyle w:val="4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4" w:hRule="atLeast"/>
        </w:trPr>
        <w:tc>
          <w:tcPr>
            <w:tcW w:w="1211" w:type="dxa"/>
            <w:vAlign w:val="center"/>
          </w:tcPr>
          <w:p>
            <w:pPr>
              <w:jc w:val="center"/>
              <w:rPr>
                <w:rFonts w:ascii="宋体" w:hAnsi="宋体" w:cs="宋体"/>
                <w:szCs w:val="21"/>
              </w:rPr>
            </w:pPr>
            <w:r>
              <w:rPr>
                <w:rFonts w:hint="eastAsia" w:ascii="宋体" w:hAnsi="宋体" w:cs="宋体"/>
                <w:szCs w:val="21"/>
              </w:rPr>
              <w:t>姓    名</w:t>
            </w:r>
          </w:p>
        </w:tc>
        <w:tc>
          <w:tcPr>
            <w:tcW w:w="1473" w:type="dxa"/>
            <w:gridSpan w:val="3"/>
            <w:vAlign w:val="center"/>
          </w:tcPr>
          <w:p>
            <w:pPr>
              <w:jc w:val="center"/>
              <w:rPr>
                <w:rFonts w:ascii="宋体" w:hAnsi="宋体" w:cs="宋体"/>
                <w:szCs w:val="21"/>
              </w:rPr>
            </w:pPr>
          </w:p>
        </w:tc>
        <w:tc>
          <w:tcPr>
            <w:tcW w:w="1038" w:type="dxa"/>
            <w:vAlign w:val="center"/>
          </w:tcPr>
          <w:p>
            <w:pPr>
              <w:jc w:val="center"/>
              <w:rPr>
                <w:rFonts w:ascii="宋体" w:hAnsi="宋体" w:cs="宋体"/>
                <w:szCs w:val="21"/>
              </w:rPr>
            </w:pPr>
            <w:r>
              <w:rPr>
                <w:rFonts w:hint="eastAsia" w:ascii="宋体" w:hAnsi="宋体" w:cs="宋体"/>
                <w:szCs w:val="21"/>
              </w:rPr>
              <w:t>年    龄</w:t>
            </w:r>
          </w:p>
        </w:tc>
        <w:tc>
          <w:tcPr>
            <w:tcW w:w="1354" w:type="dxa"/>
          </w:tcPr>
          <w:p>
            <w:pPr>
              <w:jc w:val="center"/>
              <w:rPr>
                <w:rFonts w:ascii="宋体" w:hAnsi="宋体" w:cs="宋体"/>
                <w:szCs w:val="21"/>
              </w:rPr>
            </w:pPr>
          </w:p>
        </w:tc>
        <w:tc>
          <w:tcPr>
            <w:tcW w:w="1842" w:type="dxa"/>
            <w:gridSpan w:val="2"/>
            <w:vAlign w:val="center"/>
          </w:tcPr>
          <w:p>
            <w:pPr>
              <w:jc w:val="center"/>
              <w:rPr>
                <w:rFonts w:ascii="宋体" w:hAnsi="宋体" w:cs="宋体"/>
                <w:szCs w:val="21"/>
              </w:rPr>
            </w:pPr>
            <w:r>
              <w:rPr>
                <w:rFonts w:hint="eastAsia" w:ascii="宋体" w:hAnsi="宋体" w:cs="宋体"/>
                <w:szCs w:val="21"/>
              </w:rPr>
              <w:t>执业或职业资格</w:t>
            </w:r>
          </w:p>
          <w:p>
            <w:pPr>
              <w:jc w:val="center"/>
              <w:rPr>
                <w:rFonts w:ascii="宋体" w:hAnsi="宋体" w:cs="宋体"/>
                <w:szCs w:val="21"/>
              </w:rPr>
            </w:pPr>
            <w:r>
              <w:rPr>
                <w:rFonts w:hint="eastAsia" w:ascii="宋体" w:hAnsi="宋体" w:cs="宋体"/>
                <w:szCs w:val="21"/>
              </w:rPr>
              <w:t>证书名称</w:t>
            </w:r>
          </w:p>
        </w:tc>
        <w:tc>
          <w:tcPr>
            <w:tcW w:w="1830"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211" w:type="dxa"/>
            <w:vAlign w:val="center"/>
          </w:tcPr>
          <w:p>
            <w:pPr>
              <w:jc w:val="center"/>
              <w:rPr>
                <w:rFonts w:ascii="宋体" w:hAnsi="宋体" w:cs="宋体"/>
                <w:szCs w:val="21"/>
              </w:rPr>
            </w:pPr>
            <w:r>
              <w:rPr>
                <w:rFonts w:hint="eastAsia" w:ascii="宋体" w:hAnsi="宋体" w:cs="宋体"/>
                <w:szCs w:val="21"/>
              </w:rPr>
              <w:t>技术职称</w:t>
            </w:r>
          </w:p>
        </w:tc>
        <w:tc>
          <w:tcPr>
            <w:tcW w:w="1473" w:type="dxa"/>
            <w:gridSpan w:val="3"/>
            <w:vAlign w:val="center"/>
          </w:tcPr>
          <w:p>
            <w:pPr>
              <w:jc w:val="center"/>
              <w:rPr>
                <w:rFonts w:ascii="宋体" w:hAnsi="宋体" w:cs="宋体"/>
                <w:szCs w:val="21"/>
              </w:rPr>
            </w:pPr>
          </w:p>
        </w:tc>
        <w:tc>
          <w:tcPr>
            <w:tcW w:w="1038" w:type="dxa"/>
            <w:vAlign w:val="center"/>
          </w:tcPr>
          <w:p>
            <w:pPr>
              <w:jc w:val="center"/>
              <w:rPr>
                <w:rFonts w:ascii="宋体" w:hAnsi="宋体" w:cs="宋体"/>
                <w:szCs w:val="21"/>
              </w:rPr>
            </w:pPr>
            <w:r>
              <w:rPr>
                <w:rFonts w:hint="eastAsia" w:ascii="宋体" w:hAnsi="宋体" w:cs="宋体"/>
                <w:szCs w:val="21"/>
              </w:rPr>
              <w:t>学历</w:t>
            </w:r>
          </w:p>
        </w:tc>
        <w:tc>
          <w:tcPr>
            <w:tcW w:w="1354" w:type="dxa"/>
          </w:tcPr>
          <w:p>
            <w:pPr>
              <w:jc w:val="center"/>
              <w:rPr>
                <w:rFonts w:ascii="宋体" w:hAnsi="宋体" w:cs="宋体"/>
                <w:szCs w:val="21"/>
              </w:rPr>
            </w:pPr>
          </w:p>
        </w:tc>
        <w:tc>
          <w:tcPr>
            <w:tcW w:w="1842" w:type="dxa"/>
            <w:gridSpan w:val="2"/>
            <w:vAlign w:val="center"/>
          </w:tcPr>
          <w:p>
            <w:pPr>
              <w:jc w:val="center"/>
              <w:rPr>
                <w:rFonts w:ascii="宋体" w:hAnsi="宋体" w:cs="宋体"/>
                <w:szCs w:val="21"/>
              </w:rPr>
            </w:pPr>
            <w:r>
              <w:rPr>
                <w:rFonts w:hint="eastAsia" w:ascii="宋体" w:hAnsi="宋体" w:cs="宋体"/>
                <w:szCs w:val="21"/>
              </w:rPr>
              <w:t>拟在本标段</w:t>
            </w:r>
          </w:p>
          <w:p>
            <w:pPr>
              <w:jc w:val="center"/>
              <w:rPr>
                <w:rFonts w:ascii="宋体" w:hAnsi="宋体" w:cs="宋体"/>
                <w:szCs w:val="21"/>
              </w:rPr>
            </w:pPr>
            <w:r>
              <w:rPr>
                <w:rFonts w:hint="eastAsia" w:ascii="宋体" w:hAnsi="宋体" w:cs="宋体"/>
                <w:szCs w:val="21"/>
              </w:rPr>
              <w:t>工程任职</w:t>
            </w:r>
          </w:p>
        </w:tc>
        <w:tc>
          <w:tcPr>
            <w:tcW w:w="1830"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vAlign w:val="center"/>
          </w:tcPr>
          <w:p>
            <w:pPr>
              <w:jc w:val="center"/>
              <w:rPr>
                <w:rFonts w:ascii="宋体" w:hAnsi="宋体" w:cs="宋体"/>
                <w:szCs w:val="21"/>
              </w:rPr>
            </w:pPr>
            <w:r>
              <w:rPr>
                <w:rFonts w:hint="eastAsia" w:ascii="宋体" w:hAnsi="宋体" w:cs="宋体"/>
                <w:szCs w:val="21"/>
              </w:rPr>
              <w:t>工作年限</w:t>
            </w:r>
          </w:p>
        </w:tc>
        <w:tc>
          <w:tcPr>
            <w:tcW w:w="3865" w:type="dxa"/>
            <w:gridSpan w:val="5"/>
            <w:vAlign w:val="center"/>
          </w:tcPr>
          <w:p>
            <w:pPr>
              <w:jc w:val="center"/>
              <w:rPr>
                <w:rFonts w:ascii="宋体" w:hAnsi="宋体" w:cs="宋体"/>
                <w:szCs w:val="21"/>
              </w:rPr>
            </w:pPr>
          </w:p>
        </w:tc>
        <w:tc>
          <w:tcPr>
            <w:tcW w:w="1842" w:type="dxa"/>
            <w:gridSpan w:val="2"/>
          </w:tcPr>
          <w:p>
            <w:pPr>
              <w:jc w:val="center"/>
              <w:rPr>
                <w:rFonts w:ascii="宋体" w:hAnsi="宋体" w:cs="宋体"/>
                <w:szCs w:val="21"/>
              </w:rPr>
            </w:pPr>
            <w:r>
              <w:rPr>
                <w:rFonts w:hint="eastAsia" w:ascii="宋体" w:hAnsi="宋体" w:cs="宋体"/>
                <w:szCs w:val="21"/>
              </w:rPr>
              <w:t>从事勘察设计咨询</w:t>
            </w:r>
          </w:p>
          <w:p>
            <w:pPr>
              <w:jc w:val="center"/>
              <w:rPr>
                <w:rFonts w:ascii="宋体" w:hAnsi="宋体" w:cs="宋体"/>
                <w:szCs w:val="21"/>
              </w:rPr>
            </w:pPr>
            <w:r>
              <w:rPr>
                <w:rFonts w:hint="eastAsia" w:ascii="宋体" w:hAnsi="宋体" w:cs="宋体"/>
                <w:szCs w:val="21"/>
              </w:rPr>
              <w:t>工作年限</w:t>
            </w:r>
          </w:p>
        </w:tc>
        <w:tc>
          <w:tcPr>
            <w:tcW w:w="1830"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vAlign w:val="center"/>
          </w:tcPr>
          <w:p>
            <w:pPr>
              <w:rPr>
                <w:rFonts w:ascii="宋体" w:hAnsi="宋体" w:cs="宋体"/>
                <w:szCs w:val="21"/>
              </w:rPr>
            </w:pPr>
            <w:r>
              <w:rPr>
                <w:rFonts w:hint="eastAsia" w:ascii="宋体" w:hAnsi="宋体" w:cs="宋体"/>
                <w:szCs w:val="21"/>
              </w:rPr>
              <w:t>毕业学校</w:t>
            </w:r>
          </w:p>
        </w:tc>
        <w:tc>
          <w:tcPr>
            <w:tcW w:w="7537" w:type="dxa"/>
            <w:gridSpan w:val="9"/>
            <w:vAlign w:val="center"/>
          </w:tcPr>
          <w:p>
            <w:pPr>
              <w:rPr>
                <w:rFonts w:ascii="宋体" w:hAnsi="宋体" w:cs="宋体"/>
                <w:szCs w:val="21"/>
              </w:rPr>
            </w:pPr>
            <w:r>
              <w:rPr>
                <w:rFonts w:hint="eastAsia" w:ascii="宋体" w:hAnsi="宋体" w:cs="宋体"/>
                <w:szCs w:val="21"/>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vAlign w:val="center"/>
          </w:tcPr>
          <w:p>
            <w:pPr>
              <w:jc w:val="center"/>
              <w:rPr>
                <w:rFonts w:ascii="宋体" w:hAnsi="宋体" w:cs="宋体"/>
                <w:szCs w:val="21"/>
              </w:rPr>
            </w:pPr>
            <w:r>
              <w:rPr>
                <w:rFonts w:hint="eastAsia" w:ascii="宋体" w:hAnsi="宋体" w:cs="宋体"/>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vAlign w:val="center"/>
          </w:tcPr>
          <w:p>
            <w:pPr>
              <w:jc w:val="center"/>
              <w:rPr>
                <w:rFonts w:ascii="宋体" w:hAnsi="宋体" w:cs="宋体"/>
                <w:szCs w:val="21"/>
              </w:rPr>
            </w:pPr>
            <w:r>
              <w:rPr>
                <w:rFonts w:hint="eastAsia" w:ascii="宋体" w:hAnsi="宋体" w:cs="宋体"/>
                <w:szCs w:val="21"/>
              </w:rPr>
              <w:t>时间</w:t>
            </w:r>
          </w:p>
        </w:tc>
        <w:tc>
          <w:tcPr>
            <w:tcW w:w="4145" w:type="dxa"/>
            <w:gridSpan w:val="5"/>
            <w:vAlign w:val="center"/>
          </w:tcPr>
          <w:p>
            <w:pPr>
              <w:jc w:val="center"/>
              <w:rPr>
                <w:rFonts w:ascii="宋体" w:hAnsi="宋体" w:cs="宋体"/>
                <w:szCs w:val="21"/>
              </w:rPr>
            </w:pPr>
            <w:r>
              <w:rPr>
                <w:rFonts w:hint="eastAsia" w:ascii="宋体" w:hAnsi="宋体" w:cs="宋体"/>
                <w:szCs w:val="21"/>
              </w:rPr>
              <w:t>参加过的类似工程项目名称</w:t>
            </w:r>
          </w:p>
        </w:tc>
        <w:tc>
          <w:tcPr>
            <w:tcW w:w="1889" w:type="dxa"/>
            <w:gridSpan w:val="2"/>
            <w:vAlign w:val="center"/>
          </w:tcPr>
          <w:p>
            <w:pPr>
              <w:jc w:val="center"/>
              <w:rPr>
                <w:rFonts w:ascii="宋体" w:hAnsi="宋体" w:cs="宋体"/>
                <w:szCs w:val="21"/>
              </w:rPr>
            </w:pPr>
            <w:r>
              <w:rPr>
                <w:rFonts w:hint="eastAsia" w:ascii="宋体" w:hAnsi="宋体" w:cs="宋体"/>
                <w:szCs w:val="21"/>
              </w:rPr>
              <w:t>担任职务</w:t>
            </w:r>
          </w:p>
        </w:tc>
        <w:tc>
          <w:tcPr>
            <w:tcW w:w="1454" w:type="dxa"/>
            <w:vAlign w:val="center"/>
          </w:tcPr>
          <w:p>
            <w:pPr>
              <w:jc w:val="center"/>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vAlign w:val="center"/>
          </w:tcPr>
          <w:p>
            <w:pPr>
              <w:jc w:val="center"/>
              <w:rPr>
                <w:rFonts w:ascii="宋体" w:hAnsi="宋体" w:cs="宋体"/>
                <w:szCs w:val="21"/>
              </w:rPr>
            </w:pPr>
            <w:r>
              <w:rPr>
                <w:rFonts w:hint="eastAsia" w:ascii="宋体" w:hAnsi="宋体" w:cs="宋体"/>
                <w:szCs w:val="21"/>
              </w:rPr>
              <w:t>获奖情况</w:t>
            </w:r>
          </w:p>
        </w:tc>
        <w:tc>
          <w:tcPr>
            <w:tcW w:w="6328" w:type="dxa"/>
            <w:gridSpan w:val="7"/>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vAlign w:val="center"/>
          </w:tcPr>
          <w:p>
            <w:pPr>
              <w:jc w:val="center"/>
              <w:rPr>
                <w:rFonts w:ascii="宋体" w:hAnsi="宋体" w:cs="宋体"/>
                <w:szCs w:val="21"/>
              </w:rPr>
            </w:pPr>
            <w:r>
              <w:rPr>
                <w:rFonts w:hint="eastAsia" w:ascii="宋体" w:hAnsi="宋体" w:cs="宋体"/>
                <w:szCs w:val="21"/>
              </w:rPr>
              <w:t>目前承担的任务</w:t>
            </w:r>
          </w:p>
        </w:tc>
        <w:tc>
          <w:tcPr>
            <w:tcW w:w="6328" w:type="dxa"/>
            <w:gridSpan w:val="7"/>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vAlign w:val="center"/>
          </w:tcPr>
          <w:p>
            <w:pPr>
              <w:jc w:val="center"/>
              <w:rPr>
                <w:rFonts w:ascii="宋体" w:hAnsi="宋体" w:cs="宋体"/>
                <w:szCs w:val="21"/>
              </w:rPr>
            </w:pPr>
            <w:r>
              <w:rPr>
                <w:rFonts w:hint="eastAsia" w:ascii="宋体" w:hAnsi="宋体" w:cs="宋体"/>
                <w:szCs w:val="21"/>
              </w:rPr>
              <w:t>备注</w:t>
            </w:r>
          </w:p>
        </w:tc>
        <w:tc>
          <w:tcPr>
            <w:tcW w:w="6328" w:type="dxa"/>
            <w:gridSpan w:val="7"/>
          </w:tcPr>
          <w:p>
            <w:pPr>
              <w:rPr>
                <w:rFonts w:ascii="宋体" w:hAnsi="宋体" w:cs="宋体"/>
                <w:szCs w:val="21"/>
              </w:rPr>
            </w:pPr>
          </w:p>
        </w:tc>
      </w:tr>
    </w:tbl>
    <w:p>
      <w:pPr>
        <w:widowControl/>
        <w:rPr>
          <w:rFonts w:ascii="宋体" w:hAnsi="宋体"/>
          <w:sz w:val="18"/>
          <w:szCs w:val="18"/>
        </w:rPr>
      </w:pPr>
    </w:p>
    <w:p>
      <w:pPr>
        <w:widowControl/>
        <w:tabs>
          <w:tab w:val="left" w:pos="426"/>
        </w:tabs>
        <w:rPr>
          <w:rFonts w:ascii="宋体" w:hAnsi="宋体"/>
          <w:sz w:val="18"/>
          <w:szCs w:val="18"/>
        </w:rPr>
      </w:pPr>
      <w:r>
        <w:rPr>
          <w:rFonts w:hint="eastAsia" w:ascii="宋体" w:hAnsi="宋体"/>
          <w:sz w:val="18"/>
          <w:szCs w:val="18"/>
        </w:rPr>
        <w:t>注：1.本表应填写项目负责人相关情况。</w:t>
      </w:r>
    </w:p>
    <w:p>
      <w:pPr>
        <w:ind w:firstLine="360" w:firstLineChars="200"/>
        <w:rPr>
          <w:rFonts w:ascii="宋体" w:hAnsi="宋体"/>
          <w:sz w:val="18"/>
          <w:szCs w:val="18"/>
        </w:rPr>
      </w:pPr>
      <w:r>
        <w:rPr>
          <w:rFonts w:hint="eastAsia" w:ascii="宋体" w:hAnsi="宋体"/>
          <w:sz w:val="18"/>
          <w:szCs w:val="18"/>
        </w:rPr>
        <w:t>2.投标人应根据招标文件第二章“投标人须知”第3.</w:t>
      </w:r>
      <w:r>
        <w:rPr>
          <w:rFonts w:ascii="宋体" w:hAnsi="宋体"/>
          <w:sz w:val="18"/>
          <w:szCs w:val="18"/>
        </w:rPr>
        <w:t>5</w:t>
      </w:r>
      <w:r>
        <w:rPr>
          <w:rFonts w:hint="eastAsia" w:ascii="宋体" w:hAnsi="宋体"/>
          <w:sz w:val="18"/>
          <w:szCs w:val="18"/>
        </w:rPr>
        <w:t>.4项的要求在本表后附相关证明材料。</w:t>
      </w:r>
    </w:p>
    <w:p>
      <w:pPr>
        <w:widowControl/>
        <w:autoSpaceDE w:val="0"/>
        <w:autoSpaceDN w:val="0"/>
        <w:spacing w:line="400" w:lineRule="atLeast"/>
        <w:ind w:left="180"/>
        <w:jc w:val="center"/>
        <w:textAlignment w:val="bottom"/>
        <w:rPr>
          <w:rFonts w:ascii="宋体" w:hAnsi="宋体"/>
          <w:szCs w:val="21"/>
        </w:rPr>
        <w:sectPr>
          <w:footnotePr>
            <w:numRestart w:val="eachPage"/>
          </w:footnotePr>
          <w:pgSz w:w="11900" w:h="16838"/>
          <w:pgMar w:top="1803" w:right="1440" w:bottom="1803" w:left="1440" w:header="680" w:footer="680" w:gutter="0"/>
          <w:cols w:space="720" w:num="1"/>
          <w:docGrid w:linePitch="360" w:charSpace="0"/>
        </w:sectPr>
      </w:pPr>
    </w:p>
    <w:p>
      <w:pPr>
        <w:widowControl/>
        <w:autoSpaceDE w:val="0"/>
        <w:autoSpaceDN w:val="0"/>
        <w:spacing w:line="400" w:lineRule="atLeast"/>
        <w:ind w:left="180"/>
        <w:jc w:val="center"/>
        <w:textAlignment w:val="bottom"/>
        <w:rPr>
          <w:rFonts w:ascii="宋体" w:hAnsi="宋体" w:cs="黑体"/>
          <w:b/>
          <w:sz w:val="28"/>
          <w:szCs w:val="28"/>
        </w:rPr>
      </w:pPr>
      <w:r>
        <w:rPr>
          <w:rFonts w:hint="eastAsia" w:ascii="宋体" w:hAnsi="宋体" w:cs="黑体"/>
          <w:b/>
          <w:sz w:val="28"/>
          <w:szCs w:val="28"/>
        </w:rPr>
        <w:t>（七）</w:t>
      </w:r>
      <w:r>
        <w:rPr>
          <w:rFonts w:ascii="宋体" w:hAnsi="宋体" w:cs="黑体"/>
          <w:b/>
          <w:sz w:val="28"/>
          <w:szCs w:val="28"/>
        </w:rPr>
        <w:t>拟委任的</w:t>
      </w:r>
      <w:r>
        <w:rPr>
          <w:rFonts w:hint="eastAsia" w:ascii="宋体" w:hAnsi="宋体" w:cs="黑体"/>
          <w:b/>
          <w:sz w:val="28"/>
          <w:szCs w:val="28"/>
        </w:rPr>
        <w:t>分项咨询负责人</w:t>
      </w:r>
      <w:r>
        <w:rPr>
          <w:rFonts w:ascii="宋体" w:hAnsi="宋体" w:cs="黑体"/>
          <w:b/>
          <w:sz w:val="28"/>
          <w:szCs w:val="28"/>
        </w:rPr>
        <w:t>汇总表</w:t>
      </w:r>
      <w:r>
        <w:rPr>
          <w:rStyle w:val="56"/>
          <w:rFonts w:ascii="宋体" w:hAnsi="宋体"/>
          <w:sz w:val="32"/>
          <w:szCs w:val="32"/>
        </w:rPr>
        <w:footnoteReference w:id="82"/>
      </w:r>
    </w:p>
    <w:p>
      <w:pPr>
        <w:wordWrap w:val="0"/>
        <w:topLinePunct/>
        <w:spacing w:line="300" w:lineRule="exact"/>
        <w:jc w:val="center"/>
        <w:rPr>
          <w:rFonts w:ascii="宋体" w:hAnsi="宋体"/>
          <w:sz w:val="18"/>
          <w:szCs w:val="18"/>
        </w:rPr>
      </w:pPr>
    </w:p>
    <w:tbl>
      <w:tblPr>
        <w:tblStyle w:val="4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675"/>
        <w:gridCol w:w="675"/>
        <w:gridCol w:w="1488"/>
        <w:gridCol w:w="1037"/>
        <w:gridCol w:w="1038"/>
        <w:gridCol w:w="625"/>
        <w:gridCol w:w="800"/>
        <w:gridCol w:w="112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8" w:type="dxa"/>
            <w:vMerge w:val="restart"/>
            <w:vAlign w:val="center"/>
          </w:tcPr>
          <w:p>
            <w:pPr>
              <w:snapToGrid w:val="0"/>
              <w:spacing w:line="240" w:lineRule="atLeast"/>
              <w:ind w:right="-126" w:rightChars="-60"/>
              <w:jc w:val="center"/>
              <w:rPr>
                <w:rFonts w:ascii="宋体" w:hAnsi="宋体"/>
                <w:szCs w:val="21"/>
              </w:rPr>
            </w:pPr>
            <w:r>
              <w:rPr>
                <w:rFonts w:hint="eastAsia" w:ascii="宋体" w:hAnsi="宋体"/>
                <w:szCs w:val="21"/>
              </w:rPr>
              <w:t>序号</w:t>
            </w:r>
          </w:p>
        </w:tc>
        <w:tc>
          <w:tcPr>
            <w:tcW w:w="675" w:type="dxa"/>
            <w:vMerge w:val="restart"/>
            <w:vAlign w:val="center"/>
          </w:tcPr>
          <w:p>
            <w:pPr>
              <w:snapToGrid w:val="0"/>
              <w:spacing w:line="240" w:lineRule="atLeast"/>
              <w:ind w:right="-50" w:rightChars="-24"/>
              <w:jc w:val="center"/>
              <w:rPr>
                <w:rFonts w:ascii="宋体" w:hAnsi="宋体"/>
                <w:szCs w:val="21"/>
              </w:rPr>
            </w:pPr>
            <w:r>
              <w:rPr>
                <w:rFonts w:hint="eastAsia" w:ascii="宋体" w:hAnsi="宋体"/>
                <w:szCs w:val="21"/>
              </w:rPr>
              <w:t>姓名</w:t>
            </w:r>
          </w:p>
        </w:tc>
        <w:tc>
          <w:tcPr>
            <w:tcW w:w="675" w:type="dxa"/>
            <w:vMerge w:val="restart"/>
            <w:vAlign w:val="center"/>
          </w:tcPr>
          <w:p>
            <w:pPr>
              <w:snapToGrid w:val="0"/>
              <w:spacing w:line="240" w:lineRule="atLeast"/>
              <w:ind w:right="-84" w:rightChars="-40"/>
              <w:jc w:val="center"/>
              <w:rPr>
                <w:rFonts w:ascii="宋体" w:hAnsi="宋体"/>
                <w:szCs w:val="21"/>
              </w:rPr>
            </w:pPr>
            <w:r>
              <w:rPr>
                <w:rFonts w:ascii="宋体" w:hAnsi="宋体"/>
                <w:szCs w:val="21"/>
              </w:rPr>
              <w:t>年龄</w:t>
            </w:r>
          </w:p>
        </w:tc>
        <w:tc>
          <w:tcPr>
            <w:tcW w:w="1488" w:type="dxa"/>
            <w:vMerge w:val="restart"/>
            <w:vAlign w:val="center"/>
          </w:tcPr>
          <w:p>
            <w:pPr>
              <w:snapToGrid w:val="0"/>
              <w:spacing w:line="240" w:lineRule="atLeast"/>
              <w:ind w:right="-63" w:rightChars="-30"/>
              <w:jc w:val="center"/>
              <w:rPr>
                <w:rFonts w:ascii="宋体" w:hAnsi="宋体"/>
                <w:szCs w:val="21"/>
              </w:rPr>
            </w:pPr>
            <w:r>
              <w:rPr>
                <w:rFonts w:ascii="宋体" w:hAnsi="宋体"/>
                <w:szCs w:val="21"/>
              </w:rPr>
              <w:t>拟在本项目中</w:t>
            </w:r>
          </w:p>
          <w:p>
            <w:pPr>
              <w:snapToGrid w:val="0"/>
              <w:spacing w:line="240" w:lineRule="atLeast"/>
              <w:ind w:right="-63" w:rightChars="-30"/>
              <w:jc w:val="center"/>
              <w:rPr>
                <w:rFonts w:ascii="宋体" w:hAnsi="宋体"/>
                <w:szCs w:val="21"/>
              </w:rPr>
            </w:pPr>
            <w:r>
              <w:rPr>
                <w:rFonts w:ascii="宋体" w:hAnsi="宋体"/>
                <w:szCs w:val="21"/>
              </w:rPr>
              <w:t>担任的职务</w:t>
            </w:r>
          </w:p>
        </w:tc>
        <w:tc>
          <w:tcPr>
            <w:tcW w:w="1037" w:type="dxa"/>
            <w:vMerge w:val="restart"/>
            <w:vAlign w:val="center"/>
          </w:tcPr>
          <w:p>
            <w:pPr>
              <w:snapToGrid w:val="0"/>
              <w:spacing w:line="240" w:lineRule="atLeast"/>
              <w:ind w:right="-80" w:rightChars="-38"/>
              <w:rPr>
                <w:rFonts w:ascii="宋体" w:hAnsi="宋体"/>
                <w:szCs w:val="21"/>
              </w:rPr>
            </w:pPr>
            <w:r>
              <w:rPr>
                <w:rFonts w:ascii="宋体" w:hAnsi="宋体"/>
                <w:szCs w:val="21"/>
              </w:rPr>
              <w:t>技术职称</w:t>
            </w:r>
          </w:p>
        </w:tc>
        <w:tc>
          <w:tcPr>
            <w:tcW w:w="2463" w:type="dxa"/>
            <w:gridSpan w:val="3"/>
            <w:vAlign w:val="center"/>
          </w:tcPr>
          <w:p>
            <w:pPr>
              <w:snapToGrid w:val="0"/>
              <w:spacing w:line="240" w:lineRule="atLeast"/>
              <w:ind w:right="-38" w:rightChars="-18"/>
              <w:jc w:val="center"/>
              <w:rPr>
                <w:rFonts w:ascii="宋体" w:hAnsi="宋体"/>
                <w:szCs w:val="21"/>
              </w:rPr>
            </w:pPr>
            <w:r>
              <w:rPr>
                <w:rFonts w:hint="eastAsia" w:ascii="宋体" w:hAnsi="宋体"/>
                <w:szCs w:val="21"/>
              </w:rPr>
              <w:t>执业或职业资格证明</w:t>
            </w:r>
          </w:p>
        </w:tc>
        <w:tc>
          <w:tcPr>
            <w:tcW w:w="1127" w:type="dxa"/>
            <w:vMerge w:val="restart"/>
            <w:vAlign w:val="center"/>
          </w:tcPr>
          <w:p>
            <w:pPr>
              <w:snapToGrid w:val="0"/>
              <w:spacing w:line="240" w:lineRule="atLeast"/>
              <w:ind w:right="-59" w:rightChars="-28"/>
              <w:jc w:val="center"/>
              <w:rPr>
                <w:rFonts w:ascii="宋体" w:hAnsi="宋体"/>
                <w:szCs w:val="21"/>
              </w:rPr>
            </w:pPr>
            <w:r>
              <w:rPr>
                <w:rFonts w:hint="eastAsia" w:ascii="宋体" w:hAnsi="宋体"/>
                <w:szCs w:val="21"/>
              </w:rPr>
              <w:t>工作经验年限（年）</w:t>
            </w:r>
          </w:p>
        </w:tc>
        <w:tc>
          <w:tcPr>
            <w:tcW w:w="735" w:type="dxa"/>
            <w:vMerge w:val="restart"/>
            <w:vAlign w:val="center"/>
          </w:tcPr>
          <w:p>
            <w:pPr>
              <w:tabs>
                <w:tab w:val="left" w:pos="480"/>
              </w:tabs>
              <w:snapToGrid w:val="0"/>
              <w:spacing w:line="240" w:lineRule="atLeast"/>
              <w:ind w:right="-120" w:rightChars="-57"/>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58" w:type="dxa"/>
            <w:vMerge w:val="continue"/>
            <w:vAlign w:val="center"/>
          </w:tcPr>
          <w:p>
            <w:pPr>
              <w:snapToGrid w:val="0"/>
              <w:spacing w:line="240" w:lineRule="atLeast"/>
              <w:ind w:right="-38" w:rightChars="-18"/>
              <w:jc w:val="center"/>
            </w:pPr>
          </w:p>
        </w:tc>
        <w:tc>
          <w:tcPr>
            <w:tcW w:w="675" w:type="dxa"/>
            <w:vMerge w:val="continue"/>
            <w:vAlign w:val="center"/>
          </w:tcPr>
          <w:p>
            <w:pPr>
              <w:snapToGrid w:val="0"/>
              <w:spacing w:line="240" w:lineRule="atLeast"/>
              <w:ind w:right="-38" w:rightChars="-18"/>
              <w:jc w:val="center"/>
            </w:pPr>
          </w:p>
        </w:tc>
        <w:tc>
          <w:tcPr>
            <w:tcW w:w="675" w:type="dxa"/>
            <w:vMerge w:val="continue"/>
            <w:vAlign w:val="center"/>
          </w:tcPr>
          <w:p>
            <w:pPr>
              <w:snapToGrid w:val="0"/>
              <w:spacing w:line="240" w:lineRule="atLeast"/>
              <w:ind w:right="-38" w:rightChars="-18"/>
              <w:jc w:val="center"/>
            </w:pPr>
          </w:p>
        </w:tc>
        <w:tc>
          <w:tcPr>
            <w:tcW w:w="1488" w:type="dxa"/>
            <w:vMerge w:val="continue"/>
            <w:vAlign w:val="center"/>
          </w:tcPr>
          <w:p>
            <w:pPr>
              <w:snapToGrid w:val="0"/>
              <w:spacing w:line="240" w:lineRule="atLeast"/>
              <w:ind w:right="-38" w:rightChars="-18"/>
              <w:jc w:val="center"/>
            </w:pPr>
          </w:p>
        </w:tc>
        <w:tc>
          <w:tcPr>
            <w:tcW w:w="1037" w:type="dxa"/>
            <w:vMerge w:val="continue"/>
            <w:vAlign w:val="center"/>
          </w:tcPr>
          <w:p>
            <w:pPr>
              <w:snapToGrid w:val="0"/>
              <w:spacing w:line="240" w:lineRule="atLeast"/>
              <w:ind w:right="-38" w:rightChars="-18"/>
              <w:jc w:val="center"/>
            </w:pPr>
          </w:p>
        </w:tc>
        <w:tc>
          <w:tcPr>
            <w:tcW w:w="1038" w:type="dxa"/>
            <w:vAlign w:val="center"/>
          </w:tcPr>
          <w:p>
            <w:pPr>
              <w:snapToGrid w:val="0"/>
              <w:spacing w:line="240" w:lineRule="atLeast"/>
              <w:ind w:right="-38" w:rightChars="-18"/>
              <w:jc w:val="center"/>
              <w:rPr>
                <w:rFonts w:ascii="宋体" w:hAnsi="宋体"/>
                <w:szCs w:val="21"/>
              </w:rPr>
            </w:pPr>
            <w:r>
              <w:rPr>
                <w:rFonts w:hint="eastAsia" w:ascii="宋体" w:hAnsi="宋体"/>
                <w:szCs w:val="21"/>
              </w:rPr>
              <w:t>证书名称</w:t>
            </w:r>
          </w:p>
        </w:tc>
        <w:tc>
          <w:tcPr>
            <w:tcW w:w="625" w:type="dxa"/>
            <w:vAlign w:val="center"/>
          </w:tcPr>
          <w:p>
            <w:pPr>
              <w:snapToGrid w:val="0"/>
              <w:spacing w:line="240" w:lineRule="atLeast"/>
              <w:ind w:right="-38" w:rightChars="-18"/>
              <w:jc w:val="center"/>
              <w:rPr>
                <w:rFonts w:ascii="宋体" w:hAnsi="宋体"/>
                <w:szCs w:val="21"/>
              </w:rPr>
            </w:pPr>
            <w:r>
              <w:rPr>
                <w:rFonts w:hint="eastAsia" w:ascii="宋体" w:hAnsi="宋体"/>
                <w:szCs w:val="21"/>
              </w:rPr>
              <w:t>级别</w:t>
            </w:r>
          </w:p>
        </w:tc>
        <w:tc>
          <w:tcPr>
            <w:tcW w:w="800" w:type="dxa"/>
            <w:vAlign w:val="center"/>
          </w:tcPr>
          <w:p>
            <w:pPr>
              <w:snapToGrid w:val="0"/>
              <w:spacing w:line="240" w:lineRule="atLeast"/>
              <w:ind w:right="-38" w:rightChars="-18"/>
              <w:jc w:val="center"/>
              <w:rPr>
                <w:rFonts w:ascii="宋体" w:hAnsi="宋体"/>
                <w:szCs w:val="21"/>
              </w:rPr>
            </w:pPr>
            <w:r>
              <w:rPr>
                <w:rFonts w:hint="eastAsia" w:ascii="宋体" w:hAnsi="宋体"/>
                <w:szCs w:val="21"/>
              </w:rPr>
              <w:t>证号</w:t>
            </w:r>
          </w:p>
        </w:tc>
        <w:tc>
          <w:tcPr>
            <w:tcW w:w="1127" w:type="dxa"/>
            <w:vMerge w:val="continue"/>
            <w:vAlign w:val="center"/>
          </w:tcPr>
          <w:p>
            <w:pPr>
              <w:snapToGrid w:val="0"/>
              <w:spacing w:line="240" w:lineRule="atLeast"/>
              <w:ind w:right="-38" w:rightChars="-18"/>
              <w:jc w:val="center"/>
              <w:rPr>
                <w:rFonts w:ascii="宋体" w:hAnsi="宋体"/>
                <w:szCs w:val="21"/>
              </w:rPr>
            </w:pPr>
          </w:p>
        </w:tc>
        <w:tc>
          <w:tcPr>
            <w:tcW w:w="735" w:type="dxa"/>
            <w:vMerge w:val="continue"/>
            <w:vAlign w:val="center"/>
          </w:tcPr>
          <w:p>
            <w:pPr>
              <w:snapToGrid w:val="0"/>
              <w:spacing w:line="240" w:lineRule="atLeast"/>
              <w:ind w:right="-38" w:rightChars="-18"/>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8" w:type="dxa"/>
            <w:vAlign w:val="center"/>
          </w:tcPr>
          <w:p>
            <w:pPr>
              <w:topLinePunct/>
              <w:snapToGrid w:val="0"/>
              <w:spacing w:line="240" w:lineRule="atLeast"/>
              <w:jc w:val="center"/>
              <w:rPr>
                <w:rFonts w:ascii="宋体" w:hAnsi="宋体"/>
              </w:rPr>
            </w:pPr>
          </w:p>
        </w:tc>
        <w:tc>
          <w:tcPr>
            <w:tcW w:w="675" w:type="dxa"/>
            <w:vAlign w:val="center"/>
          </w:tcPr>
          <w:p>
            <w:pPr>
              <w:topLinePunct/>
              <w:snapToGrid w:val="0"/>
              <w:spacing w:line="240" w:lineRule="atLeast"/>
              <w:jc w:val="center"/>
              <w:rPr>
                <w:rFonts w:ascii="宋体" w:hAnsi="宋体"/>
              </w:rPr>
            </w:pPr>
          </w:p>
        </w:tc>
        <w:tc>
          <w:tcPr>
            <w:tcW w:w="675" w:type="dxa"/>
            <w:vAlign w:val="center"/>
          </w:tcPr>
          <w:p>
            <w:pPr>
              <w:topLinePunct/>
              <w:snapToGrid w:val="0"/>
              <w:spacing w:line="240" w:lineRule="atLeast"/>
              <w:jc w:val="center"/>
              <w:rPr>
                <w:rFonts w:ascii="宋体" w:hAnsi="宋体"/>
              </w:rPr>
            </w:pPr>
          </w:p>
        </w:tc>
        <w:tc>
          <w:tcPr>
            <w:tcW w:w="1488" w:type="dxa"/>
            <w:vAlign w:val="center"/>
          </w:tcPr>
          <w:p>
            <w:pPr>
              <w:topLinePunct/>
              <w:snapToGrid w:val="0"/>
              <w:spacing w:line="240" w:lineRule="atLeast"/>
              <w:jc w:val="center"/>
              <w:rPr>
                <w:rFonts w:ascii="宋体" w:hAnsi="宋体"/>
              </w:rPr>
            </w:pPr>
          </w:p>
        </w:tc>
        <w:tc>
          <w:tcPr>
            <w:tcW w:w="1037" w:type="dxa"/>
            <w:vAlign w:val="center"/>
          </w:tcPr>
          <w:p>
            <w:pPr>
              <w:topLinePunct/>
              <w:snapToGrid w:val="0"/>
              <w:spacing w:line="240" w:lineRule="atLeast"/>
              <w:jc w:val="center"/>
              <w:rPr>
                <w:rFonts w:ascii="宋体" w:hAnsi="宋体"/>
              </w:rPr>
            </w:pPr>
          </w:p>
        </w:tc>
        <w:tc>
          <w:tcPr>
            <w:tcW w:w="1038" w:type="dxa"/>
            <w:vAlign w:val="center"/>
          </w:tcPr>
          <w:p>
            <w:pPr>
              <w:topLinePunct/>
              <w:snapToGrid w:val="0"/>
              <w:spacing w:line="240" w:lineRule="atLeast"/>
              <w:jc w:val="center"/>
              <w:rPr>
                <w:rFonts w:ascii="宋体" w:hAnsi="宋体"/>
              </w:rPr>
            </w:pPr>
          </w:p>
        </w:tc>
        <w:tc>
          <w:tcPr>
            <w:tcW w:w="625" w:type="dxa"/>
            <w:vAlign w:val="center"/>
          </w:tcPr>
          <w:p>
            <w:pPr>
              <w:topLinePunct/>
              <w:snapToGrid w:val="0"/>
              <w:spacing w:line="240" w:lineRule="atLeast"/>
              <w:jc w:val="center"/>
              <w:rPr>
                <w:rFonts w:ascii="宋体" w:hAnsi="宋体"/>
              </w:rPr>
            </w:pPr>
          </w:p>
        </w:tc>
        <w:tc>
          <w:tcPr>
            <w:tcW w:w="800" w:type="dxa"/>
            <w:vAlign w:val="center"/>
          </w:tcPr>
          <w:p>
            <w:pPr>
              <w:topLinePunct/>
              <w:snapToGrid w:val="0"/>
              <w:spacing w:line="240" w:lineRule="atLeast"/>
              <w:jc w:val="center"/>
              <w:rPr>
                <w:rFonts w:ascii="宋体" w:hAnsi="宋体"/>
              </w:rPr>
            </w:pPr>
          </w:p>
        </w:tc>
        <w:tc>
          <w:tcPr>
            <w:tcW w:w="1127" w:type="dxa"/>
            <w:vAlign w:val="center"/>
          </w:tcPr>
          <w:p>
            <w:pPr>
              <w:topLinePunct/>
              <w:snapToGrid w:val="0"/>
              <w:spacing w:line="240" w:lineRule="atLeast"/>
              <w:jc w:val="center"/>
              <w:rPr>
                <w:rFonts w:ascii="宋体" w:hAnsi="宋体"/>
              </w:rPr>
            </w:pPr>
          </w:p>
        </w:tc>
        <w:tc>
          <w:tcPr>
            <w:tcW w:w="735" w:type="dxa"/>
            <w:vAlign w:val="center"/>
          </w:tcPr>
          <w:p>
            <w:pPr>
              <w:topLinePunct/>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8" w:type="dxa"/>
            <w:vAlign w:val="center"/>
          </w:tcPr>
          <w:p>
            <w:pPr>
              <w:topLinePunct/>
              <w:snapToGrid w:val="0"/>
              <w:spacing w:line="240" w:lineRule="atLeast"/>
              <w:jc w:val="center"/>
              <w:rPr>
                <w:rFonts w:ascii="宋体" w:hAnsi="宋体"/>
              </w:rPr>
            </w:pPr>
          </w:p>
        </w:tc>
        <w:tc>
          <w:tcPr>
            <w:tcW w:w="675" w:type="dxa"/>
            <w:vAlign w:val="center"/>
          </w:tcPr>
          <w:p>
            <w:pPr>
              <w:topLinePunct/>
              <w:snapToGrid w:val="0"/>
              <w:spacing w:line="240" w:lineRule="atLeast"/>
              <w:jc w:val="center"/>
              <w:rPr>
                <w:rFonts w:ascii="宋体" w:hAnsi="宋体"/>
              </w:rPr>
            </w:pPr>
          </w:p>
        </w:tc>
        <w:tc>
          <w:tcPr>
            <w:tcW w:w="675" w:type="dxa"/>
            <w:vAlign w:val="center"/>
          </w:tcPr>
          <w:p>
            <w:pPr>
              <w:topLinePunct/>
              <w:snapToGrid w:val="0"/>
              <w:spacing w:line="240" w:lineRule="atLeast"/>
              <w:jc w:val="center"/>
              <w:rPr>
                <w:rFonts w:ascii="宋体" w:hAnsi="宋体"/>
              </w:rPr>
            </w:pPr>
          </w:p>
        </w:tc>
        <w:tc>
          <w:tcPr>
            <w:tcW w:w="1488" w:type="dxa"/>
            <w:vAlign w:val="center"/>
          </w:tcPr>
          <w:p>
            <w:pPr>
              <w:topLinePunct/>
              <w:snapToGrid w:val="0"/>
              <w:spacing w:line="240" w:lineRule="atLeast"/>
              <w:jc w:val="center"/>
              <w:rPr>
                <w:rFonts w:ascii="宋体" w:hAnsi="宋体"/>
              </w:rPr>
            </w:pPr>
          </w:p>
        </w:tc>
        <w:tc>
          <w:tcPr>
            <w:tcW w:w="1037" w:type="dxa"/>
            <w:vAlign w:val="center"/>
          </w:tcPr>
          <w:p>
            <w:pPr>
              <w:topLinePunct/>
              <w:snapToGrid w:val="0"/>
              <w:spacing w:line="240" w:lineRule="atLeast"/>
              <w:jc w:val="center"/>
              <w:rPr>
                <w:rFonts w:ascii="宋体" w:hAnsi="宋体"/>
              </w:rPr>
            </w:pPr>
          </w:p>
        </w:tc>
        <w:tc>
          <w:tcPr>
            <w:tcW w:w="1038" w:type="dxa"/>
            <w:vAlign w:val="center"/>
          </w:tcPr>
          <w:p>
            <w:pPr>
              <w:topLinePunct/>
              <w:snapToGrid w:val="0"/>
              <w:spacing w:line="240" w:lineRule="atLeast"/>
              <w:jc w:val="center"/>
              <w:rPr>
                <w:rFonts w:ascii="宋体" w:hAnsi="宋体"/>
              </w:rPr>
            </w:pPr>
          </w:p>
        </w:tc>
        <w:tc>
          <w:tcPr>
            <w:tcW w:w="625" w:type="dxa"/>
            <w:vAlign w:val="center"/>
          </w:tcPr>
          <w:p>
            <w:pPr>
              <w:topLinePunct/>
              <w:snapToGrid w:val="0"/>
              <w:spacing w:line="240" w:lineRule="atLeast"/>
              <w:jc w:val="center"/>
              <w:rPr>
                <w:rFonts w:ascii="宋体" w:hAnsi="宋体"/>
              </w:rPr>
            </w:pPr>
          </w:p>
        </w:tc>
        <w:tc>
          <w:tcPr>
            <w:tcW w:w="800" w:type="dxa"/>
            <w:vAlign w:val="center"/>
          </w:tcPr>
          <w:p>
            <w:pPr>
              <w:topLinePunct/>
              <w:snapToGrid w:val="0"/>
              <w:spacing w:line="240" w:lineRule="atLeast"/>
              <w:jc w:val="center"/>
              <w:rPr>
                <w:rFonts w:ascii="宋体" w:hAnsi="宋体"/>
              </w:rPr>
            </w:pPr>
          </w:p>
        </w:tc>
        <w:tc>
          <w:tcPr>
            <w:tcW w:w="1127" w:type="dxa"/>
            <w:vAlign w:val="center"/>
          </w:tcPr>
          <w:p>
            <w:pPr>
              <w:topLinePunct/>
              <w:snapToGrid w:val="0"/>
              <w:spacing w:line="240" w:lineRule="atLeast"/>
              <w:jc w:val="center"/>
              <w:rPr>
                <w:rFonts w:ascii="宋体" w:hAnsi="宋体"/>
              </w:rPr>
            </w:pPr>
          </w:p>
        </w:tc>
        <w:tc>
          <w:tcPr>
            <w:tcW w:w="735" w:type="dxa"/>
            <w:vAlign w:val="center"/>
          </w:tcPr>
          <w:p>
            <w:pPr>
              <w:topLinePunct/>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8" w:type="dxa"/>
            <w:vAlign w:val="center"/>
          </w:tcPr>
          <w:p>
            <w:pPr>
              <w:topLinePunct/>
              <w:snapToGrid w:val="0"/>
              <w:spacing w:line="240" w:lineRule="atLeast"/>
              <w:jc w:val="center"/>
              <w:rPr>
                <w:rFonts w:ascii="宋体" w:hAnsi="宋体"/>
              </w:rPr>
            </w:pPr>
          </w:p>
        </w:tc>
        <w:tc>
          <w:tcPr>
            <w:tcW w:w="675" w:type="dxa"/>
            <w:vAlign w:val="center"/>
          </w:tcPr>
          <w:p>
            <w:pPr>
              <w:topLinePunct/>
              <w:snapToGrid w:val="0"/>
              <w:spacing w:line="240" w:lineRule="atLeast"/>
              <w:jc w:val="center"/>
              <w:rPr>
                <w:rFonts w:ascii="宋体" w:hAnsi="宋体"/>
              </w:rPr>
            </w:pPr>
          </w:p>
        </w:tc>
        <w:tc>
          <w:tcPr>
            <w:tcW w:w="675" w:type="dxa"/>
            <w:vAlign w:val="center"/>
          </w:tcPr>
          <w:p>
            <w:pPr>
              <w:topLinePunct/>
              <w:snapToGrid w:val="0"/>
              <w:spacing w:line="240" w:lineRule="atLeast"/>
              <w:jc w:val="center"/>
              <w:rPr>
                <w:rFonts w:ascii="宋体" w:hAnsi="宋体"/>
              </w:rPr>
            </w:pPr>
          </w:p>
        </w:tc>
        <w:tc>
          <w:tcPr>
            <w:tcW w:w="1488" w:type="dxa"/>
            <w:vAlign w:val="center"/>
          </w:tcPr>
          <w:p>
            <w:pPr>
              <w:topLinePunct/>
              <w:snapToGrid w:val="0"/>
              <w:spacing w:line="240" w:lineRule="atLeast"/>
              <w:jc w:val="center"/>
              <w:rPr>
                <w:rFonts w:ascii="宋体" w:hAnsi="宋体"/>
              </w:rPr>
            </w:pPr>
          </w:p>
        </w:tc>
        <w:tc>
          <w:tcPr>
            <w:tcW w:w="1037" w:type="dxa"/>
            <w:vAlign w:val="center"/>
          </w:tcPr>
          <w:p>
            <w:pPr>
              <w:topLinePunct/>
              <w:snapToGrid w:val="0"/>
              <w:spacing w:line="240" w:lineRule="atLeast"/>
              <w:jc w:val="center"/>
              <w:rPr>
                <w:rFonts w:ascii="宋体" w:hAnsi="宋体"/>
              </w:rPr>
            </w:pPr>
          </w:p>
        </w:tc>
        <w:tc>
          <w:tcPr>
            <w:tcW w:w="1038" w:type="dxa"/>
            <w:vAlign w:val="center"/>
          </w:tcPr>
          <w:p>
            <w:pPr>
              <w:topLinePunct/>
              <w:snapToGrid w:val="0"/>
              <w:spacing w:line="240" w:lineRule="atLeast"/>
              <w:jc w:val="center"/>
              <w:rPr>
                <w:rFonts w:ascii="宋体" w:hAnsi="宋体"/>
              </w:rPr>
            </w:pPr>
          </w:p>
        </w:tc>
        <w:tc>
          <w:tcPr>
            <w:tcW w:w="625" w:type="dxa"/>
            <w:vAlign w:val="center"/>
          </w:tcPr>
          <w:p>
            <w:pPr>
              <w:topLinePunct/>
              <w:snapToGrid w:val="0"/>
              <w:spacing w:line="240" w:lineRule="atLeast"/>
              <w:jc w:val="center"/>
              <w:rPr>
                <w:rFonts w:ascii="宋体" w:hAnsi="宋体"/>
              </w:rPr>
            </w:pPr>
          </w:p>
        </w:tc>
        <w:tc>
          <w:tcPr>
            <w:tcW w:w="800" w:type="dxa"/>
            <w:vAlign w:val="center"/>
          </w:tcPr>
          <w:p>
            <w:pPr>
              <w:topLinePunct/>
              <w:snapToGrid w:val="0"/>
              <w:spacing w:line="240" w:lineRule="atLeast"/>
              <w:jc w:val="center"/>
              <w:rPr>
                <w:rFonts w:ascii="宋体" w:hAnsi="宋体"/>
              </w:rPr>
            </w:pPr>
          </w:p>
        </w:tc>
        <w:tc>
          <w:tcPr>
            <w:tcW w:w="1127" w:type="dxa"/>
            <w:vAlign w:val="center"/>
          </w:tcPr>
          <w:p>
            <w:pPr>
              <w:topLinePunct/>
              <w:snapToGrid w:val="0"/>
              <w:spacing w:line="240" w:lineRule="atLeast"/>
              <w:jc w:val="center"/>
              <w:rPr>
                <w:rFonts w:ascii="宋体" w:hAnsi="宋体"/>
              </w:rPr>
            </w:pPr>
          </w:p>
        </w:tc>
        <w:tc>
          <w:tcPr>
            <w:tcW w:w="735" w:type="dxa"/>
            <w:vAlign w:val="center"/>
          </w:tcPr>
          <w:p>
            <w:pPr>
              <w:topLinePunct/>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8" w:type="dxa"/>
            <w:vAlign w:val="center"/>
          </w:tcPr>
          <w:p>
            <w:pPr>
              <w:topLinePunct/>
              <w:snapToGrid w:val="0"/>
              <w:spacing w:line="240" w:lineRule="atLeast"/>
              <w:jc w:val="center"/>
              <w:rPr>
                <w:rFonts w:ascii="宋体" w:hAnsi="宋体"/>
              </w:rPr>
            </w:pPr>
          </w:p>
        </w:tc>
        <w:tc>
          <w:tcPr>
            <w:tcW w:w="675" w:type="dxa"/>
            <w:vAlign w:val="center"/>
          </w:tcPr>
          <w:p>
            <w:pPr>
              <w:topLinePunct/>
              <w:snapToGrid w:val="0"/>
              <w:spacing w:line="240" w:lineRule="atLeast"/>
              <w:jc w:val="center"/>
              <w:rPr>
                <w:rFonts w:ascii="宋体" w:hAnsi="宋体"/>
              </w:rPr>
            </w:pPr>
          </w:p>
        </w:tc>
        <w:tc>
          <w:tcPr>
            <w:tcW w:w="675" w:type="dxa"/>
            <w:vAlign w:val="center"/>
          </w:tcPr>
          <w:p>
            <w:pPr>
              <w:topLinePunct/>
              <w:snapToGrid w:val="0"/>
              <w:spacing w:line="240" w:lineRule="atLeast"/>
              <w:jc w:val="center"/>
              <w:rPr>
                <w:rFonts w:ascii="宋体" w:hAnsi="宋体"/>
              </w:rPr>
            </w:pPr>
          </w:p>
        </w:tc>
        <w:tc>
          <w:tcPr>
            <w:tcW w:w="1488" w:type="dxa"/>
            <w:vAlign w:val="center"/>
          </w:tcPr>
          <w:p>
            <w:pPr>
              <w:topLinePunct/>
              <w:snapToGrid w:val="0"/>
              <w:spacing w:line="240" w:lineRule="atLeast"/>
              <w:jc w:val="center"/>
              <w:rPr>
                <w:rFonts w:ascii="宋体" w:hAnsi="宋体"/>
              </w:rPr>
            </w:pPr>
          </w:p>
        </w:tc>
        <w:tc>
          <w:tcPr>
            <w:tcW w:w="1037" w:type="dxa"/>
            <w:vAlign w:val="center"/>
          </w:tcPr>
          <w:p>
            <w:pPr>
              <w:topLinePunct/>
              <w:snapToGrid w:val="0"/>
              <w:spacing w:line="240" w:lineRule="atLeast"/>
              <w:jc w:val="center"/>
              <w:rPr>
                <w:rFonts w:ascii="宋体" w:hAnsi="宋体"/>
              </w:rPr>
            </w:pPr>
          </w:p>
        </w:tc>
        <w:tc>
          <w:tcPr>
            <w:tcW w:w="1038" w:type="dxa"/>
            <w:vAlign w:val="center"/>
          </w:tcPr>
          <w:p>
            <w:pPr>
              <w:topLinePunct/>
              <w:snapToGrid w:val="0"/>
              <w:spacing w:line="240" w:lineRule="atLeast"/>
              <w:jc w:val="center"/>
              <w:rPr>
                <w:rFonts w:ascii="宋体" w:hAnsi="宋体"/>
              </w:rPr>
            </w:pPr>
          </w:p>
        </w:tc>
        <w:tc>
          <w:tcPr>
            <w:tcW w:w="625" w:type="dxa"/>
            <w:vAlign w:val="center"/>
          </w:tcPr>
          <w:p>
            <w:pPr>
              <w:topLinePunct/>
              <w:snapToGrid w:val="0"/>
              <w:spacing w:line="240" w:lineRule="atLeast"/>
              <w:jc w:val="center"/>
              <w:rPr>
                <w:rFonts w:ascii="宋体" w:hAnsi="宋体"/>
              </w:rPr>
            </w:pPr>
          </w:p>
        </w:tc>
        <w:tc>
          <w:tcPr>
            <w:tcW w:w="800" w:type="dxa"/>
            <w:vAlign w:val="center"/>
          </w:tcPr>
          <w:p>
            <w:pPr>
              <w:topLinePunct/>
              <w:snapToGrid w:val="0"/>
              <w:spacing w:line="240" w:lineRule="atLeast"/>
              <w:jc w:val="center"/>
              <w:rPr>
                <w:rFonts w:ascii="宋体" w:hAnsi="宋体"/>
              </w:rPr>
            </w:pPr>
          </w:p>
        </w:tc>
        <w:tc>
          <w:tcPr>
            <w:tcW w:w="1127" w:type="dxa"/>
            <w:vAlign w:val="center"/>
          </w:tcPr>
          <w:p>
            <w:pPr>
              <w:topLinePunct/>
              <w:snapToGrid w:val="0"/>
              <w:spacing w:line="240" w:lineRule="atLeast"/>
              <w:jc w:val="center"/>
              <w:rPr>
                <w:rFonts w:ascii="宋体" w:hAnsi="宋体"/>
              </w:rPr>
            </w:pPr>
          </w:p>
        </w:tc>
        <w:tc>
          <w:tcPr>
            <w:tcW w:w="735" w:type="dxa"/>
            <w:vAlign w:val="center"/>
          </w:tcPr>
          <w:p>
            <w:pPr>
              <w:topLinePunct/>
              <w:snapToGrid w:val="0"/>
              <w:spacing w:line="240" w:lineRule="atLeast"/>
              <w:jc w:val="center"/>
              <w:rPr>
                <w:rFonts w:ascii="宋体" w:hAnsi="宋体"/>
              </w:rPr>
            </w:pPr>
          </w:p>
        </w:tc>
      </w:tr>
    </w:tbl>
    <w:p>
      <w:pPr>
        <w:widowControl/>
        <w:autoSpaceDE w:val="0"/>
        <w:autoSpaceDN w:val="0"/>
        <w:spacing w:line="400" w:lineRule="atLeast"/>
        <w:ind w:left="180"/>
        <w:jc w:val="center"/>
        <w:textAlignment w:val="bottom"/>
        <w:rPr>
          <w:rFonts w:ascii="宋体" w:hAnsi="宋体"/>
        </w:rPr>
      </w:pPr>
      <w:r>
        <w:rPr>
          <w:rFonts w:ascii="宋体" w:hAnsi="宋体"/>
        </w:rPr>
        <w:br w:type="page"/>
      </w:r>
      <w:r>
        <w:rPr>
          <w:rFonts w:hint="eastAsia" w:ascii="宋体" w:hAnsi="宋体"/>
          <w:b/>
          <w:bCs/>
          <w:sz w:val="28"/>
          <w:szCs w:val="28"/>
        </w:rPr>
        <w:t>（八）拟委任的分项咨询负责人资历表</w:t>
      </w:r>
      <w:r>
        <w:rPr>
          <w:rStyle w:val="56"/>
          <w:rFonts w:ascii="宋体" w:hAnsi="宋体"/>
          <w:sz w:val="32"/>
          <w:szCs w:val="32"/>
        </w:rPr>
        <w:footnoteReference w:id="83"/>
      </w:r>
    </w:p>
    <w:p>
      <w:pPr>
        <w:widowControl/>
        <w:autoSpaceDE w:val="0"/>
        <w:autoSpaceDN w:val="0"/>
        <w:spacing w:line="400" w:lineRule="atLeast"/>
        <w:jc w:val="center"/>
        <w:textAlignment w:val="bottom"/>
        <w:rPr>
          <w:rFonts w:ascii="宋体" w:hAnsi="宋体"/>
        </w:rPr>
      </w:pPr>
    </w:p>
    <w:tbl>
      <w:tblPr>
        <w:tblStyle w:val="4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4" w:hRule="atLeast"/>
        </w:trPr>
        <w:tc>
          <w:tcPr>
            <w:tcW w:w="1211" w:type="dxa"/>
            <w:vAlign w:val="center"/>
          </w:tcPr>
          <w:p>
            <w:pPr>
              <w:jc w:val="center"/>
              <w:rPr>
                <w:rFonts w:ascii="宋体" w:hAnsi="宋体" w:cs="宋体"/>
                <w:szCs w:val="21"/>
              </w:rPr>
            </w:pPr>
            <w:r>
              <w:rPr>
                <w:rFonts w:hint="eastAsia" w:ascii="宋体" w:hAnsi="宋体" w:cs="宋体"/>
                <w:szCs w:val="21"/>
              </w:rPr>
              <w:t>姓    名</w:t>
            </w:r>
          </w:p>
        </w:tc>
        <w:tc>
          <w:tcPr>
            <w:tcW w:w="1473" w:type="dxa"/>
            <w:gridSpan w:val="3"/>
            <w:vAlign w:val="center"/>
          </w:tcPr>
          <w:p>
            <w:pPr>
              <w:jc w:val="center"/>
              <w:rPr>
                <w:rFonts w:ascii="宋体" w:hAnsi="宋体" w:cs="宋体"/>
                <w:szCs w:val="21"/>
              </w:rPr>
            </w:pPr>
          </w:p>
        </w:tc>
        <w:tc>
          <w:tcPr>
            <w:tcW w:w="1038" w:type="dxa"/>
            <w:vAlign w:val="center"/>
          </w:tcPr>
          <w:p>
            <w:pPr>
              <w:jc w:val="center"/>
              <w:rPr>
                <w:rFonts w:ascii="宋体" w:hAnsi="宋体" w:cs="宋体"/>
                <w:szCs w:val="21"/>
              </w:rPr>
            </w:pPr>
            <w:r>
              <w:rPr>
                <w:rFonts w:hint="eastAsia" w:ascii="宋体" w:hAnsi="宋体" w:cs="宋体"/>
                <w:szCs w:val="21"/>
              </w:rPr>
              <w:t>年    龄</w:t>
            </w:r>
          </w:p>
        </w:tc>
        <w:tc>
          <w:tcPr>
            <w:tcW w:w="1354" w:type="dxa"/>
          </w:tcPr>
          <w:p>
            <w:pPr>
              <w:jc w:val="center"/>
              <w:rPr>
                <w:rFonts w:ascii="宋体" w:hAnsi="宋体" w:cs="宋体"/>
                <w:szCs w:val="21"/>
              </w:rPr>
            </w:pPr>
          </w:p>
        </w:tc>
        <w:tc>
          <w:tcPr>
            <w:tcW w:w="1842" w:type="dxa"/>
            <w:gridSpan w:val="2"/>
            <w:vAlign w:val="center"/>
          </w:tcPr>
          <w:p>
            <w:pPr>
              <w:jc w:val="center"/>
              <w:rPr>
                <w:rFonts w:ascii="宋体" w:hAnsi="宋体" w:cs="宋体"/>
                <w:szCs w:val="21"/>
              </w:rPr>
            </w:pPr>
            <w:r>
              <w:rPr>
                <w:rFonts w:hint="eastAsia" w:ascii="宋体" w:hAnsi="宋体" w:cs="宋体"/>
                <w:szCs w:val="21"/>
              </w:rPr>
              <w:t>执业或职业资格</w:t>
            </w:r>
          </w:p>
          <w:p>
            <w:pPr>
              <w:jc w:val="center"/>
              <w:rPr>
                <w:rFonts w:ascii="宋体" w:hAnsi="宋体" w:cs="宋体"/>
                <w:szCs w:val="21"/>
              </w:rPr>
            </w:pPr>
            <w:r>
              <w:rPr>
                <w:rFonts w:hint="eastAsia" w:ascii="宋体" w:hAnsi="宋体" w:cs="宋体"/>
                <w:szCs w:val="21"/>
              </w:rPr>
              <w:t>证书名称</w:t>
            </w:r>
          </w:p>
        </w:tc>
        <w:tc>
          <w:tcPr>
            <w:tcW w:w="1830"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211" w:type="dxa"/>
            <w:vAlign w:val="center"/>
          </w:tcPr>
          <w:p>
            <w:pPr>
              <w:jc w:val="center"/>
              <w:rPr>
                <w:rFonts w:ascii="宋体" w:hAnsi="宋体" w:cs="宋体"/>
                <w:szCs w:val="21"/>
              </w:rPr>
            </w:pPr>
            <w:r>
              <w:rPr>
                <w:rFonts w:hint="eastAsia" w:ascii="宋体" w:hAnsi="宋体" w:cs="宋体"/>
                <w:szCs w:val="21"/>
              </w:rPr>
              <w:t>技术职称</w:t>
            </w:r>
          </w:p>
        </w:tc>
        <w:tc>
          <w:tcPr>
            <w:tcW w:w="1473" w:type="dxa"/>
            <w:gridSpan w:val="3"/>
            <w:vAlign w:val="center"/>
          </w:tcPr>
          <w:p>
            <w:pPr>
              <w:jc w:val="center"/>
              <w:rPr>
                <w:rFonts w:ascii="宋体" w:hAnsi="宋体" w:cs="宋体"/>
                <w:szCs w:val="21"/>
              </w:rPr>
            </w:pPr>
          </w:p>
        </w:tc>
        <w:tc>
          <w:tcPr>
            <w:tcW w:w="1038" w:type="dxa"/>
            <w:vAlign w:val="center"/>
          </w:tcPr>
          <w:p>
            <w:pPr>
              <w:jc w:val="center"/>
              <w:rPr>
                <w:rFonts w:ascii="宋体" w:hAnsi="宋体" w:cs="宋体"/>
                <w:szCs w:val="21"/>
              </w:rPr>
            </w:pPr>
            <w:r>
              <w:rPr>
                <w:rFonts w:hint="eastAsia" w:ascii="宋体" w:hAnsi="宋体" w:cs="宋体"/>
                <w:szCs w:val="21"/>
              </w:rPr>
              <w:t>学历</w:t>
            </w:r>
          </w:p>
        </w:tc>
        <w:tc>
          <w:tcPr>
            <w:tcW w:w="1354" w:type="dxa"/>
          </w:tcPr>
          <w:p>
            <w:pPr>
              <w:jc w:val="center"/>
              <w:rPr>
                <w:rFonts w:ascii="宋体" w:hAnsi="宋体" w:cs="宋体"/>
                <w:szCs w:val="21"/>
              </w:rPr>
            </w:pPr>
          </w:p>
        </w:tc>
        <w:tc>
          <w:tcPr>
            <w:tcW w:w="1842" w:type="dxa"/>
            <w:gridSpan w:val="2"/>
            <w:vAlign w:val="center"/>
          </w:tcPr>
          <w:p>
            <w:pPr>
              <w:jc w:val="center"/>
              <w:rPr>
                <w:rFonts w:ascii="宋体" w:hAnsi="宋体" w:cs="宋体"/>
                <w:szCs w:val="21"/>
              </w:rPr>
            </w:pPr>
            <w:r>
              <w:rPr>
                <w:rFonts w:hint="eastAsia" w:ascii="宋体" w:hAnsi="宋体" w:cs="宋体"/>
                <w:szCs w:val="21"/>
              </w:rPr>
              <w:t>拟在本标段</w:t>
            </w:r>
          </w:p>
          <w:p>
            <w:pPr>
              <w:jc w:val="center"/>
              <w:rPr>
                <w:rFonts w:ascii="宋体" w:hAnsi="宋体" w:cs="宋体"/>
                <w:szCs w:val="21"/>
              </w:rPr>
            </w:pPr>
            <w:r>
              <w:rPr>
                <w:rFonts w:hint="eastAsia" w:ascii="宋体" w:hAnsi="宋体" w:cs="宋体"/>
                <w:szCs w:val="21"/>
              </w:rPr>
              <w:t>工程任职</w:t>
            </w:r>
          </w:p>
        </w:tc>
        <w:tc>
          <w:tcPr>
            <w:tcW w:w="1830"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vAlign w:val="center"/>
          </w:tcPr>
          <w:p>
            <w:pPr>
              <w:jc w:val="center"/>
              <w:rPr>
                <w:rFonts w:ascii="宋体" w:hAnsi="宋体" w:cs="宋体"/>
                <w:szCs w:val="21"/>
              </w:rPr>
            </w:pPr>
            <w:r>
              <w:rPr>
                <w:rFonts w:hint="eastAsia" w:ascii="宋体" w:hAnsi="宋体" w:cs="宋体"/>
                <w:szCs w:val="21"/>
              </w:rPr>
              <w:t>工作年限</w:t>
            </w:r>
          </w:p>
        </w:tc>
        <w:tc>
          <w:tcPr>
            <w:tcW w:w="3865" w:type="dxa"/>
            <w:gridSpan w:val="5"/>
            <w:vAlign w:val="center"/>
          </w:tcPr>
          <w:p>
            <w:pPr>
              <w:jc w:val="center"/>
              <w:rPr>
                <w:rFonts w:ascii="宋体" w:hAnsi="宋体" w:cs="宋体"/>
                <w:szCs w:val="21"/>
              </w:rPr>
            </w:pPr>
          </w:p>
        </w:tc>
        <w:tc>
          <w:tcPr>
            <w:tcW w:w="1842" w:type="dxa"/>
            <w:gridSpan w:val="2"/>
          </w:tcPr>
          <w:p>
            <w:pPr>
              <w:jc w:val="center"/>
              <w:rPr>
                <w:rFonts w:ascii="宋体" w:hAnsi="宋体" w:cs="宋体"/>
                <w:szCs w:val="21"/>
              </w:rPr>
            </w:pPr>
            <w:r>
              <w:rPr>
                <w:rFonts w:hint="eastAsia" w:ascii="宋体" w:hAnsi="宋体" w:cs="宋体"/>
                <w:szCs w:val="21"/>
              </w:rPr>
              <w:t>从事勘察设计</w:t>
            </w:r>
          </w:p>
          <w:p>
            <w:pPr>
              <w:jc w:val="center"/>
              <w:rPr>
                <w:rFonts w:ascii="宋体" w:hAnsi="宋体" w:cs="宋体"/>
                <w:szCs w:val="21"/>
              </w:rPr>
            </w:pPr>
            <w:r>
              <w:rPr>
                <w:rFonts w:hint="eastAsia" w:ascii="宋体" w:hAnsi="宋体" w:cs="宋体"/>
                <w:szCs w:val="21"/>
              </w:rPr>
              <w:t>工作年限</w:t>
            </w:r>
          </w:p>
        </w:tc>
        <w:tc>
          <w:tcPr>
            <w:tcW w:w="1830"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vAlign w:val="center"/>
          </w:tcPr>
          <w:p>
            <w:pPr>
              <w:rPr>
                <w:rFonts w:ascii="宋体" w:hAnsi="宋体" w:cs="宋体"/>
                <w:szCs w:val="21"/>
              </w:rPr>
            </w:pPr>
            <w:r>
              <w:rPr>
                <w:rFonts w:hint="eastAsia" w:ascii="宋体" w:hAnsi="宋体" w:cs="宋体"/>
                <w:szCs w:val="21"/>
              </w:rPr>
              <w:t>毕业学校</w:t>
            </w:r>
          </w:p>
        </w:tc>
        <w:tc>
          <w:tcPr>
            <w:tcW w:w="7537" w:type="dxa"/>
            <w:gridSpan w:val="9"/>
            <w:vAlign w:val="center"/>
          </w:tcPr>
          <w:p>
            <w:pPr>
              <w:rPr>
                <w:rFonts w:ascii="宋体" w:hAnsi="宋体" w:cs="宋体"/>
                <w:szCs w:val="21"/>
              </w:rPr>
            </w:pPr>
            <w:r>
              <w:rPr>
                <w:rFonts w:hint="eastAsia" w:ascii="宋体" w:hAnsi="宋体" w:cs="宋体"/>
                <w:szCs w:val="21"/>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vAlign w:val="center"/>
          </w:tcPr>
          <w:p>
            <w:pPr>
              <w:jc w:val="center"/>
              <w:rPr>
                <w:rFonts w:ascii="宋体" w:hAnsi="宋体" w:cs="宋体"/>
                <w:szCs w:val="21"/>
              </w:rPr>
            </w:pPr>
            <w:r>
              <w:rPr>
                <w:rFonts w:hint="eastAsia" w:ascii="宋体" w:hAnsi="宋体" w:cs="宋体"/>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vAlign w:val="center"/>
          </w:tcPr>
          <w:p>
            <w:pPr>
              <w:jc w:val="center"/>
              <w:rPr>
                <w:rFonts w:ascii="宋体" w:hAnsi="宋体" w:cs="宋体"/>
                <w:szCs w:val="21"/>
              </w:rPr>
            </w:pPr>
            <w:r>
              <w:rPr>
                <w:rFonts w:hint="eastAsia" w:ascii="宋体" w:hAnsi="宋体" w:cs="宋体"/>
                <w:szCs w:val="21"/>
              </w:rPr>
              <w:t>时间</w:t>
            </w:r>
          </w:p>
        </w:tc>
        <w:tc>
          <w:tcPr>
            <w:tcW w:w="4145" w:type="dxa"/>
            <w:gridSpan w:val="5"/>
            <w:vAlign w:val="center"/>
          </w:tcPr>
          <w:p>
            <w:pPr>
              <w:jc w:val="center"/>
              <w:rPr>
                <w:rFonts w:ascii="宋体" w:hAnsi="宋体" w:cs="宋体"/>
                <w:szCs w:val="21"/>
              </w:rPr>
            </w:pPr>
            <w:r>
              <w:rPr>
                <w:rFonts w:hint="eastAsia" w:ascii="宋体" w:hAnsi="宋体" w:cs="宋体"/>
                <w:szCs w:val="21"/>
              </w:rPr>
              <w:t>参加过的类似工程项目名称</w:t>
            </w:r>
          </w:p>
        </w:tc>
        <w:tc>
          <w:tcPr>
            <w:tcW w:w="1889" w:type="dxa"/>
            <w:gridSpan w:val="2"/>
            <w:vAlign w:val="center"/>
          </w:tcPr>
          <w:p>
            <w:pPr>
              <w:jc w:val="center"/>
              <w:rPr>
                <w:rFonts w:ascii="宋体" w:hAnsi="宋体" w:cs="宋体"/>
                <w:szCs w:val="21"/>
              </w:rPr>
            </w:pPr>
            <w:r>
              <w:rPr>
                <w:rFonts w:hint="eastAsia" w:ascii="宋体" w:hAnsi="宋体" w:cs="宋体"/>
                <w:szCs w:val="21"/>
              </w:rPr>
              <w:t>担任职务</w:t>
            </w:r>
          </w:p>
        </w:tc>
        <w:tc>
          <w:tcPr>
            <w:tcW w:w="1454" w:type="dxa"/>
            <w:vAlign w:val="center"/>
          </w:tcPr>
          <w:p>
            <w:pPr>
              <w:jc w:val="center"/>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pPr>
              <w:rPr>
                <w:rFonts w:ascii="宋体" w:hAnsi="宋体" w:cs="宋体"/>
                <w:szCs w:val="21"/>
              </w:rPr>
            </w:pPr>
          </w:p>
        </w:tc>
        <w:tc>
          <w:tcPr>
            <w:tcW w:w="4145" w:type="dxa"/>
            <w:gridSpan w:val="5"/>
            <w:vAlign w:val="center"/>
          </w:tcPr>
          <w:p>
            <w:pPr>
              <w:rPr>
                <w:rFonts w:ascii="宋体" w:hAnsi="宋体" w:cs="宋体"/>
                <w:szCs w:val="21"/>
              </w:rPr>
            </w:pPr>
          </w:p>
        </w:tc>
        <w:tc>
          <w:tcPr>
            <w:tcW w:w="1889" w:type="dxa"/>
            <w:gridSpan w:val="2"/>
          </w:tcPr>
          <w:p>
            <w:pPr>
              <w:rPr>
                <w:rFonts w:ascii="宋体" w:hAnsi="宋体" w:cs="宋体"/>
                <w:szCs w:val="21"/>
              </w:rPr>
            </w:pPr>
          </w:p>
        </w:tc>
        <w:tc>
          <w:tcPr>
            <w:tcW w:w="145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vAlign w:val="center"/>
          </w:tcPr>
          <w:p>
            <w:pPr>
              <w:jc w:val="center"/>
              <w:rPr>
                <w:rFonts w:ascii="宋体" w:hAnsi="宋体" w:cs="宋体"/>
                <w:szCs w:val="21"/>
              </w:rPr>
            </w:pPr>
            <w:r>
              <w:rPr>
                <w:rFonts w:hint="eastAsia" w:ascii="宋体" w:hAnsi="宋体" w:cs="宋体"/>
                <w:szCs w:val="21"/>
              </w:rPr>
              <w:t>获奖情况</w:t>
            </w:r>
          </w:p>
        </w:tc>
        <w:tc>
          <w:tcPr>
            <w:tcW w:w="6328" w:type="dxa"/>
            <w:gridSpan w:val="7"/>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vAlign w:val="center"/>
          </w:tcPr>
          <w:p>
            <w:pPr>
              <w:jc w:val="center"/>
              <w:rPr>
                <w:rFonts w:ascii="宋体" w:hAnsi="宋体" w:cs="宋体"/>
                <w:szCs w:val="21"/>
              </w:rPr>
            </w:pPr>
            <w:r>
              <w:rPr>
                <w:rFonts w:hint="eastAsia" w:ascii="宋体" w:hAnsi="宋体" w:cs="宋体"/>
                <w:szCs w:val="21"/>
              </w:rPr>
              <w:t>目前承担的任务</w:t>
            </w:r>
          </w:p>
        </w:tc>
        <w:tc>
          <w:tcPr>
            <w:tcW w:w="6328" w:type="dxa"/>
            <w:gridSpan w:val="7"/>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420" w:type="dxa"/>
            <w:gridSpan w:val="3"/>
            <w:vAlign w:val="center"/>
          </w:tcPr>
          <w:p>
            <w:pPr>
              <w:jc w:val="center"/>
              <w:rPr>
                <w:rFonts w:ascii="宋体" w:hAnsi="宋体" w:cs="宋体"/>
                <w:szCs w:val="21"/>
              </w:rPr>
            </w:pPr>
            <w:r>
              <w:rPr>
                <w:rFonts w:hint="eastAsia" w:ascii="宋体" w:hAnsi="宋体" w:cs="宋体"/>
                <w:szCs w:val="21"/>
              </w:rPr>
              <w:t>备注</w:t>
            </w:r>
          </w:p>
        </w:tc>
        <w:tc>
          <w:tcPr>
            <w:tcW w:w="6328" w:type="dxa"/>
            <w:gridSpan w:val="7"/>
          </w:tcPr>
          <w:p>
            <w:pPr>
              <w:rPr>
                <w:rFonts w:ascii="宋体" w:hAnsi="宋体" w:cs="宋体"/>
                <w:szCs w:val="21"/>
              </w:rPr>
            </w:pPr>
          </w:p>
        </w:tc>
      </w:tr>
    </w:tbl>
    <w:p>
      <w:pPr>
        <w:widowControl/>
        <w:rPr>
          <w:rFonts w:ascii="宋体" w:hAnsi="宋体"/>
          <w:sz w:val="18"/>
          <w:szCs w:val="18"/>
        </w:rPr>
      </w:pPr>
    </w:p>
    <w:p>
      <w:pPr>
        <w:widowControl/>
        <w:tabs>
          <w:tab w:val="left" w:pos="426"/>
        </w:tabs>
        <w:rPr>
          <w:rFonts w:ascii="宋体" w:hAnsi="宋体"/>
          <w:sz w:val="18"/>
          <w:szCs w:val="18"/>
        </w:rPr>
      </w:pPr>
      <w:r>
        <w:rPr>
          <w:rFonts w:hint="eastAsia" w:ascii="宋体" w:hAnsi="宋体"/>
          <w:sz w:val="18"/>
          <w:szCs w:val="18"/>
        </w:rPr>
        <w:t>注：1.本表应填写分项咨询负责人相关情况。</w:t>
      </w:r>
    </w:p>
    <w:p>
      <w:pPr>
        <w:ind w:firstLine="360" w:firstLineChars="200"/>
        <w:rPr>
          <w:rFonts w:ascii="宋体" w:hAnsi="宋体"/>
          <w:sz w:val="18"/>
          <w:szCs w:val="18"/>
        </w:rPr>
      </w:pPr>
      <w:r>
        <w:rPr>
          <w:rFonts w:hint="eastAsia" w:ascii="宋体" w:hAnsi="宋体"/>
          <w:sz w:val="18"/>
          <w:szCs w:val="18"/>
        </w:rPr>
        <w:t>2.投标人应根据招标文件第二章“投标人须知”第3.</w:t>
      </w:r>
      <w:r>
        <w:rPr>
          <w:rFonts w:ascii="宋体" w:hAnsi="宋体"/>
          <w:sz w:val="18"/>
          <w:szCs w:val="18"/>
        </w:rPr>
        <w:t>5</w:t>
      </w:r>
      <w:r>
        <w:rPr>
          <w:rFonts w:hint="eastAsia" w:ascii="宋体" w:hAnsi="宋体"/>
          <w:sz w:val="18"/>
          <w:szCs w:val="18"/>
        </w:rPr>
        <w:t>.5项的要求在本表后附相关证明材料。</w:t>
      </w:r>
    </w:p>
    <w:p>
      <w:pPr>
        <w:pStyle w:val="19"/>
        <w:spacing w:after="0" w:line="400" w:lineRule="atLeast"/>
        <w:ind w:left="588" w:leftChars="0" w:right="-61" w:rightChars="-29" w:hanging="588" w:hangingChars="280"/>
        <w:rPr>
          <w:szCs w:val="21"/>
        </w:rPr>
        <w:sectPr>
          <w:footnotePr>
            <w:numRestart w:val="eachPage"/>
          </w:footnotePr>
          <w:pgSz w:w="11905" w:h="16838"/>
          <w:pgMar w:top="1803" w:right="1440" w:bottom="1803" w:left="1440" w:header="851" w:footer="850" w:gutter="0"/>
          <w:cols w:space="0" w:num="1"/>
          <w:docGrid w:linePitch="312" w:charSpace="0"/>
        </w:sectPr>
      </w:pPr>
    </w:p>
    <w:bookmarkEnd w:id="807"/>
    <w:p>
      <w:pPr>
        <w:pStyle w:val="2"/>
        <w:spacing w:before="0" w:after="0" w:line="380" w:lineRule="atLeast"/>
        <w:jc w:val="center"/>
        <w:rPr>
          <w:rFonts w:eastAsia="黑体"/>
          <w:b w:val="0"/>
          <w:sz w:val="28"/>
          <w:szCs w:val="28"/>
        </w:rPr>
      </w:pPr>
      <w:bookmarkStart w:id="808" w:name="_Toc234833291"/>
      <w:bookmarkStart w:id="809" w:name="_Toc508984377"/>
      <w:bookmarkStart w:id="810" w:name="_Toc503235850"/>
      <w:bookmarkStart w:id="811" w:name="_Toc508984174"/>
      <w:r>
        <w:rPr>
          <w:rFonts w:hint="eastAsia" w:eastAsia="黑体"/>
          <w:b w:val="0"/>
          <w:sz w:val="28"/>
          <w:szCs w:val="28"/>
        </w:rPr>
        <w:t>七</w:t>
      </w:r>
      <w:r>
        <w:rPr>
          <w:rFonts w:eastAsia="黑体"/>
          <w:b w:val="0"/>
          <w:sz w:val="28"/>
          <w:szCs w:val="28"/>
        </w:rPr>
        <w:t>、其他</w:t>
      </w:r>
      <w:bookmarkEnd w:id="808"/>
      <w:r>
        <w:rPr>
          <w:rFonts w:hint="eastAsia" w:eastAsia="黑体"/>
          <w:b w:val="0"/>
          <w:sz w:val="28"/>
          <w:szCs w:val="28"/>
        </w:rPr>
        <w:t>资料</w:t>
      </w:r>
      <w:bookmarkEnd w:id="809"/>
      <w:bookmarkEnd w:id="810"/>
      <w:bookmarkEnd w:id="811"/>
    </w:p>
    <w:p>
      <w:pPr>
        <w:spacing w:line="440" w:lineRule="exact"/>
        <w:rPr>
          <w:rFonts w:eastAsia="黑体"/>
          <w:sz w:val="20"/>
          <w:szCs w:val="20"/>
        </w:rPr>
      </w:pPr>
    </w:p>
    <w:p>
      <w:pPr>
        <w:spacing w:line="440" w:lineRule="exact"/>
        <w:ind w:firstLine="480" w:firstLineChars="200"/>
        <w:rPr>
          <w:rFonts w:ascii="宋体" w:hAnsi="宋体"/>
          <w:kern w:val="0"/>
          <w:sz w:val="24"/>
          <w:szCs w:val="20"/>
        </w:rPr>
      </w:pPr>
      <w:r>
        <w:rPr>
          <w:rFonts w:hint="eastAsia" w:ascii="宋体" w:hAnsi="宋体"/>
          <w:kern w:val="0"/>
          <w:sz w:val="24"/>
          <w:szCs w:val="20"/>
        </w:rPr>
        <w:t>1、提供“七-1、承诺书”。</w:t>
      </w:r>
    </w:p>
    <w:p>
      <w:pPr>
        <w:spacing w:line="440" w:lineRule="exact"/>
        <w:ind w:firstLine="480" w:firstLineChars="200"/>
        <w:rPr>
          <w:rFonts w:ascii="宋体" w:hAnsi="宋体"/>
          <w:kern w:val="0"/>
          <w:sz w:val="24"/>
          <w:szCs w:val="20"/>
        </w:rPr>
      </w:pPr>
      <w:r>
        <w:rPr>
          <w:rFonts w:hint="eastAsia" w:ascii="宋体" w:hAnsi="宋体"/>
          <w:kern w:val="0"/>
          <w:sz w:val="24"/>
          <w:szCs w:val="20"/>
        </w:rPr>
        <w:t>2、提供“七-2、投标人的自评分表”。</w:t>
      </w:r>
    </w:p>
    <w:p>
      <w:pPr>
        <w:spacing w:line="440" w:lineRule="exact"/>
        <w:ind w:firstLine="480" w:firstLineChars="200"/>
        <w:rPr>
          <w:rFonts w:ascii="宋体" w:hAnsi="宋体"/>
          <w:kern w:val="0"/>
          <w:sz w:val="24"/>
          <w:szCs w:val="20"/>
        </w:rPr>
      </w:pPr>
      <w:r>
        <w:rPr>
          <w:rFonts w:hint="eastAsia" w:ascii="宋体" w:hAnsi="宋体"/>
          <w:kern w:val="0"/>
          <w:sz w:val="24"/>
          <w:szCs w:val="20"/>
        </w:rPr>
        <w:t>3、提供最新年度</w:t>
      </w:r>
      <w:r>
        <w:rPr>
          <w:rFonts w:hint="eastAsia" w:ascii="宋体" w:hAnsi="宋体"/>
          <w:kern w:val="0"/>
          <w:sz w:val="24"/>
          <w:szCs w:val="20"/>
          <w:lang w:eastAsia="zh-CN"/>
        </w:rPr>
        <w:t>湛江市</w:t>
      </w:r>
      <w:r>
        <w:rPr>
          <w:rFonts w:hint="eastAsia" w:ascii="宋体" w:hAnsi="宋体"/>
          <w:kern w:val="0"/>
          <w:sz w:val="24"/>
          <w:szCs w:val="20"/>
        </w:rPr>
        <w:t>水运工程从业单位信用评价等级（若有），并标识单位所在位置。</w:t>
      </w:r>
    </w:p>
    <w:p>
      <w:pPr>
        <w:spacing w:line="440" w:lineRule="exact"/>
        <w:ind w:firstLine="480" w:firstLineChars="200"/>
        <w:rPr>
          <w:rFonts w:ascii="宋体" w:hAnsi="宋体"/>
          <w:kern w:val="0"/>
          <w:sz w:val="24"/>
          <w:szCs w:val="20"/>
        </w:rPr>
      </w:pPr>
      <w:r>
        <w:rPr>
          <w:rFonts w:hint="eastAsia" w:ascii="宋体" w:hAnsi="宋体"/>
          <w:kern w:val="0"/>
          <w:sz w:val="24"/>
          <w:szCs w:val="20"/>
        </w:rPr>
        <w:t>4、初次进入且无</w:t>
      </w:r>
      <w:r>
        <w:rPr>
          <w:rFonts w:hint="eastAsia" w:ascii="宋体" w:hAnsi="宋体"/>
          <w:kern w:val="0"/>
          <w:sz w:val="24"/>
          <w:szCs w:val="20"/>
          <w:lang w:eastAsia="zh-CN"/>
        </w:rPr>
        <w:t>湛江市</w:t>
      </w:r>
      <w:r>
        <w:rPr>
          <w:rFonts w:hint="eastAsia" w:ascii="宋体" w:hAnsi="宋体"/>
          <w:kern w:val="0"/>
          <w:sz w:val="24"/>
          <w:szCs w:val="20"/>
        </w:rPr>
        <w:t>最新年度信用评价等级的，但在最新年度的全国综合评价结果为C级或D级的，提供最新年度的全国综合评价结果单位查询所在页；</w:t>
      </w:r>
    </w:p>
    <w:p>
      <w:pPr>
        <w:spacing w:line="440" w:lineRule="exact"/>
        <w:ind w:firstLine="480" w:firstLineChars="200"/>
        <w:rPr>
          <w:rFonts w:ascii="宋体" w:hAnsi="宋体"/>
          <w:kern w:val="0"/>
          <w:sz w:val="24"/>
          <w:szCs w:val="20"/>
        </w:rPr>
      </w:pPr>
      <w:r>
        <w:rPr>
          <w:rFonts w:hint="eastAsia" w:ascii="宋体" w:hAnsi="宋体"/>
          <w:kern w:val="0"/>
          <w:sz w:val="24"/>
          <w:szCs w:val="20"/>
        </w:rPr>
        <w:t>5、如上一年度有信用评价而最新年度在</w:t>
      </w:r>
      <w:r>
        <w:rPr>
          <w:rFonts w:hint="eastAsia" w:ascii="宋体" w:hAnsi="宋体"/>
          <w:kern w:val="0"/>
          <w:sz w:val="24"/>
          <w:szCs w:val="20"/>
          <w:lang w:eastAsia="zh-CN"/>
        </w:rPr>
        <w:t>湛江市</w:t>
      </w:r>
      <w:r>
        <w:rPr>
          <w:rFonts w:hint="eastAsia" w:ascii="宋体" w:hAnsi="宋体"/>
          <w:kern w:val="0"/>
          <w:sz w:val="24"/>
          <w:szCs w:val="20"/>
        </w:rPr>
        <w:t>无信用等级的需提供上一年度有信用评价（若有），并标识单位所在位置。</w:t>
      </w:r>
    </w:p>
    <w:p>
      <w:pPr>
        <w:spacing w:line="440" w:lineRule="exact"/>
        <w:ind w:firstLine="480" w:firstLineChars="200"/>
        <w:rPr>
          <w:rFonts w:ascii="宋体" w:hAnsi="宋体"/>
          <w:kern w:val="0"/>
          <w:sz w:val="24"/>
          <w:szCs w:val="20"/>
        </w:rPr>
      </w:pPr>
      <w:r>
        <w:rPr>
          <w:rFonts w:hint="eastAsia" w:ascii="宋体" w:hAnsi="宋体"/>
          <w:kern w:val="0"/>
          <w:sz w:val="24"/>
          <w:szCs w:val="20"/>
        </w:rPr>
        <w:t>6、详细说明投标人在递交投标文件截止日前1年内因水运工程（含附属设施）质量、安全、履约或招标投标问题等原因被交通运输部行政处罚、广东省交通运输厅行政处罚或正式约谈</w:t>
      </w:r>
      <w:r>
        <w:rPr>
          <w:rFonts w:hint="eastAsia" w:ascii="宋体" w:hAnsi="宋体"/>
          <w:kern w:val="0"/>
          <w:sz w:val="24"/>
          <w:szCs w:val="20"/>
          <w:u w:val="single"/>
        </w:rPr>
        <w:t>、招标项目所在地地级以上市交通运输局行政处罚</w:t>
      </w:r>
      <w:r>
        <w:rPr>
          <w:rFonts w:hint="eastAsia" w:ascii="宋体" w:hAnsi="宋体"/>
          <w:kern w:val="0"/>
          <w:sz w:val="24"/>
          <w:szCs w:val="20"/>
        </w:rPr>
        <w:t>的文件。</w:t>
      </w:r>
    </w:p>
    <w:p>
      <w:pPr>
        <w:spacing w:line="440" w:lineRule="exact"/>
        <w:ind w:firstLine="480" w:firstLineChars="200"/>
        <w:rPr>
          <w:rFonts w:ascii="宋体" w:hAnsi="宋体" w:eastAsia="宋体"/>
          <w:sz w:val="20"/>
          <w:szCs w:val="20"/>
        </w:rPr>
      </w:pPr>
      <w:r>
        <w:rPr>
          <w:rFonts w:hint="eastAsia" w:ascii="宋体" w:hAnsi="宋体"/>
          <w:kern w:val="0"/>
          <w:sz w:val="24"/>
          <w:szCs w:val="20"/>
        </w:rPr>
        <w:t>7、投标人认为需要的其它内容（如体现企业综合能力的相关证明材料）。</w:t>
      </w:r>
    </w:p>
    <w:p>
      <w:pPr>
        <w:spacing w:line="440" w:lineRule="exact"/>
        <w:rPr>
          <w:rFonts w:eastAsia="黑体"/>
          <w:sz w:val="20"/>
          <w:szCs w:val="20"/>
        </w:rPr>
      </w:pPr>
    </w:p>
    <w:p>
      <w:pPr>
        <w:spacing w:line="440" w:lineRule="exact"/>
        <w:rPr>
          <w:rFonts w:eastAsia="黑体"/>
          <w:sz w:val="20"/>
          <w:szCs w:val="20"/>
        </w:rPr>
      </w:pPr>
    </w:p>
    <w:p>
      <w:pPr>
        <w:spacing w:line="360" w:lineRule="auto"/>
        <w:jc w:val="center"/>
        <w:rPr>
          <w:rFonts w:ascii="宋体" w:hAnsi="宋体"/>
          <w:bCs/>
        </w:rPr>
      </w:pPr>
      <w:r>
        <w:rPr>
          <w:rFonts w:eastAsia="黑体"/>
          <w:sz w:val="20"/>
          <w:szCs w:val="20"/>
        </w:rPr>
        <w:br w:type="page"/>
      </w:r>
      <w:r>
        <w:rPr>
          <w:rFonts w:hint="eastAsia" w:ascii="宋体" w:hAnsi="宋体" w:cs="宋体"/>
          <w:b/>
          <w:sz w:val="28"/>
          <w:szCs w:val="28"/>
        </w:rPr>
        <w:t>七-1、承诺书</w:t>
      </w:r>
    </w:p>
    <w:p>
      <w:pPr>
        <w:autoSpaceDE w:val="0"/>
        <w:autoSpaceDN w:val="0"/>
        <w:jc w:val="center"/>
        <w:rPr>
          <w:rFonts w:ascii="宋体" w:hAnsi="宋体" w:cs="宋体"/>
        </w:rPr>
      </w:pPr>
      <w:r>
        <w:rPr>
          <w:rFonts w:hint="eastAsia" w:ascii="宋体" w:hAnsi="宋体" w:cs="宋体"/>
          <w:b/>
          <w:sz w:val="28"/>
          <w:szCs w:val="28"/>
        </w:rPr>
        <w:t>使用湛江市信用评价等级的申请承诺书</w:t>
      </w:r>
      <w:r>
        <w:rPr>
          <w:rFonts w:hint="eastAsia" w:ascii="宋体" w:hAnsi="宋体" w:cs="宋体"/>
        </w:rPr>
        <w:t>（格式）</w:t>
      </w:r>
    </w:p>
    <w:p>
      <w:pPr>
        <w:autoSpaceDE w:val="0"/>
        <w:autoSpaceDN w:val="0"/>
        <w:jc w:val="center"/>
        <w:rPr>
          <w:rFonts w:ascii="宋体" w:hAnsi="宋体" w:cs="宋体"/>
          <w:szCs w:val="21"/>
        </w:rPr>
      </w:pPr>
    </w:p>
    <w:p>
      <w:pPr>
        <w:topLinePunct/>
        <w:spacing w:line="400" w:lineRule="atLeast"/>
        <w:jc w:val="left"/>
        <w:rPr>
          <w:rFonts w:ascii="宋体" w:hAnsi="宋体" w:cs="宋体"/>
          <w:sz w:val="24"/>
        </w:rPr>
      </w:pPr>
      <w:r>
        <w:rPr>
          <w:rFonts w:hint="eastAsia" w:ascii="宋体" w:hAnsi="宋体" w:cs="宋体"/>
          <w:sz w:val="24"/>
        </w:rPr>
        <w:t>致招标人：</w:t>
      </w:r>
      <w:r>
        <w:rPr>
          <w:rFonts w:hint="eastAsia" w:ascii="宋体" w:hAnsi="宋体" w:cs="宋体"/>
          <w:sz w:val="24"/>
          <w:u w:val="single"/>
        </w:rPr>
        <w:t xml:space="preserve"> （招标人全称）</w:t>
      </w:r>
    </w:p>
    <w:p>
      <w:pPr>
        <w:topLinePunct/>
        <w:spacing w:line="400" w:lineRule="atLeast"/>
        <w:ind w:firstLine="480" w:firstLineChars="200"/>
        <w:jc w:val="left"/>
        <w:rPr>
          <w:rFonts w:ascii="宋体" w:hAnsi="宋体" w:cs="宋体"/>
          <w:sz w:val="24"/>
        </w:rPr>
      </w:pPr>
      <w:r>
        <w:rPr>
          <w:rFonts w:hint="eastAsia" w:ascii="宋体" w:hAnsi="宋体" w:cs="宋体"/>
          <w:sz w:val="24"/>
        </w:rPr>
        <w:t>按照相关要求，现我单位对使用信用等级申请如下：</w:t>
      </w:r>
    </w:p>
    <w:p>
      <w:pPr>
        <w:topLinePunct/>
        <w:spacing w:line="400" w:lineRule="atLeast"/>
        <w:ind w:firstLine="480" w:firstLineChars="200"/>
        <w:jc w:val="left"/>
        <w:rPr>
          <w:rFonts w:ascii="宋体" w:hAnsi="宋体" w:cs="宋体"/>
          <w:sz w:val="24"/>
        </w:rPr>
      </w:pPr>
      <w:r>
        <w:rPr>
          <w:rFonts w:hint="eastAsia" w:ascii="宋体" w:hAnsi="宋体" w:cs="宋体"/>
          <w:sz w:val="24"/>
        </w:rPr>
        <w:t>一、我单位在</w:t>
      </w:r>
      <w:r>
        <w:rPr>
          <w:rStyle w:val="214"/>
          <w:rFonts w:hint="eastAsia" w:ascii="宋体" w:hAnsi="宋体" w:eastAsia="宋体"/>
          <w:sz w:val="21"/>
          <w:szCs w:val="21"/>
        </w:rPr>
        <w:t>____________</w:t>
      </w:r>
      <w:r>
        <w:rPr>
          <w:rFonts w:hint="eastAsia" w:ascii="宋体" w:hAnsi="宋体" w:cs="宋体"/>
          <w:sz w:val="24"/>
        </w:rPr>
        <w:t>招标（第</w:t>
      </w:r>
      <w:r>
        <w:rPr>
          <w:rFonts w:hint="eastAsia" w:ascii="宋体" w:hAnsi="宋体" w:cs="宋体"/>
          <w:sz w:val="24"/>
          <w:u w:val="single"/>
        </w:rPr>
        <w:t xml:space="preserve">      标段）</w:t>
      </w:r>
      <w:r>
        <w:rPr>
          <w:rFonts w:hint="eastAsia" w:ascii="宋体" w:hAnsi="宋体" w:cs="宋体"/>
          <w:sz w:val="24"/>
        </w:rPr>
        <w:t>的招标中，</w:t>
      </w:r>
      <w:r>
        <w:rPr>
          <w:rFonts w:hint="eastAsia" w:ascii="宋体" w:hAnsi="宋体" w:cs="宋体"/>
          <w:b/>
          <w:sz w:val="24"/>
        </w:rPr>
        <w:t>第</w:t>
      </w:r>
      <w:r>
        <w:rPr>
          <w:rFonts w:hint="eastAsia" w:ascii="宋体" w:hAnsi="宋体" w:cs="宋体"/>
          <w:b/>
          <w:sz w:val="24"/>
          <w:u w:val="single"/>
          <w:lang w:val="en-US" w:eastAsia="zh-CN"/>
        </w:rPr>
        <w:t xml:space="preserve">   </w:t>
      </w:r>
      <w:r>
        <w:rPr>
          <w:rFonts w:hint="eastAsia" w:ascii="宋体" w:hAnsi="宋体" w:cs="宋体"/>
          <w:b/>
          <w:sz w:val="24"/>
        </w:rPr>
        <w:t>次使用（</w:t>
      </w:r>
      <w:r>
        <w:rPr>
          <w:rFonts w:hint="eastAsia" w:ascii="宋体" w:hAnsi="宋体" w:cs="宋体"/>
          <w:b/>
          <w:sz w:val="24"/>
          <w:u w:val="single"/>
        </w:rPr>
        <w:t>或不使用</w:t>
      </w:r>
      <w:r>
        <w:rPr>
          <w:rFonts w:hint="eastAsia" w:ascii="宋体" w:hAnsi="宋体" w:cs="宋体"/>
          <w:b/>
          <w:sz w:val="24"/>
        </w:rPr>
        <w:t>）</w:t>
      </w:r>
      <w:r>
        <w:rPr>
          <w:rFonts w:hint="eastAsia" w:ascii="宋体" w:hAnsi="宋体" w:cs="宋体"/>
          <w:sz w:val="24"/>
          <w:lang w:eastAsia="zh-CN"/>
        </w:rPr>
        <w:t>湛江市交通运输局</w:t>
      </w:r>
      <w:r>
        <w:rPr>
          <w:rFonts w:hint="eastAsia" w:ascii="宋体" w:hAnsi="宋体" w:cs="宋体"/>
          <w:sz w:val="24"/>
        </w:rPr>
        <w:t>发布的</w:t>
      </w:r>
      <w:r>
        <w:rPr>
          <w:rStyle w:val="214"/>
          <w:rFonts w:hint="eastAsia" w:ascii="宋体" w:hAnsi="宋体" w:eastAsia="宋体"/>
          <w:sz w:val="21"/>
          <w:szCs w:val="21"/>
        </w:rPr>
        <w:t>____</w:t>
      </w:r>
      <w:r>
        <w:rPr>
          <w:rFonts w:hint="eastAsia" w:ascii="宋体" w:hAnsi="宋体" w:cs="宋体"/>
          <w:sz w:val="24"/>
        </w:rPr>
        <w:t>年度信用评价</w:t>
      </w:r>
      <w:r>
        <w:rPr>
          <w:rStyle w:val="214"/>
          <w:rFonts w:hint="eastAsia" w:ascii="宋体" w:hAnsi="宋体" w:eastAsia="宋体"/>
          <w:sz w:val="21"/>
          <w:szCs w:val="21"/>
        </w:rPr>
        <w:t>____</w:t>
      </w:r>
      <w:r>
        <w:rPr>
          <w:rFonts w:hint="eastAsia" w:ascii="宋体" w:hAnsi="宋体" w:cs="宋体"/>
          <w:sz w:val="24"/>
        </w:rPr>
        <w:t>等级结果和对应等级分值。</w:t>
      </w:r>
    </w:p>
    <w:p>
      <w:pPr>
        <w:topLinePunct/>
        <w:spacing w:line="400" w:lineRule="atLeast"/>
        <w:ind w:firstLine="480" w:firstLineChars="200"/>
        <w:jc w:val="left"/>
        <w:rPr>
          <w:rFonts w:ascii="宋体" w:hAnsi="宋体" w:cs="宋体"/>
          <w:sz w:val="24"/>
        </w:rPr>
      </w:pPr>
      <w:r>
        <w:rPr>
          <w:rFonts w:hint="eastAsia" w:ascii="宋体" w:hAnsi="宋体" w:cs="宋体"/>
          <w:sz w:val="24"/>
        </w:rPr>
        <w:t>二、我单位承诺，在递交本次申请后，我单位将失去一次使用</w:t>
      </w:r>
      <w:r>
        <w:rPr>
          <w:rStyle w:val="214"/>
          <w:rFonts w:hint="eastAsia" w:ascii="宋体" w:hAnsi="宋体" w:eastAsia="宋体"/>
          <w:sz w:val="21"/>
          <w:szCs w:val="21"/>
        </w:rPr>
        <w:t>____</w:t>
      </w:r>
      <w:r>
        <w:rPr>
          <w:rFonts w:hint="eastAsia" w:ascii="宋体" w:hAnsi="宋体" w:cs="宋体"/>
          <w:sz w:val="24"/>
        </w:rPr>
        <w:t>等级结果（</w:t>
      </w:r>
      <w:r>
        <w:rPr>
          <w:rFonts w:hint="eastAsia" w:ascii="宋体" w:hAnsi="宋体" w:cs="宋体"/>
          <w:b/>
          <w:sz w:val="24"/>
          <w:u w:val="single"/>
        </w:rPr>
        <w:t>不使用时上述填“/”）</w:t>
      </w:r>
      <w:r>
        <w:rPr>
          <w:rFonts w:hint="eastAsia" w:ascii="宋体" w:hAnsi="宋体" w:cs="宋体"/>
          <w:sz w:val="24"/>
        </w:rPr>
        <w:t>参与投标的机会。当累计使用超过规定的次数，我单位同意按降低一个信用等级对应分值来认定参与投标评审。</w:t>
      </w:r>
    </w:p>
    <w:p>
      <w:pPr>
        <w:topLinePunct/>
        <w:spacing w:line="400" w:lineRule="atLeast"/>
        <w:ind w:firstLine="480" w:firstLineChars="200"/>
        <w:jc w:val="left"/>
        <w:rPr>
          <w:rFonts w:ascii="宋体" w:hAnsi="宋体" w:cs="宋体"/>
          <w:sz w:val="24"/>
        </w:rPr>
      </w:pPr>
      <w:r>
        <w:rPr>
          <w:rFonts w:hint="eastAsia" w:ascii="宋体" w:hAnsi="宋体" w:cs="宋体"/>
          <w:sz w:val="24"/>
        </w:rPr>
        <w:t>三、如果我单位发生违反规定使用信用等级结果的情形，自愿接受省级交通运输主管部门的处理。</w:t>
      </w:r>
    </w:p>
    <w:p>
      <w:pPr>
        <w:topLinePunct/>
        <w:spacing w:line="400" w:lineRule="atLeast"/>
        <w:ind w:firstLine="480" w:firstLineChars="200"/>
        <w:jc w:val="left"/>
        <w:rPr>
          <w:rFonts w:ascii="宋体" w:hAnsi="宋体" w:cs="宋体"/>
          <w:sz w:val="24"/>
        </w:rPr>
      </w:pPr>
      <w:r>
        <w:rPr>
          <w:rFonts w:hint="eastAsia" w:ascii="宋体" w:hAnsi="宋体" w:cs="宋体"/>
          <w:sz w:val="24"/>
        </w:rPr>
        <w:t>附件：本单位使用</w:t>
      </w:r>
      <w:r>
        <w:rPr>
          <w:rStyle w:val="214"/>
          <w:rFonts w:hint="eastAsia" w:ascii="宋体" w:hAnsi="宋体" w:eastAsia="宋体"/>
          <w:sz w:val="21"/>
          <w:szCs w:val="21"/>
        </w:rPr>
        <w:t>____</w:t>
      </w:r>
      <w:r>
        <w:rPr>
          <w:rFonts w:hint="eastAsia" w:ascii="宋体" w:hAnsi="宋体" w:cs="宋体"/>
          <w:sz w:val="24"/>
        </w:rPr>
        <w:t>年度</w:t>
      </w:r>
      <w:r>
        <w:rPr>
          <w:rFonts w:hint="eastAsia" w:ascii="宋体" w:hAnsi="宋体"/>
          <w:kern w:val="0"/>
          <w:sz w:val="24"/>
          <w:szCs w:val="20"/>
          <w:lang w:eastAsia="zh-CN"/>
        </w:rPr>
        <w:t>湛江市</w:t>
      </w:r>
      <w:r>
        <w:rPr>
          <w:rFonts w:hint="eastAsia" w:ascii="宋体" w:hAnsi="宋体" w:cs="宋体"/>
          <w:sz w:val="24"/>
        </w:rPr>
        <w:t>公路水运工程从业单位信用等级情况汇总表</w:t>
      </w:r>
    </w:p>
    <w:p>
      <w:pPr>
        <w:topLinePunct/>
        <w:spacing w:line="400" w:lineRule="atLeast"/>
        <w:ind w:firstLine="480" w:firstLineChars="200"/>
        <w:jc w:val="left"/>
        <w:rPr>
          <w:rFonts w:ascii="宋体" w:hAnsi="宋体" w:cs="宋体"/>
          <w:sz w:val="24"/>
        </w:rPr>
      </w:pPr>
      <w:r>
        <w:rPr>
          <w:rFonts w:hint="eastAsia" w:ascii="宋体" w:hAnsi="宋体" w:cs="宋体"/>
          <w:sz w:val="24"/>
        </w:rPr>
        <w:t>特此承诺</w:t>
      </w:r>
    </w:p>
    <w:p>
      <w:pPr>
        <w:wordWrap w:val="0"/>
        <w:topLinePunct/>
        <w:spacing w:line="400" w:lineRule="atLeast"/>
        <w:ind w:right="480"/>
        <w:jc w:val="center"/>
        <w:rPr>
          <w:rFonts w:ascii="宋体" w:hAnsi="宋体" w:cs="宋体"/>
          <w:sz w:val="24"/>
        </w:rPr>
      </w:pPr>
    </w:p>
    <w:p>
      <w:pPr>
        <w:wordWrap w:val="0"/>
        <w:topLinePunct/>
        <w:spacing w:line="360" w:lineRule="auto"/>
        <w:ind w:right="0" w:firstLine="4080" w:firstLineChars="1700"/>
        <w:jc w:val="both"/>
        <w:rPr>
          <w:rFonts w:ascii="宋体" w:hAnsi="宋体" w:cs="宋体"/>
          <w:sz w:val="24"/>
        </w:rPr>
      </w:pPr>
      <w:r>
        <w:rPr>
          <w:rFonts w:hint="eastAsia" w:ascii="宋体" w:hAnsi="宋体" w:cs="宋体"/>
          <w:sz w:val="24"/>
        </w:rPr>
        <w:t>投标人（单位全称）：</w:t>
      </w:r>
      <w:r>
        <w:rPr>
          <w:rStyle w:val="214"/>
          <w:rFonts w:hint="eastAsia" w:ascii="宋体" w:hAnsi="宋体" w:eastAsia="宋体"/>
          <w:sz w:val="21"/>
          <w:szCs w:val="21"/>
        </w:rPr>
        <w:t>________</w:t>
      </w:r>
    </w:p>
    <w:p>
      <w:pPr>
        <w:wordWrap w:val="0"/>
        <w:topLinePunct/>
        <w:spacing w:line="360" w:lineRule="auto"/>
        <w:ind w:right="0" w:firstLine="4080" w:firstLineChars="1700"/>
        <w:jc w:val="both"/>
        <w:rPr>
          <w:rFonts w:ascii="宋体" w:hAnsi="宋体" w:cs="宋体"/>
          <w:sz w:val="24"/>
        </w:rPr>
      </w:pPr>
      <w:r>
        <w:rPr>
          <w:rFonts w:hint="eastAsia" w:ascii="宋体" w:hAnsi="宋体" w:cs="宋体"/>
          <w:sz w:val="24"/>
        </w:rPr>
        <w:t>投标人的法定代表人或其委托代理人签名：</w:t>
      </w:r>
      <w:r>
        <w:rPr>
          <w:rStyle w:val="214"/>
          <w:rFonts w:hint="eastAsia" w:ascii="宋体" w:hAnsi="宋体" w:eastAsia="宋体"/>
          <w:sz w:val="21"/>
          <w:szCs w:val="21"/>
        </w:rPr>
        <w:t>____</w:t>
      </w:r>
    </w:p>
    <w:p>
      <w:pPr>
        <w:wordWrap w:val="0"/>
        <w:topLinePunct/>
        <w:spacing w:line="400" w:lineRule="atLeast"/>
        <w:jc w:val="right"/>
        <w:rPr>
          <w:rFonts w:ascii="宋体" w:hAnsi="宋体" w:cs="宋体"/>
          <w:sz w:val="24"/>
        </w:rPr>
      </w:pPr>
      <w:r>
        <w:rPr>
          <w:rStyle w:val="214"/>
          <w:rFonts w:hint="eastAsia" w:ascii="宋体" w:hAnsi="宋体" w:eastAsia="宋体"/>
          <w:sz w:val="21"/>
          <w:szCs w:val="21"/>
        </w:rPr>
        <w:t>________</w:t>
      </w:r>
      <w:r>
        <w:rPr>
          <w:rFonts w:hint="eastAsia" w:ascii="宋体" w:hAnsi="宋体" w:cs="宋体"/>
          <w:sz w:val="24"/>
        </w:rPr>
        <w:t>年</w:t>
      </w:r>
      <w:r>
        <w:rPr>
          <w:rStyle w:val="214"/>
          <w:rFonts w:hint="eastAsia" w:ascii="宋体" w:hAnsi="宋体" w:eastAsia="宋体"/>
          <w:sz w:val="21"/>
          <w:szCs w:val="21"/>
        </w:rPr>
        <w:t>________</w:t>
      </w:r>
      <w:r>
        <w:rPr>
          <w:rFonts w:hint="eastAsia" w:ascii="宋体" w:hAnsi="宋体" w:cs="宋体"/>
          <w:sz w:val="24"/>
        </w:rPr>
        <w:t>月</w:t>
      </w:r>
      <w:r>
        <w:rPr>
          <w:rStyle w:val="214"/>
          <w:rFonts w:hint="eastAsia" w:ascii="宋体" w:hAnsi="宋体" w:eastAsia="宋体"/>
          <w:sz w:val="21"/>
          <w:szCs w:val="21"/>
        </w:rPr>
        <w:t>________</w:t>
      </w:r>
      <w:r>
        <w:rPr>
          <w:rFonts w:hint="eastAsia" w:ascii="宋体" w:hAnsi="宋体" w:cs="宋体"/>
          <w:sz w:val="24"/>
        </w:rPr>
        <w:t>日</w:t>
      </w:r>
    </w:p>
    <w:p>
      <w:pPr>
        <w:topLinePunct/>
        <w:spacing w:line="400" w:lineRule="atLeast"/>
        <w:ind w:firstLine="426" w:firstLineChars="213"/>
        <w:jc w:val="left"/>
        <w:rPr>
          <w:rFonts w:ascii="宋体" w:hAnsi="宋体" w:cs="宋体"/>
          <w:sz w:val="20"/>
          <w:szCs w:val="21"/>
        </w:rPr>
      </w:pPr>
      <w:r>
        <w:rPr>
          <w:rFonts w:hint="eastAsia" w:ascii="宋体" w:hAnsi="宋体" w:cs="宋体"/>
          <w:sz w:val="20"/>
          <w:szCs w:val="21"/>
        </w:rPr>
        <w:t>备注：</w:t>
      </w:r>
    </w:p>
    <w:p>
      <w:pPr>
        <w:topLinePunct/>
        <w:spacing w:line="400" w:lineRule="atLeast"/>
        <w:ind w:firstLine="426" w:firstLineChars="213"/>
        <w:jc w:val="left"/>
        <w:rPr>
          <w:rFonts w:ascii="宋体" w:hAnsi="宋体" w:cs="宋体"/>
          <w:sz w:val="20"/>
          <w:szCs w:val="21"/>
        </w:rPr>
      </w:pPr>
      <w:r>
        <w:rPr>
          <w:rFonts w:hint="eastAsia" w:ascii="宋体" w:hAnsi="宋体" w:cs="宋体"/>
          <w:sz w:val="20"/>
          <w:szCs w:val="21"/>
        </w:rPr>
        <w:t>1、AA、A级信用等级企业必须填写此申请承诺书；选择“使用”时需和附表（情况汇总表）一起编入投标文件中。</w:t>
      </w:r>
    </w:p>
    <w:p>
      <w:pPr>
        <w:topLinePunct/>
        <w:spacing w:line="400" w:lineRule="atLeast"/>
        <w:ind w:firstLine="426" w:firstLineChars="213"/>
        <w:jc w:val="left"/>
        <w:rPr>
          <w:rFonts w:ascii="宋体" w:hAnsi="宋体" w:cs="宋体"/>
          <w:sz w:val="20"/>
          <w:szCs w:val="21"/>
        </w:rPr>
      </w:pPr>
      <w:r>
        <w:rPr>
          <w:rFonts w:hint="eastAsia" w:ascii="宋体" w:hAnsi="宋体" w:cs="宋体"/>
          <w:sz w:val="20"/>
          <w:szCs w:val="21"/>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topLinePunct/>
        <w:spacing w:line="400" w:lineRule="atLeast"/>
        <w:ind w:firstLine="426" w:firstLineChars="213"/>
        <w:rPr>
          <w:rFonts w:ascii="宋体" w:hAnsi="宋体" w:cs="宋体"/>
          <w:sz w:val="20"/>
          <w:szCs w:val="21"/>
        </w:rPr>
      </w:pPr>
      <w:r>
        <w:rPr>
          <w:rFonts w:hint="eastAsia" w:ascii="宋体" w:hAnsi="宋体" w:cs="宋体"/>
          <w:sz w:val="20"/>
          <w:szCs w:val="21"/>
        </w:rPr>
        <w:t>3、中标候选人公示将对所有承诺使用最新一年度AA、A级投标人的年度信用等级使用情况进行公开。</w:t>
      </w:r>
    </w:p>
    <w:p>
      <w:pPr>
        <w:topLinePunct/>
        <w:spacing w:line="400" w:lineRule="atLeast"/>
        <w:ind w:firstLine="426" w:firstLineChars="213"/>
        <w:rPr>
          <w:sz w:val="20"/>
          <w:szCs w:val="21"/>
        </w:rPr>
      </w:pPr>
      <w:r>
        <w:rPr>
          <w:rFonts w:hint="eastAsia" w:ascii="宋体" w:hAnsi="宋体" w:cs="宋体"/>
          <w:sz w:val="20"/>
          <w:szCs w:val="21"/>
        </w:rPr>
        <w:t>4、以联合体形式投标的，联合体各成员应分别填写</w:t>
      </w:r>
      <w:r>
        <w:rPr>
          <w:rFonts w:hint="eastAsia"/>
          <w:sz w:val="20"/>
          <w:szCs w:val="21"/>
        </w:rPr>
        <w:t>。</w:t>
      </w:r>
    </w:p>
    <w:p>
      <w:pPr>
        <w:topLinePunct/>
        <w:spacing w:line="400" w:lineRule="atLeast"/>
        <w:rPr>
          <w:rFonts w:ascii="宋体" w:hAnsi="宋体" w:cs="宋体"/>
          <w:sz w:val="20"/>
          <w:szCs w:val="21"/>
        </w:rPr>
      </w:pPr>
    </w:p>
    <w:p>
      <w:pPr>
        <w:autoSpaceDE w:val="0"/>
        <w:autoSpaceDN w:val="0"/>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附表：</w:t>
      </w:r>
    </w:p>
    <w:p>
      <w:pPr>
        <w:autoSpaceDE w:val="0"/>
        <w:autoSpaceDN w:val="0"/>
        <w:jc w:val="center"/>
        <w:rPr>
          <w:rFonts w:ascii="宋体" w:hAnsi="宋体" w:cs="宋体"/>
          <w:sz w:val="28"/>
          <w:szCs w:val="28"/>
        </w:rPr>
      </w:pPr>
      <w:r>
        <w:rPr>
          <w:rStyle w:val="214"/>
          <w:rFonts w:hint="eastAsia" w:ascii="宋体" w:hAnsi="宋体" w:eastAsia="宋体"/>
          <w:sz w:val="21"/>
          <w:szCs w:val="21"/>
        </w:rPr>
        <w:t>________</w:t>
      </w:r>
      <w:r>
        <w:rPr>
          <w:rFonts w:hint="eastAsia" w:ascii="宋体" w:hAnsi="宋体" w:cs="宋体"/>
          <w:sz w:val="28"/>
          <w:szCs w:val="28"/>
        </w:rPr>
        <w:t>单位使用</w:t>
      </w:r>
      <w:r>
        <w:rPr>
          <w:rStyle w:val="214"/>
          <w:rFonts w:hint="eastAsia" w:ascii="宋体" w:hAnsi="宋体" w:eastAsia="宋体"/>
          <w:sz w:val="21"/>
          <w:szCs w:val="21"/>
        </w:rPr>
        <w:t>____</w:t>
      </w:r>
      <w:r>
        <w:rPr>
          <w:rFonts w:hint="eastAsia" w:ascii="宋体" w:hAnsi="宋体" w:cs="宋体"/>
          <w:sz w:val="28"/>
          <w:szCs w:val="28"/>
        </w:rPr>
        <w:t>年度湛江市水运工程从业单位</w:t>
      </w:r>
    </w:p>
    <w:p>
      <w:pPr>
        <w:autoSpaceDE w:val="0"/>
        <w:autoSpaceDN w:val="0"/>
        <w:jc w:val="center"/>
        <w:rPr>
          <w:rFonts w:ascii="宋体" w:hAnsi="宋体" w:cs="宋体"/>
          <w:sz w:val="28"/>
          <w:szCs w:val="28"/>
        </w:rPr>
      </w:pPr>
      <w:r>
        <w:rPr>
          <w:rFonts w:hint="eastAsia" w:ascii="宋体" w:hAnsi="宋体" w:cs="宋体"/>
          <w:sz w:val="28"/>
          <w:szCs w:val="28"/>
        </w:rPr>
        <w:t>信用等级情况汇总表</w:t>
      </w:r>
    </w:p>
    <w:p>
      <w:pPr>
        <w:autoSpaceDE w:val="0"/>
        <w:autoSpaceDN w:val="0"/>
        <w:jc w:val="center"/>
        <w:rPr>
          <w:rFonts w:ascii="宋体" w:hAnsi="宋体" w:cs="宋体"/>
          <w:sz w:val="28"/>
          <w:szCs w:val="28"/>
        </w:rPr>
      </w:pPr>
    </w:p>
    <w:p>
      <w:pPr>
        <w:autoSpaceDE w:val="0"/>
        <w:autoSpaceDN w:val="0"/>
        <w:jc w:val="center"/>
        <w:rPr>
          <w:rFonts w:ascii="宋体" w:hAnsi="宋体" w:cs="宋体"/>
          <w:sz w:val="28"/>
          <w:szCs w:val="28"/>
        </w:rPr>
      </w:pPr>
    </w:p>
    <w:p>
      <w:pPr>
        <w:autoSpaceDE w:val="0"/>
        <w:autoSpaceDN w:val="0"/>
        <w:rPr>
          <w:rFonts w:ascii="宋体" w:hAnsi="宋体" w:cs="宋体"/>
          <w:szCs w:val="21"/>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pPr>
              <w:autoSpaceDE w:val="0"/>
              <w:autoSpaceDN w:val="0"/>
              <w:jc w:val="center"/>
              <w:rPr>
                <w:rFonts w:ascii="宋体" w:hAnsi="宋体" w:cs="宋体"/>
                <w:szCs w:val="21"/>
              </w:rPr>
            </w:pPr>
            <w:r>
              <w:rPr>
                <w:rFonts w:hint="eastAsia" w:ascii="宋体" w:hAnsi="宋体" w:cs="宋体"/>
                <w:szCs w:val="21"/>
              </w:rPr>
              <w:t>序号</w:t>
            </w:r>
          </w:p>
        </w:tc>
        <w:tc>
          <w:tcPr>
            <w:tcW w:w="2053" w:type="dxa"/>
            <w:vAlign w:val="center"/>
          </w:tcPr>
          <w:p>
            <w:pPr>
              <w:autoSpaceDE w:val="0"/>
              <w:autoSpaceDN w:val="0"/>
              <w:jc w:val="center"/>
              <w:rPr>
                <w:rFonts w:ascii="宋体" w:hAnsi="宋体" w:cs="宋体"/>
                <w:szCs w:val="21"/>
              </w:rPr>
            </w:pPr>
            <w:r>
              <w:rPr>
                <w:rFonts w:hint="eastAsia" w:ascii="宋体" w:hAnsi="宋体" w:cs="宋体"/>
                <w:szCs w:val="21"/>
              </w:rPr>
              <w:t>招标人名称</w:t>
            </w:r>
          </w:p>
        </w:tc>
        <w:tc>
          <w:tcPr>
            <w:tcW w:w="1463" w:type="dxa"/>
            <w:vAlign w:val="center"/>
          </w:tcPr>
          <w:p>
            <w:pPr>
              <w:autoSpaceDE w:val="0"/>
              <w:autoSpaceDN w:val="0"/>
              <w:jc w:val="center"/>
              <w:rPr>
                <w:rFonts w:ascii="宋体" w:hAnsi="宋体" w:cs="宋体"/>
                <w:szCs w:val="21"/>
              </w:rPr>
            </w:pPr>
            <w:r>
              <w:rPr>
                <w:rFonts w:hint="eastAsia" w:ascii="宋体" w:hAnsi="宋体" w:cs="宋体"/>
                <w:szCs w:val="21"/>
              </w:rPr>
              <w:t>标段（标类）名称</w:t>
            </w:r>
          </w:p>
        </w:tc>
        <w:tc>
          <w:tcPr>
            <w:tcW w:w="1626" w:type="dxa"/>
            <w:vAlign w:val="center"/>
          </w:tcPr>
          <w:p>
            <w:pPr>
              <w:autoSpaceDE w:val="0"/>
              <w:autoSpaceDN w:val="0"/>
              <w:jc w:val="center"/>
              <w:rPr>
                <w:rFonts w:ascii="宋体" w:hAnsi="宋体" w:cs="宋体"/>
                <w:szCs w:val="21"/>
              </w:rPr>
            </w:pPr>
            <w:r>
              <w:rPr>
                <w:rFonts w:hint="eastAsia" w:ascii="宋体" w:hAnsi="宋体" w:cs="宋体"/>
                <w:szCs w:val="21"/>
              </w:rPr>
              <w:t>递交文件时间</w:t>
            </w:r>
          </w:p>
          <w:p>
            <w:pPr>
              <w:autoSpaceDE w:val="0"/>
              <w:autoSpaceDN w:val="0"/>
              <w:jc w:val="center"/>
              <w:rPr>
                <w:rFonts w:ascii="宋体" w:hAnsi="宋体" w:cs="宋体"/>
                <w:szCs w:val="21"/>
              </w:rPr>
            </w:pPr>
            <w:r>
              <w:rPr>
                <w:rFonts w:hint="eastAsia" w:ascii="宋体" w:hAnsi="宋体" w:cs="宋体"/>
                <w:szCs w:val="21"/>
              </w:rPr>
              <w:t>（年月日）</w:t>
            </w:r>
          </w:p>
        </w:tc>
        <w:tc>
          <w:tcPr>
            <w:tcW w:w="1581" w:type="dxa"/>
            <w:vAlign w:val="center"/>
          </w:tcPr>
          <w:p>
            <w:pPr>
              <w:autoSpaceDE w:val="0"/>
              <w:autoSpaceDN w:val="0"/>
              <w:jc w:val="center"/>
              <w:rPr>
                <w:rFonts w:ascii="宋体" w:hAnsi="宋体" w:cs="宋体"/>
                <w:szCs w:val="21"/>
              </w:rPr>
            </w:pPr>
            <w:r>
              <w:rPr>
                <w:rFonts w:hint="eastAsia" w:ascii="宋体" w:hAnsi="宋体" w:cs="宋体"/>
                <w:szCs w:val="21"/>
              </w:rPr>
              <w:t>使用信用等级（AA/A）</w:t>
            </w:r>
          </w:p>
        </w:tc>
        <w:tc>
          <w:tcPr>
            <w:tcW w:w="1182" w:type="dxa"/>
            <w:vAlign w:val="center"/>
          </w:tcPr>
          <w:p>
            <w:pPr>
              <w:autoSpaceDE w:val="0"/>
              <w:autoSpaceDN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pPr>
              <w:autoSpaceDE w:val="0"/>
              <w:autoSpaceDN w:val="0"/>
              <w:jc w:val="center"/>
              <w:rPr>
                <w:rFonts w:ascii="宋体" w:hAnsi="宋体" w:cs="宋体"/>
                <w:szCs w:val="21"/>
              </w:rPr>
            </w:pPr>
            <w:r>
              <w:rPr>
                <w:rFonts w:hint="eastAsia" w:ascii="宋体" w:hAnsi="宋体" w:cs="宋体"/>
                <w:szCs w:val="21"/>
              </w:rPr>
              <w:t>1</w:t>
            </w:r>
          </w:p>
        </w:tc>
        <w:tc>
          <w:tcPr>
            <w:tcW w:w="2053" w:type="dxa"/>
          </w:tcPr>
          <w:p>
            <w:pPr>
              <w:autoSpaceDE w:val="0"/>
              <w:autoSpaceDN w:val="0"/>
              <w:rPr>
                <w:rFonts w:ascii="宋体" w:hAnsi="宋体" w:cs="宋体"/>
                <w:szCs w:val="21"/>
              </w:rPr>
            </w:pPr>
          </w:p>
        </w:tc>
        <w:tc>
          <w:tcPr>
            <w:tcW w:w="1463" w:type="dxa"/>
          </w:tcPr>
          <w:p>
            <w:pPr>
              <w:autoSpaceDE w:val="0"/>
              <w:autoSpaceDN w:val="0"/>
              <w:rPr>
                <w:rFonts w:ascii="宋体" w:hAnsi="宋体" w:cs="宋体"/>
                <w:szCs w:val="21"/>
              </w:rPr>
            </w:pPr>
          </w:p>
        </w:tc>
        <w:tc>
          <w:tcPr>
            <w:tcW w:w="1626" w:type="dxa"/>
          </w:tcPr>
          <w:p>
            <w:pPr>
              <w:autoSpaceDE w:val="0"/>
              <w:autoSpaceDN w:val="0"/>
              <w:rPr>
                <w:rFonts w:ascii="宋体" w:hAnsi="宋体" w:cs="宋体"/>
                <w:szCs w:val="21"/>
              </w:rPr>
            </w:pPr>
          </w:p>
        </w:tc>
        <w:tc>
          <w:tcPr>
            <w:tcW w:w="1581" w:type="dxa"/>
          </w:tcPr>
          <w:p>
            <w:pPr>
              <w:autoSpaceDE w:val="0"/>
              <w:autoSpaceDN w:val="0"/>
              <w:rPr>
                <w:rFonts w:ascii="宋体" w:hAnsi="宋体" w:cs="宋体"/>
                <w:szCs w:val="21"/>
              </w:rPr>
            </w:pPr>
          </w:p>
        </w:tc>
        <w:tc>
          <w:tcPr>
            <w:tcW w:w="1182" w:type="dxa"/>
          </w:tcPr>
          <w:p>
            <w:pPr>
              <w:autoSpaceDE w:val="0"/>
              <w:autoSpaceDN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pPr>
              <w:autoSpaceDE w:val="0"/>
              <w:autoSpaceDN w:val="0"/>
              <w:jc w:val="center"/>
              <w:rPr>
                <w:rFonts w:ascii="宋体" w:hAnsi="宋体" w:cs="宋体"/>
                <w:szCs w:val="21"/>
              </w:rPr>
            </w:pPr>
            <w:r>
              <w:rPr>
                <w:rFonts w:hint="eastAsia" w:ascii="宋体" w:hAnsi="宋体" w:cs="宋体"/>
                <w:szCs w:val="21"/>
              </w:rPr>
              <w:t>2</w:t>
            </w:r>
          </w:p>
        </w:tc>
        <w:tc>
          <w:tcPr>
            <w:tcW w:w="2053" w:type="dxa"/>
          </w:tcPr>
          <w:p>
            <w:pPr>
              <w:autoSpaceDE w:val="0"/>
              <w:autoSpaceDN w:val="0"/>
              <w:rPr>
                <w:rFonts w:ascii="宋体" w:hAnsi="宋体" w:cs="宋体"/>
                <w:szCs w:val="21"/>
              </w:rPr>
            </w:pPr>
          </w:p>
        </w:tc>
        <w:tc>
          <w:tcPr>
            <w:tcW w:w="1463" w:type="dxa"/>
          </w:tcPr>
          <w:p>
            <w:pPr>
              <w:autoSpaceDE w:val="0"/>
              <w:autoSpaceDN w:val="0"/>
              <w:rPr>
                <w:rFonts w:ascii="宋体" w:hAnsi="宋体" w:cs="宋体"/>
                <w:szCs w:val="21"/>
              </w:rPr>
            </w:pPr>
          </w:p>
        </w:tc>
        <w:tc>
          <w:tcPr>
            <w:tcW w:w="1626" w:type="dxa"/>
          </w:tcPr>
          <w:p>
            <w:pPr>
              <w:autoSpaceDE w:val="0"/>
              <w:autoSpaceDN w:val="0"/>
              <w:rPr>
                <w:rFonts w:ascii="宋体" w:hAnsi="宋体" w:cs="宋体"/>
                <w:szCs w:val="21"/>
              </w:rPr>
            </w:pPr>
          </w:p>
        </w:tc>
        <w:tc>
          <w:tcPr>
            <w:tcW w:w="1581" w:type="dxa"/>
          </w:tcPr>
          <w:p>
            <w:pPr>
              <w:autoSpaceDE w:val="0"/>
              <w:autoSpaceDN w:val="0"/>
              <w:rPr>
                <w:rFonts w:ascii="宋体" w:hAnsi="宋体" w:cs="宋体"/>
                <w:szCs w:val="21"/>
              </w:rPr>
            </w:pPr>
          </w:p>
        </w:tc>
        <w:tc>
          <w:tcPr>
            <w:tcW w:w="1182" w:type="dxa"/>
          </w:tcPr>
          <w:p>
            <w:pPr>
              <w:autoSpaceDE w:val="0"/>
              <w:autoSpaceDN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tcPr>
          <w:p>
            <w:pPr>
              <w:autoSpaceDE w:val="0"/>
              <w:autoSpaceDN w:val="0"/>
              <w:jc w:val="center"/>
              <w:rPr>
                <w:rFonts w:ascii="宋体" w:hAnsi="宋体" w:cs="宋体"/>
                <w:szCs w:val="21"/>
              </w:rPr>
            </w:pPr>
            <w:r>
              <w:rPr>
                <w:rFonts w:hint="eastAsia" w:ascii="宋体" w:hAnsi="宋体" w:cs="宋体"/>
                <w:szCs w:val="21"/>
              </w:rPr>
              <w:t>3</w:t>
            </w:r>
          </w:p>
        </w:tc>
        <w:tc>
          <w:tcPr>
            <w:tcW w:w="2053" w:type="dxa"/>
          </w:tcPr>
          <w:p>
            <w:pPr>
              <w:autoSpaceDE w:val="0"/>
              <w:autoSpaceDN w:val="0"/>
              <w:rPr>
                <w:rFonts w:ascii="宋体" w:hAnsi="宋体" w:cs="宋体"/>
                <w:szCs w:val="21"/>
              </w:rPr>
            </w:pPr>
          </w:p>
        </w:tc>
        <w:tc>
          <w:tcPr>
            <w:tcW w:w="1463" w:type="dxa"/>
          </w:tcPr>
          <w:p>
            <w:pPr>
              <w:autoSpaceDE w:val="0"/>
              <w:autoSpaceDN w:val="0"/>
              <w:rPr>
                <w:rFonts w:ascii="宋体" w:hAnsi="宋体" w:cs="宋体"/>
                <w:szCs w:val="21"/>
              </w:rPr>
            </w:pPr>
          </w:p>
        </w:tc>
        <w:tc>
          <w:tcPr>
            <w:tcW w:w="1626" w:type="dxa"/>
          </w:tcPr>
          <w:p>
            <w:pPr>
              <w:autoSpaceDE w:val="0"/>
              <w:autoSpaceDN w:val="0"/>
              <w:rPr>
                <w:rFonts w:ascii="宋体" w:hAnsi="宋体" w:cs="宋体"/>
                <w:szCs w:val="21"/>
              </w:rPr>
            </w:pPr>
          </w:p>
        </w:tc>
        <w:tc>
          <w:tcPr>
            <w:tcW w:w="1581" w:type="dxa"/>
          </w:tcPr>
          <w:p>
            <w:pPr>
              <w:autoSpaceDE w:val="0"/>
              <w:autoSpaceDN w:val="0"/>
              <w:rPr>
                <w:rFonts w:ascii="宋体" w:hAnsi="宋体" w:cs="宋体"/>
                <w:szCs w:val="21"/>
              </w:rPr>
            </w:pPr>
          </w:p>
        </w:tc>
        <w:tc>
          <w:tcPr>
            <w:tcW w:w="1182" w:type="dxa"/>
          </w:tcPr>
          <w:p>
            <w:pPr>
              <w:autoSpaceDE w:val="0"/>
              <w:autoSpaceDN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pPr>
              <w:autoSpaceDE w:val="0"/>
              <w:autoSpaceDN w:val="0"/>
              <w:jc w:val="center"/>
              <w:rPr>
                <w:rFonts w:ascii="宋体" w:hAnsi="宋体" w:cs="宋体"/>
                <w:szCs w:val="21"/>
              </w:rPr>
            </w:pPr>
            <w:r>
              <w:rPr>
                <w:rFonts w:hint="eastAsia" w:ascii="宋体" w:hAnsi="宋体" w:cs="宋体"/>
                <w:szCs w:val="21"/>
              </w:rPr>
              <w:t>4</w:t>
            </w:r>
          </w:p>
        </w:tc>
        <w:tc>
          <w:tcPr>
            <w:tcW w:w="2053" w:type="dxa"/>
          </w:tcPr>
          <w:p>
            <w:pPr>
              <w:autoSpaceDE w:val="0"/>
              <w:autoSpaceDN w:val="0"/>
              <w:rPr>
                <w:rFonts w:ascii="宋体" w:hAnsi="宋体" w:cs="宋体"/>
                <w:szCs w:val="21"/>
              </w:rPr>
            </w:pPr>
          </w:p>
        </w:tc>
        <w:tc>
          <w:tcPr>
            <w:tcW w:w="1463" w:type="dxa"/>
          </w:tcPr>
          <w:p>
            <w:pPr>
              <w:autoSpaceDE w:val="0"/>
              <w:autoSpaceDN w:val="0"/>
              <w:rPr>
                <w:rFonts w:ascii="宋体" w:hAnsi="宋体" w:cs="宋体"/>
                <w:szCs w:val="21"/>
              </w:rPr>
            </w:pPr>
          </w:p>
        </w:tc>
        <w:tc>
          <w:tcPr>
            <w:tcW w:w="1626" w:type="dxa"/>
          </w:tcPr>
          <w:p>
            <w:pPr>
              <w:autoSpaceDE w:val="0"/>
              <w:autoSpaceDN w:val="0"/>
              <w:rPr>
                <w:rFonts w:ascii="宋体" w:hAnsi="宋体" w:cs="宋体"/>
                <w:szCs w:val="21"/>
              </w:rPr>
            </w:pPr>
          </w:p>
        </w:tc>
        <w:tc>
          <w:tcPr>
            <w:tcW w:w="1581" w:type="dxa"/>
          </w:tcPr>
          <w:p>
            <w:pPr>
              <w:autoSpaceDE w:val="0"/>
              <w:autoSpaceDN w:val="0"/>
              <w:rPr>
                <w:rFonts w:ascii="宋体" w:hAnsi="宋体" w:cs="宋体"/>
                <w:szCs w:val="21"/>
              </w:rPr>
            </w:pPr>
          </w:p>
        </w:tc>
        <w:tc>
          <w:tcPr>
            <w:tcW w:w="1182" w:type="dxa"/>
          </w:tcPr>
          <w:p>
            <w:pPr>
              <w:autoSpaceDE w:val="0"/>
              <w:autoSpaceDN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pPr>
              <w:autoSpaceDE w:val="0"/>
              <w:autoSpaceDN w:val="0"/>
              <w:jc w:val="center"/>
              <w:rPr>
                <w:rFonts w:ascii="宋体" w:hAnsi="宋体" w:cs="宋体"/>
                <w:szCs w:val="21"/>
              </w:rPr>
            </w:pPr>
            <w:r>
              <w:rPr>
                <w:rFonts w:hint="eastAsia" w:ascii="宋体" w:hAnsi="宋体" w:cs="宋体"/>
                <w:szCs w:val="21"/>
              </w:rPr>
              <w:t>5</w:t>
            </w:r>
          </w:p>
        </w:tc>
        <w:tc>
          <w:tcPr>
            <w:tcW w:w="2053" w:type="dxa"/>
          </w:tcPr>
          <w:p>
            <w:pPr>
              <w:autoSpaceDE w:val="0"/>
              <w:autoSpaceDN w:val="0"/>
              <w:rPr>
                <w:rFonts w:ascii="宋体" w:hAnsi="宋体" w:cs="宋体"/>
                <w:szCs w:val="21"/>
              </w:rPr>
            </w:pPr>
          </w:p>
        </w:tc>
        <w:tc>
          <w:tcPr>
            <w:tcW w:w="1463" w:type="dxa"/>
          </w:tcPr>
          <w:p>
            <w:pPr>
              <w:autoSpaceDE w:val="0"/>
              <w:autoSpaceDN w:val="0"/>
              <w:rPr>
                <w:rFonts w:ascii="宋体" w:hAnsi="宋体" w:cs="宋体"/>
                <w:szCs w:val="21"/>
              </w:rPr>
            </w:pPr>
          </w:p>
        </w:tc>
        <w:tc>
          <w:tcPr>
            <w:tcW w:w="1626" w:type="dxa"/>
          </w:tcPr>
          <w:p>
            <w:pPr>
              <w:autoSpaceDE w:val="0"/>
              <w:autoSpaceDN w:val="0"/>
              <w:rPr>
                <w:rFonts w:ascii="宋体" w:hAnsi="宋体" w:cs="宋体"/>
                <w:szCs w:val="21"/>
              </w:rPr>
            </w:pPr>
          </w:p>
        </w:tc>
        <w:tc>
          <w:tcPr>
            <w:tcW w:w="1581" w:type="dxa"/>
          </w:tcPr>
          <w:p>
            <w:pPr>
              <w:autoSpaceDE w:val="0"/>
              <w:autoSpaceDN w:val="0"/>
              <w:rPr>
                <w:rFonts w:ascii="宋体" w:hAnsi="宋体" w:cs="宋体"/>
                <w:szCs w:val="21"/>
              </w:rPr>
            </w:pPr>
          </w:p>
        </w:tc>
        <w:tc>
          <w:tcPr>
            <w:tcW w:w="1182" w:type="dxa"/>
          </w:tcPr>
          <w:p>
            <w:pPr>
              <w:autoSpaceDE w:val="0"/>
              <w:autoSpaceDN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pPr>
              <w:autoSpaceDE w:val="0"/>
              <w:autoSpaceDN w:val="0"/>
              <w:jc w:val="center"/>
              <w:rPr>
                <w:rFonts w:ascii="宋体" w:hAnsi="宋体" w:cs="宋体"/>
                <w:szCs w:val="21"/>
              </w:rPr>
            </w:pPr>
            <w:r>
              <w:rPr>
                <w:rFonts w:hint="eastAsia" w:ascii="宋体" w:hAnsi="宋体" w:cs="宋体"/>
                <w:szCs w:val="21"/>
              </w:rPr>
              <w:t>6</w:t>
            </w:r>
          </w:p>
        </w:tc>
        <w:tc>
          <w:tcPr>
            <w:tcW w:w="2053" w:type="dxa"/>
          </w:tcPr>
          <w:p>
            <w:pPr>
              <w:autoSpaceDE w:val="0"/>
              <w:autoSpaceDN w:val="0"/>
              <w:rPr>
                <w:rFonts w:ascii="宋体" w:hAnsi="宋体" w:cs="宋体"/>
                <w:szCs w:val="21"/>
              </w:rPr>
            </w:pPr>
          </w:p>
        </w:tc>
        <w:tc>
          <w:tcPr>
            <w:tcW w:w="1463" w:type="dxa"/>
          </w:tcPr>
          <w:p>
            <w:pPr>
              <w:autoSpaceDE w:val="0"/>
              <w:autoSpaceDN w:val="0"/>
              <w:rPr>
                <w:rFonts w:ascii="宋体" w:hAnsi="宋体" w:cs="宋体"/>
                <w:szCs w:val="21"/>
              </w:rPr>
            </w:pPr>
          </w:p>
        </w:tc>
        <w:tc>
          <w:tcPr>
            <w:tcW w:w="1626" w:type="dxa"/>
          </w:tcPr>
          <w:p>
            <w:pPr>
              <w:autoSpaceDE w:val="0"/>
              <w:autoSpaceDN w:val="0"/>
              <w:rPr>
                <w:rFonts w:ascii="宋体" w:hAnsi="宋体" w:cs="宋体"/>
                <w:szCs w:val="21"/>
              </w:rPr>
            </w:pPr>
          </w:p>
        </w:tc>
        <w:tc>
          <w:tcPr>
            <w:tcW w:w="1581" w:type="dxa"/>
          </w:tcPr>
          <w:p>
            <w:pPr>
              <w:autoSpaceDE w:val="0"/>
              <w:autoSpaceDN w:val="0"/>
              <w:rPr>
                <w:rFonts w:ascii="宋体" w:hAnsi="宋体" w:cs="宋体"/>
                <w:szCs w:val="21"/>
              </w:rPr>
            </w:pPr>
          </w:p>
        </w:tc>
        <w:tc>
          <w:tcPr>
            <w:tcW w:w="1182" w:type="dxa"/>
          </w:tcPr>
          <w:p>
            <w:pPr>
              <w:autoSpaceDE w:val="0"/>
              <w:autoSpaceDN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tcPr>
          <w:p>
            <w:pPr>
              <w:autoSpaceDE w:val="0"/>
              <w:autoSpaceDN w:val="0"/>
              <w:jc w:val="center"/>
              <w:rPr>
                <w:rFonts w:ascii="宋体" w:hAnsi="宋体" w:cs="宋体"/>
                <w:szCs w:val="21"/>
              </w:rPr>
            </w:pPr>
            <w:r>
              <w:rPr>
                <w:rFonts w:hint="eastAsia" w:ascii="宋体" w:hAnsi="宋体" w:cs="宋体"/>
                <w:szCs w:val="21"/>
              </w:rPr>
              <w:t>7</w:t>
            </w:r>
          </w:p>
        </w:tc>
        <w:tc>
          <w:tcPr>
            <w:tcW w:w="2053" w:type="dxa"/>
          </w:tcPr>
          <w:p>
            <w:pPr>
              <w:autoSpaceDE w:val="0"/>
              <w:autoSpaceDN w:val="0"/>
              <w:rPr>
                <w:rFonts w:ascii="宋体" w:hAnsi="宋体" w:cs="宋体"/>
                <w:szCs w:val="21"/>
              </w:rPr>
            </w:pPr>
          </w:p>
        </w:tc>
        <w:tc>
          <w:tcPr>
            <w:tcW w:w="1463" w:type="dxa"/>
          </w:tcPr>
          <w:p>
            <w:pPr>
              <w:autoSpaceDE w:val="0"/>
              <w:autoSpaceDN w:val="0"/>
              <w:rPr>
                <w:rFonts w:ascii="宋体" w:hAnsi="宋体" w:cs="宋体"/>
                <w:szCs w:val="21"/>
              </w:rPr>
            </w:pPr>
          </w:p>
        </w:tc>
        <w:tc>
          <w:tcPr>
            <w:tcW w:w="1626" w:type="dxa"/>
          </w:tcPr>
          <w:p>
            <w:pPr>
              <w:autoSpaceDE w:val="0"/>
              <w:autoSpaceDN w:val="0"/>
              <w:rPr>
                <w:rFonts w:ascii="宋体" w:hAnsi="宋体" w:cs="宋体"/>
                <w:szCs w:val="21"/>
              </w:rPr>
            </w:pPr>
          </w:p>
        </w:tc>
        <w:tc>
          <w:tcPr>
            <w:tcW w:w="1581" w:type="dxa"/>
          </w:tcPr>
          <w:p>
            <w:pPr>
              <w:autoSpaceDE w:val="0"/>
              <w:autoSpaceDN w:val="0"/>
              <w:rPr>
                <w:rFonts w:ascii="宋体" w:hAnsi="宋体" w:cs="宋体"/>
                <w:szCs w:val="21"/>
              </w:rPr>
            </w:pPr>
          </w:p>
        </w:tc>
        <w:tc>
          <w:tcPr>
            <w:tcW w:w="1182" w:type="dxa"/>
          </w:tcPr>
          <w:p>
            <w:pPr>
              <w:autoSpaceDE w:val="0"/>
              <w:autoSpaceDN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pPr>
              <w:autoSpaceDE w:val="0"/>
              <w:autoSpaceDN w:val="0"/>
              <w:jc w:val="center"/>
              <w:rPr>
                <w:rFonts w:ascii="宋体" w:hAnsi="宋体" w:cs="宋体"/>
                <w:szCs w:val="21"/>
              </w:rPr>
            </w:pPr>
            <w:r>
              <w:rPr>
                <w:rFonts w:hint="eastAsia" w:ascii="宋体" w:hAnsi="宋体" w:cs="宋体"/>
                <w:szCs w:val="21"/>
              </w:rPr>
              <w:t>8</w:t>
            </w:r>
          </w:p>
        </w:tc>
        <w:tc>
          <w:tcPr>
            <w:tcW w:w="2053" w:type="dxa"/>
          </w:tcPr>
          <w:p>
            <w:pPr>
              <w:autoSpaceDE w:val="0"/>
              <w:autoSpaceDN w:val="0"/>
              <w:rPr>
                <w:rFonts w:ascii="宋体" w:hAnsi="宋体" w:cs="宋体"/>
                <w:szCs w:val="21"/>
              </w:rPr>
            </w:pPr>
          </w:p>
        </w:tc>
        <w:tc>
          <w:tcPr>
            <w:tcW w:w="1463" w:type="dxa"/>
          </w:tcPr>
          <w:p>
            <w:pPr>
              <w:autoSpaceDE w:val="0"/>
              <w:autoSpaceDN w:val="0"/>
              <w:rPr>
                <w:rFonts w:ascii="宋体" w:hAnsi="宋体" w:cs="宋体"/>
                <w:szCs w:val="21"/>
              </w:rPr>
            </w:pPr>
          </w:p>
        </w:tc>
        <w:tc>
          <w:tcPr>
            <w:tcW w:w="1626" w:type="dxa"/>
          </w:tcPr>
          <w:p>
            <w:pPr>
              <w:autoSpaceDE w:val="0"/>
              <w:autoSpaceDN w:val="0"/>
              <w:rPr>
                <w:rFonts w:ascii="宋体" w:hAnsi="宋体" w:cs="宋体"/>
                <w:szCs w:val="21"/>
              </w:rPr>
            </w:pPr>
          </w:p>
        </w:tc>
        <w:tc>
          <w:tcPr>
            <w:tcW w:w="1581" w:type="dxa"/>
          </w:tcPr>
          <w:p>
            <w:pPr>
              <w:autoSpaceDE w:val="0"/>
              <w:autoSpaceDN w:val="0"/>
              <w:rPr>
                <w:rFonts w:ascii="宋体" w:hAnsi="宋体" w:cs="宋体"/>
                <w:szCs w:val="21"/>
              </w:rPr>
            </w:pPr>
          </w:p>
        </w:tc>
        <w:tc>
          <w:tcPr>
            <w:tcW w:w="1182" w:type="dxa"/>
          </w:tcPr>
          <w:p>
            <w:pPr>
              <w:autoSpaceDE w:val="0"/>
              <w:autoSpaceDN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pPr>
              <w:autoSpaceDE w:val="0"/>
              <w:autoSpaceDN w:val="0"/>
              <w:jc w:val="center"/>
              <w:rPr>
                <w:rFonts w:ascii="宋体" w:hAnsi="宋体" w:cs="宋体"/>
                <w:szCs w:val="21"/>
              </w:rPr>
            </w:pPr>
            <w:r>
              <w:rPr>
                <w:rFonts w:hint="eastAsia" w:ascii="宋体" w:hAnsi="宋体" w:cs="宋体"/>
                <w:szCs w:val="21"/>
              </w:rPr>
              <w:t>...</w:t>
            </w:r>
          </w:p>
        </w:tc>
        <w:tc>
          <w:tcPr>
            <w:tcW w:w="2053" w:type="dxa"/>
          </w:tcPr>
          <w:p>
            <w:pPr>
              <w:autoSpaceDE w:val="0"/>
              <w:autoSpaceDN w:val="0"/>
              <w:rPr>
                <w:rFonts w:ascii="宋体" w:hAnsi="宋体" w:cs="宋体"/>
                <w:szCs w:val="21"/>
              </w:rPr>
            </w:pPr>
          </w:p>
        </w:tc>
        <w:tc>
          <w:tcPr>
            <w:tcW w:w="1463" w:type="dxa"/>
          </w:tcPr>
          <w:p>
            <w:pPr>
              <w:autoSpaceDE w:val="0"/>
              <w:autoSpaceDN w:val="0"/>
              <w:rPr>
                <w:rFonts w:ascii="宋体" w:hAnsi="宋体" w:cs="宋体"/>
                <w:szCs w:val="21"/>
              </w:rPr>
            </w:pPr>
          </w:p>
        </w:tc>
        <w:tc>
          <w:tcPr>
            <w:tcW w:w="1626" w:type="dxa"/>
          </w:tcPr>
          <w:p>
            <w:pPr>
              <w:autoSpaceDE w:val="0"/>
              <w:autoSpaceDN w:val="0"/>
              <w:rPr>
                <w:rFonts w:ascii="宋体" w:hAnsi="宋体" w:cs="宋体"/>
                <w:szCs w:val="21"/>
              </w:rPr>
            </w:pPr>
          </w:p>
        </w:tc>
        <w:tc>
          <w:tcPr>
            <w:tcW w:w="1581" w:type="dxa"/>
          </w:tcPr>
          <w:p>
            <w:pPr>
              <w:autoSpaceDE w:val="0"/>
              <w:autoSpaceDN w:val="0"/>
              <w:rPr>
                <w:rFonts w:ascii="宋体" w:hAnsi="宋体" w:cs="宋体"/>
                <w:szCs w:val="21"/>
              </w:rPr>
            </w:pPr>
          </w:p>
        </w:tc>
        <w:tc>
          <w:tcPr>
            <w:tcW w:w="1182" w:type="dxa"/>
          </w:tcPr>
          <w:p>
            <w:pPr>
              <w:autoSpaceDE w:val="0"/>
              <w:autoSpaceDN w:val="0"/>
              <w:rPr>
                <w:rFonts w:ascii="宋体" w:hAnsi="宋体" w:cs="宋体"/>
                <w:szCs w:val="21"/>
              </w:rPr>
            </w:pPr>
          </w:p>
        </w:tc>
      </w:tr>
    </w:tbl>
    <w:p>
      <w:pPr>
        <w:spacing w:line="400" w:lineRule="atLeast"/>
        <w:rPr>
          <w:rFonts w:ascii="宋体" w:hAnsi="宋体" w:cs="宋体"/>
          <w:szCs w:val="21"/>
        </w:rPr>
      </w:pPr>
      <w:r>
        <w:rPr>
          <w:rFonts w:hint="eastAsia" w:ascii="宋体" w:hAnsi="宋体" w:cs="宋体"/>
          <w:szCs w:val="21"/>
        </w:rPr>
        <w:t>备注：1、应如实填报信用评价等级使用情况。</w:t>
      </w:r>
    </w:p>
    <w:p>
      <w:pPr>
        <w:spacing w:line="400" w:lineRule="atLeast"/>
        <w:ind w:firstLine="630" w:firstLineChars="300"/>
        <w:rPr>
          <w:rFonts w:ascii="宋体" w:hAnsi="宋体" w:cs="宋体"/>
          <w:szCs w:val="21"/>
        </w:rPr>
      </w:pPr>
      <w:r>
        <w:rPr>
          <w:rFonts w:hint="eastAsia" w:ascii="宋体" w:hAnsi="宋体" w:cs="宋体"/>
          <w:szCs w:val="21"/>
        </w:rPr>
        <w:t>2、以联合体形式投标的，联合体各成员应分别填写。</w:t>
      </w:r>
    </w:p>
    <w:p>
      <w:pPr>
        <w:spacing w:line="560" w:lineRule="exact"/>
        <w:ind w:left="600"/>
        <w:rPr>
          <w:rFonts w:ascii="宋体" w:hAnsi="宋体"/>
        </w:rPr>
      </w:pPr>
    </w:p>
    <w:p>
      <w:pPr>
        <w:spacing w:line="560" w:lineRule="exact"/>
        <w:ind w:left="600"/>
        <w:rPr>
          <w:rFonts w:ascii="宋体" w:hAnsi="宋体"/>
        </w:rPr>
      </w:pPr>
    </w:p>
    <w:p>
      <w:pPr>
        <w:spacing w:line="560" w:lineRule="exact"/>
        <w:ind w:left="600"/>
        <w:rPr>
          <w:rFonts w:ascii="宋体" w:hAnsi="宋体"/>
        </w:rPr>
      </w:pPr>
    </w:p>
    <w:p>
      <w:pPr>
        <w:spacing w:line="560" w:lineRule="exact"/>
        <w:ind w:left="600"/>
        <w:rPr>
          <w:rStyle w:val="234"/>
          <w:rFonts w:ascii="宋体" w:hAnsi="宋体" w:eastAsia="宋体" w:cs="Times New Roman"/>
        </w:rPr>
        <w:sectPr>
          <w:footerReference r:id="rId25" w:type="default"/>
          <w:footnotePr>
            <w:numRestart w:val="eachPage"/>
          </w:footnotePr>
          <w:pgSz w:w="11905" w:h="16838"/>
          <w:pgMar w:top="1803" w:right="1440" w:bottom="1803" w:left="1440" w:header="851" w:footer="850" w:gutter="0"/>
          <w:cols w:space="0" w:num="1"/>
          <w:docGrid w:linePitch="312" w:charSpace="0"/>
        </w:sectPr>
      </w:pPr>
    </w:p>
    <w:p>
      <w:pPr>
        <w:spacing w:line="360" w:lineRule="auto"/>
        <w:jc w:val="center"/>
        <w:rPr>
          <w:rFonts w:ascii="宋体" w:hAnsi="宋体" w:cs="宋体"/>
          <w:bCs/>
          <w:sz w:val="28"/>
          <w:szCs w:val="28"/>
        </w:rPr>
      </w:pPr>
      <w:r>
        <w:rPr>
          <w:rFonts w:hint="eastAsia" w:ascii="宋体" w:hAnsi="宋体" w:cs="宋体"/>
          <w:b/>
          <w:sz w:val="28"/>
          <w:szCs w:val="28"/>
        </w:rPr>
        <w:t>七-2、投标人的自评分表</w:t>
      </w:r>
    </w:p>
    <w:p>
      <w:pPr>
        <w:tabs>
          <w:tab w:val="left" w:pos="3060"/>
        </w:tabs>
        <w:topLinePunct/>
        <w:spacing w:line="360" w:lineRule="auto"/>
        <w:rPr>
          <w:rFonts w:ascii="宋体" w:hAnsi="宋体"/>
          <w:bCs/>
          <w:sz w:val="28"/>
          <w:szCs w:val="28"/>
        </w:rPr>
      </w:pPr>
    </w:p>
    <w:tbl>
      <w:tblPr>
        <w:tblStyle w:val="4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797"/>
        <w:gridCol w:w="1224"/>
        <w:gridCol w:w="1410"/>
        <w:gridCol w:w="1026"/>
        <w:gridCol w:w="1170"/>
        <w:gridCol w:w="1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39" w:hRule="atLeast"/>
          <w:jc w:val="center"/>
        </w:trPr>
        <w:tc>
          <w:tcPr>
            <w:tcW w:w="682" w:type="dxa"/>
            <w:vAlign w:val="center"/>
          </w:tcPr>
          <w:p>
            <w:pPr>
              <w:adjustRightInd w:val="0"/>
              <w:snapToGrid w:val="0"/>
              <w:spacing w:line="360" w:lineRule="auto"/>
              <w:jc w:val="center"/>
              <w:rPr>
                <w:rFonts w:ascii="宋体" w:hAnsi="宋体"/>
                <w:bCs/>
                <w:szCs w:val="21"/>
              </w:rPr>
            </w:pPr>
            <w:r>
              <w:rPr>
                <w:rFonts w:hint="eastAsia" w:ascii="宋体" w:hAnsi="宋体" w:cs="宋体"/>
                <w:bCs/>
                <w:szCs w:val="21"/>
              </w:rPr>
              <w:t>序号</w:t>
            </w:r>
          </w:p>
        </w:tc>
        <w:tc>
          <w:tcPr>
            <w:tcW w:w="1797" w:type="dxa"/>
            <w:vAlign w:val="center"/>
          </w:tcPr>
          <w:p>
            <w:pPr>
              <w:adjustRightInd w:val="0"/>
              <w:snapToGrid w:val="0"/>
              <w:spacing w:line="360" w:lineRule="auto"/>
              <w:jc w:val="center"/>
              <w:rPr>
                <w:rFonts w:ascii="宋体" w:hAnsi="宋体"/>
                <w:bCs/>
                <w:szCs w:val="21"/>
              </w:rPr>
            </w:pPr>
            <w:r>
              <w:rPr>
                <w:rFonts w:hint="eastAsia" w:ascii="宋体" w:hAnsi="宋体" w:cs="宋体"/>
                <w:bCs/>
                <w:szCs w:val="21"/>
              </w:rPr>
              <w:t>评分因素</w:t>
            </w:r>
          </w:p>
        </w:tc>
        <w:tc>
          <w:tcPr>
            <w:tcW w:w="1224" w:type="dxa"/>
            <w:vAlign w:val="center"/>
          </w:tcPr>
          <w:p>
            <w:pPr>
              <w:adjustRightInd w:val="0"/>
              <w:snapToGrid w:val="0"/>
              <w:spacing w:line="360" w:lineRule="auto"/>
              <w:jc w:val="center"/>
              <w:rPr>
                <w:rFonts w:ascii="宋体" w:hAnsi="宋体"/>
                <w:bCs/>
                <w:szCs w:val="21"/>
              </w:rPr>
            </w:pPr>
            <w:r>
              <w:rPr>
                <w:rFonts w:hint="eastAsia" w:ascii="宋体" w:hAnsi="宋体" w:cs="宋体"/>
                <w:bCs/>
                <w:szCs w:val="21"/>
              </w:rPr>
              <w:t>满分</w:t>
            </w:r>
          </w:p>
        </w:tc>
        <w:tc>
          <w:tcPr>
            <w:tcW w:w="1410" w:type="dxa"/>
            <w:tcBorders>
              <w:right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cs="宋体"/>
                <w:bCs/>
                <w:szCs w:val="21"/>
              </w:rPr>
              <w:t>评分标准</w:t>
            </w:r>
          </w:p>
        </w:tc>
        <w:tc>
          <w:tcPr>
            <w:tcW w:w="1026"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cs="宋体"/>
                <w:bCs/>
                <w:szCs w:val="21"/>
              </w:rPr>
              <w:t>自评分</w:t>
            </w:r>
          </w:p>
        </w:tc>
        <w:tc>
          <w:tcPr>
            <w:tcW w:w="1170"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cs="宋体"/>
                <w:bCs/>
                <w:szCs w:val="21"/>
              </w:rPr>
              <w:t>评分情况说明</w:t>
            </w:r>
          </w:p>
        </w:tc>
        <w:tc>
          <w:tcPr>
            <w:tcW w:w="1314" w:type="dxa"/>
            <w:tcBorders>
              <w:left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cs="宋体"/>
                <w:bCs/>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vAlign w:val="center"/>
          </w:tcPr>
          <w:p>
            <w:pPr>
              <w:adjustRightInd w:val="0"/>
              <w:snapToGrid w:val="0"/>
              <w:spacing w:line="360" w:lineRule="auto"/>
              <w:jc w:val="center"/>
              <w:rPr>
                <w:rFonts w:ascii="宋体" w:hAnsi="宋体"/>
                <w:bCs/>
                <w:szCs w:val="21"/>
              </w:rPr>
            </w:pPr>
          </w:p>
        </w:tc>
        <w:tc>
          <w:tcPr>
            <w:tcW w:w="1797" w:type="dxa"/>
            <w:vAlign w:val="center"/>
          </w:tcPr>
          <w:p>
            <w:pPr>
              <w:adjustRightInd w:val="0"/>
              <w:snapToGrid w:val="0"/>
              <w:spacing w:line="360" w:lineRule="auto"/>
              <w:jc w:val="center"/>
              <w:rPr>
                <w:rFonts w:ascii="宋体" w:hAnsi="宋体"/>
                <w:bCs/>
                <w:szCs w:val="21"/>
              </w:rPr>
            </w:pPr>
          </w:p>
        </w:tc>
        <w:tc>
          <w:tcPr>
            <w:tcW w:w="1224" w:type="dxa"/>
            <w:vAlign w:val="center"/>
          </w:tcPr>
          <w:p>
            <w:pPr>
              <w:adjustRightInd w:val="0"/>
              <w:snapToGrid w:val="0"/>
              <w:spacing w:line="360" w:lineRule="auto"/>
              <w:jc w:val="center"/>
              <w:rPr>
                <w:rFonts w:ascii="宋体" w:hAnsi="宋体"/>
                <w:bCs/>
                <w:szCs w:val="21"/>
              </w:rPr>
            </w:pPr>
          </w:p>
        </w:tc>
        <w:tc>
          <w:tcPr>
            <w:tcW w:w="1410" w:type="dxa"/>
            <w:tcBorders>
              <w:right w:val="single" w:color="auto" w:sz="4" w:space="0"/>
            </w:tcBorders>
            <w:vAlign w:val="center"/>
          </w:tcPr>
          <w:p>
            <w:pPr>
              <w:adjustRightInd w:val="0"/>
              <w:snapToGrid w:val="0"/>
              <w:spacing w:line="360" w:lineRule="auto"/>
              <w:rPr>
                <w:rFonts w:ascii="宋体" w:hAnsi="宋体"/>
                <w:bCs/>
                <w:szCs w:val="21"/>
              </w:rPr>
            </w:pPr>
          </w:p>
        </w:tc>
        <w:tc>
          <w:tcPr>
            <w:tcW w:w="1026" w:type="dxa"/>
            <w:tcBorders>
              <w:left w:val="single" w:color="auto" w:sz="4" w:space="0"/>
              <w:right w:val="single" w:color="auto" w:sz="4" w:space="0"/>
            </w:tcBorders>
            <w:vAlign w:val="center"/>
          </w:tcPr>
          <w:p>
            <w:pPr>
              <w:adjustRightInd w:val="0"/>
              <w:snapToGrid w:val="0"/>
              <w:spacing w:line="360" w:lineRule="auto"/>
              <w:rPr>
                <w:rFonts w:ascii="宋体" w:hAnsi="宋体"/>
                <w:bCs/>
                <w:szCs w:val="21"/>
              </w:rPr>
            </w:pPr>
          </w:p>
        </w:tc>
        <w:tc>
          <w:tcPr>
            <w:tcW w:w="1170" w:type="dxa"/>
            <w:tcBorders>
              <w:left w:val="single" w:color="auto" w:sz="4" w:space="0"/>
              <w:right w:val="single" w:color="auto" w:sz="4" w:space="0"/>
            </w:tcBorders>
            <w:vAlign w:val="center"/>
          </w:tcPr>
          <w:p>
            <w:pPr>
              <w:adjustRightInd w:val="0"/>
              <w:snapToGrid w:val="0"/>
              <w:spacing w:line="360" w:lineRule="auto"/>
              <w:rPr>
                <w:rFonts w:ascii="宋体" w:hAnsi="宋体"/>
                <w:bCs/>
                <w:szCs w:val="21"/>
              </w:rPr>
            </w:pPr>
          </w:p>
        </w:tc>
        <w:tc>
          <w:tcPr>
            <w:tcW w:w="1314" w:type="dxa"/>
            <w:tcBorders>
              <w:left w:val="single" w:color="auto" w:sz="4" w:space="0"/>
            </w:tcBorders>
            <w:vAlign w:val="center"/>
          </w:tcPr>
          <w:p>
            <w:pPr>
              <w:adjustRightInd w:val="0"/>
              <w:snapToGrid w:val="0"/>
              <w:spacing w:line="360" w:lineRule="auto"/>
              <w:rPr>
                <w:rFonts w:ascii="宋体" w:hAnsi="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vAlign w:val="center"/>
          </w:tcPr>
          <w:p>
            <w:pPr>
              <w:rPr>
                <w:rFonts w:ascii="宋体" w:hAnsi="宋体"/>
                <w:bCs/>
                <w:szCs w:val="21"/>
              </w:rPr>
            </w:pPr>
          </w:p>
        </w:tc>
        <w:tc>
          <w:tcPr>
            <w:tcW w:w="1797" w:type="dxa"/>
            <w:vAlign w:val="center"/>
          </w:tcPr>
          <w:p>
            <w:pPr>
              <w:rPr>
                <w:rFonts w:ascii="宋体" w:hAnsi="宋体"/>
                <w:bCs/>
                <w:szCs w:val="21"/>
              </w:rPr>
            </w:pPr>
          </w:p>
        </w:tc>
        <w:tc>
          <w:tcPr>
            <w:tcW w:w="1224" w:type="dxa"/>
            <w:vAlign w:val="center"/>
          </w:tcPr>
          <w:p>
            <w:pPr>
              <w:rPr>
                <w:rFonts w:ascii="宋体" w:hAnsi="宋体"/>
                <w:bCs/>
                <w:szCs w:val="21"/>
              </w:rPr>
            </w:pPr>
          </w:p>
        </w:tc>
        <w:tc>
          <w:tcPr>
            <w:tcW w:w="1410" w:type="dxa"/>
            <w:tcBorders>
              <w:right w:val="single" w:color="auto" w:sz="4" w:space="0"/>
            </w:tcBorders>
            <w:vAlign w:val="center"/>
          </w:tcPr>
          <w:p>
            <w:pPr>
              <w:adjustRightInd w:val="0"/>
              <w:snapToGrid w:val="0"/>
              <w:spacing w:line="360" w:lineRule="auto"/>
              <w:ind w:firstLine="105" w:firstLineChars="50"/>
              <w:rPr>
                <w:rFonts w:ascii="宋体" w:hAnsi="宋体"/>
                <w:bCs/>
                <w:szCs w:val="21"/>
              </w:rPr>
            </w:pPr>
          </w:p>
        </w:tc>
        <w:tc>
          <w:tcPr>
            <w:tcW w:w="1026"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szCs w:val="21"/>
              </w:rPr>
            </w:pPr>
          </w:p>
        </w:tc>
        <w:tc>
          <w:tcPr>
            <w:tcW w:w="1170"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szCs w:val="21"/>
              </w:rPr>
            </w:pPr>
          </w:p>
        </w:tc>
        <w:tc>
          <w:tcPr>
            <w:tcW w:w="1314" w:type="dxa"/>
            <w:tcBorders>
              <w:left w:val="single" w:color="auto" w:sz="4" w:space="0"/>
            </w:tcBorders>
            <w:vAlign w:val="center"/>
          </w:tcPr>
          <w:p>
            <w:pPr>
              <w:adjustRightInd w:val="0"/>
              <w:snapToGrid w:val="0"/>
              <w:spacing w:line="360" w:lineRule="auto"/>
              <w:ind w:firstLine="105" w:firstLineChars="50"/>
              <w:rPr>
                <w:rFonts w:ascii="宋体" w:hAnsi="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2" w:type="dxa"/>
            <w:vAlign w:val="center"/>
          </w:tcPr>
          <w:p>
            <w:pPr>
              <w:adjustRightInd w:val="0"/>
              <w:snapToGrid w:val="0"/>
              <w:spacing w:line="360" w:lineRule="auto"/>
              <w:jc w:val="center"/>
              <w:rPr>
                <w:rFonts w:ascii="宋体" w:hAnsi="宋体"/>
                <w:bCs/>
                <w:szCs w:val="21"/>
              </w:rPr>
            </w:pPr>
          </w:p>
        </w:tc>
        <w:tc>
          <w:tcPr>
            <w:tcW w:w="1797" w:type="dxa"/>
            <w:vAlign w:val="center"/>
          </w:tcPr>
          <w:p>
            <w:pPr>
              <w:adjustRightInd w:val="0"/>
              <w:snapToGrid w:val="0"/>
              <w:spacing w:line="360" w:lineRule="auto"/>
              <w:rPr>
                <w:rFonts w:ascii="宋体" w:hAnsi="宋体"/>
                <w:bCs/>
                <w:szCs w:val="21"/>
              </w:rPr>
            </w:pPr>
          </w:p>
        </w:tc>
        <w:tc>
          <w:tcPr>
            <w:tcW w:w="1224" w:type="dxa"/>
            <w:vAlign w:val="center"/>
          </w:tcPr>
          <w:p>
            <w:pPr>
              <w:adjustRightInd w:val="0"/>
              <w:snapToGrid w:val="0"/>
              <w:spacing w:line="360" w:lineRule="auto"/>
              <w:jc w:val="center"/>
              <w:rPr>
                <w:rFonts w:ascii="宋体" w:hAnsi="宋体"/>
                <w:bCs/>
                <w:szCs w:val="21"/>
              </w:rPr>
            </w:pPr>
          </w:p>
        </w:tc>
        <w:tc>
          <w:tcPr>
            <w:tcW w:w="1410" w:type="dxa"/>
            <w:tcBorders>
              <w:right w:val="single" w:color="auto" w:sz="4" w:space="0"/>
            </w:tcBorders>
            <w:vAlign w:val="center"/>
          </w:tcPr>
          <w:p>
            <w:pPr>
              <w:spacing w:line="360" w:lineRule="auto"/>
              <w:ind w:firstLine="8" w:firstLineChars="4"/>
              <w:rPr>
                <w:rFonts w:ascii="宋体" w:hAnsi="宋体"/>
                <w:bCs/>
                <w:szCs w:val="21"/>
              </w:rPr>
            </w:pPr>
          </w:p>
        </w:tc>
        <w:tc>
          <w:tcPr>
            <w:tcW w:w="1026" w:type="dxa"/>
            <w:tcBorders>
              <w:left w:val="single" w:color="auto" w:sz="4" w:space="0"/>
              <w:right w:val="single" w:color="auto" w:sz="4" w:space="0"/>
            </w:tcBorders>
            <w:vAlign w:val="center"/>
          </w:tcPr>
          <w:p>
            <w:pPr>
              <w:spacing w:line="360" w:lineRule="auto"/>
              <w:ind w:firstLine="8" w:firstLineChars="4"/>
              <w:rPr>
                <w:rFonts w:ascii="宋体" w:hAnsi="宋体"/>
                <w:bCs/>
                <w:szCs w:val="21"/>
              </w:rPr>
            </w:pPr>
          </w:p>
        </w:tc>
        <w:tc>
          <w:tcPr>
            <w:tcW w:w="1170" w:type="dxa"/>
            <w:tcBorders>
              <w:left w:val="single" w:color="auto" w:sz="4" w:space="0"/>
              <w:right w:val="single" w:color="auto" w:sz="4" w:space="0"/>
            </w:tcBorders>
            <w:vAlign w:val="center"/>
          </w:tcPr>
          <w:p>
            <w:pPr>
              <w:spacing w:line="360" w:lineRule="auto"/>
              <w:ind w:firstLine="8" w:firstLineChars="4"/>
              <w:rPr>
                <w:rFonts w:ascii="宋体" w:hAnsi="宋体"/>
                <w:bCs/>
                <w:szCs w:val="21"/>
              </w:rPr>
            </w:pPr>
          </w:p>
        </w:tc>
        <w:tc>
          <w:tcPr>
            <w:tcW w:w="1314" w:type="dxa"/>
            <w:tcBorders>
              <w:left w:val="single" w:color="auto" w:sz="4" w:space="0"/>
            </w:tcBorders>
            <w:vAlign w:val="center"/>
          </w:tcPr>
          <w:p>
            <w:pPr>
              <w:spacing w:line="360" w:lineRule="auto"/>
              <w:ind w:firstLine="8" w:firstLineChars="4"/>
              <w:rPr>
                <w:rFonts w:ascii="宋体" w:hAnsi="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2"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szCs w:val="21"/>
              </w:rPr>
            </w:pPr>
          </w:p>
        </w:tc>
        <w:tc>
          <w:tcPr>
            <w:tcW w:w="179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szCs w:val="21"/>
              </w:rPr>
            </w:pPr>
          </w:p>
        </w:tc>
        <w:tc>
          <w:tcPr>
            <w:tcW w:w="1224"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szCs w:val="21"/>
              </w:rPr>
            </w:pPr>
          </w:p>
        </w:tc>
        <w:tc>
          <w:tcPr>
            <w:tcW w:w="1410" w:type="dxa"/>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szCs w:val="21"/>
              </w:rPr>
            </w:pPr>
          </w:p>
        </w:tc>
        <w:tc>
          <w:tcPr>
            <w:tcW w:w="1026"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szCs w:val="21"/>
              </w:rPr>
            </w:pPr>
          </w:p>
        </w:tc>
        <w:tc>
          <w:tcPr>
            <w:tcW w:w="117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szCs w:val="21"/>
              </w:rPr>
            </w:pPr>
          </w:p>
        </w:tc>
        <w:tc>
          <w:tcPr>
            <w:tcW w:w="1314"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479" w:type="dxa"/>
            <w:gridSpan w:val="2"/>
            <w:tcBorders>
              <w:bottom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cs="宋体"/>
                <w:bCs/>
                <w:szCs w:val="21"/>
              </w:rPr>
              <w:t>合计</w:t>
            </w:r>
          </w:p>
        </w:tc>
        <w:tc>
          <w:tcPr>
            <w:tcW w:w="1224" w:type="dxa"/>
            <w:tcBorders>
              <w:bottom w:val="single" w:color="auto" w:sz="4" w:space="0"/>
            </w:tcBorders>
            <w:vAlign w:val="center"/>
          </w:tcPr>
          <w:p>
            <w:pPr>
              <w:adjustRightInd w:val="0"/>
              <w:snapToGrid w:val="0"/>
              <w:spacing w:line="360" w:lineRule="auto"/>
              <w:jc w:val="center"/>
              <w:rPr>
                <w:rFonts w:ascii="宋体" w:hAnsi="宋体"/>
                <w:bCs/>
                <w:szCs w:val="21"/>
              </w:rPr>
            </w:pPr>
          </w:p>
        </w:tc>
        <w:tc>
          <w:tcPr>
            <w:tcW w:w="1410" w:type="dxa"/>
            <w:tcBorders>
              <w:bottom w:val="single" w:color="auto" w:sz="4" w:space="0"/>
              <w:right w:val="single" w:color="auto" w:sz="4" w:space="0"/>
            </w:tcBorders>
            <w:vAlign w:val="center"/>
          </w:tcPr>
          <w:p>
            <w:pPr>
              <w:spacing w:line="360" w:lineRule="auto"/>
              <w:ind w:firstLine="8" w:firstLineChars="4"/>
              <w:jc w:val="center"/>
              <w:rPr>
                <w:rFonts w:ascii="宋体" w:hAnsi="宋体" w:cs="宋体"/>
                <w:bCs/>
                <w:szCs w:val="21"/>
              </w:rPr>
            </w:pPr>
            <w:r>
              <w:rPr>
                <w:rFonts w:ascii="宋体" w:hAnsi="宋体" w:cs="宋体"/>
                <w:bCs/>
                <w:szCs w:val="21"/>
              </w:rPr>
              <w:t>-</w:t>
            </w:r>
          </w:p>
        </w:tc>
        <w:tc>
          <w:tcPr>
            <w:tcW w:w="1026" w:type="dxa"/>
            <w:tcBorders>
              <w:left w:val="single" w:color="auto" w:sz="4" w:space="0"/>
              <w:bottom w:val="single" w:color="auto" w:sz="4" w:space="0"/>
            </w:tcBorders>
            <w:vAlign w:val="center"/>
          </w:tcPr>
          <w:p>
            <w:pPr>
              <w:spacing w:line="360" w:lineRule="auto"/>
              <w:jc w:val="center"/>
              <w:rPr>
                <w:rFonts w:ascii="宋体" w:hAnsi="宋体"/>
                <w:bCs/>
                <w:szCs w:val="21"/>
              </w:rPr>
            </w:pPr>
          </w:p>
        </w:tc>
        <w:tc>
          <w:tcPr>
            <w:tcW w:w="2484" w:type="dxa"/>
            <w:gridSpan w:val="2"/>
            <w:tcBorders>
              <w:left w:val="single" w:color="auto" w:sz="4" w:space="0"/>
              <w:bottom w:val="single" w:color="auto" w:sz="4" w:space="0"/>
            </w:tcBorders>
            <w:vAlign w:val="center"/>
          </w:tcPr>
          <w:p>
            <w:pPr>
              <w:spacing w:line="360" w:lineRule="auto"/>
              <w:jc w:val="center"/>
              <w:rPr>
                <w:rFonts w:ascii="宋体" w:hAnsi="宋体" w:cs="宋体"/>
                <w:bCs/>
                <w:szCs w:val="21"/>
              </w:rPr>
            </w:pPr>
            <w:r>
              <w:rPr>
                <w:rFonts w:ascii="宋体" w:hAnsi="宋体" w:cs="宋体"/>
                <w:bCs/>
                <w:szCs w:val="21"/>
              </w:rPr>
              <w:t>-</w:t>
            </w:r>
          </w:p>
        </w:tc>
      </w:tr>
    </w:tbl>
    <w:p>
      <w:pPr>
        <w:snapToGrid w:val="0"/>
        <w:spacing w:line="360" w:lineRule="auto"/>
        <w:ind w:firstLine="2835" w:firstLineChars="1350"/>
        <w:rPr>
          <w:rFonts w:ascii="宋体" w:hAnsi="宋体"/>
          <w:bCs/>
          <w:szCs w:val="21"/>
        </w:rPr>
      </w:pPr>
    </w:p>
    <w:p>
      <w:pPr>
        <w:snapToGrid w:val="0"/>
        <w:spacing w:line="360" w:lineRule="auto"/>
        <w:ind w:firstLine="3885" w:firstLineChars="1850"/>
        <w:rPr>
          <w:rFonts w:ascii="宋体" w:hAnsi="宋体" w:cs="宋体"/>
          <w:bCs/>
          <w:szCs w:val="21"/>
        </w:rPr>
      </w:pPr>
      <w:r>
        <w:rPr>
          <w:rFonts w:hint="eastAsia" w:ascii="宋体" w:hAnsi="宋体" w:cs="宋体"/>
          <w:bCs/>
          <w:szCs w:val="21"/>
        </w:rPr>
        <w:t>投标人：</w:t>
      </w:r>
      <w:r>
        <w:rPr>
          <w:rStyle w:val="214"/>
          <w:rFonts w:hint="eastAsia" w:ascii="宋体" w:hAnsi="宋体" w:eastAsia="宋体"/>
          <w:sz w:val="21"/>
          <w:szCs w:val="21"/>
        </w:rPr>
        <w:t>__________________</w:t>
      </w:r>
      <w:r>
        <w:rPr>
          <w:rFonts w:ascii="宋体" w:hAnsi="宋体" w:cs="宋体"/>
          <w:bCs/>
          <w:szCs w:val="21"/>
        </w:rPr>
        <w:t>(</w:t>
      </w:r>
      <w:r>
        <w:rPr>
          <w:rFonts w:hint="eastAsia" w:ascii="宋体" w:hAnsi="宋体" w:cs="宋体"/>
          <w:bCs/>
          <w:szCs w:val="21"/>
        </w:rPr>
        <w:t>盖单位章</w:t>
      </w:r>
      <w:r>
        <w:rPr>
          <w:rFonts w:ascii="宋体" w:hAnsi="宋体" w:cs="宋体"/>
          <w:bCs/>
          <w:szCs w:val="21"/>
        </w:rPr>
        <w:t>)</w:t>
      </w:r>
    </w:p>
    <w:p>
      <w:pPr>
        <w:pStyle w:val="243"/>
        <w:shd w:val="clear" w:color="auto" w:fill="auto"/>
        <w:spacing w:line="560" w:lineRule="exact"/>
        <w:ind w:left="0" w:firstLine="3885" w:firstLineChars="1850"/>
        <w:rPr>
          <w:rStyle w:val="234"/>
          <w:rFonts w:ascii="宋体" w:hAnsi="宋体" w:eastAsia="宋体" w:cs="Times New Roman"/>
        </w:rPr>
      </w:pPr>
      <w:r>
        <w:rPr>
          <w:rFonts w:hint="eastAsia" w:ascii="宋体" w:hAnsi="宋体" w:eastAsia="宋体" w:cs="宋体"/>
          <w:bCs/>
          <w:spacing w:val="0"/>
          <w:kern w:val="2"/>
          <w:sz w:val="21"/>
          <w:szCs w:val="21"/>
        </w:rPr>
        <w:t>法定代表人或其委托代理人：</w:t>
      </w:r>
      <w:r>
        <w:rPr>
          <w:rStyle w:val="214"/>
          <w:rFonts w:hint="eastAsia" w:ascii="宋体" w:hAnsi="宋体" w:eastAsia="宋体"/>
          <w:sz w:val="21"/>
          <w:szCs w:val="21"/>
        </w:rPr>
        <w:t>_______</w:t>
      </w:r>
      <w:r>
        <w:rPr>
          <w:rFonts w:hint="eastAsia" w:ascii="宋体" w:hAnsi="宋体" w:eastAsia="宋体" w:cs="宋体"/>
          <w:bCs/>
          <w:spacing w:val="0"/>
          <w:kern w:val="2"/>
          <w:sz w:val="21"/>
          <w:szCs w:val="21"/>
        </w:rPr>
        <w:t>（签字）</w:t>
      </w:r>
    </w:p>
    <w:p>
      <w:pPr>
        <w:pStyle w:val="243"/>
        <w:shd w:val="clear" w:color="auto" w:fill="auto"/>
        <w:spacing w:line="560" w:lineRule="exact"/>
        <w:ind w:left="600"/>
        <w:rPr>
          <w:rStyle w:val="234"/>
          <w:rFonts w:ascii="宋体" w:hAnsi="宋体" w:eastAsia="宋体" w:cs="Times New Roman"/>
        </w:rPr>
      </w:pPr>
    </w:p>
    <w:p>
      <w:pPr>
        <w:pStyle w:val="243"/>
        <w:shd w:val="clear" w:color="auto" w:fill="auto"/>
        <w:spacing w:line="560" w:lineRule="exact"/>
        <w:ind w:left="600"/>
        <w:rPr>
          <w:rStyle w:val="234"/>
          <w:rFonts w:ascii="宋体" w:hAnsi="宋体" w:eastAsia="宋体" w:cs="Times New Roman"/>
        </w:rPr>
      </w:pPr>
    </w:p>
    <w:p>
      <w:pPr>
        <w:pStyle w:val="243"/>
        <w:shd w:val="clear" w:color="auto" w:fill="auto"/>
        <w:spacing w:line="560" w:lineRule="exact"/>
        <w:ind w:left="600"/>
        <w:rPr>
          <w:rStyle w:val="234"/>
          <w:rFonts w:ascii="宋体" w:hAnsi="宋体" w:eastAsia="宋体" w:cs="Times New Roman"/>
        </w:rPr>
        <w:sectPr>
          <w:footnotePr>
            <w:numRestart w:val="eachPage"/>
          </w:footnotePr>
          <w:pgSz w:w="11905" w:h="16838"/>
          <w:pgMar w:top="1803" w:right="1440" w:bottom="1803" w:left="1440" w:header="851" w:footer="850" w:gutter="0"/>
          <w:cols w:space="0" w:num="1"/>
          <w:docGrid w:linePitch="312" w:charSpace="0"/>
        </w:sectPr>
      </w:pPr>
    </w:p>
    <w:p>
      <w:pPr>
        <w:spacing w:beforeLines="150" w:afterLines="100" w:line="380" w:lineRule="atLeast"/>
        <w:jc w:val="center"/>
        <w:rPr>
          <w:rFonts w:eastAsia="黑体"/>
          <w:sz w:val="28"/>
          <w:szCs w:val="28"/>
        </w:rPr>
      </w:pPr>
      <w:r>
        <w:rPr>
          <w:rFonts w:hint="eastAsia" w:eastAsia="黑体"/>
          <w:b/>
          <w:sz w:val="28"/>
          <w:szCs w:val="28"/>
        </w:rPr>
        <w:t>八、技术建议书</w:t>
      </w:r>
    </w:p>
    <w:p>
      <w:pPr>
        <w:spacing w:line="440" w:lineRule="atLeast"/>
        <w:rPr>
          <w:sz w:val="24"/>
        </w:rPr>
      </w:pPr>
    </w:p>
    <w:p>
      <w:pPr>
        <w:spacing w:line="440" w:lineRule="atLeast"/>
        <w:rPr>
          <w:rFonts w:hint="eastAsia"/>
          <w:sz w:val="24"/>
        </w:rPr>
      </w:pPr>
      <w:r>
        <w:rPr>
          <w:rFonts w:hint="eastAsia"/>
          <w:sz w:val="24"/>
        </w:rPr>
        <w:t>主要内容包括：</w:t>
      </w:r>
    </w:p>
    <w:p>
      <w:pPr>
        <w:spacing w:line="440" w:lineRule="atLeast"/>
        <w:rPr>
          <w:rFonts w:hint="eastAsia"/>
          <w:sz w:val="24"/>
        </w:rPr>
      </w:pPr>
      <w:r>
        <w:rPr>
          <w:rFonts w:hint="eastAsia"/>
          <w:sz w:val="24"/>
        </w:rPr>
        <w:t>1.对项目的理解和总体技术审查咨询思路</w:t>
      </w:r>
    </w:p>
    <w:p>
      <w:pPr>
        <w:spacing w:line="440" w:lineRule="atLeast"/>
        <w:rPr>
          <w:rFonts w:hint="eastAsia"/>
          <w:sz w:val="24"/>
        </w:rPr>
      </w:pPr>
      <w:r>
        <w:rPr>
          <w:rFonts w:hint="eastAsia"/>
          <w:sz w:val="24"/>
        </w:rPr>
        <w:t>2.对项目特点、难点、关键技术问题的分析及应对措施</w:t>
      </w:r>
    </w:p>
    <w:p>
      <w:pPr>
        <w:spacing w:line="440" w:lineRule="atLeast"/>
        <w:rPr>
          <w:rFonts w:hint="eastAsia"/>
          <w:sz w:val="24"/>
        </w:rPr>
      </w:pPr>
      <w:r>
        <w:rPr>
          <w:rFonts w:hint="eastAsia"/>
          <w:sz w:val="24"/>
        </w:rPr>
        <w:t>3.技术审查咨询方案</w:t>
      </w:r>
    </w:p>
    <w:p>
      <w:pPr>
        <w:spacing w:line="440" w:lineRule="atLeast"/>
        <w:rPr>
          <w:rFonts w:hint="eastAsia"/>
          <w:sz w:val="24"/>
        </w:rPr>
      </w:pPr>
      <w:r>
        <w:rPr>
          <w:rFonts w:hint="eastAsia"/>
          <w:sz w:val="24"/>
        </w:rPr>
        <w:t>4.技术审查咨询的质量保证措施、进度保证措施 、安全保证措施</w:t>
      </w:r>
    </w:p>
    <w:p>
      <w:pPr>
        <w:spacing w:line="440" w:lineRule="atLeast"/>
        <w:rPr>
          <w:rFonts w:hint="eastAsia"/>
          <w:sz w:val="24"/>
        </w:rPr>
      </w:pPr>
      <w:r>
        <w:rPr>
          <w:rFonts w:hint="eastAsia"/>
          <w:sz w:val="24"/>
        </w:rPr>
        <w:t>5.后续服务计划及保证措施</w:t>
      </w:r>
    </w:p>
    <w:p>
      <w:pPr>
        <w:spacing w:line="440" w:lineRule="atLeast"/>
        <w:rPr>
          <w:rFonts w:hint="eastAsia"/>
          <w:sz w:val="24"/>
        </w:rPr>
      </w:pPr>
      <w:r>
        <w:rPr>
          <w:rFonts w:hint="eastAsia"/>
          <w:sz w:val="24"/>
        </w:rPr>
        <w:t>6.其他建议</w:t>
      </w:r>
    </w:p>
    <w:p>
      <w:pPr>
        <w:spacing w:line="440" w:lineRule="atLeast"/>
        <w:rPr>
          <w:rFonts w:hint="eastAsia"/>
          <w:sz w:val="24"/>
        </w:rPr>
      </w:pPr>
      <w:r>
        <w:rPr>
          <w:rFonts w:hint="eastAsia"/>
          <w:sz w:val="24"/>
        </w:rPr>
        <w:t>（附必要的图纸）</w:t>
      </w:r>
    </w:p>
    <w:p>
      <w:pPr>
        <w:spacing w:line="560" w:lineRule="atLeast"/>
        <w:ind w:right="1652"/>
        <w:rPr>
          <w:rFonts w:ascii="宋体" w:hAnsi="宋体" w:eastAsia="黑体"/>
          <w:sz w:val="28"/>
        </w:rPr>
        <w:sectPr>
          <w:footnotePr>
            <w:numRestart w:val="eachPage"/>
          </w:footnotePr>
          <w:pgSz w:w="11905" w:h="16838"/>
          <w:pgMar w:top="1803" w:right="1440" w:bottom="1803" w:left="1440" w:header="851" w:footer="850" w:gutter="0"/>
          <w:cols w:space="0" w:num="1"/>
          <w:docGrid w:linePitch="312" w:charSpace="0"/>
        </w:sectPr>
      </w:pPr>
    </w:p>
    <w:p>
      <w:pPr>
        <w:pStyle w:val="18"/>
      </w:pPr>
    </w:p>
    <w:bookmarkEnd w:id="789"/>
    <w:p>
      <w:pPr>
        <w:widowControl/>
        <w:autoSpaceDE w:val="0"/>
        <w:autoSpaceDN w:val="0"/>
        <w:spacing w:line="360" w:lineRule="atLeast"/>
        <w:textAlignment w:val="bottom"/>
        <w:rPr>
          <w:rFonts w:eastAsia="黑体"/>
          <w:sz w:val="30"/>
          <w:szCs w:val="30"/>
        </w:rPr>
      </w:pPr>
    </w:p>
    <w:p>
      <w:pPr>
        <w:spacing w:line="360" w:lineRule="auto"/>
        <w:jc w:val="center"/>
        <w:rPr>
          <w:rFonts w:ascii="宋体" w:hAnsi="宋体" w:cs="宋体"/>
          <w:bCs/>
          <w:sz w:val="44"/>
          <w:szCs w:val="44"/>
        </w:rPr>
      </w:pPr>
      <w:r>
        <w:rPr>
          <w:rFonts w:hint="eastAsia" w:ascii="宋体" w:hAnsi="宋体" w:cs="宋体"/>
          <w:bCs/>
          <w:sz w:val="44"/>
          <w:szCs w:val="44"/>
        </w:rPr>
        <w:t>湛江市</w:t>
      </w:r>
    </w:p>
    <w:p>
      <w:pPr>
        <w:spacing w:line="360" w:lineRule="auto"/>
        <w:jc w:val="center"/>
        <w:rPr>
          <w:rFonts w:ascii="宋体" w:hAnsi="宋体" w:cs="宋体"/>
          <w:bCs/>
          <w:sz w:val="44"/>
          <w:szCs w:val="44"/>
        </w:rPr>
      </w:pPr>
      <w:r>
        <w:rPr>
          <w:rFonts w:hint="eastAsia" w:ascii="宋体" w:hAnsi="宋体" w:cs="宋体"/>
          <w:bCs/>
          <w:sz w:val="44"/>
          <w:szCs w:val="44"/>
          <w:u w:val="single"/>
          <w:lang w:val="en-US" w:eastAsia="zh-CN"/>
        </w:rPr>
        <w:t xml:space="preserve">    （</w:t>
      </w:r>
      <w:r>
        <w:rPr>
          <w:rFonts w:ascii="宋体" w:hAnsi="宋体" w:cs="宋体"/>
          <w:bCs/>
          <w:sz w:val="44"/>
          <w:szCs w:val="44"/>
          <w:u w:val="single"/>
        </w:rPr>
        <w:t>项目名称）</w:t>
      </w:r>
      <w:r>
        <w:rPr>
          <w:rFonts w:hint="eastAsia" w:ascii="宋体" w:hAnsi="宋体" w:cs="宋体"/>
          <w:bCs/>
          <w:sz w:val="44"/>
          <w:szCs w:val="44"/>
          <w:u w:val="single"/>
          <w:lang w:val="en-US" w:eastAsia="zh-CN"/>
        </w:rPr>
        <w:t xml:space="preserve">   </w:t>
      </w:r>
      <w:r>
        <w:rPr>
          <w:rFonts w:ascii="宋体" w:hAnsi="宋体" w:cs="宋体"/>
          <w:bCs/>
          <w:sz w:val="44"/>
          <w:szCs w:val="44"/>
          <w:u w:val="single"/>
        </w:rPr>
        <w:t>标段</w:t>
      </w:r>
      <w:r>
        <w:rPr>
          <w:rFonts w:ascii="宋体" w:hAnsi="宋体" w:cs="宋体"/>
          <w:bCs/>
          <w:sz w:val="44"/>
          <w:szCs w:val="44"/>
        </w:rPr>
        <w:t>勘察设计咨询招标</w:t>
      </w:r>
    </w:p>
    <w:p>
      <w:pPr>
        <w:spacing w:line="440" w:lineRule="exact"/>
        <w:rPr>
          <w:rFonts w:eastAsia="黑体"/>
          <w:sz w:val="20"/>
          <w:szCs w:val="20"/>
        </w:rPr>
      </w:pPr>
    </w:p>
    <w:p>
      <w:pPr>
        <w:spacing w:line="440" w:lineRule="exact"/>
        <w:rPr>
          <w:rFonts w:eastAsia="黑体"/>
          <w:sz w:val="40"/>
          <w:szCs w:val="40"/>
        </w:rPr>
      </w:pPr>
    </w:p>
    <w:p>
      <w:pPr>
        <w:spacing w:line="440" w:lineRule="exact"/>
        <w:jc w:val="center"/>
        <w:rPr>
          <w:rFonts w:eastAsia="黑体"/>
          <w:sz w:val="40"/>
          <w:szCs w:val="40"/>
        </w:rPr>
      </w:pPr>
    </w:p>
    <w:p>
      <w:pPr>
        <w:spacing w:line="440" w:lineRule="exact"/>
        <w:jc w:val="center"/>
        <w:rPr>
          <w:rFonts w:eastAsia="黑体"/>
          <w:sz w:val="40"/>
          <w:szCs w:val="40"/>
        </w:rPr>
      </w:pPr>
    </w:p>
    <w:p>
      <w:pPr>
        <w:spacing w:line="440" w:lineRule="exact"/>
        <w:jc w:val="center"/>
        <w:rPr>
          <w:rFonts w:eastAsia="黑体"/>
          <w:sz w:val="40"/>
          <w:szCs w:val="40"/>
        </w:rPr>
      </w:pPr>
    </w:p>
    <w:p>
      <w:pPr>
        <w:pStyle w:val="2"/>
        <w:spacing w:before="240" w:afterLines="100" w:line="360" w:lineRule="auto"/>
        <w:jc w:val="center"/>
        <w:rPr>
          <w:rFonts w:eastAsia="黑体"/>
          <w:b w:val="0"/>
          <w:sz w:val="50"/>
          <w:szCs w:val="50"/>
        </w:rPr>
      </w:pPr>
      <w:bookmarkStart w:id="812" w:name="_Toc470761103"/>
      <w:bookmarkStart w:id="813" w:name="_Toc503235854"/>
      <w:bookmarkStart w:id="814" w:name="_Toc508984381"/>
      <w:bookmarkStart w:id="815" w:name="_Toc508984178"/>
      <w:r>
        <w:rPr>
          <w:rFonts w:eastAsia="黑体"/>
          <w:b w:val="0"/>
          <w:sz w:val="50"/>
          <w:szCs w:val="50"/>
        </w:rPr>
        <w:t>投  标  文  件</w:t>
      </w:r>
      <w:bookmarkEnd w:id="812"/>
      <w:bookmarkEnd w:id="813"/>
      <w:bookmarkEnd w:id="814"/>
      <w:bookmarkEnd w:id="815"/>
    </w:p>
    <w:p>
      <w:pPr>
        <w:pStyle w:val="2"/>
        <w:spacing w:line="300" w:lineRule="auto"/>
        <w:jc w:val="center"/>
        <w:rPr>
          <w:rFonts w:eastAsia="黑体"/>
          <w:b w:val="0"/>
          <w:sz w:val="36"/>
          <w:szCs w:val="36"/>
        </w:rPr>
      </w:pPr>
      <w:bookmarkStart w:id="816" w:name="_Toc503235855"/>
      <w:bookmarkStart w:id="817" w:name="_Toc508984179"/>
      <w:bookmarkStart w:id="818" w:name="_Toc508984382"/>
      <w:r>
        <w:rPr>
          <w:rFonts w:hint="eastAsia" w:eastAsia="黑体"/>
          <w:b w:val="0"/>
          <w:sz w:val="36"/>
          <w:szCs w:val="36"/>
        </w:rPr>
        <w:t>（</w:t>
      </w:r>
      <w:r>
        <w:rPr>
          <w:rFonts w:hint="eastAsia" w:ascii="宋体" w:hAnsi="宋体" w:cs="宋体"/>
          <w:bCs w:val="0"/>
          <w:kern w:val="2"/>
        </w:rPr>
        <w:t>第二个信封：报价文件</w:t>
      </w:r>
      <w:r>
        <w:rPr>
          <w:rFonts w:hint="eastAsia" w:eastAsia="黑体"/>
          <w:b w:val="0"/>
          <w:sz w:val="36"/>
          <w:szCs w:val="36"/>
        </w:rPr>
        <w:t>）</w:t>
      </w:r>
      <w:bookmarkEnd w:id="816"/>
      <w:bookmarkEnd w:id="817"/>
      <w:bookmarkEnd w:id="818"/>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360" w:lineRule="auto"/>
        <w:jc w:val="center"/>
        <w:rPr>
          <w:rFonts w:ascii="宋体" w:hAnsi="宋体" w:cs="宋体"/>
          <w:bCs/>
          <w:sz w:val="28"/>
          <w:szCs w:val="28"/>
        </w:rPr>
      </w:pPr>
      <w:r>
        <w:rPr>
          <w:rFonts w:hint="eastAsia" w:ascii="宋体" w:hAnsi="宋体" w:cs="宋体"/>
          <w:bCs/>
          <w:sz w:val="28"/>
          <w:szCs w:val="28"/>
        </w:rPr>
        <w:t>投标人：</w:t>
      </w:r>
      <w:r>
        <w:rPr>
          <w:rStyle w:val="214"/>
          <w:rFonts w:hint="eastAsia" w:ascii="宋体" w:hAnsi="宋体" w:eastAsia="宋体"/>
          <w:sz w:val="21"/>
          <w:szCs w:val="21"/>
        </w:rPr>
        <w:t>_____________________</w:t>
      </w:r>
      <w:r>
        <w:rPr>
          <w:rFonts w:ascii="宋体" w:hAnsi="宋体" w:cs="宋体"/>
          <w:bCs/>
          <w:sz w:val="28"/>
          <w:szCs w:val="28"/>
        </w:rPr>
        <w:t>(</w:t>
      </w:r>
      <w:r>
        <w:rPr>
          <w:rFonts w:hint="eastAsia" w:ascii="宋体" w:hAnsi="宋体" w:cs="宋体"/>
          <w:bCs/>
          <w:sz w:val="28"/>
          <w:szCs w:val="28"/>
        </w:rPr>
        <w:t>盖单位章</w:t>
      </w:r>
      <w:r>
        <w:rPr>
          <w:rFonts w:ascii="宋体" w:hAnsi="宋体" w:cs="宋体"/>
          <w:bCs/>
          <w:sz w:val="28"/>
          <w:szCs w:val="28"/>
        </w:rPr>
        <w:t>)</w:t>
      </w:r>
    </w:p>
    <w:p>
      <w:pPr>
        <w:spacing w:line="440" w:lineRule="exact"/>
        <w:jc w:val="center"/>
        <w:rPr>
          <w:rFonts w:eastAsia="黑体"/>
          <w:sz w:val="28"/>
          <w:szCs w:val="28"/>
        </w:rPr>
      </w:pPr>
      <w:r>
        <w:rPr>
          <w:rStyle w:val="214"/>
          <w:rFonts w:hint="eastAsia" w:ascii="宋体" w:hAnsi="宋体" w:eastAsia="宋体"/>
          <w:sz w:val="21"/>
          <w:szCs w:val="21"/>
        </w:rPr>
        <w:t>_______</w:t>
      </w:r>
      <w:r>
        <w:rPr>
          <w:rFonts w:hint="eastAsia" w:ascii="宋体" w:hAnsi="宋体" w:cs="宋体"/>
          <w:bCs/>
          <w:sz w:val="28"/>
          <w:szCs w:val="28"/>
        </w:rPr>
        <w:t>年</w:t>
      </w:r>
      <w:r>
        <w:rPr>
          <w:rStyle w:val="214"/>
          <w:rFonts w:hint="eastAsia" w:ascii="宋体" w:hAnsi="宋体" w:eastAsia="宋体"/>
          <w:sz w:val="21"/>
          <w:szCs w:val="21"/>
        </w:rPr>
        <w:t>_______</w:t>
      </w:r>
      <w:r>
        <w:rPr>
          <w:rFonts w:hint="eastAsia" w:ascii="宋体" w:hAnsi="宋体" w:cs="宋体"/>
          <w:bCs/>
          <w:sz w:val="28"/>
          <w:szCs w:val="28"/>
        </w:rPr>
        <w:t>月</w:t>
      </w:r>
      <w:r>
        <w:rPr>
          <w:rStyle w:val="214"/>
          <w:rFonts w:hint="eastAsia" w:ascii="宋体" w:hAnsi="宋体" w:eastAsia="宋体"/>
          <w:sz w:val="21"/>
          <w:szCs w:val="21"/>
        </w:rPr>
        <w:t>_______</w:t>
      </w:r>
      <w:r>
        <w:rPr>
          <w:rFonts w:hint="eastAsia" w:ascii="宋体" w:hAnsi="宋体" w:cs="宋体"/>
          <w:bCs/>
          <w:sz w:val="28"/>
          <w:szCs w:val="28"/>
        </w:rPr>
        <w:t>日</w:t>
      </w:r>
      <w:r>
        <w:rPr>
          <w:rFonts w:eastAsia="黑体"/>
          <w:sz w:val="28"/>
          <w:szCs w:val="28"/>
        </w:rPr>
        <w:br w:type="page"/>
      </w:r>
    </w:p>
    <w:p>
      <w:pPr>
        <w:spacing w:line="440" w:lineRule="exact"/>
        <w:jc w:val="center"/>
        <w:rPr>
          <w:rFonts w:eastAsia="黑体"/>
          <w:sz w:val="28"/>
          <w:szCs w:val="28"/>
        </w:rPr>
      </w:pPr>
    </w:p>
    <w:p>
      <w:pPr>
        <w:spacing w:line="440" w:lineRule="exact"/>
        <w:jc w:val="center"/>
        <w:rPr>
          <w:rFonts w:eastAsia="黑体"/>
          <w:sz w:val="28"/>
          <w:szCs w:val="28"/>
        </w:rPr>
      </w:pPr>
    </w:p>
    <w:p>
      <w:pPr>
        <w:pStyle w:val="2"/>
        <w:jc w:val="center"/>
        <w:rPr>
          <w:rFonts w:eastAsia="黑体"/>
          <w:sz w:val="24"/>
        </w:rPr>
      </w:pPr>
      <w:bookmarkStart w:id="819" w:name="_Toc508984383"/>
      <w:bookmarkStart w:id="820" w:name="_Toc503235856"/>
      <w:bookmarkStart w:id="821" w:name="_Toc508984180"/>
      <w:r>
        <w:rPr>
          <w:rFonts w:eastAsia="黑体"/>
          <w:b w:val="0"/>
          <w:sz w:val="30"/>
          <w:szCs w:val="30"/>
        </w:rPr>
        <w:t>目录</w:t>
      </w:r>
      <w:bookmarkEnd w:id="819"/>
      <w:bookmarkEnd w:id="820"/>
      <w:bookmarkEnd w:id="821"/>
    </w:p>
    <w:p>
      <w:pPr>
        <w:spacing w:line="360" w:lineRule="auto"/>
        <w:jc w:val="left"/>
        <w:rPr>
          <w:rFonts w:ascii="宋体" w:hAnsi="宋体"/>
          <w:sz w:val="24"/>
        </w:rPr>
      </w:pPr>
      <w:r>
        <w:rPr>
          <w:rFonts w:hint="eastAsia" w:ascii="宋体" w:hAnsi="宋体" w:cs="宋体"/>
          <w:bCs/>
          <w:sz w:val="24"/>
        </w:rPr>
        <w:t>第二个信封</w:t>
      </w:r>
      <w:r>
        <w:rPr>
          <w:rFonts w:ascii="宋体" w:hAnsi="宋体" w:cs="宋体"/>
          <w:bCs/>
          <w:sz w:val="24"/>
        </w:rPr>
        <w:t>(</w:t>
      </w:r>
      <w:r>
        <w:rPr>
          <w:rFonts w:hint="eastAsia" w:ascii="宋体" w:hAnsi="宋体" w:cs="宋体"/>
          <w:bCs/>
          <w:sz w:val="24"/>
        </w:rPr>
        <w:t>报价文件</w:t>
      </w:r>
      <w:r>
        <w:rPr>
          <w:rFonts w:ascii="宋体" w:hAnsi="宋体" w:cs="宋体"/>
          <w:bCs/>
          <w:sz w:val="24"/>
        </w:rPr>
        <w:t>)</w:t>
      </w:r>
    </w:p>
    <w:p>
      <w:pPr>
        <w:spacing w:line="360" w:lineRule="auto"/>
        <w:jc w:val="left"/>
        <w:rPr>
          <w:rFonts w:ascii="宋体" w:hAnsi="宋体"/>
          <w:sz w:val="24"/>
        </w:rPr>
      </w:pPr>
      <w:r>
        <w:rPr>
          <w:rFonts w:hint="eastAsia" w:ascii="宋体" w:hAnsi="宋体"/>
          <w:sz w:val="24"/>
        </w:rPr>
        <w:t>一、投</w:t>
      </w:r>
      <w:r>
        <w:rPr>
          <w:rFonts w:ascii="宋体" w:hAnsi="宋体"/>
          <w:sz w:val="24"/>
        </w:rPr>
        <w:t>标</w:t>
      </w:r>
      <w:r>
        <w:rPr>
          <w:rFonts w:hint="eastAsia" w:ascii="宋体" w:hAnsi="宋体"/>
          <w:sz w:val="24"/>
        </w:rPr>
        <w:t>函</w:t>
      </w:r>
    </w:p>
    <w:p>
      <w:pPr>
        <w:spacing w:line="360" w:lineRule="auto"/>
        <w:jc w:val="left"/>
        <w:rPr>
          <w:rFonts w:ascii="宋体" w:hAnsi="宋体"/>
          <w:sz w:val="24"/>
        </w:rPr>
      </w:pPr>
      <w:r>
        <w:rPr>
          <w:rFonts w:hint="eastAsia" w:ascii="宋体" w:hAnsi="宋体"/>
          <w:sz w:val="24"/>
        </w:rPr>
        <w:t>二、勘察设计咨询费用清单</w:t>
      </w:r>
    </w:p>
    <w:p>
      <w:pPr>
        <w:spacing w:line="700" w:lineRule="atLeast"/>
        <w:ind w:left="1613" w:leftChars="607" w:hanging="338" w:hangingChars="121"/>
        <w:rPr>
          <w:rFonts w:eastAsia="黑体"/>
          <w:sz w:val="28"/>
          <w:szCs w:val="28"/>
        </w:rPr>
      </w:pPr>
    </w:p>
    <w:p>
      <w:pPr>
        <w:spacing w:line="700" w:lineRule="atLeast"/>
        <w:ind w:left="1617" w:leftChars="473" w:hanging="624" w:hangingChars="223"/>
        <w:rPr>
          <w:rFonts w:eastAsia="黑体"/>
          <w:sz w:val="28"/>
          <w:szCs w:val="28"/>
        </w:rPr>
      </w:pPr>
    </w:p>
    <w:p>
      <w:pPr>
        <w:spacing w:line="440" w:lineRule="exact"/>
        <w:jc w:val="center"/>
        <w:rPr>
          <w:rFonts w:eastAsia="黑体"/>
          <w:sz w:val="28"/>
          <w:szCs w:val="28"/>
        </w:rPr>
      </w:pPr>
    </w:p>
    <w:p>
      <w:pPr>
        <w:spacing w:line="440" w:lineRule="exact"/>
        <w:rPr>
          <w:rFonts w:eastAsia="黑体"/>
          <w:sz w:val="28"/>
          <w:szCs w:val="28"/>
        </w:rPr>
      </w:pPr>
    </w:p>
    <w:p>
      <w:pPr>
        <w:pStyle w:val="2"/>
        <w:jc w:val="center"/>
        <w:rPr>
          <w:rFonts w:eastAsia="黑体"/>
          <w:b w:val="0"/>
          <w:sz w:val="28"/>
          <w:szCs w:val="28"/>
        </w:rPr>
      </w:pPr>
      <w:r>
        <w:rPr>
          <w:rFonts w:eastAsia="黑体"/>
          <w:sz w:val="20"/>
          <w:szCs w:val="20"/>
        </w:rPr>
        <w:br w:type="page"/>
      </w:r>
      <w:bookmarkStart w:id="822" w:name="_Toc503235857"/>
      <w:bookmarkStart w:id="823" w:name="_Toc508984181"/>
      <w:bookmarkStart w:id="824" w:name="_Toc508984384"/>
      <w:r>
        <w:rPr>
          <w:rFonts w:eastAsia="黑体"/>
          <w:b w:val="0"/>
          <w:sz w:val="30"/>
          <w:szCs w:val="30"/>
        </w:rPr>
        <w:t>一、投标函</w:t>
      </w:r>
      <w:bookmarkEnd w:id="822"/>
      <w:bookmarkEnd w:id="823"/>
      <w:bookmarkEnd w:id="824"/>
    </w:p>
    <w:p>
      <w:pPr>
        <w:spacing w:beforeLines="100" w:afterLines="50" w:line="400" w:lineRule="atLeast"/>
        <w:rPr>
          <w:sz w:val="24"/>
        </w:rPr>
      </w:pPr>
      <w:r>
        <w:rPr>
          <w:rFonts w:hint="eastAsia"/>
          <w:sz w:val="24"/>
        </w:rPr>
        <w:t>_____</w:t>
      </w:r>
      <w:r>
        <w:rPr>
          <w:sz w:val="24"/>
        </w:rPr>
        <w:t>（招标人名称）：</w:t>
      </w:r>
    </w:p>
    <w:p>
      <w:pPr>
        <w:spacing w:line="400" w:lineRule="atLeast"/>
        <w:ind w:firstLine="480" w:firstLineChars="200"/>
        <w:rPr>
          <w:sz w:val="24"/>
        </w:rPr>
      </w:pPr>
      <w:r>
        <w:rPr>
          <w:sz w:val="24"/>
        </w:rPr>
        <w:t>1．我方已仔细研究</w:t>
      </w:r>
      <w:r>
        <w:rPr>
          <w:rFonts w:hint="eastAsia"/>
          <w:sz w:val="24"/>
          <w:u w:val="single"/>
          <w:lang w:val="en-US" w:eastAsia="zh-CN"/>
        </w:rPr>
        <w:t xml:space="preserve">    （</w:t>
      </w:r>
      <w:r>
        <w:rPr>
          <w:sz w:val="24"/>
          <w:u w:val="single"/>
        </w:rPr>
        <w:t>项目名称）</w:t>
      </w:r>
      <w:r>
        <w:rPr>
          <w:rFonts w:hint="eastAsia"/>
          <w:sz w:val="24"/>
          <w:u w:val="single"/>
          <w:lang w:val="en-US" w:eastAsia="zh-CN"/>
        </w:rPr>
        <w:t xml:space="preserve">   </w:t>
      </w:r>
      <w:r>
        <w:rPr>
          <w:sz w:val="24"/>
          <w:u w:val="single"/>
        </w:rPr>
        <w:t>标段</w:t>
      </w:r>
      <w:r>
        <w:rPr>
          <w:sz w:val="24"/>
        </w:rPr>
        <w:t>勘察设计咨询招标文件的全部内容（含补遗书），在考察工程现场后，愿意以人民币（大写）</w:t>
      </w:r>
      <w:r>
        <w:rPr>
          <w:rFonts w:hint="eastAsia"/>
          <w:sz w:val="24"/>
        </w:rPr>
        <w:t>_____</w:t>
      </w:r>
      <w:r>
        <w:rPr>
          <w:sz w:val="24"/>
        </w:rPr>
        <w:t>元（¥</w:t>
      </w:r>
      <w:r>
        <w:rPr>
          <w:rFonts w:hint="eastAsia"/>
          <w:sz w:val="24"/>
        </w:rPr>
        <w:t>_____</w:t>
      </w:r>
      <w:r>
        <w:rPr>
          <w:sz w:val="24"/>
        </w:rPr>
        <w:t>）的投标总报价（或根据招标文件规定修正核实后确定的另一金额</w:t>
      </w:r>
      <w:r>
        <w:rPr>
          <w:rFonts w:hint="eastAsia"/>
          <w:sz w:val="24"/>
        </w:rPr>
        <w:t>，</w:t>
      </w:r>
      <w:r>
        <w:rPr>
          <w:sz w:val="24"/>
        </w:rPr>
        <w:t>其中</w:t>
      </w:r>
      <w:r>
        <w:rPr>
          <w:rFonts w:hint="eastAsia"/>
          <w:sz w:val="24"/>
        </w:rPr>
        <w:t>，</w:t>
      </w:r>
      <w:r>
        <w:rPr>
          <w:sz w:val="24"/>
        </w:rPr>
        <w:t>增值税税率为</w:t>
      </w:r>
      <w:r>
        <w:rPr>
          <w:rFonts w:hint="eastAsia"/>
          <w:sz w:val="24"/>
        </w:rPr>
        <w:t>__________</w:t>
      </w:r>
      <w:r>
        <w:rPr>
          <w:sz w:val="24"/>
        </w:rPr>
        <w:t>），按合同约定完成</w:t>
      </w:r>
      <w:r>
        <w:rPr>
          <w:rFonts w:hint="eastAsia"/>
          <w:sz w:val="24"/>
        </w:rPr>
        <w:t>勘察设计咨询工作</w:t>
      </w:r>
      <w:r>
        <w:rPr>
          <w:sz w:val="24"/>
        </w:rPr>
        <w:t>。</w:t>
      </w:r>
    </w:p>
    <w:p>
      <w:pPr>
        <w:spacing w:line="400" w:lineRule="atLeast"/>
        <w:ind w:firstLine="480" w:firstLineChars="200"/>
        <w:rPr>
          <w:sz w:val="24"/>
        </w:rPr>
      </w:pPr>
      <w:r>
        <w:rPr>
          <w:rFonts w:hint="eastAsia"/>
          <w:sz w:val="24"/>
        </w:rPr>
        <w:t>2</w:t>
      </w:r>
      <w:r>
        <w:rPr>
          <w:sz w:val="24"/>
        </w:rPr>
        <w:t>．在合同协议书正式签署生效之前，本投标函连同你方的中标通知书将构成我们双方之间共同遵守的文件，对双方具有约束力。</w:t>
      </w:r>
    </w:p>
    <w:p>
      <w:pPr>
        <w:spacing w:line="400" w:lineRule="atLeast"/>
        <w:ind w:firstLine="480" w:firstLineChars="200"/>
        <w:rPr>
          <w:sz w:val="24"/>
        </w:rPr>
      </w:pPr>
      <w:r>
        <w:rPr>
          <w:rFonts w:hint="eastAsia"/>
          <w:sz w:val="24"/>
        </w:rPr>
        <w:t>3</w:t>
      </w:r>
      <w:r>
        <w:rPr>
          <w:sz w:val="24"/>
        </w:rPr>
        <w:t>．</w:t>
      </w:r>
      <w:r>
        <w:rPr>
          <w:rStyle w:val="214"/>
          <w:rFonts w:hint="eastAsia" w:ascii="宋体" w:hAnsi="宋体" w:eastAsia="宋体"/>
          <w:sz w:val="21"/>
          <w:szCs w:val="21"/>
        </w:rPr>
        <w:t>______________</w:t>
      </w:r>
      <w:r>
        <w:rPr>
          <w:sz w:val="24"/>
        </w:rPr>
        <w:t>（其他补充说明）。</w:t>
      </w:r>
    </w:p>
    <w:p>
      <w:pPr>
        <w:spacing w:line="400" w:lineRule="atLeast"/>
        <w:ind w:firstLine="480" w:firstLineChars="200"/>
        <w:rPr>
          <w:sz w:val="24"/>
        </w:rPr>
      </w:pPr>
    </w:p>
    <w:p>
      <w:pPr>
        <w:spacing w:line="400" w:lineRule="atLeast"/>
        <w:ind w:firstLine="3420" w:firstLineChars="1425"/>
        <w:rPr>
          <w:sz w:val="24"/>
        </w:rPr>
      </w:pPr>
      <w:r>
        <w:rPr>
          <w:sz w:val="24"/>
        </w:rPr>
        <w:t>投 标 人：</w:t>
      </w:r>
      <w:r>
        <w:rPr>
          <w:rFonts w:hint="eastAsia"/>
          <w:sz w:val="24"/>
        </w:rPr>
        <w:t>____________________</w:t>
      </w:r>
      <w:r>
        <w:rPr>
          <w:sz w:val="24"/>
        </w:rPr>
        <w:t>（盖单位章）</w:t>
      </w:r>
      <w:r>
        <w:rPr>
          <w:rStyle w:val="56"/>
          <w:rFonts w:ascii="宋体" w:hAnsi="宋体"/>
          <w:sz w:val="32"/>
          <w:szCs w:val="32"/>
        </w:rPr>
        <w:footnoteReference w:id="84"/>
      </w:r>
    </w:p>
    <w:p>
      <w:pPr>
        <w:spacing w:line="400" w:lineRule="atLeast"/>
        <w:ind w:firstLine="3420" w:firstLineChars="1425"/>
        <w:rPr>
          <w:sz w:val="24"/>
        </w:rPr>
      </w:pPr>
      <w:r>
        <w:rPr>
          <w:sz w:val="24"/>
        </w:rPr>
        <w:t>法定代表人或其委托代理人：</w:t>
      </w:r>
      <w:r>
        <w:rPr>
          <w:rFonts w:hint="eastAsia"/>
          <w:sz w:val="24"/>
        </w:rPr>
        <w:t>_____</w:t>
      </w:r>
      <w:r>
        <w:rPr>
          <w:sz w:val="24"/>
        </w:rPr>
        <w:t>（签字）</w:t>
      </w:r>
    </w:p>
    <w:p>
      <w:pPr>
        <w:spacing w:line="400" w:lineRule="atLeast"/>
        <w:ind w:firstLine="3420" w:firstLineChars="1425"/>
        <w:rPr>
          <w:sz w:val="24"/>
        </w:rPr>
      </w:pPr>
      <w:r>
        <w:rPr>
          <w:sz w:val="24"/>
        </w:rPr>
        <w:t>地址：</w:t>
      </w:r>
      <w:r>
        <w:rPr>
          <w:rFonts w:hint="eastAsia"/>
          <w:sz w:val="24"/>
        </w:rPr>
        <w:t>______________________________</w:t>
      </w:r>
    </w:p>
    <w:p>
      <w:pPr>
        <w:spacing w:line="400" w:lineRule="atLeast"/>
        <w:ind w:firstLine="3420" w:firstLineChars="1425"/>
        <w:rPr>
          <w:sz w:val="24"/>
        </w:rPr>
      </w:pPr>
      <w:r>
        <w:rPr>
          <w:sz w:val="24"/>
        </w:rPr>
        <w:t>网址：</w:t>
      </w:r>
      <w:r>
        <w:rPr>
          <w:rFonts w:hint="eastAsia"/>
          <w:sz w:val="24"/>
        </w:rPr>
        <w:t>______________________________</w:t>
      </w:r>
    </w:p>
    <w:p>
      <w:pPr>
        <w:spacing w:line="400" w:lineRule="atLeast"/>
        <w:ind w:firstLine="3420" w:firstLineChars="1425"/>
        <w:rPr>
          <w:sz w:val="24"/>
        </w:rPr>
      </w:pPr>
      <w:r>
        <w:rPr>
          <w:sz w:val="24"/>
        </w:rPr>
        <w:t>电话：</w:t>
      </w:r>
      <w:r>
        <w:rPr>
          <w:rFonts w:hint="eastAsia"/>
          <w:sz w:val="24"/>
        </w:rPr>
        <w:t>______________________________</w:t>
      </w:r>
    </w:p>
    <w:p>
      <w:pPr>
        <w:spacing w:line="400" w:lineRule="atLeast"/>
        <w:ind w:firstLine="3420" w:firstLineChars="1425"/>
        <w:rPr>
          <w:sz w:val="24"/>
        </w:rPr>
      </w:pPr>
      <w:r>
        <w:rPr>
          <w:sz w:val="24"/>
        </w:rPr>
        <w:t>传真：</w:t>
      </w:r>
      <w:r>
        <w:rPr>
          <w:rFonts w:hint="eastAsia"/>
          <w:sz w:val="24"/>
        </w:rPr>
        <w:t>______________________________</w:t>
      </w:r>
    </w:p>
    <w:p>
      <w:pPr>
        <w:spacing w:line="400" w:lineRule="atLeast"/>
        <w:ind w:firstLine="3420" w:firstLineChars="1425"/>
        <w:rPr>
          <w:sz w:val="24"/>
        </w:rPr>
      </w:pPr>
      <w:r>
        <w:rPr>
          <w:sz w:val="24"/>
        </w:rPr>
        <w:t>邮政编码：</w:t>
      </w:r>
      <w:r>
        <w:rPr>
          <w:rFonts w:hint="eastAsia"/>
          <w:sz w:val="24"/>
        </w:rPr>
        <w:t>_________________________</w:t>
      </w:r>
    </w:p>
    <w:p>
      <w:pPr>
        <w:spacing w:line="400" w:lineRule="atLeast"/>
        <w:ind w:firstLine="3420" w:firstLineChars="1425"/>
        <w:rPr>
          <w:sz w:val="24"/>
        </w:rPr>
      </w:pPr>
    </w:p>
    <w:p>
      <w:pPr>
        <w:spacing w:line="400" w:lineRule="atLeast"/>
        <w:ind w:firstLine="4740" w:firstLineChars="1975"/>
        <w:rPr>
          <w:sz w:val="24"/>
        </w:rPr>
      </w:pPr>
      <w:r>
        <w:rPr>
          <w:rFonts w:hint="eastAsia"/>
          <w:sz w:val="24"/>
        </w:rPr>
        <w:t>_____</w:t>
      </w:r>
      <w:r>
        <w:rPr>
          <w:sz w:val="24"/>
        </w:rPr>
        <w:t>年</w:t>
      </w:r>
      <w:r>
        <w:rPr>
          <w:rFonts w:hint="eastAsia"/>
          <w:sz w:val="24"/>
        </w:rPr>
        <w:t>_____</w:t>
      </w:r>
      <w:r>
        <w:rPr>
          <w:sz w:val="24"/>
        </w:rPr>
        <w:t>月</w:t>
      </w:r>
      <w:r>
        <w:rPr>
          <w:rFonts w:hint="eastAsia"/>
          <w:sz w:val="24"/>
        </w:rPr>
        <w:t>_____</w:t>
      </w:r>
      <w:r>
        <w:rPr>
          <w:sz w:val="24"/>
        </w:rPr>
        <w:t>日</w:t>
      </w:r>
    </w:p>
    <w:p>
      <w:pPr>
        <w:pStyle w:val="2"/>
        <w:spacing w:line="360" w:lineRule="auto"/>
        <w:jc w:val="center"/>
        <w:rPr>
          <w:rFonts w:eastAsia="黑体"/>
          <w:b w:val="0"/>
          <w:sz w:val="30"/>
          <w:szCs w:val="30"/>
        </w:rPr>
      </w:pPr>
      <w:r>
        <w:rPr>
          <w:sz w:val="24"/>
        </w:rPr>
        <w:br w:type="page"/>
      </w:r>
      <w:bookmarkStart w:id="825" w:name="_Toc508984182"/>
      <w:bookmarkStart w:id="826" w:name="_Toc508984385"/>
      <w:bookmarkStart w:id="827" w:name="_Toc503235858"/>
      <w:r>
        <w:rPr>
          <w:rFonts w:hint="eastAsia" w:eastAsia="黑体"/>
          <w:b w:val="0"/>
          <w:sz w:val="30"/>
          <w:szCs w:val="30"/>
        </w:rPr>
        <w:t>二、勘察设计咨询费用清单</w:t>
      </w:r>
      <w:bookmarkEnd w:id="825"/>
      <w:bookmarkEnd w:id="826"/>
      <w:bookmarkEnd w:id="827"/>
      <w:r>
        <w:rPr>
          <w:rStyle w:val="56"/>
          <w:rFonts w:hint="eastAsia" w:eastAsia="黑体"/>
          <w:b w:val="0"/>
          <w:sz w:val="30"/>
          <w:szCs w:val="30"/>
        </w:rPr>
        <w:footnoteReference w:id="85"/>
      </w:r>
    </w:p>
    <w:p>
      <w:pPr>
        <w:pStyle w:val="2"/>
        <w:spacing w:after="120" w:line="360" w:lineRule="auto"/>
        <w:jc w:val="center"/>
        <w:rPr>
          <w:rFonts w:ascii="黑体" w:hAnsi="黑体" w:eastAsia="黑体"/>
          <w:b w:val="0"/>
          <w:bCs w:val="0"/>
          <w:kern w:val="2"/>
          <w:sz w:val="28"/>
          <w:szCs w:val="28"/>
        </w:rPr>
      </w:pPr>
      <w:bookmarkStart w:id="828" w:name="_Toc508984386"/>
      <w:bookmarkStart w:id="829" w:name="_Toc508984183"/>
      <w:bookmarkStart w:id="830" w:name="_Toc503235859"/>
      <w:r>
        <w:rPr>
          <w:rFonts w:hint="eastAsia" w:ascii="黑体" w:hAnsi="黑体" w:eastAsia="黑体"/>
          <w:b w:val="0"/>
          <w:bCs w:val="0"/>
          <w:kern w:val="2"/>
          <w:sz w:val="28"/>
          <w:szCs w:val="28"/>
        </w:rPr>
        <w:t>（一）报价清单</w:t>
      </w:r>
      <w:r>
        <w:rPr>
          <w:rFonts w:ascii="黑体" w:hAnsi="黑体" w:eastAsia="黑体"/>
          <w:b w:val="0"/>
          <w:bCs w:val="0"/>
          <w:kern w:val="2"/>
          <w:sz w:val="28"/>
          <w:szCs w:val="28"/>
        </w:rPr>
        <w:t>说明</w:t>
      </w:r>
      <w:bookmarkEnd w:id="828"/>
      <w:bookmarkEnd w:id="829"/>
      <w:bookmarkEnd w:id="830"/>
    </w:p>
    <w:p>
      <w:pPr>
        <w:spacing w:line="440" w:lineRule="exact"/>
        <w:ind w:firstLine="480" w:firstLineChars="200"/>
        <w:rPr>
          <w:bCs/>
          <w:snapToGrid w:val="0"/>
          <w:sz w:val="24"/>
        </w:rPr>
      </w:pPr>
      <w:r>
        <w:rPr>
          <w:bCs/>
          <w:snapToGrid w:val="0"/>
          <w:sz w:val="24"/>
        </w:rPr>
        <w:t>1、“报价清单”应与“投标人须知”、“合同条款”和“发包人要求”一起使用。投标人应根据本招标项目前一阶段（工可阶段或初步设计阶段）批复意见和强制性要求，按照本招标文件规定的勘察设计咨询工作内容和计划工作量，认真阅读分析本招标项目勘察设计咨询原始资料，在编制完成技术建议书的前提下，慎重提出“报价清单”，并以此做为本招标项目勘察设计咨询费的基础。</w:t>
      </w:r>
    </w:p>
    <w:p>
      <w:pPr>
        <w:spacing w:line="440" w:lineRule="exact"/>
        <w:ind w:firstLine="480" w:firstLineChars="200"/>
        <w:rPr>
          <w:bCs/>
          <w:snapToGrid w:val="0"/>
          <w:sz w:val="24"/>
        </w:rPr>
      </w:pPr>
      <w:r>
        <w:rPr>
          <w:bCs/>
          <w:snapToGrid w:val="0"/>
          <w:sz w:val="24"/>
        </w:rPr>
        <w:t>2、咨询单位应按照国家有关工程建设标准强制性条文和交通运输部有关标准、规范、规程、定额、办法、示例等要求的内容和深度，开展本招标项目的勘察设计咨询工作，并将勘察设计咨询费计入相应的报价项目中。“报价清单”所列的报价，</w:t>
      </w:r>
      <w:r>
        <w:rPr>
          <w:rFonts w:hint="eastAsia"/>
          <w:bCs/>
          <w:snapToGrid w:val="0"/>
          <w:sz w:val="24"/>
        </w:rPr>
        <w:t>应包括为完成本招标项目勘察设计咨询的一切费用，包括按合同规定应完成的勘察设计咨询费以及咨询单位自行委托咨询的咨询费</w:t>
      </w:r>
      <w:r>
        <w:rPr>
          <w:bCs/>
          <w:snapToGrid w:val="0"/>
          <w:sz w:val="24"/>
        </w:rPr>
        <w:t>、利润、税金等与此有关的一切费用。</w:t>
      </w:r>
    </w:p>
    <w:p>
      <w:pPr>
        <w:spacing w:line="440" w:lineRule="exact"/>
        <w:ind w:firstLine="480" w:firstLineChars="200"/>
        <w:rPr>
          <w:bCs/>
          <w:snapToGrid w:val="0"/>
          <w:sz w:val="24"/>
        </w:rPr>
      </w:pPr>
      <w:r>
        <w:rPr>
          <w:bCs/>
          <w:snapToGrid w:val="0"/>
          <w:sz w:val="24"/>
        </w:rPr>
        <w:t>3、“报价清单”为通用表格，投标人应根据本招标项目工作内容，按照表格格式详细填写，以免遗漏或有误。投标人没有报价的项目，发包人将认为有关费用已包含在其它项目之中，不另行支付。凡清单项目中未包含的但在勘察设计咨询中又必须完成的工作内容，均被认为已包含在清单各项目报价中，发包人不另行支付。</w:t>
      </w:r>
    </w:p>
    <w:p>
      <w:pPr>
        <w:spacing w:line="440" w:lineRule="exact"/>
        <w:ind w:firstLine="480" w:firstLineChars="200"/>
        <w:rPr>
          <w:bCs/>
          <w:snapToGrid w:val="0"/>
          <w:sz w:val="24"/>
        </w:rPr>
      </w:pPr>
      <w:r>
        <w:rPr>
          <w:bCs/>
          <w:snapToGrid w:val="0"/>
          <w:sz w:val="24"/>
        </w:rPr>
        <w:t>4、投标人在“报价清单”中报价应以人民币为单位。</w:t>
      </w:r>
    </w:p>
    <w:p>
      <w:pPr>
        <w:spacing w:line="440" w:lineRule="exact"/>
        <w:ind w:firstLine="480" w:firstLineChars="200"/>
        <w:rPr>
          <w:bCs/>
          <w:snapToGrid w:val="0"/>
          <w:sz w:val="24"/>
        </w:rPr>
      </w:pPr>
      <w:r>
        <w:rPr>
          <w:bCs/>
          <w:snapToGrid w:val="0"/>
          <w:sz w:val="24"/>
        </w:rPr>
        <w:t>5、投标人应在“报价清单”后附详细的计算说明，包括计算方法、取费依据等，以便招标人对投标人勘察设计咨询报价的合理性作出判断。</w:t>
      </w:r>
    </w:p>
    <w:p>
      <w:pPr>
        <w:pStyle w:val="17"/>
        <w:spacing w:line="420" w:lineRule="exact"/>
        <w:ind w:firstLine="482" w:firstLineChars="200"/>
        <w:rPr>
          <w:rFonts w:ascii="Times New Roman"/>
          <w:b/>
          <w:szCs w:val="24"/>
        </w:rPr>
      </w:pPr>
    </w:p>
    <w:p>
      <w:pPr>
        <w:topLinePunct/>
        <w:spacing w:line="400" w:lineRule="exact"/>
        <w:jc w:val="center"/>
        <w:rPr>
          <w:rFonts w:ascii="Calibri" w:hAnsi="Calibri" w:eastAsia="黑体"/>
          <w:b/>
          <w:bCs/>
          <w:kern w:val="0"/>
          <w:sz w:val="28"/>
          <w:szCs w:val="28"/>
        </w:rPr>
      </w:pPr>
      <w:r>
        <w:br w:type="page"/>
      </w:r>
      <w:r>
        <w:rPr>
          <w:rFonts w:hint="eastAsia" w:ascii="Calibri" w:hAnsi="Calibri" w:eastAsia="黑体"/>
          <w:b/>
          <w:bCs/>
          <w:kern w:val="0"/>
          <w:sz w:val="28"/>
          <w:szCs w:val="28"/>
        </w:rPr>
        <w:t>（二）报价清单表</w:t>
      </w:r>
    </w:p>
    <w:p>
      <w:pPr>
        <w:adjustRightInd w:val="0"/>
        <w:spacing w:line="360" w:lineRule="atLeast"/>
        <w:jc w:val="left"/>
        <w:textAlignment w:val="baseline"/>
        <w:rPr>
          <w:rFonts w:ascii="Calibri" w:hAnsi="Calibri"/>
          <w:kern w:val="0"/>
          <w:sz w:val="24"/>
          <w:szCs w:val="20"/>
        </w:rPr>
      </w:pPr>
      <w:bookmarkStart w:id="831" w:name="_Toc429405149"/>
      <w:bookmarkStart w:id="832" w:name="_Toc441149791"/>
    </w:p>
    <w:p>
      <w:pPr>
        <w:overflowPunct w:val="0"/>
        <w:autoSpaceDN w:val="0"/>
        <w:adjustRightInd w:val="0"/>
        <w:spacing w:line="480" w:lineRule="exact"/>
        <w:ind w:firstLine="480" w:firstLineChars="200"/>
        <w:jc w:val="left"/>
        <w:textAlignment w:val="baseline"/>
        <w:rPr>
          <w:rFonts w:ascii="黑体" w:hAnsi="黑体" w:eastAsia="黑体"/>
          <w:kern w:val="0"/>
          <w:sz w:val="18"/>
          <w:szCs w:val="18"/>
        </w:rPr>
      </w:pPr>
      <w:r>
        <w:rPr>
          <w:rFonts w:hint="eastAsia" w:ascii="黑体" w:hAnsi="黑体" w:eastAsia="黑体" w:cs="SimSun-Identity-H"/>
          <w:kern w:val="0"/>
          <w:sz w:val="24"/>
          <w:szCs w:val="20"/>
        </w:rPr>
        <w:t>A.报价</w:t>
      </w:r>
      <w:bookmarkEnd w:id="831"/>
      <w:r>
        <w:rPr>
          <w:rFonts w:hint="eastAsia" w:ascii="黑体" w:hAnsi="黑体" w:eastAsia="黑体" w:cs="SimSun-Identity-H"/>
          <w:kern w:val="0"/>
          <w:sz w:val="24"/>
          <w:szCs w:val="20"/>
        </w:rPr>
        <w:t>费率</w:t>
      </w:r>
      <w:bookmarkEnd w:id="832"/>
    </w:p>
    <w:tbl>
      <w:tblPr>
        <w:tblStyle w:val="47"/>
        <w:tblW w:w="91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4"/>
        <w:gridCol w:w="2095"/>
        <w:gridCol w:w="2059"/>
        <w:gridCol w:w="4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14" w:type="dxa"/>
            <w:vAlign w:val="center"/>
          </w:tcPr>
          <w:p>
            <w:pPr>
              <w:adjustRightInd w:val="0"/>
              <w:jc w:val="center"/>
              <w:textAlignment w:val="baseline"/>
              <w:rPr>
                <w:rFonts w:ascii="Calibri" w:hAnsi="Calibri"/>
                <w:b/>
                <w:kern w:val="0"/>
                <w:szCs w:val="21"/>
              </w:rPr>
            </w:pPr>
            <w:bookmarkStart w:id="833" w:name="_Toc441149792"/>
            <w:r>
              <w:rPr>
                <w:rFonts w:hint="eastAsia" w:ascii="Calibri" w:hAnsi="Calibri"/>
                <w:b/>
                <w:kern w:val="0"/>
                <w:szCs w:val="21"/>
              </w:rPr>
              <w:t>序号</w:t>
            </w:r>
            <w:bookmarkEnd w:id="833"/>
          </w:p>
        </w:tc>
        <w:tc>
          <w:tcPr>
            <w:tcW w:w="2095" w:type="dxa"/>
            <w:vAlign w:val="center"/>
          </w:tcPr>
          <w:p>
            <w:pPr>
              <w:adjustRightInd w:val="0"/>
              <w:jc w:val="center"/>
              <w:textAlignment w:val="baseline"/>
              <w:rPr>
                <w:rFonts w:ascii="Calibri" w:hAnsi="Calibri"/>
                <w:b/>
                <w:kern w:val="0"/>
                <w:szCs w:val="21"/>
              </w:rPr>
            </w:pPr>
            <w:bookmarkStart w:id="834" w:name="_Toc441149793"/>
            <w:r>
              <w:rPr>
                <w:rFonts w:hint="eastAsia" w:ascii="Calibri" w:hAnsi="Calibri"/>
                <w:b/>
                <w:kern w:val="0"/>
                <w:szCs w:val="21"/>
              </w:rPr>
              <w:t>阶段</w:t>
            </w:r>
            <w:bookmarkEnd w:id="834"/>
          </w:p>
        </w:tc>
        <w:tc>
          <w:tcPr>
            <w:tcW w:w="2059" w:type="dxa"/>
            <w:vAlign w:val="center"/>
          </w:tcPr>
          <w:p>
            <w:pPr>
              <w:adjustRightInd w:val="0"/>
              <w:jc w:val="center"/>
              <w:textAlignment w:val="baseline"/>
              <w:rPr>
                <w:rFonts w:ascii="Calibri" w:hAnsi="Calibri"/>
                <w:b/>
                <w:kern w:val="0"/>
                <w:szCs w:val="21"/>
              </w:rPr>
            </w:pPr>
            <w:bookmarkStart w:id="835" w:name="_Toc441149794"/>
            <w:r>
              <w:rPr>
                <w:rFonts w:hint="eastAsia" w:ascii="Calibri" w:hAnsi="Calibri"/>
                <w:b/>
                <w:kern w:val="0"/>
                <w:szCs w:val="21"/>
              </w:rPr>
              <w:t>报价费率</w:t>
            </w:r>
            <w:bookmarkEnd w:id="835"/>
            <w:r>
              <w:rPr>
                <w:rFonts w:hint="eastAsia" w:ascii="Calibri" w:hAnsi="Calibri"/>
                <w:b/>
                <w:kern w:val="0"/>
                <w:szCs w:val="21"/>
              </w:rPr>
              <w:t>（%）</w:t>
            </w:r>
          </w:p>
        </w:tc>
        <w:tc>
          <w:tcPr>
            <w:tcW w:w="4162" w:type="dxa"/>
            <w:vAlign w:val="center"/>
          </w:tcPr>
          <w:p>
            <w:pPr>
              <w:adjustRightInd w:val="0"/>
              <w:jc w:val="center"/>
              <w:textAlignment w:val="baseline"/>
              <w:rPr>
                <w:rFonts w:ascii="Calibri" w:hAnsi="Calibri"/>
                <w:b/>
                <w:kern w:val="0"/>
                <w:szCs w:val="21"/>
              </w:rPr>
            </w:pPr>
            <w:bookmarkStart w:id="836" w:name="_Toc441149795"/>
            <w:r>
              <w:rPr>
                <w:rFonts w:hint="eastAsia" w:ascii="Calibri" w:hAnsi="Calibri"/>
                <w:b/>
                <w:kern w:val="0"/>
                <w:szCs w:val="21"/>
              </w:rPr>
              <w:t>备注</w:t>
            </w:r>
            <w:bookmarkEnd w:id="83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814" w:type="dxa"/>
            <w:vAlign w:val="center"/>
          </w:tcPr>
          <w:p>
            <w:pPr>
              <w:adjustRightInd w:val="0"/>
              <w:jc w:val="center"/>
              <w:textAlignment w:val="baseline"/>
              <w:rPr>
                <w:rFonts w:ascii="Calibri" w:hAnsi="Calibri"/>
                <w:kern w:val="0"/>
                <w:szCs w:val="21"/>
              </w:rPr>
            </w:pPr>
            <w:bookmarkStart w:id="837" w:name="_Toc441149796"/>
            <w:r>
              <w:rPr>
                <w:rFonts w:hint="eastAsia" w:ascii="Calibri" w:hAnsi="Calibri"/>
                <w:kern w:val="0"/>
                <w:szCs w:val="21"/>
              </w:rPr>
              <w:t>1</w:t>
            </w:r>
            <w:bookmarkEnd w:id="837"/>
          </w:p>
        </w:tc>
        <w:tc>
          <w:tcPr>
            <w:tcW w:w="2095" w:type="dxa"/>
            <w:vAlign w:val="center"/>
          </w:tcPr>
          <w:p>
            <w:pPr>
              <w:adjustRightInd w:val="0"/>
              <w:jc w:val="center"/>
              <w:textAlignment w:val="baseline"/>
              <w:rPr>
                <w:rFonts w:ascii="Calibri" w:hAnsi="Calibri"/>
                <w:kern w:val="0"/>
                <w:szCs w:val="21"/>
              </w:rPr>
            </w:pPr>
            <w:bookmarkStart w:id="838" w:name="_Toc441149797"/>
            <w:r>
              <w:rPr>
                <w:rFonts w:hint="eastAsia" w:ascii="Calibri" w:hAnsi="Calibri"/>
                <w:kern w:val="0"/>
                <w:szCs w:val="21"/>
              </w:rPr>
              <w:t>初步设计阶段咨询</w:t>
            </w:r>
            <w:bookmarkEnd w:id="838"/>
            <w:r>
              <w:rPr>
                <w:rFonts w:hint="eastAsia" w:ascii="Calibri" w:hAnsi="Calibri"/>
                <w:kern w:val="0"/>
                <w:szCs w:val="21"/>
              </w:rPr>
              <w:t>（含初勘初测</w:t>
            </w:r>
            <w:r>
              <w:rPr>
                <w:rFonts w:hint="eastAsia" w:ascii="宋体" w:hAnsi="宋体"/>
                <w:szCs w:val="21"/>
              </w:rPr>
              <w:t>咨询</w:t>
            </w:r>
            <w:r>
              <w:rPr>
                <w:rFonts w:hint="eastAsia" w:ascii="Calibri" w:hAnsi="Calibri"/>
                <w:kern w:val="0"/>
                <w:szCs w:val="21"/>
              </w:rPr>
              <w:t>）</w:t>
            </w:r>
          </w:p>
        </w:tc>
        <w:tc>
          <w:tcPr>
            <w:tcW w:w="2059" w:type="dxa"/>
            <w:vAlign w:val="center"/>
          </w:tcPr>
          <w:p>
            <w:pPr>
              <w:adjustRightInd w:val="0"/>
              <w:jc w:val="center"/>
              <w:textAlignment w:val="baseline"/>
              <w:rPr>
                <w:rFonts w:ascii="Calibri" w:hAnsi="Calibri"/>
                <w:kern w:val="0"/>
                <w:szCs w:val="21"/>
              </w:rPr>
            </w:pPr>
            <w:bookmarkStart w:id="839" w:name="_Toc441149798"/>
            <w:r>
              <w:rPr>
                <w:rFonts w:hint="eastAsia" w:ascii="Calibri" w:hAnsi="Calibri"/>
                <w:kern w:val="0"/>
                <w:szCs w:val="21"/>
              </w:rPr>
              <w:t>（投标人填写）</w:t>
            </w:r>
            <w:bookmarkEnd w:id="839"/>
          </w:p>
        </w:tc>
        <w:tc>
          <w:tcPr>
            <w:tcW w:w="4162" w:type="dxa"/>
            <w:vMerge w:val="restart"/>
            <w:vAlign w:val="center"/>
          </w:tcPr>
          <w:p>
            <w:pPr>
              <w:adjustRightInd w:val="0"/>
              <w:textAlignment w:val="baseline"/>
              <w:rPr>
                <w:rFonts w:ascii="Calibri" w:hAnsi="Calibri"/>
                <w:kern w:val="0"/>
                <w:szCs w:val="21"/>
              </w:rPr>
            </w:pPr>
            <w:bookmarkStart w:id="840" w:name="_Toc441149799"/>
            <w:r>
              <w:rPr>
                <w:rFonts w:hint="eastAsia" w:ascii="Calibri" w:hAnsi="Calibri"/>
                <w:kern w:val="0"/>
                <w:szCs w:val="21"/>
              </w:rPr>
              <w:t>投标人应将咨询工作范围的费用采用各个阶段的收费费率的方式报价</w:t>
            </w:r>
            <w:r>
              <w:rPr>
                <w:rFonts w:hint="eastAsia" w:ascii="宋体" w:hAnsi="宋体"/>
                <w:szCs w:val="21"/>
              </w:rPr>
              <w:t>，</w:t>
            </w:r>
            <w:r>
              <w:rPr>
                <w:rFonts w:hint="eastAsia" w:ascii="Calibri" w:hAnsi="Calibri"/>
                <w:kern w:val="0"/>
                <w:szCs w:val="21"/>
              </w:rPr>
              <w:t>若项目需开展技术设计咨询，其报价费率己包含在合计报价费率中，不再另行计列。</w:t>
            </w:r>
            <w:bookmarkEnd w:id="84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4" w:hRule="atLeast"/>
        </w:trPr>
        <w:tc>
          <w:tcPr>
            <w:tcW w:w="814" w:type="dxa"/>
            <w:vAlign w:val="center"/>
          </w:tcPr>
          <w:p>
            <w:pPr>
              <w:adjustRightInd w:val="0"/>
              <w:jc w:val="center"/>
              <w:textAlignment w:val="baseline"/>
              <w:rPr>
                <w:rFonts w:ascii="Calibri" w:hAnsi="Calibri"/>
                <w:kern w:val="0"/>
                <w:szCs w:val="21"/>
              </w:rPr>
            </w:pPr>
            <w:bookmarkStart w:id="841" w:name="_Toc441149800"/>
            <w:r>
              <w:rPr>
                <w:rFonts w:hint="eastAsia" w:ascii="Calibri" w:hAnsi="Calibri"/>
                <w:kern w:val="0"/>
                <w:szCs w:val="21"/>
              </w:rPr>
              <w:t>2</w:t>
            </w:r>
            <w:bookmarkEnd w:id="841"/>
          </w:p>
        </w:tc>
        <w:tc>
          <w:tcPr>
            <w:tcW w:w="2095" w:type="dxa"/>
            <w:vAlign w:val="center"/>
          </w:tcPr>
          <w:p>
            <w:pPr>
              <w:adjustRightInd w:val="0"/>
              <w:jc w:val="center"/>
              <w:textAlignment w:val="baseline"/>
              <w:rPr>
                <w:rFonts w:ascii="Calibri" w:hAnsi="Calibri"/>
                <w:kern w:val="0"/>
                <w:szCs w:val="21"/>
              </w:rPr>
            </w:pPr>
            <w:bookmarkStart w:id="842" w:name="_Toc441149801"/>
            <w:r>
              <w:rPr>
                <w:rFonts w:hint="eastAsia" w:ascii="Calibri" w:hAnsi="Calibri"/>
                <w:kern w:val="0"/>
                <w:szCs w:val="21"/>
              </w:rPr>
              <w:t>施工图设计阶段咨询</w:t>
            </w:r>
            <w:bookmarkEnd w:id="842"/>
            <w:r>
              <w:rPr>
                <w:rFonts w:hint="eastAsia" w:ascii="Calibri" w:hAnsi="Calibri"/>
                <w:kern w:val="0"/>
                <w:szCs w:val="21"/>
              </w:rPr>
              <w:t>（含详勘定测</w:t>
            </w:r>
            <w:r>
              <w:rPr>
                <w:rFonts w:hint="eastAsia" w:ascii="宋体" w:hAnsi="宋体"/>
                <w:szCs w:val="21"/>
              </w:rPr>
              <w:t>咨询</w:t>
            </w:r>
            <w:r>
              <w:rPr>
                <w:rFonts w:hint="eastAsia" w:ascii="Calibri" w:hAnsi="Calibri"/>
                <w:kern w:val="0"/>
                <w:szCs w:val="21"/>
              </w:rPr>
              <w:t>）</w:t>
            </w:r>
          </w:p>
        </w:tc>
        <w:tc>
          <w:tcPr>
            <w:tcW w:w="2059" w:type="dxa"/>
            <w:vAlign w:val="center"/>
          </w:tcPr>
          <w:p>
            <w:pPr>
              <w:adjustRightInd w:val="0"/>
              <w:jc w:val="center"/>
              <w:textAlignment w:val="baseline"/>
              <w:rPr>
                <w:rFonts w:ascii="Calibri" w:hAnsi="Calibri"/>
                <w:kern w:val="0"/>
                <w:szCs w:val="21"/>
              </w:rPr>
            </w:pPr>
            <w:bookmarkStart w:id="843" w:name="_Toc441149802"/>
            <w:r>
              <w:rPr>
                <w:rFonts w:hint="eastAsia" w:ascii="Calibri" w:hAnsi="Calibri"/>
                <w:kern w:val="0"/>
                <w:szCs w:val="21"/>
              </w:rPr>
              <w:t>（投标人填写）</w:t>
            </w:r>
            <w:bookmarkEnd w:id="843"/>
          </w:p>
        </w:tc>
        <w:tc>
          <w:tcPr>
            <w:tcW w:w="4162" w:type="dxa"/>
            <w:vMerge w:val="continue"/>
            <w:vAlign w:val="center"/>
          </w:tcPr>
          <w:p>
            <w:pPr>
              <w:adjustRightInd w:val="0"/>
              <w:jc w:val="center"/>
              <w:textAlignment w:val="baseline"/>
              <w:rPr>
                <w:rFonts w:ascii="Calibri" w:hAnsi="Calibri"/>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814" w:type="dxa"/>
            <w:vAlign w:val="center"/>
          </w:tcPr>
          <w:p>
            <w:pPr>
              <w:adjustRightInd w:val="0"/>
              <w:jc w:val="center"/>
              <w:textAlignment w:val="baseline"/>
              <w:rPr>
                <w:rFonts w:ascii="Calibri" w:hAnsi="Calibri"/>
                <w:kern w:val="0"/>
                <w:szCs w:val="21"/>
              </w:rPr>
            </w:pPr>
            <w:bookmarkStart w:id="844" w:name="_Toc441149803"/>
            <w:r>
              <w:rPr>
                <w:rFonts w:hint="eastAsia" w:ascii="Calibri" w:hAnsi="Calibri"/>
                <w:kern w:val="0"/>
                <w:szCs w:val="21"/>
              </w:rPr>
              <w:t>3</w:t>
            </w:r>
            <w:bookmarkEnd w:id="844"/>
          </w:p>
        </w:tc>
        <w:tc>
          <w:tcPr>
            <w:tcW w:w="2095" w:type="dxa"/>
            <w:vAlign w:val="center"/>
          </w:tcPr>
          <w:p>
            <w:pPr>
              <w:adjustRightInd w:val="0"/>
              <w:jc w:val="center"/>
              <w:textAlignment w:val="baseline"/>
              <w:rPr>
                <w:rFonts w:ascii="Calibri" w:hAnsi="Calibri"/>
                <w:kern w:val="0"/>
                <w:szCs w:val="21"/>
              </w:rPr>
            </w:pPr>
            <w:bookmarkStart w:id="845" w:name="_Toc441149804"/>
            <w:r>
              <w:rPr>
                <w:rFonts w:hint="eastAsia" w:ascii="Calibri" w:hAnsi="Calibri"/>
                <w:kern w:val="0"/>
                <w:szCs w:val="21"/>
              </w:rPr>
              <w:t>合计报价费率</w:t>
            </w:r>
            <w:bookmarkEnd w:id="845"/>
          </w:p>
        </w:tc>
        <w:tc>
          <w:tcPr>
            <w:tcW w:w="2059" w:type="dxa"/>
            <w:vAlign w:val="center"/>
          </w:tcPr>
          <w:p>
            <w:pPr>
              <w:adjustRightInd w:val="0"/>
              <w:jc w:val="center"/>
              <w:textAlignment w:val="baseline"/>
              <w:rPr>
                <w:rFonts w:ascii="Calibri" w:hAnsi="Calibri"/>
                <w:kern w:val="0"/>
                <w:szCs w:val="21"/>
              </w:rPr>
            </w:pPr>
            <w:bookmarkStart w:id="846" w:name="_Toc441149805"/>
            <w:r>
              <w:rPr>
                <w:rFonts w:hint="eastAsia" w:ascii="Calibri" w:hAnsi="Calibri"/>
                <w:kern w:val="0"/>
                <w:szCs w:val="21"/>
              </w:rPr>
              <w:t>（投标人填写）</w:t>
            </w:r>
            <w:bookmarkEnd w:id="846"/>
          </w:p>
        </w:tc>
        <w:tc>
          <w:tcPr>
            <w:tcW w:w="4162" w:type="dxa"/>
            <w:vAlign w:val="center"/>
          </w:tcPr>
          <w:p>
            <w:pPr>
              <w:adjustRightInd w:val="0"/>
              <w:jc w:val="center"/>
              <w:textAlignment w:val="baseline"/>
              <w:rPr>
                <w:rFonts w:ascii="Calibri" w:hAnsi="Calibri"/>
                <w:kern w:val="0"/>
                <w:szCs w:val="21"/>
              </w:rPr>
            </w:pPr>
            <w:r>
              <w:rPr>
                <w:rFonts w:hint="eastAsia" w:ascii="Calibri" w:hAnsi="Calibri"/>
                <w:kern w:val="0"/>
                <w:szCs w:val="21"/>
              </w:rPr>
              <w:t>3=1+2</w:t>
            </w:r>
          </w:p>
        </w:tc>
      </w:tr>
    </w:tbl>
    <w:p>
      <w:pPr>
        <w:adjustRightInd w:val="0"/>
        <w:textAlignment w:val="baseline"/>
        <w:rPr>
          <w:rFonts w:ascii="Calibri" w:hAnsi="Calibri"/>
          <w:kern w:val="0"/>
          <w:sz w:val="24"/>
          <w:szCs w:val="20"/>
        </w:rPr>
      </w:pPr>
      <w:r>
        <w:rPr>
          <w:rFonts w:hint="eastAsia" w:ascii="宋体" w:hAnsi="宋体"/>
          <w:szCs w:val="21"/>
        </w:rPr>
        <w:t>注：报价费率以百分率为单位，保留小数点后4位，如0.0123%。</w:t>
      </w:r>
    </w:p>
    <w:p>
      <w:pPr>
        <w:adjustRightInd w:val="0"/>
        <w:textAlignment w:val="baseline"/>
        <w:rPr>
          <w:rFonts w:ascii="Calibri" w:hAnsi="Calibri"/>
          <w:kern w:val="0"/>
          <w:sz w:val="24"/>
          <w:szCs w:val="20"/>
        </w:rPr>
      </w:pPr>
    </w:p>
    <w:p>
      <w:pPr>
        <w:overflowPunct w:val="0"/>
        <w:autoSpaceDN w:val="0"/>
        <w:adjustRightInd w:val="0"/>
        <w:spacing w:line="480" w:lineRule="exact"/>
        <w:ind w:firstLine="480" w:firstLineChars="200"/>
        <w:jc w:val="left"/>
        <w:textAlignment w:val="baseline"/>
        <w:rPr>
          <w:rFonts w:ascii="黑体" w:hAnsi="黑体" w:eastAsia="黑体" w:cs="SimSun-Identity-H"/>
          <w:kern w:val="0"/>
          <w:sz w:val="24"/>
          <w:szCs w:val="20"/>
        </w:rPr>
      </w:pPr>
      <w:bookmarkStart w:id="847" w:name="_Toc441149807"/>
    </w:p>
    <w:p>
      <w:pPr>
        <w:overflowPunct w:val="0"/>
        <w:autoSpaceDN w:val="0"/>
        <w:adjustRightInd w:val="0"/>
        <w:spacing w:line="480" w:lineRule="exact"/>
        <w:ind w:firstLine="480" w:firstLineChars="200"/>
        <w:jc w:val="left"/>
        <w:textAlignment w:val="baseline"/>
        <w:rPr>
          <w:rFonts w:ascii="黑体" w:hAnsi="黑体" w:eastAsia="黑体" w:cs="SimSun-Identity-H"/>
          <w:kern w:val="0"/>
          <w:sz w:val="24"/>
          <w:szCs w:val="20"/>
        </w:rPr>
      </w:pPr>
      <w:r>
        <w:rPr>
          <w:rFonts w:hint="eastAsia" w:ascii="黑体" w:hAnsi="黑体" w:eastAsia="黑体" w:cs="SimSun-Identity-H"/>
          <w:kern w:val="0"/>
          <w:sz w:val="24"/>
          <w:szCs w:val="20"/>
        </w:rPr>
        <w:t>B.报价</w:t>
      </w:r>
      <w:bookmarkEnd w:id="847"/>
    </w:p>
    <w:tbl>
      <w:tblPr>
        <w:tblStyle w:val="47"/>
        <w:tblW w:w="91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1980"/>
        <w:gridCol w:w="50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2088" w:type="dxa"/>
            <w:vAlign w:val="center"/>
          </w:tcPr>
          <w:p>
            <w:pPr>
              <w:adjustRightInd w:val="0"/>
              <w:spacing w:line="360" w:lineRule="atLeast"/>
              <w:jc w:val="center"/>
              <w:textAlignment w:val="baseline"/>
              <w:rPr>
                <w:rFonts w:ascii="Calibri" w:hAnsi="Calibri"/>
                <w:b/>
                <w:kern w:val="0"/>
                <w:szCs w:val="21"/>
              </w:rPr>
            </w:pPr>
            <w:bookmarkStart w:id="848" w:name="_Toc441149808"/>
            <w:r>
              <w:rPr>
                <w:rFonts w:hint="eastAsia" w:ascii="Calibri" w:hAnsi="Calibri"/>
                <w:b/>
                <w:kern w:val="0"/>
                <w:szCs w:val="21"/>
              </w:rPr>
              <w:t>项目</w:t>
            </w:r>
            <w:bookmarkEnd w:id="848"/>
          </w:p>
        </w:tc>
        <w:tc>
          <w:tcPr>
            <w:tcW w:w="1980" w:type="dxa"/>
            <w:vAlign w:val="center"/>
          </w:tcPr>
          <w:p>
            <w:pPr>
              <w:adjustRightInd w:val="0"/>
              <w:spacing w:line="360" w:lineRule="atLeast"/>
              <w:jc w:val="center"/>
              <w:textAlignment w:val="baseline"/>
              <w:rPr>
                <w:rFonts w:ascii="Calibri" w:hAnsi="Calibri"/>
                <w:b/>
                <w:kern w:val="0"/>
                <w:szCs w:val="21"/>
              </w:rPr>
            </w:pPr>
            <w:bookmarkStart w:id="849" w:name="_Toc441149809"/>
            <w:r>
              <w:rPr>
                <w:rFonts w:hint="eastAsia" w:ascii="Calibri" w:hAnsi="Calibri"/>
                <w:b/>
                <w:kern w:val="0"/>
                <w:szCs w:val="21"/>
              </w:rPr>
              <w:t>金额（万元）</w:t>
            </w:r>
            <w:bookmarkEnd w:id="849"/>
          </w:p>
        </w:tc>
        <w:tc>
          <w:tcPr>
            <w:tcW w:w="5062" w:type="dxa"/>
            <w:vAlign w:val="center"/>
          </w:tcPr>
          <w:p>
            <w:pPr>
              <w:adjustRightInd w:val="0"/>
              <w:spacing w:line="360" w:lineRule="atLeast"/>
              <w:jc w:val="center"/>
              <w:textAlignment w:val="baseline"/>
              <w:rPr>
                <w:rFonts w:ascii="Calibri" w:hAnsi="Calibri"/>
                <w:b/>
                <w:kern w:val="0"/>
                <w:szCs w:val="21"/>
              </w:rPr>
            </w:pPr>
            <w:bookmarkStart w:id="850" w:name="_Toc441149810"/>
            <w:r>
              <w:rPr>
                <w:rFonts w:hint="eastAsia" w:ascii="Calibri" w:hAnsi="Calibri"/>
                <w:b/>
                <w:kern w:val="0"/>
                <w:szCs w:val="21"/>
              </w:rPr>
              <w:t>备注</w:t>
            </w:r>
            <w:bookmarkEnd w:id="85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9" w:hRule="atLeast"/>
        </w:trPr>
        <w:tc>
          <w:tcPr>
            <w:tcW w:w="2088" w:type="dxa"/>
            <w:vAlign w:val="center"/>
          </w:tcPr>
          <w:p>
            <w:pPr>
              <w:adjustRightInd w:val="0"/>
              <w:spacing w:line="360" w:lineRule="atLeast"/>
              <w:jc w:val="center"/>
              <w:textAlignment w:val="baseline"/>
              <w:rPr>
                <w:rFonts w:ascii="Calibri" w:hAnsi="Calibri"/>
                <w:kern w:val="0"/>
                <w:szCs w:val="21"/>
              </w:rPr>
            </w:pPr>
            <w:bookmarkStart w:id="851" w:name="_Toc441149811"/>
            <w:r>
              <w:rPr>
                <w:rFonts w:hint="eastAsia" w:ascii="Calibri" w:hAnsi="Calibri"/>
                <w:kern w:val="0"/>
                <w:szCs w:val="21"/>
              </w:rPr>
              <w:t>估算建安费</w:t>
            </w:r>
            <w:bookmarkEnd w:id="851"/>
          </w:p>
        </w:tc>
        <w:tc>
          <w:tcPr>
            <w:tcW w:w="1980" w:type="dxa"/>
            <w:vAlign w:val="center"/>
          </w:tcPr>
          <w:p>
            <w:pPr>
              <w:adjustRightInd w:val="0"/>
              <w:spacing w:line="360" w:lineRule="atLeast"/>
              <w:textAlignment w:val="baseline"/>
              <w:rPr>
                <w:rFonts w:ascii="Calibri" w:hAnsi="Calibri"/>
                <w:kern w:val="0"/>
                <w:szCs w:val="21"/>
                <w:u w:val="single"/>
              </w:rPr>
            </w:pPr>
          </w:p>
        </w:tc>
        <w:tc>
          <w:tcPr>
            <w:tcW w:w="5062" w:type="dxa"/>
            <w:vAlign w:val="center"/>
          </w:tcPr>
          <w:p>
            <w:pPr>
              <w:adjustRightInd w:val="0"/>
              <w:spacing w:line="360" w:lineRule="atLeast"/>
              <w:jc w:val="center"/>
              <w:textAlignment w:val="baseline"/>
              <w:rPr>
                <w:rFonts w:ascii="Calibri" w:hAnsi="Calibri"/>
                <w:kern w:val="0"/>
                <w:szCs w:val="21"/>
              </w:rPr>
            </w:pPr>
            <w:bookmarkStart w:id="852" w:name="_Toc441149812"/>
            <w:r>
              <w:rPr>
                <w:rFonts w:hint="eastAsia" w:ascii="Calibri" w:hAnsi="Calibri"/>
                <w:kern w:val="0"/>
                <w:szCs w:val="21"/>
              </w:rPr>
              <w:t>暂按本项目工可估算建安费计算</w:t>
            </w:r>
            <w:bookmarkEnd w:id="85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1" w:hRule="atLeast"/>
        </w:trPr>
        <w:tc>
          <w:tcPr>
            <w:tcW w:w="2088" w:type="dxa"/>
            <w:vAlign w:val="center"/>
          </w:tcPr>
          <w:p>
            <w:pPr>
              <w:adjustRightInd w:val="0"/>
              <w:spacing w:line="360" w:lineRule="atLeast"/>
              <w:jc w:val="center"/>
              <w:textAlignment w:val="baseline"/>
              <w:rPr>
                <w:rFonts w:ascii="Calibri" w:hAnsi="Calibri"/>
                <w:kern w:val="0"/>
                <w:szCs w:val="21"/>
              </w:rPr>
            </w:pPr>
            <w:bookmarkStart w:id="853" w:name="_Toc441149813"/>
            <w:r>
              <w:rPr>
                <w:rFonts w:hint="eastAsia" w:ascii="Calibri" w:hAnsi="Calibri"/>
                <w:kern w:val="0"/>
                <w:szCs w:val="21"/>
              </w:rPr>
              <w:t>合计报价费率</w:t>
            </w:r>
            <w:bookmarkEnd w:id="853"/>
          </w:p>
        </w:tc>
        <w:tc>
          <w:tcPr>
            <w:tcW w:w="1980" w:type="dxa"/>
            <w:vAlign w:val="center"/>
          </w:tcPr>
          <w:p>
            <w:pPr>
              <w:adjustRightInd w:val="0"/>
              <w:spacing w:line="360" w:lineRule="atLeast"/>
              <w:jc w:val="center"/>
              <w:textAlignment w:val="baseline"/>
              <w:rPr>
                <w:rFonts w:ascii="Calibri" w:hAnsi="Calibri"/>
                <w:kern w:val="0"/>
                <w:szCs w:val="21"/>
              </w:rPr>
            </w:pPr>
            <w:bookmarkStart w:id="854" w:name="_Toc441149814"/>
            <w:r>
              <w:rPr>
                <w:rFonts w:hint="eastAsia" w:ascii="Calibri" w:hAnsi="Calibri"/>
                <w:kern w:val="0"/>
                <w:szCs w:val="21"/>
              </w:rPr>
              <w:t>（投标人填写）</w:t>
            </w:r>
            <w:bookmarkEnd w:id="854"/>
          </w:p>
        </w:tc>
        <w:tc>
          <w:tcPr>
            <w:tcW w:w="5062" w:type="dxa"/>
            <w:vAlign w:val="center"/>
          </w:tcPr>
          <w:p>
            <w:pPr>
              <w:adjustRightInd w:val="0"/>
              <w:spacing w:line="360" w:lineRule="atLeast"/>
              <w:jc w:val="center"/>
              <w:textAlignment w:val="baseline"/>
              <w:rPr>
                <w:rFonts w:ascii="Calibri" w:hAnsi="Calibri"/>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2088" w:type="dxa"/>
            <w:vAlign w:val="center"/>
          </w:tcPr>
          <w:p>
            <w:pPr>
              <w:adjustRightInd w:val="0"/>
              <w:spacing w:line="360" w:lineRule="atLeast"/>
              <w:jc w:val="center"/>
              <w:textAlignment w:val="baseline"/>
              <w:rPr>
                <w:rFonts w:ascii="Calibri" w:hAnsi="Calibri"/>
                <w:kern w:val="0"/>
                <w:szCs w:val="21"/>
              </w:rPr>
            </w:pPr>
            <w:bookmarkStart w:id="855" w:name="_Toc441149815"/>
            <w:r>
              <w:rPr>
                <w:rFonts w:hint="eastAsia" w:ascii="Calibri" w:hAnsi="Calibri"/>
                <w:kern w:val="0"/>
                <w:szCs w:val="21"/>
              </w:rPr>
              <w:t>投标总报价</w:t>
            </w:r>
            <w:bookmarkEnd w:id="855"/>
          </w:p>
        </w:tc>
        <w:tc>
          <w:tcPr>
            <w:tcW w:w="1980" w:type="dxa"/>
            <w:vAlign w:val="center"/>
          </w:tcPr>
          <w:p>
            <w:pPr>
              <w:adjustRightInd w:val="0"/>
              <w:spacing w:line="360" w:lineRule="atLeast"/>
              <w:jc w:val="center"/>
              <w:textAlignment w:val="baseline"/>
              <w:rPr>
                <w:rFonts w:ascii="Calibri" w:hAnsi="Calibri"/>
                <w:kern w:val="0"/>
                <w:szCs w:val="21"/>
              </w:rPr>
            </w:pPr>
            <w:bookmarkStart w:id="856" w:name="_Toc441149816"/>
            <w:r>
              <w:rPr>
                <w:rFonts w:hint="eastAsia" w:ascii="Calibri" w:hAnsi="Calibri"/>
                <w:kern w:val="0"/>
                <w:szCs w:val="21"/>
              </w:rPr>
              <w:t>（投标人填写）</w:t>
            </w:r>
            <w:bookmarkEnd w:id="856"/>
          </w:p>
        </w:tc>
        <w:tc>
          <w:tcPr>
            <w:tcW w:w="5062" w:type="dxa"/>
            <w:vAlign w:val="center"/>
          </w:tcPr>
          <w:p>
            <w:pPr>
              <w:adjustRightInd w:val="0"/>
              <w:spacing w:line="360" w:lineRule="atLeast"/>
              <w:jc w:val="center"/>
              <w:textAlignment w:val="baseline"/>
              <w:rPr>
                <w:rFonts w:ascii="Calibri" w:hAnsi="Calibri"/>
                <w:kern w:val="0"/>
                <w:szCs w:val="21"/>
              </w:rPr>
            </w:pPr>
            <w:bookmarkStart w:id="857" w:name="_Toc441149817"/>
            <w:r>
              <w:rPr>
                <w:rFonts w:hint="eastAsia" w:ascii="Calibri" w:hAnsi="Calibri"/>
                <w:kern w:val="0"/>
                <w:szCs w:val="21"/>
              </w:rPr>
              <w:t>=合计报价费率×估算建安费</w:t>
            </w:r>
            <w:bookmarkEnd w:id="857"/>
          </w:p>
        </w:tc>
      </w:tr>
    </w:tbl>
    <w:p>
      <w:pPr>
        <w:pStyle w:val="2"/>
        <w:spacing w:after="0" w:line="360" w:lineRule="auto"/>
        <w:jc w:val="center"/>
        <w:rPr>
          <w:rFonts w:hAnsi="宋体"/>
          <w:sz w:val="24"/>
        </w:rPr>
      </w:pPr>
    </w:p>
    <w:p/>
    <w:p/>
    <w:sectPr>
      <w:footnotePr>
        <w:numRestart w:val="eachPage"/>
      </w:footnotePr>
      <w:pgSz w:w="11905" w:h="16838"/>
      <w:pgMar w:top="1803" w:right="1440" w:bottom="1803" w:left="1440"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Arial Unicode MS">
    <w:altName w:val="DejaVu Sans"/>
    <w:panose1 w:val="020B0604020202020204"/>
    <w:charset w:val="86"/>
    <w:family w:val="swiss"/>
    <w:pitch w:val="default"/>
    <w:sig w:usb0="00000000" w:usb1="00000000" w:usb2="0000003F" w:usb3="00000000" w:csb0="603F01FF" w:csb1="FFFF0000"/>
  </w:font>
  <w:font w:name="Plotter">
    <w:altName w:val="Noto Serif CJK JP"/>
    <w:panose1 w:val="00000000000000000000"/>
    <w:charset w:val="00"/>
    <w:family w:val="roman"/>
    <w:pitch w:val="default"/>
    <w:sig w:usb0="00000000" w:usb1="00000000" w:usb2="00000000" w:usb3="00000000" w:csb0="00040001" w:csb1="00000000"/>
  </w:font>
  <w:font w:name="Garamond">
    <w:altName w:val="Noto Serif Bengali"/>
    <w:panose1 w:val="02020404030301010803"/>
    <w:charset w:val="00"/>
    <w:family w:val="roman"/>
    <w:pitch w:val="default"/>
    <w:sig w:usb0="00000000" w:usb1="00000000" w:usb2="00000000" w:usb3="00000000" w:csb0="0000009F" w:csb1="DFD70000"/>
  </w:font>
  <w:font w:name="MingLiU">
    <w:altName w:val="方正书宋_GBK"/>
    <w:panose1 w:val="02010609000101010101"/>
    <w:charset w:val="88"/>
    <w:family w:val="modern"/>
    <w:pitch w:val="default"/>
    <w:sig w:usb0="00000000" w:usb1="00000000" w:usb2="00000010" w:usb3="00000000" w:csb0="00100000" w:csb1="00000000"/>
  </w:font>
  <w:font w:name="创艺简老宋">
    <w:altName w:val="方正书宋_GBK"/>
    <w:panose1 w:val="00000000000000000000"/>
    <w:charset w:val="86"/>
    <w:family w:val="auto"/>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宋三简体">
    <w:altName w:val="方正书宋_GBK"/>
    <w:panose1 w:val="00000000000000000000"/>
    <w:charset w:val="86"/>
    <w:family w:val="auto"/>
    <w:pitch w:val="default"/>
    <w:sig w:usb0="00000000" w:usb1="00000000" w:usb2="00000010" w:usb3="00000000" w:csb0="00040000" w:csb1="00000000"/>
  </w:font>
  <w:font w:name="TimesNewRomanPSMT">
    <w:altName w:val="DejaVu Sans"/>
    <w:panose1 w:val="00000000000000000000"/>
    <w:charset w:val="00"/>
    <w:family w:val="roman"/>
    <w:pitch w:val="default"/>
    <w:sig w:usb0="00000000" w:usb1="00000000" w:usb2="00000000" w:usb3="00000000" w:csb0="00000001" w:csb1="00000000"/>
  </w:font>
  <w:font w:name="AngsanaUPC">
    <w:altName w:val="Noto Sans Thai"/>
    <w:panose1 w:val="00000000000000000000"/>
    <w:charset w:val="DE"/>
    <w:family w:val="roman"/>
    <w:pitch w:val="default"/>
    <w:sig w:usb0="00000000" w:usb1="00000000" w:usb2="00000000" w:usb3="00000000" w:csb0="00010001" w:csb1="00000000"/>
  </w:font>
  <w:font w:name="华文彩云">
    <w:altName w:val="汉仪中宋简"/>
    <w:panose1 w:val="0201080004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MingLiU_HKSCS">
    <w:altName w:val="Droid Sans Fallback"/>
    <w:panose1 w:val="00000000000000000000"/>
    <w:charset w:val="88"/>
    <w:family w:val="roman"/>
    <w:pitch w:val="default"/>
    <w:sig w:usb0="00000000" w:usb1="00000000" w:usb2="00000016" w:usb3="00000000" w:csb0="00100001" w:csb1="00000000"/>
  </w:font>
  <w:font w:name="SimSun-Identity-H">
    <w:altName w:val="方正细黑一_GBK"/>
    <w:panose1 w:val="00000000000000000000"/>
    <w:charset w:val="86"/>
    <w:family w:val="auto"/>
    <w:pitch w:val="default"/>
    <w:sig w:usb0="00000000" w:usb1="00000000" w:usb2="0000001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CIDFont + F1">
    <w:altName w:val="Noto Serif CJK JP"/>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line="240" w:lineRule="exact"/>
      <w:ind w:right="360" w:firstLine="360"/>
      <w:jc w:val="center"/>
      <w:rPr>
        <w:rFonts w:eastAsia="黑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51</w:t>
    </w:r>
    <w:r>
      <w:rPr>
        <w:lang w:val="zh-CN"/>
      </w:rPr>
      <w:fldChar w:fldCharType="end"/>
    </w:r>
  </w:p>
  <w:p>
    <w:pPr>
      <w:pStyle w:val="31"/>
      <w:spacing w:line="240" w:lineRule="exact"/>
      <w:ind w:right="360" w:firstLine="360"/>
      <w:jc w:val="center"/>
      <w:rPr>
        <w:rFonts w:eastAsia="黑体"/>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52</w:t>
    </w:r>
    <w:r>
      <w:rPr>
        <w:lang w:val="zh-CN"/>
      </w:rPr>
      <w:fldChar w:fldCharType="end"/>
    </w:r>
  </w:p>
  <w:p>
    <w:pPr>
      <w:pStyle w:val="31"/>
      <w:spacing w:line="240" w:lineRule="exact"/>
      <w:ind w:right="360" w:firstLine="360"/>
      <w:jc w:val="center"/>
      <w:rPr>
        <w:rFonts w:eastAsia="黑体"/>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121</w:t>
    </w:r>
    <w:r>
      <w:rPr>
        <w:lang w:val="zh-CN"/>
      </w:rPr>
      <w:fldChar w:fldCharType="end"/>
    </w:r>
  </w:p>
  <w:p>
    <w:pPr>
      <w:pStyle w:val="31"/>
      <w:spacing w:line="240" w:lineRule="exact"/>
      <w:ind w:right="360" w:firstLine="360"/>
      <w:jc w:val="center"/>
      <w:rPr>
        <w:rFonts w:eastAsia="黑体"/>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130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4</w:t>
    </w:r>
    <w:r>
      <w:rPr>
        <w:lang w:val="zh-CN"/>
      </w:rPr>
      <w:fldChar w:fldCharType="end"/>
    </w:r>
  </w:p>
  <w:p>
    <w:pPr>
      <w:pStyle w:val="31"/>
      <w:spacing w:line="240" w:lineRule="exact"/>
      <w:ind w:right="360" w:firstLine="360"/>
      <w:jc w:val="center"/>
      <w:rPr>
        <w:rFonts w:eastAsia="黑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4</w:t>
    </w:r>
    <w:r>
      <w:rPr>
        <w:lang w:val="zh-CN"/>
      </w:rPr>
      <w:fldChar w:fldCharType="end"/>
    </w:r>
  </w:p>
  <w:p>
    <w:pPr>
      <w:pStyle w:val="31"/>
      <w:spacing w:line="240" w:lineRule="exact"/>
      <w:ind w:right="360" w:firstLine="360"/>
      <w:jc w:val="center"/>
      <w:rPr>
        <w:rFonts w:eastAsia="黑体"/>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11</w:t>
    </w:r>
    <w:r>
      <w:rPr>
        <w:lang w:val="zh-CN"/>
      </w:rPr>
      <w:fldChar w:fldCharType="end"/>
    </w:r>
  </w:p>
  <w:p>
    <w:pPr>
      <w:pStyle w:val="31"/>
      <w:spacing w:line="240" w:lineRule="exact"/>
      <w:ind w:right="360" w:firstLine="360"/>
      <w:jc w:val="center"/>
      <w:rPr>
        <w:rFonts w:eastAsia="黑体"/>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45</w:t>
    </w:r>
    <w:r>
      <w:rPr>
        <w:lang w:val="zh-CN"/>
      </w:rPr>
      <w:fldChar w:fldCharType="end"/>
    </w:r>
  </w:p>
  <w:p>
    <w:pPr>
      <w:pStyle w:val="31"/>
      <w:spacing w:line="240" w:lineRule="exact"/>
      <w:ind w:right="360" w:firstLine="360"/>
      <w:jc w:val="center"/>
      <w:rPr>
        <w:rFonts w:eastAsia="黑体"/>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72">
    <w:p>
      <w:r>
        <w:separator/>
      </w:r>
    </w:p>
  </w:footnote>
  <w:footnote w:type="continuationSeparator" w:id="173">
    <w:p>
      <w:r>
        <w:continuationSeparator/>
      </w:r>
    </w:p>
  </w:footnote>
  <w:footnote w:id="0">
    <w:p>
      <w:pPr>
        <w:pStyle w:val="36"/>
        <w:ind w:firstLine="0"/>
        <w:rPr>
          <w:kern w:val="2"/>
        </w:rPr>
      </w:pPr>
      <w:r>
        <w:rPr>
          <w:rStyle w:val="56"/>
          <w:vertAlign w:val="baseline"/>
        </w:rPr>
        <w:footnoteRef/>
      </w:r>
      <w:r>
        <w:rPr>
          <w:rFonts w:hint="eastAsia"/>
        </w:rPr>
        <w:t>正式发售的招标文件应有招标人和招标代理机构（如有）加盖的印章。</w:t>
      </w:r>
    </w:p>
  </w:footnote>
  <w:footnote w:id="1">
    <w:p>
      <w:pPr>
        <w:pStyle w:val="36"/>
        <w:adjustRightInd/>
        <w:snapToGrid/>
        <w:spacing w:line="240" w:lineRule="auto"/>
        <w:ind w:firstLine="0"/>
        <w:rPr>
          <w:rFonts w:ascii="宋体" w:hAnsi="宋体"/>
          <w:szCs w:val="18"/>
        </w:rPr>
      </w:pPr>
      <w:r>
        <w:rPr>
          <w:rFonts w:hint="eastAsia" w:ascii="宋体" w:hAnsi="宋体"/>
          <w:szCs w:val="18"/>
        </w:rPr>
        <w:footnoteRef/>
      </w:r>
      <w:r>
        <w:rPr>
          <w:rFonts w:hint="eastAsia" w:ascii="宋体" w:hAnsi="宋体"/>
          <w:szCs w:val="18"/>
        </w:rPr>
        <w:t>招标人可根据项目具体特点和实际需要对本章内容进行补充、细化，但应遵守《中华人民共和国招标投标法》和《招标公告和公示信息发布管理办法》等有关法律法规的规定。</w:t>
      </w:r>
    </w:p>
  </w:footnote>
  <w:footnote w:id="2">
    <w:p>
      <w:pPr>
        <w:pStyle w:val="36"/>
        <w:adjustRightInd/>
        <w:snapToGrid/>
        <w:spacing w:line="240" w:lineRule="auto"/>
        <w:ind w:firstLine="0"/>
        <w:rPr>
          <w:rFonts w:ascii="宋体" w:hAnsi="宋体"/>
          <w:szCs w:val="18"/>
        </w:rPr>
      </w:pPr>
      <w:r>
        <w:rPr>
          <w:rFonts w:hint="eastAsia" w:ascii="宋体" w:hAnsi="宋体"/>
          <w:szCs w:val="18"/>
        </w:rPr>
        <w:footnoteRef/>
      </w:r>
      <w:r>
        <w:rPr>
          <w:rFonts w:hint="eastAsia" w:ascii="宋体" w:hAnsi="宋体"/>
          <w:szCs w:val="18"/>
        </w:rPr>
        <w:t>服务期限应与招标项目的工作内容相对应，如服务期限至项目完成竣工决算止，则招标项目的工作内容及合同条款同时调整，下同。</w:t>
      </w:r>
    </w:p>
  </w:footnote>
  <w:footnote w:id="3">
    <w:p>
      <w:pPr>
        <w:pStyle w:val="36"/>
        <w:adjustRightInd/>
        <w:snapToGrid/>
        <w:spacing w:line="240" w:lineRule="auto"/>
        <w:ind w:firstLine="0"/>
        <w:rPr>
          <w:rFonts w:ascii="宋体" w:hAnsi="宋体"/>
          <w:szCs w:val="18"/>
        </w:rPr>
      </w:pPr>
      <w:r>
        <w:rPr>
          <w:rFonts w:hint="eastAsia" w:ascii="宋体" w:hAnsi="宋体"/>
          <w:szCs w:val="18"/>
        </w:rPr>
        <w:footnoteRef/>
      </w:r>
      <w:r>
        <w:rPr>
          <w:rFonts w:hint="eastAsia" w:ascii="宋体" w:hAnsi="宋体"/>
          <w:szCs w:val="18"/>
        </w:rPr>
        <w:t>招标人可根据招标项目的实际情况进行工作内容的调整，下同。</w:t>
      </w:r>
    </w:p>
  </w:footnote>
  <w:footnote w:id="4">
    <w:p>
      <w:pPr>
        <w:pStyle w:val="36"/>
        <w:adjustRightInd/>
        <w:snapToGrid/>
        <w:spacing w:line="240" w:lineRule="auto"/>
        <w:ind w:firstLine="0"/>
        <w:rPr>
          <w:szCs w:val="18"/>
        </w:rPr>
      </w:pPr>
      <w:r>
        <w:rPr>
          <w:rFonts w:hint="eastAsia" w:ascii="宋体" w:hAnsi="宋体"/>
          <w:szCs w:val="18"/>
        </w:rPr>
        <w:footnoteRef/>
      </w:r>
      <w:r>
        <w:rPr>
          <w:rFonts w:hint="eastAsia" w:ascii="宋体" w:hAnsi="宋体"/>
          <w:szCs w:val="18"/>
        </w:rPr>
        <w:t>招标人根据招标项目的实际工作需要可将下述工作内容纳入勘察设计咨询招标的招标范围，如：工程量清单（含清</w:t>
      </w:r>
      <w:r>
        <w:rPr>
          <w:rFonts w:hint="eastAsia"/>
          <w:szCs w:val="18"/>
        </w:rPr>
        <w:t>单预算）文件审核、专题研究咨询、设计变更咨询、竣工决算造价咨询、安全风险评估等，下同。</w:t>
      </w:r>
    </w:p>
  </w:footnote>
  <w:footnote w:id="5">
    <w:p>
      <w:pPr>
        <w:pStyle w:val="36"/>
        <w:spacing w:line="240" w:lineRule="auto"/>
        <w:ind w:firstLine="0"/>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招标人按项目实际情况设置是否接受联合体投标。</w:t>
      </w:r>
    </w:p>
  </w:footnote>
  <w:footnote w:id="6">
    <w:p>
      <w:pPr>
        <w:pStyle w:val="36"/>
        <w:spacing w:line="240" w:lineRule="auto"/>
        <w:ind w:firstLine="0"/>
        <w:rPr>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若联合体协议约定同一专业分工由两个及以上单位共同承担的，按照就低不就高的原则确定联合体的资质；不同专业分工由不同单位分别承担的，按照各自的专业资质确定联合体的资质，下同。</w:t>
      </w:r>
    </w:p>
  </w:footnote>
  <w:footnote w:id="7">
    <w:p>
      <w:pPr>
        <w:pStyle w:val="36"/>
        <w:snapToGrid/>
        <w:spacing w:line="240" w:lineRule="auto"/>
        <w:ind w:firstLine="0"/>
        <w:rPr>
          <w:rFonts w:asciiTheme="minorEastAsia" w:hAnsiTheme="minorEastAsia" w:eastAsiaTheme="minorEastAsia"/>
          <w:szCs w:val="18"/>
        </w:rPr>
      </w:pPr>
      <w:r>
        <w:rPr>
          <w:rFonts w:hint="eastAsia" w:asciiTheme="minorEastAsia" w:hAnsiTheme="minorEastAsia" w:eastAsiaTheme="minorEastAsia"/>
          <w:szCs w:val="18"/>
        </w:rPr>
        <w:footnoteRef/>
      </w:r>
      <w:bookmarkStart w:id="858" w:name="_Hlk124533512"/>
      <w:r>
        <w:rPr>
          <w:rFonts w:hint="eastAsia" w:asciiTheme="minorEastAsia" w:hAnsiTheme="minorEastAsia" w:eastAsiaTheme="minorEastAsia"/>
          <w:szCs w:val="18"/>
        </w:rPr>
        <w:t>本条适用于多个标段同时进行招标的情形。</w:t>
      </w:r>
      <w:bookmarkEnd w:id="858"/>
    </w:p>
  </w:footnote>
  <w:footnote w:id="8">
    <w:p>
      <w:pPr>
        <w:pStyle w:val="36"/>
        <w:spacing w:line="240" w:lineRule="auto"/>
        <w:ind w:firstLine="0"/>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 xml:space="preserve">单位负责人是指单位的法定代表人或者法律、行政法规规定代表单位行使职权的主要负责人。 </w:t>
      </w:r>
    </w:p>
  </w:footnote>
  <w:footnote w:id="9">
    <w:p>
      <w:pPr>
        <w:pStyle w:val="36"/>
        <w:spacing w:line="240" w:lineRule="auto"/>
        <w:ind w:firstLine="0"/>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控股是指：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footnote>
  <w:footnote w:id="10">
    <w:p>
      <w:pPr>
        <w:pStyle w:val="36"/>
        <w:spacing w:line="240" w:lineRule="auto"/>
        <w:ind w:firstLine="0"/>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管理关系是指不具有出资持股关系的其它单位之间存在的管理与被管理关系。</w:t>
      </w:r>
    </w:p>
  </w:footnote>
  <w:footnote w:id="11">
    <w:p>
      <w:pPr>
        <w:pStyle w:val="36"/>
        <w:spacing w:line="240" w:lineRule="auto"/>
        <w:ind w:firstLine="0"/>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招标人可根据交易服务平台要求对此条进行修改完善。采用网上投标登记或购买招标文件的，应根据交易服务平台流程进行修改。</w:t>
      </w:r>
    </w:p>
  </w:footnote>
  <w:footnote w:id="12">
    <w:p>
      <w:pPr>
        <w:pStyle w:val="36"/>
        <w:spacing w:line="240" w:lineRule="auto"/>
        <w:ind w:firstLine="0"/>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每套招标文件售价只计工本费，最高不超过1000元（不含参考资料部分）；前期技术资料等参考资料每套售价价最高不超过2000元，鼓励以电子本文方式提供。</w:t>
      </w:r>
    </w:p>
  </w:footnote>
  <w:footnote w:id="13">
    <w:p>
      <w:pPr>
        <w:pStyle w:val="36"/>
        <w:spacing w:line="240" w:lineRule="auto"/>
        <w:ind w:left="180" w:hanging="180" w:hangingChars="100"/>
        <w:jc w:val="both"/>
        <w:rPr>
          <w:szCs w:val="18"/>
        </w:rPr>
      </w:pPr>
      <w:r>
        <w:rPr>
          <w:rStyle w:val="56"/>
          <w:rFonts w:ascii="宋体" w:hAnsi="宋体"/>
          <w:vertAlign w:val="baseline"/>
        </w:rPr>
        <w:footnoteRef/>
      </w:r>
      <w:r>
        <w:rPr>
          <w:rFonts w:hint="eastAsia"/>
        </w:rPr>
        <w:t>依法必须进行招标的水运工程，</w:t>
      </w:r>
      <w:r>
        <w:rPr>
          <w:rFonts w:hint="eastAsia"/>
          <w:szCs w:val="18"/>
        </w:rPr>
        <w:t>自招标文件开始发售之日起至投标人递交投标文件截止之日止，不得少于20日。</w:t>
      </w:r>
    </w:p>
  </w:footnote>
  <w:footnote w:id="14">
    <w:p>
      <w:pPr>
        <w:pStyle w:val="36"/>
        <w:spacing w:line="240" w:lineRule="auto"/>
        <w:ind w:left="180" w:hanging="180" w:hangingChars="100"/>
        <w:jc w:val="both"/>
        <w:rPr>
          <w:szCs w:val="18"/>
        </w:rPr>
      </w:pPr>
      <w:r>
        <w:rPr>
          <w:rStyle w:val="56"/>
          <w:rFonts w:ascii="宋体" w:hAnsi="宋体"/>
          <w:vertAlign w:val="baseline"/>
        </w:rPr>
        <w:footnoteRef/>
      </w:r>
      <w:r>
        <w:rPr>
          <w:rFonts w:hint="eastAsia"/>
        </w:rPr>
        <w:t>招标公告还可同时在中国招标投标公共服务平台发布。</w:t>
      </w:r>
    </w:p>
  </w:footnote>
  <w:footnote w:id="15">
    <w:p>
      <w:pPr>
        <w:pStyle w:val="36"/>
        <w:spacing w:line="240" w:lineRule="auto"/>
        <w:ind w:firstLine="0"/>
        <w:rPr>
          <w:rFonts w:ascii="宋体" w:hAnsi="宋体"/>
        </w:rPr>
      </w:pPr>
      <w:r>
        <w:rPr>
          <w:rStyle w:val="56"/>
          <w:rFonts w:ascii="宋体" w:hAnsi="宋体"/>
          <w:vertAlign w:val="baseline"/>
        </w:rPr>
        <w:footnoteRef/>
      </w:r>
      <w:r>
        <w:rPr>
          <w:rFonts w:hint="eastAsia" w:ascii="宋体" w:hAnsi="宋体"/>
        </w:rPr>
        <w:t>投标登记的单位家数满足</w:t>
      </w:r>
      <w:r>
        <w:rPr>
          <w:rFonts w:ascii="宋体" w:hAnsi="宋体"/>
        </w:rPr>
        <w:t>3家的</w:t>
      </w:r>
      <w:r>
        <w:rPr>
          <w:rFonts w:hint="eastAsia" w:ascii="宋体" w:hAnsi="宋体"/>
        </w:rPr>
        <w:t>标段是否不再延长投标登记时间由招标人根据实际情况自行设定。</w:t>
      </w:r>
    </w:p>
  </w:footnote>
  <w:footnote w:id="16">
    <w:p>
      <w:pPr>
        <w:pStyle w:val="36"/>
        <w:spacing w:line="240" w:lineRule="auto"/>
        <w:ind w:firstLine="0"/>
        <w:rPr>
          <w:rStyle w:val="56"/>
          <w:rFonts w:ascii="宋体" w:hAnsi="宋体"/>
          <w:vertAlign w:val="baseline"/>
        </w:rPr>
      </w:pPr>
      <w:r>
        <w:rPr>
          <w:rStyle w:val="56"/>
          <w:rFonts w:ascii="宋体" w:hAnsi="宋体"/>
          <w:vertAlign w:val="baseline"/>
        </w:rPr>
        <w:footnoteRef/>
      </w:r>
      <w:r>
        <w:rPr>
          <w:rFonts w:hint="eastAsia" w:ascii="宋体" w:hAnsi="宋体"/>
        </w:rPr>
        <w:t>发布招标公告时，应将招标公告附件1和附件2同时发布。</w:t>
      </w:r>
    </w:p>
  </w:footnote>
  <w:footnote w:id="17">
    <w:p>
      <w:pPr>
        <w:pStyle w:val="36"/>
        <w:adjustRightInd/>
        <w:snapToGrid/>
        <w:spacing w:line="240" w:lineRule="auto"/>
        <w:ind w:firstLine="0"/>
        <w:jc w:val="both"/>
        <w:rPr>
          <w:szCs w:val="18"/>
        </w:rPr>
      </w:pPr>
      <w:r>
        <w:rPr>
          <w:rStyle w:val="56"/>
          <w:rFonts w:ascii="宋体" w:hAnsi="宋体"/>
          <w:vertAlign w:val="baseline"/>
        </w:rPr>
        <w:footnoteRef/>
      </w:r>
      <w:r>
        <w:rPr>
          <w:rFonts w:hint="eastAsia" w:ascii="宋体" w:hAnsi="宋体"/>
        </w:rPr>
        <w:t>本章仅适用于采用邀请招标方式。招标人可根据项目具体特点和实际需要对本章内容进行补充、细化，但应遵守《中华人民共和国招标投标法》和《招标公告和公示信息发布管理办法》等有关法律法规的规定。</w:t>
      </w:r>
    </w:p>
  </w:footnote>
  <w:footnote w:id="18">
    <w:p>
      <w:pPr>
        <w:pStyle w:val="36"/>
        <w:adjustRightInd/>
        <w:snapToGrid/>
        <w:spacing w:line="240" w:lineRule="auto"/>
        <w:ind w:firstLine="0"/>
        <w:rPr>
          <w:rFonts w:ascii="宋体" w:hAnsi="宋体"/>
        </w:rPr>
      </w:pPr>
      <w:r>
        <w:rPr>
          <w:rFonts w:hint="eastAsia" w:ascii="宋体" w:hAnsi="宋体"/>
          <w:szCs w:val="18"/>
        </w:rPr>
        <w:footnoteRef/>
      </w:r>
      <w:r>
        <w:rPr>
          <w:rFonts w:ascii="宋体" w:hAnsi="宋体"/>
          <w:szCs w:val="18"/>
        </w:rPr>
        <w:t>招标人按项目实际情况设置是否接受联合体投标。</w:t>
      </w:r>
    </w:p>
  </w:footnote>
  <w:footnote w:id="19">
    <w:p>
      <w:pPr>
        <w:pStyle w:val="36"/>
        <w:adjustRightInd/>
        <w:snapToGrid/>
        <w:spacing w:line="240" w:lineRule="auto"/>
        <w:ind w:firstLine="0"/>
        <w:rPr>
          <w:rFonts w:ascii="宋体" w:hAnsi="宋体"/>
        </w:rPr>
      </w:pPr>
      <w:r>
        <w:rPr>
          <w:rStyle w:val="56"/>
          <w:rFonts w:ascii="宋体" w:hAnsi="宋体"/>
          <w:vertAlign w:val="baseline"/>
        </w:rPr>
        <w:footnoteRef/>
      </w:r>
      <w:r>
        <w:rPr>
          <w:rFonts w:ascii="宋体" w:hAnsi="宋体"/>
          <w:szCs w:val="18"/>
        </w:rPr>
        <w:t>若联合体协议约定同一专业分工由两个及以上单位共同承担的，按照就低不就高的原则确定联合体的资质；不同专业分工由不同单位分别承担的，按照各自的专业资质确定联合体的资质，下同。</w:t>
      </w:r>
    </w:p>
  </w:footnote>
  <w:footnote w:id="20">
    <w:p>
      <w:pPr>
        <w:pStyle w:val="36"/>
        <w:keepLines/>
        <w:spacing w:line="240" w:lineRule="auto"/>
        <w:ind w:firstLine="0"/>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每套招标文件售价只计工本费，最高不超过1000元（不含参考资料部分）；前期技术资料等参考资料每套售价价最高不超过2000元，鼓励以电子本文方式提供。</w:t>
      </w:r>
    </w:p>
  </w:footnote>
  <w:footnote w:id="21">
    <w:p>
      <w:pPr>
        <w:pStyle w:val="36"/>
        <w:widowControl/>
        <w:adjustRightInd/>
        <w:snapToGrid/>
        <w:spacing w:line="240" w:lineRule="auto"/>
        <w:ind w:firstLine="0"/>
        <w:textAlignment w:val="auto"/>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a. “投标人须知前附表”用于进一步明确正文中的未尽事宜，由招标人根据招标项目具体特点和实际需要编制和填写，且应与招标文件中其他章节相衔接，并不得与本章正文内容相抵触。</w:t>
      </w:r>
    </w:p>
    <w:p>
      <w:pPr>
        <w:pStyle w:val="36"/>
        <w:widowControl/>
        <w:adjustRightInd/>
        <w:snapToGrid/>
        <w:spacing w:line="240" w:lineRule="auto"/>
        <w:ind w:firstLine="0"/>
        <w:textAlignment w:val="auto"/>
        <w:rPr>
          <w:rFonts w:asciiTheme="minorEastAsia" w:hAnsiTheme="minorEastAsia" w:eastAsiaTheme="minorEastAsia"/>
          <w:szCs w:val="18"/>
        </w:rPr>
      </w:pPr>
      <w:r>
        <w:rPr>
          <w:rFonts w:hint="eastAsia" w:asciiTheme="minorEastAsia" w:hAnsiTheme="minorEastAsia" w:eastAsiaTheme="minorEastAsia"/>
          <w:szCs w:val="18"/>
        </w:rPr>
        <w:t>b.“投标人须知前附表”中的附录表格同属“投标人须知前附表”内容，具有同等效力。</w:t>
      </w:r>
    </w:p>
  </w:footnote>
  <w:footnote w:id="22">
    <w:p>
      <w:pPr>
        <w:pStyle w:val="36"/>
        <w:widowControl/>
        <w:adjustRightInd/>
        <w:snapToGrid/>
        <w:spacing w:line="240" w:lineRule="auto"/>
        <w:ind w:firstLine="0"/>
        <w:textAlignment w:val="auto"/>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招标人应根据招标项目具体特点和实际需要，对工程勘察设计咨询服务质量提出目标要求。</w:t>
      </w:r>
    </w:p>
  </w:footnote>
  <w:footnote w:id="23">
    <w:p>
      <w:pPr>
        <w:pStyle w:val="36"/>
        <w:widowControl/>
        <w:adjustRightInd/>
        <w:snapToGrid/>
        <w:spacing w:line="240" w:lineRule="auto"/>
        <w:ind w:firstLine="0"/>
        <w:textAlignment w:val="auto"/>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招标人应根据招标项目具体特点和实际需要，对工程勘察设计咨询过程中的</w:t>
      </w:r>
      <w:r>
        <w:rPr>
          <w:rFonts w:hint="eastAsia" w:ascii="宋体" w:hAnsi="宋体"/>
        </w:rPr>
        <w:t>人员</w:t>
      </w:r>
      <w:r>
        <w:rPr>
          <w:rFonts w:hint="eastAsia" w:asciiTheme="minorEastAsia" w:hAnsiTheme="minorEastAsia" w:eastAsiaTheme="minorEastAsia"/>
          <w:szCs w:val="18"/>
        </w:rPr>
        <w:t>安全提出目标要求。</w:t>
      </w:r>
    </w:p>
  </w:footnote>
  <w:footnote w:id="24">
    <w:p>
      <w:pPr>
        <w:pStyle w:val="36"/>
        <w:widowControl/>
        <w:adjustRightInd/>
        <w:snapToGrid/>
        <w:spacing w:line="240" w:lineRule="auto"/>
        <w:ind w:firstLine="0"/>
        <w:textAlignment w:val="auto"/>
        <w:rPr>
          <w:rFonts w:asciiTheme="minorEastAsia" w:hAnsiTheme="minorEastAsia" w:eastAsiaTheme="minorEastAsia"/>
          <w:szCs w:val="18"/>
        </w:rPr>
      </w:pPr>
      <w:r>
        <w:rPr>
          <w:rFonts w:hint="eastAsia" w:asciiTheme="minorEastAsia" w:hAnsiTheme="minorEastAsia" w:eastAsiaTheme="minorEastAsia"/>
          <w:szCs w:val="18"/>
        </w:rPr>
        <w:footnoteRef/>
      </w:r>
      <w:r>
        <w:rPr>
          <w:rFonts w:hint="eastAsia" w:asciiTheme="minorEastAsia" w:hAnsiTheme="minorEastAsia" w:eastAsiaTheme="minorEastAsia"/>
          <w:szCs w:val="18"/>
        </w:rPr>
        <w:t>其他要求包括附录5资格审查条件(分项咨询负责人最低要求)和附录6资格审查条件(其他要求)，招标人根据项目实际情况确定是否在投标阶段设置。</w:t>
      </w:r>
    </w:p>
  </w:footnote>
  <w:footnote w:id="25">
    <w:p>
      <w:pPr>
        <w:pStyle w:val="36"/>
        <w:ind w:firstLine="0"/>
      </w:pPr>
      <w:r>
        <w:rPr>
          <w:rFonts w:hint="eastAsia" w:asciiTheme="minorEastAsia" w:hAnsiTheme="minorEastAsia" w:eastAsiaTheme="minorEastAsia"/>
          <w:szCs w:val="18"/>
        </w:rPr>
        <w:footnoteRef/>
      </w:r>
      <w:r>
        <w:rPr>
          <w:rFonts w:hint="eastAsia" w:asciiTheme="minorEastAsia" w:hAnsiTheme="minorEastAsia" w:eastAsiaTheme="minorEastAsia"/>
          <w:szCs w:val="18"/>
        </w:rPr>
        <w:t>如投标</w:t>
      </w:r>
      <w:r>
        <w:rPr>
          <w:rFonts w:hint="eastAsia" w:ascii="宋体" w:hAnsi="宋体"/>
          <w:szCs w:val="18"/>
        </w:rPr>
        <w:t>人不具备某专项工程相应资质的且允许分包的，应填报《拟分包项目情况表》，否则按否决投标处理。</w:t>
      </w:r>
    </w:p>
  </w:footnote>
  <w:footnote w:id="26">
    <w:p>
      <w:pPr>
        <w:pStyle w:val="36"/>
        <w:spacing w:line="240" w:lineRule="auto"/>
        <w:ind w:firstLine="0"/>
        <w:rPr>
          <w:rFonts w:ascii="宋体" w:hAnsi="宋体"/>
        </w:rPr>
      </w:pPr>
      <w:r>
        <w:rPr>
          <w:rFonts w:ascii="宋体" w:hAnsi="宋体"/>
        </w:rPr>
        <w:footnoteRef/>
      </w:r>
      <w:r>
        <w:rPr>
          <w:rFonts w:ascii="宋体" w:hAnsi="宋体"/>
        </w:rPr>
        <w:t>投标保证金的金额不超过招标标段估算价的2%</w:t>
      </w:r>
      <w:r>
        <w:rPr>
          <w:rFonts w:hint="eastAsia" w:ascii="宋体" w:hAnsi="宋体"/>
        </w:rPr>
        <w:t>，对于AA级单位可在此处约定减免投标保证金。</w:t>
      </w:r>
    </w:p>
  </w:footnote>
  <w:footnote w:id="27">
    <w:p>
      <w:pPr>
        <w:pStyle w:val="36"/>
        <w:spacing w:line="240" w:lineRule="auto"/>
        <w:ind w:firstLine="0"/>
        <w:rPr>
          <w:rFonts w:ascii="宋体" w:hAnsi="宋体"/>
        </w:rPr>
      </w:pPr>
      <w:r>
        <w:rPr>
          <w:rFonts w:ascii="宋体" w:hAnsi="宋体"/>
        </w:rPr>
        <w:footnoteRef/>
      </w:r>
      <w:r>
        <w:rPr>
          <w:rFonts w:ascii="宋体" w:hAnsi="宋体"/>
        </w:rPr>
        <w:t>招标人不得强制限定投标保证金必须采用现金或支票方式缴纳，不得拒绝银行保函等其他合法形式的投标保证金</w:t>
      </w:r>
      <w:r>
        <w:rPr>
          <w:rFonts w:hint="eastAsia" w:ascii="宋体" w:hAnsi="宋体"/>
        </w:rPr>
        <w:t>。</w:t>
      </w:r>
    </w:p>
  </w:footnote>
  <w:footnote w:id="28">
    <w:p>
      <w:pPr>
        <w:pStyle w:val="36"/>
        <w:spacing w:line="240" w:lineRule="auto"/>
        <w:ind w:firstLine="0"/>
        <w:rPr>
          <w:rFonts w:ascii="宋体" w:hAnsi="宋体" w:cs="宋体"/>
        </w:rPr>
      </w:pPr>
      <w:r>
        <w:rPr>
          <w:rStyle w:val="56"/>
          <w:rFonts w:hint="eastAsia" w:ascii="宋体" w:hAnsi="宋体" w:cs="宋体"/>
          <w:vertAlign w:val="baseline"/>
        </w:rPr>
        <w:footnoteRef/>
      </w:r>
      <w:r>
        <w:rPr>
          <w:rFonts w:hint="eastAsia" w:ascii="宋体" w:hAnsi="宋体" w:cs="宋体"/>
        </w:rPr>
        <w:t>可根据招标人的财务需要，在此明确是否需要投标人提供利息的发票等规定。</w:t>
      </w:r>
    </w:p>
  </w:footnote>
  <w:footnote w:id="29">
    <w:p>
      <w:pPr>
        <w:pStyle w:val="36"/>
        <w:spacing w:line="240" w:lineRule="auto"/>
        <w:ind w:firstLine="0"/>
        <w:rPr>
          <w:rFonts w:ascii="宋体" w:hAnsi="宋体" w:cs="宋体"/>
        </w:rPr>
      </w:pPr>
      <w:r>
        <w:rPr>
          <w:rStyle w:val="56"/>
          <w:rFonts w:ascii="宋体" w:hAnsi="宋体" w:cs="宋体"/>
          <w:vertAlign w:val="baseline"/>
        </w:rPr>
        <w:footnoteRef/>
      </w:r>
      <w:r>
        <w:rPr>
          <w:rFonts w:hint="eastAsia" w:ascii="宋体" w:hAnsi="宋体" w:cs="宋体"/>
        </w:rPr>
        <w:t>本条适用于投标保证金由公共资源交易中心代收的情况。</w:t>
      </w:r>
    </w:p>
  </w:footnote>
  <w:footnote w:id="30">
    <w:p>
      <w:pPr>
        <w:pStyle w:val="36"/>
        <w:spacing w:line="240" w:lineRule="auto"/>
        <w:ind w:firstLine="0"/>
        <w:rPr>
          <w:rFonts w:ascii="宋体" w:hAnsi="宋体"/>
        </w:rPr>
      </w:pPr>
      <w:r>
        <w:rPr>
          <w:rFonts w:ascii="宋体" w:hAnsi="宋体"/>
        </w:rPr>
        <w:footnoteRef/>
      </w:r>
      <w:r>
        <w:rPr>
          <w:rFonts w:hint="eastAsia" w:ascii="宋体" w:hAnsi="宋体"/>
        </w:rPr>
        <w:t>原则上为近5年。如工程业绩有特殊性，招标人应结合工程特点，合理设定。</w:t>
      </w:r>
    </w:p>
  </w:footnote>
  <w:footnote w:id="31">
    <w:p>
      <w:pPr>
        <w:pStyle w:val="36"/>
        <w:spacing w:line="240" w:lineRule="auto"/>
        <w:ind w:firstLine="0"/>
        <w:rPr>
          <w:rFonts w:ascii="宋体" w:hAnsi="宋体"/>
        </w:rPr>
      </w:pPr>
      <w:r>
        <w:rPr>
          <w:rFonts w:ascii="宋体" w:hAnsi="宋体"/>
        </w:rPr>
        <w:footnoteRef/>
      </w:r>
      <w:r>
        <w:rPr>
          <w:rFonts w:hint="eastAsia" w:ascii="宋体" w:hAnsi="宋体"/>
        </w:rPr>
        <w:t>评标委员会应按照国家及广东省的规定进行组建，根据粤交〔</w:t>
      </w:r>
      <w:r>
        <w:rPr>
          <w:rFonts w:ascii="宋体" w:hAnsi="宋体"/>
        </w:rPr>
        <w:t xml:space="preserve">2022〕11 </w:t>
      </w:r>
      <w:r>
        <w:rPr>
          <w:rFonts w:hint="eastAsia" w:ascii="宋体" w:hAnsi="宋体"/>
        </w:rPr>
        <w:t>号文规定原则上人数不少于7人单数。</w:t>
      </w:r>
    </w:p>
  </w:footnote>
  <w:footnote w:id="32">
    <w:p>
      <w:pPr>
        <w:pStyle w:val="36"/>
        <w:spacing w:line="240" w:lineRule="auto"/>
        <w:ind w:firstLine="0"/>
        <w:rPr>
          <w:rFonts w:ascii="宋体" w:hAnsi="宋体"/>
        </w:rPr>
      </w:pPr>
      <w:r>
        <w:rPr>
          <w:rFonts w:ascii="宋体" w:hAnsi="宋体"/>
        </w:rPr>
        <w:footnoteRef/>
      </w:r>
      <w:r>
        <w:rPr>
          <w:rFonts w:ascii="宋体" w:hAnsi="宋体"/>
        </w:rPr>
        <w:t>交通运输部负责监督管理的水运工程建设项目，其评标专家从交通运输部水运工程和交通支持系统综合评标专家库中随机抽取确定，其他水运工程建设项目的评标专家从广东省综合评标专家库或其他依法组建的综合评标专家库中随机抽取确定。</w:t>
      </w:r>
    </w:p>
  </w:footnote>
  <w:footnote w:id="33">
    <w:p>
      <w:pPr>
        <w:pStyle w:val="36"/>
        <w:spacing w:line="240" w:lineRule="auto"/>
        <w:ind w:firstLine="0"/>
        <w:rPr>
          <w:rFonts w:ascii="宋体" w:hAnsi="宋体"/>
        </w:rPr>
      </w:pPr>
      <w:r>
        <w:rPr>
          <w:rFonts w:ascii="宋体" w:hAnsi="宋体"/>
        </w:rPr>
        <w:footnoteRef/>
      </w:r>
      <w:r>
        <w:rPr>
          <w:rFonts w:ascii="宋体" w:hAnsi="宋体"/>
        </w:rPr>
        <w:t>推荐的中标候选人应当不超过3个。</w:t>
      </w:r>
    </w:p>
  </w:footnote>
  <w:footnote w:id="34">
    <w:p>
      <w:pPr>
        <w:pStyle w:val="36"/>
        <w:spacing w:line="240" w:lineRule="auto"/>
        <w:ind w:firstLine="0"/>
        <w:rPr>
          <w:rFonts w:ascii="宋体" w:hAnsi="宋体"/>
        </w:rPr>
      </w:pPr>
      <w:r>
        <w:rPr>
          <w:rFonts w:ascii="宋体" w:hAnsi="宋体"/>
        </w:rPr>
        <w:footnoteRef/>
      </w:r>
      <w:r>
        <w:rPr>
          <w:rFonts w:ascii="宋体" w:hAnsi="宋体"/>
        </w:rPr>
        <w:t>中标候选人公示还可同时在中国招标投标公共服务平台发布。</w:t>
      </w:r>
    </w:p>
  </w:footnote>
  <w:footnote w:id="35">
    <w:p>
      <w:pPr>
        <w:pStyle w:val="36"/>
        <w:spacing w:line="240" w:lineRule="auto"/>
        <w:ind w:firstLine="0"/>
        <w:rPr>
          <w:rFonts w:ascii="宋体" w:hAnsi="宋体"/>
        </w:rPr>
      </w:pPr>
      <w:r>
        <w:rPr>
          <w:rFonts w:ascii="宋体" w:hAnsi="宋体"/>
        </w:rPr>
        <w:footnoteRef/>
      </w:r>
      <w:r>
        <w:rPr>
          <w:rFonts w:ascii="宋体" w:hAnsi="宋体"/>
        </w:rPr>
        <w:t>招标人根据相关规定将相关信息进行公示，公示期限不少于3日。根据《民法典》第二百零三条的规定，期限的最后一日是法定休假日的，公示期限应当延长至法定休假日结束的次日为公示期间的最后一日。</w:t>
      </w:r>
    </w:p>
  </w:footnote>
  <w:footnote w:id="36">
    <w:p>
      <w:pPr>
        <w:pStyle w:val="36"/>
        <w:spacing w:line="240" w:lineRule="auto"/>
        <w:ind w:firstLine="0"/>
        <w:rPr>
          <w:rFonts w:ascii="宋体" w:hAnsi="宋体"/>
        </w:rPr>
      </w:pPr>
      <w:r>
        <w:rPr>
          <w:rFonts w:ascii="宋体" w:hAnsi="宋体"/>
        </w:rPr>
        <w:footnoteRef/>
      </w:r>
      <w:r>
        <w:rPr>
          <w:szCs w:val="18"/>
        </w:rPr>
        <w:t>中标</w:t>
      </w:r>
      <w:r>
        <w:rPr>
          <w:rFonts w:hint="eastAsia"/>
          <w:szCs w:val="18"/>
        </w:rPr>
        <w:t>结果</w:t>
      </w:r>
      <w:r>
        <w:rPr>
          <w:szCs w:val="18"/>
        </w:rPr>
        <w:t>公告</w:t>
      </w:r>
      <w:r>
        <w:rPr>
          <w:rFonts w:hint="eastAsia"/>
          <w:szCs w:val="18"/>
        </w:rPr>
        <w:t>还可同时在XX交易中心网站、中国招标投标公共服务平台发布。</w:t>
      </w:r>
    </w:p>
  </w:footnote>
  <w:footnote w:id="37">
    <w:p>
      <w:pPr>
        <w:pStyle w:val="36"/>
        <w:spacing w:line="240" w:lineRule="auto"/>
        <w:ind w:firstLine="0"/>
        <w:rPr>
          <w:rFonts w:ascii="宋体" w:hAnsi="宋体"/>
        </w:rPr>
      </w:pPr>
      <w:r>
        <w:rPr>
          <w:rFonts w:ascii="宋体" w:hAnsi="宋体"/>
        </w:rPr>
        <w:footnoteRef/>
      </w:r>
      <w:r>
        <w:rPr>
          <w:rFonts w:hint="eastAsia" w:ascii="宋体" w:hAnsi="宋体"/>
        </w:rPr>
        <w:t>招标人不得强制限定履约保证金必须采用现金或支票方式缴纳，</w:t>
      </w:r>
      <w:r>
        <w:rPr>
          <w:rFonts w:ascii="宋体" w:hAnsi="宋体"/>
        </w:rPr>
        <w:t>不得拒绝银行保函</w:t>
      </w:r>
      <w:r>
        <w:rPr>
          <w:rFonts w:hint="eastAsia" w:ascii="宋体" w:hAnsi="宋体"/>
        </w:rPr>
        <w:t>和其他合法</w:t>
      </w:r>
      <w:r>
        <w:rPr>
          <w:rFonts w:ascii="宋体" w:hAnsi="宋体"/>
        </w:rPr>
        <w:t>形式的</w:t>
      </w:r>
      <w:r>
        <w:rPr>
          <w:rFonts w:hint="eastAsia" w:ascii="宋体" w:hAnsi="宋体"/>
        </w:rPr>
        <w:t>履约保证金。</w:t>
      </w:r>
    </w:p>
  </w:footnote>
  <w:footnote w:id="38">
    <w:p>
      <w:pPr>
        <w:pStyle w:val="36"/>
        <w:spacing w:line="240" w:lineRule="auto"/>
        <w:ind w:firstLine="0"/>
        <w:rPr>
          <w:rFonts w:ascii="宋体" w:hAnsi="宋体"/>
        </w:rPr>
      </w:pPr>
      <w:r>
        <w:rPr>
          <w:rFonts w:ascii="宋体" w:hAnsi="宋体"/>
        </w:rPr>
        <w:footnoteRef/>
      </w:r>
      <w:r>
        <w:rPr>
          <w:rFonts w:ascii="宋体" w:hAnsi="宋体"/>
        </w:rPr>
        <w:t>履约保证金的金额不得超过签约合同价的10%。</w:t>
      </w:r>
    </w:p>
  </w:footnote>
  <w:footnote w:id="39">
    <w:p>
      <w:pPr>
        <w:pStyle w:val="36"/>
        <w:widowControl/>
        <w:adjustRightInd/>
        <w:snapToGrid/>
        <w:spacing w:line="240" w:lineRule="auto"/>
        <w:ind w:right="-1161" w:rightChars="-553" w:firstLine="0"/>
        <w:textAlignment w:val="auto"/>
        <w:rPr>
          <w:rFonts w:ascii="宋体" w:hAnsi="宋体"/>
          <w:szCs w:val="18"/>
        </w:rPr>
      </w:pPr>
      <w:r>
        <w:rPr>
          <w:rFonts w:ascii="宋体" w:hAnsi="宋体"/>
          <w:szCs w:val="18"/>
        </w:rPr>
        <w:footnoteRef/>
      </w:r>
      <w:r>
        <w:rPr>
          <w:rFonts w:ascii="宋体" w:hAnsi="宋体"/>
          <w:szCs w:val="18"/>
        </w:rPr>
        <w:t>一般指招标项目的招投标监督管理部门</w:t>
      </w:r>
      <w:r>
        <w:rPr>
          <w:rFonts w:hint="eastAsia" w:ascii="宋体" w:hAnsi="宋体"/>
          <w:szCs w:val="18"/>
        </w:rPr>
        <w:t>。</w:t>
      </w:r>
    </w:p>
  </w:footnote>
  <w:footnote w:id="40">
    <w:p>
      <w:pPr>
        <w:pStyle w:val="36"/>
        <w:widowControl/>
        <w:adjustRightInd/>
        <w:snapToGrid/>
        <w:spacing w:line="240" w:lineRule="auto"/>
        <w:ind w:right="-1161" w:rightChars="-553" w:firstLine="0"/>
        <w:textAlignment w:val="auto"/>
        <w:rPr>
          <w:rFonts w:ascii="宋体" w:hAnsi="宋体"/>
          <w:szCs w:val="18"/>
        </w:rPr>
      </w:pPr>
      <w:r>
        <w:rPr>
          <w:rFonts w:ascii="宋体" w:hAnsi="宋体"/>
          <w:szCs w:val="18"/>
        </w:rPr>
        <w:footnoteRef/>
      </w:r>
      <w:r>
        <w:rPr>
          <w:rFonts w:ascii="宋体" w:hAnsi="宋体"/>
          <w:szCs w:val="18"/>
        </w:rPr>
        <w:t>电子招标以</w:t>
      </w:r>
      <w:r>
        <w:rPr>
          <w:rFonts w:hint="eastAsia" w:ascii="宋体" w:hAnsi="宋体"/>
          <w:szCs w:val="18"/>
          <w:lang w:eastAsia="zh-CN"/>
        </w:rPr>
        <w:t>湛江市交通运输局</w:t>
      </w:r>
      <w:r>
        <w:rPr>
          <w:rFonts w:ascii="宋体" w:hAnsi="宋体"/>
          <w:szCs w:val="18"/>
        </w:rPr>
        <w:t>发布的最新通知为准。</w:t>
      </w:r>
    </w:p>
  </w:footnote>
  <w:footnote w:id="41">
    <w:p>
      <w:pPr>
        <w:pStyle w:val="36"/>
        <w:widowControl/>
        <w:adjustRightInd/>
        <w:snapToGrid/>
        <w:spacing w:line="240" w:lineRule="auto"/>
        <w:ind w:right="-1161" w:rightChars="-553" w:firstLine="0"/>
        <w:textAlignment w:val="auto"/>
        <w:rPr>
          <w:rFonts w:ascii="宋体" w:hAnsi="宋体"/>
          <w:szCs w:val="18"/>
        </w:rPr>
      </w:pPr>
      <w:r>
        <w:rPr>
          <w:rFonts w:ascii="宋体" w:hAnsi="宋体"/>
          <w:szCs w:val="18"/>
        </w:rPr>
        <w:footnoteRef/>
      </w:r>
      <w:r>
        <w:rPr>
          <w:rFonts w:ascii="宋体" w:hAnsi="宋体"/>
          <w:szCs w:val="18"/>
        </w:rPr>
        <w:t>具体请结合招标项目实际情况，合理设定。</w:t>
      </w:r>
    </w:p>
  </w:footnote>
  <w:footnote w:id="42">
    <w:p>
      <w:pPr>
        <w:pStyle w:val="36"/>
        <w:spacing w:line="240" w:lineRule="auto"/>
        <w:ind w:firstLine="0"/>
        <w:rPr>
          <w:rFonts w:ascii="宋体" w:hAnsi="宋体"/>
          <w:szCs w:val="18"/>
        </w:rPr>
      </w:pPr>
      <w:r>
        <w:rPr>
          <w:rFonts w:hint="eastAsia"/>
          <w:szCs w:val="18"/>
        </w:rPr>
        <w:footnoteRef/>
      </w:r>
      <w:r>
        <w:rPr>
          <w:rFonts w:hint="eastAsia"/>
          <w:szCs w:val="18"/>
        </w:rPr>
        <w:t>具体资质要求由招标人在满足国家相关法律法规前提下，根据招标项目具体特点和实际情况确定。</w:t>
      </w:r>
      <w:r>
        <w:rPr>
          <w:rFonts w:hint="eastAsia" w:ascii="宋体" w:hAnsi="宋体"/>
          <w:szCs w:val="18"/>
        </w:rPr>
        <w:t>招标人不得提出注册地址、所有制形式、市场占有率、特定行政区域或者特定行业业绩、取得非强制资质认证、设立本地分支机构、本地缴纳税收社保等要求和加分项，不得将企业资质等级、注册资本设为加分项，不得将营业执照的经营范围设为资格审查条件和加分项。</w:t>
      </w:r>
    </w:p>
    <w:p>
      <w:pPr>
        <w:pStyle w:val="36"/>
        <w:spacing w:line="240" w:lineRule="auto"/>
        <w:ind w:firstLine="0"/>
        <w:rPr>
          <w:szCs w:val="18"/>
        </w:rPr>
      </w:pPr>
    </w:p>
  </w:footnote>
  <w:footnote w:id="43">
    <w:p>
      <w:pPr>
        <w:pStyle w:val="36"/>
        <w:spacing w:line="240" w:lineRule="auto"/>
        <w:ind w:firstLine="0"/>
        <w:rPr>
          <w:szCs w:val="18"/>
        </w:rPr>
      </w:pPr>
      <w:r>
        <w:rPr>
          <w:rFonts w:hint="eastAsia"/>
          <w:szCs w:val="18"/>
        </w:rPr>
        <w:footnoteRef/>
      </w:r>
      <w:r>
        <w:rPr>
          <w:rFonts w:hint="eastAsia"/>
          <w:szCs w:val="18"/>
        </w:rPr>
        <w:t>若项目为港口工程、大型技术复杂的航道工程（指沿海航道工程以及包含船闸或炸礁的内河航道工程）以及其他有特殊要求的工程，可采用勘察设计业绩作为资格审查条件。具体业绩要求由招标人在满足国家相关法律法规前提下，根据招标项目具体特点和时间情况确定，但不得设置过高的业绩资格条件。</w:t>
      </w:r>
    </w:p>
  </w:footnote>
  <w:footnote w:id="44">
    <w:p>
      <w:pPr>
        <w:pStyle w:val="36"/>
        <w:topLinePunct/>
        <w:spacing w:line="240" w:lineRule="auto"/>
        <w:ind w:firstLine="0"/>
        <w:rPr>
          <w:szCs w:val="18"/>
        </w:rPr>
      </w:pPr>
      <w:r>
        <w:rPr>
          <w:rFonts w:hint="eastAsia"/>
          <w:szCs w:val="18"/>
        </w:rPr>
        <w:footnoteRef/>
      </w:r>
      <w:r>
        <w:rPr>
          <w:rFonts w:hint="eastAsia"/>
          <w:szCs w:val="18"/>
        </w:rPr>
        <w:t>招标人可根据招标项目具体特点和实际情况设置认定原则，可参考以下条款之一：</w:t>
      </w:r>
    </w:p>
    <w:p>
      <w:pPr>
        <w:pStyle w:val="36"/>
        <w:spacing w:line="240" w:lineRule="auto"/>
        <w:ind w:firstLine="0"/>
        <w:rPr>
          <w:szCs w:val="18"/>
        </w:rPr>
      </w:pPr>
      <w:r>
        <w:rPr>
          <w:szCs w:val="18"/>
        </w:rPr>
        <w:t>a.</w:t>
      </w:r>
      <w:r>
        <w:rPr>
          <w:rFonts w:hint="eastAsia"/>
          <w:szCs w:val="18"/>
        </w:rPr>
        <w:t>联合体成员须按联合体协议书中约定承担的各专业工程满足对应的业绩要求。</w:t>
      </w:r>
    </w:p>
    <w:p>
      <w:pPr>
        <w:pStyle w:val="36"/>
        <w:spacing w:line="240" w:lineRule="auto"/>
        <w:ind w:firstLine="0"/>
        <w:rPr>
          <w:szCs w:val="18"/>
        </w:rPr>
      </w:pPr>
      <w:r>
        <w:rPr>
          <w:szCs w:val="18"/>
        </w:rPr>
        <w:t>b.</w:t>
      </w:r>
      <w:r>
        <w:rPr>
          <w:rFonts w:hint="eastAsia"/>
          <w:szCs w:val="18"/>
        </w:rPr>
        <w:t>以联合体各成员业绩之和计算。</w:t>
      </w:r>
    </w:p>
    <w:p>
      <w:pPr>
        <w:pStyle w:val="36"/>
        <w:spacing w:line="240" w:lineRule="auto"/>
        <w:ind w:firstLine="0"/>
        <w:rPr>
          <w:szCs w:val="18"/>
        </w:rPr>
      </w:pPr>
      <w:r>
        <w:rPr>
          <w:szCs w:val="18"/>
        </w:rPr>
        <w:t>c.</w:t>
      </w:r>
      <w:r>
        <w:rPr>
          <w:rFonts w:hint="eastAsia"/>
          <w:szCs w:val="18"/>
        </w:rPr>
        <w:t>其它原则。</w:t>
      </w:r>
    </w:p>
  </w:footnote>
  <w:footnote w:id="45">
    <w:p>
      <w:pPr>
        <w:pStyle w:val="36"/>
        <w:spacing w:line="240" w:lineRule="auto"/>
        <w:ind w:firstLine="0"/>
        <w:jc w:val="both"/>
        <w:rPr>
          <w:szCs w:val="18"/>
        </w:rPr>
      </w:pPr>
      <w:r>
        <w:rPr>
          <w:rFonts w:hint="eastAsia"/>
          <w:szCs w:val="18"/>
        </w:rPr>
        <w:footnoteRef/>
      </w:r>
      <w:r>
        <w:rPr>
          <w:rFonts w:hint="eastAsia"/>
          <w:szCs w:val="18"/>
        </w:rPr>
        <w:t>具体信誉要求由招标人在满足国家相关法律法规前提下，根据招标项目具体特点和实际情况确定，但不得 与“投标人须知”第1.4.4项规定的内容重复。</w:t>
      </w:r>
    </w:p>
    <w:p>
      <w:pPr>
        <w:pStyle w:val="36"/>
        <w:spacing w:line="240" w:lineRule="auto"/>
        <w:ind w:firstLine="0"/>
        <w:jc w:val="both"/>
        <w:rPr>
          <w:szCs w:val="18"/>
        </w:rPr>
      </w:pPr>
      <w:r>
        <w:rPr>
          <w:rFonts w:hint="eastAsia"/>
          <w:szCs w:val="18"/>
        </w:rPr>
        <w:t>信用等级应按照</w:t>
      </w:r>
      <w:r>
        <w:rPr>
          <w:rFonts w:hint="eastAsia"/>
          <w:szCs w:val="18"/>
          <w:lang w:eastAsia="zh-CN"/>
        </w:rPr>
        <w:t>湛江市</w:t>
      </w:r>
      <w:r>
        <w:rPr>
          <w:rFonts w:hint="eastAsia"/>
          <w:szCs w:val="18"/>
        </w:rPr>
        <w:t>交通运输</w:t>
      </w:r>
      <w:r>
        <w:rPr>
          <w:rFonts w:hint="eastAsia"/>
          <w:szCs w:val="18"/>
          <w:lang w:eastAsia="zh-CN"/>
        </w:rPr>
        <w:t>局</w:t>
      </w:r>
      <w:r>
        <w:rPr>
          <w:rFonts w:hint="eastAsia"/>
          <w:szCs w:val="18"/>
        </w:rPr>
        <w:t>最新公布的信用等级结果进行认定，具体信息可在</w:t>
      </w:r>
      <w:r>
        <w:rPr>
          <w:rFonts w:hint="eastAsia"/>
          <w:szCs w:val="18"/>
          <w:lang w:eastAsia="zh-CN"/>
        </w:rPr>
        <w:t>湛江市</w:t>
      </w:r>
      <w:r>
        <w:rPr>
          <w:rFonts w:hint="eastAsia"/>
          <w:szCs w:val="18"/>
        </w:rPr>
        <w:t>交通运输</w:t>
      </w:r>
      <w:r>
        <w:rPr>
          <w:rFonts w:hint="eastAsia"/>
          <w:szCs w:val="18"/>
          <w:lang w:eastAsia="zh-CN"/>
        </w:rPr>
        <w:t>局</w:t>
      </w:r>
      <w:r>
        <w:rPr>
          <w:rFonts w:hint="eastAsia"/>
          <w:szCs w:val="18"/>
        </w:rPr>
        <w:t>官方网站查询。</w:t>
      </w:r>
    </w:p>
  </w:footnote>
  <w:footnote w:id="46">
    <w:p>
      <w:pPr>
        <w:pStyle w:val="36"/>
        <w:spacing w:line="240" w:lineRule="auto"/>
        <w:ind w:firstLine="0"/>
        <w:jc w:val="both"/>
        <w:rPr>
          <w:szCs w:val="18"/>
        </w:rPr>
      </w:pPr>
      <w:r>
        <w:rPr>
          <w:rFonts w:hint="eastAsia"/>
          <w:szCs w:val="18"/>
        </w:rPr>
        <w:footnoteRef/>
      </w:r>
      <w:r>
        <w:rPr>
          <w:rFonts w:hint="eastAsia"/>
          <w:szCs w:val="18"/>
        </w:rPr>
        <w:t>对项目负责人的具体资格要求由招标人在满足国家相关法律法规前提下，根据招标项目具体特点和实际情况确定，但不得设置过高的资格条件。</w:t>
      </w:r>
      <w:r>
        <w:rPr>
          <w:rFonts w:hint="eastAsia" w:ascii="宋体" w:hAnsi="宋体" w:cs="宋体"/>
        </w:rPr>
        <w:t>招标人自行确定是否设置备选人员要求</w:t>
      </w:r>
      <w:bookmarkStart w:id="859" w:name="_Hlk90209630"/>
      <w:r>
        <w:rPr>
          <w:rFonts w:hint="eastAsia" w:ascii="宋体" w:hAnsi="宋体" w:cs="宋体"/>
        </w:rPr>
        <w:t>及</w:t>
      </w:r>
      <w:bookmarkEnd w:id="859"/>
      <w:r>
        <w:rPr>
          <w:rFonts w:hint="eastAsia" w:ascii="宋体" w:hAnsi="宋体" w:cs="宋体"/>
        </w:rPr>
        <w:t>是否需要投标人在投标文件中填报备选人员。如招标人未设置备选人，或未要求投标人在投标文件中填报备选人，招标文件中相应条款应删除对备选人的要求，下同。</w:t>
      </w:r>
    </w:p>
  </w:footnote>
  <w:footnote w:id="47">
    <w:p>
      <w:pPr>
        <w:pStyle w:val="36"/>
        <w:spacing w:line="240" w:lineRule="auto"/>
        <w:ind w:firstLine="0"/>
        <w:jc w:val="both"/>
        <w:rPr>
          <w:szCs w:val="18"/>
        </w:rPr>
      </w:pPr>
      <w:r>
        <w:rPr>
          <w:rFonts w:hint="eastAsia"/>
          <w:szCs w:val="18"/>
        </w:rPr>
        <w:footnoteRef/>
      </w:r>
      <w:r>
        <w:rPr>
          <w:rFonts w:hint="eastAsia"/>
          <w:szCs w:val="18"/>
          <w:lang w:val="en-US" w:eastAsia="zh-CN"/>
        </w:rPr>
        <w:t xml:space="preserve"> </w:t>
      </w:r>
      <w:r>
        <w:rPr>
          <w:rFonts w:hint="eastAsia"/>
          <w:szCs w:val="18"/>
        </w:rPr>
        <w:t>附录</w:t>
      </w:r>
      <w:r>
        <w:rPr>
          <w:rFonts w:hint="eastAsia"/>
          <w:szCs w:val="18"/>
          <w:lang w:val="en-US" w:eastAsia="zh-CN"/>
        </w:rPr>
        <w:t>5</w:t>
      </w:r>
      <w:r>
        <w:rPr>
          <w:rFonts w:hint="eastAsia"/>
          <w:szCs w:val="18"/>
        </w:rPr>
        <w:t>所要求人员招标人可选择按投标文件投标函的格式承诺或设置按表</w:t>
      </w:r>
      <w:r>
        <w:rPr>
          <w:rFonts w:hint="eastAsia"/>
          <w:szCs w:val="18"/>
          <w:lang w:eastAsia="zh-CN"/>
        </w:rPr>
        <w:t>（</w:t>
      </w:r>
      <w:r>
        <w:rPr>
          <w:rFonts w:hint="eastAsia"/>
          <w:szCs w:val="18"/>
          <w:lang w:val="en-US" w:eastAsia="zh-CN"/>
        </w:rPr>
        <w:t>七</w:t>
      </w:r>
      <w:r>
        <w:rPr>
          <w:rFonts w:hint="eastAsia"/>
          <w:szCs w:val="18"/>
          <w:lang w:eastAsia="zh-CN"/>
        </w:rPr>
        <w:t>）</w:t>
      </w:r>
      <w:r>
        <w:rPr>
          <w:rFonts w:hint="eastAsia"/>
          <w:szCs w:val="18"/>
        </w:rPr>
        <w:t>、表</w:t>
      </w:r>
      <w:r>
        <w:rPr>
          <w:rFonts w:hint="eastAsia"/>
          <w:szCs w:val="18"/>
          <w:lang w:eastAsia="zh-CN"/>
        </w:rPr>
        <w:t>（</w:t>
      </w:r>
      <w:r>
        <w:rPr>
          <w:rFonts w:hint="eastAsia"/>
          <w:szCs w:val="18"/>
          <w:lang w:val="en-US" w:eastAsia="zh-CN"/>
        </w:rPr>
        <w:t>八</w:t>
      </w:r>
      <w:r>
        <w:rPr>
          <w:rFonts w:hint="eastAsia"/>
          <w:szCs w:val="18"/>
          <w:lang w:eastAsia="zh-CN"/>
        </w:rPr>
        <w:t>）</w:t>
      </w:r>
      <w:r>
        <w:rPr>
          <w:rFonts w:hint="eastAsia"/>
          <w:szCs w:val="18"/>
        </w:rPr>
        <w:t>填报并附相关证明材料。对分项咨询负责人的具体资格要求由招标人在满足国家相关法律法规前提下，根据招标项目具体特点和实际情况确定，但不宜设置过高的资格条件</w:t>
      </w:r>
      <w:r>
        <w:rPr>
          <w:rFonts w:hint="eastAsia"/>
          <w:szCs w:val="18"/>
          <w:lang w:eastAsia="zh-CN"/>
        </w:rPr>
        <w:t>，</w:t>
      </w:r>
      <w:r>
        <w:rPr>
          <w:rFonts w:hint="eastAsia" w:ascii="宋体" w:hAnsi="宋体"/>
          <w:szCs w:val="18"/>
        </w:rPr>
        <w:t>招标人可根据项目的需要有选择性地修改本表人员配置的最低要求</w:t>
      </w:r>
      <w:r>
        <w:rPr>
          <w:rFonts w:hint="eastAsia"/>
          <w:szCs w:val="18"/>
        </w:rPr>
        <w:t>。</w:t>
      </w:r>
    </w:p>
  </w:footnote>
  <w:footnote w:id="48">
    <w:p>
      <w:pPr>
        <w:pStyle w:val="36"/>
        <w:spacing w:line="240" w:lineRule="auto"/>
        <w:ind w:firstLine="0"/>
        <w:rPr>
          <w:rFonts w:ascii="宋体" w:hAnsi="宋体"/>
          <w:szCs w:val="18"/>
        </w:rPr>
      </w:pPr>
      <w:r>
        <w:rPr>
          <w:rFonts w:ascii="宋体" w:hAnsi="宋体"/>
          <w:szCs w:val="18"/>
        </w:rPr>
        <w:footnoteRef/>
      </w:r>
      <w:r>
        <w:rPr>
          <w:rFonts w:hint="eastAsia" w:ascii="宋体" w:hAnsi="宋体"/>
          <w:szCs w:val="18"/>
        </w:rPr>
        <w:t>对其他要求由招标人在满足国家相关法律法规前提下，根据招标项目具体特点和实际情况确定。</w:t>
      </w:r>
    </w:p>
  </w:footnote>
  <w:footnote w:id="49">
    <w:p>
      <w:pPr>
        <w:pStyle w:val="36"/>
        <w:ind w:firstLine="0"/>
      </w:pPr>
      <w:r>
        <w:rPr>
          <w:rFonts w:hint="eastAsia"/>
        </w:rPr>
        <w:footnoteRef/>
      </w:r>
      <w:r>
        <w:rPr>
          <w:rFonts w:hint="eastAsia"/>
        </w:rPr>
        <w:t>此处根据实际招标内容设置，下同。</w:t>
      </w:r>
    </w:p>
  </w:footnote>
  <w:footnote w:id="50">
    <w:p>
      <w:pPr>
        <w:pStyle w:val="36"/>
        <w:ind w:firstLine="0"/>
        <w:rPr>
          <w:szCs w:val="18"/>
        </w:rPr>
      </w:pPr>
      <w:r>
        <w:rPr>
          <w:rFonts w:hint="eastAsia"/>
          <w:szCs w:val="18"/>
        </w:rPr>
        <w:footnoteRef/>
      </w:r>
      <w:r>
        <w:rPr>
          <w:rFonts w:hint="eastAsia"/>
          <w:szCs w:val="18"/>
        </w:rPr>
        <w:t>若投标函中的投标总报价大小写金额不一致，应以大写金额为准。</w:t>
      </w:r>
    </w:p>
  </w:footnote>
  <w:footnote w:id="51">
    <w:p>
      <w:pPr>
        <w:pStyle w:val="36"/>
        <w:snapToGrid/>
        <w:spacing w:line="240" w:lineRule="auto"/>
        <w:ind w:firstLine="0"/>
        <w:rPr>
          <w:szCs w:val="18"/>
        </w:rPr>
      </w:pPr>
      <w:r>
        <w:rPr>
          <w:rFonts w:hint="eastAsia"/>
          <w:szCs w:val="18"/>
        </w:rPr>
        <w:footnoteRef/>
      </w:r>
      <w:r>
        <w:rPr>
          <w:rFonts w:hint="eastAsia"/>
          <w:szCs w:val="18"/>
        </w:rPr>
        <w:t>适用于选用</w:t>
      </w:r>
      <w:r>
        <w:rPr>
          <w:rFonts w:hint="eastAsia"/>
        </w:rPr>
        <w:t>下浮率方式</w:t>
      </w:r>
      <w:r>
        <w:rPr>
          <w:rFonts w:hint="eastAsia"/>
          <w:szCs w:val="18"/>
        </w:rPr>
        <w:t>确定评标基准价的情况。</w:t>
      </w:r>
    </w:p>
  </w:footnote>
  <w:footnote w:id="52">
    <w:p>
      <w:pPr>
        <w:pStyle w:val="36"/>
        <w:tabs>
          <w:tab w:val="left" w:pos="3780"/>
        </w:tabs>
        <w:spacing w:line="340" w:lineRule="atLeast"/>
        <w:ind w:firstLine="0"/>
        <w:rPr>
          <w:szCs w:val="18"/>
        </w:rPr>
      </w:pPr>
      <w:r>
        <w:rPr>
          <w:rFonts w:hint="eastAsia"/>
          <w:szCs w:val="18"/>
        </w:rPr>
        <w:footnoteRef/>
      </w:r>
      <w:r>
        <w:rPr>
          <w:rFonts w:hint="eastAsia"/>
          <w:szCs w:val="18"/>
        </w:rPr>
        <w:t>招标人可根据项目具体特点和实际情况进行修改。</w:t>
      </w:r>
    </w:p>
  </w:footnote>
  <w:footnote w:id="53">
    <w:p>
      <w:pPr>
        <w:pStyle w:val="36"/>
        <w:spacing w:line="300" w:lineRule="atLeast"/>
        <w:ind w:left="180" w:hanging="180" w:hangingChars="100"/>
        <w:jc w:val="both"/>
        <w:rPr>
          <w:rFonts w:hAnsi="宋体"/>
          <w:szCs w:val="18"/>
        </w:rPr>
      </w:pPr>
      <w:r>
        <w:rPr>
          <w:rFonts w:hint="eastAsia" w:hAnsi="宋体"/>
          <w:szCs w:val="18"/>
        </w:rPr>
        <w:footnoteRef/>
      </w:r>
      <w:r>
        <w:rPr>
          <w:rFonts w:hint="eastAsia" w:hAnsi="宋体"/>
          <w:szCs w:val="18"/>
        </w:rPr>
        <w:t>投标人仅须在投标文件的澄清或说明上加盖单位章，或由法定代表人或其委托代理人签字。</w:t>
      </w:r>
    </w:p>
  </w:footnote>
  <w:footnote w:id="54">
    <w:p>
      <w:pPr>
        <w:pStyle w:val="36"/>
        <w:spacing w:line="300" w:lineRule="atLeast"/>
        <w:ind w:left="180" w:hanging="180" w:hangingChars="100"/>
        <w:rPr>
          <w:szCs w:val="18"/>
        </w:rPr>
      </w:pPr>
      <w:r>
        <w:rPr>
          <w:rFonts w:hint="eastAsia"/>
          <w:szCs w:val="18"/>
        </w:rPr>
        <w:footnoteRef/>
      </w:r>
      <w:r>
        <w:rPr>
          <w:szCs w:val="18"/>
        </w:rPr>
        <w:t xml:space="preserve"> “</w:t>
      </w:r>
      <w:r>
        <w:rPr>
          <w:rFonts w:hint="eastAsia"/>
          <w:szCs w:val="18"/>
        </w:rPr>
        <w:t>评标办法前附表</w:t>
      </w:r>
      <w:r>
        <w:rPr>
          <w:szCs w:val="18"/>
        </w:rPr>
        <w:t>”</w:t>
      </w:r>
      <w:r>
        <w:rPr>
          <w:rFonts w:hint="eastAsia"/>
          <w:szCs w:val="18"/>
        </w:rPr>
        <w:t>用于明确评标的方法、因素、标准和程序。招标人应根据招标项目具体特点和实际需要，详细列明全部评审因素、标准，没有列明的因素和标准不得作为评标的依据。</w:t>
      </w:r>
    </w:p>
  </w:footnote>
  <w:footnote w:id="55">
    <w:p>
      <w:pPr>
        <w:pStyle w:val="36"/>
        <w:spacing w:line="240" w:lineRule="auto"/>
        <w:ind w:left="180" w:hanging="180" w:hangingChars="100"/>
        <w:jc w:val="both"/>
        <w:rPr>
          <w:rFonts w:ascii="宋体" w:hAnsi="宋体" w:cs="宋体"/>
          <w:szCs w:val="18"/>
        </w:rPr>
      </w:pPr>
      <w:r>
        <w:rPr>
          <w:rStyle w:val="56"/>
          <w:rFonts w:hint="eastAsia" w:ascii="宋体" w:hAnsi="宋体" w:cs="宋体"/>
          <w:szCs w:val="18"/>
          <w:vertAlign w:val="baseline"/>
        </w:rPr>
        <w:footnoteRef/>
      </w:r>
      <w:r>
        <w:rPr>
          <w:rFonts w:hint="eastAsia" w:ascii="宋体" w:hAnsi="宋体" w:cs="宋体"/>
          <w:szCs w:val="18"/>
        </w:rPr>
        <w:t>本款适用于招标人要求</w:t>
      </w:r>
      <w:r>
        <w:rPr>
          <w:rFonts w:hint="eastAsia" w:ascii="宋体" w:hAnsi="宋体" w:cs="宋体"/>
          <w:szCs w:val="18"/>
          <w:lang w:val="en-US" w:eastAsia="zh-CN"/>
        </w:rPr>
        <w:t>按</w:t>
      </w:r>
      <w:r>
        <w:rPr>
          <w:rFonts w:hint="eastAsia" w:ascii="宋体" w:hAnsi="宋体" w:cs="宋体"/>
          <w:szCs w:val="18"/>
        </w:rPr>
        <w:t>附录5</w:t>
      </w:r>
      <w:r>
        <w:rPr>
          <w:rFonts w:hint="eastAsia" w:ascii="宋体" w:hAnsi="宋体" w:cs="宋体"/>
          <w:szCs w:val="18"/>
          <w:lang w:eastAsia="zh-CN"/>
        </w:rPr>
        <w:t>、</w:t>
      </w:r>
      <w:r>
        <w:rPr>
          <w:rFonts w:hint="eastAsia" w:ascii="宋体" w:hAnsi="宋体" w:cs="宋体"/>
          <w:szCs w:val="18"/>
          <w:lang w:val="en-US" w:eastAsia="zh-CN"/>
        </w:rPr>
        <w:t>附录6</w:t>
      </w:r>
      <w:r>
        <w:rPr>
          <w:rFonts w:hint="eastAsia" w:ascii="宋体" w:hAnsi="宋体" w:cs="宋体"/>
          <w:szCs w:val="18"/>
        </w:rPr>
        <w:t>资格审查条件的</w:t>
      </w:r>
      <w:r>
        <w:rPr>
          <w:rFonts w:hint="eastAsia" w:ascii="宋体" w:hAnsi="宋体" w:cs="宋体"/>
          <w:szCs w:val="18"/>
          <w:lang w:val="en-US" w:eastAsia="zh-CN"/>
        </w:rPr>
        <w:t>要求进行</w:t>
      </w:r>
      <w:r>
        <w:rPr>
          <w:rFonts w:hint="eastAsia"/>
          <w:szCs w:val="18"/>
        </w:rPr>
        <w:t>填报</w:t>
      </w:r>
      <w:r>
        <w:rPr>
          <w:rFonts w:hint="eastAsia"/>
          <w:szCs w:val="18"/>
          <w:lang w:val="en-US" w:eastAsia="zh-CN"/>
        </w:rPr>
        <w:t>的</w:t>
      </w:r>
      <w:r>
        <w:rPr>
          <w:rFonts w:hint="eastAsia" w:ascii="宋体" w:hAnsi="宋体" w:cs="宋体"/>
          <w:szCs w:val="18"/>
        </w:rPr>
        <w:t>情况。</w:t>
      </w:r>
    </w:p>
  </w:footnote>
  <w:footnote w:id="56">
    <w:p>
      <w:pPr>
        <w:pStyle w:val="36"/>
        <w:spacing w:line="240" w:lineRule="auto"/>
        <w:ind w:firstLine="0"/>
        <w:rPr>
          <w:rFonts w:ascii="宋体" w:hAnsi="宋体"/>
          <w:szCs w:val="18"/>
        </w:rPr>
      </w:pPr>
      <w:r>
        <w:rPr>
          <w:rFonts w:ascii="宋体" w:hAnsi="宋体"/>
          <w:szCs w:val="18"/>
        </w:rPr>
        <w:footnoteRef/>
      </w:r>
      <w:r>
        <w:rPr>
          <w:rFonts w:hint="eastAsia" w:ascii="宋体" w:hAnsi="宋体"/>
          <w:szCs w:val="18"/>
        </w:rPr>
        <w:t>仅适用于允许联合体投标的情形。</w:t>
      </w:r>
    </w:p>
  </w:footnote>
  <w:footnote w:id="57">
    <w:p>
      <w:pPr>
        <w:pStyle w:val="36"/>
        <w:spacing w:line="240" w:lineRule="auto"/>
        <w:ind w:firstLine="0"/>
        <w:rPr>
          <w:szCs w:val="18"/>
        </w:rPr>
      </w:pPr>
      <w:r>
        <w:rPr>
          <w:rFonts w:hint="eastAsia"/>
          <w:szCs w:val="18"/>
        </w:rPr>
        <w:footnoteRef/>
      </w:r>
      <w:r>
        <w:rPr>
          <w:rFonts w:hint="eastAsia"/>
          <w:szCs w:val="18"/>
        </w:rPr>
        <w:t>港口工程、大型技术复杂的航道工程（指沿海航道工程以及包含船闸或炸礁的内河航道工程）可设置“企业综合能力”的评分项。</w:t>
      </w:r>
    </w:p>
  </w:footnote>
  <w:footnote w:id="58">
    <w:p>
      <w:pPr>
        <w:pStyle w:val="36"/>
        <w:spacing w:line="240" w:lineRule="auto"/>
        <w:ind w:firstLine="0"/>
        <w:rPr>
          <w:szCs w:val="18"/>
        </w:rPr>
      </w:pPr>
      <w:r>
        <w:rPr>
          <w:rFonts w:hint="eastAsia"/>
          <w:szCs w:val="18"/>
        </w:rPr>
        <w:footnoteRef/>
      </w:r>
      <w:r>
        <w:rPr>
          <w:rFonts w:hint="eastAsia"/>
          <w:szCs w:val="18"/>
        </w:rPr>
        <w:t>招标人应列明各评分因素或各评分因素细分项（如有）的评分标准并作为评标委员会进行评分的依据。</w:t>
      </w:r>
    </w:p>
  </w:footnote>
  <w:footnote w:id="59">
    <w:p>
      <w:pPr>
        <w:pStyle w:val="36"/>
        <w:spacing w:line="240" w:lineRule="auto"/>
        <w:ind w:firstLine="0"/>
        <w:rPr>
          <w:szCs w:val="18"/>
        </w:rPr>
      </w:pPr>
      <w:r>
        <w:rPr>
          <w:rFonts w:hint="eastAsia"/>
          <w:szCs w:val="18"/>
        </w:rPr>
        <w:footnoteRef/>
      </w:r>
      <w:r>
        <w:rPr>
          <w:rFonts w:hint="eastAsia"/>
          <w:szCs w:val="18"/>
        </w:rPr>
        <w:t>评标委员会成员对投标人技术部分各项因素的评分一般不得低于招标文件规定该因素满分值的 60%。</w:t>
      </w:r>
    </w:p>
  </w:footnote>
  <w:footnote w:id="60">
    <w:p>
      <w:pPr>
        <w:pStyle w:val="36"/>
        <w:spacing w:line="240" w:lineRule="auto"/>
        <w:ind w:firstLine="0"/>
        <w:rPr>
          <w:rFonts w:ascii="宋体" w:hAnsi="宋体"/>
          <w:szCs w:val="18"/>
        </w:rPr>
      </w:pPr>
      <w:r>
        <w:rPr>
          <w:rFonts w:ascii="宋体" w:hAnsi="宋体"/>
          <w:szCs w:val="18"/>
        </w:rPr>
        <w:footnoteRef/>
      </w:r>
      <w:r>
        <w:rPr>
          <w:rFonts w:ascii="宋体" w:hAnsi="宋体"/>
          <w:szCs w:val="18"/>
        </w:rPr>
        <w:t>招标人不得提出注册地址、所有制形式、市场占有率、特定行政区域或者特定行业业绩、取得非强制资质认证、设立本地分支机构、本地缴纳税收社保等要求和加分项，不得将企业资质等级、注册资本设为加分项，不得将营业执照的经营范围设为资格审查条件和加分项</w:t>
      </w:r>
      <w:r>
        <w:rPr>
          <w:rFonts w:hint="eastAsia" w:ascii="宋体" w:hAnsi="宋体"/>
          <w:szCs w:val="18"/>
        </w:rPr>
        <w:t>。</w:t>
      </w:r>
    </w:p>
  </w:footnote>
  <w:footnote w:id="61">
    <w:p>
      <w:pPr>
        <w:pStyle w:val="36"/>
        <w:spacing w:line="240" w:lineRule="auto"/>
        <w:ind w:firstLine="0"/>
        <w:rPr>
          <w:rFonts w:ascii="宋体" w:hAnsi="宋体"/>
          <w:szCs w:val="18"/>
        </w:rPr>
      </w:pPr>
      <w:r>
        <w:rPr>
          <w:rFonts w:ascii="宋体" w:hAnsi="宋体"/>
          <w:szCs w:val="18"/>
        </w:rPr>
        <w:footnoteRef/>
      </w:r>
      <w:r>
        <w:rPr>
          <w:rFonts w:hint="eastAsia" w:ascii="宋体" w:hAnsi="宋体"/>
          <w:szCs w:val="18"/>
        </w:rPr>
        <w:t>本条内容供招标人自行选择是否设置，下同。</w:t>
      </w:r>
    </w:p>
  </w:footnote>
  <w:footnote w:id="62">
    <w:p>
      <w:pPr>
        <w:pStyle w:val="36"/>
        <w:spacing w:line="240" w:lineRule="auto"/>
        <w:ind w:firstLine="0"/>
        <w:rPr>
          <w:rFonts w:ascii="宋体" w:hAnsi="宋体"/>
          <w:szCs w:val="18"/>
        </w:rPr>
      </w:pPr>
      <w:r>
        <w:rPr>
          <w:rFonts w:ascii="宋体" w:hAnsi="宋体"/>
          <w:szCs w:val="18"/>
        </w:rPr>
        <w:footnoteRef/>
      </w:r>
      <w:r>
        <w:rPr>
          <w:rFonts w:hint="eastAsia" w:ascii="宋体" w:hAnsi="宋体"/>
          <w:szCs w:val="18"/>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 w:id="63">
    <w:p>
      <w:pPr>
        <w:pStyle w:val="36"/>
        <w:spacing w:line="240" w:lineRule="auto"/>
        <w:ind w:firstLine="0"/>
        <w:rPr>
          <w:rFonts w:ascii="宋体" w:hAnsi="宋体"/>
          <w:szCs w:val="18"/>
        </w:rPr>
      </w:pPr>
      <w:r>
        <w:rPr>
          <w:rFonts w:ascii="宋体" w:hAnsi="宋体"/>
          <w:szCs w:val="18"/>
        </w:rPr>
        <w:footnoteRef/>
      </w:r>
      <w:r>
        <w:rPr>
          <w:rFonts w:hint="eastAsia" w:ascii="宋体" w:hAnsi="宋体"/>
          <w:szCs w:val="18"/>
        </w:rPr>
        <w:t>适用于允许投标人同时参与多个标段投标，且只允许中其中一个标段的情形。招标人可结合招标项目具体情况调整完善。</w:t>
      </w:r>
    </w:p>
  </w:footnote>
  <w:footnote w:id="64">
    <w:p>
      <w:pPr>
        <w:pStyle w:val="36"/>
        <w:spacing w:line="240" w:lineRule="auto"/>
        <w:ind w:firstLine="0"/>
        <w:rPr>
          <w:rFonts w:ascii="宋体" w:hAnsi="宋体"/>
          <w:szCs w:val="18"/>
        </w:rPr>
      </w:pPr>
      <w:r>
        <w:rPr>
          <w:rFonts w:ascii="宋体" w:hAnsi="宋体"/>
          <w:szCs w:val="18"/>
        </w:rPr>
        <w:footnoteRef/>
      </w:r>
      <w:r>
        <w:rPr>
          <w:rFonts w:ascii="宋体" w:hAnsi="宋体"/>
          <w:szCs w:val="18"/>
        </w:rPr>
        <w:t>本款涉及的序号或条款号均对应本范本，如招标文件修改序号或条款号的，应对应修改</w:t>
      </w:r>
      <w:r>
        <w:rPr>
          <w:rFonts w:hint="eastAsia" w:ascii="宋体" w:hAnsi="宋体"/>
          <w:szCs w:val="18"/>
        </w:rPr>
        <w:t>。</w:t>
      </w:r>
    </w:p>
  </w:footnote>
  <w:footnote w:id="65">
    <w:p>
      <w:pPr>
        <w:ind w:left="180" w:hanging="180" w:hangingChars="100"/>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footnoteRef/>
      </w:r>
      <w:r>
        <w:rPr>
          <w:rFonts w:hint="eastAsia" w:asciiTheme="minorEastAsia" w:hAnsiTheme="minorEastAsia" w:eastAsiaTheme="minorEastAsia"/>
          <w:kern w:val="0"/>
          <w:sz w:val="18"/>
          <w:szCs w:val="18"/>
        </w:rPr>
        <w:t>咨询服务工作应与本项目招标的工作内容相对应。</w:t>
      </w:r>
    </w:p>
  </w:footnote>
  <w:footnote w:id="66">
    <w:p>
      <w:pPr>
        <w:pStyle w:val="36"/>
        <w:spacing w:line="240" w:lineRule="auto"/>
        <w:ind w:firstLine="0"/>
        <w:rPr>
          <w:rFonts w:ascii="宋体" w:hAnsi="宋体"/>
          <w:kern w:val="18"/>
          <w:szCs w:val="18"/>
        </w:rPr>
      </w:pPr>
      <w:r>
        <w:rPr>
          <w:szCs w:val="18"/>
        </w:rPr>
        <w:footnoteRef/>
      </w:r>
      <w:r>
        <w:rPr>
          <w:rFonts w:hint="eastAsia"/>
          <w:szCs w:val="18"/>
        </w:rPr>
        <w:t>提交的成果应与招标项目的阶段性工作内容相对应，3.1.6至3.1.9项可根据招标的工作内容选择是否设置。</w:t>
      </w:r>
    </w:p>
  </w:footnote>
  <w:footnote w:id="67">
    <w:p>
      <w:pPr>
        <w:pStyle w:val="36"/>
        <w:spacing w:line="240" w:lineRule="auto"/>
        <w:ind w:firstLine="0"/>
        <w:rPr>
          <w:szCs w:val="18"/>
        </w:rPr>
      </w:pPr>
      <w:r>
        <w:rPr>
          <w:szCs w:val="18"/>
        </w:rPr>
        <w:footnoteRef/>
      </w:r>
      <w:r>
        <w:rPr>
          <w:rFonts w:hint="eastAsia"/>
          <w:szCs w:val="18"/>
        </w:rPr>
        <w:t>支付方式和时间应与招标项目的阶段性工作内容相对应，4.2.6至4.2.7项可根据招标的工作内容选择是否设置。</w:t>
      </w:r>
    </w:p>
  </w:footnote>
  <w:footnote w:id="68">
    <w:p>
      <w:pPr>
        <w:pStyle w:val="36"/>
        <w:spacing w:line="240" w:lineRule="auto"/>
        <w:ind w:firstLine="0"/>
        <w:rPr>
          <w:rFonts w:ascii="宋体" w:hAnsi="宋体" w:cs="SimSun-Identity-H"/>
          <w:szCs w:val="18"/>
        </w:rPr>
      </w:pPr>
      <w:r>
        <w:rPr>
          <w:rFonts w:hint="eastAsia" w:ascii="宋体" w:hAnsi="宋体" w:cs="SimSun-Identity-H"/>
          <w:szCs w:val="18"/>
        </w:rPr>
        <w:footnoteRef/>
      </w:r>
      <w:r>
        <w:rPr>
          <w:rFonts w:hint="eastAsia" w:ascii="宋体" w:hAnsi="宋体" w:cs="SimSun-Identity-H"/>
          <w:szCs w:val="18"/>
        </w:rPr>
        <w:t>范围宜为</w:t>
      </w:r>
      <w:r>
        <w:rPr>
          <w:rFonts w:ascii="宋体" w:hAnsi="宋体" w:cs="SimSun-Identity-H"/>
          <w:szCs w:val="18"/>
        </w:rPr>
        <w:t>3</w:t>
      </w:r>
      <w:r>
        <w:rPr>
          <w:rFonts w:hint="eastAsia" w:ascii="宋体" w:hAnsi="宋体" w:cs="SimSun-Identity-H"/>
          <w:szCs w:val="18"/>
        </w:rPr>
        <w:t>％～</w:t>
      </w:r>
      <w:r>
        <w:rPr>
          <w:rFonts w:ascii="宋体" w:hAnsi="宋体" w:cs="SimSun-Identity-H"/>
          <w:szCs w:val="18"/>
        </w:rPr>
        <w:t>5</w:t>
      </w:r>
      <w:r>
        <w:rPr>
          <w:rFonts w:hint="eastAsia" w:ascii="宋体" w:hAnsi="宋体" w:cs="SimSun-Identity-H"/>
          <w:szCs w:val="18"/>
        </w:rPr>
        <w:t>％。</w:t>
      </w:r>
    </w:p>
  </w:footnote>
  <w:footnote w:id="69">
    <w:p>
      <w:pPr>
        <w:pStyle w:val="36"/>
        <w:spacing w:line="240" w:lineRule="auto"/>
        <w:ind w:firstLine="0"/>
        <w:rPr>
          <w:rFonts w:ascii="宋体" w:hAnsi="宋体"/>
          <w:kern w:val="18"/>
          <w:szCs w:val="18"/>
        </w:rPr>
      </w:pPr>
      <w:r>
        <w:rPr>
          <w:rFonts w:ascii="宋体" w:hAnsi="宋体" w:cs="SimSun-Identity-H"/>
          <w:szCs w:val="18"/>
        </w:rPr>
        <w:footnoteRef/>
      </w:r>
      <w:r>
        <w:rPr>
          <w:rFonts w:hint="eastAsia" w:ascii="宋体" w:hAnsi="宋体" w:cs="SimSun-Identity-H"/>
          <w:szCs w:val="18"/>
        </w:rPr>
        <w:t>按中国人民银行发布的同期六个月以内（含六个月）短期贷款基准利率加手续费计算。招标人不能自行取消本款内容或降低利率。</w:t>
      </w:r>
    </w:p>
  </w:footnote>
  <w:footnote w:id="70">
    <w:p>
      <w:pPr>
        <w:pStyle w:val="36"/>
        <w:spacing w:line="240" w:lineRule="auto"/>
        <w:ind w:firstLine="0"/>
        <w:rPr>
          <w:rFonts w:ascii="宋体" w:hAnsi="宋体"/>
          <w:kern w:val="18"/>
          <w:szCs w:val="18"/>
        </w:rPr>
      </w:pPr>
      <w:r>
        <w:rPr>
          <w:szCs w:val="18"/>
        </w:rPr>
        <w:footnoteRef/>
      </w:r>
      <w:r>
        <w:rPr>
          <w:rFonts w:hint="eastAsia" w:ascii="宋体" w:hAnsi="宋体" w:cs="SimSun-Identity-H"/>
          <w:szCs w:val="18"/>
        </w:rPr>
        <w:t>范围宜为5％～10％</w:t>
      </w:r>
      <w:r>
        <w:rPr>
          <w:rFonts w:hint="eastAsia"/>
          <w:szCs w:val="18"/>
        </w:rPr>
        <w:t>。</w:t>
      </w:r>
    </w:p>
  </w:footnote>
  <w:footnote w:id="71">
    <w:p>
      <w:pPr>
        <w:pStyle w:val="36"/>
        <w:spacing w:line="240" w:lineRule="auto"/>
        <w:ind w:firstLine="0"/>
        <w:rPr>
          <w:rFonts w:ascii="宋体" w:hAnsi="宋体"/>
          <w:kern w:val="18"/>
          <w:szCs w:val="18"/>
        </w:rPr>
      </w:pPr>
      <w:r>
        <w:rPr>
          <w:szCs w:val="18"/>
        </w:rPr>
        <w:footnoteRef/>
      </w:r>
      <w:r>
        <w:rPr>
          <w:rFonts w:hint="eastAsia" w:ascii="宋体" w:hAnsi="宋体" w:cs="SimSun-Identity-H"/>
          <w:szCs w:val="18"/>
        </w:rPr>
        <w:t>范围宜为</w:t>
      </w:r>
      <w:r>
        <w:rPr>
          <w:rFonts w:ascii="宋体" w:hAnsi="宋体" w:cs="SimSun-Identity-H"/>
          <w:szCs w:val="18"/>
        </w:rPr>
        <w:t>3</w:t>
      </w:r>
      <w:r>
        <w:rPr>
          <w:rFonts w:hint="eastAsia" w:ascii="宋体" w:hAnsi="宋体" w:cs="SimSun-Identity-H"/>
          <w:szCs w:val="18"/>
        </w:rPr>
        <w:t>％～</w:t>
      </w:r>
      <w:r>
        <w:rPr>
          <w:rFonts w:ascii="宋体" w:hAnsi="宋体" w:cs="SimSun-Identity-H"/>
          <w:szCs w:val="18"/>
        </w:rPr>
        <w:t>5</w:t>
      </w:r>
      <w:r>
        <w:rPr>
          <w:rFonts w:hint="eastAsia" w:ascii="宋体" w:hAnsi="宋体" w:cs="SimSun-Identity-H"/>
          <w:szCs w:val="18"/>
        </w:rPr>
        <w:t>％</w:t>
      </w:r>
      <w:r>
        <w:rPr>
          <w:rFonts w:hint="eastAsia"/>
          <w:szCs w:val="18"/>
        </w:rPr>
        <w:t>。</w:t>
      </w:r>
    </w:p>
  </w:footnote>
  <w:footnote w:id="72">
    <w:p>
      <w:pPr>
        <w:pStyle w:val="36"/>
        <w:spacing w:line="240" w:lineRule="auto"/>
        <w:ind w:firstLine="0"/>
        <w:rPr>
          <w:rFonts w:ascii="宋体" w:hAnsi="宋体"/>
          <w:kern w:val="18"/>
          <w:szCs w:val="18"/>
        </w:rPr>
      </w:pPr>
      <w:r>
        <w:rPr>
          <w:szCs w:val="18"/>
        </w:rPr>
        <w:footnoteRef/>
      </w:r>
      <w:r>
        <w:rPr>
          <w:rFonts w:hint="eastAsia" w:ascii="宋体" w:hAnsi="宋体" w:cs="SimSun-Identity-H"/>
          <w:szCs w:val="18"/>
        </w:rPr>
        <w:t>范围宜为</w:t>
      </w:r>
      <w:r>
        <w:rPr>
          <w:rFonts w:ascii="宋体" w:hAnsi="宋体" w:cs="SimSun-Identity-H"/>
          <w:szCs w:val="18"/>
        </w:rPr>
        <w:t>3</w:t>
      </w:r>
      <w:r>
        <w:rPr>
          <w:rFonts w:hint="eastAsia" w:ascii="宋体" w:hAnsi="宋体" w:cs="SimSun-Identity-H"/>
          <w:szCs w:val="18"/>
        </w:rPr>
        <w:t>％～</w:t>
      </w:r>
      <w:r>
        <w:rPr>
          <w:rFonts w:ascii="宋体" w:hAnsi="宋体" w:cs="SimSun-Identity-H"/>
          <w:szCs w:val="18"/>
        </w:rPr>
        <w:t>5</w:t>
      </w:r>
      <w:r>
        <w:rPr>
          <w:rFonts w:hint="eastAsia" w:ascii="宋体" w:hAnsi="宋体" w:cs="SimSun-Identity-H"/>
          <w:szCs w:val="18"/>
        </w:rPr>
        <w:t>％</w:t>
      </w:r>
      <w:r>
        <w:rPr>
          <w:rFonts w:hint="eastAsia"/>
          <w:szCs w:val="18"/>
        </w:rPr>
        <w:t>。</w:t>
      </w:r>
    </w:p>
  </w:footnote>
  <w:footnote w:id="73">
    <w:p>
      <w:pPr>
        <w:pStyle w:val="36"/>
        <w:spacing w:line="240" w:lineRule="auto"/>
        <w:ind w:firstLine="0"/>
        <w:rPr>
          <w:rFonts w:ascii="宋体" w:hAnsi="宋体"/>
          <w:kern w:val="18"/>
          <w:szCs w:val="18"/>
        </w:rPr>
      </w:pPr>
      <w:r>
        <w:rPr>
          <w:szCs w:val="18"/>
        </w:rPr>
        <w:footnoteRef/>
      </w:r>
      <w:r>
        <w:rPr>
          <w:rFonts w:hint="eastAsia" w:ascii="宋体" w:hAnsi="宋体" w:cs="SimSun-Identity-H"/>
          <w:szCs w:val="18"/>
        </w:rPr>
        <w:t>范围宜为</w:t>
      </w:r>
      <w:r>
        <w:rPr>
          <w:rFonts w:ascii="宋体" w:hAnsi="宋体" w:cs="SimSun-Identity-H"/>
          <w:szCs w:val="18"/>
        </w:rPr>
        <w:t>3</w:t>
      </w:r>
      <w:r>
        <w:rPr>
          <w:rFonts w:hint="eastAsia" w:ascii="宋体" w:hAnsi="宋体" w:cs="SimSun-Identity-H"/>
          <w:szCs w:val="18"/>
        </w:rPr>
        <w:t>％～</w:t>
      </w:r>
      <w:r>
        <w:rPr>
          <w:rFonts w:ascii="宋体" w:hAnsi="宋体" w:cs="SimSun-Identity-H"/>
          <w:szCs w:val="18"/>
        </w:rPr>
        <w:t>5</w:t>
      </w:r>
      <w:r>
        <w:rPr>
          <w:rFonts w:hint="eastAsia" w:ascii="宋体" w:hAnsi="宋体" w:cs="SimSun-Identity-H"/>
          <w:szCs w:val="18"/>
        </w:rPr>
        <w:t>％</w:t>
      </w:r>
      <w:r>
        <w:rPr>
          <w:rFonts w:hint="eastAsia"/>
          <w:szCs w:val="18"/>
        </w:rPr>
        <w:t>。</w:t>
      </w:r>
    </w:p>
  </w:footnote>
  <w:footnote w:id="74">
    <w:p>
      <w:pPr>
        <w:pStyle w:val="36"/>
        <w:spacing w:line="240" w:lineRule="auto"/>
        <w:ind w:firstLine="0"/>
        <w:rPr>
          <w:rFonts w:ascii="宋体" w:hAnsi="宋体"/>
          <w:kern w:val="18"/>
          <w:szCs w:val="18"/>
        </w:rPr>
      </w:pPr>
      <w:r>
        <w:rPr>
          <w:rFonts w:hint="eastAsia" w:ascii="宋体" w:hAnsi="宋体" w:cs="SimSun-Identity-H"/>
          <w:szCs w:val="18"/>
        </w:rPr>
        <w:footnoteRef/>
      </w:r>
      <w:r>
        <w:rPr>
          <w:rFonts w:hint="eastAsia" w:ascii="宋体" w:hAnsi="宋体" w:cs="SimSun-Identity-H"/>
          <w:szCs w:val="18"/>
        </w:rPr>
        <w:t>范围宜为0.5％～</w:t>
      </w:r>
      <w:r>
        <w:rPr>
          <w:rFonts w:ascii="宋体" w:hAnsi="宋体" w:cs="SimSun-Identity-H"/>
          <w:szCs w:val="18"/>
        </w:rPr>
        <w:t>5</w:t>
      </w:r>
      <w:r>
        <w:rPr>
          <w:rFonts w:hint="eastAsia" w:ascii="宋体" w:hAnsi="宋体" w:cs="SimSun-Identity-H"/>
          <w:szCs w:val="18"/>
        </w:rPr>
        <w:t>％</w:t>
      </w:r>
      <w:r>
        <w:rPr>
          <w:rFonts w:hint="eastAsia"/>
          <w:szCs w:val="18"/>
        </w:rPr>
        <w:t>。</w:t>
      </w:r>
    </w:p>
  </w:footnote>
  <w:footnote w:id="75">
    <w:p>
      <w:pPr>
        <w:pStyle w:val="36"/>
        <w:tabs>
          <w:tab w:val="left" w:pos="3780"/>
        </w:tabs>
        <w:spacing w:line="240" w:lineRule="auto"/>
        <w:ind w:firstLine="0"/>
      </w:pPr>
      <w:r>
        <w:rPr>
          <w:rFonts w:hint="eastAsia"/>
        </w:rPr>
        <w:footnoteRef/>
      </w:r>
      <w:r>
        <w:rPr>
          <w:rFonts w:hint="eastAsia"/>
        </w:rPr>
        <w:t>本条内容可修改为：“</w:t>
      </w:r>
      <w:r>
        <w:t>本</w:t>
      </w:r>
      <w:r>
        <w:rPr>
          <w:rFonts w:hint="eastAsia"/>
        </w:rPr>
        <w:t>担保</w:t>
      </w:r>
      <w:r>
        <w:t>自（生效日期）之日起生效，至（失效日期）之日失效</w:t>
      </w:r>
      <w:r>
        <w:rPr>
          <w:rFonts w:hint="eastAsia"/>
        </w:rPr>
        <w:t>。”如发包人接受履约</w:t>
      </w:r>
      <w:r>
        <w:t>保函</w:t>
      </w:r>
      <w:r>
        <w:rPr>
          <w:rFonts w:hint="eastAsia"/>
        </w:rPr>
        <w:t>采用固定有效</w:t>
      </w:r>
      <w:r>
        <w:t>期，</w:t>
      </w:r>
      <w:r>
        <w:rPr>
          <w:rFonts w:hint="eastAsia"/>
        </w:rPr>
        <w:t>在</w:t>
      </w:r>
      <w:r>
        <w:t>合同条款中</w:t>
      </w:r>
      <w:r>
        <w:rPr>
          <w:rFonts w:hint="eastAsia"/>
        </w:rPr>
        <w:t>应</w:t>
      </w:r>
      <w:r>
        <w:t>增加</w:t>
      </w:r>
      <w:r>
        <w:rPr>
          <w:rFonts w:hint="eastAsia"/>
        </w:rPr>
        <w:t>保证咨询单位在履约</w:t>
      </w:r>
      <w:r>
        <w:t>保函失效</w:t>
      </w:r>
      <w:r>
        <w:rPr>
          <w:rFonts w:hint="eastAsia"/>
        </w:rPr>
        <w:t>日</w:t>
      </w:r>
      <w:r>
        <w:t>前向发包人出具后续阶段履约保函</w:t>
      </w:r>
      <w:r>
        <w:rPr>
          <w:rFonts w:hint="eastAsia"/>
        </w:rPr>
        <w:t>的约束性</w:t>
      </w:r>
      <w:r>
        <w:t>条款，直至发包人签</w:t>
      </w:r>
      <w:r>
        <w:rPr>
          <w:rFonts w:hint="eastAsia"/>
        </w:rPr>
        <w:t>收最后</w:t>
      </w:r>
      <w:r>
        <w:t>一批</w:t>
      </w:r>
      <w:r>
        <w:rPr>
          <w:rFonts w:hint="eastAsia"/>
        </w:rPr>
        <w:t>勘察设计成果文件之日为止</w:t>
      </w:r>
      <w:r>
        <w:t>。</w:t>
      </w:r>
    </w:p>
  </w:footnote>
  <w:footnote w:id="76">
    <w:p>
      <w:pPr>
        <w:pStyle w:val="36"/>
        <w:ind w:firstLine="0"/>
        <w:rPr>
          <w:szCs w:val="18"/>
        </w:rPr>
      </w:pPr>
      <w:r>
        <w:rPr>
          <w:rFonts w:hint="eastAsia"/>
          <w:szCs w:val="18"/>
        </w:rPr>
        <w:footnoteRef/>
      </w:r>
      <w:r>
        <w:rPr>
          <w:rFonts w:hint="eastAsia"/>
          <w:szCs w:val="18"/>
        </w:rPr>
        <w:t>招标人可结合招标项目具体特点和实际需要，对本章内容进行补充、细化。</w:t>
      </w:r>
    </w:p>
  </w:footnote>
  <w:footnote w:id="77">
    <w:p>
      <w:pPr>
        <w:pStyle w:val="36"/>
        <w:spacing w:line="240" w:lineRule="auto"/>
        <w:ind w:firstLine="0"/>
        <w:rPr>
          <w:rFonts w:ascii="宋体" w:hAnsi="宋体"/>
          <w:szCs w:val="18"/>
        </w:rPr>
      </w:pPr>
      <w:r>
        <w:rPr>
          <w:rFonts w:ascii="宋体" w:hAnsi="宋体"/>
          <w:szCs w:val="18"/>
        </w:rPr>
        <w:footnoteRef/>
      </w:r>
      <w:r>
        <w:rPr>
          <w:rFonts w:hint="eastAsia" w:ascii="宋体" w:hAnsi="宋体"/>
          <w:szCs w:val="18"/>
        </w:rPr>
        <w:t>招标人可结合招标项目具体特点和实际需要，对本章内容进行补充、细化。</w:t>
      </w:r>
    </w:p>
  </w:footnote>
  <w:footnote w:id="78">
    <w:p>
      <w:pPr>
        <w:pStyle w:val="36"/>
        <w:ind w:firstLine="0"/>
        <w:rPr>
          <w:rFonts w:ascii="宋体" w:hAnsi="宋体" w:cs="宋体"/>
          <w:color w:val="000000"/>
          <w:szCs w:val="18"/>
        </w:rPr>
      </w:pPr>
      <w:r>
        <w:rPr>
          <w:rFonts w:hint="eastAsia" w:ascii="宋体" w:hAnsi="宋体" w:cs="宋体"/>
          <w:color w:val="000000"/>
          <w:szCs w:val="18"/>
        </w:rPr>
        <w:t xml:space="preserve">1本条款不适用于已按招标文件要求提供了分项咨询负责人的项目。 </w:t>
      </w:r>
    </w:p>
  </w:footnote>
  <w:footnote w:id="79">
    <w:p>
      <w:pPr>
        <w:pStyle w:val="36"/>
        <w:spacing w:line="240" w:lineRule="auto"/>
        <w:ind w:firstLine="0"/>
        <w:rPr>
          <w:rFonts w:ascii="CIDFont + F1" w:hAnsi="CIDFont + F1" w:eastAsia="CIDFont + F1" w:cs="CIDFont + F1"/>
          <w:color w:val="000000"/>
          <w:szCs w:val="18"/>
        </w:rPr>
      </w:pPr>
      <w:r>
        <w:rPr>
          <w:rFonts w:hint="eastAsia" w:ascii="宋体" w:hAnsi="宋体" w:cs="宋体"/>
          <w:color w:val="000000"/>
          <w:szCs w:val="18"/>
        </w:rPr>
        <w:footnoteRef/>
      </w:r>
      <w:r>
        <w:rPr>
          <w:rFonts w:hint="eastAsia" w:ascii="宋体" w:hAnsi="宋体" w:cs="宋体"/>
          <w:color w:val="000000"/>
          <w:szCs w:val="18"/>
        </w:rPr>
        <w:t xml:space="preserve"> 投标</w:t>
      </w:r>
      <w:r>
        <w:rPr>
          <w:rFonts w:ascii="CIDFont + F1" w:hAnsi="CIDFont + F1" w:eastAsia="CIDFont + F1" w:cs="CIDFont + F1"/>
          <w:color w:val="000000"/>
          <w:szCs w:val="18"/>
        </w:rPr>
        <w:t>人仅须在投标函上加盖单位章，或由法定代表人或其委托代理人签字。</w:t>
      </w:r>
    </w:p>
  </w:footnote>
  <w:footnote w:id="80">
    <w:p>
      <w:pPr>
        <w:pStyle w:val="36"/>
        <w:spacing w:line="300" w:lineRule="atLeast"/>
        <w:ind w:left="180" w:hanging="180" w:hangingChars="100"/>
        <w:rPr>
          <w:szCs w:val="18"/>
        </w:rPr>
      </w:pPr>
      <w:r>
        <w:rPr>
          <w:rFonts w:hint="eastAsia"/>
          <w:szCs w:val="18"/>
        </w:rPr>
        <w:footnoteRef/>
      </w:r>
      <w:r>
        <w:rPr>
          <w:rFonts w:hint="eastAsia"/>
          <w:szCs w:val="18"/>
        </w:rPr>
        <w:t>如果由投标人的法定代表人签署投标文件，则不需提交授权委托书。</w:t>
      </w:r>
    </w:p>
  </w:footnote>
  <w:footnote w:id="81">
    <w:p>
      <w:pPr>
        <w:pStyle w:val="36"/>
        <w:ind w:firstLine="0"/>
        <w:rPr>
          <w:szCs w:val="18"/>
        </w:rPr>
      </w:pPr>
      <w:r>
        <w:rPr>
          <w:rFonts w:hint="eastAsia"/>
          <w:szCs w:val="18"/>
        </w:rPr>
        <w:footnoteRef/>
      </w:r>
      <w:r>
        <w:rPr>
          <w:rFonts w:hint="eastAsia"/>
          <w:szCs w:val="18"/>
        </w:rPr>
        <w:t>如果由投标人的委托代理人签署投标文件，则不需提交法定代表人身份证明。</w:t>
      </w:r>
    </w:p>
  </w:footnote>
  <w:footnote w:id="82">
    <w:p>
      <w:pPr>
        <w:pStyle w:val="36"/>
        <w:ind w:firstLine="0"/>
        <w:rPr>
          <w:rFonts w:ascii="CIDFont + F1" w:hAnsi="CIDFont + F1" w:eastAsia="CIDFont + F1" w:cs="CIDFont + F1"/>
          <w:color w:val="000000"/>
          <w:szCs w:val="18"/>
        </w:rPr>
      </w:pPr>
      <w:r>
        <w:rPr>
          <w:rFonts w:hint="eastAsia" w:ascii="宋体" w:hAnsi="宋体" w:cs="宋体"/>
          <w:color w:val="000000"/>
          <w:szCs w:val="18"/>
        </w:rPr>
        <w:footnoteRef/>
      </w:r>
      <w:r>
        <w:rPr>
          <w:rFonts w:ascii="CIDFont + F1" w:hAnsi="CIDFont + F1" w:eastAsia="CIDFont + F1" w:cs="CIDFont + F1"/>
          <w:color w:val="000000"/>
          <w:szCs w:val="18"/>
        </w:rPr>
        <w:t>根据项目的实际情况，如招标文件要求分项咨询负责人按投标函的格式承诺即可，则本表可不提供。</w:t>
      </w:r>
    </w:p>
  </w:footnote>
  <w:footnote w:id="83">
    <w:p>
      <w:pPr>
        <w:pStyle w:val="36"/>
        <w:ind w:firstLine="0"/>
        <w:rPr>
          <w:rFonts w:ascii="CIDFont + F1" w:hAnsi="CIDFont + F1" w:cs="CIDFont + F1"/>
          <w:color w:val="000000"/>
          <w:szCs w:val="18"/>
        </w:rPr>
      </w:pPr>
      <w:r>
        <w:rPr>
          <w:rFonts w:hint="eastAsia" w:ascii="宋体" w:hAnsi="宋体" w:cs="宋体"/>
          <w:color w:val="000000"/>
          <w:szCs w:val="18"/>
        </w:rPr>
        <w:footnoteRef/>
      </w:r>
      <w:r>
        <w:rPr>
          <w:rFonts w:hint="eastAsia" w:ascii="CIDFont + F1" w:hAnsi="CIDFont + F1" w:cs="CIDFont + F1"/>
          <w:color w:val="000000"/>
          <w:szCs w:val="18"/>
        </w:rPr>
        <w:t>根据项目的实际情况，如招标文件要求分项咨询负责人按投标函的格式承诺即可，则本表可不提供。</w:t>
      </w:r>
    </w:p>
  </w:footnote>
  <w:footnote w:id="84">
    <w:p>
      <w:pPr>
        <w:pStyle w:val="36"/>
        <w:spacing w:line="300" w:lineRule="atLeast"/>
        <w:ind w:left="180" w:hanging="180" w:hangingChars="100"/>
        <w:jc w:val="both"/>
        <w:rPr>
          <w:rFonts w:hAnsi="宋体"/>
          <w:szCs w:val="18"/>
        </w:rPr>
      </w:pPr>
      <w:r>
        <w:rPr>
          <w:rFonts w:hint="eastAsia" w:hAnsi="宋体"/>
          <w:szCs w:val="18"/>
        </w:rPr>
        <w:footnoteRef/>
      </w:r>
      <w:r>
        <w:rPr>
          <w:rFonts w:hint="eastAsia" w:hAnsi="宋体"/>
          <w:szCs w:val="18"/>
        </w:rPr>
        <w:t>投标人仅须在投标函上加盖单位章，或由法定代表人或其委托代理人签字。</w:t>
      </w:r>
    </w:p>
  </w:footnote>
  <w:footnote w:id="85">
    <w:p>
      <w:pPr>
        <w:pStyle w:val="36"/>
        <w:spacing w:line="240" w:lineRule="auto"/>
        <w:ind w:firstLine="0"/>
      </w:pPr>
      <w:r>
        <w:rPr>
          <w:rFonts w:hint="eastAsia" w:ascii="宋体" w:hAnsi="宋体" w:cs="宋体"/>
          <w:szCs w:val="18"/>
        </w:rPr>
        <w:footnoteRef/>
      </w:r>
      <w:r>
        <w:rPr>
          <w:rFonts w:hint="eastAsia" w:ascii="宋体" w:hAnsi="宋体" w:cs="宋体"/>
          <w:szCs w:val="18"/>
        </w:rPr>
        <w:t>招标人可以根据项目实际需求对格式及内容进行调整。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1"/>
      <w:tabs>
        <w:tab w:val="left" w:pos="8080"/>
      </w:tabs>
      <w:spacing w:beforeLines="0" w:afterLines="0" w:line="360" w:lineRule="auto"/>
      <w:ind w:right="-1304" w:rightChars="-621"/>
      <w:jc w:val="both"/>
      <w:rPr>
        <w:rFonts w:ascii="黑体" w:hAnsi="黑体" w:eastAsia="黑体"/>
        <w:sz w:val="21"/>
        <w:szCs w:val="21"/>
        <w:u w:val="single"/>
      </w:rPr>
    </w:pPr>
    <w:r>
      <w:rPr>
        <w:rFonts w:hint="eastAsia" w:ascii="黑体" w:hAnsi="黑体" w:eastAsia="黑体"/>
        <w:sz w:val="21"/>
        <w:szCs w:val="21"/>
        <w:u w:val="single"/>
        <w:lang w:val="zh-CN"/>
      </w:rPr>
      <w:t>湛江市</w:t>
    </w:r>
    <w:r>
      <w:rPr>
        <w:rFonts w:hint="eastAsia" w:ascii="黑体" w:hAnsi="黑体" w:eastAsia="黑体"/>
        <w:sz w:val="21"/>
        <w:szCs w:val="21"/>
        <w:u w:val="single"/>
      </w:rPr>
      <w:t>水运</w:t>
    </w:r>
    <w:r>
      <w:rPr>
        <w:rFonts w:hint="eastAsia" w:ascii="黑体" w:hAnsi="黑体" w:eastAsia="黑体"/>
        <w:sz w:val="21"/>
        <w:szCs w:val="21"/>
        <w:u w:val="single"/>
        <w:lang w:val="zh-CN"/>
      </w:rPr>
      <w:t>工程勘察设计咨询招标文件范本（2</w:t>
    </w:r>
    <w:r>
      <w:rPr>
        <w:rFonts w:hint="eastAsia" w:ascii="黑体" w:hAnsi="黑体" w:eastAsia="黑体"/>
        <w:sz w:val="21"/>
        <w:szCs w:val="21"/>
        <w:u w:val="single"/>
      </w:rPr>
      <w:t>023</w:t>
    </w:r>
    <w:r>
      <w:rPr>
        <w:rFonts w:hint="eastAsia" w:ascii="黑体" w:hAnsi="黑体" w:eastAsia="黑体"/>
        <w:sz w:val="21"/>
        <w:szCs w:val="21"/>
        <w:u w:val="single"/>
        <w:lang w:val="zh-CN"/>
      </w:rPr>
      <w:t xml:space="preserve">年版）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opLinePunct/>
      <w:spacing w:line="240" w:lineRule="atLeast"/>
      <w:ind w:right="190"/>
      <w:rPr>
        <w:sz w:val="17"/>
        <w:szCs w:val="17"/>
      </w:rPr>
    </w:pPr>
    <w:r>
      <w:rPr>
        <w:rStyle w:val="148"/>
        <w:rFonts w:hint="eastAsia" w:eastAsia="黑体"/>
        <w:b w:val="0"/>
        <w:bCs w:val="0"/>
        <w:kern w:val="10"/>
        <w:sz w:val="22"/>
        <w:szCs w:val="22"/>
      </w:rPr>
      <w:t>公路工程标准勘察设计咨询招标文件（2018年版）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opLinePunct/>
      <w:spacing w:line="240" w:lineRule="atLeast"/>
      <w:ind w:right="190"/>
      <w:rPr>
        <w:sz w:val="17"/>
        <w:szCs w:val="17"/>
      </w:rPr>
    </w:pPr>
    <w:r>
      <w:rPr>
        <w:rStyle w:val="148"/>
        <w:rFonts w:hint="eastAsia" w:eastAsia="黑体"/>
        <w:b w:val="0"/>
        <w:bCs w:val="0"/>
        <w:kern w:val="10"/>
        <w:sz w:val="22"/>
        <w:szCs w:val="22"/>
      </w:rPr>
      <w:t>公路工程标准勘察设计咨询招标文件（2018年版）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opLinePunct/>
      <w:spacing w:line="240" w:lineRule="atLeast"/>
      <w:ind w:right="190"/>
      <w:rPr>
        <w:sz w:val="17"/>
        <w:szCs w:val="17"/>
      </w:rPr>
    </w:pPr>
    <w:r>
      <w:rPr>
        <w:rStyle w:val="148"/>
        <w:rFonts w:hint="eastAsia" w:eastAsia="黑体"/>
        <w:b w:val="0"/>
        <w:bCs w:val="0"/>
        <w:kern w:val="10"/>
        <w:sz w:val="22"/>
        <w:szCs w:val="22"/>
      </w:rPr>
      <w:t>公路工程标准勘察设计咨询招标文件（2018年版）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ordWrap w:val="0"/>
      <w:jc w:val="right"/>
      <w:rPr>
        <w:sz w:val="17"/>
        <w:szCs w:val="17"/>
      </w:rPr>
    </w:pPr>
    <w:r>
      <w:rPr>
        <w:sz w:val="19"/>
        <w:szCs w:val="19"/>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175895</wp:posOffset>
              </wp:positionV>
              <wp:extent cx="5343525" cy="0"/>
              <wp:effectExtent l="0" t="22225" r="9525" b="34925"/>
              <wp:wrapNone/>
              <wp:docPr id="1" name="直线 1"/>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3.6pt;margin-top:13.85pt;height:0pt;width:420.75pt;z-index:251659264;mso-width-relative:page;mso-height-relative:page;" filled="f" stroked="t" coordsize="21600,21600" o:gfxdata="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IpWX3tYAAAAI&#10;AQAADwAAAAAAAAABACAAAAA4AAAAZHJzL2Rvd25yZXYueG1sUEsBAhQAFAAAAAgAh07iQNEk7LDP&#10;AQAAlgMAAA4AAAAAAAAAAQAgAAAAOwEAAGRycy9lMm9Eb2MueG1sUEsFBgAAAAAGAAYAWQEAAHwF&#10;AAAAAA==&#10;">
              <v:fill on="f" focussize="0,0"/>
              <v:stroke weight="3.5pt" color="#000000" linestyle="thickThin"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C67BF"/>
    <w:multiLevelType w:val="singleLevel"/>
    <w:tmpl w:val="818C67BF"/>
    <w:lvl w:ilvl="0" w:tentative="0">
      <w:start w:val="2"/>
      <w:numFmt w:val="decimal"/>
      <w:suff w:val="space"/>
      <w:lvlText w:val="%1."/>
      <w:lvlJc w:val="left"/>
    </w:lvl>
  </w:abstractNum>
  <w:abstractNum w:abstractNumId="1">
    <w:nsid w:val="8F0162E0"/>
    <w:multiLevelType w:val="singleLevel"/>
    <w:tmpl w:val="8F0162E0"/>
    <w:lvl w:ilvl="0" w:tentative="0">
      <w:start w:val="1"/>
      <w:numFmt w:val="decimal"/>
      <w:suff w:val="nothing"/>
      <w:lvlText w:val="%1、"/>
      <w:lvlJc w:val="left"/>
    </w:lvl>
  </w:abstractNum>
  <w:abstractNum w:abstractNumId="2">
    <w:nsid w:val="9B420C64"/>
    <w:multiLevelType w:val="singleLevel"/>
    <w:tmpl w:val="9B420C64"/>
    <w:lvl w:ilvl="0" w:tentative="0">
      <w:start w:val="1"/>
      <w:numFmt w:val="decimal"/>
      <w:suff w:val="nothing"/>
      <w:lvlText w:val="（%1）"/>
      <w:lvlJc w:val="left"/>
    </w:lvl>
  </w:abstractNum>
  <w:abstractNum w:abstractNumId="3">
    <w:nsid w:val="1715378D"/>
    <w:multiLevelType w:val="multilevel"/>
    <w:tmpl w:val="1715378D"/>
    <w:lvl w:ilvl="0" w:tentative="0">
      <w:start w:val="1"/>
      <w:numFmt w:val="japaneseCounting"/>
      <w:lvlText w:val="第%1节"/>
      <w:lvlJc w:val="left"/>
      <w:pPr>
        <w:ind w:left="2265" w:hanging="1272"/>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4">
    <w:nsid w:val="54B434E1"/>
    <w:multiLevelType w:val="multilevel"/>
    <w:tmpl w:val="54B434E1"/>
    <w:lvl w:ilvl="0" w:tentative="0">
      <w:start w:val="1"/>
      <w:numFmt w:val="decimal"/>
      <w:pStyle w:val="85"/>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hideSpellingErrors/>
  <w:documentProtection w:enforcement="0"/>
  <w:defaultTabStop w:val="420"/>
  <w:drawingGridHorizontalSpacing w:val="105"/>
  <w:drawingGridVerticalSpacing w:val="156"/>
  <w:noPunctuationKerning w:val="true"/>
  <w:characterSpacingControl w:val="compressPunctuation"/>
  <w:hdrShapeDefaults>
    <o:shapelayout v:ext="edit">
      <o:idmap v:ext="edit" data="1"/>
    </o:shapelayout>
  </w:hdrShapeDefaults>
  <w:footnotePr>
    <w:numRestart w:val="eachPage"/>
    <w:footnote w:id="172"/>
    <w:footnote w:id="17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Zjk5NGY0MTY3ZDBjNDI5ZWI5ZjAyMWVkM2ZlNjkifQ=="/>
  </w:docVars>
  <w:rsids>
    <w:rsidRoot w:val="00183A6E"/>
    <w:rsid w:val="0000001F"/>
    <w:rsid w:val="0000015E"/>
    <w:rsid w:val="00000524"/>
    <w:rsid w:val="0000071E"/>
    <w:rsid w:val="00000E72"/>
    <w:rsid w:val="00000EEC"/>
    <w:rsid w:val="00001153"/>
    <w:rsid w:val="0000164F"/>
    <w:rsid w:val="00001FFB"/>
    <w:rsid w:val="00002735"/>
    <w:rsid w:val="000027F1"/>
    <w:rsid w:val="0000303A"/>
    <w:rsid w:val="00003C39"/>
    <w:rsid w:val="00003C73"/>
    <w:rsid w:val="0000436D"/>
    <w:rsid w:val="0000456D"/>
    <w:rsid w:val="00004C26"/>
    <w:rsid w:val="00005781"/>
    <w:rsid w:val="00005AF8"/>
    <w:rsid w:val="00005CA4"/>
    <w:rsid w:val="00005F65"/>
    <w:rsid w:val="0000601A"/>
    <w:rsid w:val="000060FE"/>
    <w:rsid w:val="000062A9"/>
    <w:rsid w:val="00006878"/>
    <w:rsid w:val="00006980"/>
    <w:rsid w:val="000069CA"/>
    <w:rsid w:val="00006D8D"/>
    <w:rsid w:val="0000700D"/>
    <w:rsid w:val="00007455"/>
    <w:rsid w:val="000074AC"/>
    <w:rsid w:val="00007620"/>
    <w:rsid w:val="00007BBF"/>
    <w:rsid w:val="00007E1B"/>
    <w:rsid w:val="00010605"/>
    <w:rsid w:val="000106E4"/>
    <w:rsid w:val="00010A4E"/>
    <w:rsid w:val="00011869"/>
    <w:rsid w:val="00011CAC"/>
    <w:rsid w:val="00011CB4"/>
    <w:rsid w:val="0001267B"/>
    <w:rsid w:val="00012904"/>
    <w:rsid w:val="0001291C"/>
    <w:rsid w:val="00012A9E"/>
    <w:rsid w:val="00012D7B"/>
    <w:rsid w:val="0001346C"/>
    <w:rsid w:val="000135D2"/>
    <w:rsid w:val="0001364D"/>
    <w:rsid w:val="00013703"/>
    <w:rsid w:val="00013DC5"/>
    <w:rsid w:val="0001428B"/>
    <w:rsid w:val="000147F3"/>
    <w:rsid w:val="0001483E"/>
    <w:rsid w:val="00014EA1"/>
    <w:rsid w:val="000150F6"/>
    <w:rsid w:val="000152F7"/>
    <w:rsid w:val="0001594C"/>
    <w:rsid w:val="00015B67"/>
    <w:rsid w:val="00015FF0"/>
    <w:rsid w:val="000167DA"/>
    <w:rsid w:val="00016921"/>
    <w:rsid w:val="0001738A"/>
    <w:rsid w:val="000173A0"/>
    <w:rsid w:val="000173C0"/>
    <w:rsid w:val="0001746B"/>
    <w:rsid w:val="000175A9"/>
    <w:rsid w:val="00017876"/>
    <w:rsid w:val="000201D7"/>
    <w:rsid w:val="00020375"/>
    <w:rsid w:val="000207C2"/>
    <w:rsid w:val="00020DE6"/>
    <w:rsid w:val="000215AC"/>
    <w:rsid w:val="0002185D"/>
    <w:rsid w:val="000218A8"/>
    <w:rsid w:val="00021E6E"/>
    <w:rsid w:val="0002204B"/>
    <w:rsid w:val="00022845"/>
    <w:rsid w:val="00022F6B"/>
    <w:rsid w:val="00022F74"/>
    <w:rsid w:val="00023047"/>
    <w:rsid w:val="00023703"/>
    <w:rsid w:val="000237C3"/>
    <w:rsid w:val="0002394B"/>
    <w:rsid w:val="00023E8C"/>
    <w:rsid w:val="00024283"/>
    <w:rsid w:val="00024371"/>
    <w:rsid w:val="0002437C"/>
    <w:rsid w:val="00024D41"/>
    <w:rsid w:val="00025AA2"/>
    <w:rsid w:val="00025AE9"/>
    <w:rsid w:val="00026423"/>
    <w:rsid w:val="000267F6"/>
    <w:rsid w:val="00026D2B"/>
    <w:rsid w:val="00026F92"/>
    <w:rsid w:val="0002793A"/>
    <w:rsid w:val="00027BE8"/>
    <w:rsid w:val="0003009E"/>
    <w:rsid w:val="0003015B"/>
    <w:rsid w:val="000302DB"/>
    <w:rsid w:val="00030850"/>
    <w:rsid w:val="00030C7E"/>
    <w:rsid w:val="00030F00"/>
    <w:rsid w:val="000310CE"/>
    <w:rsid w:val="00031249"/>
    <w:rsid w:val="00031312"/>
    <w:rsid w:val="000315DD"/>
    <w:rsid w:val="000316B1"/>
    <w:rsid w:val="000318AC"/>
    <w:rsid w:val="00031A9B"/>
    <w:rsid w:val="0003201E"/>
    <w:rsid w:val="000324DC"/>
    <w:rsid w:val="0003252B"/>
    <w:rsid w:val="00032871"/>
    <w:rsid w:val="00032EE3"/>
    <w:rsid w:val="0003369F"/>
    <w:rsid w:val="0003377D"/>
    <w:rsid w:val="00033BA1"/>
    <w:rsid w:val="00033CB7"/>
    <w:rsid w:val="00034A2F"/>
    <w:rsid w:val="00035317"/>
    <w:rsid w:val="0003557E"/>
    <w:rsid w:val="000357A5"/>
    <w:rsid w:val="00035A5F"/>
    <w:rsid w:val="00035C00"/>
    <w:rsid w:val="0003643A"/>
    <w:rsid w:val="0003653D"/>
    <w:rsid w:val="00036546"/>
    <w:rsid w:val="00036575"/>
    <w:rsid w:val="00036605"/>
    <w:rsid w:val="0003676B"/>
    <w:rsid w:val="00036E8E"/>
    <w:rsid w:val="00037A32"/>
    <w:rsid w:val="00037CE3"/>
    <w:rsid w:val="000401FE"/>
    <w:rsid w:val="000404B2"/>
    <w:rsid w:val="000406C1"/>
    <w:rsid w:val="0004133C"/>
    <w:rsid w:val="0004141C"/>
    <w:rsid w:val="00041598"/>
    <w:rsid w:val="00041674"/>
    <w:rsid w:val="000416D4"/>
    <w:rsid w:val="0004179D"/>
    <w:rsid w:val="000418BA"/>
    <w:rsid w:val="000418D2"/>
    <w:rsid w:val="0004197A"/>
    <w:rsid w:val="000419B7"/>
    <w:rsid w:val="000419C1"/>
    <w:rsid w:val="00041DCF"/>
    <w:rsid w:val="000420C3"/>
    <w:rsid w:val="000424FE"/>
    <w:rsid w:val="00042571"/>
    <w:rsid w:val="0004298A"/>
    <w:rsid w:val="00042A06"/>
    <w:rsid w:val="00042F0B"/>
    <w:rsid w:val="00043269"/>
    <w:rsid w:val="0004327E"/>
    <w:rsid w:val="00043437"/>
    <w:rsid w:val="00043B7E"/>
    <w:rsid w:val="00043BA4"/>
    <w:rsid w:val="00043BB1"/>
    <w:rsid w:val="00043C67"/>
    <w:rsid w:val="00043D44"/>
    <w:rsid w:val="00043E48"/>
    <w:rsid w:val="00043F3F"/>
    <w:rsid w:val="00044089"/>
    <w:rsid w:val="00044976"/>
    <w:rsid w:val="00045307"/>
    <w:rsid w:val="00045474"/>
    <w:rsid w:val="00045BF8"/>
    <w:rsid w:val="00046385"/>
    <w:rsid w:val="0004688A"/>
    <w:rsid w:val="00046C6C"/>
    <w:rsid w:val="0004706B"/>
    <w:rsid w:val="000470FD"/>
    <w:rsid w:val="00047436"/>
    <w:rsid w:val="00047733"/>
    <w:rsid w:val="00047911"/>
    <w:rsid w:val="00047BAD"/>
    <w:rsid w:val="00047E18"/>
    <w:rsid w:val="00047F50"/>
    <w:rsid w:val="0005001E"/>
    <w:rsid w:val="0005085F"/>
    <w:rsid w:val="00050A3B"/>
    <w:rsid w:val="00050A57"/>
    <w:rsid w:val="00050A85"/>
    <w:rsid w:val="00050ACF"/>
    <w:rsid w:val="00050C5E"/>
    <w:rsid w:val="00051607"/>
    <w:rsid w:val="000519C9"/>
    <w:rsid w:val="00051A7B"/>
    <w:rsid w:val="00051D76"/>
    <w:rsid w:val="00052280"/>
    <w:rsid w:val="000527A4"/>
    <w:rsid w:val="00052E95"/>
    <w:rsid w:val="0005336F"/>
    <w:rsid w:val="0005350A"/>
    <w:rsid w:val="0005365E"/>
    <w:rsid w:val="00053C0B"/>
    <w:rsid w:val="00053F53"/>
    <w:rsid w:val="00054111"/>
    <w:rsid w:val="00054658"/>
    <w:rsid w:val="00054BF1"/>
    <w:rsid w:val="00055392"/>
    <w:rsid w:val="000555D9"/>
    <w:rsid w:val="00055766"/>
    <w:rsid w:val="00055AB6"/>
    <w:rsid w:val="00056868"/>
    <w:rsid w:val="000572A7"/>
    <w:rsid w:val="000575A4"/>
    <w:rsid w:val="000578CA"/>
    <w:rsid w:val="000603C4"/>
    <w:rsid w:val="000608B3"/>
    <w:rsid w:val="0006113C"/>
    <w:rsid w:val="00061694"/>
    <w:rsid w:val="000616D0"/>
    <w:rsid w:val="000618E6"/>
    <w:rsid w:val="00061BC0"/>
    <w:rsid w:val="00061DBF"/>
    <w:rsid w:val="00061E21"/>
    <w:rsid w:val="00061E73"/>
    <w:rsid w:val="000629AE"/>
    <w:rsid w:val="00062F02"/>
    <w:rsid w:val="00063161"/>
    <w:rsid w:val="000631A6"/>
    <w:rsid w:val="00063B44"/>
    <w:rsid w:val="00063B57"/>
    <w:rsid w:val="00063E83"/>
    <w:rsid w:val="00063EAB"/>
    <w:rsid w:val="000643F2"/>
    <w:rsid w:val="00064857"/>
    <w:rsid w:val="00065384"/>
    <w:rsid w:val="0006598D"/>
    <w:rsid w:val="00065B0A"/>
    <w:rsid w:val="00065DD2"/>
    <w:rsid w:val="00065F8D"/>
    <w:rsid w:val="0006638C"/>
    <w:rsid w:val="00066470"/>
    <w:rsid w:val="000668EC"/>
    <w:rsid w:val="00067087"/>
    <w:rsid w:val="00067D27"/>
    <w:rsid w:val="00067F2F"/>
    <w:rsid w:val="0007022C"/>
    <w:rsid w:val="0007037D"/>
    <w:rsid w:val="00070522"/>
    <w:rsid w:val="00070656"/>
    <w:rsid w:val="000706F5"/>
    <w:rsid w:val="00070FE7"/>
    <w:rsid w:val="000711E2"/>
    <w:rsid w:val="000715D7"/>
    <w:rsid w:val="000716AB"/>
    <w:rsid w:val="00071B8A"/>
    <w:rsid w:val="00072255"/>
    <w:rsid w:val="00072643"/>
    <w:rsid w:val="0007269F"/>
    <w:rsid w:val="00072723"/>
    <w:rsid w:val="00072E36"/>
    <w:rsid w:val="00073222"/>
    <w:rsid w:val="00073431"/>
    <w:rsid w:val="000737AC"/>
    <w:rsid w:val="00073C97"/>
    <w:rsid w:val="00073D1B"/>
    <w:rsid w:val="00074090"/>
    <w:rsid w:val="000740B0"/>
    <w:rsid w:val="0007425D"/>
    <w:rsid w:val="000746A1"/>
    <w:rsid w:val="000746B6"/>
    <w:rsid w:val="00074972"/>
    <w:rsid w:val="00074C68"/>
    <w:rsid w:val="00074D82"/>
    <w:rsid w:val="00074FF8"/>
    <w:rsid w:val="00075144"/>
    <w:rsid w:val="00075B9F"/>
    <w:rsid w:val="00075CF7"/>
    <w:rsid w:val="00075E81"/>
    <w:rsid w:val="000761B0"/>
    <w:rsid w:val="00076390"/>
    <w:rsid w:val="00076590"/>
    <w:rsid w:val="00076D26"/>
    <w:rsid w:val="00076D3F"/>
    <w:rsid w:val="00076DB8"/>
    <w:rsid w:val="00076F72"/>
    <w:rsid w:val="00076FD6"/>
    <w:rsid w:val="00077029"/>
    <w:rsid w:val="00077120"/>
    <w:rsid w:val="00077430"/>
    <w:rsid w:val="00077713"/>
    <w:rsid w:val="00077756"/>
    <w:rsid w:val="0007778E"/>
    <w:rsid w:val="00077819"/>
    <w:rsid w:val="00077EAC"/>
    <w:rsid w:val="000808D7"/>
    <w:rsid w:val="00080CEB"/>
    <w:rsid w:val="00080DF4"/>
    <w:rsid w:val="00080E55"/>
    <w:rsid w:val="00080E94"/>
    <w:rsid w:val="0008123A"/>
    <w:rsid w:val="000819FC"/>
    <w:rsid w:val="00081A55"/>
    <w:rsid w:val="00082263"/>
    <w:rsid w:val="00082580"/>
    <w:rsid w:val="0008300E"/>
    <w:rsid w:val="000832C9"/>
    <w:rsid w:val="00083489"/>
    <w:rsid w:val="00084483"/>
    <w:rsid w:val="000845C3"/>
    <w:rsid w:val="00084744"/>
    <w:rsid w:val="0008478E"/>
    <w:rsid w:val="00084C5D"/>
    <w:rsid w:val="00085174"/>
    <w:rsid w:val="000858F1"/>
    <w:rsid w:val="00085B7E"/>
    <w:rsid w:val="00085E0C"/>
    <w:rsid w:val="00085E67"/>
    <w:rsid w:val="00086024"/>
    <w:rsid w:val="00086547"/>
    <w:rsid w:val="00086766"/>
    <w:rsid w:val="00086CB8"/>
    <w:rsid w:val="00086D1B"/>
    <w:rsid w:val="0008716E"/>
    <w:rsid w:val="000877DD"/>
    <w:rsid w:val="0008792D"/>
    <w:rsid w:val="00087B78"/>
    <w:rsid w:val="00087C4A"/>
    <w:rsid w:val="00087DA4"/>
    <w:rsid w:val="00090245"/>
    <w:rsid w:val="0009048A"/>
    <w:rsid w:val="00090903"/>
    <w:rsid w:val="0009090C"/>
    <w:rsid w:val="000912C7"/>
    <w:rsid w:val="0009131C"/>
    <w:rsid w:val="000915D5"/>
    <w:rsid w:val="00091B42"/>
    <w:rsid w:val="00091DA4"/>
    <w:rsid w:val="00091EF6"/>
    <w:rsid w:val="0009214B"/>
    <w:rsid w:val="00092604"/>
    <w:rsid w:val="00092FB8"/>
    <w:rsid w:val="00093097"/>
    <w:rsid w:val="0009317D"/>
    <w:rsid w:val="000931C5"/>
    <w:rsid w:val="0009379A"/>
    <w:rsid w:val="00093BEA"/>
    <w:rsid w:val="000945BC"/>
    <w:rsid w:val="000947DA"/>
    <w:rsid w:val="00094875"/>
    <w:rsid w:val="00094C83"/>
    <w:rsid w:val="00094E98"/>
    <w:rsid w:val="00094ED2"/>
    <w:rsid w:val="00094FED"/>
    <w:rsid w:val="0009547B"/>
    <w:rsid w:val="00095B01"/>
    <w:rsid w:val="00095BD6"/>
    <w:rsid w:val="00095DD2"/>
    <w:rsid w:val="00095F22"/>
    <w:rsid w:val="000960DD"/>
    <w:rsid w:val="00096141"/>
    <w:rsid w:val="00096849"/>
    <w:rsid w:val="00096AE8"/>
    <w:rsid w:val="00096C3A"/>
    <w:rsid w:val="00096E65"/>
    <w:rsid w:val="000972BB"/>
    <w:rsid w:val="000973D9"/>
    <w:rsid w:val="000979AA"/>
    <w:rsid w:val="00097D90"/>
    <w:rsid w:val="00097DDB"/>
    <w:rsid w:val="000A01B9"/>
    <w:rsid w:val="000A059E"/>
    <w:rsid w:val="000A05FE"/>
    <w:rsid w:val="000A0663"/>
    <w:rsid w:val="000A0AFA"/>
    <w:rsid w:val="000A0FC4"/>
    <w:rsid w:val="000A174C"/>
    <w:rsid w:val="000A18E2"/>
    <w:rsid w:val="000A19B0"/>
    <w:rsid w:val="000A1C9D"/>
    <w:rsid w:val="000A1D8C"/>
    <w:rsid w:val="000A231C"/>
    <w:rsid w:val="000A26A9"/>
    <w:rsid w:val="000A2AEF"/>
    <w:rsid w:val="000A2D88"/>
    <w:rsid w:val="000A307A"/>
    <w:rsid w:val="000A31F5"/>
    <w:rsid w:val="000A40DC"/>
    <w:rsid w:val="000A46DE"/>
    <w:rsid w:val="000A4A47"/>
    <w:rsid w:val="000A50F9"/>
    <w:rsid w:val="000A5528"/>
    <w:rsid w:val="000A5935"/>
    <w:rsid w:val="000A5CF1"/>
    <w:rsid w:val="000A5EFF"/>
    <w:rsid w:val="000A6058"/>
    <w:rsid w:val="000A610F"/>
    <w:rsid w:val="000A6233"/>
    <w:rsid w:val="000A627F"/>
    <w:rsid w:val="000A6472"/>
    <w:rsid w:val="000A659F"/>
    <w:rsid w:val="000A6613"/>
    <w:rsid w:val="000A6891"/>
    <w:rsid w:val="000A6A76"/>
    <w:rsid w:val="000A6BAD"/>
    <w:rsid w:val="000A7040"/>
    <w:rsid w:val="000A7442"/>
    <w:rsid w:val="000A7B25"/>
    <w:rsid w:val="000A7E78"/>
    <w:rsid w:val="000B00A0"/>
    <w:rsid w:val="000B070D"/>
    <w:rsid w:val="000B0CFA"/>
    <w:rsid w:val="000B0F3E"/>
    <w:rsid w:val="000B153E"/>
    <w:rsid w:val="000B177F"/>
    <w:rsid w:val="000B1AF3"/>
    <w:rsid w:val="000B1C75"/>
    <w:rsid w:val="000B1E31"/>
    <w:rsid w:val="000B24A3"/>
    <w:rsid w:val="000B24F4"/>
    <w:rsid w:val="000B27EA"/>
    <w:rsid w:val="000B31A6"/>
    <w:rsid w:val="000B34A5"/>
    <w:rsid w:val="000B34E6"/>
    <w:rsid w:val="000B388D"/>
    <w:rsid w:val="000B389E"/>
    <w:rsid w:val="000B3922"/>
    <w:rsid w:val="000B3AE7"/>
    <w:rsid w:val="000B4142"/>
    <w:rsid w:val="000B42DE"/>
    <w:rsid w:val="000B48BB"/>
    <w:rsid w:val="000B4922"/>
    <w:rsid w:val="000B4953"/>
    <w:rsid w:val="000B4D97"/>
    <w:rsid w:val="000B4E6F"/>
    <w:rsid w:val="000B501B"/>
    <w:rsid w:val="000B502C"/>
    <w:rsid w:val="000B50B2"/>
    <w:rsid w:val="000B5242"/>
    <w:rsid w:val="000B5437"/>
    <w:rsid w:val="000B5ABE"/>
    <w:rsid w:val="000B633D"/>
    <w:rsid w:val="000B6A50"/>
    <w:rsid w:val="000B6B21"/>
    <w:rsid w:val="000B6D29"/>
    <w:rsid w:val="000B6E09"/>
    <w:rsid w:val="000B70D0"/>
    <w:rsid w:val="000B735B"/>
    <w:rsid w:val="000B75C5"/>
    <w:rsid w:val="000C0071"/>
    <w:rsid w:val="000C0541"/>
    <w:rsid w:val="000C0911"/>
    <w:rsid w:val="000C098A"/>
    <w:rsid w:val="000C09F9"/>
    <w:rsid w:val="000C17BA"/>
    <w:rsid w:val="000C18B8"/>
    <w:rsid w:val="000C1CAA"/>
    <w:rsid w:val="000C2010"/>
    <w:rsid w:val="000C22CC"/>
    <w:rsid w:val="000C2703"/>
    <w:rsid w:val="000C29B6"/>
    <w:rsid w:val="000C3341"/>
    <w:rsid w:val="000C3414"/>
    <w:rsid w:val="000C3ADC"/>
    <w:rsid w:val="000C3D91"/>
    <w:rsid w:val="000C3DF6"/>
    <w:rsid w:val="000C3EEC"/>
    <w:rsid w:val="000C40AF"/>
    <w:rsid w:val="000C40BC"/>
    <w:rsid w:val="000C473F"/>
    <w:rsid w:val="000C4848"/>
    <w:rsid w:val="000C4AE5"/>
    <w:rsid w:val="000C532C"/>
    <w:rsid w:val="000C58F3"/>
    <w:rsid w:val="000C5DFE"/>
    <w:rsid w:val="000C678C"/>
    <w:rsid w:val="000C697F"/>
    <w:rsid w:val="000C6DED"/>
    <w:rsid w:val="000C6EC1"/>
    <w:rsid w:val="000C74BA"/>
    <w:rsid w:val="000C74C6"/>
    <w:rsid w:val="000C769D"/>
    <w:rsid w:val="000D045D"/>
    <w:rsid w:val="000D04E9"/>
    <w:rsid w:val="000D0506"/>
    <w:rsid w:val="000D0E6E"/>
    <w:rsid w:val="000D12D1"/>
    <w:rsid w:val="000D16F3"/>
    <w:rsid w:val="000D19D3"/>
    <w:rsid w:val="000D1A37"/>
    <w:rsid w:val="000D1B0E"/>
    <w:rsid w:val="000D1F59"/>
    <w:rsid w:val="000D25F4"/>
    <w:rsid w:val="000D2739"/>
    <w:rsid w:val="000D28FA"/>
    <w:rsid w:val="000D2EF2"/>
    <w:rsid w:val="000D3268"/>
    <w:rsid w:val="000D347D"/>
    <w:rsid w:val="000D4177"/>
    <w:rsid w:val="000D467D"/>
    <w:rsid w:val="000D4BFB"/>
    <w:rsid w:val="000D4CCF"/>
    <w:rsid w:val="000D4D62"/>
    <w:rsid w:val="000D4E80"/>
    <w:rsid w:val="000D4E84"/>
    <w:rsid w:val="000D5115"/>
    <w:rsid w:val="000D5765"/>
    <w:rsid w:val="000D57A6"/>
    <w:rsid w:val="000D57FA"/>
    <w:rsid w:val="000D5CCF"/>
    <w:rsid w:val="000D60F8"/>
    <w:rsid w:val="000D69F7"/>
    <w:rsid w:val="000D6ABE"/>
    <w:rsid w:val="000D6B3E"/>
    <w:rsid w:val="000D6CF7"/>
    <w:rsid w:val="000D6D45"/>
    <w:rsid w:val="000D6EF8"/>
    <w:rsid w:val="000D78CB"/>
    <w:rsid w:val="000D7C93"/>
    <w:rsid w:val="000E02E8"/>
    <w:rsid w:val="000E087A"/>
    <w:rsid w:val="000E0F8F"/>
    <w:rsid w:val="000E14C7"/>
    <w:rsid w:val="000E14FD"/>
    <w:rsid w:val="000E15CC"/>
    <w:rsid w:val="000E16E6"/>
    <w:rsid w:val="000E19F7"/>
    <w:rsid w:val="000E1BAC"/>
    <w:rsid w:val="000E1E2A"/>
    <w:rsid w:val="000E1F2B"/>
    <w:rsid w:val="000E1F38"/>
    <w:rsid w:val="000E2BBA"/>
    <w:rsid w:val="000E3283"/>
    <w:rsid w:val="000E35C3"/>
    <w:rsid w:val="000E3659"/>
    <w:rsid w:val="000E3A5C"/>
    <w:rsid w:val="000E3A8D"/>
    <w:rsid w:val="000E4030"/>
    <w:rsid w:val="000E4159"/>
    <w:rsid w:val="000E46D5"/>
    <w:rsid w:val="000E4B01"/>
    <w:rsid w:val="000E4C28"/>
    <w:rsid w:val="000E4F34"/>
    <w:rsid w:val="000E53CB"/>
    <w:rsid w:val="000E58C7"/>
    <w:rsid w:val="000E5ABE"/>
    <w:rsid w:val="000E5B50"/>
    <w:rsid w:val="000E5FC2"/>
    <w:rsid w:val="000E6032"/>
    <w:rsid w:val="000E6195"/>
    <w:rsid w:val="000E62D5"/>
    <w:rsid w:val="000E66F7"/>
    <w:rsid w:val="000E6C9D"/>
    <w:rsid w:val="000E6CCD"/>
    <w:rsid w:val="000E6F28"/>
    <w:rsid w:val="000E6F94"/>
    <w:rsid w:val="000E7263"/>
    <w:rsid w:val="000E7387"/>
    <w:rsid w:val="000E751B"/>
    <w:rsid w:val="000E753D"/>
    <w:rsid w:val="000E7614"/>
    <w:rsid w:val="000E7A3F"/>
    <w:rsid w:val="000E7BC6"/>
    <w:rsid w:val="000F0614"/>
    <w:rsid w:val="000F062A"/>
    <w:rsid w:val="000F08A1"/>
    <w:rsid w:val="000F125B"/>
    <w:rsid w:val="000F13E0"/>
    <w:rsid w:val="000F18AD"/>
    <w:rsid w:val="000F1B2C"/>
    <w:rsid w:val="000F219D"/>
    <w:rsid w:val="000F23BC"/>
    <w:rsid w:val="000F23CB"/>
    <w:rsid w:val="000F2F8A"/>
    <w:rsid w:val="000F3101"/>
    <w:rsid w:val="000F34B1"/>
    <w:rsid w:val="000F3CF0"/>
    <w:rsid w:val="000F3E55"/>
    <w:rsid w:val="000F3FAD"/>
    <w:rsid w:val="000F46B4"/>
    <w:rsid w:val="000F46F2"/>
    <w:rsid w:val="000F47EB"/>
    <w:rsid w:val="000F4A76"/>
    <w:rsid w:val="000F5917"/>
    <w:rsid w:val="000F5BCC"/>
    <w:rsid w:val="000F5CC3"/>
    <w:rsid w:val="000F6918"/>
    <w:rsid w:val="000F6B5A"/>
    <w:rsid w:val="000F6DFE"/>
    <w:rsid w:val="000F7128"/>
    <w:rsid w:val="000F7A39"/>
    <w:rsid w:val="000F7FB7"/>
    <w:rsid w:val="001000F9"/>
    <w:rsid w:val="00101096"/>
    <w:rsid w:val="001012B9"/>
    <w:rsid w:val="0010183A"/>
    <w:rsid w:val="00101845"/>
    <w:rsid w:val="00101CB6"/>
    <w:rsid w:val="001020B6"/>
    <w:rsid w:val="00102355"/>
    <w:rsid w:val="0010238C"/>
    <w:rsid w:val="0010246C"/>
    <w:rsid w:val="00102510"/>
    <w:rsid w:val="00102585"/>
    <w:rsid w:val="001025F7"/>
    <w:rsid w:val="0010293D"/>
    <w:rsid w:val="001029A6"/>
    <w:rsid w:val="00102DC7"/>
    <w:rsid w:val="0010313E"/>
    <w:rsid w:val="00103696"/>
    <w:rsid w:val="0010444F"/>
    <w:rsid w:val="001045E4"/>
    <w:rsid w:val="001046F1"/>
    <w:rsid w:val="001049F2"/>
    <w:rsid w:val="00104C57"/>
    <w:rsid w:val="001053C2"/>
    <w:rsid w:val="00105F4B"/>
    <w:rsid w:val="00106196"/>
    <w:rsid w:val="001064B4"/>
    <w:rsid w:val="0010678A"/>
    <w:rsid w:val="00106927"/>
    <w:rsid w:val="00106AB6"/>
    <w:rsid w:val="00106F6C"/>
    <w:rsid w:val="00106F78"/>
    <w:rsid w:val="0010701E"/>
    <w:rsid w:val="001075AD"/>
    <w:rsid w:val="00110B48"/>
    <w:rsid w:val="00110EE7"/>
    <w:rsid w:val="001110A9"/>
    <w:rsid w:val="00111409"/>
    <w:rsid w:val="001116F5"/>
    <w:rsid w:val="00111797"/>
    <w:rsid w:val="001117F2"/>
    <w:rsid w:val="00111946"/>
    <w:rsid w:val="00111966"/>
    <w:rsid w:val="001120D8"/>
    <w:rsid w:val="0011236D"/>
    <w:rsid w:val="00112B4A"/>
    <w:rsid w:val="00113540"/>
    <w:rsid w:val="00113D08"/>
    <w:rsid w:val="00113D3F"/>
    <w:rsid w:val="001140AD"/>
    <w:rsid w:val="00114774"/>
    <w:rsid w:val="001147C8"/>
    <w:rsid w:val="0011496D"/>
    <w:rsid w:val="00115435"/>
    <w:rsid w:val="00115546"/>
    <w:rsid w:val="001157AB"/>
    <w:rsid w:val="00115A90"/>
    <w:rsid w:val="00115D86"/>
    <w:rsid w:val="00115EFE"/>
    <w:rsid w:val="00115F36"/>
    <w:rsid w:val="0011640B"/>
    <w:rsid w:val="0011674E"/>
    <w:rsid w:val="00116C28"/>
    <w:rsid w:val="00116F83"/>
    <w:rsid w:val="00117A3A"/>
    <w:rsid w:val="00120282"/>
    <w:rsid w:val="00120BCB"/>
    <w:rsid w:val="0012124B"/>
    <w:rsid w:val="00121B2B"/>
    <w:rsid w:val="00121DF5"/>
    <w:rsid w:val="00122421"/>
    <w:rsid w:val="0012250F"/>
    <w:rsid w:val="0012258D"/>
    <w:rsid w:val="001225CA"/>
    <w:rsid w:val="00122BCA"/>
    <w:rsid w:val="00122DD3"/>
    <w:rsid w:val="00122FC9"/>
    <w:rsid w:val="00123468"/>
    <w:rsid w:val="00123772"/>
    <w:rsid w:val="00123AB5"/>
    <w:rsid w:val="00123FBF"/>
    <w:rsid w:val="0012446D"/>
    <w:rsid w:val="00124485"/>
    <w:rsid w:val="001246DC"/>
    <w:rsid w:val="001247DB"/>
    <w:rsid w:val="0012509C"/>
    <w:rsid w:val="001251FF"/>
    <w:rsid w:val="0012532D"/>
    <w:rsid w:val="00125420"/>
    <w:rsid w:val="0012564E"/>
    <w:rsid w:val="001261B3"/>
    <w:rsid w:val="001267F2"/>
    <w:rsid w:val="0012709B"/>
    <w:rsid w:val="00127200"/>
    <w:rsid w:val="00127615"/>
    <w:rsid w:val="00127689"/>
    <w:rsid w:val="00127879"/>
    <w:rsid w:val="00127FE9"/>
    <w:rsid w:val="001301C7"/>
    <w:rsid w:val="00130354"/>
    <w:rsid w:val="0013069F"/>
    <w:rsid w:val="001309EA"/>
    <w:rsid w:val="00130A51"/>
    <w:rsid w:val="00130FED"/>
    <w:rsid w:val="00131901"/>
    <w:rsid w:val="00131AEF"/>
    <w:rsid w:val="00131F27"/>
    <w:rsid w:val="00131FFB"/>
    <w:rsid w:val="0013208F"/>
    <w:rsid w:val="001320D1"/>
    <w:rsid w:val="001320E8"/>
    <w:rsid w:val="0013292B"/>
    <w:rsid w:val="001329B9"/>
    <w:rsid w:val="00132E56"/>
    <w:rsid w:val="00133191"/>
    <w:rsid w:val="00133208"/>
    <w:rsid w:val="00133B3C"/>
    <w:rsid w:val="00133B60"/>
    <w:rsid w:val="001344FC"/>
    <w:rsid w:val="001348D0"/>
    <w:rsid w:val="0013493E"/>
    <w:rsid w:val="00134C18"/>
    <w:rsid w:val="00134C27"/>
    <w:rsid w:val="00134C38"/>
    <w:rsid w:val="00134CFA"/>
    <w:rsid w:val="00134EB2"/>
    <w:rsid w:val="00135732"/>
    <w:rsid w:val="00135B58"/>
    <w:rsid w:val="00135DB1"/>
    <w:rsid w:val="00136E7C"/>
    <w:rsid w:val="00136F16"/>
    <w:rsid w:val="001378FC"/>
    <w:rsid w:val="00137914"/>
    <w:rsid w:val="0014008F"/>
    <w:rsid w:val="001403AA"/>
    <w:rsid w:val="00140683"/>
    <w:rsid w:val="0014069F"/>
    <w:rsid w:val="001406FD"/>
    <w:rsid w:val="001409A7"/>
    <w:rsid w:val="001409BF"/>
    <w:rsid w:val="00140A61"/>
    <w:rsid w:val="00140B7A"/>
    <w:rsid w:val="00140C70"/>
    <w:rsid w:val="0014123A"/>
    <w:rsid w:val="00141966"/>
    <w:rsid w:val="00141A35"/>
    <w:rsid w:val="00141D5D"/>
    <w:rsid w:val="00141E3A"/>
    <w:rsid w:val="0014202A"/>
    <w:rsid w:val="001421E7"/>
    <w:rsid w:val="00142219"/>
    <w:rsid w:val="00142A94"/>
    <w:rsid w:val="00142B3F"/>
    <w:rsid w:val="00142E07"/>
    <w:rsid w:val="00142E68"/>
    <w:rsid w:val="0014306A"/>
    <w:rsid w:val="0014337B"/>
    <w:rsid w:val="001437A7"/>
    <w:rsid w:val="001437DB"/>
    <w:rsid w:val="00143C47"/>
    <w:rsid w:val="00143C48"/>
    <w:rsid w:val="00143C68"/>
    <w:rsid w:val="00143EA5"/>
    <w:rsid w:val="001441EC"/>
    <w:rsid w:val="001442FB"/>
    <w:rsid w:val="00144441"/>
    <w:rsid w:val="00144B21"/>
    <w:rsid w:val="00144B85"/>
    <w:rsid w:val="001453BD"/>
    <w:rsid w:val="00145516"/>
    <w:rsid w:val="0014577E"/>
    <w:rsid w:val="001459AB"/>
    <w:rsid w:val="001459F8"/>
    <w:rsid w:val="00145E3A"/>
    <w:rsid w:val="00145E6D"/>
    <w:rsid w:val="0014600B"/>
    <w:rsid w:val="0014658C"/>
    <w:rsid w:val="00146710"/>
    <w:rsid w:val="0014685E"/>
    <w:rsid w:val="0014690F"/>
    <w:rsid w:val="00146989"/>
    <w:rsid w:val="00146DFB"/>
    <w:rsid w:val="001472A4"/>
    <w:rsid w:val="00150289"/>
    <w:rsid w:val="00150637"/>
    <w:rsid w:val="00150C4C"/>
    <w:rsid w:val="00151038"/>
    <w:rsid w:val="00151A7F"/>
    <w:rsid w:val="00151F2E"/>
    <w:rsid w:val="00151FBD"/>
    <w:rsid w:val="001527C1"/>
    <w:rsid w:val="0015285A"/>
    <w:rsid w:val="00152861"/>
    <w:rsid w:val="001538A3"/>
    <w:rsid w:val="00153DAB"/>
    <w:rsid w:val="001542CE"/>
    <w:rsid w:val="00154BA0"/>
    <w:rsid w:val="00155293"/>
    <w:rsid w:val="00155322"/>
    <w:rsid w:val="00155667"/>
    <w:rsid w:val="00155C36"/>
    <w:rsid w:val="00155FC6"/>
    <w:rsid w:val="00156AD4"/>
    <w:rsid w:val="00156DE5"/>
    <w:rsid w:val="00157CBC"/>
    <w:rsid w:val="00157E52"/>
    <w:rsid w:val="00157E9C"/>
    <w:rsid w:val="0016000E"/>
    <w:rsid w:val="001600C8"/>
    <w:rsid w:val="001601B3"/>
    <w:rsid w:val="0016030F"/>
    <w:rsid w:val="00160A34"/>
    <w:rsid w:val="00160A5C"/>
    <w:rsid w:val="00160D73"/>
    <w:rsid w:val="00160E03"/>
    <w:rsid w:val="00160E5A"/>
    <w:rsid w:val="0016205A"/>
    <w:rsid w:val="00162300"/>
    <w:rsid w:val="001623CE"/>
    <w:rsid w:val="00162541"/>
    <w:rsid w:val="001625AA"/>
    <w:rsid w:val="001639C4"/>
    <w:rsid w:val="00163D3F"/>
    <w:rsid w:val="00163D9A"/>
    <w:rsid w:val="001641F5"/>
    <w:rsid w:val="00164893"/>
    <w:rsid w:val="00164A5B"/>
    <w:rsid w:val="00164EDC"/>
    <w:rsid w:val="001655A3"/>
    <w:rsid w:val="00165E5B"/>
    <w:rsid w:val="00166666"/>
    <w:rsid w:val="00166ED3"/>
    <w:rsid w:val="00167331"/>
    <w:rsid w:val="001675B1"/>
    <w:rsid w:val="00167A32"/>
    <w:rsid w:val="00167F63"/>
    <w:rsid w:val="00170071"/>
    <w:rsid w:val="001701AF"/>
    <w:rsid w:val="00170535"/>
    <w:rsid w:val="00170CDC"/>
    <w:rsid w:val="00170CF8"/>
    <w:rsid w:val="0017127B"/>
    <w:rsid w:val="00171326"/>
    <w:rsid w:val="00171A5C"/>
    <w:rsid w:val="00171A81"/>
    <w:rsid w:val="00172120"/>
    <w:rsid w:val="001722A2"/>
    <w:rsid w:val="001724E6"/>
    <w:rsid w:val="00172514"/>
    <w:rsid w:val="0017265B"/>
    <w:rsid w:val="00172942"/>
    <w:rsid w:val="00172FEC"/>
    <w:rsid w:val="00173297"/>
    <w:rsid w:val="001733DC"/>
    <w:rsid w:val="00174A2B"/>
    <w:rsid w:val="00174CAE"/>
    <w:rsid w:val="0017537A"/>
    <w:rsid w:val="001755A3"/>
    <w:rsid w:val="00175C51"/>
    <w:rsid w:val="00175F61"/>
    <w:rsid w:val="0017601A"/>
    <w:rsid w:val="0017609D"/>
    <w:rsid w:val="0017610F"/>
    <w:rsid w:val="00176190"/>
    <w:rsid w:val="00176817"/>
    <w:rsid w:val="00176AF2"/>
    <w:rsid w:val="00177050"/>
    <w:rsid w:val="00177761"/>
    <w:rsid w:val="00177857"/>
    <w:rsid w:val="00177F61"/>
    <w:rsid w:val="00180195"/>
    <w:rsid w:val="001801E3"/>
    <w:rsid w:val="00180461"/>
    <w:rsid w:val="001809A9"/>
    <w:rsid w:val="00180BD9"/>
    <w:rsid w:val="00180CA4"/>
    <w:rsid w:val="00181190"/>
    <w:rsid w:val="0018128B"/>
    <w:rsid w:val="00181AE6"/>
    <w:rsid w:val="00181DE7"/>
    <w:rsid w:val="001825AB"/>
    <w:rsid w:val="00182D40"/>
    <w:rsid w:val="00182E08"/>
    <w:rsid w:val="00182EE9"/>
    <w:rsid w:val="0018342A"/>
    <w:rsid w:val="00183553"/>
    <w:rsid w:val="0018367F"/>
    <w:rsid w:val="00183A6E"/>
    <w:rsid w:val="00183AA1"/>
    <w:rsid w:val="001844D0"/>
    <w:rsid w:val="0018455C"/>
    <w:rsid w:val="00184660"/>
    <w:rsid w:val="001846BA"/>
    <w:rsid w:val="00184741"/>
    <w:rsid w:val="00184A07"/>
    <w:rsid w:val="001855BB"/>
    <w:rsid w:val="00185BC0"/>
    <w:rsid w:val="00185C87"/>
    <w:rsid w:val="00185CA1"/>
    <w:rsid w:val="00185E37"/>
    <w:rsid w:val="001861A7"/>
    <w:rsid w:val="001861EF"/>
    <w:rsid w:val="001867B8"/>
    <w:rsid w:val="00186B44"/>
    <w:rsid w:val="001876B3"/>
    <w:rsid w:val="00187AAA"/>
    <w:rsid w:val="00187B3D"/>
    <w:rsid w:val="00187F1D"/>
    <w:rsid w:val="00190010"/>
    <w:rsid w:val="001900E5"/>
    <w:rsid w:val="0019028F"/>
    <w:rsid w:val="001907E8"/>
    <w:rsid w:val="00190BC8"/>
    <w:rsid w:val="00190F7C"/>
    <w:rsid w:val="00191065"/>
    <w:rsid w:val="00191DE6"/>
    <w:rsid w:val="00192400"/>
    <w:rsid w:val="0019369A"/>
    <w:rsid w:val="0019378D"/>
    <w:rsid w:val="00193A41"/>
    <w:rsid w:val="00193CE4"/>
    <w:rsid w:val="00193D9F"/>
    <w:rsid w:val="001940CC"/>
    <w:rsid w:val="00194424"/>
    <w:rsid w:val="0019501F"/>
    <w:rsid w:val="00195B3D"/>
    <w:rsid w:val="00195C54"/>
    <w:rsid w:val="00195EE2"/>
    <w:rsid w:val="00196071"/>
    <w:rsid w:val="00196137"/>
    <w:rsid w:val="00196648"/>
    <w:rsid w:val="0019679B"/>
    <w:rsid w:val="00196C0B"/>
    <w:rsid w:val="001970B8"/>
    <w:rsid w:val="00197451"/>
    <w:rsid w:val="001974F4"/>
    <w:rsid w:val="001976DF"/>
    <w:rsid w:val="001979F5"/>
    <w:rsid w:val="00197C2B"/>
    <w:rsid w:val="00197D7B"/>
    <w:rsid w:val="00197EA8"/>
    <w:rsid w:val="001A022D"/>
    <w:rsid w:val="001A040D"/>
    <w:rsid w:val="001A0586"/>
    <w:rsid w:val="001A1700"/>
    <w:rsid w:val="001A1705"/>
    <w:rsid w:val="001A1B7D"/>
    <w:rsid w:val="001A24D2"/>
    <w:rsid w:val="001A2827"/>
    <w:rsid w:val="001A2850"/>
    <w:rsid w:val="001A2F26"/>
    <w:rsid w:val="001A32D2"/>
    <w:rsid w:val="001A394A"/>
    <w:rsid w:val="001A4A1E"/>
    <w:rsid w:val="001A4C53"/>
    <w:rsid w:val="001A4DA9"/>
    <w:rsid w:val="001A504B"/>
    <w:rsid w:val="001A506F"/>
    <w:rsid w:val="001A5287"/>
    <w:rsid w:val="001A5437"/>
    <w:rsid w:val="001A5569"/>
    <w:rsid w:val="001A5A8E"/>
    <w:rsid w:val="001A60BC"/>
    <w:rsid w:val="001A657E"/>
    <w:rsid w:val="001A6B57"/>
    <w:rsid w:val="001A6BF1"/>
    <w:rsid w:val="001A6F17"/>
    <w:rsid w:val="001A7133"/>
    <w:rsid w:val="001A742D"/>
    <w:rsid w:val="001A7519"/>
    <w:rsid w:val="001B0287"/>
    <w:rsid w:val="001B02F7"/>
    <w:rsid w:val="001B0400"/>
    <w:rsid w:val="001B07E8"/>
    <w:rsid w:val="001B08C8"/>
    <w:rsid w:val="001B0A22"/>
    <w:rsid w:val="001B0A5F"/>
    <w:rsid w:val="001B12B3"/>
    <w:rsid w:val="001B1419"/>
    <w:rsid w:val="001B1532"/>
    <w:rsid w:val="001B156A"/>
    <w:rsid w:val="001B15E2"/>
    <w:rsid w:val="001B1621"/>
    <w:rsid w:val="001B1665"/>
    <w:rsid w:val="001B18C3"/>
    <w:rsid w:val="001B1CEA"/>
    <w:rsid w:val="001B218D"/>
    <w:rsid w:val="001B2591"/>
    <w:rsid w:val="001B2724"/>
    <w:rsid w:val="001B296B"/>
    <w:rsid w:val="001B3077"/>
    <w:rsid w:val="001B32C4"/>
    <w:rsid w:val="001B37E3"/>
    <w:rsid w:val="001B39AE"/>
    <w:rsid w:val="001B3A92"/>
    <w:rsid w:val="001B42CF"/>
    <w:rsid w:val="001B4551"/>
    <w:rsid w:val="001B4C52"/>
    <w:rsid w:val="001B4CA5"/>
    <w:rsid w:val="001B4F25"/>
    <w:rsid w:val="001B51D4"/>
    <w:rsid w:val="001B5962"/>
    <w:rsid w:val="001B5C46"/>
    <w:rsid w:val="001B709E"/>
    <w:rsid w:val="001B7600"/>
    <w:rsid w:val="001B7A8A"/>
    <w:rsid w:val="001B7ADE"/>
    <w:rsid w:val="001B7F6B"/>
    <w:rsid w:val="001B7FAA"/>
    <w:rsid w:val="001C03EC"/>
    <w:rsid w:val="001C0798"/>
    <w:rsid w:val="001C0D57"/>
    <w:rsid w:val="001C0E0C"/>
    <w:rsid w:val="001C16EC"/>
    <w:rsid w:val="001C1BF2"/>
    <w:rsid w:val="001C1CEF"/>
    <w:rsid w:val="001C1F0F"/>
    <w:rsid w:val="001C2128"/>
    <w:rsid w:val="001C2569"/>
    <w:rsid w:val="001C2706"/>
    <w:rsid w:val="001C2F08"/>
    <w:rsid w:val="001C367A"/>
    <w:rsid w:val="001C371D"/>
    <w:rsid w:val="001C392F"/>
    <w:rsid w:val="001C3992"/>
    <w:rsid w:val="001C3B66"/>
    <w:rsid w:val="001C3FC6"/>
    <w:rsid w:val="001C43F9"/>
    <w:rsid w:val="001C515C"/>
    <w:rsid w:val="001C5EA1"/>
    <w:rsid w:val="001C62E0"/>
    <w:rsid w:val="001C63CB"/>
    <w:rsid w:val="001C644A"/>
    <w:rsid w:val="001C65FC"/>
    <w:rsid w:val="001C6637"/>
    <w:rsid w:val="001C66EB"/>
    <w:rsid w:val="001C6D65"/>
    <w:rsid w:val="001C75EC"/>
    <w:rsid w:val="001D006C"/>
    <w:rsid w:val="001D02B6"/>
    <w:rsid w:val="001D052F"/>
    <w:rsid w:val="001D0C48"/>
    <w:rsid w:val="001D10E6"/>
    <w:rsid w:val="001D11C3"/>
    <w:rsid w:val="001D11C5"/>
    <w:rsid w:val="001D12E4"/>
    <w:rsid w:val="001D151E"/>
    <w:rsid w:val="001D152C"/>
    <w:rsid w:val="001D167A"/>
    <w:rsid w:val="001D1838"/>
    <w:rsid w:val="001D19E1"/>
    <w:rsid w:val="001D1ABC"/>
    <w:rsid w:val="001D1E44"/>
    <w:rsid w:val="001D3925"/>
    <w:rsid w:val="001D3A26"/>
    <w:rsid w:val="001D4111"/>
    <w:rsid w:val="001D4235"/>
    <w:rsid w:val="001D4307"/>
    <w:rsid w:val="001D4A24"/>
    <w:rsid w:val="001D4BC1"/>
    <w:rsid w:val="001D526B"/>
    <w:rsid w:val="001D5866"/>
    <w:rsid w:val="001D5CF2"/>
    <w:rsid w:val="001D605D"/>
    <w:rsid w:val="001D659D"/>
    <w:rsid w:val="001D67FD"/>
    <w:rsid w:val="001D6FAE"/>
    <w:rsid w:val="001D741C"/>
    <w:rsid w:val="001D7D69"/>
    <w:rsid w:val="001E0669"/>
    <w:rsid w:val="001E0A33"/>
    <w:rsid w:val="001E0B04"/>
    <w:rsid w:val="001E115B"/>
    <w:rsid w:val="001E124E"/>
    <w:rsid w:val="001E12A8"/>
    <w:rsid w:val="001E1824"/>
    <w:rsid w:val="001E1832"/>
    <w:rsid w:val="001E1995"/>
    <w:rsid w:val="001E19EB"/>
    <w:rsid w:val="001E1B30"/>
    <w:rsid w:val="001E1E34"/>
    <w:rsid w:val="001E2042"/>
    <w:rsid w:val="001E20DA"/>
    <w:rsid w:val="001E373B"/>
    <w:rsid w:val="001E4157"/>
    <w:rsid w:val="001E42F1"/>
    <w:rsid w:val="001E4435"/>
    <w:rsid w:val="001E45D9"/>
    <w:rsid w:val="001E4651"/>
    <w:rsid w:val="001E495E"/>
    <w:rsid w:val="001E49AB"/>
    <w:rsid w:val="001E4B2C"/>
    <w:rsid w:val="001E4B37"/>
    <w:rsid w:val="001E58DE"/>
    <w:rsid w:val="001E5CBA"/>
    <w:rsid w:val="001E5D85"/>
    <w:rsid w:val="001E6754"/>
    <w:rsid w:val="001E679A"/>
    <w:rsid w:val="001E68EF"/>
    <w:rsid w:val="001E6BF3"/>
    <w:rsid w:val="001E6E2B"/>
    <w:rsid w:val="001E7499"/>
    <w:rsid w:val="001E7AC9"/>
    <w:rsid w:val="001F0336"/>
    <w:rsid w:val="001F0C8E"/>
    <w:rsid w:val="001F10F7"/>
    <w:rsid w:val="001F15F8"/>
    <w:rsid w:val="001F239A"/>
    <w:rsid w:val="001F2CFE"/>
    <w:rsid w:val="001F3253"/>
    <w:rsid w:val="001F35CB"/>
    <w:rsid w:val="001F36DC"/>
    <w:rsid w:val="001F3A24"/>
    <w:rsid w:val="001F3F62"/>
    <w:rsid w:val="001F42BD"/>
    <w:rsid w:val="001F4496"/>
    <w:rsid w:val="001F494F"/>
    <w:rsid w:val="001F4991"/>
    <w:rsid w:val="001F4FB5"/>
    <w:rsid w:val="001F5509"/>
    <w:rsid w:val="001F55A1"/>
    <w:rsid w:val="001F57C3"/>
    <w:rsid w:val="001F5A6D"/>
    <w:rsid w:val="001F5A72"/>
    <w:rsid w:val="001F5E8E"/>
    <w:rsid w:val="001F61A4"/>
    <w:rsid w:val="001F6978"/>
    <w:rsid w:val="001F69A1"/>
    <w:rsid w:val="001F6AF8"/>
    <w:rsid w:val="001F6C09"/>
    <w:rsid w:val="001F6CCF"/>
    <w:rsid w:val="001F6CEF"/>
    <w:rsid w:val="001F6D55"/>
    <w:rsid w:val="001F7354"/>
    <w:rsid w:val="001F79A6"/>
    <w:rsid w:val="00200308"/>
    <w:rsid w:val="00200443"/>
    <w:rsid w:val="00200556"/>
    <w:rsid w:val="00200867"/>
    <w:rsid w:val="002009B8"/>
    <w:rsid w:val="00200ECF"/>
    <w:rsid w:val="00201064"/>
    <w:rsid w:val="0020147C"/>
    <w:rsid w:val="0020150A"/>
    <w:rsid w:val="0020179E"/>
    <w:rsid w:val="00201A8C"/>
    <w:rsid w:val="00201AC4"/>
    <w:rsid w:val="002021E7"/>
    <w:rsid w:val="0020240F"/>
    <w:rsid w:val="00202688"/>
    <w:rsid w:val="002028BE"/>
    <w:rsid w:val="00202C8B"/>
    <w:rsid w:val="00202E5F"/>
    <w:rsid w:val="0020325E"/>
    <w:rsid w:val="00203333"/>
    <w:rsid w:val="00203795"/>
    <w:rsid w:val="002038AA"/>
    <w:rsid w:val="00203A39"/>
    <w:rsid w:val="00203B2C"/>
    <w:rsid w:val="00203C0A"/>
    <w:rsid w:val="00203DB7"/>
    <w:rsid w:val="00204216"/>
    <w:rsid w:val="00204609"/>
    <w:rsid w:val="002046F4"/>
    <w:rsid w:val="00204811"/>
    <w:rsid w:val="00204CF5"/>
    <w:rsid w:val="00204DB1"/>
    <w:rsid w:val="002054A7"/>
    <w:rsid w:val="00205ACA"/>
    <w:rsid w:val="00205B3E"/>
    <w:rsid w:val="00205D23"/>
    <w:rsid w:val="00206023"/>
    <w:rsid w:val="00206515"/>
    <w:rsid w:val="002065A4"/>
    <w:rsid w:val="002065E5"/>
    <w:rsid w:val="00206837"/>
    <w:rsid w:val="00206911"/>
    <w:rsid w:val="002069A0"/>
    <w:rsid w:val="00206A07"/>
    <w:rsid w:val="00206B1A"/>
    <w:rsid w:val="00206EAF"/>
    <w:rsid w:val="00207070"/>
    <w:rsid w:val="00207284"/>
    <w:rsid w:val="00207855"/>
    <w:rsid w:val="00210261"/>
    <w:rsid w:val="00210439"/>
    <w:rsid w:val="002104E7"/>
    <w:rsid w:val="002108B3"/>
    <w:rsid w:val="00210A9D"/>
    <w:rsid w:val="00210EB4"/>
    <w:rsid w:val="00211EF4"/>
    <w:rsid w:val="00211F2E"/>
    <w:rsid w:val="00212112"/>
    <w:rsid w:val="00212243"/>
    <w:rsid w:val="00212A89"/>
    <w:rsid w:val="00212A9D"/>
    <w:rsid w:val="00212EEE"/>
    <w:rsid w:val="00212F9C"/>
    <w:rsid w:val="00213A5C"/>
    <w:rsid w:val="002141C5"/>
    <w:rsid w:val="002144BD"/>
    <w:rsid w:val="00214CC1"/>
    <w:rsid w:val="00215256"/>
    <w:rsid w:val="002154B6"/>
    <w:rsid w:val="002154BD"/>
    <w:rsid w:val="00215562"/>
    <w:rsid w:val="00215715"/>
    <w:rsid w:val="002157CF"/>
    <w:rsid w:val="00215ED9"/>
    <w:rsid w:val="002160BA"/>
    <w:rsid w:val="00216202"/>
    <w:rsid w:val="002165D8"/>
    <w:rsid w:val="0021666A"/>
    <w:rsid w:val="00216E27"/>
    <w:rsid w:val="00216E7F"/>
    <w:rsid w:val="00217257"/>
    <w:rsid w:val="00217A4E"/>
    <w:rsid w:val="00217B72"/>
    <w:rsid w:val="00220723"/>
    <w:rsid w:val="00220EED"/>
    <w:rsid w:val="0022109F"/>
    <w:rsid w:val="00221467"/>
    <w:rsid w:val="002219FC"/>
    <w:rsid w:val="00222C7C"/>
    <w:rsid w:val="00222D1A"/>
    <w:rsid w:val="0022318A"/>
    <w:rsid w:val="002236D2"/>
    <w:rsid w:val="0022376C"/>
    <w:rsid w:val="0022378B"/>
    <w:rsid w:val="0022391D"/>
    <w:rsid w:val="0022394B"/>
    <w:rsid w:val="00223B1E"/>
    <w:rsid w:val="0022409B"/>
    <w:rsid w:val="002244C8"/>
    <w:rsid w:val="0022468C"/>
    <w:rsid w:val="002246E3"/>
    <w:rsid w:val="00224E56"/>
    <w:rsid w:val="00224EA5"/>
    <w:rsid w:val="002250A2"/>
    <w:rsid w:val="00225426"/>
    <w:rsid w:val="00225F78"/>
    <w:rsid w:val="00226064"/>
    <w:rsid w:val="002265F4"/>
    <w:rsid w:val="00227A17"/>
    <w:rsid w:val="00227FD0"/>
    <w:rsid w:val="0023000B"/>
    <w:rsid w:val="00230565"/>
    <w:rsid w:val="00230CC1"/>
    <w:rsid w:val="00230E1A"/>
    <w:rsid w:val="00231924"/>
    <w:rsid w:val="00231BF0"/>
    <w:rsid w:val="00232E3F"/>
    <w:rsid w:val="00233041"/>
    <w:rsid w:val="002331CB"/>
    <w:rsid w:val="0023365A"/>
    <w:rsid w:val="00233816"/>
    <w:rsid w:val="00233AF4"/>
    <w:rsid w:val="00233BA2"/>
    <w:rsid w:val="00233D25"/>
    <w:rsid w:val="00233F0A"/>
    <w:rsid w:val="00234046"/>
    <w:rsid w:val="00234127"/>
    <w:rsid w:val="0023437D"/>
    <w:rsid w:val="00234492"/>
    <w:rsid w:val="0023480A"/>
    <w:rsid w:val="002359BB"/>
    <w:rsid w:val="00235B31"/>
    <w:rsid w:val="00236CED"/>
    <w:rsid w:val="00236D56"/>
    <w:rsid w:val="00237420"/>
    <w:rsid w:val="0023753D"/>
    <w:rsid w:val="0023753F"/>
    <w:rsid w:val="002375FD"/>
    <w:rsid w:val="00237600"/>
    <w:rsid w:val="002378C0"/>
    <w:rsid w:val="002378E0"/>
    <w:rsid w:val="0023798D"/>
    <w:rsid w:val="00237AC6"/>
    <w:rsid w:val="00237BD0"/>
    <w:rsid w:val="00240136"/>
    <w:rsid w:val="00240277"/>
    <w:rsid w:val="00240294"/>
    <w:rsid w:val="002402B6"/>
    <w:rsid w:val="00240522"/>
    <w:rsid w:val="0024089F"/>
    <w:rsid w:val="00240FFC"/>
    <w:rsid w:val="002412F5"/>
    <w:rsid w:val="0024141E"/>
    <w:rsid w:val="00241641"/>
    <w:rsid w:val="002417CB"/>
    <w:rsid w:val="002418BA"/>
    <w:rsid w:val="00241947"/>
    <w:rsid w:val="00241CF9"/>
    <w:rsid w:val="00241F5A"/>
    <w:rsid w:val="002422EB"/>
    <w:rsid w:val="00242399"/>
    <w:rsid w:val="002424F8"/>
    <w:rsid w:val="002425C2"/>
    <w:rsid w:val="0024263F"/>
    <w:rsid w:val="00242C8C"/>
    <w:rsid w:val="00242E9C"/>
    <w:rsid w:val="002430C5"/>
    <w:rsid w:val="002430FE"/>
    <w:rsid w:val="00243153"/>
    <w:rsid w:val="0024330C"/>
    <w:rsid w:val="0024386A"/>
    <w:rsid w:val="00243CE1"/>
    <w:rsid w:val="0024401D"/>
    <w:rsid w:val="00244095"/>
    <w:rsid w:val="0024448F"/>
    <w:rsid w:val="00244582"/>
    <w:rsid w:val="00244FA0"/>
    <w:rsid w:val="002456D2"/>
    <w:rsid w:val="0024573D"/>
    <w:rsid w:val="00245B13"/>
    <w:rsid w:val="00245B4A"/>
    <w:rsid w:val="00245C4E"/>
    <w:rsid w:val="00245D36"/>
    <w:rsid w:val="002462F5"/>
    <w:rsid w:val="002463C0"/>
    <w:rsid w:val="00246467"/>
    <w:rsid w:val="00246A6B"/>
    <w:rsid w:val="00247292"/>
    <w:rsid w:val="00247C28"/>
    <w:rsid w:val="00247E30"/>
    <w:rsid w:val="00247E88"/>
    <w:rsid w:val="002504A3"/>
    <w:rsid w:val="002508CE"/>
    <w:rsid w:val="00250B12"/>
    <w:rsid w:val="00250EE0"/>
    <w:rsid w:val="0025110B"/>
    <w:rsid w:val="0025113B"/>
    <w:rsid w:val="0025166D"/>
    <w:rsid w:val="00251817"/>
    <w:rsid w:val="00251CAE"/>
    <w:rsid w:val="00251F0B"/>
    <w:rsid w:val="0025243F"/>
    <w:rsid w:val="00252ECC"/>
    <w:rsid w:val="00253008"/>
    <w:rsid w:val="0025381B"/>
    <w:rsid w:val="00253959"/>
    <w:rsid w:val="00253C23"/>
    <w:rsid w:val="002540BE"/>
    <w:rsid w:val="00254698"/>
    <w:rsid w:val="00254BB9"/>
    <w:rsid w:val="00254E43"/>
    <w:rsid w:val="002551C1"/>
    <w:rsid w:val="00255397"/>
    <w:rsid w:val="002554CE"/>
    <w:rsid w:val="002557AD"/>
    <w:rsid w:val="0025584A"/>
    <w:rsid w:val="00255950"/>
    <w:rsid w:val="00255EA5"/>
    <w:rsid w:val="00255F7D"/>
    <w:rsid w:val="0025633F"/>
    <w:rsid w:val="002563CA"/>
    <w:rsid w:val="00256789"/>
    <w:rsid w:val="00256B38"/>
    <w:rsid w:val="00256E0A"/>
    <w:rsid w:val="00257441"/>
    <w:rsid w:val="002574E8"/>
    <w:rsid w:val="002575A2"/>
    <w:rsid w:val="002577A4"/>
    <w:rsid w:val="002601C6"/>
    <w:rsid w:val="00260B83"/>
    <w:rsid w:val="00260CED"/>
    <w:rsid w:val="00261214"/>
    <w:rsid w:val="00261345"/>
    <w:rsid w:val="00261F80"/>
    <w:rsid w:val="00262145"/>
    <w:rsid w:val="0026245D"/>
    <w:rsid w:val="00262680"/>
    <w:rsid w:val="00262BD1"/>
    <w:rsid w:val="00262BEA"/>
    <w:rsid w:val="00262F6C"/>
    <w:rsid w:val="00262F6E"/>
    <w:rsid w:val="00262FF8"/>
    <w:rsid w:val="00263183"/>
    <w:rsid w:val="00263A33"/>
    <w:rsid w:val="00263D66"/>
    <w:rsid w:val="002645C4"/>
    <w:rsid w:val="00264A64"/>
    <w:rsid w:val="00264BEF"/>
    <w:rsid w:val="00264CB9"/>
    <w:rsid w:val="002658F6"/>
    <w:rsid w:val="002659F2"/>
    <w:rsid w:val="00265EA7"/>
    <w:rsid w:val="0026628C"/>
    <w:rsid w:val="00266858"/>
    <w:rsid w:val="00266923"/>
    <w:rsid w:val="00266B0E"/>
    <w:rsid w:val="00266DC2"/>
    <w:rsid w:val="00267022"/>
    <w:rsid w:val="0026706C"/>
    <w:rsid w:val="00267C08"/>
    <w:rsid w:val="00267DE0"/>
    <w:rsid w:val="00267FBC"/>
    <w:rsid w:val="00270AEF"/>
    <w:rsid w:val="00270EF5"/>
    <w:rsid w:val="00270F3F"/>
    <w:rsid w:val="0027103D"/>
    <w:rsid w:val="002711B5"/>
    <w:rsid w:val="00271294"/>
    <w:rsid w:val="002716E5"/>
    <w:rsid w:val="002717DC"/>
    <w:rsid w:val="002726B0"/>
    <w:rsid w:val="00273136"/>
    <w:rsid w:val="00273222"/>
    <w:rsid w:val="00274C9D"/>
    <w:rsid w:val="002751F3"/>
    <w:rsid w:val="00275CB1"/>
    <w:rsid w:val="00276B75"/>
    <w:rsid w:val="002776CE"/>
    <w:rsid w:val="0028018D"/>
    <w:rsid w:val="002809EA"/>
    <w:rsid w:val="00280A03"/>
    <w:rsid w:val="00280CF2"/>
    <w:rsid w:val="00280D65"/>
    <w:rsid w:val="00281296"/>
    <w:rsid w:val="0028187A"/>
    <w:rsid w:val="00281C4D"/>
    <w:rsid w:val="00281FA3"/>
    <w:rsid w:val="0028205E"/>
    <w:rsid w:val="0028210A"/>
    <w:rsid w:val="00282120"/>
    <w:rsid w:val="002827B0"/>
    <w:rsid w:val="00282B9A"/>
    <w:rsid w:val="00282EF8"/>
    <w:rsid w:val="00283027"/>
    <w:rsid w:val="00283A57"/>
    <w:rsid w:val="00283AD7"/>
    <w:rsid w:val="00283E11"/>
    <w:rsid w:val="0028427F"/>
    <w:rsid w:val="00284410"/>
    <w:rsid w:val="0028446A"/>
    <w:rsid w:val="00284557"/>
    <w:rsid w:val="00285158"/>
    <w:rsid w:val="00285553"/>
    <w:rsid w:val="002857E8"/>
    <w:rsid w:val="002860C8"/>
    <w:rsid w:val="00286646"/>
    <w:rsid w:val="0028668A"/>
    <w:rsid w:val="002867AF"/>
    <w:rsid w:val="002869D2"/>
    <w:rsid w:val="00286F27"/>
    <w:rsid w:val="00286F3D"/>
    <w:rsid w:val="002870FA"/>
    <w:rsid w:val="0028741F"/>
    <w:rsid w:val="00287DBC"/>
    <w:rsid w:val="00287E39"/>
    <w:rsid w:val="00287FA5"/>
    <w:rsid w:val="002904C2"/>
    <w:rsid w:val="00290590"/>
    <w:rsid w:val="00290789"/>
    <w:rsid w:val="002907FE"/>
    <w:rsid w:val="00290C6D"/>
    <w:rsid w:val="002910E9"/>
    <w:rsid w:val="00291257"/>
    <w:rsid w:val="00291290"/>
    <w:rsid w:val="002912BB"/>
    <w:rsid w:val="00291E84"/>
    <w:rsid w:val="002921CB"/>
    <w:rsid w:val="002924ED"/>
    <w:rsid w:val="0029264B"/>
    <w:rsid w:val="002926A3"/>
    <w:rsid w:val="00292868"/>
    <w:rsid w:val="00292C9F"/>
    <w:rsid w:val="00292CBA"/>
    <w:rsid w:val="00292CF2"/>
    <w:rsid w:val="00293565"/>
    <w:rsid w:val="00293664"/>
    <w:rsid w:val="0029429A"/>
    <w:rsid w:val="002942A3"/>
    <w:rsid w:val="00294316"/>
    <w:rsid w:val="00294C70"/>
    <w:rsid w:val="00295361"/>
    <w:rsid w:val="00295611"/>
    <w:rsid w:val="00295A07"/>
    <w:rsid w:val="0029631E"/>
    <w:rsid w:val="00296D16"/>
    <w:rsid w:val="00296F1F"/>
    <w:rsid w:val="002973CE"/>
    <w:rsid w:val="002975F0"/>
    <w:rsid w:val="00297694"/>
    <w:rsid w:val="002A00A4"/>
    <w:rsid w:val="002A0785"/>
    <w:rsid w:val="002A0882"/>
    <w:rsid w:val="002A092D"/>
    <w:rsid w:val="002A0ABF"/>
    <w:rsid w:val="002A12FA"/>
    <w:rsid w:val="002A1845"/>
    <w:rsid w:val="002A19AC"/>
    <w:rsid w:val="002A1E56"/>
    <w:rsid w:val="002A28B5"/>
    <w:rsid w:val="002A2BAF"/>
    <w:rsid w:val="002A31B3"/>
    <w:rsid w:val="002A33CE"/>
    <w:rsid w:val="002A34FD"/>
    <w:rsid w:val="002A3679"/>
    <w:rsid w:val="002A3A20"/>
    <w:rsid w:val="002A3B17"/>
    <w:rsid w:val="002A3E2A"/>
    <w:rsid w:val="002A43B7"/>
    <w:rsid w:val="002A4544"/>
    <w:rsid w:val="002A461E"/>
    <w:rsid w:val="002A481F"/>
    <w:rsid w:val="002A4A77"/>
    <w:rsid w:val="002A4B4C"/>
    <w:rsid w:val="002A4BCE"/>
    <w:rsid w:val="002A572F"/>
    <w:rsid w:val="002A6416"/>
    <w:rsid w:val="002A6594"/>
    <w:rsid w:val="002A65EE"/>
    <w:rsid w:val="002A660F"/>
    <w:rsid w:val="002A67AB"/>
    <w:rsid w:val="002A6848"/>
    <w:rsid w:val="002A694F"/>
    <w:rsid w:val="002A698F"/>
    <w:rsid w:val="002A69CA"/>
    <w:rsid w:val="002A6E6F"/>
    <w:rsid w:val="002A6F1D"/>
    <w:rsid w:val="002A71DB"/>
    <w:rsid w:val="002A7738"/>
    <w:rsid w:val="002A7902"/>
    <w:rsid w:val="002B00AF"/>
    <w:rsid w:val="002B016E"/>
    <w:rsid w:val="002B04D8"/>
    <w:rsid w:val="002B077D"/>
    <w:rsid w:val="002B0F88"/>
    <w:rsid w:val="002B12D2"/>
    <w:rsid w:val="002B232B"/>
    <w:rsid w:val="002B26A2"/>
    <w:rsid w:val="002B30F8"/>
    <w:rsid w:val="002B3199"/>
    <w:rsid w:val="002B35BE"/>
    <w:rsid w:val="002B35CA"/>
    <w:rsid w:val="002B362B"/>
    <w:rsid w:val="002B3A08"/>
    <w:rsid w:val="002B3D00"/>
    <w:rsid w:val="002B46BC"/>
    <w:rsid w:val="002B4747"/>
    <w:rsid w:val="002B52FB"/>
    <w:rsid w:val="002B5784"/>
    <w:rsid w:val="002B5DE2"/>
    <w:rsid w:val="002B5F92"/>
    <w:rsid w:val="002B6389"/>
    <w:rsid w:val="002B639D"/>
    <w:rsid w:val="002B6537"/>
    <w:rsid w:val="002B6E49"/>
    <w:rsid w:val="002B7884"/>
    <w:rsid w:val="002B7A6F"/>
    <w:rsid w:val="002C04C4"/>
    <w:rsid w:val="002C074C"/>
    <w:rsid w:val="002C0774"/>
    <w:rsid w:val="002C0DF4"/>
    <w:rsid w:val="002C16CC"/>
    <w:rsid w:val="002C1978"/>
    <w:rsid w:val="002C1B69"/>
    <w:rsid w:val="002C1D83"/>
    <w:rsid w:val="002C23F2"/>
    <w:rsid w:val="002C255D"/>
    <w:rsid w:val="002C2945"/>
    <w:rsid w:val="002C2F03"/>
    <w:rsid w:val="002C382F"/>
    <w:rsid w:val="002C3DB2"/>
    <w:rsid w:val="002C3F27"/>
    <w:rsid w:val="002C4A04"/>
    <w:rsid w:val="002C4A91"/>
    <w:rsid w:val="002C5279"/>
    <w:rsid w:val="002C53AF"/>
    <w:rsid w:val="002C57DB"/>
    <w:rsid w:val="002C5ECE"/>
    <w:rsid w:val="002C66A4"/>
    <w:rsid w:val="002C6821"/>
    <w:rsid w:val="002C695C"/>
    <w:rsid w:val="002C6C43"/>
    <w:rsid w:val="002C6D70"/>
    <w:rsid w:val="002C6FD8"/>
    <w:rsid w:val="002C7145"/>
    <w:rsid w:val="002C745C"/>
    <w:rsid w:val="002C7572"/>
    <w:rsid w:val="002C75B1"/>
    <w:rsid w:val="002C75B4"/>
    <w:rsid w:val="002C7E7F"/>
    <w:rsid w:val="002D136C"/>
    <w:rsid w:val="002D1882"/>
    <w:rsid w:val="002D1AAA"/>
    <w:rsid w:val="002D1BBD"/>
    <w:rsid w:val="002D2380"/>
    <w:rsid w:val="002D2CFB"/>
    <w:rsid w:val="002D2D6A"/>
    <w:rsid w:val="002D2FCF"/>
    <w:rsid w:val="002D3271"/>
    <w:rsid w:val="002D3343"/>
    <w:rsid w:val="002D3648"/>
    <w:rsid w:val="002D3953"/>
    <w:rsid w:val="002D39DD"/>
    <w:rsid w:val="002D3E80"/>
    <w:rsid w:val="002D40C9"/>
    <w:rsid w:val="002D419F"/>
    <w:rsid w:val="002D461D"/>
    <w:rsid w:val="002D479D"/>
    <w:rsid w:val="002D48A5"/>
    <w:rsid w:val="002D502C"/>
    <w:rsid w:val="002D5838"/>
    <w:rsid w:val="002D5B4D"/>
    <w:rsid w:val="002D5C34"/>
    <w:rsid w:val="002D636A"/>
    <w:rsid w:val="002D66F0"/>
    <w:rsid w:val="002D680E"/>
    <w:rsid w:val="002D6A26"/>
    <w:rsid w:val="002D6B41"/>
    <w:rsid w:val="002D6C14"/>
    <w:rsid w:val="002D703D"/>
    <w:rsid w:val="002D7427"/>
    <w:rsid w:val="002D7532"/>
    <w:rsid w:val="002E0209"/>
    <w:rsid w:val="002E0651"/>
    <w:rsid w:val="002E074A"/>
    <w:rsid w:val="002E087A"/>
    <w:rsid w:val="002E0889"/>
    <w:rsid w:val="002E0C80"/>
    <w:rsid w:val="002E0E6A"/>
    <w:rsid w:val="002E0FAE"/>
    <w:rsid w:val="002E1611"/>
    <w:rsid w:val="002E18BB"/>
    <w:rsid w:val="002E1922"/>
    <w:rsid w:val="002E1A96"/>
    <w:rsid w:val="002E20D6"/>
    <w:rsid w:val="002E20F9"/>
    <w:rsid w:val="002E2A12"/>
    <w:rsid w:val="002E3058"/>
    <w:rsid w:val="002E3425"/>
    <w:rsid w:val="002E3BAC"/>
    <w:rsid w:val="002E41C8"/>
    <w:rsid w:val="002E47F0"/>
    <w:rsid w:val="002E4900"/>
    <w:rsid w:val="002E49D5"/>
    <w:rsid w:val="002E4BB3"/>
    <w:rsid w:val="002E4DDE"/>
    <w:rsid w:val="002E5067"/>
    <w:rsid w:val="002E58B9"/>
    <w:rsid w:val="002E58D0"/>
    <w:rsid w:val="002E5CE5"/>
    <w:rsid w:val="002E6080"/>
    <w:rsid w:val="002E634D"/>
    <w:rsid w:val="002E6840"/>
    <w:rsid w:val="002E7071"/>
    <w:rsid w:val="002E7166"/>
    <w:rsid w:val="002E71D0"/>
    <w:rsid w:val="002E75DC"/>
    <w:rsid w:val="002E78BF"/>
    <w:rsid w:val="002F07D4"/>
    <w:rsid w:val="002F0D32"/>
    <w:rsid w:val="002F1171"/>
    <w:rsid w:val="002F14E7"/>
    <w:rsid w:val="002F15CE"/>
    <w:rsid w:val="002F1F70"/>
    <w:rsid w:val="002F2C42"/>
    <w:rsid w:val="002F36FE"/>
    <w:rsid w:val="002F3979"/>
    <w:rsid w:val="002F3CB3"/>
    <w:rsid w:val="002F3CE3"/>
    <w:rsid w:val="002F3D41"/>
    <w:rsid w:val="002F4B12"/>
    <w:rsid w:val="002F4D3B"/>
    <w:rsid w:val="002F53BA"/>
    <w:rsid w:val="002F58B0"/>
    <w:rsid w:val="002F5981"/>
    <w:rsid w:val="002F5EB5"/>
    <w:rsid w:val="002F620B"/>
    <w:rsid w:val="002F6395"/>
    <w:rsid w:val="002F681C"/>
    <w:rsid w:val="002F6F71"/>
    <w:rsid w:val="002F71B9"/>
    <w:rsid w:val="002F7253"/>
    <w:rsid w:val="002F7756"/>
    <w:rsid w:val="002F785A"/>
    <w:rsid w:val="002F788C"/>
    <w:rsid w:val="002F79F8"/>
    <w:rsid w:val="002F7AF8"/>
    <w:rsid w:val="002F7F6D"/>
    <w:rsid w:val="00300146"/>
    <w:rsid w:val="0030073C"/>
    <w:rsid w:val="00300820"/>
    <w:rsid w:val="003009EB"/>
    <w:rsid w:val="00300B2E"/>
    <w:rsid w:val="00300BE1"/>
    <w:rsid w:val="00300D79"/>
    <w:rsid w:val="00300EE0"/>
    <w:rsid w:val="003012C6"/>
    <w:rsid w:val="0030157A"/>
    <w:rsid w:val="00301D28"/>
    <w:rsid w:val="00302210"/>
    <w:rsid w:val="00302A44"/>
    <w:rsid w:val="00302CED"/>
    <w:rsid w:val="00303410"/>
    <w:rsid w:val="00303775"/>
    <w:rsid w:val="00303B96"/>
    <w:rsid w:val="003045B8"/>
    <w:rsid w:val="0030464A"/>
    <w:rsid w:val="00305608"/>
    <w:rsid w:val="00305656"/>
    <w:rsid w:val="00305986"/>
    <w:rsid w:val="00305D05"/>
    <w:rsid w:val="00306498"/>
    <w:rsid w:val="003067C8"/>
    <w:rsid w:val="00306986"/>
    <w:rsid w:val="00306CE7"/>
    <w:rsid w:val="00306EF6"/>
    <w:rsid w:val="00307489"/>
    <w:rsid w:val="0031027E"/>
    <w:rsid w:val="003103D6"/>
    <w:rsid w:val="00310B0A"/>
    <w:rsid w:val="00310E08"/>
    <w:rsid w:val="0031154C"/>
    <w:rsid w:val="00311722"/>
    <w:rsid w:val="0031184C"/>
    <w:rsid w:val="003119EE"/>
    <w:rsid w:val="00311B2A"/>
    <w:rsid w:val="00311C97"/>
    <w:rsid w:val="003120AC"/>
    <w:rsid w:val="0031277F"/>
    <w:rsid w:val="0031284C"/>
    <w:rsid w:val="00312914"/>
    <w:rsid w:val="00312CDE"/>
    <w:rsid w:val="00312EEA"/>
    <w:rsid w:val="00313052"/>
    <w:rsid w:val="003130D7"/>
    <w:rsid w:val="003134CD"/>
    <w:rsid w:val="00313AFF"/>
    <w:rsid w:val="00313E9F"/>
    <w:rsid w:val="003141B7"/>
    <w:rsid w:val="0031441C"/>
    <w:rsid w:val="003145E2"/>
    <w:rsid w:val="00314E6C"/>
    <w:rsid w:val="00314F2A"/>
    <w:rsid w:val="00315126"/>
    <w:rsid w:val="003152FA"/>
    <w:rsid w:val="00316100"/>
    <w:rsid w:val="00316818"/>
    <w:rsid w:val="00316AB5"/>
    <w:rsid w:val="00316D72"/>
    <w:rsid w:val="0031755B"/>
    <w:rsid w:val="00320940"/>
    <w:rsid w:val="00320999"/>
    <w:rsid w:val="003209BE"/>
    <w:rsid w:val="00320A94"/>
    <w:rsid w:val="00320BD3"/>
    <w:rsid w:val="00320C2A"/>
    <w:rsid w:val="003211A3"/>
    <w:rsid w:val="003213B2"/>
    <w:rsid w:val="003214CF"/>
    <w:rsid w:val="00321684"/>
    <w:rsid w:val="003222B7"/>
    <w:rsid w:val="00322872"/>
    <w:rsid w:val="003228F1"/>
    <w:rsid w:val="00322A99"/>
    <w:rsid w:val="00323A0A"/>
    <w:rsid w:val="00323AB0"/>
    <w:rsid w:val="00323AFE"/>
    <w:rsid w:val="00323B36"/>
    <w:rsid w:val="00324288"/>
    <w:rsid w:val="003242F8"/>
    <w:rsid w:val="0032466D"/>
    <w:rsid w:val="00324910"/>
    <w:rsid w:val="0032505F"/>
    <w:rsid w:val="00325C0B"/>
    <w:rsid w:val="00325F83"/>
    <w:rsid w:val="00326316"/>
    <w:rsid w:val="003267A5"/>
    <w:rsid w:val="00326B81"/>
    <w:rsid w:val="00327062"/>
    <w:rsid w:val="003271A9"/>
    <w:rsid w:val="003271C1"/>
    <w:rsid w:val="00327756"/>
    <w:rsid w:val="0032781E"/>
    <w:rsid w:val="00327B79"/>
    <w:rsid w:val="00327E5C"/>
    <w:rsid w:val="003306ED"/>
    <w:rsid w:val="00330AB7"/>
    <w:rsid w:val="00330AC3"/>
    <w:rsid w:val="00331598"/>
    <w:rsid w:val="00331CF7"/>
    <w:rsid w:val="0033218E"/>
    <w:rsid w:val="0033235F"/>
    <w:rsid w:val="0033237D"/>
    <w:rsid w:val="003324D5"/>
    <w:rsid w:val="003325C4"/>
    <w:rsid w:val="0033260F"/>
    <w:rsid w:val="00332AC5"/>
    <w:rsid w:val="00332B7C"/>
    <w:rsid w:val="00332E60"/>
    <w:rsid w:val="00332EA0"/>
    <w:rsid w:val="00332F54"/>
    <w:rsid w:val="00333211"/>
    <w:rsid w:val="003332B5"/>
    <w:rsid w:val="00333464"/>
    <w:rsid w:val="0033354C"/>
    <w:rsid w:val="00333865"/>
    <w:rsid w:val="0033420B"/>
    <w:rsid w:val="0033491B"/>
    <w:rsid w:val="00334AB6"/>
    <w:rsid w:val="00334E7D"/>
    <w:rsid w:val="003354DA"/>
    <w:rsid w:val="003354E9"/>
    <w:rsid w:val="00335578"/>
    <w:rsid w:val="00335C08"/>
    <w:rsid w:val="00335D1D"/>
    <w:rsid w:val="00335DB8"/>
    <w:rsid w:val="00335E1C"/>
    <w:rsid w:val="00335E38"/>
    <w:rsid w:val="00336371"/>
    <w:rsid w:val="00336526"/>
    <w:rsid w:val="003366F0"/>
    <w:rsid w:val="00336E0B"/>
    <w:rsid w:val="0033745D"/>
    <w:rsid w:val="00337ABE"/>
    <w:rsid w:val="00337E74"/>
    <w:rsid w:val="00337ED2"/>
    <w:rsid w:val="0034058D"/>
    <w:rsid w:val="0034066F"/>
    <w:rsid w:val="00340A06"/>
    <w:rsid w:val="003411DE"/>
    <w:rsid w:val="0034176D"/>
    <w:rsid w:val="00341D3B"/>
    <w:rsid w:val="00342066"/>
    <w:rsid w:val="003420D2"/>
    <w:rsid w:val="003426CA"/>
    <w:rsid w:val="0034295B"/>
    <w:rsid w:val="00342C5D"/>
    <w:rsid w:val="00342E44"/>
    <w:rsid w:val="0034342E"/>
    <w:rsid w:val="003434F8"/>
    <w:rsid w:val="003442B0"/>
    <w:rsid w:val="00344435"/>
    <w:rsid w:val="003446AE"/>
    <w:rsid w:val="003449AB"/>
    <w:rsid w:val="00344AC2"/>
    <w:rsid w:val="00344FD3"/>
    <w:rsid w:val="00345088"/>
    <w:rsid w:val="003450A7"/>
    <w:rsid w:val="00345192"/>
    <w:rsid w:val="00345382"/>
    <w:rsid w:val="003454C4"/>
    <w:rsid w:val="00346124"/>
    <w:rsid w:val="0034615D"/>
    <w:rsid w:val="003465E0"/>
    <w:rsid w:val="00346770"/>
    <w:rsid w:val="00346D60"/>
    <w:rsid w:val="00346DE8"/>
    <w:rsid w:val="003474E5"/>
    <w:rsid w:val="00347CE7"/>
    <w:rsid w:val="00347DE8"/>
    <w:rsid w:val="003503C9"/>
    <w:rsid w:val="003505CC"/>
    <w:rsid w:val="0035075D"/>
    <w:rsid w:val="00350793"/>
    <w:rsid w:val="00350911"/>
    <w:rsid w:val="00350929"/>
    <w:rsid w:val="00350B9A"/>
    <w:rsid w:val="0035107F"/>
    <w:rsid w:val="00351463"/>
    <w:rsid w:val="00351479"/>
    <w:rsid w:val="00351DD3"/>
    <w:rsid w:val="00352499"/>
    <w:rsid w:val="00352647"/>
    <w:rsid w:val="00352B43"/>
    <w:rsid w:val="00353498"/>
    <w:rsid w:val="0035354D"/>
    <w:rsid w:val="00353ED8"/>
    <w:rsid w:val="00354126"/>
    <w:rsid w:val="00354959"/>
    <w:rsid w:val="00354D89"/>
    <w:rsid w:val="003553E6"/>
    <w:rsid w:val="00355828"/>
    <w:rsid w:val="00355BC2"/>
    <w:rsid w:val="00355CB4"/>
    <w:rsid w:val="00356098"/>
    <w:rsid w:val="0035640E"/>
    <w:rsid w:val="00357162"/>
    <w:rsid w:val="0035763B"/>
    <w:rsid w:val="00357681"/>
    <w:rsid w:val="00357C2C"/>
    <w:rsid w:val="00357C2D"/>
    <w:rsid w:val="003601DD"/>
    <w:rsid w:val="00360A8C"/>
    <w:rsid w:val="00360F66"/>
    <w:rsid w:val="00361648"/>
    <w:rsid w:val="00361781"/>
    <w:rsid w:val="00361FEE"/>
    <w:rsid w:val="003628E6"/>
    <w:rsid w:val="00362CC1"/>
    <w:rsid w:val="00362DE3"/>
    <w:rsid w:val="00362F3B"/>
    <w:rsid w:val="00362F4A"/>
    <w:rsid w:val="00363001"/>
    <w:rsid w:val="00363015"/>
    <w:rsid w:val="00363567"/>
    <w:rsid w:val="003638AA"/>
    <w:rsid w:val="00363F78"/>
    <w:rsid w:val="00364210"/>
    <w:rsid w:val="0036437B"/>
    <w:rsid w:val="00364502"/>
    <w:rsid w:val="0036466B"/>
    <w:rsid w:val="003647A1"/>
    <w:rsid w:val="00364B09"/>
    <w:rsid w:val="00364B32"/>
    <w:rsid w:val="00364E46"/>
    <w:rsid w:val="00365029"/>
    <w:rsid w:val="0036562A"/>
    <w:rsid w:val="00365C66"/>
    <w:rsid w:val="00365CD8"/>
    <w:rsid w:val="00365D9F"/>
    <w:rsid w:val="003661DD"/>
    <w:rsid w:val="0036655D"/>
    <w:rsid w:val="00366A85"/>
    <w:rsid w:val="00366D4A"/>
    <w:rsid w:val="00366DB7"/>
    <w:rsid w:val="003675AB"/>
    <w:rsid w:val="00367EE6"/>
    <w:rsid w:val="00370083"/>
    <w:rsid w:val="003702A1"/>
    <w:rsid w:val="00370C1A"/>
    <w:rsid w:val="00371088"/>
    <w:rsid w:val="003714E8"/>
    <w:rsid w:val="00371E32"/>
    <w:rsid w:val="00371E9B"/>
    <w:rsid w:val="00372165"/>
    <w:rsid w:val="00372911"/>
    <w:rsid w:val="00372B64"/>
    <w:rsid w:val="00372B66"/>
    <w:rsid w:val="00372DF3"/>
    <w:rsid w:val="00372DF4"/>
    <w:rsid w:val="00373A02"/>
    <w:rsid w:val="003741EB"/>
    <w:rsid w:val="00374533"/>
    <w:rsid w:val="00374547"/>
    <w:rsid w:val="00374677"/>
    <w:rsid w:val="00374AB2"/>
    <w:rsid w:val="00374E9B"/>
    <w:rsid w:val="003750BA"/>
    <w:rsid w:val="003756E1"/>
    <w:rsid w:val="003762A4"/>
    <w:rsid w:val="003766E6"/>
    <w:rsid w:val="00376A2E"/>
    <w:rsid w:val="00376BC6"/>
    <w:rsid w:val="00376CA3"/>
    <w:rsid w:val="00376D3A"/>
    <w:rsid w:val="003772C0"/>
    <w:rsid w:val="00377EF8"/>
    <w:rsid w:val="00380326"/>
    <w:rsid w:val="00380674"/>
    <w:rsid w:val="00380B17"/>
    <w:rsid w:val="00380BC4"/>
    <w:rsid w:val="00380EFE"/>
    <w:rsid w:val="00380FFE"/>
    <w:rsid w:val="00381B78"/>
    <w:rsid w:val="003822FB"/>
    <w:rsid w:val="003825EF"/>
    <w:rsid w:val="00383352"/>
    <w:rsid w:val="00383367"/>
    <w:rsid w:val="00383D62"/>
    <w:rsid w:val="00383F32"/>
    <w:rsid w:val="003842D6"/>
    <w:rsid w:val="003843D8"/>
    <w:rsid w:val="003848D5"/>
    <w:rsid w:val="00384E7E"/>
    <w:rsid w:val="00385387"/>
    <w:rsid w:val="00385CA1"/>
    <w:rsid w:val="00385E29"/>
    <w:rsid w:val="00385F95"/>
    <w:rsid w:val="003861C1"/>
    <w:rsid w:val="00386377"/>
    <w:rsid w:val="00386661"/>
    <w:rsid w:val="00386838"/>
    <w:rsid w:val="003868F3"/>
    <w:rsid w:val="00386BE5"/>
    <w:rsid w:val="00387181"/>
    <w:rsid w:val="00390092"/>
    <w:rsid w:val="0039071A"/>
    <w:rsid w:val="00390F86"/>
    <w:rsid w:val="003911CA"/>
    <w:rsid w:val="00391621"/>
    <w:rsid w:val="003916E0"/>
    <w:rsid w:val="0039180F"/>
    <w:rsid w:val="00391DD7"/>
    <w:rsid w:val="00391E4C"/>
    <w:rsid w:val="00391EA1"/>
    <w:rsid w:val="003920A8"/>
    <w:rsid w:val="00392853"/>
    <w:rsid w:val="003931CC"/>
    <w:rsid w:val="003936B9"/>
    <w:rsid w:val="003941D7"/>
    <w:rsid w:val="003945D9"/>
    <w:rsid w:val="00394826"/>
    <w:rsid w:val="00394D59"/>
    <w:rsid w:val="0039512F"/>
    <w:rsid w:val="003955F3"/>
    <w:rsid w:val="00395BB7"/>
    <w:rsid w:val="003961E1"/>
    <w:rsid w:val="00396ABC"/>
    <w:rsid w:val="0039708B"/>
    <w:rsid w:val="003970AF"/>
    <w:rsid w:val="00397240"/>
    <w:rsid w:val="00397391"/>
    <w:rsid w:val="00397FC6"/>
    <w:rsid w:val="003A0B84"/>
    <w:rsid w:val="003A0CC8"/>
    <w:rsid w:val="003A0CE7"/>
    <w:rsid w:val="003A0F54"/>
    <w:rsid w:val="003A1020"/>
    <w:rsid w:val="003A1085"/>
    <w:rsid w:val="003A1689"/>
    <w:rsid w:val="003A1781"/>
    <w:rsid w:val="003A1CB4"/>
    <w:rsid w:val="003A1E22"/>
    <w:rsid w:val="003A2097"/>
    <w:rsid w:val="003A2A99"/>
    <w:rsid w:val="003A2BCE"/>
    <w:rsid w:val="003A2CBF"/>
    <w:rsid w:val="003A2E95"/>
    <w:rsid w:val="003A31D9"/>
    <w:rsid w:val="003A367B"/>
    <w:rsid w:val="003A3900"/>
    <w:rsid w:val="003A3C1E"/>
    <w:rsid w:val="003A3E83"/>
    <w:rsid w:val="003A3FAB"/>
    <w:rsid w:val="003A5011"/>
    <w:rsid w:val="003A5761"/>
    <w:rsid w:val="003A5B1E"/>
    <w:rsid w:val="003A5EF8"/>
    <w:rsid w:val="003A6043"/>
    <w:rsid w:val="003A610B"/>
    <w:rsid w:val="003A6121"/>
    <w:rsid w:val="003A6751"/>
    <w:rsid w:val="003A67D8"/>
    <w:rsid w:val="003A6D0E"/>
    <w:rsid w:val="003A7029"/>
    <w:rsid w:val="003A7097"/>
    <w:rsid w:val="003A70D0"/>
    <w:rsid w:val="003A7119"/>
    <w:rsid w:val="003A7582"/>
    <w:rsid w:val="003A7642"/>
    <w:rsid w:val="003B0065"/>
    <w:rsid w:val="003B0127"/>
    <w:rsid w:val="003B0202"/>
    <w:rsid w:val="003B0831"/>
    <w:rsid w:val="003B0865"/>
    <w:rsid w:val="003B0C20"/>
    <w:rsid w:val="003B0D2D"/>
    <w:rsid w:val="003B179C"/>
    <w:rsid w:val="003B1C38"/>
    <w:rsid w:val="003B1DEA"/>
    <w:rsid w:val="003B23CB"/>
    <w:rsid w:val="003B249F"/>
    <w:rsid w:val="003B3126"/>
    <w:rsid w:val="003B3CDF"/>
    <w:rsid w:val="003B3F02"/>
    <w:rsid w:val="003B3FE6"/>
    <w:rsid w:val="003B440A"/>
    <w:rsid w:val="003B44D7"/>
    <w:rsid w:val="003B46AA"/>
    <w:rsid w:val="003B47E7"/>
    <w:rsid w:val="003B4820"/>
    <w:rsid w:val="003B4CAF"/>
    <w:rsid w:val="003B4D81"/>
    <w:rsid w:val="003B5262"/>
    <w:rsid w:val="003B5308"/>
    <w:rsid w:val="003B5503"/>
    <w:rsid w:val="003B5581"/>
    <w:rsid w:val="003B56A7"/>
    <w:rsid w:val="003B5E27"/>
    <w:rsid w:val="003B6406"/>
    <w:rsid w:val="003B6495"/>
    <w:rsid w:val="003B6514"/>
    <w:rsid w:val="003B65E7"/>
    <w:rsid w:val="003B665E"/>
    <w:rsid w:val="003B677B"/>
    <w:rsid w:val="003B6B34"/>
    <w:rsid w:val="003B6DC5"/>
    <w:rsid w:val="003B74B3"/>
    <w:rsid w:val="003B763E"/>
    <w:rsid w:val="003B7D81"/>
    <w:rsid w:val="003B7E96"/>
    <w:rsid w:val="003B7EE7"/>
    <w:rsid w:val="003C037B"/>
    <w:rsid w:val="003C0515"/>
    <w:rsid w:val="003C0A91"/>
    <w:rsid w:val="003C0D17"/>
    <w:rsid w:val="003C0EAA"/>
    <w:rsid w:val="003C11A6"/>
    <w:rsid w:val="003C199A"/>
    <w:rsid w:val="003C201B"/>
    <w:rsid w:val="003C22AC"/>
    <w:rsid w:val="003C2BEE"/>
    <w:rsid w:val="003C30F9"/>
    <w:rsid w:val="003C365A"/>
    <w:rsid w:val="003C369E"/>
    <w:rsid w:val="003C3BDB"/>
    <w:rsid w:val="003C41DE"/>
    <w:rsid w:val="003C467B"/>
    <w:rsid w:val="003C4DA7"/>
    <w:rsid w:val="003C4F4C"/>
    <w:rsid w:val="003C583F"/>
    <w:rsid w:val="003C5992"/>
    <w:rsid w:val="003C6031"/>
    <w:rsid w:val="003C6202"/>
    <w:rsid w:val="003C6A28"/>
    <w:rsid w:val="003C6A36"/>
    <w:rsid w:val="003C6D13"/>
    <w:rsid w:val="003C7020"/>
    <w:rsid w:val="003C70BF"/>
    <w:rsid w:val="003C7204"/>
    <w:rsid w:val="003C78D3"/>
    <w:rsid w:val="003C79EA"/>
    <w:rsid w:val="003D0570"/>
    <w:rsid w:val="003D0641"/>
    <w:rsid w:val="003D07B4"/>
    <w:rsid w:val="003D0A1C"/>
    <w:rsid w:val="003D0C03"/>
    <w:rsid w:val="003D103E"/>
    <w:rsid w:val="003D213A"/>
    <w:rsid w:val="003D298A"/>
    <w:rsid w:val="003D2CA1"/>
    <w:rsid w:val="003D3136"/>
    <w:rsid w:val="003D33EA"/>
    <w:rsid w:val="003D35E1"/>
    <w:rsid w:val="003D383C"/>
    <w:rsid w:val="003D3EC0"/>
    <w:rsid w:val="003D4474"/>
    <w:rsid w:val="003D45C7"/>
    <w:rsid w:val="003D46DF"/>
    <w:rsid w:val="003D489F"/>
    <w:rsid w:val="003D4E0E"/>
    <w:rsid w:val="003D50CD"/>
    <w:rsid w:val="003D5A30"/>
    <w:rsid w:val="003D5A84"/>
    <w:rsid w:val="003D6D8A"/>
    <w:rsid w:val="003D7090"/>
    <w:rsid w:val="003D76BD"/>
    <w:rsid w:val="003D76EE"/>
    <w:rsid w:val="003E0605"/>
    <w:rsid w:val="003E08CC"/>
    <w:rsid w:val="003E0907"/>
    <w:rsid w:val="003E0BA6"/>
    <w:rsid w:val="003E0E31"/>
    <w:rsid w:val="003E0F82"/>
    <w:rsid w:val="003E10C3"/>
    <w:rsid w:val="003E1145"/>
    <w:rsid w:val="003E118B"/>
    <w:rsid w:val="003E1215"/>
    <w:rsid w:val="003E16A9"/>
    <w:rsid w:val="003E178B"/>
    <w:rsid w:val="003E1BD9"/>
    <w:rsid w:val="003E1F34"/>
    <w:rsid w:val="003E2327"/>
    <w:rsid w:val="003E25AC"/>
    <w:rsid w:val="003E2DB1"/>
    <w:rsid w:val="003E30A7"/>
    <w:rsid w:val="003E31A4"/>
    <w:rsid w:val="003E38FD"/>
    <w:rsid w:val="003E3BA5"/>
    <w:rsid w:val="003E3C39"/>
    <w:rsid w:val="003E42E3"/>
    <w:rsid w:val="003E4720"/>
    <w:rsid w:val="003E4BED"/>
    <w:rsid w:val="003E4DBB"/>
    <w:rsid w:val="003E5177"/>
    <w:rsid w:val="003E64C5"/>
    <w:rsid w:val="003E6A01"/>
    <w:rsid w:val="003E6D2E"/>
    <w:rsid w:val="003E73D3"/>
    <w:rsid w:val="003E7FDB"/>
    <w:rsid w:val="003F014D"/>
    <w:rsid w:val="003F02A4"/>
    <w:rsid w:val="003F0488"/>
    <w:rsid w:val="003F07EA"/>
    <w:rsid w:val="003F092A"/>
    <w:rsid w:val="003F097D"/>
    <w:rsid w:val="003F09A0"/>
    <w:rsid w:val="003F1366"/>
    <w:rsid w:val="003F1DDB"/>
    <w:rsid w:val="003F1E12"/>
    <w:rsid w:val="003F2702"/>
    <w:rsid w:val="003F2CDC"/>
    <w:rsid w:val="003F32E3"/>
    <w:rsid w:val="003F3329"/>
    <w:rsid w:val="003F3365"/>
    <w:rsid w:val="003F35F8"/>
    <w:rsid w:val="003F3AB3"/>
    <w:rsid w:val="003F4154"/>
    <w:rsid w:val="003F46D5"/>
    <w:rsid w:val="003F4BA3"/>
    <w:rsid w:val="003F514A"/>
    <w:rsid w:val="003F5233"/>
    <w:rsid w:val="003F5250"/>
    <w:rsid w:val="003F5530"/>
    <w:rsid w:val="003F56EB"/>
    <w:rsid w:val="003F58B9"/>
    <w:rsid w:val="003F59C0"/>
    <w:rsid w:val="003F5AAC"/>
    <w:rsid w:val="003F5B23"/>
    <w:rsid w:val="003F5C19"/>
    <w:rsid w:val="003F5C36"/>
    <w:rsid w:val="003F5D07"/>
    <w:rsid w:val="003F5E5C"/>
    <w:rsid w:val="003F63FF"/>
    <w:rsid w:val="003F6522"/>
    <w:rsid w:val="003F66EB"/>
    <w:rsid w:val="003F6917"/>
    <w:rsid w:val="003F6D0F"/>
    <w:rsid w:val="003F71DC"/>
    <w:rsid w:val="003F798F"/>
    <w:rsid w:val="003F7AD3"/>
    <w:rsid w:val="003F7DF1"/>
    <w:rsid w:val="0040013A"/>
    <w:rsid w:val="0040019C"/>
    <w:rsid w:val="00400384"/>
    <w:rsid w:val="0040044D"/>
    <w:rsid w:val="00400769"/>
    <w:rsid w:val="00400814"/>
    <w:rsid w:val="00400874"/>
    <w:rsid w:val="00400DD9"/>
    <w:rsid w:val="004014D5"/>
    <w:rsid w:val="004015E3"/>
    <w:rsid w:val="00401841"/>
    <w:rsid w:val="00401B96"/>
    <w:rsid w:val="004020D6"/>
    <w:rsid w:val="00402373"/>
    <w:rsid w:val="00402FBA"/>
    <w:rsid w:val="004035E3"/>
    <w:rsid w:val="00403BED"/>
    <w:rsid w:val="00403C6A"/>
    <w:rsid w:val="00403FAF"/>
    <w:rsid w:val="004040B9"/>
    <w:rsid w:val="0040412B"/>
    <w:rsid w:val="0040437F"/>
    <w:rsid w:val="0040445B"/>
    <w:rsid w:val="00404B61"/>
    <w:rsid w:val="00404C5B"/>
    <w:rsid w:val="00404E6F"/>
    <w:rsid w:val="00404F0B"/>
    <w:rsid w:val="00405982"/>
    <w:rsid w:val="00405C49"/>
    <w:rsid w:val="00406563"/>
    <w:rsid w:val="004066C0"/>
    <w:rsid w:val="004066F7"/>
    <w:rsid w:val="00406AD5"/>
    <w:rsid w:val="00406C43"/>
    <w:rsid w:val="00406CE9"/>
    <w:rsid w:val="00406D99"/>
    <w:rsid w:val="00406FD8"/>
    <w:rsid w:val="00407ACE"/>
    <w:rsid w:val="00407E6F"/>
    <w:rsid w:val="004102C9"/>
    <w:rsid w:val="004103DC"/>
    <w:rsid w:val="004105E4"/>
    <w:rsid w:val="00410643"/>
    <w:rsid w:val="00410820"/>
    <w:rsid w:val="004111DC"/>
    <w:rsid w:val="00411418"/>
    <w:rsid w:val="004117F7"/>
    <w:rsid w:val="00411AEA"/>
    <w:rsid w:val="004128A9"/>
    <w:rsid w:val="00412E4C"/>
    <w:rsid w:val="00413808"/>
    <w:rsid w:val="004138F7"/>
    <w:rsid w:val="00413CBF"/>
    <w:rsid w:val="00413CDC"/>
    <w:rsid w:val="00413D43"/>
    <w:rsid w:val="0041412C"/>
    <w:rsid w:val="004148AA"/>
    <w:rsid w:val="004151DA"/>
    <w:rsid w:val="004151FA"/>
    <w:rsid w:val="00415BDB"/>
    <w:rsid w:val="00416E0E"/>
    <w:rsid w:val="00416FAF"/>
    <w:rsid w:val="004174E8"/>
    <w:rsid w:val="004175B7"/>
    <w:rsid w:val="00417689"/>
    <w:rsid w:val="00417BC5"/>
    <w:rsid w:val="00420398"/>
    <w:rsid w:val="00420B88"/>
    <w:rsid w:val="00420D50"/>
    <w:rsid w:val="004214D0"/>
    <w:rsid w:val="004218FA"/>
    <w:rsid w:val="00421A17"/>
    <w:rsid w:val="00421C18"/>
    <w:rsid w:val="00421E5F"/>
    <w:rsid w:val="004222DC"/>
    <w:rsid w:val="0042241C"/>
    <w:rsid w:val="004227E5"/>
    <w:rsid w:val="00422FE4"/>
    <w:rsid w:val="00423922"/>
    <w:rsid w:val="004239C6"/>
    <w:rsid w:val="00423EE9"/>
    <w:rsid w:val="00424982"/>
    <w:rsid w:val="0042499C"/>
    <w:rsid w:val="00425D82"/>
    <w:rsid w:val="00425F8F"/>
    <w:rsid w:val="00426080"/>
    <w:rsid w:val="0042654D"/>
    <w:rsid w:val="00426A50"/>
    <w:rsid w:val="00426AA6"/>
    <w:rsid w:val="00426CEC"/>
    <w:rsid w:val="00426DAE"/>
    <w:rsid w:val="00427089"/>
    <w:rsid w:val="00427223"/>
    <w:rsid w:val="00427530"/>
    <w:rsid w:val="00430312"/>
    <w:rsid w:val="00430319"/>
    <w:rsid w:val="00430AA0"/>
    <w:rsid w:val="00431970"/>
    <w:rsid w:val="00431A6F"/>
    <w:rsid w:val="00431AAC"/>
    <w:rsid w:val="00431B3A"/>
    <w:rsid w:val="00432C07"/>
    <w:rsid w:val="00432D33"/>
    <w:rsid w:val="00433008"/>
    <w:rsid w:val="004339C8"/>
    <w:rsid w:val="00433D3E"/>
    <w:rsid w:val="0043492D"/>
    <w:rsid w:val="004357B9"/>
    <w:rsid w:val="00435A81"/>
    <w:rsid w:val="0043601C"/>
    <w:rsid w:val="0043637B"/>
    <w:rsid w:val="00436BFC"/>
    <w:rsid w:val="00436F67"/>
    <w:rsid w:val="00437051"/>
    <w:rsid w:val="00437ACF"/>
    <w:rsid w:val="00437B32"/>
    <w:rsid w:val="00437C07"/>
    <w:rsid w:val="004400CD"/>
    <w:rsid w:val="00440911"/>
    <w:rsid w:val="00440C4F"/>
    <w:rsid w:val="0044141A"/>
    <w:rsid w:val="004414EA"/>
    <w:rsid w:val="00441931"/>
    <w:rsid w:val="00441C30"/>
    <w:rsid w:val="00441F02"/>
    <w:rsid w:val="00441F0C"/>
    <w:rsid w:val="00441F3B"/>
    <w:rsid w:val="00441F5A"/>
    <w:rsid w:val="00442374"/>
    <w:rsid w:val="004424C0"/>
    <w:rsid w:val="004426F7"/>
    <w:rsid w:val="004429B2"/>
    <w:rsid w:val="00442C76"/>
    <w:rsid w:val="00442E23"/>
    <w:rsid w:val="00442FD7"/>
    <w:rsid w:val="00442FF3"/>
    <w:rsid w:val="004436C4"/>
    <w:rsid w:val="00444D6A"/>
    <w:rsid w:val="00444F9A"/>
    <w:rsid w:val="00445116"/>
    <w:rsid w:val="00445131"/>
    <w:rsid w:val="004451B2"/>
    <w:rsid w:val="0044522F"/>
    <w:rsid w:val="00445384"/>
    <w:rsid w:val="00445425"/>
    <w:rsid w:val="004456E5"/>
    <w:rsid w:val="004462F4"/>
    <w:rsid w:val="00446712"/>
    <w:rsid w:val="00446849"/>
    <w:rsid w:val="00446A14"/>
    <w:rsid w:val="00446D47"/>
    <w:rsid w:val="00446E9F"/>
    <w:rsid w:val="004470AC"/>
    <w:rsid w:val="004479A7"/>
    <w:rsid w:val="004501AC"/>
    <w:rsid w:val="0045032D"/>
    <w:rsid w:val="004503D5"/>
    <w:rsid w:val="00450778"/>
    <w:rsid w:val="004508A1"/>
    <w:rsid w:val="00450D34"/>
    <w:rsid w:val="0045116B"/>
    <w:rsid w:val="004514A6"/>
    <w:rsid w:val="00451A2D"/>
    <w:rsid w:val="00451B88"/>
    <w:rsid w:val="00451EF7"/>
    <w:rsid w:val="00451F2A"/>
    <w:rsid w:val="0045257A"/>
    <w:rsid w:val="00452A69"/>
    <w:rsid w:val="00452AB5"/>
    <w:rsid w:val="00452BC4"/>
    <w:rsid w:val="004534FA"/>
    <w:rsid w:val="00453B99"/>
    <w:rsid w:val="00454415"/>
    <w:rsid w:val="004544AA"/>
    <w:rsid w:val="0045458E"/>
    <w:rsid w:val="00454634"/>
    <w:rsid w:val="00454804"/>
    <w:rsid w:val="0045486F"/>
    <w:rsid w:val="00454EFE"/>
    <w:rsid w:val="004552B7"/>
    <w:rsid w:val="00455614"/>
    <w:rsid w:val="00456422"/>
    <w:rsid w:val="00456D2A"/>
    <w:rsid w:val="00456E02"/>
    <w:rsid w:val="00456F7A"/>
    <w:rsid w:val="004570E7"/>
    <w:rsid w:val="004579FD"/>
    <w:rsid w:val="00457CD9"/>
    <w:rsid w:val="00457E09"/>
    <w:rsid w:val="0046067C"/>
    <w:rsid w:val="004609C4"/>
    <w:rsid w:val="00460F3F"/>
    <w:rsid w:val="004610CE"/>
    <w:rsid w:val="00461B47"/>
    <w:rsid w:val="00461B4B"/>
    <w:rsid w:val="00461D43"/>
    <w:rsid w:val="00461D61"/>
    <w:rsid w:val="00461E14"/>
    <w:rsid w:val="004621BC"/>
    <w:rsid w:val="00463826"/>
    <w:rsid w:val="00464108"/>
    <w:rsid w:val="00464302"/>
    <w:rsid w:val="004645F5"/>
    <w:rsid w:val="00464812"/>
    <w:rsid w:val="00465029"/>
    <w:rsid w:val="00465440"/>
    <w:rsid w:val="004656B8"/>
    <w:rsid w:val="00465EF9"/>
    <w:rsid w:val="00465F5A"/>
    <w:rsid w:val="004663A9"/>
    <w:rsid w:val="00466685"/>
    <w:rsid w:val="00466A72"/>
    <w:rsid w:val="00466F9D"/>
    <w:rsid w:val="00467286"/>
    <w:rsid w:val="00467427"/>
    <w:rsid w:val="0046743E"/>
    <w:rsid w:val="00467A8D"/>
    <w:rsid w:val="004700B4"/>
    <w:rsid w:val="004703BC"/>
    <w:rsid w:val="00470DD6"/>
    <w:rsid w:val="00472204"/>
    <w:rsid w:val="00472B57"/>
    <w:rsid w:val="00472D2B"/>
    <w:rsid w:val="00472E75"/>
    <w:rsid w:val="00473207"/>
    <w:rsid w:val="0047333E"/>
    <w:rsid w:val="00473442"/>
    <w:rsid w:val="00473586"/>
    <w:rsid w:val="004735FC"/>
    <w:rsid w:val="00473B6E"/>
    <w:rsid w:val="00473D74"/>
    <w:rsid w:val="004742D3"/>
    <w:rsid w:val="00474921"/>
    <w:rsid w:val="004752A8"/>
    <w:rsid w:val="00475756"/>
    <w:rsid w:val="00476343"/>
    <w:rsid w:val="004768FA"/>
    <w:rsid w:val="00476CFE"/>
    <w:rsid w:val="00477223"/>
    <w:rsid w:val="00477B43"/>
    <w:rsid w:val="00477C12"/>
    <w:rsid w:val="00480424"/>
    <w:rsid w:val="0048190D"/>
    <w:rsid w:val="004823D6"/>
    <w:rsid w:val="00482568"/>
    <w:rsid w:val="00482801"/>
    <w:rsid w:val="00482F8A"/>
    <w:rsid w:val="0048307F"/>
    <w:rsid w:val="00483081"/>
    <w:rsid w:val="00483142"/>
    <w:rsid w:val="00483258"/>
    <w:rsid w:val="00483464"/>
    <w:rsid w:val="0048365D"/>
    <w:rsid w:val="004836E5"/>
    <w:rsid w:val="00483856"/>
    <w:rsid w:val="00483EC8"/>
    <w:rsid w:val="00484149"/>
    <w:rsid w:val="004844C4"/>
    <w:rsid w:val="0048468D"/>
    <w:rsid w:val="0048497F"/>
    <w:rsid w:val="0048505C"/>
    <w:rsid w:val="004852A0"/>
    <w:rsid w:val="00485300"/>
    <w:rsid w:val="004855D4"/>
    <w:rsid w:val="0048580B"/>
    <w:rsid w:val="00485B35"/>
    <w:rsid w:val="00486019"/>
    <w:rsid w:val="00486D08"/>
    <w:rsid w:val="004870C2"/>
    <w:rsid w:val="004877B3"/>
    <w:rsid w:val="00490DDF"/>
    <w:rsid w:val="00490F5B"/>
    <w:rsid w:val="00491135"/>
    <w:rsid w:val="004917BF"/>
    <w:rsid w:val="00491A17"/>
    <w:rsid w:val="00491E4A"/>
    <w:rsid w:val="00492156"/>
    <w:rsid w:val="004922EB"/>
    <w:rsid w:val="0049273C"/>
    <w:rsid w:val="00492BDA"/>
    <w:rsid w:val="00492D16"/>
    <w:rsid w:val="00492DED"/>
    <w:rsid w:val="004933DC"/>
    <w:rsid w:val="00493C24"/>
    <w:rsid w:val="00493CA6"/>
    <w:rsid w:val="00493D49"/>
    <w:rsid w:val="00493E57"/>
    <w:rsid w:val="00494633"/>
    <w:rsid w:val="00494942"/>
    <w:rsid w:val="00494FDD"/>
    <w:rsid w:val="00495786"/>
    <w:rsid w:val="00495AC1"/>
    <w:rsid w:val="00495C83"/>
    <w:rsid w:val="00495F8D"/>
    <w:rsid w:val="0049604E"/>
    <w:rsid w:val="004962AD"/>
    <w:rsid w:val="004966FB"/>
    <w:rsid w:val="0049671A"/>
    <w:rsid w:val="00496B87"/>
    <w:rsid w:val="00496D71"/>
    <w:rsid w:val="00497165"/>
    <w:rsid w:val="00497702"/>
    <w:rsid w:val="00497F76"/>
    <w:rsid w:val="004A0072"/>
    <w:rsid w:val="004A0AF5"/>
    <w:rsid w:val="004A0E13"/>
    <w:rsid w:val="004A1336"/>
    <w:rsid w:val="004A147F"/>
    <w:rsid w:val="004A1661"/>
    <w:rsid w:val="004A171D"/>
    <w:rsid w:val="004A1ED8"/>
    <w:rsid w:val="004A2152"/>
    <w:rsid w:val="004A259A"/>
    <w:rsid w:val="004A30AF"/>
    <w:rsid w:val="004A3577"/>
    <w:rsid w:val="004A3715"/>
    <w:rsid w:val="004A3F15"/>
    <w:rsid w:val="004A3FD6"/>
    <w:rsid w:val="004A4222"/>
    <w:rsid w:val="004A4263"/>
    <w:rsid w:val="004A449B"/>
    <w:rsid w:val="004A482A"/>
    <w:rsid w:val="004A49A5"/>
    <w:rsid w:val="004A4E33"/>
    <w:rsid w:val="004A4F05"/>
    <w:rsid w:val="004A5065"/>
    <w:rsid w:val="004A5FB1"/>
    <w:rsid w:val="004A609E"/>
    <w:rsid w:val="004A631A"/>
    <w:rsid w:val="004A642F"/>
    <w:rsid w:val="004A6972"/>
    <w:rsid w:val="004A6CE6"/>
    <w:rsid w:val="004A7371"/>
    <w:rsid w:val="004A7439"/>
    <w:rsid w:val="004A74E2"/>
    <w:rsid w:val="004A7535"/>
    <w:rsid w:val="004A75A7"/>
    <w:rsid w:val="004A76B3"/>
    <w:rsid w:val="004B01DD"/>
    <w:rsid w:val="004B0572"/>
    <w:rsid w:val="004B0862"/>
    <w:rsid w:val="004B0A53"/>
    <w:rsid w:val="004B0CEC"/>
    <w:rsid w:val="004B1927"/>
    <w:rsid w:val="004B1B5C"/>
    <w:rsid w:val="004B1CE6"/>
    <w:rsid w:val="004B1FB8"/>
    <w:rsid w:val="004B1FF6"/>
    <w:rsid w:val="004B2285"/>
    <w:rsid w:val="004B2775"/>
    <w:rsid w:val="004B2779"/>
    <w:rsid w:val="004B2B40"/>
    <w:rsid w:val="004B2EFD"/>
    <w:rsid w:val="004B36ED"/>
    <w:rsid w:val="004B3BE4"/>
    <w:rsid w:val="004B3CB0"/>
    <w:rsid w:val="004B455A"/>
    <w:rsid w:val="004B4DCC"/>
    <w:rsid w:val="004B4FEF"/>
    <w:rsid w:val="004B50C5"/>
    <w:rsid w:val="004B5224"/>
    <w:rsid w:val="004B5550"/>
    <w:rsid w:val="004B567C"/>
    <w:rsid w:val="004B57F7"/>
    <w:rsid w:val="004B583B"/>
    <w:rsid w:val="004B5CA1"/>
    <w:rsid w:val="004B649F"/>
    <w:rsid w:val="004B64EA"/>
    <w:rsid w:val="004B6985"/>
    <w:rsid w:val="004B69DF"/>
    <w:rsid w:val="004B6A69"/>
    <w:rsid w:val="004B6B14"/>
    <w:rsid w:val="004B6EBA"/>
    <w:rsid w:val="004B7196"/>
    <w:rsid w:val="004B73A9"/>
    <w:rsid w:val="004B78DA"/>
    <w:rsid w:val="004B7BEC"/>
    <w:rsid w:val="004B7E1F"/>
    <w:rsid w:val="004C049B"/>
    <w:rsid w:val="004C0626"/>
    <w:rsid w:val="004C0895"/>
    <w:rsid w:val="004C0CE2"/>
    <w:rsid w:val="004C0D36"/>
    <w:rsid w:val="004C0D7F"/>
    <w:rsid w:val="004C0E47"/>
    <w:rsid w:val="004C0EDF"/>
    <w:rsid w:val="004C1218"/>
    <w:rsid w:val="004C1D8B"/>
    <w:rsid w:val="004C1DA8"/>
    <w:rsid w:val="004C20D4"/>
    <w:rsid w:val="004C210B"/>
    <w:rsid w:val="004C21B8"/>
    <w:rsid w:val="004C22A4"/>
    <w:rsid w:val="004C238E"/>
    <w:rsid w:val="004C2551"/>
    <w:rsid w:val="004C25CF"/>
    <w:rsid w:val="004C2AAE"/>
    <w:rsid w:val="004C2C1B"/>
    <w:rsid w:val="004C2C70"/>
    <w:rsid w:val="004C2EEA"/>
    <w:rsid w:val="004C2F3A"/>
    <w:rsid w:val="004C326B"/>
    <w:rsid w:val="004C3395"/>
    <w:rsid w:val="004C4195"/>
    <w:rsid w:val="004C4B1F"/>
    <w:rsid w:val="004C4C67"/>
    <w:rsid w:val="004C509D"/>
    <w:rsid w:val="004C569F"/>
    <w:rsid w:val="004C5745"/>
    <w:rsid w:val="004C64B5"/>
    <w:rsid w:val="004C6EEE"/>
    <w:rsid w:val="004C76A2"/>
    <w:rsid w:val="004C7A5B"/>
    <w:rsid w:val="004C7C90"/>
    <w:rsid w:val="004C7CD8"/>
    <w:rsid w:val="004D039B"/>
    <w:rsid w:val="004D0820"/>
    <w:rsid w:val="004D0DA1"/>
    <w:rsid w:val="004D0F80"/>
    <w:rsid w:val="004D1560"/>
    <w:rsid w:val="004D195B"/>
    <w:rsid w:val="004D1CB6"/>
    <w:rsid w:val="004D1E2C"/>
    <w:rsid w:val="004D20A0"/>
    <w:rsid w:val="004D21CF"/>
    <w:rsid w:val="004D221E"/>
    <w:rsid w:val="004D256D"/>
    <w:rsid w:val="004D2793"/>
    <w:rsid w:val="004D2CBC"/>
    <w:rsid w:val="004D2F12"/>
    <w:rsid w:val="004D303C"/>
    <w:rsid w:val="004D33CE"/>
    <w:rsid w:val="004D36A1"/>
    <w:rsid w:val="004D4225"/>
    <w:rsid w:val="004D445B"/>
    <w:rsid w:val="004D47A9"/>
    <w:rsid w:val="004D4A71"/>
    <w:rsid w:val="004D4D0B"/>
    <w:rsid w:val="004D50B0"/>
    <w:rsid w:val="004D565F"/>
    <w:rsid w:val="004D5B19"/>
    <w:rsid w:val="004D5BC1"/>
    <w:rsid w:val="004D5F90"/>
    <w:rsid w:val="004D688C"/>
    <w:rsid w:val="004D6CF4"/>
    <w:rsid w:val="004D6D0C"/>
    <w:rsid w:val="004D7A55"/>
    <w:rsid w:val="004E0095"/>
    <w:rsid w:val="004E095F"/>
    <w:rsid w:val="004E0B7F"/>
    <w:rsid w:val="004E0DD0"/>
    <w:rsid w:val="004E0F30"/>
    <w:rsid w:val="004E10C1"/>
    <w:rsid w:val="004E110B"/>
    <w:rsid w:val="004E13BC"/>
    <w:rsid w:val="004E15C5"/>
    <w:rsid w:val="004E1776"/>
    <w:rsid w:val="004E23FF"/>
    <w:rsid w:val="004E252A"/>
    <w:rsid w:val="004E28E1"/>
    <w:rsid w:val="004E3423"/>
    <w:rsid w:val="004E3823"/>
    <w:rsid w:val="004E387F"/>
    <w:rsid w:val="004E3C80"/>
    <w:rsid w:val="004E4122"/>
    <w:rsid w:val="004E4384"/>
    <w:rsid w:val="004E4440"/>
    <w:rsid w:val="004E5504"/>
    <w:rsid w:val="004E5A75"/>
    <w:rsid w:val="004E5E72"/>
    <w:rsid w:val="004E5E8E"/>
    <w:rsid w:val="004E6347"/>
    <w:rsid w:val="004E6357"/>
    <w:rsid w:val="004E6720"/>
    <w:rsid w:val="004E6DD5"/>
    <w:rsid w:val="004E72B9"/>
    <w:rsid w:val="004E7ADA"/>
    <w:rsid w:val="004E7D13"/>
    <w:rsid w:val="004E7FAF"/>
    <w:rsid w:val="004F0171"/>
    <w:rsid w:val="004F03E0"/>
    <w:rsid w:val="004F08D9"/>
    <w:rsid w:val="004F0909"/>
    <w:rsid w:val="004F0DE3"/>
    <w:rsid w:val="004F0FCC"/>
    <w:rsid w:val="004F16F2"/>
    <w:rsid w:val="004F1D9F"/>
    <w:rsid w:val="004F2390"/>
    <w:rsid w:val="004F24B0"/>
    <w:rsid w:val="004F27D5"/>
    <w:rsid w:val="004F301F"/>
    <w:rsid w:val="004F33AE"/>
    <w:rsid w:val="004F34C2"/>
    <w:rsid w:val="004F36AE"/>
    <w:rsid w:val="004F372E"/>
    <w:rsid w:val="004F3887"/>
    <w:rsid w:val="004F3908"/>
    <w:rsid w:val="004F4492"/>
    <w:rsid w:val="004F45B3"/>
    <w:rsid w:val="004F50D0"/>
    <w:rsid w:val="004F5188"/>
    <w:rsid w:val="004F5239"/>
    <w:rsid w:val="004F5827"/>
    <w:rsid w:val="004F5A80"/>
    <w:rsid w:val="004F5B61"/>
    <w:rsid w:val="004F606D"/>
    <w:rsid w:val="004F6C18"/>
    <w:rsid w:val="004F6C2D"/>
    <w:rsid w:val="004F6C31"/>
    <w:rsid w:val="004F6CC1"/>
    <w:rsid w:val="004F6E2D"/>
    <w:rsid w:val="004F6E32"/>
    <w:rsid w:val="004F72F1"/>
    <w:rsid w:val="004F7461"/>
    <w:rsid w:val="004F79D3"/>
    <w:rsid w:val="004F7A80"/>
    <w:rsid w:val="0050020B"/>
    <w:rsid w:val="00500294"/>
    <w:rsid w:val="005002F3"/>
    <w:rsid w:val="00500548"/>
    <w:rsid w:val="00500673"/>
    <w:rsid w:val="005008EC"/>
    <w:rsid w:val="00500D4E"/>
    <w:rsid w:val="00500E47"/>
    <w:rsid w:val="00501493"/>
    <w:rsid w:val="0050191C"/>
    <w:rsid w:val="005025FC"/>
    <w:rsid w:val="00502A4B"/>
    <w:rsid w:val="00502F64"/>
    <w:rsid w:val="005039F1"/>
    <w:rsid w:val="00503B82"/>
    <w:rsid w:val="00503DA0"/>
    <w:rsid w:val="00504ACB"/>
    <w:rsid w:val="00504C63"/>
    <w:rsid w:val="00505986"/>
    <w:rsid w:val="00505C75"/>
    <w:rsid w:val="0050634B"/>
    <w:rsid w:val="00506745"/>
    <w:rsid w:val="00506789"/>
    <w:rsid w:val="0050693F"/>
    <w:rsid w:val="00506A0C"/>
    <w:rsid w:val="00506A72"/>
    <w:rsid w:val="00506C3E"/>
    <w:rsid w:val="00506E74"/>
    <w:rsid w:val="00506EAB"/>
    <w:rsid w:val="00506F43"/>
    <w:rsid w:val="00506FD2"/>
    <w:rsid w:val="00507446"/>
    <w:rsid w:val="00507E80"/>
    <w:rsid w:val="00510236"/>
    <w:rsid w:val="00510270"/>
    <w:rsid w:val="00510EAE"/>
    <w:rsid w:val="00510F70"/>
    <w:rsid w:val="00511047"/>
    <w:rsid w:val="00511156"/>
    <w:rsid w:val="00511C56"/>
    <w:rsid w:val="00511FA9"/>
    <w:rsid w:val="005124C9"/>
    <w:rsid w:val="0051292D"/>
    <w:rsid w:val="00512C2F"/>
    <w:rsid w:val="00512DFF"/>
    <w:rsid w:val="00513134"/>
    <w:rsid w:val="005134F4"/>
    <w:rsid w:val="00513BBF"/>
    <w:rsid w:val="00513CC1"/>
    <w:rsid w:val="00513DCA"/>
    <w:rsid w:val="005143A6"/>
    <w:rsid w:val="005144DB"/>
    <w:rsid w:val="00514D17"/>
    <w:rsid w:val="00514E87"/>
    <w:rsid w:val="00514F08"/>
    <w:rsid w:val="00515F1A"/>
    <w:rsid w:val="00515F7A"/>
    <w:rsid w:val="0051636E"/>
    <w:rsid w:val="005168BE"/>
    <w:rsid w:val="00516AE1"/>
    <w:rsid w:val="00516C80"/>
    <w:rsid w:val="00516D2C"/>
    <w:rsid w:val="00516DA4"/>
    <w:rsid w:val="00517202"/>
    <w:rsid w:val="00517540"/>
    <w:rsid w:val="00520071"/>
    <w:rsid w:val="00520131"/>
    <w:rsid w:val="00520F15"/>
    <w:rsid w:val="00521296"/>
    <w:rsid w:val="0052146D"/>
    <w:rsid w:val="00521583"/>
    <w:rsid w:val="00521B2F"/>
    <w:rsid w:val="00521BFE"/>
    <w:rsid w:val="00521E91"/>
    <w:rsid w:val="00522077"/>
    <w:rsid w:val="00522571"/>
    <w:rsid w:val="00522A33"/>
    <w:rsid w:val="00522AC0"/>
    <w:rsid w:val="00522AF6"/>
    <w:rsid w:val="00522FBD"/>
    <w:rsid w:val="00523195"/>
    <w:rsid w:val="00523230"/>
    <w:rsid w:val="0052344E"/>
    <w:rsid w:val="00523768"/>
    <w:rsid w:val="00523CEB"/>
    <w:rsid w:val="00524279"/>
    <w:rsid w:val="00524415"/>
    <w:rsid w:val="00524597"/>
    <w:rsid w:val="00524B1B"/>
    <w:rsid w:val="00524E35"/>
    <w:rsid w:val="00525843"/>
    <w:rsid w:val="00525864"/>
    <w:rsid w:val="00525B8C"/>
    <w:rsid w:val="00525F80"/>
    <w:rsid w:val="005260D2"/>
    <w:rsid w:val="00526108"/>
    <w:rsid w:val="00526DB9"/>
    <w:rsid w:val="00530440"/>
    <w:rsid w:val="00530800"/>
    <w:rsid w:val="00531B2B"/>
    <w:rsid w:val="00531F10"/>
    <w:rsid w:val="00532485"/>
    <w:rsid w:val="005328A3"/>
    <w:rsid w:val="00532CE3"/>
    <w:rsid w:val="00532D2C"/>
    <w:rsid w:val="005333E1"/>
    <w:rsid w:val="005335C4"/>
    <w:rsid w:val="005336FE"/>
    <w:rsid w:val="005338BD"/>
    <w:rsid w:val="00533B46"/>
    <w:rsid w:val="005343BC"/>
    <w:rsid w:val="005348EA"/>
    <w:rsid w:val="00534B00"/>
    <w:rsid w:val="005358FA"/>
    <w:rsid w:val="00535F07"/>
    <w:rsid w:val="0053626B"/>
    <w:rsid w:val="00536480"/>
    <w:rsid w:val="00536666"/>
    <w:rsid w:val="00536A9E"/>
    <w:rsid w:val="00536D6A"/>
    <w:rsid w:val="00536F35"/>
    <w:rsid w:val="0053732D"/>
    <w:rsid w:val="0053751E"/>
    <w:rsid w:val="005375C2"/>
    <w:rsid w:val="005375D5"/>
    <w:rsid w:val="00537626"/>
    <w:rsid w:val="00537970"/>
    <w:rsid w:val="00537ADA"/>
    <w:rsid w:val="00537B7D"/>
    <w:rsid w:val="00537DC1"/>
    <w:rsid w:val="0054023C"/>
    <w:rsid w:val="005404B7"/>
    <w:rsid w:val="0054068E"/>
    <w:rsid w:val="00540E01"/>
    <w:rsid w:val="0054113D"/>
    <w:rsid w:val="005418F9"/>
    <w:rsid w:val="00541DE6"/>
    <w:rsid w:val="00541F70"/>
    <w:rsid w:val="0054230B"/>
    <w:rsid w:val="00542339"/>
    <w:rsid w:val="00542B4C"/>
    <w:rsid w:val="00542CA3"/>
    <w:rsid w:val="005432B2"/>
    <w:rsid w:val="005437B3"/>
    <w:rsid w:val="005439FE"/>
    <w:rsid w:val="005445F1"/>
    <w:rsid w:val="00544BE5"/>
    <w:rsid w:val="00544DC4"/>
    <w:rsid w:val="00544E2A"/>
    <w:rsid w:val="0054571D"/>
    <w:rsid w:val="005457E6"/>
    <w:rsid w:val="005459F7"/>
    <w:rsid w:val="00545BE6"/>
    <w:rsid w:val="00545E1F"/>
    <w:rsid w:val="00546079"/>
    <w:rsid w:val="00546684"/>
    <w:rsid w:val="00546973"/>
    <w:rsid w:val="00546D10"/>
    <w:rsid w:val="00546FCE"/>
    <w:rsid w:val="005471C7"/>
    <w:rsid w:val="00547348"/>
    <w:rsid w:val="005474C7"/>
    <w:rsid w:val="00547D91"/>
    <w:rsid w:val="00547E99"/>
    <w:rsid w:val="00550001"/>
    <w:rsid w:val="00551129"/>
    <w:rsid w:val="005511BB"/>
    <w:rsid w:val="00551296"/>
    <w:rsid w:val="005514FB"/>
    <w:rsid w:val="00551983"/>
    <w:rsid w:val="005519EE"/>
    <w:rsid w:val="00551B48"/>
    <w:rsid w:val="0055208D"/>
    <w:rsid w:val="005526CF"/>
    <w:rsid w:val="00552D06"/>
    <w:rsid w:val="00553022"/>
    <w:rsid w:val="0055305D"/>
    <w:rsid w:val="00553082"/>
    <w:rsid w:val="005532A0"/>
    <w:rsid w:val="00553350"/>
    <w:rsid w:val="00553702"/>
    <w:rsid w:val="005539A7"/>
    <w:rsid w:val="00553ECE"/>
    <w:rsid w:val="00553EF6"/>
    <w:rsid w:val="005541E9"/>
    <w:rsid w:val="005544BB"/>
    <w:rsid w:val="00554B2B"/>
    <w:rsid w:val="00554E70"/>
    <w:rsid w:val="005550EF"/>
    <w:rsid w:val="0055598A"/>
    <w:rsid w:val="00555B2A"/>
    <w:rsid w:val="00555CEE"/>
    <w:rsid w:val="00555D4F"/>
    <w:rsid w:val="0055630A"/>
    <w:rsid w:val="005564BC"/>
    <w:rsid w:val="00556842"/>
    <w:rsid w:val="00556D65"/>
    <w:rsid w:val="00556D8A"/>
    <w:rsid w:val="005572DF"/>
    <w:rsid w:val="00557955"/>
    <w:rsid w:val="00557979"/>
    <w:rsid w:val="00557BBC"/>
    <w:rsid w:val="00557D78"/>
    <w:rsid w:val="005603BC"/>
    <w:rsid w:val="005604D9"/>
    <w:rsid w:val="00560FAC"/>
    <w:rsid w:val="0056107B"/>
    <w:rsid w:val="005612F7"/>
    <w:rsid w:val="005618F1"/>
    <w:rsid w:val="00561AFF"/>
    <w:rsid w:val="00561BD1"/>
    <w:rsid w:val="00562375"/>
    <w:rsid w:val="00562923"/>
    <w:rsid w:val="00562CA5"/>
    <w:rsid w:val="00563306"/>
    <w:rsid w:val="005635AE"/>
    <w:rsid w:val="00563D9B"/>
    <w:rsid w:val="00563F93"/>
    <w:rsid w:val="005641F8"/>
    <w:rsid w:val="00564D7A"/>
    <w:rsid w:val="00565AA9"/>
    <w:rsid w:val="00565C3B"/>
    <w:rsid w:val="0056672B"/>
    <w:rsid w:val="00566EFB"/>
    <w:rsid w:val="0056719E"/>
    <w:rsid w:val="0056740B"/>
    <w:rsid w:val="00567C41"/>
    <w:rsid w:val="005700D8"/>
    <w:rsid w:val="0057015C"/>
    <w:rsid w:val="005708CC"/>
    <w:rsid w:val="00570ED5"/>
    <w:rsid w:val="00571056"/>
    <w:rsid w:val="005710C7"/>
    <w:rsid w:val="00571EDF"/>
    <w:rsid w:val="00572F6F"/>
    <w:rsid w:val="005730DB"/>
    <w:rsid w:val="0057374D"/>
    <w:rsid w:val="00573ED4"/>
    <w:rsid w:val="00573F79"/>
    <w:rsid w:val="0057407A"/>
    <w:rsid w:val="00574481"/>
    <w:rsid w:val="00574C1E"/>
    <w:rsid w:val="00574C42"/>
    <w:rsid w:val="00574E05"/>
    <w:rsid w:val="0057564D"/>
    <w:rsid w:val="0057565B"/>
    <w:rsid w:val="005756FC"/>
    <w:rsid w:val="00575FFA"/>
    <w:rsid w:val="005763B0"/>
    <w:rsid w:val="0057657A"/>
    <w:rsid w:val="00576593"/>
    <w:rsid w:val="00576B63"/>
    <w:rsid w:val="00576DBC"/>
    <w:rsid w:val="005770C6"/>
    <w:rsid w:val="0057716D"/>
    <w:rsid w:val="00577643"/>
    <w:rsid w:val="00577E27"/>
    <w:rsid w:val="00580182"/>
    <w:rsid w:val="005807D4"/>
    <w:rsid w:val="00580DAC"/>
    <w:rsid w:val="005812E7"/>
    <w:rsid w:val="00582471"/>
    <w:rsid w:val="00583293"/>
    <w:rsid w:val="005832B5"/>
    <w:rsid w:val="0058337B"/>
    <w:rsid w:val="005839BA"/>
    <w:rsid w:val="00583AD4"/>
    <w:rsid w:val="0058423F"/>
    <w:rsid w:val="005846CF"/>
    <w:rsid w:val="00584BFC"/>
    <w:rsid w:val="00584E44"/>
    <w:rsid w:val="00584F33"/>
    <w:rsid w:val="005853E9"/>
    <w:rsid w:val="005853FB"/>
    <w:rsid w:val="00585661"/>
    <w:rsid w:val="005857E4"/>
    <w:rsid w:val="005859CA"/>
    <w:rsid w:val="00585F75"/>
    <w:rsid w:val="00586B31"/>
    <w:rsid w:val="00586E76"/>
    <w:rsid w:val="00587085"/>
    <w:rsid w:val="0058721F"/>
    <w:rsid w:val="00587453"/>
    <w:rsid w:val="0058759D"/>
    <w:rsid w:val="00587671"/>
    <w:rsid w:val="00587781"/>
    <w:rsid w:val="00587EBE"/>
    <w:rsid w:val="0059027B"/>
    <w:rsid w:val="00590297"/>
    <w:rsid w:val="005902AE"/>
    <w:rsid w:val="00590755"/>
    <w:rsid w:val="005917E6"/>
    <w:rsid w:val="00591848"/>
    <w:rsid w:val="00593653"/>
    <w:rsid w:val="00593655"/>
    <w:rsid w:val="0059366C"/>
    <w:rsid w:val="00593CF2"/>
    <w:rsid w:val="00593DE5"/>
    <w:rsid w:val="0059429B"/>
    <w:rsid w:val="00594ABB"/>
    <w:rsid w:val="00594D55"/>
    <w:rsid w:val="00594FF5"/>
    <w:rsid w:val="00595956"/>
    <w:rsid w:val="00595A29"/>
    <w:rsid w:val="00595C88"/>
    <w:rsid w:val="00595D9F"/>
    <w:rsid w:val="00595ECD"/>
    <w:rsid w:val="00596FB9"/>
    <w:rsid w:val="00597359"/>
    <w:rsid w:val="005A00C1"/>
    <w:rsid w:val="005A016A"/>
    <w:rsid w:val="005A047F"/>
    <w:rsid w:val="005A0671"/>
    <w:rsid w:val="005A083D"/>
    <w:rsid w:val="005A177A"/>
    <w:rsid w:val="005A19F9"/>
    <w:rsid w:val="005A1A23"/>
    <w:rsid w:val="005A2647"/>
    <w:rsid w:val="005A3336"/>
    <w:rsid w:val="005A33E0"/>
    <w:rsid w:val="005A34A2"/>
    <w:rsid w:val="005A3B37"/>
    <w:rsid w:val="005A3B75"/>
    <w:rsid w:val="005A46FC"/>
    <w:rsid w:val="005A4B2C"/>
    <w:rsid w:val="005A4E64"/>
    <w:rsid w:val="005A51F2"/>
    <w:rsid w:val="005A553D"/>
    <w:rsid w:val="005A5970"/>
    <w:rsid w:val="005A5DBE"/>
    <w:rsid w:val="005A6290"/>
    <w:rsid w:val="005A6334"/>
    <w:rsid w:val="005A63B0"/>
    <w:rsid w:val="005A6DAB"/>
    <w:rsid w:val="005A75A6"/>
    <w:rsid w:val="005A779F"/>
    <w:rsid w:val="005A78F8"/>
    <w:rsid w:val="005B0865"/>
    <w:rsid w:val="005B0A0C"/>
    <w:rsid w:val="005B0C27"/>
    <w:rsid w:val="005B1945"/>
    <w:rsid w:val="005B19EF"/>
    <w:rsid w:val="005B1B44"/>
    <w:rsid w:val="005B1C7D"/>
    <w:rsid w:val="005B1E98"/>
    <w:rsid w:val="005B1FFC"/>
    <w:rsid w:val="005B31B3"/>
    <w:rsid w:val="005B325A"/>
    <w:rsid w:val="005B3F6E"/>
    <w:rsid w:val="005B4054"/>
    <w:rsid w:val="005B4F90"/>
    <w:rsid w:val="005B5860"/>
    <w:rsid w:val="005B5B67"/>
    <w:rsid w:val="005B5C46"/>
    <w:rsid w:val="005B609C"/>
    <w:rsid w:val="005B6386"/>
    <w:rsid w:val="005B65A5"/>
    <w:rsid w:val="005B6870"/>
    <w:rsid w:val="005B6887"/>
    <w:rsid w:val="005B6B70"/>
    <w:rsid w:val="005B6C44"/>
    <w:rsid w:val="005B6CAA"/>
    <w:rsid w:val="005B6E09"/>
    <w:rsid w:val="005B6EAD"/>
    <w:rsid w:val="005B74F3"/>
    <w:rsid w:val="005B75BC"/>
    <w:rsid w:val="005B78A2"/>
    <w:rsid w:val="005B79E5"/>
    <w:rsid w:val="005B7C2A"/>
    <w:rsid w:val="005C0F7C"/>
    <w:rsid w:val="005C10D8"/>
    <w:rsid w:val="005C1461"/>
    <w:rsid w:val="005C1825"/>
    <w:rsid w:val="005C1C2C"/>
    <w:rsid w:val="005C22CE"/>
    <w:rsid w:val="005C2684"/>
    <w:rsid w:val="005C2688"/>
    <w:rsid w:val="005C27C2"/>
    <w:rsid w:val="005C289E"/>
    <w:rsid w:val="005C2A3D"/>
    <w:rsid w:val="005C2D58"/>
    <w:rsid w:val="005C2FEB"/>
    <w:rsid w:val="005C3542"/>
    <w:rsid w:val="005C3A15"/>
    <w:rsid w:val="005C3D8E"/>
    <w:rsid w:val="005C41F0"/>
    <w:rsid w:val="005C422A"/>
    <w:rsid w:val="005C43F8"/>
    <w:rsid w:val="005C4492"/>
    <w:rsid w:val="005C4710"/>
    <w:rsid w:val="005C4716"/>
    <w:rsid w:val="005C4912"/>
    <w:rsid w:val="005C4D17"/>
    <w:rsid w:val="005C4E5F"/>
    <w:rsid w:val="005C4F43"/>
    <w:rsid w:val="005C4F61"/>
    <w:rsid w:val="005C58FE"/>
    <w:rsid w:val="005C5C94"/>
    <w:rsid w:val="005C5F04"/>
    <w:rsid w:val="005C628E"/>
    <w:rsid w:val="005C64B3"/>
    <w:rsid w:val="005C6713"/>
    <w:rsid w:val="005C6752"/>
    <w:rsid w:val="005C6A3E"/>
    <w:rsid w:val="005C7431"/>
    <w:rsid w:val="005C7667"/>
    <w:rsid w:val="005C7CB6"/>
    <w:rsid w:val="005D0DF1"/>
    <w:rsid w:val="005D0EC5"/>
    <w:rsid w:val="005D0FBC"/>
    <w:rsid w:val="005D249B"/>
    <w:rsid w:val="005D29DA"/>
    <w:rsid w:val="005D2CE7"/>
    <w:rsid w:val="005D2F7D"/>
    <w:rsid w:val="005D3007"/>
    <w:rsid w:val="005D3A42"/>
    <w:rsid w:val="005D453D"/>
    <w:rsid w:val="005D469F"/>
    <w:rsid w:val="005D4945"/>
    <w:rsid w:val="005D4946"/>
    <w:rsid w:val="005D49C8"/>
    <w:rsid w:val="005D4E4E"/>
    <w:rsid w:val="005D52C4"/>
    <w:rsid w:val="005D5AD2"/>
    <w:rsid w:val="005D5AD9"/>
    <w:rsid w:val="005D5CE6"/>
    <w:rsid w:val="005D5DC5"/>
    <w:rsid w:val="005D5F03"/>
    <w:rsid w:val="005D6199"/>
    <w:rsid w:val="005D657F"/>
    <w:rsid w:val="005D67F6"/>
    <w:rsid w:val="005D694E"/>
    <w:rsid w:val="005D69AB"/>
    <w:rsid w:val="005D6A96"/>
    <w:rsid w:val="005D6B06"/>
    <w:rsid w:val="005D7018"/>
    <w:rsid w:val="005D7132"/>
    <w:rsid w:val="005D7150"/>
    <w:rsid w:val="005D7462"/>
    <w:rsid w:val="005D78B5"/>
    <w:rsid w:val="005D7D9E"/>
    <w:rsid w:val="005E0B62"/>
    <w:rsid w:val="005E0B7C"/>
    <w:rsid w:val="005E1C85"/>
    <w:rsid w:val="005E21CB"/>
    <w:rsid w:val="005E2271"/>
    <w:rsid w:val="005E2CD0"/>
    <w:rsid w:val="005E2DFB"/>
    <w:rsid w:val="005E3265"/>
    <w:rsid w:val="005E32B8"/>
    <w:rsid w:val="005E3300"/>
    <w:rsid w:val="005E3544"/>
    <w:rsid w:val="005E3BB8"/>
    <w:rsid w:val="005E3CA0"/>
    <w:rsid w:val="005E3D4A"/>
    <w:rsid w:val="005E432B"/>
    <w:rsid w:val="005E447C"/>
    <w:rsid w:val="005E475B"/>
    <w:rsid w:val="005E4F2C"/>
    <w:rsid w:val="005E5795"/>
    <w:rsid w:val="005E57D3"/>
    <w:rsid w:val="005E608F"/>
    <w:rsid w:val="005E62B0"/>
    <w:rsid w:val="005E6555"/>
    <w:rsid w:val="005E6C83"/>
    <w:rsid w:val="005E6D8D"/>
    <w:rsid w:val="005E6FD7"/>
    <w:rsid w:val="005E70E4"/>
    <w:rsid w:val="005E76E9"/>
    <w:rsid w:val="005E777D"/>
    <w:rsid w:val="005F0227"/>
    <w:rsid w:val="005F0422"/>
    <w:rsid w:val="005F07C4"/>
    <w:rsid w:val="005F085A"/>
    <w:rsid w:val="005F086D"/>
    <w:rsid w:val="005F0A3E"/>
    <w:rsid w:val="005F0A3F"/>
    <w:rsid w:val="005F0C81"/>
    <w:rsid w:val="005F0DC1"/>
    <w:rsid w:val="005F10DB"/>
    <w:rsid w:val="005F116D"/>
    <w:rsid w:val="005F1530"/>
    <w:rsid w:val="005F1781"/>
    <w:rsid w:val="005F1A20"/>
    <w:rsid w:val="005F1B03"/>
    <w:rsid w:val="005F204B"/>
    <w:rsid w:val="005F21D5"/>
    <w:rsid w:val="005F2323"/>
    <w:rsid w:val="005F244A"/>
    <w:rsid w:val="005F262B"/>
    <w:rsid w:val="005F262C"/>
    <w:rsid w:val="005F2D88"/>
    <w:rsid w:val="005F2ECF"/>
    <w:rsid w:val="005F391F"/>
    <w:rsid w:val="005F40AF"/>
    <w:rsid w:val="005F42C3"/>
    <w:rsid w:val="005F4561"/>
    <w:rsid w:val="005F4919"/>
    <w:rsid w:val="005F4B62"/>
    <w:rsid w:val="005F4BAE"/>
    <w:rsid w:val="005F4D7E"/>
    <w:rsid w:val="005F51A2"/>
    <w:rsid w:val="005F5402"/>
    <w:rsid w:val="005F54EF"/>
    <w:rsid w:val="005F5558"/>
    <w:rsid w:val="005F5604"/>
    <w:rsid w:val="005F58D6"/>
    <w:rsid w:val="005F5A1B"/>
    <w:rsid w:val="005F5C4D"/>
    <w:rsid w:val="005F64F1"/>
    <w:rsid w:val="005F6523"/>
    <w:rsid w:val="005F6EDE"/>
    <w:rsid w:val="005F734B"/>
    <w:rsid w:val="005F7FC5"/>
    <w:rsid w:val="0060067C"/>
    <w:rsid w:val="00600B55"/>
    <w:rsid w:val="00600CD9"/>
    <w:rsid w:val="0060173A"/>
    <w:rsid w:val="00601807"/>
    <w:rsid w:val="00601A30"/>
    <w:rsid w:val="00601B48"/>
    <w:rsid w:val="0060226E"/>
    <w:rsid w:val="006028FC"/>
    <w:rsid w:val="006028FD"/>
    <w:rsid w:val="00602E81"/>
    <w:rsid w:val="00603706"/>
    <w:rsid w:val="006037A8"/>
    <w:rsid w:val="00603C92"/>
    <w:rsid w:val="00603DA0"/>
    <w:rsid w:val="0060450B"/>
    <w:rsid w:val="0060491C"/>
    <w:rsid w:val="0060493B"/>
    <w:rsid w:val="006049B7"/>
    <w:rsid w:val="006049CB"/>
    <w:rsid w:val="00604BC2"/>
    <w:rsid w:val="006050E6"/>
    <w:rsid w:val="0060518A"/>
    <w:rsid w:val="0060533A"/>
    <w:rsid w:val="00605891"/>
    <w:rsid w:val="00606C2A"/>
    <w:rsid w:val="00606D70"/>
    <w:rsid w:val="00607350"/>
    <w:rsid w:val="0061030D"/>
    <w:rsid w:val="00610417"/>
    <w:rsid w:val="00610487"/>
    <w:rsid w:val="0061094A"/>
    <w:rsid w:val="00610A54"/>
    <w:rsid w:val="00610F45"/>
    <w:rsid w:val="00610F8F"/>
    <w:rsid w:val="00610FD9"/>
    <w:rsid w:val="00611452"/>
    <w:rsid w:val="00611984"/>
    <w:rsid w:val="00611F71"/>
    <w:rsid w:val="00612500"/>
    <w:rsid w:val="0061330D"/>
    <w:rsid w:val="00613351"/>
    <w:rsid w:val="00613D00"/>
    <w:rsid w:val="00614266"/>
    <w:rsid w:val="006142AD"/>
    <w:rsid w:val="00614550"/>
    <w:rsid w:val="006152DC"/>
    <w:rsid w:val="00615326"/>
    <w:rsid w:val="00615C7E"/>
    <w:rsid w:val="006166CB"/>
    <w:rsid w:val="0061672A"/>
    <w:rsid w:val="00616991"/>
    <w:rsid w:val="00616C00"/>
    <w:rsid w:val="00616DE0"/>
    <w:rsid w:val="006170F0"/>
    <w:rsid w:val="006174E5"/>
    <w:rsid w:val="0061763F"/>
    <w:rsid w:val="006179DF"/>
    <w:rsid w:val="006203D3"/>
    <w:rsid w:val="0062111A"/>
    <w:rsid w:val="0062116D"/>
    <w:rsid w:val="006212A2"/>
    <w:rsid w:val="00621661"/>
    <w:rsid w:val="00621B81"/>
    <w:rsid w:val="00621C9C"/>
    <w:rsid w:val="00621D85"/>
    <w:rsid w:val="00621DEC"/>
    <w:rsid w:val="00621F3E"/>
    <w:rsid w:val="006223CC"/>
    <w:rsid w:val="00622610"/>
    <w:rsid w:val="0062296B"/>
    <w:rsid w:val="00623C21"/>
    <w:rsid w:val="00624257"/>
    <w:rsid w:val="00624972"/>
    <w:rsid w:val="00624E21"/>
    <w:rsid w:val="00624E89"/>
    <w:rsid w:val="00625055"/>
    <w:rsid w:val="006250D6"/>
    <w:rsid w:val="00625321"/>
    <w:rsid w:val="00625357"/>
    <w:rsid w:val="0062561A"/>
    <w:rsid w:val="0062579F"/>
    <w:rsid w:val="006257D1"/>
    <w:rsid w:val="00625994"/>
    <w:rsid w:val="00625AE2"/>
    <w:rsid w:val="00625C2D"/>
    <w:rsid w:val="00625CA4"/>
    <w:rsid w:val="00625E45"/>
    <w:rsid w:val="00625EB2"/>
    <w:rsid w:val="0062689B"/>
    <w:rsid w:val="00626B82"/>
    <w:rsid w:val="00626D2F"/>
    <w:rsid w:val="00626EF6"/>
    <w:rsid w:val="00627160"/>
    <w:rsid w:val="00627300"/>
    <w:rsid w:val="006275F4"/>
    <w:rsid w:val="006276FD"/>
    <w:rsid w:val="006277E2"/>
    <w:rsid w:val="00627CA8"/>
    <w:rsid w:val="00627E1A"/>
    <w:rsid w:val="00630369"/>
    <w:rsid w:val="0063062D"/>
    <w:rsid w:val="00630D40"/>
    <w:rsid w:val="00630D6C"/>
    <w:rsid w:val="00630E4A"/>
    <w:rsid w:val="00631721"/>
    <w:rsid w:val="006317EE"/>
    <w:rsid w:val="00631CB8"/>
    <w:rsid w:val="00631FC6"/>
    <w:rsid w:val="00632405"/>
    <w:rsid w:val="00632575"/>
    <w:rsid w:val="00632B5A"/>
    <w:rsid w:val="00632C1A"/>
    <w:rsid w:val="00632D2F"/>
    <w:rsid w:val="00632D3D"/>
    <w:rsid w:val="00633172"/>
    <w:rsid w:val="00633327"/>
    <w:rsid w:val="006337E4"/>
    <w:rsid w:val="0063393B"/>
    <w:rsid w:val="00633945"/>
    <w:rsid w:val="00633B33"/>
    <w:rsid w:val="00633E62"/>
    <w:rsid w:val="00634495"/>
    <w:rsid w:val="0063480C"/>
    <w:rsid w:val="00634897"/>
    <w:rsid w:val="0063491C"/>
    <w:rsid w:val="00634D0C"/>
    <w:rsid w:val="00634ED0"/>
    <w:rsid w:val="00634FE8"/>
    <w:rsid w:val="00635379"/>
    <w:rsid w:val="00635753"/>
    <w:rsid w:val="0063622F"/>
    <w:rsid w:val="006366FE"/>
    <w:rsid w:val="00636749"/>
    <w:rsid w:val="0063685A"/>
    <w:rsid w:val="00636C25"/>
    <w:rsid w:val="00636CCE"/>
    <w:rsid w:val="00636F07"/>
    <w:rsid w:val="00637002"/>
    <w:rsid w:val="006376BF"/>
    <w:rsid w:val="006378EF"/>
    <w:rsid w:val="00637F51"/>
    <w:rsid w:val="0064051A"/>
    <w:rsid w:val="006407B4"/>
    <w:rsid w:val="00640D4E"/>
    <w:rsid w:val="006414A8"/>
    <w:rsid w:val="006414FF"/>
    <w:rsid w:val="006416F3"/>
    <w:rsid w:val="00641752"/>
    <w:rsid w:val="0064195A"/>
    <w:rsid w:val="00641DA0"/>
    <w:rsid w:val="00641E20"/>
    <w:rsid w:val="00641E99"/>
    <w:rsid w:val="006420EA"/>
    <w:rsid w:val="006421BA"/>
    <w:rsid w:val="00642288"/>
    <w:rsid w:val="00642533"/>
    <w:rsid w:val="0064320B"/>
    <w:rsid w:val="00643232"/>
    <w:rsid w:val="0064336C"/>
    <w:rsid w:val="00643A55"/>
    <w:rsid w:val="00643D5B"/>
    <w:rsid w:val="00643EFF"/>
    <w:rsid w:val="00643FAC"/>
    <w:rsid w:val="00644199"/>
    <w:rsid w:val="00644B6C"/>
    <w:rsid w:val="00645366"/>
    <w:rsid w:val="00645445"/>
    <w:rsid w:val="006455FF"/>
    <w:rsid w:val="0064577A"/>
    <w:rsid w:val="006458C3"/>
    <w:rsid w:val="006458DE"/>
    <w:rsid w:val="00645F0D"/>
    <w:rsid w:val="00645FF5"/>
    <w:rsid w:val="00646D67"/>
    <w:rsid w:val="006470C7"/>
    <w:rsid w:val="0064740E"/>
    <w:rsid w:val="00647503"/>
    <w:rsid w:val="0064756D"/>
    <w:rsid w:val="00647714"/>
    <w:rsid w:val="0064782C"/>
    <w:rsid w:val="006479D1"/>
    <w:rsid w:val="00647B83"/>
    <w:rsid w:val="00647D2F"/>
    <w:rsid w:val="00647F04"/>
    <w:rsid w:val="0065094D"/>
    <w:rsid w:val="00650A4E"/>
    <w:rsid w:val="00650C27"/>
    <w:rsid w:val="00650DDE"/>
    <w:rsid w:val="00651039"/>
    <w:rsid w:val="0065104A"/>
    <w:rsid w:val="006515D7"/>
    <w:rsid w:val="006519D1"/>
    <w:rsid w:val="00651A4C"/>
    <w:rsid w:val="00651E53"/>
    <w:rsid w:val="006521C7"/>
    <w:rsid w:val="0065220F"/>
    <w:rsid w:val="00652406"/>
    <w:rsid w:val="00652566"/>
    <w:rsid w:val="006526AD"/>
    <w:rsid w:val="0065302F"/>
    <w:rsid w:val="006536AE"/>
    <w:rsid w:val="00653808"/>
    <w:rsid w:val="006539E5"/>
    <w:rsid w:val="00653E57"/>
    <w:rsid w:val="00653F3C"/>
    <w:rsid w:val="00654128"/>
    <w:rsid w:val="006542A1"/>
    <w:rsid w:val="00654332"/>
    <w:rsid w:val="006544D9"/>
    <w:rsid w:val="0065484B"/>
    <w:rsid w:val="006548E3"/>
    <w:rsid w:val="00654B38"/>
    <w:rsid w:val="00654C72"/>
    <w:rsid w:val="00655280"/>
    <w:rsid w:val="00655715"/>
    <w:rsid w:val="00655E5F"/>
    <w:rsid w:val="00656408"/>
    <w:rsid w:val="00656A63"/>
    <w:rsid w:val="006575F7"/>
    <w:rsid w:val="00657B11"/>
    <w:rsid w:val="00657D25"/>
    <w:rsid w:val="00657D36"/>
    <w:rsid w:val="00657DFA"/>
    <w:rsid w:val="00657E65"/>
    <w:rsid w:val="006600DF"/>
    <w:rsid w:val="006601D7"/>
    <w:rsid w:val="00660497"/>
    <w:rsid w:val="00660ABC"/>
    <w:rsid w:val="00660EA3"/>
    <w:rsid w:val="006618D6"/>
    <w:rsid w:val="006619BE"/>
    <w:rsid w:val="00661D53"/>
    <w:rsid w:val="006627D2"/>
    <w:rsid w:val="006629A3"/>
    <w:rsid w:val="00662AF4"/>
    <w:rsid w:val="00663069"/>
    <w:rsid w:val="006635BD"/>
    <w:rsid w:val="006635FC"/>
    <w:rsid w:val="006642FA"/>
    <w:rsid w:val="00664B71"/>
    <w:rsid w:val="00664DC7"/>
    <w:rsid w:val="00664E8A"/>
    <w:rsid w:val="00665500"/>
    <w:rsid w:val="0066581A"/>
    <w:rsid w:val="0066591F"/>
    <w:rsid w:val="0066592A"/>
    <w:rsid w:val="00665E9F"/>
    <w:rsid w:val="006663A0"/>
    <w:rsid w:val="00666729"/>
    <w:rsid w:val="00666861"/>
    <w:rsid w:val="00666AC1"/>
    <w:rsid w:val="00666B3D"/>
    <w:rsid w:val="0066740C"/>
    <w:rsid w:val="0066747A"/>
    <w:rsid w:val="00667BE1"/>
    <w:rsid w:val="00667FE8"/>
    <w:rsid w:val="006704CF"/>
    <w:rsid w:val="00670C38"/>
    <w:rsid w:val="00671006"/>
    <w:rsid w:val="00671107"/>
    <w:rsid w:val="00672059"/>
    <w:rsid w:val="00672811"/>
    <w:rsid w:val="00672843"/>
    <w:rsid w:val="00672846"/>
    <w:rsid w:val="00672D41"/>
    <w:rsid w:val="00672DE4"/>
    <w:rsid w:val="0067379A"/>
    <w:rsid w:val="00673A87"/>
    <w:rsid w:val="00673AD9"/>
    <w:rsid w:val="00673D03"/>
    <w:rsid w:val="00674734"/>
    <w:rsid w:val="00674A24"/>
    <w:rsid w:val="00674B80"/>
    <w:rsid w:val="00674CF6"/>
    <w:rsid w:val="00675644"/>
    <w:rsid w:val="006758F5"/>
    <w:rsid w:val="0067593A"/>
    <w:rsid w:val="00675D83"/>
    <w:rsid w:val="00675D95"/>
    <w:rsid w:val="00675E38"/>
    <w:rsid w:val="00675EDE"/>
    <w:rsid w:val="006764FF"/>
    <w:rsid w:val="00676788"/>
    <w:rsid w:val="006767FE"/>
    <w:rsid w:val="00676F55"/>
    <w:rsid w:val="00676FEE"/>
    <w:rsid w:val="006771B5"/>
    <w:rsid w:val="00677856"/>
    <w:rsid w:val="00677DE0"/>
    <w:rsid w:val="0068035E"/>
    <w:rsid w:val="00680A64"/>
    <w:rsid w:val="00680C27"/>
    <w:rsid w:val="00680FAB"/>
    <w:rsid w:val="00681259"/>
    <w:rsid w:val="006816F2"/>
    <w:rsid w:val="00681CC8"/>
    <w:rsid w:val="00681CD6"/>
    <w:rsid w:val="00681D62"/>
    <w:rsid w:val="00681E17"/>
    <w:rsid w:val="00682B70"/>
    <w:rsid w:val="00682BED"/>
    <w:rsid w:val="00682DF6"/>
    <w:rsid w:val="00682FD5"/>
    <w:rsid w:val="00683071"/>
    <w:rsid w:val="006833B0"/>
    <w:rsid w:val="006835AE"/>
    <w:rsid w:val="00683675"/>
    <w:rsid w:val="006836D5"/>
    <w:rsid w:val="00684541"/>
    <w:rsid w:val="00684930"/>
    <w:rsid w:val="00684D31"/>
    <w:rsid w:val="00684D75"/>
    <w:rsid w:val="00684E65"/>
    <w:rsid w:val="00684F02"/>
    <w:rsid w:val="00685315"/>
    <w:rsid w:val="006856BD"/>
    <w:rsid w:val="006859B5"/>
    <w:rsid w:val="00685D34"/>
    <w:rsid w:val="00685DDE"/>
    <w:rsid w:val="00685EAD"/>
    <w:rsid w:val="0068633C"/>
    <w:rsid w:val="006863EA"/>
    <w:rsid w:val="0068652B"/>
    <w:rsid w:val="006867E1"/>
    <w:rsid w:val="00686A99"/>
    <w:rsid w:val="00686CD3"/>
    <w:rsid w:val="00687638"/>
    <w:rsid w:val="0068785A"/>
    <w:rsid w:val="00687A79"/>
    <w:rsid w:val="006904E1"/>
    <w:rsid w:val="0069094A"/>
    <w:rsid w:val="00690F09"/>
    <w:rsid w:val="00691D6E"/>
    <w:rsid w:val="00692180"/>
    <w:rsid w:val="00692274"/>
    <w:rsid w:val="0069257A"/>
    <w:rsid w:val="006927D1"/>
    <w:rsid w:val="006927F7"/>
    <w:rsid w:val="006929D1"/>
    <w:rsid w:val="00692A1C"/>
    <w:rsid w:val="00692BA6"/>
    <w:rsid w:val="00692FD4"/>
    <w:rsid w:val="006930D3"/>
    <w:rsid w:val="00693F46"/>
    <w:rsid w:val="006945BF"/>
    <w:rsid w:val="00694C61"/>
    <w:rsid w:val="00694E56"/>
    <w:rsid w:val="00695804"/>
    <w:rsid w:val="00695983"/>
    <w:rsid w:val="00695C21"/>
    <w:rsid w:val="006965BF"/>
    <w:rsid w:val="00696EED"/>
    <w:rsid w:val="00696F3B"/>
    <w:rsid w:val="006972A7"/>
    <w:rsid w:val="006975BE"/>
    <w:rsid w:val="0069760C"/>
    <w:rsid w:val="006978B7"/>
    <w:rsid w:val="00697A9A"/>
    <w:rsid w:val="00697B48"/>
    <w:rsid w:val="00697C47"/>
    <w:rsid w:val="00697DD2"/>
    <w:rsid w:val="00697DF2"/>
    <w:rsid w:val="00697F96"/>
    <w:rsid w:val="00697FD7"/>
    <w:rsid w:val="006A03E0"/>
    <w:rsid w:val="006A089C"/>
    <w:rsid w:val="006A0907"/>
    <w:rsid w:val="006A0AC4"/>
    <w:rsid w:val="006A0B0B"/>
    <w:rsid w:val="006A1509"/>
    <w:rsid w:val="006A1973"/>
    <w:rsid w:val="006A19D5"/>
    <w:rsid w:val="006A1AC8"/>
    <w:rsid w:val="006A1E38"/>
    <w:rsid w:val="006A2000"/>
    <w:rsid w:val="006A21F7"/>
    <w:rsid w:val="006A3232"/>
    <w:rsid w:val="006A338A"/>
    <w:rsid w:val="006A377E"/>
    <w:rsid w:val="006A3791"/>
    <w:rsid w:val="006A3D36"/>
    <w:rsid w:val="006A4070"/>
    <w:rsid w:val="006A45A7"/>
    <w:rsid w:val="006A5420"/>
    <w:rsid w:val="006A5C64"/>
    <w:rsid w:val="006A5D68"/>
    <w:rsid w:val="006A5E68"/>
    <w:rsid w:val="006A60AD"/>
    <w:rsid w:val="006A64FF"/>
    <w:rsid w:val="006A6AC6"/>
    <w:rsid w:val="006A7562"/>
    <w:rsid w:val="006A76A5"/>
    <w:rsid w:val="006A7C57"/>
    <w:rsid w:val="006A7CC4"/>
    <w:rsid w:val="006B0224"/>
    <w:rsid w:val="006B0457"/>
    <w:rsid w:val="006B1196"/>
    <w:rsid w:val="006B1AE4"/>
    <w:rsid w:val="006B1C1A"/>
    <w:rsid w:val="006B1D01"/>
    <w:rsid w:val="006B1EC2"/>
    <w:rsid w:val="006B2C6F"/>
    <w:rsid w:val="006B2F9C"/>
    <w:rsid w:val="006B3BA8"/>
    <w:rsid w:val="006B3C14"/>
    <w:rsid w:val="006B4091"/>
    <w:rsid w:val="006B44FD"/>
    <w:rsid w:val="006B452E"/>
    <w:rsid w:val="006B4C72"/>
    <w:rsid w:val="006B507F"/>
    <w:rsid w:val="006B522E"/>
    <w:rsid w:val="006B5DB7"/>
    <w:rsid w:val="006B6CE4"/>
    <w:rsid w:val="006B6DC7"/>
    <w:rsid w:val="006B734B"/>
    <w:rsid w:val="006B739D"/>
    <w:rsid w:val="006B7D71"/>
    <w:rsid w:val="006B7E03"/>
    <w:rsid w:val="006C051A"/>
    <w:rsid w:val="006C0949"/>
    <w:rsid w:val="006C0AB8"/>
    <w:rsid w:val="006C0BC9"/>
    <w:rsid w:val="006C123E"/>
    <w:rsid w:val="006C198E"/>
    <w:rsid w:val="006C1CEF"/>
    <w:rsid w:val="006C2646"/>
    <w:rsid w:val="006C2699"/>
    <w:rsid w:val="006C2A13"/>
    <w:rsid w:val="006C2B39"/>
    <w:rsid w:val="006C3207"/>
    <w:rsid w:val="006C3429"/>
    <w:rsid w:val="006C3618"/>
    <w:rsid w:val="006C462F"/>
    <w:rsid w:val="006C4689"/>
    <w:rsid w:val="006C4C76"/>
    <w:rsid w:val="006C4D07"/>
    <w:rsid w:val="006C5675"/>
    <w:rsid w:val="006C56FA"/>
    <w:rsid w:val="006C5AE3"/>
    <w:rsid w:val="006C5CA3"/>
    <w:rsid w:val="006C65DF"/>
    <w:rsid w:val="006C679E"/>
    <w:rsid w:val="006C6860"/>
    <w:rsid w:val="006C6B2B"/>
    <w:rsid w:val="006C6C71"/>
    <w:rsid w:val="006C70BC"/>
    <w:rsid w:val="006C78E2"/>
    <w:rsid w:val="006D00F5"/>
    <w:rsid w:val="006D08CF"/>
    <w:rsid w:val="006D0B56"/>
    <w:rsid w:val="006D0E10"/>
    <w:rsid w:val="006D1085"/>
    <w:rsid w:val="006D1174"/>
    <w:rsid w:val="006D1337"/>
    <w:rsid w:val="006D155D"/>
    <w:rsid w:val="006D1997"/>
    <w:rsid w:val="006D1FEF"/>
    <w:rsid w:val="006D250D"/>
    <w:rsid w:val="006D2AA7"/>
    <w:rsid w:val="006D2AA9"/>
    <w:rsid w:val="006D36FB"/>
    <w:rsid w:val="006D3846"/>
    <w:rsid w:val="006D400F"/>
    <w:rsid w:val="006D4110"/>
    <w:rsid w:val="006D4435"/>
    <w:rsid w:val="006D4834"/>
    <w:rsid w:val="006D4AE9"/>
    <w:rsid w:val="006D4E31"/>
    <w:rsid w:val="006D4EB5"/>
    <w:rsid w:val="006D54CD"/>
    <w:rsid w:val="006D562F"/>
    <w:rsid w:val="006D578E"/>
    <w:rsid w:val="006D5B54"/>
    <w:rsid w:val="006D5DE1"/>
    <w:rsid w:val="006D63CD"/>
    <w:rsid w:val="006D6622"/>
    <w:rsid w:val="006D6660"/>
    <w:rsid w:val="006D66C7"/>
    <w:rsid w:val="006D6EBE"/>
    <w:rsid w:val="006D7257"/>
    <w:rsid w:val="006D7866"/>
    <w:rsid w:val="006E03B4"/>
    <w:rsid w:val="006E0428"/>
    <w:rsid w:val="006E0925"/>
    <w:rsid w:val="006E1315"/>
    <w:rsid w:val="006E1A1E"/>
    <w:rsid w:val="006E1B7C"/>
    <w:rsid w:val="006E1BFB"/>
    <w:rsid w:val="006E1C53"/>
    <w:rsid w:val="006E2214"/>
    <w:rsid w:val="006E251B"/>
    <w:rsid w:val="006E292E"/>
    <w:rsid w:val="006E2A2C"/>
    <w:rsid w:val="006E3360"/>
    <w:rsid w:val="006E341A"/>
    <w:rsid w:val="006E37D7"/>
    <w:rsid w:val="006E3927"/>
    <w:rsid w:val="006E3CBF"/>
    <w:rsid w:val="006E42E0"/>
    <w:rsid w:val="006E4728"/>
    <w:rsid w:val="006E4AFD"/>
    <w:rsid w:val="006E51DB"/>
    <w:rsid w:val="006E52D8"/>
    <w:rsid w:val="006E598C"/>
    <w:rsid w:val="006E5DD8"/>
    <w:rsid w:val="006E6388"/>
    <w:rsid w:val="006E63BA"/>
    <w:rsid w:val="006E68D4"/>
    <w:rsid w:val="006E6F68"/>
    <w:rsid w:val="006E6FC8"/>
    <w:rsid w:val="006E7454"/>
    <w:rsid w:val="006E7827"/>
    <w:rsid w:val="006E7947"/>
    <w:rsid w:val="006F018F"/>
    <w:rsid w:val="006F02E2"/>
    <w:rsid w:val="006F0537"/>
    <w:rsid w:val="006F0582"/>
    <w:rsid w:val="006F0AFE"/>
    <w:rsid w:val="006F0BFA"/>
    <w:rsid w:val="006F1536"/>
    <w:rsid w:val="006F1C25"/>
    <w:rsid w:val="006F28EB"/>
    <w:rsid w:val="006F2EA4"/>
    <w:rsid w:val="006F3425"/>
    <w:rsid w:val="006F3806"/>
    <w:rsid w:val="006F3AF2"/>
    <w:rsid w:val="006F3B40"/>
    <w:rsid w:val="006F3C37"/>
    <w:rsid w:val="006F3DAA"/>
    <w:rsid w:val="006F45D7"/>
    <w:rsid w:val="006F4BD2"/>
    <w:rsid w:val="006F4C8C"/>
    <w:rsid w:val="006F4EDA"/>
    <w:rsid w:val="006F59EB"/>
    <w:rsid w:val="006F5AE8"/>
    <w:rsid w:val="006F5C36"/>
    <w:rsid w:val="006F5D40"/>
    <w:rsid w:val="006F67EF"/>
    <w:rsid w:val="006F6F3F"/>
    <w:rsid w:val="006F7024"/>
    <w:rsid w:val="006F7CD4"/>
    <w:rsid w:val="006F7FCA"/>
    <w:rsid w:val="007001C4"/>
    <w:rsid w:val="0070026A"/>
    <w:rsid w:val="007003DC"/>
    <w:rsid w:val="00700604"/>
    <w:rsid w:val="00700CF5"/>
    <w:rsid w:val="007012F2"/>
    <w:rsid w:val="0070143D"/>
    <w:rsid w:val="00701534"/>
    <w:rsid w:val="00701913"/>
    <w:rsid w:val="00701980"/>
    <w:rsid w:val="0070202C"/>
    <w:rsid w:val="007024CA"/>
    <w:rsid w:val="00702EC6"/>
    <w:rsid w:val="00702ECE"/>
    <w:rsid w:val="00703590"/>
    <w:rsid w:val="00703E8E"/>
    <w:rsid w:val="00704483"/>
    <w:rsid w:val="0070468F"/>
    <w:rsid w:val="00704C28"/>
    <w:rsid w:val="00704D4B"/>
    <w:rsid w:val="007050CB"/>
    <w:rsid w:val="00705303"/>
    <w:rsid w:val="007054A7"/>
    <w:rsid w:val="00705A71"/>
    <w:rsid w:val="00705F9F"/>
    <w:rsid w:val="00706379"/>
    <w:rsid w:val="00706D98"/>
    <w:rsid w:val="00706DA2"/>
    <w:rsid w:val="00706E3D"/>
    <w:rsid w:val="00706E58"/>
    <w:rsid w:val="00706F0D"/>
    <w:rsid w:val="007077F9"/>
    <w:rsid w:val="00707DA5"/>
    <w:rsid w:val="00707F0B"/>
    <w:rsid w:val="0071024C"/>
    <w:rsid w:val="00710448"/>
    <w:rsid w:val="007108A0"/>
    <w:rsid w:val="007108C8"/>
    <w:rsid w:val="007108DE"/>
    <w:rsid w:val="00710906"/>
    <w:rsid w:val="00710F95"/>
    <w:rsid w:val="00710FDE"/>
    <w:rsid w:val="007110E0"/>
    <w:rsid w:val="007117F9"/>
    <w:rsid w:val="00711B61"/>
    <w:rsid w:val="00711CC2"/>
    <w:rsid w:val="00711E60"/>
    <w:rsid w:val="00712363"/>
    <w:rsid w:val="007123A6"/>
    <w:rsid w:val="007127DA"/>
    <w:rsid w:val="00712A62"/>
    <w:rsid w:val="00712F63"/>
    <w:rsid w:val="0071326E"/>
    <w:rsid w:val="00713502"/>
    <w:rsid w:val="007135AC"/>
    <w:rsid w:val="00713757"/>
    <w:rsid w:val="00714376"/>
    <w:rsid w:val="00714852"/>
    <w:rsid w:val="0071514C"/>
    <w:rsid w:val="007157C9"/>
    <w:rsid w:val="007159C7"/>
    <w:rsid w:val="00715E81"/>
    <w:rsid w:val="007166B2"/>
    <w:rsid w:val="0071673A"/>
    <w:rsid w:val="00716877"/>
    <w:rsid w:val="007168CF"/>
    <w:rsid w:val="00716CAC"/>
    <w:rsid w:val="0071763B"/>
    <w:rsid w:val="0072059B"/>
    <w:rsid w:val="007208F7"/>
    <w:rsid w:val="00720FEF"/>
    <w:rsid w:val="00721933"/>
    <w:rsid w:val="00721B5F"/>
    <w:rsid w:val="007224E7"/>
    <w:rsid w:val="0072269E"/>
    <w:rsid w:val="007226B4"/>
    <w:rsid w:val="00722A5D"/>
    <w:rsid w:val="00722B74"/>
    <w:rsid w:val="00722CB6"/>
    <w:rsid w:val="00723825"/>
    <w:rsid w:val="007239D8"/>
    <w:rsid w:val="0072464C"/>
    <w:rsid w:val="00724AC6"/>
    <w:rsid w:val="00724BEA"/>
    <w:rsid w:val="00725C75"/>
    <w:rsid w:val="00726100"/>
    <w:rsid w:val="00726228"/>
    <w:rsid w:val="007264F6"/>
    <w:rsid w:val="00726762"/>
    <w:rsid w:val="00726BBA"/>
    <w:rsid w:val="00726F54"/>
    <w:rsid w:val="007271A4"/>
    <w:rsid w:val="007273BC"/>
    <w:rsid w:val="0072758F"/>
    <w:rsid w:val="00727655"/>
    <w:rsid w:val="007276B9"/>
    <w:rsid w:val="00727837"/>
    <w:rsid w:val="007278E1"/>
    <w:rsid w:val="00727C2B"/>
    <w:rsid w:val="00730373"/>
    <w:rsid w:val="007305F3"/>
    <w:rsid w:val="00730BE6"/>
    <w:rsid w:val="0073125F"/>
    <w:rsid w:val="00731436"/>
    <w:rsid w:val="007319ED"/>
    <w:rsid w:val="00732237"/>
    <w:rsid w:val="00732417"/>
    <w:rsid w:val="007324A2"/>
    <w:rsid w:val="00733110"/>
    <w:rsid w:val="00733661"/>
    <w:rsid w:val="007338E1"/>
    <w:rsid w:val="00733DA8"/>
    <w:rsid w:val="007340DE"/>
    <w:rsid w:val="007342F7"/>
    <w:rsid w:val="00734E06"/>
    <w:rsid w:val="00734E13"/>
    <w:rsid w:val="00734F8A"/>
    <w:rsid w:val="00735536"/>
    <w:rsid w:val="00735EA1"/>
    <w:rsid w:val="00736C0C"/>
    <w:rsid w:val="00736E03"/>
    <w:rsid w:val="00736ED8"/>
    <w:rsid w:val="00736F98"/>
    <w:rsid w:val="00737012"/>
    <w:rsid w:val="00737214"/>
    <w:rsid w:val="007372AA"/>
    <w:rsid w:val="0073748A"/>
    <w:rsid w:val="0073752A"/>
    <w:rsid w:val="007378BF"/>
    <w:rsid w:val="00737AD9"/>
    <w:rsid w:val="00737C35"/>
    <w:rsid w:val="00737E34"/>
    <w:rsid w:val="00737F2A"/>
    <w:rsid w:val="00737F55"/>
    <w:rsid w:val="0074127E"/>
    <w:rsid w:val="007414B6"/>
    <w:rsid w:val="007417D7"/>
    <w:rsid w:val="00741918"/>
    <w:rsid w:val="00741AAC"/>
    <w:rsid w:val="00741B27"/>
    <w:rsid w:val="007424C4"/>
    <w:rsid w:val="007424D2"/>
    <w:rsid w:val="00742975"/>
    <w:rsid w:val="00742A5E"/>
    <w:rsid w:val="00742BE5"/>
    <w:rsid w:val="00743382"/>
    <w:rsid w:val="00743A7B"/>
    <w:rsid w:val="00743D17"/>
    <w:rsid w:val="00744181"/>
    <w:rsid w:val="00744190"/>
    <w:rsid w:val="0074422A"/>
    <w:rsid w:val="007444B8"/>
    <w:rsid w:val="007446C3"/>
    <w:rsid w:val="00744951"/>
    <w:rsid w:val="00744952"/>
    <w:rsid w:val="00744F3D"/>
    <w:rsid w:val="0074520D"/>
    <w:rsid w:val="007455EB"/>
    <w:rsid w:val="007456E8"/>
    <w:rsid w:val="0074595D"/>
    <w:rsid w:val="00745C16"/>
    <w:rsid w:val="00745C4D"/>
    <w:rsid w:val="00745EF4"/>
    <w:rsid w:val="007464BD"/>
    <w:rsid w:val="00746689"/>
    <w:rsid w:val="0074671F"/>
    <w:rsid w:val="0074672D"/>
    <w:rsid w:val="00746865"/>
    <w:rsid w:val="00746905"/>
    <w:rsid w:val="00746ACA"/>
    <w:rsid w:val="007471A7"/>
    <w:rsid w:val="00747332"/>
    <w:rsid w:val="007473E7"/>
    <w:rsid w:val="00747476"/>
    <w:rsid w:val="007475E9"/>
    <w:rsid w:val="0074760F"/>
    <w:rsid w:val="00747743"/>
    <w:rsid w:val="00747832"/>
    <w:rsid w:val="0074795D"/>
    <w:rsid w:val="00747D1F"/>
    <w:rsid w:val="0075012F"/>
    <w:rsid w:val="0075051D"/>
    <w:rsid w:val="007505D9"/>
    <w:rsid w:val="007506C3"/>
    <w:rsid w:val="007508DA"/>
    <w:rsid w:val="00751E1F"/>
    <w:rsid w:val="00752794"/>
    <w:rsid w:val="00752C4C"/>
    <w:rsid w:val="007530D1"/>
    <w:rsid w:val="00753273"/>
    <w:rsid w:val="00753458"/>
    <w:rsid w:val="007541E7"/>
    <w:rsid w:val="007547BF"/>
    <w:rsid w:val="00754994"/>
    <w:rsid w:val="00754C12"/>
    <w:rsid w:val="00754CF9"/>
    <w:rsid w:val="00754F19"/>
    <w:rsid w:val="00755152"/>
    <w:rsid w:val="0075571A"/>
    <w:rsid w:val="00755E05"/>
    <w:rsid w:val="00755ED2"/>
    <w:rsid w:val="007562A6"/>
    <w:rsid w:val="007566F2"/>
    <w:rsid w:val="00756CB5"/>
    <w:rsid w:val="00756E1D"/>
    <w:rsid w:val="00757B13"/>
    <w:rsid w:val="00757C2E"/>
    <w:rsid w:val="007604B7"/>
    <w:rsid w:val="007606EF"/>
    <w:rsid w:val="00760ABC"/>
    <w:rsid w:val="00760E2A"/>
    <w:rsid w:val="007611BB"/>
    <w:rsid w:val="0076153E"/>
    <w:rsid w:val="007615FC"/>
    <w:rsid w:val="0076177D"/>
    <w:rsid w:val="00761DC8"/>
    <w:rsid w:val="00762D1C"/>
    <w:rsid w:val="0076326B"/>
    <w:rsid w:val="007632D7"/>
    <w:rsid w:val="0076364F"/>
    <w:rsid w:val="00763D4B"/>
    <w:rsid w:val="00764052"/>
    <w:rsid w:val="007640E0"/>
    <w:rsid w:val="00764584"/>
    <w:rsid w:val="00764689"/>
    <w:rsid w:val="007646A3"/>
    <w:rsid w:val="00764E19"/>
    <w:rsid w:val="007657B2"/>
    <w:rsid w:val="007659F4"/>
    <w:rsid w:val="00765C33"/>
    <w:rsid w:val="00765F9E"/>
    <w:rsid w:val="00766983"/>
    <w:rsid w:val="00766BB9"/>
    <w:rsid w:val="0076779D"/>
    <w:rsid w:val="00767A36"/>
    <w:rsid w:val="00767CA6"/>
    <w:rsid w:val="00770B5E"/>
    <w:rsid w:val="0077124E"/>
    <w:rsid w:val="00771643"/>
    <w:rsid w:val="0077167D"/>
    <w:rsid w:val="00771E2B"/>
    <w:rsid w:val="007726D4"/>
    <w:rsid w:val="00772B22"/>
    <w:rsid w:val="00772B26"/>
    <w:rsid w:val="007734AA"/>
    <w:rsid w:val="00773C3D"/>
    <w:rsid w:val="00773DDA"/>
    <w:rsid w:val="00774792"/>
    <w:rsid w:val="00774938"/>
    <w:rsid w:val="00774DBE"/>
    <w:rsid w:val="00775080"/>
    <w:rsid w:val="007759BA"/>
    <w:rsid w:val="00775C9C"/>
    <w:rsid w:val="00775D63"/>
    <w:rsid w:val="00775EFB"/>
    <w:rsid w:val="00776028"/>
    <w:rsid w:val="00776051"/>
    <w:rsid w:val="00776660"/>
    <w:rsid w:val="00776856"/>
    <w:rsid w:val="00776C15"/>
    <w:rsid w:val="00776EC1"/>
    <w:rsid w:val="0077727D"/>
    <w:rsid w:val="00777479"/>
    <w:rsid w:val="00777868"/>
    <w:rsid w:val="0077788F"/>
    <w:rsid w:val="00777A23"/>
    <w:rsid w:val="007800A7"/>
    <w:rsid w:val="00780233"/>
    <w:rsid w:val="007803FA"/>
    <w:rsid w:val="007804D5"/>
    <w:rsid w:val="00780650"/>
    <w:rsid w:val="00781726"/>
    <w:rsid w:val="00781831"/>
    <w:rsid w:val="00781B8F"/>
    <w:rsid w:val="00781CDE"/>
    <w:rsid w:val="00781E83"/>
    <w:rsid w:val="00782403"/>
    <w:rsid w:val="00782ACF"/>
    <w:rsid w:val="00782D4F"/>
    <w:rsid w:val="00783173"/>
    <w:rsid w:val="0078324A"/>
    <w:rsid w:val="00783910"/>
    <w:rsid w:val="00783A25"/>
    <w:rsid w:val="00783D87"/>
    <w:rsid w:val="00783E0D"/>
    <w:rsid w:val="00783F6B"/>
    <w:rsid w:val="00784285"/>
    <w:rsid w:val="00784B30"/>
    <w:rsid w:val="00784BBD"/>
    <w:rsid w:val="00784D1D"/>
    <w:rsid w:val="00784F58"/>
    <w:rsid w:val="00785123"/>
    <w:rsid w:val="0078576B"/>
    <w:rsid w:val="007857AF"/>
    <w:rsid w:val="00785A3A"/>
    <w:rsid w:val="00785E5C"/>
    <w:rsid w:val="00785E61"/>
    <w:rsid w:val="00785E7F"/>
    <w:rsid w:val="00785FDA"/>
    <w:rsid w:val="00785FEA"/>
    <w:rsid w:val="007861C1"/>
    <w:rsid w:val="00786874"/>
    <w:rsid w:val="00786B49"/>
    <w:rsid w:val="00786E63"/>
    <w:rsid w:val="00790A4E"/>
    <w:rsid w:val="00790AB9"/>
    <w:rsid w:val="00790BCE"/>
    <w:rsid w:val="00790DB5"/>
    <w:rsid w:val="00791009"/>
    <w:rsid w:val="007910FD"/>
    <w:rsid w:val="0079162A"/>
    <w:rsid w:val="0079163F"/>
    <w:rsid w:val="00791CCA"/>
    <w:rsid w:val="00791D0D"/>
    <w:rsid w:val="007921F7"/>
    <w:rsid w:val="007924C8"/>
    <w:rsid w:val="00792E0C"/>
    <w:rsid w:val="00792EA9"/>
    <w:rsid w:val="00793D15"/>
    <w:rsid w:val="007941A7"/>
    <w:rsid w:val="00794356"/>
    <w:rsid w:val="00794B31"/>
    <w:rsid w:val="00795596"/>
    <w:rsid w:val="007959B0"/>
    <w:rsid w:val="00796037"/>
    <w:rsid w:val="00796129"/>
    <w:rsid w:val="0079682B"/>
    <w:rsid w:val="00796E41"/>
    <w:rsid w:val="007970A4"/>
    <w:rsid w:val="007978F1"/>
    <w:rsid w:val="00797AD0"/>
    <w:rsid w:val="00797BA9"/>
    <w:rsid w:val="00797DB2"/>
    <w:rsid w:val="00797ED6"/>
    <w:rsid w:val="007A0244"/>
    <w:rsid w:val="007A02A2"/>
    <w:rsid w:val="007A0341"/>
    <w:rsid w:val="007A0614"/>
    <w:rsid w:val="007A0703"/>
    <w:rsid w:val="007A0BE8"/>
    <w:rsid w:val="007A0CD6"/>
    <w:rsid w:val="007A0FCF"/>
    <w:rsid w:val="007A102F"/>
    <w:rsid w:val="007A1651"/>
    <w:rsid w:val="007A1A13"/>
    <w:rsid w:val="007A1A25"/>
    <w:rsid w:val="007A1A99"/>
    <w:rsid w:val="007A1B51"/>
    <w:rsid w:val="007A21E6"/>
    <w:rsid w:val="007A289A"/>
    <w:rsid w:val="007A33F4"/>
    <w:rsid w:val="007A37BA"/>
    <w:rsid w:val="007A40C5"/>
    <w:rsid w:val="007A418C"/>
    <w:rsid w:val="007A41C5"/>
    <w:rsid w:val="007A4627"/>
    <w:rsid w:val="007A462B"/>
    <w:rsid w:val="007A4D95"/>
    <w:rsid w:val="007A5096"/>
    <w:rsid w:val="007A550A"/>
    <w:rsid w:val="007A56BE"/>
    <w:rsid w:val="007A5750"/>
    <w:rsid w:val="007A5830"/>
    <w:rsid w:val="007A5A42"/>
    <w:rsid w:val="007A6483"/>
    <w:rsid w:val="007A654C"/>
    <w:rsid w:val="007A712F"/>
    <w:rsid w:val="007A7C2C"/>
    <w:rsid w:val="007B0347"/>
    <w:rsid w:val="007B04F0"/>
    <w:rsid w:val="007B059E"/>
    <w:rsid w:val="007B073E"/>
    <w:rsid w:val="007B0962"/>
    <w:rsid w:val="007B0E26"/>
    <w:rsid w:val="007B109C"/>
    <w:rsid w:val="007B1518"/>
    <w:rsid w:val="007B1B31"/>
    <w:rsid w:val="007B1B3C"/>
    <w:rsid w:val="007B29A5"/>
    <w:rsid w:val="007B2A24"/>
    <w:rsid w:val="007B3621"/>
    <w:rsid w:val="007B3DF0"/>
    <w:rsid w:val="007B3E28"/>
    <w:rsid w:val="007B3ED7"/>
    <w:rsid w:val="007B4D86"/>
    <w:rsid w:val="007B5398"/>
    <w:rsid w:val="007B5DC0"/>
    <w:rsid w:val="007B5E16"/>
    <w:rsid w:val="007B6019"/>
    <w:rsid w:val="007B6749"/>
    <w:rsid w:val="007B6BD6"/>
    <w:rsid w:val="007B6CB7"/>
    <w:rsid w:val="007B70C4"/>
    <w:rsid w:val="007B7138"/>
    <w:rsid w:val="007B72B9"/>
    <w:rsid w:val="007B758C"/>
    <w:rsid w:val="007B7611"/>
    <w:rsid w:val="007B79ED"/>
    <w:rsid w:val="007B7E0B"/>
    <w:rsid w:val="007C0470"/>
    <w:rsid w:val="007C083B"/>
    <w:rsid w:val="007C0B4E"/>
    <w:rsid w:val="007C0C5A"/>
    <w:rsid w:val="007C1597"/>
    <w:rsid w:val="007C1C14"/>
    <w:rsid w:val="007C1CDD"/>
    <w:rsid w:val="007C231F"/>
    <w:rsid w:val="007C29DB"/>
    <w:rsid w:val="007C2F54"/>
    <w:rsid w:val="007C3127"/>
    <w:rsid w:val="007C35F3"/>
    <w:rsid w:val="007C39B6"/>
    <w:rsid w:val="007C3C69"/>
    <w:rsid w:val="007C3E2B"/>
    <w:rsid w:val="007C423A"/>
    <w:rsid w:val="007C4B3D"/>
    <w:rsid w:val="007C4BA7"/>
    <w:rsid w:val="007C4CCB"/>
    <w:rsid w:val="007C4D2B"/>
    <w:rsid w:val="007C512E"/>
    <w:rsid w:val="007C51EC"/>
    <w:rsid w:val="007C53C6"/>
    <w:rsid w:val="007C5C54"/>
    <w:rsid w:val="007C5CEE"/>
    <w:rsid w:val="007C5E45"/>
    <w:rsid w:val="007C5F41"/>
    <w:rsid w:val="007C620E"/>
    <w:rsid w:val="007C6C59"/>
    <w:rsid w:val="007C742B"/>
    <w:rsid w:val="007C788D"/>
    <w:rsid w:val="007C7CA9"/>
    <w:rsid w:val="007D0799"/>
    <w:rsid w:val="007D0F23"/>
    <w:rsid w:val="007D16FD"/>
    <w:rsid w:val="007D2210"/>
    <w:rsid w:val="007D2361"/>
    <w:rsid w:val="007D2389"/>
    <w:rsid w:val="007D2787"/>
    <w:rsid w:val="007D27E1"/>
    <w:rsid w:val="007D2A4B"/>
    <w:rsid w:val="007D2DF5"/>
    <w:rsid w:val="007D2EA0"/>
    <w:rsid w:val="007D362E"/>
    <w:rsid w:val="007D369B"/>
    <w:rsid w:val="007D36EE"/>
    <w:rsid w:val="007D3859"/>
    <w:rsid w:val="007D38EE"/>
    <w:rsid w:val="007D3A89"/>
    <w:rsid w:val="007D3BDC"/>
    <w:rsid w:val="007D40C1"/>
    <w:rsid w:val="007D413C"/>
    <w:rsid w:val="007D420D"/>
    <w:rsid w:val="007D4367"/>
    <w:rsid w:val="007D44B5"/>
    <w:rsid w:val="007D45AD"/>
    <w:rsid w:val="007D4A7F"/>
    <w:rsid w:val="007D4B2C"/>
    <w:rsid w:val="007D4E26"/>
    <w:rsid w:val="007D4F5C"/>
    <w:rsid w:val="007D5BAC"/>
    <w:rsid w:val="007D5C33"/>
    <w:rsid w:val="007D5E18"/>
    <w:rsid w:val="007D609D"/>
    <w:rsid w:val="007D6205"/>
    <w:rsid w:val="007D6418"/>
    <w:rsid w:val="007D797D"/>
    <w:rsid w:val="007D7B06"/>
    <w:rsid w:val="007D7F78"/>
    <w:rsid w:val="007E0B98"/>
    <w:rsid w:val="007E1307"/>
    <w:rsid w:val="007E1796"/>
    <w:rsid w:val="007E17FC"/>
    <w:rsid w:val="007E1925"/>
    <w:rsid w:val="007E1B1F"/>
    <w:rsid w:val="007E1B2D"/>
    <w:rsid w:val="007E2E08"/>
    <w:rsid w:val="007E2E2C"/>
    <w:rsid w:val="007E2F1D"/>
    <w:rsid w:val="007E30EA"/>
    <w:rsid w:val="007E35F5"/>
    <w:rsid w:val="007E3C43"/>
    <w:rsid w:val="007E3DC7"/>
    <w:rsid w:val="007E4291"/>
    <w:rsid w:val="007E42AF"/>
    <w:rsid w:val="007E46A8"/>
    <w:rsid w:val="007E4D52"/>
    <w:rsid w:val="007E4FB7"/>
    <w:rsid w:val="007E5104"/>
    <w:rsid w:val="007E567E"/>
    <w:rsid w:val="007E58C3"/>
    <w:rsid w:val="007E59E1"/>
    <w:rsid w:val="007E5BC3"/>
    <w:rsid w:val="007E5C0A"/>
    <w:rsid w:val="007E5E73"/>
    <w:rsid w:val="007E62CE"/>
    <w:rsid w:val="007E62EB"/>
    <w:rsid w:val="007E6385"/>
    <w:rsid w:val="007E6C82"/>
    <w:rsid w:val="007E6F86"/>
    <w:rsid w:val="007E70BC"/>
    <w:rsid w:val="007E71C9"/>
    <w:rsid w:val="007E78C8"/>
    <w:rsid w:val="007F010F"/>
    <w:rsid w:val="007F03AB"/>
    <w:rsid w:val="007F06E9"/>
    <w:rsid w:val="007F0ABF"/>
    <w:rsid w:val="007F1012"/>
    <w:rsid w:val="007F2081"/>
    <w:rsid w:val="007F2423"/>
    <w:rsid w:val="007F28AC"/>
    <w:rsid w:val="007F2AFB"/>
    <w:rsid w:val="007F367A"/>
    <w:rsid w:val="007F37BB"/>
    <w:rsid w:val="007F4376"/>
    <w:rsid w:val="007F5018"/>
    <w:rsid w:val="007F58D3"/>
    <w:rsid w:val="007F5C3C"/>
    <w:rsid w:val="007F5DD4"/>
    <w:rsid w:val="007F66C3"/>
    <w:rsid w:val="007F69A5"/>
    <w:rsid w:val="007F6D9B"/>
    <w:rsid w:val="007F7DFB"/>
    <w:rsid w:val="007F7FCE"/>
    <w:rsid w:val="0080001E"/>
    <w:rsid w:val="008000CF"/>
    <w:rsid w:val="00800583"/>
    <w:rsid w:val="00800D65"/>
    <w:rsid w:val="00800E0E"/>
    <w:rsid w:val="0080109D"/>
    <w:rsid w:val="008014E4"/>
    <w:rsid w:val="00801636"/>
    <w:rsid w:val="00802044"/>
    <w:rsid w:val="008023EB"/>
    <w:rsid w:val="0080263C"/>
    <w:rsid w:val="008029BB"/>
    <w:rsid w:val="00802A33"/>
    <w:rsid w:val="00802F85"/>
    <w:rsid w:val="00803D45"/>
    <w:rsid w:val="0080434C"/>
    <w:rsid w:val="00805377"/>
    <w:rsid w:val="008058D0"/>
    <w:rsid w:val="008058D2"/>
    <w:rsid w:val="00805AE5"/>
    <w:rsid w:val="00805BBE"/>
    <w:rsid w:val="00805C77"/>
    <w:rsid w:val="008060D2"/>
    <w:rsid w:val="008068AA"/>
    <w:rsid w:val="00806ABC"/>
    <w:rsid w:val="00806C56"/>
    <w:rsid w:val="0080711E"/>
    <w:rsid w:val="00807543"/>
    <w:rsid w:val="0080774F"/>
    <w:rsid w:val="0080786A"/>
    <w:rsid w:val="008079B2"/>
    <w:rsid w:val="00807A25"/>
    <w:rsid w:val="00807A7D"/>
    <w:rsid w:val="00807CDE"/>
    <w:rsid w:val="008101D8"/>
    <w:rsid w:val="008103D6"/>
    <w:rsid w:val="0081042D"/>
    <w:rsid w:val="00810567"/>
    <w:rsid w:val="00810981"/>
    <w:rsid w:val="008109EC"/>
    <w:rsid w:val="00810AC1"/>
    <w:rsid w:val="00811688"/>
    <w:rsid w:val="00811CEC"/>
    <w:rsid w:val="00812206"/>
    <w:rsid w:val="008127A1"/>
    <w:rsid w:val="00812836"/>
    <w:rsid w:val="00812A2F"/>
    <w:rsid w:val="00812AE2"/>
    <w:rsid w:val="00812D9F"/>
    <w:rsid w:val="00812FF9"/>
    <w:rsid w:val="00813440"/>
    <w:rsid w:val="008135EC"/>
    <w:rsid w:val="008136A6"/>
    <w:rsid w:val="00813CF9"/>
    <w:rsid w:val="00813FFF"/>
    <w:rsid w:val="008141F6"/>
    <w:rsid w:val="0081498C"/>
    <w:rsid w:val="00814A50"/>
    <w:rsid w:val="00814BB8"/>
    <w:rsid w:val="00814D21"/>
    <w:rsid w:val="00814D9B"/>
    <w:rsid w:val="00814E42"/>
    <w:rsid w:val="00815043"/>
    <w:rsid w:val="0081526B"/>
    <w:rsid w:val="008158E7"/>
    <w:rsid w:val="00815E99"/>
    <w:rsid w:val="00815FBE"/>
    <w:rsid w:val="00816333"/>
    <w:rsid w:val="00816440"/>
    <w:rsid w:val="00816650"/>
    <w:rsid w:val="008168E0"/>
    <w:rsid w:val="00816E47"/>
    <w:rsid w:val="00816EAE"/>
    <w:rsid w:val="00817723"/>
    <w:rsid w:val="008200AC"/>
    <w:rsid w:val="00820661"/>
    <w:rsid w:val="008206B4"/>
    <w:rsid w:val="00820E1A"/>
    <w:rsid w:val="00821091"/>
    <w:rsid w:val="00821536"/>
    <w:rsid w:val="00821542"/>
    <w:rsid w:val="0082163D"/>
    <w:rsid w:val="00821CA3"/>
    <w:rsid w:val="00821D14"/>
    <w:rsid w:val="00821F90"/>
    <w:rsid w:val="008221CD"/>
    <w:rsid w:val="00822565"/>
    <w:rsid w:val="00822620"/>
    <w:rsid w:val="00822D8F"/>
    <w:rsid w:val="008230B7"/>
    <w:rsid w:val="00823159"/>
    <w:rsid w:val="00823631"/>
    <w:rsid w:val="008238A7"/>
    <w:rsid w:val="00823E83"/>
    <w:rsid w:val="008245BF"/>
    <w:rsid w:val="008249C1"/>
    <w:rsid w:val="00824B32"/>
    <w:rsid w:val="00825009"/>
    <w:rsid w:val="008250DB"/>
    <w:rsid w:val="00825897"/>
    <w:rsid w:val="008262E5"/>
    <w:rsid w:val="00826992"/>
    <w:rsid w:val="00826E36"/>
    <w:rsid w:val="00826E92"/>
    <w:rsid w:val="00827079"/>
    <w:rsid w:val="00827121"/>
    <w:rsid w:val="00827199"/>
    <w:rsid w:val="008273B3"/>
    <w:rsid w:val="008273C2"/>
    <w:rsid w:val="0082742F"/>
    <w:rsid w:val="00827C4B"/>
    <w:rsid w:val="00827C5F"/>
    <w:rsid w:val="00827E56"/>
    <w:rsid w:val="00830808"/>
    <w:rsid w:val="008309A8"/>
    <w:rsid w:val="00830A39"/>
    <w:rsid w:val="00830C75"/>
    <w:rsid w:val="00830EC3"/>
    <w:rsid w:val="00831034"/>
    <w:rsid w:val="008311F3"/>
    <w:rsid w:val="008312E4"/>
    <w:rsid w:val="008316C9"/>
    <w:rsid w:val="00831FA5"/>
    <w:rsid w:val="0083220E"/>
    <w:rsid w:val="0083237C"/>
    <w:rsid w:val="0083243B"/>
    <w:rsid w:val="0083271A"/>
    <w:rsid w:val="00832DC1"/>
    <w:rsid w:val="00833F7A"/>
    <w:rsid w:val="00833FF4"/>
    <w:rsid w:val="008343C3"/>
    <w:rsid w:val="00834475"/>
    <w:rsid w:val="00834F71"/>
    <w:rsid w:val="00835276"/>
    <w:rsid w:val="008354E9"/>
    <w:rsid w:val="00835502"/>
    <w:rsid w:val="008355FD"/>
    <w:rsid w:val="00835B4D"/>
    <w:rsid w:val="00835EE9"/>
    <w:rsid w:val="008361FC"/>
    <w:rsid w:val="00836602"/>
    <w:rsid w:val="0083743B"/>
    <w:rsid w:val="0083764D"/>
    <w:rsid w:val="00837E35"/>
    <w:rsid w:val="00837E4D"/>
    <w:rsid w:val="00837E79"/>
    <w:rsid w:val="00837ECD"/>
    <w:rsid w:val="00840085"/>
    <w:rsid w:val="0084022F"/>
    <w:rsid w:val="00840600"/>
    <w:rsid w:val="00840648"/>
    <w:rsid w:val="00840CF3"/>
    <w:rsid w:val="00840D4D"/>
    <w:rsid w:val="008417E3"/>
    <w:rsid w:val="00842415"/>
    <w:rsid w:val="0084245B"/>
    <w:rsid w:val="0084259B"/>
    <w:rsid w:val="00842918"/>
    <w:rsid w:val="00842BAF"/>
    <w:rsid w:val="00842C34"/>
    <w:rsid w:val="0084345D"/>
    <w:rsid w:val="00843554"/>
    <w:rsid w:val="0084377F"/>
    <w:rsid w:val="00843B62"/>
    <w:rsid w:val="00843CB1"/>
    <w:rsid w:val="00844502"/>
    <w:rsid w:val="0084454E"/>
    <w:rsid w:val="008446A6"/>
    <w:rsid w:val="0084482A"/>
    <w:rsid w:val="008450D0"/>
    <w:rsid w:val="008455B6"/>
    <w:rsid w:val="008457A7"/>
    <w:rsid w:val="008458E5"/>
    <w:rsid w:val="00846593"/>
    <w:rsid w:val="00846AFB"/>
    <w:rsid w:val="00846BFA"/>
    <w:rsid w:val="00846E9B"/>
    <w:rsid w:val="008471FF"/>
    <w:rsid w:val="0084783C"/>
    <w:rsid w:val="008478BD"/>
    <w:rsid w:val="00851352"/>
    <w:rsid w:val="008514CA"/>
    <w:rsid w:val="00851B8E"/>
    <w:rsid w:val="00851EE1"/>
    <w:rsid w:val="008522F7"/>
    <w:rsid w:val="008529D8"/>
    <w:rsid w:val="00852CDB"/>
    <w:rsid w:val="008533C0"/>
    <w:rsid w:val="00853BFC"/>
    <w:rsid w:val="008545A5"/>
    <w:rsid w:val="008548B6"/>
    <w:rsid w:val="008549AE"/>
    <w:rsid w:val="00854D05"/>
    <w:rsid w:val="00855510"/>
    <w:rsid w:val="008556C2"/>
    <w:rsid w:val="00855AA4"/>
    <w:rsid w:val="00855DBA"/>
    <w:rsid w:val="0085640F"/>
    <w:rsid w:val="0085658F"/>
    <w:rsid w:val="00856959"/>
    <w:rsid w:val="00856D0E"/>
    <w:rsid w:val="00857B38"/>
    <w:rsid w:val="0086082B"/>
    <w:rsid w:val="00861B55"/>
    <w:rsid w:val="00861C18"/>
    <w:rsid w:val="00861D67"/>
    <w:rsid w:val="00861FDC"/>
    <w:rsid w:val="008625B4"/>
    <w:rsid w:val="00862C2F"/>
    <w:rsid w:val="00862C3F"/>
    <w:rsid w:val="00862E28"/>
    <w:rsid w:val="00863037"/>
    <w:rsid w:val="00863365"/>
    <w:rsid w:val="00863796"/>
    <w:rsid w:val="00863DB7"/>
    <w:rsid w:val="00863E28"/>
    <w:rsid w:val="00864543"/>
    <w:rsid w:val="00864C7A"/>
    <w:rsid w:val="00865197"/>
    <w:rsid w:val="00865633"/>
    <w:rsid w:val="00865A24"/>
    <w:rsid w:val="00865ECE"/>
    <w:rsid w:val="008660C6"/>
    <w:rsid w:val="008666C7"/>
    <w:rsid w:val="00866E00"/>
    <w:rsid w:val="00867894"/>
    <w:rsid w:val="00867F24"/>
    <w:rsid w:val="00870076"/>
    <w:rsid w:val="00870212"/>
    <w:rsid w:val="00870588"/>
    <w:rsid w:val="00870648"/>
    <w:rsid w:val="00870BC2"/>
    <w:rsid w:val="00870E95"/>
    <w:rsid w:val="00870E9F"/>
    <w:rsid w:val="00870ED8"/>
    <w:rsid w:val="008714ED"/>
    <w:rsid w:val="0087154C"/>
    <w:rsid w:val="00871615"/>
    <w:rsid w:val="00871A00"/>
    <w:rsid w:val="00871E51"/>
    <w:rsid w:val="0087223E"/>
    <w:rsid w:val="008725A7"/>
    <w:rsid w:val="00872A91"/>
    <w:rsid w:val="00872B0B"/>
    <w:rsid w:val="00872F86"/>
    <w:rsid w:val="008732FD"/>
    <w:rsid w:val="00873401"/>
    <w:rsid w:val="00873BA7"/>
    <w:rsid w:val="008742FB"/>
    <w:rsid w:val="0087455A"/>
    <w:rsid w:val="00874982"/>
    <w:rsid w:val="0087505D"/>
    <w:rsid w:val="00875267"/>
    <w:rsid w:val="00875603"/>
    <w:rsid w:val="0087572C"/>
    <w:rsid w:val="00875914"/>
    <w:rsid w:val="00876141"/>
    <w:rsid w:val="00876489"/>
    <w:rsid w:val="00876A9C"/>
    <w:rsid w:val="00876AB4"/>
    <w:rsid w:val="00876C7C"/>
    <w:rsid w:val="00876E59"/>
    <w:rsid w:val="00877446"/>
    <w:rsid w:val="008774E7"/>
    <w:rsid w:val="008775B8"/>
    <w:rsid w:val="00877A8A"/>
    <w:rsid w:val="00877B95"/>
    <w:rsid w:val="00877DFE"/>
    <w:rsid w:val="00877E73"/>
    <w:rsid w:val="008800B5"/>
    <w:rsid w:val="008802F4"/>
    <w:rsid w:val="00880426"/>
    <w:rsid w:val="008805C8"/>
    <w:rsid w:val="00880881"/>
    <w:rsid w:val="00880AFE"/>
    <w:rsid w:val="00881305"/>
    <w:rsid w:val="00881363"/>
    <w:rsid w:val="008813C7"/>
    <w:rsid w:val="00881D9E"/>
    <w:rsid w:val="00881EE3"/>
    <w:rsid w:val="00882E7C"/>
    <w:rsid w:val="00883143"/>
    <w:rsid w:val="0088388B"/>
    <w:rsid w:val="00883BCA"/>
    <w:rsid w:val="00883F7E"/>
    <w:rsid w:val="00884072"/>
    <w:rsid w:val="00884567"/>
    <w:rsid w:val="00884E38"/>
    <w:rsid w:val="00884EFE"/>
    <w:rsid w:val="008853A0"/>
    <w:rsid w:val="0088552B"/>
    <w:rsid w:val="008859C7"/>
    <w:rsid w:val="00885DFD"/>
    <w:rsid w:val="00886217"/>
    <w:rsid w:val="008863E2"/>
    <w:rsid w:val="00886661"/>
    <w:rsid w:val="008869E5"/>
    <w:rsid w:val="008871C0"/>
    <w:rsid w:val="00887256"/>
    <w:rsid w:val="008873E4"/>
    <w:rsid w:val="00887958"/>
    <w:rsid w:val="0089035D"/>
    <w:rsid w:val="00890547"/>
    <w:rsid w:val="008906AD"/>
    <w:rsid w:val="00890C2E"/>
    <w:rsid w:val="00890EE6"/>
    <w:rsid w:val="00891417"/>
    <w:rsid w:val="0089150C"/>
    <w:rsid w:val="00891CC2"/>
    <w:rsid w:val="00892698"/>
    <w:rsid w:val="00892790"/>
    <w:rsid w:val="008929F5"/>
    <w:rsid w:val="00892A24"/>
    <w:rsid w:val="00892E0F"/>
    <w:rsid w:val="00893082"/>
    <w:rsid w:val="00893280"/>
    <w:rsid w:val="0089364E"/>
    <w:rsid w:val="00893D0E"/>
    <w:rsid w:val="00893ED0"/>
    <w:rsid w:val="0089402A"/>
    <w:rsid w:val="0089411E"/>
    <w:rsid w:val="008943FB"/>
    <w:rsid w:val="00894DF3"/>
    <w:rsid w:val="0089576F"/>
    <w:rsid w:val="00895933"/>
    <w:rsid w:val="008959E7"/>
    <w:rsid w:val="0089648B"/>
    <w:rsid w:val="00896537"/>
    <w:rsid w:val="00896734"/>
    <w:rsid w:val="008975FF"/>
    <w:rsid w:val="00897B94"/>
    <w:rsid w:val="00897D81"/>
    <w:rsid w:val="00897F9D"/>
    <w:rsid w:val="008A01B8"/>
    <w:rsid w:val="008A0347"/>
    <w:rsid w:val="008A054C"/>
    <w:rsid w:val="008A0707"/>
    <w:rsid w:val="008A0815"/>
    <w:rsid w:val="008A0870"/>
    <w:rsid w:val="008A0C5A"/>
    <w:rsid w:val="008A1DE5"/>
    <w:rsid w:val="008A1EFB"/>
    <w:rsid w:val="008A24C1"/>
    <w:rsid w:val="008A27C5"/>
    <w:rsid w:val="008A2F1B"/>
    <w:rsid w:val="008A3018"/>
    <w:rsid w:val="008A3451"/>
    <w:rsid w:val="008A3596"/>
    <w:rsid w:val="008A39EF"/>
    <w:rsid w:val="008A3B8B"/>
    <w:rsid w:val="008A43A1"/>
    <w:rsid w:val="008A4803"/>
    <w:rsid w:val="008A4A3A"/>
    <w:rsid w:val="008A4A3E"/>
    <w:rsid w:val="008A4BD7"/>
    <w:rsid w:val="008A50C1"/>
    <w:rsid w:val="008A55B0"/>
    <w:rsid w:val="008A55C2"/>
    <w:rsid w:val="008A5F72"/>
    <w:rsid w:val="008A61B6"/>
    <w:rsid w:val="008A62E8"/>
    <w:rsid w:val="008A6C3B"/>
    <w:rsid w:val="008A6D9F"/>
    <w:rsid w:val="008A7153"/>
    <w:rsid w:val="008A72E6"/>
    <w:rsid w:val="008A7DDD"/>
    <w:rsid w:val="008A7EA1"/>
    <w:rsid w:val="008A7EBA"/>
    <w:rsid w:val="008B0698"/>
    <w:rsid w:val="008B06DF"/>
    <w:rsid w:val="008B0876"/>
    <w:rsid w:val="008B0A37"/>
    <w:rsid w:val="008B0AEA"/>
    <w:rsid w:val="008B0CD8"/>
    <w:rsid w:val="008B0FCD"/>
    <w:rsid w:val="008B1A9B"/>
    <w:rsid w:val="008B1AB7"/>
    <w:rsid w:val="008B1D83"/>
    <w:rsid w:val="008B1DB4"/>
    <w:rsid w:val="008B1EBE"/>
    <w:rsid w:val="008B21C4"/>
    <w:rsid w:val="008B2716"/>
    <w:rsid w:val="008B28AE"/>
    <w:rsid w:val="008B2D9C"/>
    <w:rsid w:val="008B2ED3"/>
    <w:rsid w:val="008B2F9D"/>
    <w:rsid w:val="008B35E1"/>
    <w:rsid w:val="008B3B36"/>
    <w:rsid w:val="008B3D31"/>
    <w:rsid w:val="008B45E7"/>
    <w:rsid w:val="008B4A57"/>
    <w:rsid w:val="008B4D80"/>
    <w:rsid w:val="008B4EAC"/>
    <w:rsid w:val="008B52AC"/>
    <w:rsid w:val="008B5711"/>
    <w:rsid w:val="008B5781"/>
    <w:rsid w:val="008B5808"/>
    <w:rsid w:val="008B5C72"/>
    <w:rsid w:val="008B636E"/>
    <w:rsid w:val="008B70A6"/>
    <w:rsid w:val="008B7128"/>
    <w:rsid w:val="008B71D8"/>
    <w:rsid w:val="008B722C"/>
    <w:rsid w:val="008B7405"/>
    <w:rsid w:val="008B7FCC"/>
    <w:rsid w:val="008C0321"/>
    <w:rsid w:val="008C043D"/>
    <w:rsid w:val="008C0878"/>
    <w:rsid w:val="008C0E35"/>
    <w:rsid w:val="008C0F97"/>
    <w:rsid w:val="008C0FCE"/>
    <w:rsid w:val="008C148B"/>
    <w:rsid w:val="008C1678"/>
    <w:rsid w:val="008C1999"/>
    <w:rsid w:val="008C1ED5"/>
    <w:rsid w:val="008C2126"/>
    <w:rsid w:val="008C2446"/>
    <w:rsid w:val="008C2646"/>
    <w:rsid w:val="008C266D"/>
    <w:rsid w:val="008C2904"/>
    <w:rsid w:val="008C31CF"/>
    <w:rsid w:val="008C31FD"/>
    <w:rsid w:val="008C329C"/>
    <w:rsid w:val="008C3582"/>
    <w:rsid w:val="008C3CF8"/>
    <w:rsid w:val="008C3FAD"/>
    <w:rsid w:val="008C4116"/>
    <w:rsid w:val="008C4531"/>
    <w:rsid w:val="008C49A2"/>
    <w:rsid w:val="008C4B0D"/>
    <w:rsid w:val="008C4CE2"/>
    <w:rsid w:val="008C4DBC"/>
    <w:rsid w:val="008C4DBF"/>
    <w:rsid w:val="008C5A41"/>
    <w:rsid w:val="008C5B92"/>
    <w:rsid w:val="008C5EE7"/>
    <w:rsid w:val="008C62E0"/>
    <w:rsid w:val="008C6519"/>
    <w:rsid w:val="008C660E"/>
    <w:rsid w:val="008C69D2"/>
    <w:rsid w:val="008C6C08"/>
    <w:rsid w:val="008C70E9"/>
    <w:rsid w:val="008C73A8"/>
    <w:rsid w:val="008C75DE"/>
    <w:rsid w:val="008C7710"/>
    <w:rsid w:val="008C777F"/>
    <w:rsid w:val="008C7B5C"/>
    <w:rsid w:val="008C7B84"/>
    <w:rsid w:val="008D001D"/>
    <w:rsid w:val="008D03AE"/>
    <w:rsid w:val="008D07EA"/>
    <w:rsid w:val="008D07ED"/>
    <w:rsid w:val="008D089A"/>
    <w:rsid w:val="008D0CE8"/>
    <w:rsid w:val="008D0DD5"/>
    <w:rsid w:val="008D11EE"/>
    <w:rsid w:val="008D1375"/>
    <w:rsid w:val="008D1B9F"/>
    <w:rsid w:val="008D1D19"/>
    <w:rsid w:val="008D278D"/>
    <w:rsid w:val="008D309A"/>
    <w:rsid w:val="008D3200"/>
    <w:rsid w:val="008D33E2"/>
    <w:rsid w:val="008D36DE"/>
    <w:rsid w:val="008D4095"/>
    <w:rsid w:val="008D4BE2"/>
    <w:rsid w:val="008D4F62"/>
    <w:rsid w:val="008D5244"/>
    <w:rsid w:val="008D53C0"/>
    <w:rsid w:val="008D5474"/>
    <w:rsid w:val="008D5626"/>
    <w:rsid w:val="008D5ABE"/>
    <w:rsid w:val="008D5B9D"/>
    <w:rsid w:val="008D680D"/>
    <w:rsid w:val="008D731C"/>
    <w:rsid w:val="008D77BD"/>
    <w:rsid w:val="008D7F1D"/>
    <w:rsid w:val="008E027E"/>
    <w:rsid w:val="008E07CC"/>
    <w:rsid w:val="008E0BCA"/>
    <w:rsid w:val="008E0E95"/>
    <w:rsid w:val="008E150C"/>
    <w:rsid w:val="008E1A73"/>
    <w:rsid w:val="008E1DE6"/>
    <w:rsid w:val="008E32C0"/>
    <w:rsid w:val="008E33B3"/>
    <w:rsid w:val="008E3449"/>
    <w:rsid w:val="008E3D66"/>
    <w:rsid w:val="008E4059"/>
    <w:rsid w:val="008E40AD"/>
    <w:rsid w:val="008E44F7"/>
    <w:rsid w:val="008E4A5A"/>
    <w:rsid w:val="008E4F84"/>
    <w:rsid w:val="008E54CB"/>
    <w:rsid w:val="008E5564"/>
    <w:rsid w:val="008E5648"/>
    <w:rsid w:val="008E57B2"/>
    <w:rsid w:val="008E57CC"/>
    <w:rsid w:val="008E57CF"/>
    <w:rsid w:val="008E644A"/>
    <w:rsid w:val="008E6CA3"/>
    <w:rsid w:val="008E6D8E"/>
    <w:rsid w:val="008E7056"/>
    <w:rsid w:val="008E71C3"/>
    <w:rsid w:val="008E74D5"/>
    <w:rsid w:val="008E7931"/>
    <w:rsid w:val="008E7AAB"/>
    <w:rsid w:val="008E7B37"/>
    <w:rsid w:val="008E7E02"/>
    <w:rsid w:val="008F0180"/>
    <w:rsid w:val="008F01D2"/>
    <w:rsid w:val="008F07D3"/>
    <w:rsid w:val="008F0D7A"/>
    <w:rsid w:val="008F1005"/>
    <w:rsid w:val="008F1081"/>
    <w:rsid w:val="008F12A9"/>
    <w:rsid w:val="008F1434"/>
    <w:rsid w:val="008F1AA7"/>
    <w:rsid w:val="008F20B9"/>
    <w:rsid w:val="008F21F3"/>
    <w:rsid w:val="008F2601"/>
    <w:rsid w:val="008F2A3E"/>
    <w:rsid w:val="008F2D9B"/>
    <w:rsid w:val="008F2EE0"/>
    <w:rsid w:val="008F2FBA"/>
    <w:rsid w:val="008F3212"/>
    <w:rsid w:val="008F3246"/>
    <w:rsid w:val="008F34A7"/>
    <w:rsid w:val="008F3E0F"/>
    <w:rsid w:val="008F485B"/>
    <w:rsid w:val="008F4C19"/>
    <w:rsid w:val="008F4EB7"/>
    <w:rsid w:val="008F5351"/>
    <w:rsid w:val="008F5911"/>
    <w:rsid w:val="008F59FF"/>
    <w:rsid w:val="008F729B"/>
    <w:rsid w:val="008F72ED"/>
    <w:rsid w:val="008F7429"/>
    <w:rsid w:val="008F74CF"/>
    <w:rsid w:val="008F76C5"/>
    <w:rsid w:val="008F7967"/>
    <w:rsid w:val="008F798F"/>
    <w:rsid w:val="008F7BDB"/>
    <w:rsid w:val="008F7BDD"/>
    <w:rsid w:val="00900018"/>
    <w:rsid w:val="009003CF"/>
    <w:rsid w:val="00900543"/>
    <w:rsid w:val="009007A9"/>
    <w:rsid w:val="00900A5A"/>
    <w:rsid w:val="00900D0A"/>
    <w:rsid w:val="00900FEA"/>
    <w:rsid w:val="0090106F"/>
    <w:rsid w:val="0090134F"/>
    <w:rsid w:val="00901377"/>
    <w:rsid w:val="00901520"/>
    <w:rsid w:val="00901807"/>
    <w:rsid w:val="009022CC"/>
    <w:rsid w:val="00902457"/>
    <w:rsid w:val="00903004"/>
    <w:rsid w:val="00903301"/>
    <w:rsid w:val="0090356A"/>
    <w:rsid w:val="0090358C"/>
    <w:rsid w:val="00903A30"/>
    <w:rsid w:val="00903B65"/>
    <w:rsid w:val="00903C6D"/>
    <w:rsid w:val="00903E4E"/>
    <w:rsid w:val="009043AF"/>
    <w:rsid w:val="009044D5"/>
    <w:rsid w:val="009047CE"/>
    <w:rsid w:val="00904F4D"/>
    <w:rsid w:val="009051D3"/>
    <w:rsid w:val="00905608"/>
    <w:rsid w:val="00905A68"/>
    <w:rsid w:val="00905AB4"/>
    <w:rsid w:val="0090633F"/>
    <w:rsid w:val="00906AB2"/>
    <w:rsid w:val="00906F72"/>
    <w:rsid w:val="009071F9"/>
    <w:rsid w:val="009077C6"/>
    <w:rsid w:val="00907AAF"/>
    <w:rsid w:val="00907C06"/>
    <w:rsid w:val="0091043A"/>
    <w:rsid w:val="00910B9E"/>
    <w:rsid w:val="00910D78"/>
    <w:rsid w:val="00910F4A"/>
    <w:rsid w:val="00911244"/>
    <w:rsid w:val="0091125F"/>
    <w:rsid w:val="0091131E"/>
    <w:rsid w:val="00911576"/>
    <w:rsid w:val="00912642"/>
    <w:rsid w:val="009126B4"/>
    <w:rsid w:val="00912B05"/>
    <w:rsid w:val="00912E35"/>
    <w:rsid w:val="0091387A"/>
    <w:rsid w:val="009139D1"/>
    <w:rsid w:val="00913A61"/>
    <w:rsid w:val="00913B4E"/>
    <w:rsid w:val="00913DC8"/>
    <w:rsid w:val="00913E4A"/>
    <w:rsid w:val="009140F4"/>
    <w:rsid w:val="0091483A"/>
    <w:rsid w:val="00914B74"/>
    <w:rsid w:val="00914FAA"/>
    <w:rsid w:val="00914FFC"/>
    <w:rsid w:val="009153F5"/>
    <w:rsid w:val="00915414"/>
    <w:rsid w:val="00915752"/>
    <w:rsid w:val="0091576A"/>
    <w:rsid w:val="009158EB"/>
    <w:rsid w:val="0091592A"/>
    <w:rsid w:val="0091592C"/>
    <w:rsid w:val="00916234"/>
    <w:rsid w:val="00916702"/>
    <w:rsid w:val="00916C79"/>
    <w:rsid w:val="0091794D"/>
    <w:rsid w:val="00917A36"/>
    <w:rsid w:val="00917B4E"/>
    <w:rsid w:val="00917BE7"/>
    <w:rsid w:val="009203E2"/>
    <w:rsid w:val="00920429"/>
    <w:rsid w:val="0092045A"/>
    <w:rsid w:val="00920758"/>
    <w:rsid w:val="009208BE"/>
    <w:rsid w:val="009208E3"/>
    <w:rsid w:val="00920C65"/>
    <w:rsid w:val="00920C89"/>
    <w:rsid w:val="00920F57"/>
    <w:rsid w:val="00921847"/>
    <w:rsid w:val="0092192C"/>
    <w:rsid w:val="00922745"/>
    <w:rsid w:val="009227F0"/>
    <w:rsid w:val="00922808"/>
    <w:rsid w:val="00922AA4"/>
    <w:rsid w:val="0092390E"/>
    <w:rsid w:val="00923B5A"/>
    <w:rsid w:val="00923BB0"/>
    <w:rsid w:val="00923F43"/>
    <w:rsid w:val="0092473C"/>
    <w:rsid w:val="00924A6D"/>
    <w:rsid w:val="00924DA6"/>
    <w:rsid w:val="00924E5D"/>
    <w:rsid w:val="009250F4"/>
    <w:rsid w:val="0092555A"/>
    <w:rsid w:val="009255C6"/>
    <w:rsid w:val="00925C45"/>
    <w:rsid w:val="00925DBA"/>
    <w:rsid w:val="0092619F"/>
    <w:rsid w:val="009266D4"/>
    <w:rsid w:val="00926E22"/>
    <w:rsid w:val="00927149"/>
    <w:rsid w:val="0092746A"/>
    <w:rsid w:val="00927477"/>
    <w:rsid w:val="0092780B"/>
    <w:rsid w:val="00927CED"/>
    <w:rsid w:val="00927E88"/>
    <w:rsid w:val="009300ED"/>
    <w:rsid w:val="009307C5"/>
    <w:rsid w:val="00930E3E"/>
    <w:rsid w:val="00930E51"/>
    <w:rsid w:val="00930FDE"/>
    <w:rsid w:val="0093137F"/>
    <w:rsid w:val="009315CA"/>
    <w:rsid w:val="009317FE"/>
    <w:rsid w:val="00931F4E"/>
    <w:rsid w:val="00932425"/>
    <w:rsid w:val="009327F4"/>
    <w:rsid w:val="00932ACD"/>
    <w:rsid w:val="00932C25"/>
    <w:rsid w:val="00932DD9"/>
    <w:rsid w:val="00933175"/>
    <w:rsid w:val="00933410"/>
    <w:rsid w:val="00933F43"/>
    <w:rsid w:val="00934046"/>
    <w:rsid w:val="009356A0"/>
    <w:rsid w:val="009357C7"/>
    <w:rsid w:val="009358B2"/>
    <w:rsid w:val="00935956"/>
    <w:rsid w:val="00935ECE"/>
    <w:rsid w:val="009369A5"/>
    <w:rsid w:val="009369AD"/>
    <w:rsid w:val="00936AB6"/>
    <w:rsid w:val="00936BB8"/>
    <w:rsid w:val="00936E67"/>
    <w:rsid w:val="009371A7"/>
    <w:rsid w:val="00937319"/>
    <w:rsid w:val="0093762F"/>
    <w:rsid w:val="0093773C"/>
    <w:rsid w:val="00937BDA"/>
    <w:rsid w:val="00937E2C"/>
    <w:rsid w:val="00937E85"/>
    <w:rsid w:val="009406A4"/>
    <w:rsid w:val="009409B5"/>
    <w:rsid w:val="00940E33"/>
    <w:rsid w:val="009410BE"/>
    <w:rsid w:val="009410F5"/>
    <w:rsid w:val="009425A4"/>
    <w:rsid w:val="0094268B"/>
    <w:rsid w:val="00942C9C"/>
    <w:rsid w:val="00942EBB"/>
    <w:rsid w:val="0094303F"/>
    <w:rsid w:val="009430E0"/>
    <w:rsid w:val="009433BF"/>
    <w:rsid w:val="009434CD"/>
    <w:rsid w:val="009437C9"/>
    <w:rsid w:val="009437D0"/>
    <w:rsid w:val="009437E9"/>
    <w:rsid w:val="009439DC"/>
    <w:rsid w:val="00943AA5"/>
    <w:rsid w:val="00943CDD"/>
    <w:rsid w:val="00943DD8"/>
    <w:rsid w:val="00944764"/>
    <w:rsid w:val="009447BF"/>
    <w:rsid w:val="00944B18"/>
    <w:rsid w:val="00945516"/>
    <w:rsid w:val="009455D2"/>
    <w:rsid w:val="0094667A"/>
    <w:rsid w:val="009477E8"/>
    <w:rsid w:val="00947F0E"/>
    <w:rsid w:val="0095025F"/>
    <w:rsid w:val="00950281"/>
    <w:rsid w:val="0095049B"/>
    <w:rsid w:val="00950527"/>
    <w:rsid w:val="00951146"/>
    <w:rsid w:val="009519B8"/>
    <w:rsid w:val="00951D0D"/>
    <w:rsid w:val="00951D79"/>
    <w:rsid w:val="00951FF6"/>
    <w:rsid w:val="009520F4"/>
    <w:rsid w:val="00952138"/>
    <w:rsid w:val="00952533"/>
    <w:rsid w:val="009529E5"/>
    <w:rsid w:val="00952DC9"/>
    <w:rsid w:val="00952F38"/>
    <w:rsid w:val="00953509"/>
    <w:rsid w:val="009535FA"/>
    <w:rsid w:val="0095361B"/>
    <w:rsid w:val="00953C55"/>
    <w:rsid w:val="00953E9E"/>
    <w:rsid w:val="00953EF2"/>
    <w:rsid w:val="00954BB7"/>
    <w:rsid w:val="009550CA"/>
    <w:rsid w:val="0095532A"/>
    <w:rsid w:val="00955673"/>
    <w:rsid w:val="00955704"/>
    <w:rsid w:val="009558A0"/>
    <w:rsid w:val="009558A3"/>
    <w:rsid w:val="00955909"/>
    <w:rsid w:val="009559E6"/>
    <w:rsid w:val="00955C4A"/>
    <w:rsid w:val="00955D0A"/>
    <w:rsid w:val="00956AAF"/>
    <w:rsid w:val="0095709B"/>
    <w:rsid w:val="00957496"/>
    <w:rsid w:val="00957643"/>
    <w:rsid w:val="00957886"/>
    <w:rsid w:val="009578EB"/>
    <w:rsid w:val="00960179"/>
    <w:rsid w:val="00960789"/>
    <w:rsid w:val="00960BA0"/>
    <w:rsid w:val="00961301"/>
    <w:rsid w:val="009613E7"/>
    <w:rsid w:val="00961562"/>
    <w:rsid w:val="009615B3"/>
    <w:rsid w:val="00961918"/>
    <w:rsid w:val="00961AFC"/>
    <w:rsid w:val="00961B03"/>
    <w:rsid w:val="00961CF7"/>
    <w:rsid w:val="009620A2"/>
    <w:rsid w:val="009621F1"/>
    <w:rsid w:val="009622D9"/>
    <w:rsid w:val="009624E5"/>
    <w:rsid w:val="00962508"/>
    <w:rsid w:val="009628F4"/>
    <w:rsid w:val="00962DDB"/>
    <w:rsid w:val="009631C9"/>
    <w:rsid w:val="009633D4"/>
    <w:rsid w:val="009633FB"/>
    <w:rsid w:val="009634CD"/>
    <w:rsid w:val="00963508"/>
    <w:rsid w:val="00963A8E"/>
    <w:rsid w:val="00963BBB"/>
    <w:rsid w:val="009642BC"/>
    <w:rsid w:val="0096436A"/>
    <w:rsid w:val="0096475D"/>
    <w:rsid w:val="00964A98"/>
    <w:rsid w:val="0096524A"/>
    <w:rsid w:val="0096541D"/>
    <w:rsid w:val="00965548"/>
    <w:rsid w:val="009655A1"/>
    <w:rsid w:val="00965950"/>
    <w:rsid w:val="009660C7"/>
    <w:rsid w:val="009661B9"/>
    <w:rsid w:val="00966334"/>
    <w:rsid w:val="00966718"/>
    <w:rsid w:val="0096671E"/>
    <w:rsid w:val="009668F4"/>
    <w:rsid w:val="00966913"/>
    <w:rsid w:val="00966931"/>
    <w:rsid w:val="009669C4"/>
    <w:rsid w:val="009669D9"/>
    <w:rsid w:val="00966B68"/>
    <w:rsid w:val="00967B85"/>
    <w:rsid w:val="00970E79"/>
    <w:rsid w:val="00970F0E"/>
    <w:rsid w:val="00970F6C"/>
    <w:rsid w:val="00970FCE"/>
    <w:rsid w:val="00971663"/>
    <w:rsid w:val="00971735"/>
    <w:rsid w:val="009720C0"/>
    <w:rsid w:val="009725CC"/>
    <w:rsid w:val="00972FCD"/>
    <w:rsid w:val="009737FD"/>
    <w:rsid w:val="00973C69"/>
    <w:rsid w:val="00973E5F"/>
    <w:rsid w:val="00974064"/>
    <w:rsid w:val="009740E8"/>
    <w:rsid w:val="00974751"/>
    <w:rsid w:val="00974C81"/>
    <w:rsid w:val="00974FAA"/>
    <w:rsid w:val="00975020"/>
    <w:rsid w:val="00975BAE"/>
    <w:rsid w:val="00975E9C"/>
    <w:rsid w:val="00976027"/>
    <w:rsid w:val="009764EE"/>
    <w:rsid w:val="00976748"/>
    <w:rsid w:val="00976CE4"/>
    <w:rsid w:val="00976DB9"/>
    <w:rsid w:val="0097745C"/>
    <w:rsid w:val="009779D5"/>
    <w:rsid w:val="00980507"/>
    <w:rsid w:val="00980633"/>
    <w:rsid w:val="00980B4E"/>
    <w:rsid w:val="00980B62"/>
    <w:rsid w:val="009815C5"/>
    <w:rsid w:val="0098197F"/>
    <w:rsid w:val="00981B25"/>
    <w:rsid w:val="00982163"/>
    <w:rsid w:val="009821B6"/>
    <w:rsid w:val="009824B4"/>
    <w:rsid w:val="00982D5F"/>
    <w:rsid w:val="00983A41"/>
    <w:rsid w:val="00983D9F"/>
    <w:rsid w:val="00984315"/>
    <w:rsid w:val="00984789"/>
    <w:rsid w:val="0098499F"/>
    <w:rsid w:val="0098502A"/>
    <w:rsid w:val="009854C1"/>
    <w:rsid w:val="00985C0B"/>
    <w:rsid w:val="00986214"/>
    <w:rsid w:val="009862F8"/>
    <w:rsid w:val="0098726E"/>
    <w:rsid w:val="009873DA"/>
    <w:rsid w:val="009874D9"/>
    <w:rsid w:val="00987782"/>
    <w:rsid w:val="00987C8A"/>
    <w:rsid w:val="009906ED"/>
    <w:rsid w:val="00990E39"/>
    <w:rsid w:val="00991142"/>
    <w:rsid w:val="00991D72"/>
    <w:rsid w:val="00991D7F"/>
    <w:rsid w:val="009921FE"/>
    <w:rsid w:val="009925B6"/>
    <w:rsid w:val="00992777"/>
    <w:rsid w:val="00992C85"/>
    <w:rsid w:val="00992F36"/>
    <w:rsid w:val="00993040"/>
    <w:rsid w:val="009930AD"/>
    <w:rsid w:val="009934BE"/>
    <w:rsid w:val="0099392B"/>
    <w:rsid w:val="00993A33"/>
    <w:rsid w:val="00993B39"/>
    <w:rsid w:val="00993BA0"/>
    <w:rsid w:val="00993D7F"/>
    <w:rsid w:val="00993E99"/>
    <w:rsid w:val="00994275"/>
    <w:rsid w:val="0099444D"/>
    <w:rsid w:val="0099448B"/>
    <w:rsid w:val="00994570"/>
    <w:rsid w:val="00994A3D"/>
    <w:rsid w:val="00995105"/>
    <w:rsid w:val="009953E6"/>
    <w:rsid w:val="009957A3"/>
    <w:rsid w:val="00996040"/>
    <w:rsid w:val="009966F5"/>
    <w:rsid w:val="0099788E"/>
    <w:rsid w:val="00997AC7"/>
    <w:rsid w:val="00997B37"/>
    <w:rsid w:val="00997F15"/>
    <w:rsid w:val="009A006C"/>
    <w:rsid w:val="009A0109"/>
    <w:rsid w:val="009A02B0"/>
    <w:rsid w:val="009A07A6"/>
    <w:rsid w:val="009A0A08"/>
    <w:rsid w:val="009A0A65"/>
    <w:rsid w:val="009A0E4A"/>
    <w:rsid w:val="009A0EAD"/>
    <w:rsid w:val="009A0EFF"/>
    <w:rsid w:val="009A1268"/>
    <w:rsid w:val="009A161C"/>
    <w:rsid w:val="009A1B16"/>
    <w:rsid w:val="009A21A2"/>
    <w:rsid w:val="009A22B9"/>
    <w:rsid w:val="009A286B"/>
    <w:rsid w:val="009A2A7D"/>
    <w:rsid w:val="009A2BCE"/>
    <w:rsid w:val="009A2C41"/>
    <w:rsid w:val="009A2D9B"/>
    <w:rsid w:val="009A3872"/>
    <w:rsid w:val="009A3B30"/>
    <w:rsid w:val="009A3FCE"/>
    <w:rsid w:val="009A415B"/>
    <w:rsid w:val="009A4369"/>
    <w:rsid w:val="009A4444"/>
    <w:rsid w:val="009A4B61"/>
    <w:rsid w:val="009A5142"/>
    <w:rsid w:val="009A5530"/>
    <w:rsid w:val="009A56D0"/>
    <w:rsid w:val="009A5B14"/>
    <w:rsid w:val="009A5C2A"/>
    <w:rsid w:val="009A5CBE"/>
    <w:rsid w:val="009A5DD4"/>
    <w:rsid w:val="009A600C"/>
    <w:rsid w:val="009A6477"/>
    <w:rsid w:val="009A6658"/>
    <w:rsid w:val="009A67F0"/>
    <w:rsid w:val="009A6975"/>
    <w:rsid w:val="009A6BE3"/>
    <w:rsid w:val="009A70B6"/>
    <w:rsid w:val="009A73E2"/>
    <w:rsid w:val="009A7623"/>
    <w:rsid w:val="009A7A9A"/>
    <w:rsid w:val="009A7F37"/>
    <w:rsid w:val="009A7F6A"/>
    <w:rsid w:val="009B05C5"/>
    <w:rsid w:val="009B09D7"/>
    <w:rsid w:val="009B0DFD"/>
    <w:rsid w:val="009B0FB6"/>
    <w:rsid w:val="009B1314"/>
    <w:rsid w:val="009B13B6"/>
    <w:rsid w:val="009B1946"/>
    <w:rsid w:val="009B1B5E"/>
    <w:rsid w:val="009B1CD5"/>
    <w:rsid w:val="009B1FAA"/>
    <w:rsid w:val="009B1FEB"/>
    <w:rsid w:val="009B2068"/>
    <w:rsid w:val="009B20C0"/>
    <w:rsid w:val="009B21BB"/>
    <w:rsid w:val="009B2279"/>
    <w:rsid w:val="009B29BA"/>
    <w:rsid w:val="009B32EF"/>
    <w:rsid w:val="009B356A"/>
    <w:rsid w:val="009B375F"/>
    <w:rsid w:val="009B3863"/>
    <w:rsid w:val="009B3BF5"/>
    <w:rsid w:val="009B4378"/>
    <w:rsid w:val="009B4471"/>
    <w:rsid w:val="009B4929"/>
    <w:rsid w:val="009B4E4D"/>
    <w:rsid w:val="009B505E"/>
    <w:rsid w:val="009B52D5"/>
    <w:rsid w:val="009B52DD"/>
    <w:rsid w:val="009B5395"/>
    <w:rsid w:val="009B5A85"/>
    <w:rsid w:val="009B5C5C"/>
    <w:rsid w:val="009B63BB"/>
    <w:rsid w:val="009B644B"/>
    <w:rsid w:val="009B7551"/>
    <w:rsid w:val="009B7580"/>
    <w:rsid w:val="009B7A4D"/>
    <w:rsid w:val="009B7C46"/>
    <w:rsid w:val="009B7E2D"/>
    <w:rsid w:val="009C0067"/>
    <w:rsid w:val="009C04C3"/>
    <w:rsid w:val="009C04CD"/>
    <w:rsid w:val="009C0ABD"/>
    <w:rsid w:val="009C0BFE"/>
    <w:rsid w:val="009C159A"/>
    <w:rsid w:val="009C16D0"/>
    <w:rsid w:val="009C17E4"/>
    <w:rsid w:val="009C1E2D"/>
    <w:rsid w:val="009C21E0"/>
    <w:rsid w:val="009C255B"/>
    <w:rsid w:val="009C2875"/>
    <w:rsid w:val="009C2897"/>
    <w:rsid w:val="009C2968"/>
    <w:rsid w:val="009C2C9E"/>
    <w:rsid w:val="009C2E19"/>
    <w:rsid w:val="009C2E54"/>
    <w:rsid w:val="009C2EE0"/>
    <w:rsid w:val="009C2F94"/>
    <w:rsid w:val="009C302B"/>
    <w:rsid w:val="009C316E"/>
    <w:rsid w:val="009C34E9"/>
    <w:rsid w:val="009C3687"/>
    <w:rsid w:val="009C4019"/>
    <w:rsid w:val="009C409C"/>
    <w:rsid w:val="009C421E"/>
    <w:rsid w:val="009C47EA"/>
    <w:rsid w:val="009C4AD9"/>
    <w:rsid w:val="009C4B80"/>
    <w:rsid w:val="009C53FA"/>
    <w:rsid w:val="009C555B"/>
    <w:rsid w:val="009C585B"/>
    <w:rsid w:val="009C5F7B"/>
    <w:rsid w:val="009C62CD"/>
    <w:rsid w:val="009C648D"/>
    <w:rsid w:val="009C78FB"/>
    <w:rsid w:val="009D005C"/>
    <w:rsid w:val="009D019E"/>
    <w:rsid w:val="009D028D"/>
    <w:rsid w:val="009D0CAA"/>
    <w:rsid w:val="009D1092"/>
    <w:rsid w:val="009D11EE"/>
    <w:rsid w:val="009D177B"/>
    <w:rsid w:val="009D1843"/>
    <w:rsid w:val="009D18C1"/>
    <w:rsid w:val="009D1C2C"/>
    <w:rsid w:val="009D1EE0"/>
    <w:rsid w:val="009D204F"/>
    <w:rsid w:val="009D22EF"/>
    <w:rsid w:val="009D26ED"/>
    <w:rsid w:val="009D27F6"/>
    <w:rsid w:val="009D3335"/>
    <w:rsid w:val="009D3FAD"/>
    <w:rsid w:val="009D41DB"/>
    <w:rsid w:val="009D4BF4"/>
    <w:rsid w:val="009D53B6"/>
    <w:rsid w:val="009D59AB"/>
    <w:rsid w:val="009D63CE"/>
    <w:rsid w:val="009D69BD"/>
    <w:rsid w:val="009D6B79"/>
    <w:rsid w:val="009D7126"/>
    <w:rsid w:val="009E0165"/>
    <w:rsid w:val="009E0246"/>
    <w:rsid w:val="009E02A3"/>
    <w:rsid w:val="009E02BD"/>
    <w:rsid w:val="009E05C0"/>
    <w:rsid w:val="009E05ED"/>
    <w:rsid w:val="009E08B0"/>
    <w:rsid w:val="009E0D64"/>
    <w:rsid w:val="009E1027"/>
    <w:rsid w:val="009E1378"/>
    <w:rsid w:val="009E1FB0"/>
    <w:rsid w:val="009E2711"/>
    <w:rsid w:val="009E2A5C"/>
    <w:rsid w:val="009E2F12"/>
    <w:rsid w:val="009E3060"/>
    <w:rsid w:val="009E331B"/>
    <w:rsid w:val="009E3371"/>
    <w:rsid w:val="009E3405"/>
    <w:rsid w:val="009E3494"/>
    <w:rsid w:val="009E3567"/>
    <w:rsid w:val="009E3670"/>
    <w:rsid w:val="009E3DD7"/>
    <w:rsid w:val="009E457D"/>
    <w:rsid w:val="009E4C98"/>
    <w:rsid w:val="009E4E50"/>
    <w:rsid w:val="009E510E"/>
    <w:rsid w:val="009E5D9C"/>
    <w:rsid w:val="009E5FF8"/>
    <w:rsid w:val="009E6164"/>
    <w:rsid w:val="009E6347"/>
    <w:rsid w:val="009E66CC"/>
    <w:rsid w:val="009E66EC"/>
    <w:rsid w:val="009E67ED"/>
    <w:rsid w:val="009E67FE"/>
    <w:rsid w:val="009E6AB7"/>
    <w:rsid w:val="009E6CF7"/>
    <w:rsid w:val="009E7154"/>
    <w:rsid w:val="009E7228"/>
    <w:rsid w:val="009E77F8"/>
    <w:rsid w:val="009E785A"/>
    <w:rsid w:val="009F02F9"/>
    <w:rsid w:val="009F0388"/>
    <w:rsid w:val="009F0AD8"/>
    <w:rsid w:val="009F0AFA"/>
    <w:rsid w:val="009F0E01"/>
    <w:rsid w:val="009F14C6"/>
    <w:rsid w:val="009F1768"/>
    <w:rsid w:val="009F1B55"/>
    <w:rsid w:val="009F1EEA"/>
    <w:rsid w:val="009F222D"/>
    <w:rsid w:val="009F22F7"/>
    <w:rsid w:val="009F263D"/>
    <w:rsid w:val="009F27B5"/>
    <w:rsid w:val="009F2882"/>
    <w:rsid w:val="009F289D"/>
    <w:rsid w:val="009F2B45"/>
    <w:rsid w:val="009F3262"/>
    <w:rsid w:val="009F352D"/>
    <w:rsid w:val="009F3738"/>
    <w:rsid w:val="009F39A5"/>
    <w:rsid w:val="009F3E84"/>
    <w:rsid w:val="009F3FBD"/>
    <w:rsid w:val="009F4723"/>
    <w:rsid w:val="009F4E35"/>
    <w:rsid w:val="009F4EA7"/>
    <w:rsid w:val="009F4F16"/>
    <w:rsid w:val="009F5131"/>
    <w:rsid w:val="009F545D"/>
    <w:rsid w:val="009F54B6"/>
    <w:rsid w:val="009F5A57"/>
    <w:rsid w:val="009F5E19"/>
    <w:rsid w:val="009F62C8"/>
    <w:rsid w:val="009F6481"/>
    <w:rsid w:val="009F650C"/>
    <w:rsid w:val="009F660B"/>
    <w:rsid w:val="009F6658"/>
    <w:rsid w:val="009F6899"/>
    <w:rsid w:val="009F6B89"/>
    <w:rsid w:val="009F6C60"/>
    <w:rsid w:val="009F6E04"/>
    <w:rsid w:val="009F6EE0"/>
    <w:rsid w:val="009F7162"/>
    <w:rsid w:val="009F71F7"/>
    <w:rsid w:val="009F7783"/>
    <w:rsid w:val="009F7A8B"/>
    <w:rsid w:val="009F7E58"/>
    <w:rsid w:val="00A000E1"/>
    <w:rsid w:val="00A00162"/>
    <w:rsid w:val="00A00A0E"/>
    <w:rsid w:val="00A00F00"/>
    <w:rsid w:val="00A0115F"/>
    <w:rsid w:val="00A01B21"/>
    <w:rsid w:val="00A020B4"/>
    <w:rsid w:val="00A02732"/>
    <w:rsid w:val="00A02E7C"/>
    <w:rsid w:val="00A02F6E"/>
    <w:rsid w:val="00A02F90"/>
    <w:rsid w:val="00A03461"/>
    <w:rsid w:val="00A0356A"/>
    <w:rsid w:val="00A039E6"/>
    <w:rsid w:val="00A03E7D"/>
    <w:rsid w:val="00A042AB"/>
    <w:rsid w:val="00A046F5"/>
    <w:rsid w:val="00A04AB1"/>
    <w:rsid w:val="00A04C44"/>
    <w:rsid w:val="00A055E4"/>
    <w:rsid w:val="00A05832"/>
    <w:rsid w:val="00A05A18"/>
    <w:rsid w:val="00A05A95"/>
    <w:rsid w:val="00A0604B"/>
    <w:rsid w:val="00A060C9"/>
    <w:rsid w:val="00A06370"/>
    <w:rsid w:val="00A06D5F"/>
    <w:rsid w:val="00A06E09"/>
    <w:rsid w:val="00A06E2D"/>
    <w:rsid w:val="00A0727F"/>
    <w:rsid w:val="00A074F7"/>
    <w:rsid w:val="00A075FD"/>
    <w:rsid w:val="00A07968"/>
    <w:rsid w:val="00A07B75"/>
    <w:rsid w:val="00A07F42"/>
    <w:rsid w:val="00A07F4A"/>
    <w:rsid w:val="00A1096F"/>
    <w:rsid w:val="00A109BF"/>
    <w:rsid w:val="00A10DA9"/>
    <w:rsid w:val="00A113A5"/>
    <w:rsid w:val="00A11933"/>
    <w:rsid w:val="00A11BA7"/>
    <w:rsid w:val="00A12461"/>
    <w:rsid w:val="00A12726"/>
    <w:rsid w:val="00A127B8"/>
    <w:rsid w:val="00A1289F"/>
    <w:rsid w:val="00A12D50"/>
    <w:rsid w:val="00A12D84"/>
    <w:rsid w:val="00A12DB9"/>
    <w:rsid w:val="00A12EF2"/>
    <w:rsid w:val="00A13024"/>
    <w:rsid w:val="00A1311C"/>
    <w:rsid w:val="00A13284"/>
    <w:rsid w:val="00A13531"/>
    <w:rsid w:val="00A13C77"/>
    <w:rsid w:val="00A13D30"/>
    <w:rsid w:val="00A13D56"/>
    <w:rsid w:val="00A13E6C"/>
    <w:rsid w:val="00A13EE9"/>
    <w:rsid w:val="00A142B4"/>
    <w:rsid w:val="00A14AE6"/>
    <w:rsid w:val="00A14CAE"/>
    <w:rsid w:val="00A14CCF"/>
    <w:rsid w:val="00A14D8D"/>
    <w:rsid w:val="00A155F3"/>
    <w:rsid w:val="00A15CF5"/>
    <w:rsid w:val="00A15D17"/>
    <w:rsid w:val="00A1627A"/>
    <w:rsid w:val="00A164E8"/>
    <w:rsid w:val="00A172CD"/>
    <w:rsid w:val="00A17398"/>
    <w:rsid w:val="00A17B20"/>
    <w:rsid w:val="00A17C1F"/>
    <w:rsid w:val="00A17F30"/>
    <w:rsid w:val="00A204CD"/>
    <w:rsid w:val="00A2065F"/>
    <w:rsid w:val="00A20685"/>
    <w:rsid w:val="00A20A54"/>
    <w:rsid w:val="00A20DDA"/>
    <w:rsid w:val="00A2102D"/>
    <w:rsid w:val="00A2111E"/>
    <w:rsid w:val="00A211FB"/>
    <w:rsid w:val="00A21B98"/>
    <w:rsid w:val="00A21C15"/>
    <w:rsid w:val="00A221C9"/>
    <w:rsid w:val="00A23065"/>
    <w:rsid w:val="00A235E3"/>
    <w:rsid w:val="00A23645"/>
    <w:rsid w:val="00A23C4D"/>
    <w:rsid w:val="00A23F00"/>
    <w:rsid w:val="00A2401B"/>
    <w:rsid w:val="00A24265"/>
    <w:rsid w:val="00A2426A"/>
    <w:rsid w:val="00A243F5"/>
    <w:rsid w:val="00A24585"/>
    <w:rsid w:val="00A249A0"/>
    <w:rsid w:val="00A2593D"/>
    <w:rsid w:val="00A25BAC"/>
    <w:rsid w:val="00A25CD7"/>
    <w:rsid w:val="00A26294"/>
    <w:rsid w:val="00A2707D"/>
    <w:rsid w:val="00A271C6"/>
    <w:rsid w:val="00A27A60"/>
    <w:rsid w:val="00A27B59"/>
    <w:rsid w:val="00A27CF2"/>
    <w:rsid w:val="00A27E82"/>
    <w:rsid w:val="00A300CC"/>
    <w:rsid w:val="00A302D1"/>
    <w:rsid w:val="00A303C8"/>
    <w:rsid w:val="00A30411"/>
    <w:rsid w:val="00A30417"/>
    <w:rsid w:val="00A307C9"/>
    <w:rsid w:val="00A30ED0"/>
    <w:rsid w:val="00A3161D"/>
    <w:rsid w:val="00A318AD"/>
    <w:rsid w:val="00A318E3"/>
    <w:rsid w:val="00A31A09"/>
    <w:rsid w:val="00A31B83"/>
    <w:rsid w:val="00A31C73"/>
    <w:rsid w:val="00A323FB"/>
    <w:rsid w:val="00A325E3"/>
    <w:rsid w:val="00A325F6"/>
    <w:rsid w:val="00A325FC"/>
    <w:rsid w:val="00A32808"/>
    <w:rsid w:val="00A328AB"/>
    <w:rsid w:val="00A32B4A"/>
    <w:rsid w:val="00A32B68"/>
    <w:rsid w:val="00A32BCA"/>
    <w:rsid w:val="00A33AE6"/>
    <w:rsid w:val="00A33D02"/>
    <w:rsid w:val="00A33F51"/>
    <w:rsid w:val="00A3430F"/>
    <w:rsid w:val="00A34553"/>
    <w:rsid w:val="00A3504E"/>
    <w:rsid w:val="00A352A1"/>
    <w:rsid w:val="00A35515"/>
    <w:rsid w:val="00A357DE"/>
    <w:rsid w:val="00A35870"/>
    <w:rsid w:val="00A358E6"/>
    <w:rsid w:val="00A35AC8"/>
    <w:rsid w:val="00A360E1"/>
    <w:rsid w:val="00A36334"/>
    <w:rsid w:val="00A369F8"/>
    <w:rsid w:val="00A36E2A"/>
    <w:rsid w:val="00A36F25"/>
    <w:rsid w:val="00A36FE9"/>
    <w:rsid w:val="00A374B4"/>
    <w:rsid w:val="00A374D7"/>
    <w:rsid w:val="00A37921"/>
    <w:rsid w:val="00A37F52"/>
    <w:rsid w:val="00A40505"/>
    <w:rsid w:val="00A41435"/>
    <w:rsid w:val="00A41816"/>
    <w:rsid w:val="00A41C29"/>
    <w:rsid w:val="00A41C84"/>
    <w:rsid w:val="00A429AF"/>
    <w:rsid w:val="00A42CB0"/>
    <w:rsid w:val="00A42FDD"/>
    <w:rsid w:val="00A43517"/>
    <w:rsid w:val="00A43979"/>
    <w:rsid w:val="00A43BD2"/>
    <w:rsid w:val="00A43C7B"/>
    <w:rsid w:val="00A43D5A"/>
    <w:rsid w:val="00A43F66"/>
    <w:rsid w:val="00A43F92"/>
    <w:rsid w:val="00A43FE9"/>
    <w:rsid w:val="00A44365"/>
    <w:rsid w:val="00A44402"/>
    <w:rsid w:val="00A4449D"/>
    <w:rsid w:val="00A44688"/>
    <w:rsid w:val="00A44842"/>
    <w:rsid w:val="00A448E6"/>
    <w:rsid w:val="00A449DE"/>
    <w:rsid w:val="00A44D10"/>
    <w:rsid w:val="00A45023"/>
    <w:rsid w:val="00A451D7"/>
    <w:rsid w:val="00A45236"/>
    <w:rsid w:val="00A45598"/>
    <w:rsid w:val="00A45D34"/>
    <w:rsid w:val="00A45E98"/>
    <w:rsid w:val="00A45EB0"/>
    <w:rsid w:val="00A4634F"/>
    <w:rsid w:val="00A468AD"/>
    <w:rsid w:val="00A469CE"/>
    <w:rsid w:val="00A46A6C"/>
    <w:rsid w:val="00A471A9"/>
    <w:rsid w:val="00A47287"/>
    <w:rsid w:val="00A47A95"/>
    <w:rsid w:val="00A47C34"/>
    <w:rsid w:val="00A5010C"/>
    <w:rsid w:val="00A501C4"/>
    <w:rsid w:val="00A50329"/>
    <w:rsid w:val="00A506AA"/>
    <w:rsid w:val="00A50FA7"/>
    <w:rsid w:val="00A518E6"/>
    <w:rsid w:val="00A51C96"/>
    <w:rsid w:val="00A52CD6"/>
    <w:rsid w:val="00A52F89"/>
    <w:rsid w:val="00A52FBE"/>
    <w:rsid w:val="00A5348C"/>
    <w:rsid w:val="00A539D6"/>
    <w:rsid w:val="00A53A67"/>
    <w:rsid w:val="00A5419F"/>
    <w:rsid w:val="00A54359"/>
    <w:rsid w:val="00A543A0"/>
    <w:rsid w:val="00A54470"/>
    <w:rsid w:val="00A54573"/>
    <w:rsid w:val="00A54957"/>
    <w:rsid w:val="00A54A5F"/>
    <w:rsid w:val="00A54A6D"/>
    <w:rsid w:val="00A54ACC"/>
    <w:rsid w:val="00A54CB1"/>
    <w:rsid w:val="00A5505A"/>
    <w:rsid w:val="00A5526B"/>
    <w:rsid w:val="00A55447"/>
    <w:rsid w:val="00A55612"/>
    <w:rsid w:val="00A5598A"/>
    <w:rsid w:val="00A55B6A"/>
    <w:rsid w:val="00A56514"/>
    <w:rsid w:val="00A56942"/>
    <w:rsid w:val="00A56E0F"/>
    <w:rsid w:val="00A5700D"/>
    <w:rsid w:val="00A57179"/>
    <w:rsid w:val="00A57441"/>
    <w:rsid w:val="00A600BD"/>
    <w:rsid w:val="00A60325"/>
    <w:rsid w:val="00A606FA"/>
    <w:rsid w:val="00A6070E"/>
    <w:rsid w:val="00A60A53"/>
    <w:rsid w:val="00A60FCB"/>
    <w:rsid w:val="00A61049"/>
    <w:rsid w:val="00A610BA"/>
    <w:rsid w:val="00A612C9"/>
    <w:rsid w:val="00A617F9"/>
    <w:rsid w:val="00A61844"/>
    <w:rsid w:val="00A61D43"/>
    <w:rsid w:val="00A61D84"/>
    <w:rsid w:val="00A6207A"/>
    <w:rsid w:val="00A62794"/>
    <w:rsid w:val="00A628DE"/>
    <w:rsid w:val="00A62B0D"/>
    <w:rsid w:val="00A62DEF"/>
    <w:rsid w:val="00A63251"/>
    <w:rsid w:val="00A63309"/>
    <w:rsid w:val="00A6357C"/>
    <w:rsid w:val="00A63C88"/>
    <w:rsid w:val="00A63E45"/>
    <w:rsid w:val="00A63F7B"/>
    <w:rsid w:val="00A6413F"/>
    <w:rsid w:val="00A644EB"/>
    <w:rsid w:val="00A64BBD"/>
    <w:rsid w:val="00A64D9E"/>
    <w:rsid w:val="00A64FC3"/>
    <w:rsid w:val="00A651F0"/>
    <w:rsid w:val="00A65625"/>
    <w:rsid w:val="00A6576D"/>
    <w:rsid w:val="00A65C29"/>
    <w:rsid w:val="00A65C77"/>
    <w:rsid w:val="00A660E2"/>
    <w:rsid w:val="00A661B8"/>
    <w:rsid w:val="00A6631F"/>
    <w:rsid w:val="00A66753"/>
    <w:rsid w:val="00A6688A"/>
    <w:rsid w:val="00A66C89"/>
    <w:rsid w:val="00A67041"/>
    <w:rsid w:val="00A67257"/>
    <w:rsid w:val="00A67460"/>
    <w:rsid w:val="00A678E6"/>
    <w:rsid w:val="00A679EE"/>
    <w:rsid w:val="00A70462"/>
    <w:rsid w:val="00A70667"/>
    <w:rsid w:val="00A70F2F"/>
    <w:rsid w:val="00A7110F"/>
    <w:rsid w:val="00A7112C"/>
    <w:rsid w:val="00A71C91"/>
    <w:rsid w:val="00A71CAE"/>
    <w:rsid w:val="00A720D9"/>
    <w:rsid w:val="00A723B3"/>
    <w:rsid w:val="00A7279D"/>
    <w:rsid w:val="00A72A84"/>
    <w:rsid w:val="00A72F9F"/>
    <w:rsid w:val="00A7376D"/>
    <w:rsid w:val="00A737E9"/>
    <w:rsid w:val="00A73C91"/>
    <w:rsid w:val="00A74486"/>
    <w:rsid w:val="00A754AD"/>
    <w:rsid w:val="00A75B4D"/>
    <w:rsid w:val="00A75CAD"/>
    <w:rsid w:val="00A75ED3"/>
    <w:rsid w:val="00A760BA"/>
    <w:rsid w:val="00A7619A"/>
    <w:rsid w:val="00A7678D"/>
    <w:rsid w:val="00A76994"/>
    <w:rsid w:val="00A769F2"/>
    <w:rsid w:val="00A77218"/>
    <w:rsid w:val="00A77EBD"/>
    <w:rsid w:val="00A8019D"/>
    <w:rsid w:val="00A8019F"/>
    <w:rsid w:val="00A808D6"/>
    <w:rsid w:val="00A80AAA"/>
    <w:rsid w:val="00A80BB3"/>
    <w:rsid w:val="00A81881"/>
    <w:rsid w:val="00A81BF8"/>
    <w:rsid w:val="00A81C0C"/>
    <w:rsid w:val="00A81F89"/>
    <w:rsid w:val="00A8241B"/>
    <w:rsid w:val="00A82FCF"/>
    <w:rsid w:val="00A83231"/>
    <w:rsid w:val="00A83692"/>
    <w:rsid w:val="00A83906"/>
    <w:rsid w:val="00A83A0A"/>
    <w:rsid w:val="00A83E18"/>
    <w:rsid w:val="00A8421B"/>
    <w:rsid w:val="00A8434C"/>
    <w:rsid w:val="00A8494D"/>
    <w:rsid w:val="00A84A56"/>
    <w:rsid w:val="00A84B9C"/>
    <w:rsid w:val="00A84BD0"/>
    <w:rsid w:val="00A84F73"/>
    <w:rsid w:val="00A85358"/>
    <w:rsid w:val="00A855B7"/>
    <w:rsid w:val="00A856F1"/>
    <w:rsid w:val="00A85B3E"/>
    <w:rsid w:val="00A85DE5"/>
    <w:rsid w:val="00A862FD"/>
    <w:rsid w:val="00A867EA"/>
    <w:rsid w:val="00A86A57"/>
    <w:rsid w:val="00A86E6C"/>
    <w:rsid w:val="00A8724C"/>
    <w:rsid w:val="00A8759D"/>
    <w:rsid w:val="00A87AC5"/>
    <w:rsid w:val="00A87C72"/>
    <w:rsid w:val="00A87ED9"/>
    <w:rsid w:val="00A900D2"/>
    <w:rsid w:val="00A9015A"/>
    <w:rsid w:val="00A90529"/>
    <w:rsid w:val="00A918A2"/>
    <w:rsid w:val="00A918A8"/>
    <w:rsid w:val="00A9229B"/>
    <w:rsid w:val="00A92515"/>
    <w:rsid w:val="00A9273F"/>
    <w:rsid w:val="00A92ABF"/>
    <w:rsid w:val="00A9309F"/>
    <w:rsid w:val="00A938D2"/>
    <w:rsid w:val="00A93930"/>
    <w:rsid w:val="00A93C39"/>
    <w:rsid w:val="00A93C76"/>
    <w:rsid w:val="00A93ECD"/>
    <w:rsid w:val="00A946EB"/>
    <w:rsid w:val="00A947B6"/>
    <w:rsid w:val="00A9536F"/>
    <w:rsid w:val="00A95B4F"/>
    <w:rsid w:val="00A95C95"/>
    <w:rsid w:val="00A95D20"/>
    <w:rsid w:val="00A95DD4"/>
    <w:rsid w:val="00A96B30"/>
    <w:rsid w:val="00A96C0A"/>
    <w:rsid w:val="00A97164"/>
    <w:rsid w:val="00A9745A"/>
    <w:rsid w:val="00A97517"/>
    <w:rsid w:val="00A976E9"/>
    <w:rsid w:val="00A97828"/>
    <w:rsid w:val="00A97C47"/>
    <w:rsid w:val="00AA03AD"/>
    <w:rsid w:val="00AA103C"/>
    <w:rsid w:val="00AA16AB"/>
    <w:rsid w:val="00AA1854"/>
    <w:rsid w:val="00AA1B34"/>
    <w:rsid w:val="00AA3350"/>
    <w:rsid w:val="00AA350F"/>
    <w:rsid w:val="00AA38B3"/>
    <w:rsid w:val="00AA4058"/>
    <w:rsid w:val="00AA47D4"/>
    <w:rsid w:val="00AA4B3E"/>
    <w:rsid w:val="00AA4F34"/>
    <w:rsid w:val="00AA507F"/>
    <w:rsid w:val="00AA50A9"/>
    <w:rsid w:val="00AA58A8"/>
    <w:rsid w:val="00AA5EEC"/>
    <w:rsid w:val="00AA6832"/>
    <w:rsid w:val="00AA6966"/>
    <w:rsid w:val="00AA6ADB"/>
    <w:rsid w:val="00AA6DDE"/>
    <w:rsid w:val="00AA6F70"/>
    <w:rsid w:val="00AA72B8"/>
    <w:rsid w:val="00AA73F0"/>
    <w:rsid w:val="00AA7E72"/>
    <w:rsid w:val="00AA7EB6"/>
    <w:rsid w:val="00AB0340"/>
    <w:rsid w:val="00AB097B"/>
    <w:rsid w:val="00AB13BE"/>
    <w:rsid w:val="00AB1675"/>
    <w:rsid w:val="00AB16B3"/>
    <w:rsid w:val="00AB1A12"/>
    <w:rsid w:val="00AB1FB8"/>
    <w:rsid w:val="00AB20FB"/>
    <w:rsid w:val="00AB22E5"/>
    <w:rsid w:val="00AB25FE"/>
    <w:rsid w:val="00AB27B0"/>
    <w:rsid w:val="00AB2C57"/>
    <w:rsid w:val="00AB2F0E"/>
    <w:rsid w:val="00AB3944"/>
    <w:rsid w:val="00AB39F7"/>
    <w:rsid w:val="00AB3BCB"/>
    <w:rsid w:val="00AB420C"/>
    <w:rsid w:val="00AB4B04"/>
    <w:rsid w:val="00AB4C76"/>
    <w:rsid w:val="00AB4DEF"/>
    <w:rsid w:val="00AB5D0E"/>
    <w:rsid w:val="00AB6BD2"/>
    <w:rsid w:val="00AB6C91"/>
    <w:rsid w:val="00AC01E3"/>
    <w:rsid w:val="00AC0462"/>
    <w:rsid w:val="00AC0591"/>
    <w:rsid w:val="00AC10C3"/>
    <w:rsid w:val="00AC1399"/>
    <w:rsid w:val="00AC1564"/>
    <w:rsid w:val="00AC1575"/>
    <w:rsid w:val="00AC15F7"/>
    <w:rsid w:val="00AC1DD4"/>
    <w:rsid w:val="00AC1E13"/>
    <w:rsid w:val="00AC1E36"/>
    <w:rsid w:val="00AC2702"/>
    <w:rsid w:val="00AC2A24"/>
    <w:rsid w:val="00AC2AB9"/>
    <w:rsid w:val="00AC2B3C"/>
    <w:rsid w:val="00AC2C67"/>
    <w:rsid w:val="00AC2E5A"/>
    <w:rsid w:val="00AC312D"/>
    <w:rsid w:val="00AC3475"/>
    <w:rsid w:val="00AC36BB"/>
    <w:rsid w:val="00AC43F3"/>
    <w:rsid w:val="00AC4816"/>
    <w:rsid w:val="00AC484A"/>
    <w:rsid w:val="00AC54B0"/>
    <w:rsid w:val="00AC564D"/>
    <w:rsid w:val="00AC58DB"/>
    <w:rsid w:val="00AC59FD"/>
    <w:rsid w:val="00AC5DD6"/>
    <w:rsid w:val="00AC5EF5"/>
    <w:rsid w:val="00AC5F12"/>
    <w:rsid w:val="00AC6847"/>
    <w:rsid w:val="00AC7241"/>
    <w:rsid w:val="00AD016E"/>
    <w:rsid w:val="00AD0612"/>
    <w:rsid w:val="00AD0B96"/>
    <w:rsid w:val="00AD0D39"/>
    <w:rsid w:val="00AD104A"/>
    <w:rsid w:val="00AD112C"/>
    <w:rsid w:val="00AD11D0"/>
    <w:rsid w:val="00AD1280"/>
    <w:rsid w:val="00AD3455"/>
    <w:rsid w:val="00AD34A9"/>
    <w:rsid w:val="00AD3951"/>
    <w:rsid w:val="00AD437C"/>
    <w:rsid w:val="00AD4ACD"/>
    <w:rsid w:val="00AD4BBE"/>
    <w:rsid w:val="00AD5254"/>
    <w:rsid w:val="00AD558A"/>
    <w:rsid w:val="00AD58E7"/>
    <w:rsid w:val="00AD5975"/>
    <w:rsid w:val="00AD5A57"/>
    <w:rsid w:val="00AD5D13"/>
    <w:rsid w:val="00AD5EA8"/>
    <w:rsid w:val="00AD63D9"/>
    <w:rsid w:val="00AD7389"/>
    <w:rsid w:val="00AD77FE"/>
    <w:rsid w:val="00AD7BB5"/>
    <w:rsid w:val="00AD7D2F"/>
    <w:rsid w:val="00AE0D31"/>
    <w:rsid w:val="00AE0E28"/>
    <w:rsid w:val="00AE0F88"/>
    <w:rsid w:val="00AE138E"/>
    <w:rsid w:val="00AE1A42"/>
    <w:rsid w:val="00AE1BFA"/>
    <w:rsid w:val="00AE205A"/>
    <w:rsid w:val="00AE222C"/>
    <w:rsid w:val="00AE2AB4"/>
    <w:rsid w:val="00AE3268"/>
    <w:rsid w:val="00AE3782"/>
    <w:rsid w:val="00AE397D"/>
    <w:rsid w:val="00AE3AFE"/>
    <w:rsid w:val="00AE42E0"/>
    <w:rsid w:val="00AE4E6A"/>
    <w:rsid w:val="00AE545B"/>
    <w:rsid w:val="00AE6480"/>
    <w:rsid w:val="00AE6613"/>
    <w:rsid w:val="00AE66F1"/>
    <w:rsid w:val="00AE6F0C"/>
    <w:rsid w:val="00AE6FB5"/>
    <w:rsid w:val="00AE711D"/>
    <w:rsid w:val="00AE7667"/>
    <w:rsid w:val="00AE7B63"/>
    <w:rsid w:val="00AE7EA2"/>
    <w:rsid w:val="00AE7FA2"/>
    <w:rsid w:val="00AF004D"/>
    <w:rsid w:val="00AF08A2"/>
    <w:rsid w:val="00AF0909"/>
    <w:rsid w:val="00AF09B4"/>
    <w:rsid w:val="00AF0A98"/>
    <w:rsid w:val="00AF0EE8"/>
    <w:rsid w:val="00AF12F8"/>
    <w:rsid w:val="00AF13C0"/>
    <w:rsid w:val="00AF1582"/>
    <w:rsid w:val="00AF1C4E"/>
    <w:rsid w:val="00AF271E"/>
    <w:rsid w:val="00AF28F5"/>
    <w:rsid w:val="00AF2CB4"/>
    <w:rsid w:val="00AF2F19"/>
    <w:rsid w:val="00AF30A6"/>
    <w:rsid w:val="00AF3432"/>
    <w:rsid w:val="00AF39FE"/>
    <w:rsid w:val="00AF3D11"/>
    <w:rsid w:val="00AF40C7"/>
    <w:rsid w:val="00AF4CB5"/>
    <w:rsid w:val="00AF4E36"/>
    <w:rsid w:val="00AF505F"/>
    <w:rsid w:val="00AF5094"/>
    <w:rsid w:val="00AF5D66"/>
    <w:rsid w:val="00AF5EEA"/>
    <w:rsid w:val="00AF6050"/>
    <w:rsid w:val="00AF7175"/>
    <w:rsid w:val="00AF721E"/>
    <w:rsid w:val="00AF7476"/>
    <w:rsid w:val="00AF77C4"/>
    <w:rsid w:val="00AF7A11"/>
    <w:rsid w:val="00B0032C"/>
    <w:rsid w:val="00B00825"/>
    <w:rsid w:val="00B01639"/>
    <w:rsid w:val="00B017F8"/>
    <w:rsid w:val="00B01CC0"/>
    <w:rsid w:val="00B02262"/>
    <w:rsid w:val="00B024D0"/>
    <w:rsid w:val="00B0250A"/>
    <w:rsid w:val="00B0253E"/>
    <w:rsid w:val="00B03257"/>
    <w:rsid w:val="00B03DCE"/>
    <w:rsid w:val="00B03F47"/>
    <w:rsid w:val="00B03FE4"/>
    <w:rsid w:val="00B044D4"/>
    <w:rsid w:val="00B0467F"/>
    <w:rsid w:val="00B048C5"/>
    <w:rsid w:val="00B048C8"/>
    <w:rsid w:val="00B04C38"/>
    <w:rsid w:val="00B04EFE"/>
    <w:rsid w:val="00B05384"/>
    <w:rsid w:val="00B05789"/>
    <w:rsid w:val="00B05A5B"/>
    <w:rsid w:val="00B05E54"/>
    <w:rsid w:val="00B05FF7"/>
    <w:rsid w:val="00B06033"/>
    <w:rsid w:val="00B060DC"/>
    <w:rsid w:val="00B060F4"/>
    <w:rsid w:val="00B068A3"/>
    <w:rsid w:val="00B06D5F"/>
    <w:rsid w:val="00B06EB4"/>
    <w:rsid w:val="00B0701A"/>
    <w:rsid w:val="00B07086"/>
    <w:rsid w:val="00B07131"/>
    <w:rsid w:val="00B072E1"/>
    <w:rsid w:val="00B0752C"/>
    <w:rsid w:val="00B07B43"/>
    <w:rsid w:val="00B07DED"/>
    <w:rsid w:val="00B10898"/>
    <w:rsid w:val="00B10BAA"/>
    <w:rsid w:val="00B11171"/>
    <w:rsid w:val="00B11D41"/>
    <w:rsid w:val="00B123BF"/>
    <w:rsid w:val="00B124BB"/>
    <w:rsid w:val="00B1255C"/>
    <w:rsid w:val="00B12606"/>
    <w:rsid w:val="00B126DB"/>
    <w:rsid w:val="00B127FC"/>
    <w:rsid w:val="00B137F1"/>
    <w:rsid w:val="00B137F5"/>
    <w:rsid w:val="00B13B84"/>
    <w:rsid w:val="00B13DC1"/>
    <w:rsid w:val="00B13DC4"/>
    <w:rsid w:val="00B13E43"/>
    <w:rsid w:val="00B14133"/>
    <w:rsid w:val="00B1559B"/>
    <w:rsid w:val="00B159EE"/>
    <w:rsid w:val="00B16071"/>
    <w:rsid w:val="00B1682E"/>
    <w:rsid w:val="00B16A49"/>
    <w:rsid w:val="00B16B9D"/>
    <w:rsid w:val="00B17061"/>
    <w:rsid w:val="00B1768D"/>
    <w:rsid w:val="00B17A00"/>
    <w:rsid w:val="00B17E5C"/>
    <w:rsid w:val="00B20916"/>
    <w:rsid w:val="00B20A69"/>
    <w:rsid w:val="00B20B08"/>
    <w:rsid w:val="00B20F3E"/>
    <w:rsid w:val="00B2108F"/>
    <w:rsid w:val="00B21432"/>
    <w:rsid w:val="00B21A84"/>
    <w:rsid w:val="00B21B31"/>
    <w:rsid w:val="00B2210C"/>
    <w:rsid w:val="00B221A1"/>
    <w:rsid w:val="00B222FF"/>
    <w:rsid w:val="00B22404"/>
    <w:rsid w:val="00B224F8"/>
    <w:rsid w:val="00B22DB7"/>
    <w:rsid w:val="00B23384"/>
    <w:rsid w:val="00B23666"/>
    <w:rsid w:val="00B24077"/>
    <w:rsid w:val="00B245A9"/>
    <w:rsid w:val="00B24800"/>
    <w:rsid w:val="00B248F4"/>
    <w:rsid w:val="00B250BC"/>
    <w:rsid w:val="00B2516B"/>
    <w:rsid w:val="00B255C6"/>
    <w:rsid w:val="00B255F5"/>
    <w:rsid w:val="00B257F4"/>
    <w:rsid w:val="00B25842"/>
    <w:rsid w:val="00B258CC"/>
    <w:rsid w:val="00B25C28"/>
    <w:rsid w:val="00B25D9B"/>
    <w:rsid w:val="00B25F66"/>
    <w:rsid w:val="00B260F0"/>
    <w:rsid w:val="00B26502"/>
    <w:rsid w:val="00B26561"/>
    <w:rsid w:val="00B265F1"/>
    <w:rsid w:val="00B26762"/>
    <w:rsid w:val="00B26853"/>
    <w:rsid w:val="00B26AC4"/>
    <w:rsid w:val="00B26C5B"/>
    <w:rsid w:val="00B272B3"/>
    <w:rsid w:val="00B27858"/>
    <w:rsid w:val="00B2793A"/>
    <w:rsid w:val="00B27B88"/>
    <w:rsid w:val="00B27C5C"/>
    <w:rsid w:val="00B27F9C"/>
    <w:rsid w:val="00B3035A"/>
    <w:rsid w:val="00B30855"/>
    <w:rsid w:val="00B30C5A"/>
    <w:rsid w:val="00B30DB7"/>
    <w:rsid w:val="00B312BA"/>
    <w:rsid w:val="00B3168B"/>
    <w:rsid w:val="00B31A1B"/>
    <w:rsid w:val="00B31E91"/>
    <w:rsid w:val="00B32159"/>
    <w:rsid w:val="00B32321"/>
    <w:rsid w:val="00B3246E"/>
    <w:rsid w:val="00B32A34"/>
    <w:rsid w:val="00B331F5"/>
    <w:rsid w:val="00B333D8"/>
    <w:rsid w:val="00B35838"/>
    <w:rsid w:val="00B35949"/>
    <w:rsid w:val="00B35A08"/>
    <w:rsid w:val="00B36077"/>
    <w:rsid w:val="00B36096"/>
    <w:rsid w:val="00B36129"/>
    <w:rsid w:val="00B36285"/>
    <w:rsid w:val="00B366A2"/>
    <w:rsid w:val="00B36744"/>
    <w:rsid w:val="00B36F72"/>
    <w:rsid w:val="00B3705D"/>
    <w:rsid w:val="00B37609"/>
    <w:rsid w:val="00B37767"/>
    <w:rsid w:val="00B3797E"/>
    <w:rsid w:val="00B37AD4"/>
    <w:rsid w:val="00B37D72"/>
    <w:rsid w:val="00B37E69"/>
    <w:rsid w:val="00B4029A"/>
    <w:rsid w:val="00B402BF"/>
    <w:rsid w:val="00B40DD9"/>
    <w:rsid w:val="00B40E53"/>
    <w:rsid w:val="00B41433"/>
    <w:rsid w:val="00B417CD"/>
    <w:rsid w:val="00B41AEC"/>
    <w:rsid w:val="00B41BA8"/>
    <w:rsid w:val="00B42420"/>
    <w:rsid w:val="00B42FA4"/>
    <w:rsid w:val="00B43277"/>
    <w:rsid w:val="00B43CA6"/>
    <w:rsid w:val="00B4428C"/>
    <w:rsid w:val="00B44392"/>
    <w:rsid w:val="00B44AC2"/>
    <w:rsid w:val="00B44B46"/>
    <w:rsid w:val="00B44C29"/>
    <w:rsid w:val="00B44D69"/>
    <w:rsid w:val="00B45452"/>
    <w:rsid w:val="00B4681A"/>
    <w:rsid w:val="00B468CD"/>
    <w:rsid w:val="00B46C04"/>
    <w:rsid w:val="00B46D9E"/>
    <w:rsid w:val="00B46E93"/>
    <w:rsid w:val="00B470BF"/>
    <w:rsid w:val="00B47153"/>
    <w:rsid w:val="00B47F38"/>
    <w:rsid w:val="00B47FD4"/>
    <w:rsid w:val="00B502CD"/>
    <w:rsid w:val="00B5033F"/>
    <w:rsid w:val="00B50A2F"/>
    <w:rsid w:val="00B519D2"/>
    <w:rsid w:val="00B519ED"/>
    <w:rsid w:val="00B51A63"/>
    <w:rsid w:val="00B51B7C"/>
    <w:rsid w:val="00B51D75"/>
    <w:rsid w:val="00B5244C"/>
    <w:rsid w:val="00B5258C"/>
    <w:rsid w:val="00B5287F"/>
    <w:rsid w:val="00B528A4"/>
    <w:rsid w:val="00B5295E"/>
    <w:rsid w:val="00B52FFB"/>
    <w:rsid w:val="00B5310E"/>
    <w:rsid w:val="00B532D4"/>
    <w:rsid w:val="00B534B0"/>
    <w:rsid w:val="00B53693"/>
    <w:rsid w:val="00B53827"/>
    <w:rsid w:val="00B53AE0"/>
    <w:rsid w:val="00B53C98"/>
    <w:rsid w:val="00B53CF5"/>
    <w:rsid w:val="00B54615"/>
    <w:rsid w:val="00B54631"/>
    <w:rsid w:val="00B546DF"/>
    <w:rsid w:val="00B54AE6"/>
    <w:rsid w:val="00B54CCC"/>
    <w:rsid w:val="00B54CFA"/>
    <w:rsid w:val="00B55120"/>
    <w:rsid w:val="00B5528B"/>
    <w:rsid w:val="00B55527"/>
    <w:rsid w:val="00B55AC9"/>
    <w:rsid w:val="00B55B16"/>
    <w:rsid w:val="00B55D0B"/>
    <w:rsid w:val="00B55E9D"/>
    <w:rsid w:val="00B56520"/>
    <w:rsid w:val="00B568C7"/>
    <w:rsid w:val="00B5701F"/>
    <w:rsid w:val="00B6031E"/>
    <w:rsid w:val="00B607E8"/>
    <w:rsid w:val="00B60FF8"/>
    <w:rsid w:val="00B61093"/>
    <w:rsid w:val="00B616A7"/>
    <w:rsid w:val="00B61924"/>
    <w:rsid w:val="00B61FF3"/>
    <w:rsid w:val="00B62277"/>
    <w:rsid w:val="00B62CF7"/>
    <w:rsid w:val="00B6361A"/>
    <w:rsid w:val="00B63B25"/>
    <w:rsid w:val="00B63E92"/>
    <w:rsid w:val="00B6442F"/>
    <w:rsid w:val="00B6465F"/>
    <w:rsid w:val="00B654BE"/>
    <w:rsid w:val="00B65AEF"/>
    <w:rsid w:val="00B66321"/>
    <w:rsid w:val="00B663A1"/>
    <w:rsid w:val="00B6657A"/>
    <w:rsid w:val="00B66807"/>
    <w:rsid w:val="00B668CE"/>
    <w:rsid w:val="00B66DDF"/>
    <w:rsid w:val="00B66DFD"/>
    <w:rsid w:val="00B66FEF"/>
    <w:rsid w:val="00B67476"/>
    <w:rsid w:val="00B675A1"/>
    <w:rsid w:val="00B677CB"/>
    <w:rsid w:val="00B67BE3"/>
    <w:rsid w:val="00B67EBF"/>
    <w:rsid w:val="00B7090F"/>
    <w:rsid w:val="00B70E75"/>
    <w:rsid w:val="00B70E7E"/>
    <w:rsid w:val="00B70FA7"/>
    <w:rsid w:val="00B71499"/>
    <w:rsid w:val="00B715E7"/>
    <w:rsid w:val="00B71B6C"/>
    <w:rsid w:val="00B71F53"/>
    <w:rsid w:val="00B7202F"/>
    <w:rsid w:val="00B7270C"/>
    <w:rsid w:val="00B72C9E"/>
    <w:rsid w:val="00B73265"/>
    <w:rsid w:val="00B733C5"/>
    <w:rsid w:val="00B73A18"/>
    <w:rsid w:val="00B73A2E"/>
    <w:rsid w:val="00B73A99"/>
    <w:rsid w:val="00B73FBB"/>
    <w:rsid w:val="00B741B3"/>
    <w:rsid w:val="00B7448B"/>
    <w:rsid w:val="00B745CF"/>
    <w:rsid w:val="00B7490D"/>
    <w:rsid w:val="00B7529A"/>
    <w:rsid w:val="00B75334"/>
    <w:rsid w:val="00B755D4"/>
    <w:rsid w:val="00B75ED1"/>
    <w:rsid w:val="00B76221"/>
    <w:rsid w:val="00B762C3"/>
    <w:rsid w:val="00B76351"/>
    <w:rsid w:val="00B76802"/>
    <w:rsid w:val="00B770A5"/>
    <w:rsid w:val="00B77344"/>
    <w:rsid w:val="00B775A5"/>
    <w:rsid w:val="00B777A6"/>
    <w:rsid w:val="00B77DF6"/>
    <w:rsid w:val="00B77F51"/>
    <w:rsid w:val="00B8002A"/>
    <w:rsid w:val="00B80253"/>
    <w:rsid w:val="00B80455"/>
    <w:rsid w:val="00B80E6E"/>
    <w:rsid w:val="00B80F60"/>
    <w:rsid w:val="00B8102A"/>
    <w:rsid w:val="00B8128D"/>
    <w:rsid w:val="00B81793"/>
    <w:rsid w:val="00B81E88"/>
    <w:rsid w:val="00B81E99"/>
    <w:rsid w:val="00B82263"/>
    <w:rsid w:val="00B82B29"/>
    <w:rsid w:val="00B82CCC"/>
    <w:rsid w:val="00B82E87"/>
    <w:rsid w:val="00B8333B"/>
    <w:rsid w:val="00B8381A"/>
    <w:rsid w:val="00B83D96"/>
    <w:rsid w:val="00B8402F"/>
    <w:rsid w:val="00B84818"/>
    <w:rsid w:val="00B84A85"/>
    <w:rsid w:val="00B84D22"/>
    <w:rsid w:val="00B84D50"/>
    <w:rsid w:val="00B859F6"/>
    <w:rsid w:val="00B85F09"/>
    <w:rsid w:val="00B86115"/>
    <w:rsid w:val="00B86513"/>
    <w:rsid w:val="00B86921"/>
    <w:rsid w:val="00B8692C"/>
    <w:rsid w:val="00B86C00"/>
    <w:rsid w:val="00B86C6E"/>
    <w:rsid w:val="00B879BA"/>
    <w:rsid w:val="00B87B96"/>
    <w:rsid w:val="00B87F72"/>
    <w:rsid w:val="00B87FF3"/>
    <w:rsid w:val="00B90505"/>
    <w:rsid w:val="00B910DE"/>
    <w:rsid w:val="00B91127"/>
    <w:rsid w:val="00B911F8"/>
    <w:rsid w:val="00B91545"/>
    <w:rsid w:val="00B915DC"/>
    <w:rsid w:val="00B91744"/>
    <w:rsid w:val="00B91874"/>
    <w:rsid w:val="00B91F21"/>
    <w:rsid w:val="00B930AF"/>
    <w:rsid w:val="00B93E05"/>
    <w:rsid w:val="00B9435C"/>
    <w:rsid w:val="00B951A9"/>
    <w:rsid w:val="00B9537E"/>
    <w:rsid w:val="00B9544F"/>
    <w:rsid w:val="00B95B9E"/>
    <w:rsid w:val="00B95E40"/>
    <w:rsid w:val="00B960F4"/>
    <w:rsid w:val="00B962D5"/>
    <w:rsid w:val="00B96401"/>
    <w:rsid w:val="00B969CB"/>
    <w:rsid w:val="00B96A83"/>
    <w:rsid w:val="00B96D38"/>
    <w:rsid w:val="00B96D9C"/>
    <w:rsid w:val="00B96FFE"/>
    <w:rsid w:val="00B97006"/>
    <w:rsid w:val="00B972CC"/>
    <w:rsid w:val="00B9739A"/>
    <w:rsid w:val="00B974C1"/>
    <w:rsid w:val="00B9763D"/>
    <w:rsid w:val="00B976DF"/>
    <w:rsid w:val="00B97DFB"/>
    <w:rsid w:val="00BA0427"/>
    <w:rsid w:val="00BA0732"/>
    <w:rsid w:val="00BA0BF0"/>
    <w:rsid w:val="00BA0FC6"/>
    <w:rsid w:val="00BA23A4"/>
    <w:rsid w:val="00BA2565"/>
    <w:rsid w:val="00BA2CA9"/>
    <w:rsid w:val="00BA2E89"/>
    <w:rsid w:val="00BA2EC7"/>
    <w:rsid w:val="00BA2F27"/>
    <w:rsid w:val="00BA2FF4"/>
    <w:rsid w:val="00BA31B1"/>
    <w:rsid w:val="00BA33B9"/>
    <w:rsid w:val="00BA39B3"/>
    <w:rsid w:val="00BA3F70"/>
    <w:rsid w:val="00BA3F93"/>
    <w:rsid w:val="00BA42D5"/>
    <w:rsid w:val="00BA45C7"/>
    <w:rsid w:val="00BA45D0"/>
    <w:rsid w:val="00BA4BA6"/>
    <w:rsid w:val="00BA4D64"/>
    <w:rsid w:val="00BA4E14"/>
    <w:rsid w:val="00BA4F76"/>
    <w:rsid w:val="00BA5097"/>
    <w:rsid w:val="00BA5FB9"/>
    <w:rsid w:val="00BA6255"/>
    <w:rsid w:val="00BA69AA"/>
    <w:rsid w:val="00BA6A50"/>
    <w:rsid w:val="00BA7508"/>
    <w:rsid w:val="00BA788B"/>
    <w:rsid w:val="00BA7A67"/>
    <w:rsid w:val="00BA7A8D"/>
    <w:rsid w:val="00BA7AF8"/>
    <w:rsid w:val="00BB002D"/>
    <w:rsid w:val="00BB00C5"/>
    <w:rsid w:val="00BB09FA"/>
    <w:rsid w:val="00BB0B4D"/>
    <w:rsid w:val="00BB1294"/>
    <w:rsid w:val="00BB130A"/>
    <w:rsid w:val="00BB133F"/>
    <w:rsid w:val="00BB2784"/>
    <w:rsid w:val="00BB28F4"/>
    <w:rsid w:val="00BB28FF"/>
    <w:rsid w:val="00BB2D5B"/>
    <w:rsid w:val="00BB2D66"/>
    <w:rsid w:val="00BB31AE"/>
    <w:rsid w:val="00BB3BDD"/>
    <w:rsid w:val="00BB440C"/>
    <w:rsid w:val="00BB4623"/>
    <w:rsid w:val="00BB4BE7"/>
    <w:rsid w:val="00BB5069"/>
    <w:rsid w:val="00BB5DD8"/>
    <w:rsid w:val="00BB6296"/>
    <w:rsid w:val="00BB681F"/>
    <w:rsid w:val="00BC0256"/>
    <w:rsid w:val="00BC0341"/>
    <w:rsid w:val="00BC0561"/>
    <w:rsid w:val="00BC069A"/>
    <w:rsid w:val="00BC09B9"/>
    <w:rsid w:val="00BC0AD6"/>
    <w:rsid w:val="00BC0B3C"/>
    <w:rsid w:val="00BC0CCD"/>
    <w:rsid w:val="00BC0D37"/>
    <w:rsid w:val="00BC12FD"/>
    <w:rsid w:val="00BC1D9A"/>
    <w:rsid w:val="00BC238C"/>
    <w:rsid w:val="00BC245B"/>
    <w:rsid w:val="00BC2943"/>
    <w:rsid w:val="00BC299F"/>
    <w:rsid w:val="00BC2B91"/>
    <w:rsid w:val="00BC2D9C"/>
    <w:rsid w:val="00BC301C"/>
    <w:rsid w:val="00BC33E8"/>
    <w:rsid w:val="00BC391D"/>
    <w:rsid w:val="00BC3CCA"/>
    <w:rsid w:val="00BC3F75"/>
    <w:rsid w:val="00BC3FEA"/>
    <w:rsid w:val="00BC4437"/>
    <w:rsid w:val="00BC54D4"/>
    <w:rsid w:val="00BC56A6"/>
    <w:rsid w:val="00BC56EC"/>
    <w:rsid w:val="00BC596C"/>
    <w:rsid w:val="00BC5BC9"/>
    <w:rsid w:val="00BC68A2"/>
    <w:rsid w:val="00BC6B00"/>
    <w:rsid w:val="00BC7028"/>
    <w:rsid w:val="00BC7029"/>
    <w:rsid w:val="00BC7311"/>
    <w:rsid w:val="00BC77B0"/>
    <w:rsid w:val="00BC7B53"/>
    <w:rsid w:val="00BC7F76"/>
    <w:rsid w:val="00BD0068"/>
    <w:rsid w:val="00BD0645"/>
    <w:rsid w:val="00BD0C62"/>
    <w:rsid w:val="00BD0F63"/>
    <w:rsid w:val="00BD1368"/>
    <w:rsid w:val="00BD1481"/>
    <w:rsid w:val="00BD207F"/>
    <w:rsid w:val="00BD25F0"/>
    <w:rsid w:val="00BD2698"/>
    <w:rsid w:val="00BD286C"/>
    <w:rsid w:val="00BD2D89"/>
    <w:rsid w:val="00BD2E20"/>
    <w:rsid w:val="00BD30E1"/>
    <w:rsid w:val="00BD33E6"/>
    <w:rsid w:val="00BD361C"/>
    <w:rsid w:val="00BD372E"/>
    <w:rsid w:val="00BD3AB7"/>
    <w:rsid w:val="00BD3BB1"/>
    <w:rsid w:val="00BD3C55"/>
    <w:rsid w:val="00BD3D52"/>
    <w:rsid w:val="00BD46FD"/>
    <w:rsid w:val="00BD55E9"/>
    <w:rsid w:val="00BD5927"/>
    <w:rsid w:val="00BD68B0"/>
    <w:rsid w:val="00BD6C5D"/>
    <w:rsid w:val="00BD6CF9"/>
    <w:rsid w:val="00BD6D4A"/>
    <w:rsid w:val="00BD6F2F"/>
    <w:rsid w:val="00BD75B3"/>
    <w:rsid w:val="00BD762D"/>
    <w:rsid w:val="00BD76FF"/>
    <w:rsid w:val="00BD7C07"/>
    <w:rsid w:val="00BD7FE5"/>
    <w:rsid w:val="00BE04ED"/>
    <w:rsid w:val="00BE09BA"/>
    <w:rsid w:val="00BE0C59"/>
    <w:rsid w:val="00BE0E53"/>
    <w:rsid w:val="00BE14EB"/>
    <w:rsid w:val="00BE1A6F"/>
    <w:rsid w:val="00BE1A73"/>
    <w:rsid w:val="00BE1C36"/>
    <w:rsid w:val="00BE2220"/>
    <w:rsid w:val="00BE2511"/>
    <w:rsid w:val="00BE2567"/>
    <w:rsid w:val="00BE265D"/>
    <w:rsid w:val="00BE27D5"/>
    <w:rsid w:val="00BE3169"/>
    <w:rsid w:val="00BE3438"/>
    <w:rsid w:val="00BE3925"/>
    <w:rsid w:val="00BE3B72"/>
    <w:rsid w:val="00BE41D7"/>
    <w:rsid w:val="00BE5BB8"/>
    <w:rsid w:val="00BE5F98"/>
    <w:rsid w:val="00BE654C"/>
    <w:rsid w:val="00BE68E6"/>
    <w:rsid w:val="00BE692A"/>
    <w:rsid w:val="00BE6D33"/>
    <w:rsid w:val="00BE6D93"/>
    <w:rsid w:val="00BE6F40"/>
    <w:rsid w:val="00BE722E"/>
    <w:rsid w:val="00BE7F23"/>
    <w:rsid w:val="00BF0364"/>
    <w:rsid w:val="00BF0A86"/>
    <w:rsid w:val="00BF0AB0"/>
    <w:rsid w:val="00BF0ADC"/>
    <w:rsid w:val="00BF0EF9"/>
    <w:rsid w:val="00BF1003"/>
    <w:rsid w:val="00BF16F1"/>
    <w:rsid w:val="00BF1F45"/>
    <w:rsid w:val="00BF2503"/>
    <w:rsid w:val="00BF2669"/>
    <w:rsid w:val="00BF2A17"/>
    <w:rsid w:val="00BF2EDA"/>
    <w:rsid w:val="00BF30EA"/>
    <w:rsid w:val="00BF362E"/>
    <w:rsid w:val="00BF39C5"/>
    <w:rsid w:val="00BF3AE3"/>
    <w:rsid w:val="00BF462E"/>
    <w:rsid w:val="00BF46E6"/>
    <w:rsid w:val="00BF4C5A"/>
    <w:rsid w:val="00BF4EE9"/>
    <w:rsid w:val="00BF54C4"/>
    <w:rsid w:val="00BF563E"/>
    <w:rsid w:val="00BF58BA"/>
    <w:rsid w:val="00BF5BCD"/>
    <w:rsid w:val="00BF615F"/>
    <w:rsid w:val="00BF650D"/>
    <w:rsid w:val="00BF6BC9"/>
    <w:rsid w:val="00BF75E5"/>
    <w:rsid w:val="00BF7807"/>
    <w:rsid w:val="00BF7D53"/>
    <w:rsid w:val="00BF7F30"/>
    <w:rsid w:val="00C000C8"/>
    <w:rsid w:val="00C00476"/>
    <w:rsid w:val="00C004A2"/>
    <w:rsid w:val="00C005B4"/>
    <w:rsid w:val="00C0066A"/>
    <w:rsid w:val="00C006AF"/>
    <w:rsid w:val="00C00B23"/>
    <w:rsid w:val="00C00D51"/>
    <w:rsid w:val="00C00DC6"/>
    <w:rsid w:val="00C00F44"/>
    <w:rsid w:val="00C012CD"/>
    <w:rsid w:val="00C0173A"/>
    <w:rsid w:val="00C0180B"/>
    <w:rsid w:val="00C01A53"/>
    <w:rsid w:val="00C01BCA"/>
    <w:rsid w:val="00C02E8D"/>
    <w:rsid w:val="00C02F5D"/>
    <w:rsid w:val="00C03483"/>
    <w:rsid w:val="00C036F4"/>
    <w:rsid w:val="00C03908"/>
    <w:rsid w:val="00C043FD"/>
    <w:rsid w:val="00C05372"/>
    <w:rsid w:val="00C05C0C"/>
    <w:rsid w:val="00C06034"/>
    <w:rsid w:val="00C06CD6"/>
    <w:rsid w:val="00C06FEF"/>
    <w:rsid w:val="00C07539"/>
    <w:rsid w:val="00C079A1"/>
    <w:rsid w:val="00C079DE"/>
    <w:rsid w:val="00C07C8E"/>
    <w:rsid w:val="00C1001B"/>
    <w:rsid w:val="00C10236"/>
    <w:rsid w:val="00C11BEE"/>
    <w:rsid w:val="00C11E92"/>
    <w:rsid w:val="00C120F7"/>
    <w:rsid w:val="00C131BB"/>
    <w:rsid w:val="00C1329D"/>
    <w:rsid w:val="00C13470"/>
    <w:rsid w:val="00C138C5"/>
    <w:rsid w:val="00C13B94"/>
    <w:rsid w:val="00C14F3F"/>
    <w:rsid w:val="00C15203"/>
    <w:rsid w:val="00C15498"/>
    <w:rsid w:val="00C158FF"/>
    <w:rsid w:val="00C16AE5"/>
    <w:rsid w:val="00C17238"/>
    <w:rsid w:val="00C174C3"/>
    <w:rsid w:val="00C174DE"/>
    <w:rsid w:val="00C17DDE"/>
    <w:rsid w:val="00C17E4E"/>
    <w:rsid w:val="00C20B90"/>
    <w:rsid w:val="00C20C2E"/>
    <w:rsid w:val="00C20ECA"/>
    <w:rsid w:val="00C21185"/>
    <w:rsid w:val="00C21195"/>
    <w:rsid w:val="00C218CD"/>
    <w:rsid w:val="00C21A24"/>
    <w:rsid w:val="00C21F1C"/>
    <w:rsid w:val="00C22848"/>
    <w:rsid w:val="00C22AC7"/>
    <w:rsid w:val="00C22F65"/>
    <w:rsid w:val="00C23AEB"/>
    <w:rsid w:val="00C23BFB"/>
    <w:rsid w:val="00C23EB2"/>
    <w:rsid w:val="00C243C8"/>
    <w:rsid w:val="00C2449E"/>
    <w:rsid w:val="00C244F4"/>
    <w:rsid w:val="00C24566"/>
    <w:rsid w:val="00C245A0"/>
    <w:rsid w:val="00C24A61"/>
    <w:rsid w:val="00C25855"/>
    <w:rsid w:val="00C25C29"/>
    <w:rsid w:val="00C25C5A"/>
    <w:rsid w:val="00C25E3E"/>
    <w:rsid w:val="00C262D7"/>
    <w:rsid w:val="00C26363"/>
    <w:rsid w:val="00C263AB"/>
    <w:rsid w:val="00C26DAF"/>
    <w:rsid w:val="00C2702B"/>
    <w:rsid w:val="00C270B0"/>
    <w:rsid w:val="00C27199"/>
    <w:rsid w:val="00C30753"/>
    <w:rsid w:val="00C30764"/>
    <w:rsid w:val="00C308E6"/>
    <w:rsid w:val="00C30C33"/>
    <w:rsid w:val="00C31791"/>
    <w:rsid w:val="00C31C9F"/>
    <w:rsid w:val="00C31CEC"/>
    <w:rsid w:val="00C32329"/>
    <w:rsid w:val="00C323F1"/>
    <w:rsid w:val="00C32AE8"/>
    <w:rsid w:val="00C33457"/>
    <w:rsid w:val="00C33588"/>
    <w:rsid w:val="00C3380F"/>
    <w:rsid w:val="00C33970"/>
    <w:rsid w:val="00C33B72"/>
    <w:rsid w:val="00C33D9B"/>
    <w:rsid w:val="00C3406D"/>
    <w:rsid w:val="00C341B4"/>
    <w:rsid w:val="00C34382"/>
    <w:rsid w:val="00C34A6F"/>
    <w:rsid w:val="00C3534B"/>
    <w:rsid w:val="00C354BB"/>
    <w:rsid w:val="00C356E0"/>
    <w:rsid w:val="00C360B5"/>
    <w:rsid w:val="00C361A4"/>
    <w:rsid w:val="00C36529"/>
    <w:rsid w:val="00C365F3"/>
    <w:rsid w:val="00C36857"/>
    <w:rsid w:val="00C36BA9"/>
    <w:rsid w:val="00C36FF3"/>
    <w:rsid w:val="00C3717B"/>
    <w:rsid w:val="00C37213"/>
    <w:rsid w:val="00C3725B"/>
    <w:rsid w:val="00C37314"/>
    <w:rsid w:val="00C3746B"/>
    <w:rsid w:val="00C377C0"/>
    <w:rsid w:val="00C37F79"/>
    <w:rsid w:val="00C402BF"/>
    <w:rsid w:val="00C408DC"/>
    <w:rsid w:val="00C410AE"/>
    <w:rsid w:val="00C41660"/>
    <w:rsid w:val="00C41D80"/>
    <w:rsid w:val="00C4223F"/>
    <w:rsid w:val="00C427E1"/>
    <w:rsid w:val="00C42C69"/>
    <w:rsid w:val="00C438BA"/>
    <w:rsid w:val="00C43CDF"/>
    <w:rsid w:val="00C44FF6"/>
    <w:rsid w:val="00C451D5"/>
    <w:rsid w:val="00C45A85"/>
    <w:rsid w:val="00C45ED3"/>
    <w:rsid w:val="00C4669A"/>
    <w:rsid w:val="00C46720"/>
    <w:rsid w:val="00C46802"/>
    <w:rsid w:val="00C47500"/>
    <w:rsid w:val="00C47854"/>
    <w:rsid w:val="00C47C37"/>
    <w:rsid w:val="00C47E10"/>
    <w:rsid w:val="00C50426"/>
    <w:rsid w:val="00C505B7"/>
    <w:rsid w:val="00C50DDA"/>
    <w:rsid w:val="00C5124C"/>
    <w:rsid w:val="00C51AB6"/>
    <w:rsid w:val="00C51E3F"/>
    <w:rsid w:val="00C52BB7"/>
    <w:rsid w:val="00C52C63"/>
    <w:rsid w:val="00C534CF"/>
    <w:rsid w:val="00C53640"/>
    <w:rsid w:val="00C5373F"/>
    <w:rsid w:val="00C5399A"/>
    <w:rsid w:val="00C53C16"/>
    <w:rsid w:val="00C540CC"/>
    <w:rsid w:val="00C54243"/>
    <w:rsid w:val="00C5431C"/>
    <w:rsid w:val="00C543E9"/>
    <w:rsid w:val="00C54530"/>
    <w:rsid w:val="00C54EAA"/>
    <w:rsid w:val="00C5696A"/>
    <w:rsid w:val="00C56ABB"/>
    <w:rsid w:val="00C56D71"/>
    <w:rsid w:val="00C56DD4"/>
    <w:rsid w:val="00C56F6C"/>
    <w:rsid w:val="00C571F2"/>
    <w:rsid w:val="00C572B0"/>
    <w:rsid w:val="00C574C4"/>
    <w:rsid w:val="00C57724"/>
    <w:rsid w:val="00C579B0"/>
    <w:rsid w:val="00C60262"/>
    <w:rsid w:val="00C6074A"/>
    <w:rsid w:val="00C60C93"/>
    <w:rsid w:val="00C60DF6"/>
    <w:rsid w:val="00C611F8"/>
    <w:rsid w:val="00C6140F"/>
    <w:rsid w:val="00C619BD"/>
    <w:rsid w:val="00C61D0B"/>
    <w:rsid w:val="00C61D5F"/>
    <w:rsid w:val="00C62163"/>
    <w:rsid w:val="00C626C5"/>
    <w:rsid w:val="00C62B1A"/>
    <w:rsid w:val="00C630F4"/>
    <w:rsid w:val="00C63480"/>
    <w:rsid w:val="00C63604"/>
    <w:rsid w:val="00C63838"/>
    <w:rsid w:val="00C63D09"/>
    <w:rsid w:val="00C64775"/>
    <w:rsid w:val="00C6500A"/>
    <w:rsid w:val="00C65346"/>
    <w:rsid w:val="00C6535B"/>
    <w:rsid w:val="00C653D9"/>
    <w:rsid w:val="00C656D3"/>
    <w:rsid w:val="00C65B4C"/>
    <w:rsid w:val="00C65C1A"/>
    <w:rsid w:val="00C6633A"/>
    <w:rsid w:val="00C66389"/>
    <w:rsid w:val="00C66A17"/>
    <w:rsid w:val="00C67080"/>
    <w:rsid w:val="00C6715A"/>
    <w:rsid w:val="00C677E7"/>
    <w:rsid w:val="00C67F5A"/>
    <w:rsid w:val="00C700BA"/>
    <w:rsid w:val="00C70362"/>
    <w:rsid w:val="00C70808"/>
    <w:rsid w:val="00C711D3"/>
    <w:rsid w:val="00C72125"/>
    <w:rsid w:val="00C72254"/>
    <w:rsid w:val="00C722B0"/>
    <w:rsid w:val="00C734F5"/>
    <w:rsid w:val="00C7385A"/>
    <w:rsid w:val="00C738B3"/>
    <w:rsid w:val="00C73A39"/>
    <w:rsid w:val="00C73F5C"/>
    <w:rsid w:val="00C73F80"/>
    <w:rsid w:val="00C74DE7"/>
    <w:rsid w:val="00C75767"/>
    <w:rsid w:val="00C758DA"/>
    <w:rsid w:val="00C7591A"/>
    <w:rsid w:val="00C7607D"/>
    <w:rsid w:val="00C76540"/>
    <w:rsid w:val="00C7672B"/>
    <w:rsid w:val="00C76763"/>
    <w:rsid w:val="00C7680F"/>
    <w:rsid w:val="00C76816"/>
    <w:rsid w:val="00C76AA3"/>
    <w:rsid w:val="00C76ADC"/>
    <w:rsid w:val="00C76DDF"/>
    <w:rsid w:val="00C77C85"/>
    <w:rsid w:val="00C8026B"/>
    <w:rsid w:val="00C8067D"/>
    <w:rsid w:val="00C812AA"/>
    <w:rsid w:val="00C8151C"/>
    <w:rsid w:val="00C81AE3"/>
    <w:rsid w:val="00C81EB1"/>
    <w:rsid w:val="00C825F1"/>
    <w:rsid w:val="00C82D0D"/>
    <w:rsid w:val="00C82E46"/>
    <w:rsid w:val="00C83A69"/>
    <w:rsid w:val="00C83F0D"/>
    <w:rsid w:val="00C84095"/>
    <w:rsid w:val="00C84183"/>
    <w:rsid w:val="00C8460C"/>
    <w:rsid w:val="00C8475B"/>
    <w:rsid w:val="00C8481F"/>
    <w:rsid w:val="00C848CF"/>
    <w:rsid w:val="00C8492A"/>
    <w:rsid w:val="00C84DF5"/>
    <w:rsid w:val="00C853F2"/>
    <w:rsid w:val="00C85991"/>
    <w:rsid w:val="00C862FF"/>
    <w:rsid w:val="00C86584"/>
    <w:rsid w:val="00C866BC"/>
    <w:rsid w:val="00C8672B"/>
    <w:rsid w:val="00C86F49"/>
    <w:rsid w:val="00C872B6"/>
    <w:rsid w:val="00C87A2F"/>
    <w:rsid w:val="00C87A33"/>
    <w:rsid w:val="00C87F03"/>
    <w:rsid w:val="00C90807"/>
    <w:rsid w:val="00C90993"/>
    <w:rsid w:val="00C90F36"/>
    <w:rsid w:val="00C912A2"/>
    <w:rsid w:val="00C9192D"/>
    <w:rsid w:val="00C91D4F"/>
    <w:rsid w:val="00C92F89"/>
    <w:rsid w:val="00C931CD"/>
    <w:rsid w:val="00C94356"/>
    <w:rsid w:val="00C9448A"/>
    <w:rsid w:val="00C94641"/>
    <w:rsid w:val="00C946B5"/>
    <w:rsid w:val="00C94FA6"/>
    <w:rsid w:val="00C95938"/>
    <w:rsid w:val="00C95E79"/>
    <w:rsid w:val="00C967E0"/>
    <w:rsid w:val="00C96834"/>
    <w:rsid w:val="00C968F6"/>
    <w:rsid w:val="00C96965"/>
    <w:rsid w:val="00C96AC7"/>
    <w:rsid w:val="00C96B24"/>
    <w:rsid w:val="00C96FCA"/>
    <w:rsid w:val="00C977EB"/>
    <w:rsid w:val="00C97B1E"/>
    <w:rsid w:val="00C97FB8"/>
    <w:rsid w:val="00CA09F3"/>
    <w:rsid w:val="00CA0EA4"/>
    <w:rsid w:val="00CA11CA"/>
    <w:rsid w:val="00CA1282"/>
    <w:rsid w:val="00CA136C"/>
    <w:rsid w:val="00CA18F2"/>
    <w:rsid w:val="00CA2593"/>
    <w:rsid w:val="00CA276B"/>
    <w:rsid w:val="00CA2F3C"/>
    <w:rsid w:val="00CA301D"/>
    <w:rsid w:val="00CA31E8"/>
    <w:rsid w:val="00CA3851"/>
    <w:rsid w:val="00CA3B81"/>
    <w:rsid w:val="00CA3C63"/>
    <w:rsid w:val="00CA4231"/>
    <w:rsid w:val="00CA4384"/>
    <w:rsid w:val="00CA43A9"/>
    <w:rsid w:val="00CA46D3"/>
    <w:rsid w:val="00CA479C"/>
    <w:rsid w:val="00CA4841"/>
    <w:rsid w:val="00CA52F0"/>
    <w:rsid w:val="00CA575E"/>
    <w:rsid w:val="00CA5787"/>
    <w:rsid w:val="00CA5A6C"/>
    <w:rsid w:val="00CA5D0C"/>
    <w:rsid w:val="00CA6192"/>
    <w:rsid w:val="00CA63B4"/>
    <w:rsid w:val="00CA64E9"/>
    <w:rsid w:val="00CA6837"/>
    <w:rsid w:val="00CA69A3"/>
    <w:rsid w:val="00CA7145"/>
    <w:rsid w:val="00CA76A6"/>
    <w:rsid w:val="00CA789C"/>
    <w:rsid w:val="00CA7A6E"/>
    <w:rsid w:val="00CB0566"/>
    <w:rsid w:val="00CB0605"/>
    <w:rsid w:val="00CB06AF"/>
    <w:rsid w:val="00CB08BB"/>
    <w:rsid w:val="00CB08C4"/>
    <w:rsid w:val="00CB10F4"/>
    <w:rsid w:val="00CB1416"/>
    <w:rsid w:val="00CB15A1"/>
    <w:rsid w:val="00CB1D48"/>
    <w:rsid w:val="00CB1F01"/>
    <w:rsid w:val="00CB2107"/>
    <w:rsid w:val="00CB25D1"/>
    <w:rsid w:val="00CB2881"/>
    <w:rsid w:val="00CB2D32"/>
    <w:rsid w:val="00CB303C"/>
    <w:rsid w:val="00CB31DF"/>
    <w:rsid w:val="00CB356D"/>
    <w:rsid w:val="00CB3658"/>
    <w:rsid w:val="00CB3B12"/>
    <w:rsid w:val="00CB489F"/>
    <w:rsid w:val="00CB4D02"/>
    <w:rsid w:val="00CB4E33"/>
    <w:rsid w:val="00CB4F4C"/>
    <w:rsid w:val="00CB57F8"/>
    <w:rsid w:val="00CB5B67"/>
    <w:rsid w:val="00CB5D59"/>
    <w:rsid w:val="00CB6332"/>
    <w:rsid w:val="00CB67B0"/>
    <w:rsid w:val="00CB709E"/>
    <w:rsid w:val="00CB75DA"/>
    <w:rsid w:val="00CB783C"/>
    <w:rsid w:val="00CC0165"/>
    <w:rsid w:val="00CC0B2F"/>
    <w:rsid w:val="00CC0C06"/>
    <w:rsid w:val="00CC0E48"/>
    <w:rsid w:val="00CC17B4"/>
    <w:rsid w:val="00CC1E00"/>
    <w:rsid w:val="00CC20EB"/>
    <w:rsid w:val="00CC212F"/>
    <w:rsid w:val="00CC263B"/>
    <w:rsid w:val="00CC2B27"/>
    <w:rsid w:val="00CC2B5B"/>
    <w:rsid w:val="00CC2F77"/>
    <w:rsid w:val="00CC32F4"/>
    <w:rsid w:val="00CC33F0"/>
    <w:rsid w:val="00CC3D00"/>
    <w:rsid w:val="00CC3D03"/>
    <w:rsid w:val="00CC3D92"/>
    <w:rsid w:val="00CC45F7"/>
    <w:rsid w:val="00CC5132"/>
    <w:rsid w:val="00CC52B2"/>
    <w:rsid w:val="00CC594B"/>
    <w:rsid w:val="00CC6064"/>
    <w:rsid w:val="00CC659F"/>
    <w:rsid w:val="00CC6D5B"/>
    <w:rsid w:val="00CC6FDA"/>
    <w:rsid w:val="00CC736C"/>
    <w:rsid w:val="00CC766C"/>
    <w:rsid w:val="00CC7B6E"/>
    <w:rsid w:val="00CC7DA4"/>
    <w:rsid w:val="00CD02E2"/>
    <w:rsid w:val="00CD0D97"/>
    <w:rsid w:val="00CD0FE3"/>
    <w:rsid w:val="00CD13B7"/>
    <w:rsid w:val="00CD1918"/>
    <w:rsid w:val="00CD199F"/>
    <w:rsid w:val="00CD19F1"/>
    <w:rsid w:val="00CD1D30"/>
    <w:rsid w:val="00CD1E50"/>
    <w:rsid w:val="00CD1E86"/>
    <w:rsid w:val="00CD2016"/>
    <w:rsid w:val="00CD257B"/>
    <w:rsid w:val="00CD2588"/>
    <w:rsid w:val="00CD297C"/>
    <w:rsid w:val="00CD2CC9"/>
    <w:rsid w:val="00CD2F86"/>
    <w:rsid w:val="00CD3691"/>
    <w:rsid w:val="00CD3777"/>
    <w:rsid w:val="00CD3845"/>
    <w:rsid w:val="00CD3D8D"/>
    <w:rsid w:val="00CD3E22"/>
    <w:rsid w:val="00CD3E60"/>
    <w:rsid w:val="00CD40F0"/>
    <w:rsid w:val="00CD40F3"/>
    <w:rsid w:val="00CD4868"/>
    <w:rsid w:val="00CD4962"/>
    <w:rsid w:val="00CD49AB"/>
    <w:rsid w:val="00CD4CA5"/>
    <w:rsid w:val="00CD4DC8"/>
    <w:rsid w:val="00CD4FCD"/>
    <w:rsid w:val="00CD531F"/>
    <w:rsid w:val="00CD5898"/>
    <w:rsid w:val="00CD5B1D"/>
    <w:rsid w:val="00CD5C84"/>
    <w:rsid w:val="00CD62C0"/>
    <w:rsid w:val="00CD644E"/>
    <w:rsid w:val="00CD64B2"/>
    <w:rsid w:val="00CD6EC9"/>
    <w:rsid w:val="00CD75DA"/>
    <w:rsid w:val="00CD7667"/>
    <w:rsid w:val="00CD7954"/>
    <w:rsid w:val="00CE03A3"/>
    <w:rsid w:val="00CE0619"/>
    <w:rsid w:val="00CE0B35"/>
    <w:rsid w:val="00CE0B9A"/>
    <w:rsid w:val="00CE0D42"/>
    <w:rsid w:val="00CE0E75"/>
    <w:rsid w:val="00CE0F6F"/>
    <w:rsid w:val="00CE138F"/>
    <w:rsid w:val="00CE1558"/>
    <w:rsid w:val="00CE1BA4"/>
    <w:rsid w:val="00CE1CF8"/>
    <w:rsid w:val="00CE1D2F"/>
    <w:rsid w:val="00CE1E49"/>
    <w:rsid w:val="00CE2292"/>
    <w:rsid w:val="00CE24FF"/>
    <w:rsid w:val="00CE28E1"/>
    <w:rsid w:val="00CE2926"/>
    <w:rsid w:val="00CE2C92"/>
    <w:rsid w:val="00CE2D36"/>
    <w:rsid w:val="00CE2DDE"/>
    <w:rsid w:val="00CE31D4"/>
    <w:rsid w:val="00CE3CB4"/>
    <w:rsid w:val="00CE40CB"/>
    <w:rsid w:val="00CE4224"/>
    <w:rsid w:val="00CE4BEA"/>
    <w:rsid w:val="00CE4DAD"/>
    <w:rsid w:val="00CE51D1"/>
    <w:rsid w:val="00CE5935"/>
    <w:rsid w:val="00CE59D3"/>
    <w:rsid w:val="00CE5A37"/>
    <w:rsid w:val="00CE5BC3"/>
    <w:rsid w:val="00CE5C38"/>
    <w:rsid w:val="00CE5CA5"/>
    <w:rsid w:val="00CE6029"/>
    <w:rsid w:val="00CE62DF"/>
    <w:rsid w:val="00CE67AE"/>
    <w:rsid w:val="00CE692E"/>
    <w:rsid w:val="00CE6ADF"/>
    <w:rsid w:val="00CE6B23"/>
    <w:rsid w:val="00CE6BAD"/>
    <w:rsid w:val="00CE6E2E"/>
    <w:rsid w:val="00CE7429"/>
    <w:rsid w:val="00CE752B"/>
    <w:rsid w:val="00CE77ED"/>
    <w:rsid w:val="00CE7CA7"/>
    <w:rsid w:val="00CE7DCB"/>
    <w:rsid w:val="00CF0830"/>
    <w:rsid w:val="00CF0DC7"/>
    <w:rsid w:val="00CF12BC"/>
    <w:rsid w:val="00CF12E4"/>
    <w:rsid w:val="00CF1958"/>
    <w:rsid w:val="00CF1AE2"/>
    <w:rsid w:val="00CF1CB9"/>
    <w:rsid w:val="00CF2224"/>
    <w:rsid w:val="00CF3596"/>
    <w:rsid w:val="00CF3E12"/>
    <w:rsid w:val="00CF406A"/>
    <w:rsid w:val="00CF41A3"/>
    <w:rsid w:val="00CF492B"/>
    <w:rsid w:val="00CF49F2"/>
    <w:rsid w:val="00CF4F27"/>
    <w:rsid w:val="00CF5A38"/>
    <w:rsid w:val="00CF5B04"/>
    <w:rsid w:val="00CF5CAA"/>
    <w:rsid w:val="00CF6292"/>
    <w:rsid w:val="00CF63D0"/>
    <w:rsid w:val="00CF66C0"/>
    <w:rsid w:val="00CF68AF"/>
    <w:rsid w:val="00CF6B60"/>
    <w:rsid w:val="00CF6CE6"/>
    <w:rsid w:val="00CF6D77"/>
    <w:rsid w:val="00CF7921"/>
    <w:rsid w:val="00CF7E9C"/>
    <w:rsid w:val="00D00391"/>
    <w:rsid w:val="00D00701"/>
    <w:rsid w:val="00D012D5"/>
    <w:rsid w:val="00D01797"/>
    <w:rsid w:val="00D020A2"/>
    <w:rsid w:val="00D02385"/>
    <w:rsid w:val="00D026DF"/>
    <w:rsid w:val="00D02988"/>
    <w:rsid w:val="00D02E87"/>
    <w:rsid w:val="00D0302F"/>
    <w:rsid w:val="00D031C5"/>
    <w:rsid w:val="00D032A0"/>
    <w:rsid w:val="00D03470"/>
    <w:rsid w:val="00D034F7"/>
    <w:rsid w:val="00D03A70"/>
    <w:rsid w:val="00D03F37"/>
    <w:rsid w:val="00D042A9"/>
    <w:rsid w:val="00D0469C"/>
    <w:rsid w:val="00D0472B"/>
    <w:rsid w:val="00D04F7A"/>
    <w:rsid w:val="00D050E3"/>
    <w:rsid w:val="00D05614"/>
    <w:rsid w:val="00D05B5A"/>
    <w:rsid w:val="00D05D37"/>
    <w:rsid w:val="00D05FC2"/>
    <w:rsid w:val="00D06A8E"/>
    <w:rsid w:val="00D06BD1"/>
    <w:rsid w:val="00D06EDE"/>
    <w:rsid w:val="00D07789"/>
    <w:rsid w:val="00D07BE3"/>
    <w:rsid w:val="00D102C8"/>
    <w:rsid w:val="00D104C2"/>
    <w:rsid w:val="00D10626"/>
    <w:rsid w:val="00D10767"/>
    <w:rsid w:val="00D10C05"/>
    <w:rsid w:val="00D10F12"/>
    <w:rsid w:val="00D11030"/>
    <w:rsid w:val="00D11101"/>
    <w:rsid w:val="00D114B3"/>
    <w:rsid w:val="00D118CA"/>
    <w:rsid w:val="00D11A6F"/>
    <w:rsid w:val="00D12029"/>
    <w:rsid w:val="00D1283C"/>
    <w:rsid w:val="00D12971"/>
    <w:rsid w:val="00D13022"/>
    <w:rsid w:val="00D133A9"/>
    <w:rsid w:val="00D13A8E"/>
    <w:rsid w:val="00D13BF6"/>
    <w:rsid w:val="00D1445C"/>
    <w:rsid w:val="00D149B1"/>
    <w:rsid w:val="00D149B7"/>
    <w:rsid w:val="00D14BCA"/>
    <w:rsid w:val="00D151B1"/>
    <w:rsid w:val="00D154CC"/>
    <w:rsid w:val="00D1566F"/>
    <w:rsid w:val="00D15768"/>
    <w:rsid w:val="00D15949"/>
    <w:rsid w:val="00D16110"/>
    <w:rsid w:val="00D168E3"/>
    <w:rsid w:val="00D16BD3"/>
    <w:rsid w:val="00D16D00"/>
    <w:rsid w:val="00D17173"/>
    <w:rsid w:val="00D1768C"/>
    <w:rsid w:val="00D176A3"/>
    <w:rsid w:val="00D17CD1"/>
    <w:rsid w:val="00D205B6"/>
    <w:rsid w:val="00D2083C"/>
    <w:rsid w:val="00D20846"/>
    <w:rsid w:val="00D209A7"/>
    <w:rsid w:val="00D20E62"/>
    <w:rsid w:val="00D21357"/>
    <w:rsid w:val="00D21B44"/>
    <w:rsid w:val="00D21BB6"/>
    <w:rsid w:val="00D21BB8"/>
    <w:rsid w:val="00D220CE"/>
    <w:rsid w:val="00D221F3"/>
    <w:rsid w:val="00D226B6"/>
    <w:rsid w:val="00D22A51"/>
    <w:rsid w:val="00D22CA2"/>
    <w:rsid w:val="00D22D65"/>
    <w:rsid w:val="00D234D7"/>
    <w:rsid w:val="00D23A6E"/>
    <w:rsid w:val="00D23AEE"/>
    <w:rsid w:val="00D23AEF"/>
    <w:rsid w:val="00D23B7C"/>
    <w:rsid w:val="00D23CE5"/>
    <w:rsid w:val="00D23F80"/>
    <w:rsid w:val="00D2445C"/>
    <w:rsid w:val="00D2448A"/>
    <w:rsid w:val="00D24B18"/>
    <w:rsid w:val="00D24CEC"/>
    <w:rsid w:val="00D24D13"/>
    <w:rsid w:val="00D24DCF"/>
    <w:rsid w:val="00D25613"/>
    <w:rsid w:val="00D256BA"/>
    <w:rsid w:val="00D25948"/>
    <w:rsid w:val="00D25FB2"/>
    <w:rsid w:val="00D260BC"/>
    <w:rsid w:val="00D26479"/>
    <w:rsid w:val="00D267DF"/>
    <w:rsid w:val="00D26B43"/>
    <w:rsid w:val="00D26D31"/>
    <w:rsid w:val="00D271D6"/>
    <w:rsid w:val="00D27447"/>
    <w:rsid w:val="00D27742"/>
    <w:rsid w:val="00D278B1"/>
    <w:rsid w:val="00D27A34"/>
    <w:rsid w:val="00D27AF2"/>
    <w:rsid w:val="00D30380"/>
    <w:rsid w:val="00D30719"/>
    <w:rsid w:val="00D30984"/>
    <w:rsid w:val="00D30D9A"/>
    <w:rsid w:val="00D3173F"/>
    <w:rsid w:val="00D31943"/>
    <w:rsid w:val="00D31B97"/>
    <w:rsid w:val="00D31DF0"/>
    <w:rsid w:val="00D32F93"/>
    <w:rsid w:val="00D32FD3"/>
    <w:rsid w:val="00D32FFF"/>
    <w:rsid w:val="00D333EA"/>
    <w:rsid w:val="00D33847"/>
    <w:rsid w:val="00D338EB"/>
    <w:rsid w:val="00D33E95"/>
    <w:rsid w:val="00D33EDA"/>
    <w:rsid w:val="00D33F4A"/>
    <w:rsid w:val="00D344B5"/>
    <w:rsid w:val="00D344EB"/>
    <w:rsid w:val="00D3570C"/>
    <w:rsid w:val="00D35947"/>
    <w:rsid w:val="00D359C6"/>
    <w:rsid w:val="00D35C44"/>
    <w:rsid w:val="00D3601D"/>
    <w:rsid w:val="00D36201"/>
    <w:rsid w:val="00D362C4"/>
    <w:rsid w:val="00D36762"/>
    <w:rsid w:val="00D36F7B"/>
    <w:rsid w:val="00D36FAC"/>
    <w:rsid w:val="00D36FB4"/>
    <w:rsid w:val="00D37078"/>
    <w:rsid w:val="00D37AA2"/>
    <w:rsid w:val="00D400F9"/>
    <w:rsid w:val="00D40773"/>
    <w:rsid w:val="00D4090E"/>
    <w:rsid w:val="00D41253"/>
    <w:rsid w:val="00D41772"/>
    <w:rsid w:val="00D41942"/>
    <w:rsid w:val="00D41AC1"/>
    <w:rsid w:val="00D41D76"/>
    <w:rsid w:val="00D424E8"/>
    <w:rsid w:val="00D425A3"/>
    <w:rsid w:val="00D4265B"/>
    <w:rsid w:val="00D4282C"/>
    <w:rsid w:val="00D42E4F"/>
    <w:rsid w:val="00D42EEC"/>
    <w:rsid w:val="00D4342F"/>
    <w:rsid w:val="00D43FD5"/>
    <w:rsid w:val="00D44044"/>
    <w:rsid w:val="00D44106"/>
    <w:rsid w:val="00D441D1"/>
    <w:rsid w:val="00D44503"/>
    <w:rsid w:val="00D44DAF"/>
    <w:rsid w:val="00D452F4"/>
    <w:rsid w:val="00D45475"/>
    <w:rsid w:val="00D45983"/>
    <w:rsid w:val="00D459CE"/>
    <w:rsid w:val="00D460CD"/>
    <w:rsid w:val="00D460DD"/>
    <w:rsid w:val="00D464F3"/>
    <w:rsid w:val="00D474C0"/>
    <w:rsid w:val="00D47611"/>
    <w:rsid w:val="00D4784B"/>
    <w:rsid w:val="00D47FD1"/>
    <w:rsid w:val="00D500BA"/>
    <w:rsid w:val="00D50352"/>
    <w:rsid w:val="00D503B4"/>
    <w:rsid w:val="00D503C8"/>
    <w:rsid w:val="00D505AB"/>
    <w:rsid w:val="00D5075A"/>
    <w:rsid w:val="00D5092A"/>
    <w:rsid w:val="00D50DBB"/>
    <w:rsid w:val="00D5117A"/>
    <w:rsid w:val="00D5140F"/>
    <w:rsid w:val="00D51B17"/>
    <w:rsid w:val="00D51BFA"/>
    <w:rsid w:val="00D521BD"/>
    <w:rsid w:val="00D52BDE"/>
    <w:rsid w:val="00D52F05"/>
    <w:rsid w:val="00D5372F"/>
    <w:rsid w:val="00D53C5B"/>
    <w:rsid w:val="00D53DD7"/>
    <w:rsid w:val="00D54790"/>
    <w:rsid w:val="00D54870"/>
    <w:rsid w:val="00D55067"/>
    <w:rsid w:val="00D55677"/>
    <w:rsid w:val="00D55B98"/>
    <w:rsid w:val="00D55BC9"/>
    <w:rsid w:val="00D55FB1"/>
    <w:rsid w:val="00D56509"/>
    <w:rsid w:val="00D5653F"/>
    <w:rsid w:val="00D56679"/>
    <w:rsid w:val="00D568A3"/>
    <w:rsid w:val="00D56999"/>
    <w:rsid w:val="00D56EA9"/>
    <w:rsid w:val="00D56EAD"/>
    <w:rsid w:val="00D56F3F"/>
    <w:rsid w:val="00D56F66"/>
    <w:rsid w:val="00D571A1"/>
    <w:rsid w:val="00D574AD"/>
    <w:rsid w:val="00D57546"/>
    <w:rsid w:val="00D57879"/>
    <w:rsid w:val="00D57BC3"/>
    <w:rsid w:val="00D57CC7"/>
    <w:rsid w:val="00D57EFC"/>
    <w:rsid w:val="00D57F32"/>
    <w:rsid w:val="00D60B6A"/>
    <w:rsid w:val="00D61640"/>
    <w:rsid w:val="00D61682"/>
    <w:rsid w:val="00D61962"/>
    <w:rsid w:val="00D619BA"/>
    <w:rsid w:val="00D61D26"/>
    <w:rsid w:val="00D6226E"/>
    <w:rsid w:val="00D630E7"/>
    <w:rsid w:val="00D64623"/>
    <w:rsid w:val="00D64A78"/>
    <w:rsid w:val="00D64AA8"/>
    <w:rsid w:val="00D64DA9"/>
    <w:rsid w:val="00D6529A"/>
    <w:rsid w:val="00D6535C"/>
    <w:rsid w:val="00D654CE"/>
    <w:rsid w:val="00D65779"/>
    <w:rsid w:val="00D65BDD"/>
    <w:rsid w:val="00D66278"/>
    <w:rsid w:val="00D66B45"/>
    <w:rsid w:val="00D66BB6"/>
    <w:rsid w:val="00D66F49"/>
    <w:rsid w:val="00D67565"/>
    <w:rsid w:val="00D678B5"/>
    <w:rsid w:val="00D678FD"/>
    <w:rsid w:val="00D67B0E"/>
    <w:rsid w:val="00D67E1C"/>
    <w:rsid w:val="00D67F1F"/>
    <w:rsid w:val="00D700CA"/>
    <w:rsid w:val="00D70111"/>
    <w:rsid w:val="00D7059D"/>
    <w:rsid w:val="00D70B50"/>
    <w:rsid w:val="00D70CC3"/>
    <w:rsid w:val="00D7111D"/>
    <w:rsid w:val="00D71200"/>
    <w:rsid w:val="00D7151F"/>
    <w:rsid w:val="00D71679"/>
    <w:rsid w:val="00D718E2"/>
    <w:rsid w:val="00D71BA0"/>
    <w:rsid w:val="00D72348"/>
    <w:rsid w:val="00D72668"/>
    <w:rsid w:val="00D729B6"/>
    <w:rsid w:val="00D729B8"/>
    <w:rsid w:val="00D7339D"/>
    <w:rsid w:val="00D737F0"/>
    <w:rsid w:val="00D7476A"/>
    <w:rsid w:val="00D74CA3"/>
    <w:rsid w:val="00D74D54"/>
    <w:rsid w:val="00D7508F"/>
    <w:rsid w:val="00D751BC"/>
    <w:rsid w:val="00D751F3"/>
    <w:rsid w:val="00D75345"/>
    <w:rsid w:val="00D75854"/>
    <w:rsid w:val="00D75897"/>
    <w:rsid w:val="00D75BB8"/>
    <w:rsid w:val="00D7609A"/>
    <w:rsid w:val="00D76236"/>
    <w:rsid w:val="00D762FB"/>
    <w:rsid w:val="00D76401"/>
    <w:rsid w:val="00D76917"/>
    <w:rsid w:val="00D76930"/>
    <w:rsid w:val="00D76BA0"/>
    <w:rsid w:val="00D77129"/>
    <w:rsid w:val="00D777F1"/>
    <w:rsid w:val="00D778CE"/>
    <w:rsid w:val="00D805A3"/>
    <w:rsid w:val="00D806FF"/>
    <w:rsid w:val="00D8090B"/>
    <w:rsid w:val="00D80B8B"/>
    <w:rsid w:val="00D81B88"/>
    <w:rsid w:val="00D822CA"/>
    <w:rsid w:val="00D82312"/>
    <w:rsid w:val="00D82320"/>
    <w:rsid w:val="00D8243F"/>
    <w:rsid w:val="00D82678"/>
    <w:rsid w:val="00D8271C"/>
    <w:rsid w:val="00D82908"/>
    <w:rsid w:val="00D82938"/>
    <w:rsid w:val="00D82C80"/>
    <w:rsid w:val="00D82D98"/>
    <w:rsid w:val="00D837B8"/>
    <w:rsid w:val="00D842E0"/>
    <w:rsid w:val="00D844F6"/>
    <w:rsid w:val="00D84711"/>
    <w:rsid w:val="00D84821"/>
    <w:rsid w:val="00D8493F"/>
    <w:rsid w:val="00D84B1E"/>
    <w:rsid w:val="00D858B1"/>
    <w:rsid w:val="00D86184"/>
    <w:rsid w:val="00D8649C"/>
    <w:rsid w:val="00D8673F"/>
    <w:rsid w:val="00D86BAD"/>
    <w:rsid w:val="00D86D10"/>
    <w:rsid w:val="00D875C3"/>
    <w:rsid w:val="00D878FB"/>
    <w:rsid w:val="00D87AF8"/>
    <w:rsid w:val="00D87D86"/>
    <w:rsid w:val="00D87E0C"/>
    <w:rsid w:val="00D904C6"/>
    <w:rsid w:val="00D90CDD"/>
    <w:rsid w:val="00D917A1"/>
    <w:rsid w:val="00D918CF"/>
    <w:rsid w:val="00D91AFF"/>
    <w:rsid w:val="00D91C23"/>
    <w:rsid w:val="00D9253B"/>
    <w:rsid w:val="00D92708"/>
    <w:rsid w:val="00D92F32"/>
    <w:rsid w:val="00D9303C"/>
    <w:rsid w:val="00D93308"/>
    <w:rsid w:val="00D93CD1"/>
    <w:rsid w:val="00D93DF3"/>
    <w:rsid w:val="00D9451E"/>
    <w:rsid w:val="00D9470D"/>
    <w:rsid w:val="00D94D28"/>
    <w:rsid w:val="00D94EF7"/>
    <w:rsid w:val="00D94F3C"/>
    <w:rsid w:val="00D95591"/>
    <w:rsid w:val="00D95687"/>
    <w:rsid w:val="00D956EE"/>
    <w:rsid w:val="00D95A47"/>
    <w:rsid w:val="00D95C7B"/>
    <w:rsid w:val="00D960BD"/>
    <w:rsid w:val="00D96266"/>
    <w:rsid w:val="00D962EC"/>
    <w:rsid w:val="00D96435"/>
    <w:rsid w:val="00D96645"/>
    <w:rsid w:val="00D96937"/>
    <w:rsid w:val="00D96A76"/>
    <w:rsid w:val="00D96E50"/>
    <w:rsid w:val="00D96FE9"/>
    <w:rsid w:val="00D96FF3"/>
    <w:rsid w:val="00D971E0"/>
    <w:rsid w:val="00D97433"/>
    <w:rsid w:val="00D97C5D"/>
    <w:rsid w:val="00DA04D3"/>
    <w:rsid w:val="00DA04DF"/>
    <w:rsid w:val="00DA0AC5"/>
    <w:rsid w:val="00DA0C09"/>
    <w:rsid w:val="00DA0F20"/>
    <w:rsid w:val="00DA11B7"/>
    <w:rsid w:val="00DA127B"/>
    <w:rsid w:val="00DA16AC"/>
    <w:rsid w:val="00DA1BA1"/>
    <w:rsid w:val="00DA202B"/>
    <w:rsid w:val="00DA23AB"/>
    <w:rsid w:val="00DA285E"/>
    <w:rsid w:val="00DA2BBD"/>
    <w:rsid w:val="00DA2F87"/>
    <w:rsid w:val="00DA389F"/>
    <w:rsid w:val="00DA392D"/>
    <w:rsid w:val="00DA39BC"/>
    <w:rsid w:val="00DA3A59"/>
    <w:rsid w:val="00DA44CF"/>
    <w:rsid w:val="00DA4730"/>
    <w:rsid w:val="00DA48C7"/>
    <w:rsid w:val="00DA4D36"/>
    <w:rsid w:val="00DA4DED"/>
    <w:rsid w:val="00DA4EB4"/>
    <w:rsid w:val="00DA532E"/>
    <w:rsid w:val="00DA5F5F"/>
    <w:rsid w:val="00DA6024"/>
    <w:rsid w:val="00DA602C"/>
    <w:rsid w:val="00DA628D"/>
    <w:rsid w:val="00DA6589"/>
    <w:rsid w:val="00DA66F0"/>
    <w:rsid w:val="00DA697F"/>
    <w:rsid w:val="00DA69C6"/>
    <w:rsid w:val="00DA6C86"/>
    <w:rsid w:val="00DA7165"/>
    <w:rsid w:val="00DA79C9"/>
    <w:rsid w:val="00DA7F47"/>
    <w:rsid w:val="00DA7F57"/>
    <w:rsid w:val="00DB00A0"/>
    <w:rsid w:val="00DB04C4"/>
    <w:rsid w:val="00DB2382"/>
    <w:rsid w:val="00DB2F30"/>
    <w:rsid w:val="00DB3D7C"/>
    <w:rsid w:val="00DB3E08"/>
    <w:rsid w:val="00DB451E"/>
    <w:rsid w:val="00DB476E"/>
    <w:rsid w:val="00DB4ABC"/>
    <w:rsid w:val="00DB4F60"/>
    <w:rsid w:val="00DB4FC4"/>
    <w:rsid w:val="00DB56F5"/>
    <w:rsid w:val="00DB5944"/>
    <w:rsid w:val="00DB5F96"/>
    <w:rsid w:val="00DB5FD0"/>
    <w:rsid w:val="00DB62AF"/>
    <w:rsid w:val="00DB673A"/>
    <w:rsid w:val="00DB752E"/>
    <w:rsid w:val="00DB7D44"/>
    <w:rsid w:val="00DB7E19"/>
    <w:rsid w:val="00DC0017"/>
    <w:rsid w:val="00DC0404"/>
    <w:rsid w:val="00DC0783"/>
    <w:rsid w:val="00DC08D5"/>
    <w:rsid w:val="00DC0907"/>
    <w:rsid w:val="00DC0EAA"/>
    <w:rsid w:val="00DC1031"/>
    <w:rsid w:val="00DC1045"/>
    <w:rsid w:val="00DC133B"/>
    <w:rsid w:val="00DC165D"/>
    <w:rsid w:val="00DC1835"/>
    <w:rsid w:val="00DC19A3"/>
    <w:rsid w:val="00DC19B0"/>
    <w:rsid w:val="00DC2295"/>
    <w:rsid w:val="00DC24E8"/>
    <w:rsid w:val="00DC36C9"/>
    <w:rsid w:val="00DC39AC"/>
    <w:rsid w:val="00DC3A0C"/>
    <w:rsid w:val="00DC3D81"/>
    <w:rsid w:val="00DC491A"/>
    <w:rsid w:val="00DC49D6"/>
    <w:rsid w:val="00DC4B2F"/>
    <w:rsid w:val="00DC5C34"/>
    <w:rsid w:val="00DC601E"/>
    <w:rsid w:val="00DC61F3"/>
    <w:rsid w:val="00DC635F"/>
    <w:rsid w:val="00DC65BE"/>
    <w:rsid w:val="00DC6872"/>
    <w:rsid w:val="00DC6F85"/>
    <w:rsid w:val="00DC7118"/>
    <w:rsid w:val="00DC71F8"/>
    <w:rsid w:val="00DC72F8"/>
    <w:rsid w:val="00DC79BB"/>
    <w:rsid w:val="00DC7BA3"/>
    <w:rsid w:val="00DC7D0C"/>
    <w:rsid w:val="00DC7DA5"/>
    <w:rsid w:val="00DD02E8"/>
    <w:rsid w:val="00DD065F"/>
    <w:rsid w:val="00DD098A"/>
    <w:rsid w:val="00DD09A0"/>
    <w:rsid w:val="00DD0B86"/>
    <w:rsid w:val="00DD0C80"/>
    <w:rsid w:val="00DD0EBC"/>
    <w:rsid w:val="00DD1422"/>
    <w:rsid w:val="00DD1463"/>
    <w:rsid w:val="00DD18A6"/>
    <w:rsid w:val="00DD1949"/>
    <w:rsid w:val="00DD20EA"/>
    <w:rsid w:val="00DD21E1"/>
    <w:rsid w:val="00DD261B"/>
    <w:rsid w:val="00DD261E"/>
    <w:rsid w:val="00DD2AC6"/>
    <w:rsid w:val="00DD2ACB"/>
    <w:rsid w:val="00DD2C8F"/>
    <w:rsid w:val="00DD348B"/>
    <w:rsid w:val="00DD3782"/>
    <w:rsid w:val="00DD3865"/>
    <w:rsid w:val="00DD3C54"/>
    <w:rsid w:val="00DD3C7D"/>
    <w:rsid w:val="00DD3D5C"/>
    <w:rsid w:val="00DD4092"/>
    <w:rsid w:val="00DD453C"/>
    <w:rsid w:val="00DD45D4"/>
    <w:rsid w:val="00DD4662"/>
    <w:rsid w:val="00DD489F"/>
    <w:rsid w:val="00DD4A21"/>
    <w:rsid w:val="00DD5343"/>
    <w:rsid w:val="00DD5938"/>
    <w:rsid w:val="00DD5A7E"/>
    <w:rsid w:val="00DD5D76"/>
    <w:rsid w:val="00DD6159"/>
    <w:rsid w:val="00DD6459"/>
    <w:rsid w:val="00DD65E3"/>
    <w:rsid w:val="00DD6C14"/>
    <w:rsid w:val="00DD6CEB"/>
    <w:rsid w:val="00DD6DAB"/>
    <w:rsid w:val="00DD6DE2"/>
    <w:rsid w:val="00DD6FE9"/>
    <w:rsid w:val="00DD71D0"/>
    <w:rsid w:val="00DD71D8"/>
    <w:rsid w:val="00DD724C"/>
    <w:rsid w:val="00DD733B"/>
    <w:rsid w:val="00DD747A"/>
    <w:rsid w:val="00DD77B9"/>
    <w:rsid w:val="00DE02AF"/>
    <w:rsid w:val="00DE0852"/>
    <w:rsid w:val="00DE0CC4"/>
    <w:rsid w:val="00DE1538"/>
    <w:rsid w:val="00DE1A79"/>
    <w:rsid w:val="00DE240D"/>
    <w:rsid w:val="00DE2513"/>
    <w:rsid w:val="00DE26EE"/>
    <w:rsid w:val="00DE2BE4"/>
    <w:rsid w:val="00DE371B"/>
    <w:rsid w:val="00DE3CCD"/>
    <w:rsid w:val="00DE42EA"/>
    <w:rsid w:val="00DE492D"/>
    <w:rsid w:val="00DE4BDF"/>
    <w:rsid w:val="00DE4F61"/>
    <w:rsid w:val="00DE5591"/>
    <w:rsid w:val="00DE56A8"/>
    <w:rsid w:val="00DE66F5"/>
    <w:rsid w:val="00DE6856"/>
    <w:rsid w:val="00DE6874"/>
    <w:rsid w:val="00DE6B30"/>
    <w:rsid w:val="00DE6B6D"/>
    <w:rsid w:val="00DE7503"/>
    <w:rsid w:val="00DE7866"/>
    <w:rsid w:val="00DE7AA4"/>
    <w:rsid w:val="00DE7D26"/>
    <w:rsid w:val="00DF006A"/>
    <w:rsid w:val="00DF0086"/>
    <w:rsid w:val="00DF0406"/>
    <w:rsid w:val="00DF05A9"/>
    <w:rsid w:val="00DF0B87"/>
    <w:rsid w:val="00DF1556"/>
    <w:rsid w:val="00DF16C0"/>
    <w:rsid w:val="00DF1745"/>
    <w:rsid w:val="00DF1A97"/>
    <w:rsid w:val="00DF1F60"/>
    <w:rsid w:val="00DF2238"/>
    <w:rsid w:val="00DF2261"/>
    <w:rsid w:val="00DF24B0"/>
    <w:rsid w:val="00DF2600"/>
    <w:rsid w:val="00DF26FF"/>
    <w:rsid w:val="00DF27C3"/>
    <w:rsid w:val="00DF2D67"/>
    <w:rsid w:val="00DF2E52"/>
    <w:rsid w:val="00DF301B"/>
    <w:rsid w:val="00DF3085"/>
    <w:rsid w:val="00DF375F"/>
    <w:rsid w:val="00DF3960"/>
    <w:rsid w:val="00DF3B40"/>
    <w:rsid w:val="00DF3D5A"/>
    <w:rsid w:val="00DF432A"/>
    <w:rsid w:val="00DF4468"/>
    <w:rsid w:val="00DF47B0"/>
    <w:rsid w:val="00DF5412"/>
    <w:rsid w:val="00DF5984"/>
    <w:rsid w:val="00DF5A5A"/>
    <w:rsid w:val="00DF6049"/>
    <w:rsid w:val="00DF66CB"/>
    <w:rsid w:val="00DF6A35"/>
    <w:rsid w:val="00DF7020"/>
    <w:rsid w:val="00DF7431"/>
    <w:rsid w:val="00DF783D"/>
    <w:rsid w:val="00DF78AA"/>
    <w:rsid w:val="00DF78D6"/>
    <w:rsid w:val="00DF7934"/>
    <w:rsid w:val="00DF7C69"/>
    <w:rsid w:val="00DF7F8F"/>
    <w:rsid w:val="00E001CE"/>
    <w:rsid w:val="00E00990"/>
    <w:rsid w:val="00E00C7E"/>
    <w:rsid w:val="00E0177E"/>
    <w:rsid w:val="00E017DD"/>
    <w:rsid w:val="00E01EED"/>
    <w:rsid w:val="00E026E1"/>
    <w:rsid w:val="00E02E82"/>
    <w:rsid w:val="00E02F28"/>
    <w:rsid w:val="00E03C88"/>
    <w:rsid w:val="00E03CA4"/>
    <w:rsid w:val="00E03D42"/>
    <w:rsid w:val="00E03E51"/>
    <w:rsid w:val="00E03F24"/>
    <w:rsid w:val="00E04249"/>
    <w:rsid w:val="00E046C6"/>
    <w:rsid w:val="00E047A5"/>
    <w:rsid w:val="00E04A1D"/>
    <w:rsid w:val="00E04F68"/>
    <w:rsid w:val="00E05036"/>
    <w:rsid w:val="00E051CE"/>
    <w:rsid w:val="00E052C2"/>
    <w:rsid w:val="00E05553"/>
    <w:rsid w:val="00E057F7"/>
    <w:rsid w:val="00E05898"/>
    <w:rsid w:val="00E06167"/>
    <w:rsid w:val="00E06619"/>
    <w:rsid w:val="00E066AD"/>
    <w:rsid w:val="00E0685E"/>
    <w:rsid w:val="00E06D89"/>
    <w:rsid w:val="00E0711D"/>
    <w:rsid w:val="00E07F9C"/>
    <w:rsid w:val="00E10FAF"/>
    <w:rsid w:val="00E11353"/>
    <w:rsid w:val="00E11497"/>
    <w:rsid w:val="00E11560"/>
    <w:rsid w:val="00E11585"/>
    <w:rsid w:val="00E11DE4"/>
    <w:rsid w:val="00E11E0A"/>
    <w:rsid w:val="00E11F3E"/>
    <w:rsid w:val="00E11F6E"/>
    <w:rsid w:val="00E12306"/>
    <w:rsid w:val="00E124BD"/>
    <w:rsid w:val="00E126C8"/>
    <w:rsid w:val="00E132C9"/>
    <w:rsid w:val="00E135FA"/>
    <w:rsid w:val="00E13A85"/>
    <w:rsid w:val="00E13D64"/>
    <w:rsid w:val="00E14106"/>
    <w:rsid w:val="00E141C1"/>
    <w:rsid w:val="00E1483C"/>
    <w:rsid w:val="00E1497D"/>
    <w:rsid w:val="00E14B39"/>
    <w:rsid w:val="00E14D10"/>
    <w:rsid w:val="00E14F63"/>
    <w:rsid w:val="00E14F90"/>
    <w:rsid w:val="00E1511F"/>
    <w:rsid w:val="00E153F3"/>
    <w:rsid w:val="00E15454"/>
    <w:rsid w:val="00E15465"/>
    <w:rsid w:val="00E1568A"/>
    <w:rsid w:val="00E15E22"/>
    <w:rsid w:val="00E165AD"/>
    <w:rsid w:val="00E165E3"/>
    <w:rsid w:val="00E16AAB"/>
    <w:rsid w:val="00E171C7"/>
    <w:rsid w:val="00E17327"/>
    <w:rsid w:val="00E17AD1"/>
    <w:rsid w:val="00E17B0F"/>
    <w:rsid w:val="00E20003"/>
    <w:rsid w:val="00E200F5"/>
    <w:rsid w:val="00E2010B"/>
    <w:rsid w:val="00E2034D"/>
    <w:rsid w:val="00E203E2"/>
    <w:rsid w:val="00E2056C"/>
    <w:rsid w:val="00E21459"/>
    <w:rsid w:val="00E216A8"/>
    <w:rsid w:val="00E21B10"/>
    <w:rsid w:val="00E21FD9"/>
    <w:rsid w:val="00E221C2"/>
    <w:rsid w:val="00E222D4"/>
    <w:rsid w:val="00E22F72"/>
    <w:rsid w:val="00E23F14"/>
    <w:rsid w:val="00E24076"/>
    <w:rsid w:val="00E241C3"/>
    <w:rsid w:val="00E24430"/>
    <w:rsid w:val="00E2444F"/>
    <w:rsid w:val="00E24526"/>
    <w:rsid w:val="00E24969"/>
    <w:rsid w:val="00E24DD7"/>
    <w:rsid w:val="00E24E6B"/>
    <w:rsid w:val="00E24F4B"/>
    <w:rsid w:val="00E253DA"/>
    <w:rsid w:val="00E25609"/>
    <w:rsid w:val="00E25E3F"/>
    <w:rsid w:val="00E264C4"/>
    <w:rsid w:val="00E26896"/>
    <w:rsid w:val="00E26B9F"/>
    <w:rsid w:val="00E26D39"/>
    <w:rsid w:val="00E27009"/>
    <w:rsid w:val="00E275BE"/>
    <w:rsid w:val="00E27CA9"/>
    <w:rsid w:val="00E30274"/>
    <w:rsid w:val="00E30334"/>
    <w:rsid w:val="00E307FD"/>
    <w:rsid w:val="00E30899"/>
    <w:rsid w:val="00E30D0D"/>
    <w:rsid w:val="00E30D8F"/>
    <w:rsid w:val="00E30FF4"/>
    <w:rsid w:val="00E316BE"/>
    <w:rsid w:val="00E31C20"/>
    <w:rsid w:val="00E31FD0"/>
    <w:rsid w:val="00E330A5"/>
    <w:rsid w:val="00E33393"/>
    <w:rsid w:val="00E336D8"/>
    <w:rsid w:val="00E33729"/>
    <w:rsid w:val="00E33815"/>
    <w:rsid w:val="00E33930"/>
    <w:rsid w:val="00E340C2"/>
    <w:rsid w:val="00E34736"/>
    <w:rsid w:val="00E3494E"/>
    <w:rsid w:val="00E34A7D"/>
    <w:rsid w:val="00E34CE3"/>
    <w:rsid w:val="00E34E86"/>
    <w:rsid w:val="00E34F24"/>
    <w:rsid w:val="00E350EC"/>
    <w:rsid w:val="00E3527A"/>
    <w:rsid w:val="00E3576E"/>
    <w:rsid w:val="00E3587C"/>
    <w:rsid w:val="00E35BF4"/>
    <w:rsid w:val="00E35D2A"/>
    <w:rsid w:val="00E36134"/>
    <w:rsid w:val="00E36394"/>
    <w:rsid w:val="00E3682D"/>
    <w:rsid w:val="00E36A47"/>
    <w:rsid w:val="00E36AF0"/>
    <w:rsid w:val="00E36B48"/>
    <w:rsid w:val="00E36BFF"/>
    <w:rsid w:val="00E36D65"/>
    <w:rsid w:val="00E36DEF"/>
    <w:rsid w:val="00E371EF"/>
    <w:rsid w:val="00E3788A"/>
    <w:rsid w:val="00E3792D"/>
    <w:rsid w:val="00E37C65"/>
    <w:rsid w:val="00E40261"/>
    <w:rsid w:val="00E4032C"/>
    <w:rsid w:val="00E4036B"/>
    <w:rsid w:val="00E404E1"/>
    <w:rsid w:val="00E40967"/>
    <w:rsid w:val="00E40DE8"/>
    <w:rsid w:val="00E40E06"/>
    <w:rsid w:val="00E41127"/>
    <w:rsid w:val="00E418A3"/>
    <w:rsid w:val="00E41B8C"/>
    <w:rsid w:val="00E422CB"/>
    <w:rsid w:val="00E4287B"/>
    <w:rsid w:val="00E42A34"/>
    <w:rsid w:val="00E42DC8"/>
    <w:rsid w:val="00E4301C"/>
    <w:rsid w:val="00E431AF"/>
    <w:rsid w:val="00E43460"/>
    <w:rsid w:val="00E439E5"/>
    <w:rsid w:val="00E43EC0"/>
    <w:rsid w:val="00E441A9"/>
    <w:rsid w:val="00E45090"/>
    <w:rsid w:val="00E4510E"/>
    <w:rsid w:val="00E4561B"/>
    <w:rsid w:val="00E4568A"/>
    <w:rsid w:val="00E45893"/>
    <w:rsid w:val="00E459F6"/>
    <w:rsid w:val="00E45DFE"/>
    <w:rsid w:val="00E45F16"/>
    <w:rsid w:val="00E46155"/>
    <w:rsid w:val="00E469CD"/>
    <w:rsid w:val="00E4751E"/>
    <w:rsid w:val="00E4760F"/>
    <w:rsid w:val="00E47A76"/>
    <w:rsid w:val="00E47BB7"/>
    <w:rsid w:val="00E47C5C"/>
    <w:rsid w:val="00E47FF1"/>
    <w:rsid w:val="00E50200"/>
    <w:rsid w:val="00E5062C"/>
    <w:rsid w:val="00E50A6C"/>
    <w:rsid w:val="00E50B66"/>
    <w:rsid w:val="00E50C02"/>
    <w:rsid w:val="00E50D91"/>
    <w:rsid w:val="00E50F93"/>
    <w:rsid w:val="00E515B9"/>
    <w:rsid w:val="00E5168C"/>
    <w:rsid w:val="00E51984"/>
    <w:rsid w:val="00E51A70"/>
    <w:rsid w:val="00E51D64"/>
    <w:rsid w:val="00E5228A"/>
    <w:rsid w:val="00E52410"/>
    <w:rsid w:val="00E52A23"/>
    <w:rsid w:val="00E530BF"/>
    <w:rsid w:val="00E5335A"/>
    <w:rsid w:val="00E5406F"/>
    <w:rsid w:val="00E541F8"/>
    <w:rsid w:val="00E542AD"/>
    <w:rsid w:val="00E54423"/>
    <w:rsid w:val="00E54550"/>
    <w:rsid w:val="00E54760"/>
    <w:rsid w:val="00E5505D"/>
    <w:rsid w:val="00E5547D"/>
    <w:rsid w:val="00E55592"/>
    <w:rsid w:val="00E556AB"/>
    <w:rsid w:val="00E5596E"/>
    <w:rsid w:val="00E55A0B"/>
    <w:rsid w:val="00E56108"/>
    <w:rsid w:val="00E564D6"/>
    <w:rsid w:val="00E56722"/>
    <w:rsid w:val="00E568B4"/>
    <w:rsid w:val="00E56B9C"/>
    <w:rsid w:val="00E57482"/>
    <w:rsid w:val="00E574CA"/>
    <w:rsid w:val="00E57904"/>
    <w:rsid w:val="00E6098C"/>
    <w:rsid w:val="00E60C36"/>
    <w:rsid w:val="00E61552"/>
    <w:rsid w:val="00E6157B"/>
    <w:rsid w:val="00E6191E"/>
    <w:rsid w:val="00E61932"/>
    <w:rsid w:val="00E61D5C"/>
    <w:rsid w:val="00E61D8F"/>
    <w:rsid w:val="00E6225D"/>
    <w:rsid w:val="00E62780"/>
    <w:rsid w:val="00E62B4B"/>
    <w:rsid w:val="00E62FC4"/>
    <w:rsid w:val="00E62FF6"/>
    <w:rsid w:val="00E631C9"/>
    <w:rsid w:val="00E63222"/>
    <w:rsid w:val="00E633FC"/>
    <w:rsid w:val="00E636F0"/>
    <w:rsid w:val="00E6387F"/>
    <w:rsid w:val="00E63954"/>
    <w:rsid w:val="00E63BF8"/>
    <w:rsid w:val="00E63CFE"/>
    <w:rsid w:val="00E63E6B"/>
    <w:rsid w:val="00E63F03"/>
    <w:rsid w:val="00E63FE0"/>
    <w:rsid w:val="00E65070"/>
    <w:rsid w:val="00E659E0"/>
    <w:rsid w:val="00E65D3F"/>
    <w:rsid w:val="00E65E6F"/>
    <w:rsid w:val="00E66418"/>
    <w:rsid w:val="00E66618"/>
    <w:rsid w:val="00E666BB"/>
    <w:rsid w:val="00E668C0"/>
    <w:rsid w:val="00E670BA"/>
    <w:rsid w:val="00E671F5"/>
    <w:rsid w:val="00E67247"/>
    <w:rsid w:val="00E70382"/>
    <w:rsid w:val="00E70440"/>
    <w:rsid w:val="00E70887"/>
    <w:rsid w:val="00E7089F"/>
    <w:rsid w:val="00E70B59"/>
    <w:rsid w:val="00E70BD4"/>
    <w:rsid w:val="00E70CFB"/>
    <w:rsid w:val="00E718AF"/>
    <w:rsid w:val="00E718D6"/>
    <w:rsid w:val="00E71AE4"/>
    <w:rsid w:val="00E71CE9"/>
    <w:rsid w:val="00E72151"/>
    <w:rsid w:val="00E72432"/>
    <w:rsid w:val="00E72855"/>
    <w:rsid w:val="00E72A0C"/>
    <w:rsid w:val="00E73115"/>
    <w:rsid w:val="00E73365"/>
    <w:rsid w:val="00E73403"/>
    <w:rsid w:val="00E73E95"/>
    <w:rsid w:val="00E740FB"/>
    <w:rsid w:val="00E7436E"/>
    <w:rsid w:val="00E7457F"/>
    <w:rsid w:val="00E74590"/>
    <w:rsid w:val="00E7470C"/>
    <w:rsid w:val="00E74B38"/>
    <w:rsid w:val="00E74FE2"/>
    <w:rsid w:val="00E7521F"/>
    <w:rsid w:val="00E75284"/>
    <w:rsid w:val="00E752E9"/>
    <w:rsid w:val="00E75452"/>
    <w:rsid w:val="00E763AF"/>
    <w:rsid w:val="00E769C5"/>
    <w:rsid w:val="00E76B68"/>
    <w:rsid w:val="00E76BF2"/>
    <w:rsid w:val="00E771B4"/>
    <w:rsid w:val="00E77450"/>
    <w:rsid w:val="00E800D6"/>
    <w:rsid w:val="00E805FA"/>
    <w:rsid w:val="00E80B67"/>
    <w:rsid w:val="00E80D30"/>
    <w:rsid w:val="00E8136E"/>
    <w:rsid w:val="00E817B5"/>
    <w:rsid w:val="00E817CF"/>
    <w:rsid w:val="00E81C6B"/>
    <w:rsid w:val="00E81FB9"/>
    <w:rsid w:val="00E82841"/>
    <w:rsid w:val="00E82B95"/>
    <w:rsid w:val="00E82EA6"/>
    <w:rsid w:val="00E83C6C"/>
    <w:rsid w:val="00E83FBF"/>
    <w:rsid w:val="00E8451C"/>
    <w:rsid w:val="00E847E4"/>
    <w:rsid w:val="00E84A6E"/>
    <w:rsid w:val="00E84FDC"/>
    <w:rsid w:val="00E8594A"/>
    <w:rsid w:val="00E86E60"/>
    <w:rsid w:val="00E87182"/>
    <w:rsid w:val="00E87689"/>
    <w:rsid w:val="00E87B2D"/>
    <w:rsid w:val="00E9011B"/>
    <w:rsid w:val="00E905BA"/>
    <w:rsid w:val="00E908BE"/>
    <w:rsid w:val="00E90BB3"/>
    <w:rsid w:val="00E90F5D"/>
    <w:rsid w:val="00E912AC"/>
    <w:rsid w:val="00E9137B"/>
    <w:rsid w:val="00E915D9"/>
    <w:rsid w:val="00E92419"/>
    <w:rsid w:val="00E92E77"/>
    <w:rsid w:val="00E9333E"/>
    <w:rsid w:val="00E9366A"/>
    <w:rsid w:val="00E93AA4"/>
    <w:rsid w:val="00E93BD8"/>
    <w:rsid w:val="00E94C2E"/>
    <w:rsid w:val="00E94C60"/>
    <w:rsid w:val="00E9526D"/>
    <w:rsid w:val="00E952FC"/>
    <w:rsid w:val="00E95398"/>
    <w:rsid w:val="00E95552"/>
    <w:rsid w:val="00E95FDE"/>
    <w:rsid w:val="00E9632E"/>
    <w:rsid w:val="00E9653E"/>
    <w:rsid w:val="00E96792"/>
    <w:rsid w:val="00E96F14"/>
    <w:rsid w:val="00E970A1"/>
    <w:rsid w:val="00E9719B"/>
    <w:rsid w:val="00E978F9"/>
    <w:rsid w:val="00E9794D"/>
    <w:rsid w:val="00E97A25"/>
    <w:rsid w:val="00E97C58"/>
    <w:rsid w:val="00E97ECC"/>
    <w:rsid w:val="00EA00D5"/>
    <w:rsid w:val="00EA0290"/>
    <w:rsid w:val="00EA052A"/>
    <w:rsid w:val="00EA0AC2"/>
    <w:rsid w:val="00EA0BD1"/>
    <w:rsid w:val="00EA0C25"/>
    <w:rsid w:val="00EA0EC1"/>
    <w:rsid w:val="00EA14F1"/>
    <w:rsid w:val="00EA1627"/>
    <w:rsid w:val="00EA165E"/>
    <w:rsid w:val="00EA1C97"/>
    <w:rsid w:val="00EA1F38"/>
    <w:rsid w:val="00EA22C5"/>
    <w:rsid w:val="00EA2A13"/>
    <w:rsid w:val="00EA3E43"/>
    <w:rsid w:val="00EA40C3"/>
    <w:rsid w:val="00EA41A3"/>
    <w:rsid w:val="00EA45F4"/>
    <w:rsid w:val="00EA4692"/>
    <w:rsid w:val="00EA46CD"/>
    <w:rsid w:val="00EA4890"/>
    <w:rsid w:val="00EA4CA1"/>
    <w:rsid w:val="00EA4ECC"/>
    <w:rsid w:val="00EA5838"/>
    <w:rsid w:val="00EA6447"/>
    <w:rsid w:val="00EA666F"/>
    <w:rsid w:val="00EA6840"/>
    <w:rsid w:val="00EA69C2"/>
    <w:rsid w:val="00EA6A80"/>
    <w:rsid w:val="00EA6BD2"/>
    <w:rsid w:val="00EA7041"/>
    <w:rsid w:val="00EA7771"/>
    <w:rsid w:val="00EA7961"/>
    <w:rsid w:val="00EA79D7"/>
    <w:rsid w:val="00EB050C"/>
    <w:rsid w:val="00EB0916"/>
    <w:rsid w:val="00EB0C8C"/>
    <w:rsid w:val="00EB0D0D"/>
    <w:rsid w:val="00EB0EB9"/>
    <w:rsid w:val="00EB0FC9"/>
    <w:rsid w:val="00EB1044"/>
    <w:rsid w:val="00EB11F2"/>
    <w:rsid w:val="00EB1252"/>
    <w:rsid w:val="00EB2766"/>
    <w:rsid w:val="00EB2D35"/>
    <w:rsid w:val="00EB2E2E"/>
    <w:rsid w:val="00EB3075"/>
    <w:rsid w:val="00EB3529"/>
    <w:rsid w:val="00EB357C"/>
    <w:rsid w:val="00EB37E9"/>
    <w:rsid w:val="00EB39A2"/>
    <w:rsid w:val="00EB39C2"/>
    <w:rsid w:val="00EB3A94"/>
    <w:rsid w:val="00EB3F10"/>
    <w:rsid w:val="00EB466B"/>
    <w:rsid w:val="00EB4BC0"/>
    <w:rsid w:val="00EB4D29"/>
    <w:rsid w:val="00EB4E79"/>
    <w:rsid w:val="00EB54C5"/>
    <w:rsid w:val="00EB55FC"/>
    <w:rsid w:val="00EB57A4"/>
    <w:rsid w:val="00EB585F"/>
    <w:rsid w:val="00EB586C"/>
    <w:rsid w:val="00EB6183"/>
    <w:rsid w:val="00EB6506"/>
    <w:rsid w:val="00EB6796"/>
    <w:rsid w:val="00EB6843"/>
    <w:rsid w:val="00EB69C6"/>
    <w:rsid w:val="00EB6AD9"/>
    <w:rsid w:val="00EB72E4"/>
    <w:rsid w:val="00EB7DB8"/>
    <w:rsid w:val="00EC0A52"/>
    <w:rsid w:val="00EC0D95"/>
    <w:rsid w:val="00EC0E85"/>
    <w:rsid w:val="00EC0F52"/>
    <w:rsid w:val="00EC1167"/>
    <w:rsid w:val="00EC12A5"/>
    <w:rsid w:val="00EC14DB"/>
    <w:rsid w:val="00EC1D46"/>
    <w:rsid w:val="00EC1D96"/>
    <w:rsid w:val="00EC1DFC"/>
    <w:rsid w:val="00EC238A"/>
    <w:rsid w:val="00EC2409"/>
    <w:rsid w:val="00EC2584"/>
    <w:rsid w:val="00EC26BC"/>
    <w:rsid w:val="00EC314F"/>
    <w:rsid w:val="00EC3383"/>
    <w:rsid w:val="00EC39C2"/>
    <w:rsid w:val="00EC3C2B"/>
    <w:rsid w:val="00EC4241"/>
    <w:rsid w:val="00EC4A95"/>
    <w:rsid w:val="00EC50B0"/>
    <w:rsid w:val="00EC5289"/>
    <w:rsid w:val="00EC56ED"/>
    <w:rsid w:val="00EC6215"/>
    <w:rsid w:val="00EC63BC"/>
    <w:rsid w:val="00EC64FB"/>
    <w:rsid w:val="00EC6ECE"/>
    <w:rsid w:val="00EC704B"/>
    <w:rsid w:val="00EC707C"/>
    <w:rsid w:val="00EC7839"/>
    <w:rsid w:val="00EC7B38"/>
    <w:rsid w:val="00EC7C96"/>
    <w:rsid w:val="00EC7DD8"/>
    <w:rsid w:val="00ED003E"/>
    <w:rsid w:val="00ED02B4"/>
    <w:rsid w:val="00ED0760"/>
    <w:rsid w:val="00ED09F5"/>
    <w:rsid w:val="00ED0B0F"/>
    <w:rsid w:val="00ED0EC4"/>
    <w:rsid w:val="00ED1275"/>
    <w:rsid w:val="00ED14E2"/>
    <w:rsid w:val="00ED1643"/>
    <w:rsid w:val="00ED1802"/>
    <w:rsid w:val="00ED1A9A"/>
    <w:rsid w:val="00ED1AB9"/>
    <w:rsid w:val="00ED1D52"/>
    <w:rsid w:val="00ED1D8C"/>
    <w:rsid w:val="00ED1FDC"/>
    <w:rsid w:val="00ED217A"/>
    <w:rsid w:val="00ED248A"/>
    <w:rsid w:val="00ED29E7"/>
    <w:rsid w:val="00ED2D2A"/>
    <w:rsid w:val="00ED35BB"/>
    <w:rsid w:val="00ED3BD6"/>
    <w:rsid w:val="00ED435D"/>
    <w:rsid w:val="00ED4847"/>
    <w:rsid w:val="00ED5061"/>
    <w:rsid w:val="00ED5659"/>
    <w:rsid w:val="00ED61A2"/>
    <w:rsid w:val="00ED66D8"/>
    <w:rsid w:val="00ED69C8"/>
    <w:rsid w:val="00ED6B0B"/>
    <w:rsid w:val="00ED6C59"/>
    <w:rsid w:val="00ED6C92"/>
    <w:rsid w:val="00ED7238"/>
    <w:rsid w:val="00ED730E"/>
    <w:rsid w:val="00ED7B69"/>
    <w:rsid w:val="00ED7FC0"/>
    <w:rsid w:val="00EE0275"/>
    <w:rsid w:val="00EE0383"/>
    <w:rsid w:val="00EE0389"/>
    <w:rsid w:val="00EE05E5"/>
    <w:rsid w:val="00EE0A44"/>
    <w:rsid w:val="00EE0B81"/>
    <w:rsid w:val="00EE0CA9"/>
    <w:rsid w:val="00EE0DA2"/>
    <w:rsid w:val="00EE0DD4"/>
    <w:rsid w:val="00EE1491"/>
    <w:rsid w:val="00EE14EC"/>
    <w:rsid w:val="00EE1A1A"/>
    <w:rsid w:val="00EE1AEF"/>
    <w:rsid w:val="00EE1DDD"/>
    <w:rsid w:val="00EE1E0F"/>
    <w:rsid w:val="00EE1E71"/>
    <w:rsid w:val="00EE1E9A"/>
    <w:rsid w:val="00EE2850"/>
    <w:rsid w:val="00EE2AB8"/>
    <w:rsid w:val="00EE2C81"/>
    <w:rsid w:val="00EE33B8"/>
    <w:rsid w:val="00EE39E8"/>
    <w:rsid w:val="00EE4B33"/>
    <w:rsid w:val="00EE4E98"/>
    <w:rsid w:val="00EE502F"/>
    <w:rsid w:val="00EE505A"/>
    <w:rsid w:val="00EE5204"/>
    <w:rsid w:val="00EE54E9"/>
    <w:rsid w:val="00EE5DA8"/>
    <w:rsid w:val="00EE5F38"/>
    <w:rsid w:val="00EE6020"/>
    <w:rsid w:val="00EE61D7"/>
    <w:rsid w:val="00EE620A"/>
    <w:rsid w:val="00EE6E0D"/>
    <w:rsid w:val="00EE7E7F"/>
    <w:rsid w:val="00EF0081"/>
    <w:rsid w:val="00EF01CD"/>
    <w:rsid w:val="00EF0753"/>
    <w:rsid w:val="00EF0827"/>
    <w:rsid w:val="00EF08B6"/>
    <w:rsid w:val="00EF135A"/>
    <w:rsid w:val="00EF14CF"/>
    <w:rsid w:val="00EF1D90"/>
    <w:rsid w:val="00EF22DE"/>
    <w:rsid w:val="00EF3339"/>
    <w:rsid w:val="00EF3754"/>
    <w:rsid w:val="00EF3B78"/>
    <w:rsid w:val="00EF3C0A"/>
    <w:rsid w:val="00EF3F5D"/>
    <w:rsid w:val="00EF4794"/>
    <w:rsid w:val="00EF53B8"/>
    <w:rsid w:val="00EF54D9"/>
    <w:rsid w:val="00EF58DA"/>
    <w:rsid w:val="00EF5996"/>
    <w:rsid w:val="00EF5B66"/>
    <w:rsid w:val="00EF5D5F"/>
    <w:rsid w:val="00EF6890"/>
    <w:rsid w:val="00EF6F8D"/>
    <w:rsid w:val="00EF6FC6"/>
    <w:rsid w:val="00EF7A98"/>
    <w:rsid w:val="00EF7E6B"/>
    <w:rsid w:val="00F002F4"/>
    <w:rsid w:val="00F004F9"/>
    <w:rsid w:val="00F005CB"/>
    <w:rsid w:val="00F0074C"/>
    <w:rsid w:val="00F00D22"/>
    <w:rsid w:val="00F00D62"/>
    <w:rsid w:val="00F00F7A"/>
    <w:rsid w:val="00F0121A"/>
    <w:rsid w:val="00F01535"/>
    <w:rsid w:val="00F01874"/>
    <w:rsid w:val="00F01C56"/>
    <w:rsid w:val="00F01CB5"/>
    <w:rsid w:val="00F0201F"/>
    <w:rsid w:val="00F0228C"/>
    <w:rsid w:val="00F02307"/>
    <w:rsid w:val="00F0243F"/>
    <w:rsid w:val="00F025BD"/>
    <w:rsid w:val="00F02605"/>
    <w:rsid w:val="00F02823"/>
    <w:rsid w:val="00F030ED"/>
    <w:rsid w:val="00F0393B"/>
    <w:rsid w:val="00F04812"/>
    <w:rsid w:val="00F055F8"/>
    <w:rsid w:val="00F05792"/>
    <w:rsid w:val="00F057E7"/>
    <w:rsid w:val="00F05847"/>
    <w:rsid w:val="00F05873"/>
    <w:rsid w:val="00F06038"/>
    <w:rsid w:val="00F0633C"/>
    <w:rsid w:val="00F065C6"/>
    <w:rsid w:val="00F066E3"/>
    <w:rsid w:val="00F066F8"/>
    <w:rsid w:val="00F06DB7"/>
    <w:rsid w:val="00F06DEE"/>
    <w:rsid w:val="00F078BC"/>
    <w:rsid w:val="00F07B0C"/>
    <w:rsid w:val="00F07D68"/>
    <w:rsid w:val="00F1002D"/>
    <w:rsid w:val="00F1004C"/>
    <w:rsid w:val="00F10611"/>
    <w:rsid w:val="00F10B99"/>
    <w:rsid w:val="00F110F3"/>
    <w:rsid w:val="00F11EFB"/>
    <w:rsid w:val="00F12945"/>
    <w:rsid w:val="00F12E02"/>
    <w:rsid w:val="00F12F23"/>
    <w:rsid w:val="00F1325A"/>
    <w:rsid w:val="00F134FC"/>
    <w:rsid w:val="00F135D3"/>
    <w:rsid w:val="00F1395E"/>
    <w:rsid w:val="00F13F49"/>
    <w:rsid w:val="00F149C0"/>
    <w:rsid w:val="00F14BEB"/>
    <w:rsid w:val="00F14DD6"/>
    <w:rsid w:val="00F153D5"/>
    <w:rsid w:val="00F15882"/>
    <w:rsid w:val="00F1589E"/>
    <w:rsid w:val="00F15A8D"/>
    <w:rsid w:val="00F15BCC"/>
    <w:rsid w:val="00F15E38"/>
    <w:rsid w:val="00F16429"/>
    <w:rsid w:val="00F165B4"/>
    <w:rsid w:val="00F16B9A"/>
    <w:rsid w:val="00F17042"/>
    <w:rsid w:val="00F17260"/>
    <w:rsid w:val="00F1766C"/>
    <w:rsid w:val="00F179A2"/>
    <w:rsid w:val="00F17B7B"/>
    <w:rsid w:val="00F2019E"/>
    <w:rsid w:val="00F20FCF"/>
    <w:rsid w:val="00F21260"/>
    <w:rsid w:val="00F215B6"/>
    <w:rsid w:val="00F2191D"/>
    <w:rsid w:val="00F219E8"/>
    <w:rsid w:val="00F21E41"/>
    <w:rsid w:val="00F224C1"/>
    <w:rsid w:val="00F2279E"/>
    <w:rsid w:val="00F22F99"/>
    <w:rsid w:val="00F23109"/>
    <w:rsid w:val="00F233D6"/>
    <w:rsid w:val="00F23524"/>
    <w:rsid w:val="00F23684"/>
    <w:rsid w:val="00F23D08"/>
    <w:rsid w:val="00F23D9A"/>
    <w:rsid w:val="00F23FFF"/>
    <w:rsid w:val="00F245E6"/>
    <w:rsid w:val="00F24BEF"/>
    <w:rsid w:val="00F25949"/>
    <w:rsid w:val="00F26203"/>
    <w:rsid w:val="00F2633A"/>
    <w:rsid w:val="00F266ED"/>
    <w:rsid w:val="00F26A68"/>
    <w:rsid w:val="00F272CD"/>
    <w:rsid w:val="00F2732F"/>
    <w:rsid w:val="00F27699"/>
    <w:rsid w:val="00F279C6"/>
    <w:rsid w:val="00F27DDE"/>
    <w:rsid w:val="00F305C7"/>
    <w:rsid w:val="00F309B5"/>
    <w:rsid w:val="00F30EAC"/>
    <w:rsid w:val="00F31262"/>
    <w:rsid w:val="00F3150D"/>
    <w:rsid w:val="00F316ED"/>
    <w:rsid w:val="00F31B3B"/>
    <w:rsid w:val="00F31B60"/>
    <w:rsid w:val="00F31E53"/>
    <w:rsid w:val="00F32091"/>
    <w:rsid w:val="00F32394"/>
    <w:rsid w:val="00F33026"/>
    <w:rsid w:val="00F332CE"/>
    <w:rsid w:val="00F335EF"/>
    <w:rsid w:val="00F33AAB"/>
    <w:rsid w:val="00F33B9E"/>
    <w:rsid w:val="00F34218"/>
    <w:rsid w:val="00F34601"/>
    <w:rsid w:val="00F34DC0"/>
    <w:rsid w:val="00F34FFA"/>
    <w:rsid w:val="00F350C9"/>
    <w:rsid w:val="00F351A9"/>
    <w:rsid w:val="00F35664"/>
    <w:rsid w:val="00F3608D"/>
    <w:rsid w:val="00F36405"/>
    <w:rsid w:val="00F364B5"/>
    <w:rsid w:val="00F3663B"/>
    <w:rsid w:val="00F36A2A"/>
    <w:rsid w:val="00F36AD9"/>
    <w:rsid w:val="00F37439"/>
    <w:rsid w:val="00F375D9"/>
    <w:rsid w:val="00F375E5"/>
    <w:rsid w:val="00F37D34"/>
    <w:rsid w:val="00F37E1A"/>
    <w:rsid w:val="00F40387"/>
    <w:rsid w:val="00F4054F"/>
    <w:rsid w:val="00F4106A"/>
    <w:rsid w:val="00F41113"/>
    <w:rsid w:val="00F41288"/>
    <w:rsid w:val="00F414B7"/>
    <w:rsid w:val="00F415CE"/>
    <w:rsid w:val="00F415D8"/>
    <w:rsid w:val="00F41A24"/>
    <w:rsid w:val="00F41E73"/>
    <w:rsid w:val="00F42143"/>
    <w:rsid w:val="00F42226"/>
    <w:rsid w:val="00F42DEA"/>
    <w:rsid w:val="00F42E51"/>
    <w:rsid w:val="00F42ED5"/>
    <w:rsid w:val="00F4376C"/>
    <w:rsid w:val="00F43DD4"/>
    <w:rsid w:val="00F43E24"/>
    <w:rsid w:val="00F44833"/>
    <w:rsid w:val="00F44D30"/>
    <w:rsid w:val="00F44F55"/>
    <w:rsid w:val="00F45035"/>
    <w:rsid w:val="00F453B1"/>
    <w:rsid w:val="00F456DF"/>
    <w:rsid w:val="00F459E3"/>
    <w:rsid w:val="00F460F0"/>
    <w:rsid w:val="00F462EA"/>
    <w:rsid w:val="00F462F8"/>
    <w:rsid w:val="00F46442"/>
    <w:rsid w:val="00F46943"/>
    <w:rsid w:val="00F47242"/>
    <w:rsid w:val="00F47244"/>
    <w:rsid w:val="00F47503"/>
    <w:rsid w:val="00F47529"/>
    <w:rsid w:val="00F477A9"/>
    <w:rsid w:val="00F47CE5"/>
    <w:rsid w:val="00F5030E"/>
    <w:rsid w:val="00F506C6"/>
    <w:rsid w:val="00F5110D"/>
    <w:rsid w:val="00F51FE5"/>
    <w:rsid w:val="00F529BD"/>
    <w:rsid w:val="00F52AFA"/>
    <w:rsid w:val="00F52DB1"/>
    <w:rsid w:val="00F52DCC"/>
    <w:rsid w:val="00F53B79"/>
    <w:rsid w:val="00F53BF6"/>
    <w:rsid w:val="00F53D26"/>
    <w:rsid w:val="00F54597"/>
    <w:rsid w:val="00F547FA"/>
    <w:rsid w:val="00F54CF9"/>
    <w:rsid w:val="00F5513C"/>
    <w:rsid w:val="00F5537C"/>
    <w:rsid w:val="00F55589"/>
    <w:rsid w:val="00F56129"/>
    <w:rsid w:val="00F57042"/>
    <w:rsid w:val="00F57224"/>
    <w:rsid w:val="00F57760"/>
    <w:rsid w:val="00F57936"/>
    <w:rsid w:val="00F57C05"/>
    <w:rsid w:val="00F57EF4"/>
    <w:rsid w:val="00F57F24"/>
    <w:rsid w:val="00F57FEE"/>
    <w:rsid w:val="00F60582"/>
    <w:rsid w:val="00F6118E"/>
    <w:rsid w:val="00F61777"/>
    <w:rsid w:val="00F61B62"/>
    <w:rsid w:val="00F62102"/>
    <w:rsid w:val="00F6264A"/>
    <w:rsid w:val="00F6278B"/>
    <w:rsid w:val="00F62945"/>
    <w:rsid w:val="00F62C13"/>
    <w:rsid w:val="00F62E0D"/>
    <w:rsid w:val="00F630FC"/>
    <w:rsid w:val="00F6318F"/>
    <w:rsid w:val="00F6335D"/>
    <w:rsid w:val="00F6350B"/>
    <w:rsid w:val="00F639E6"/>
    <w:rsid w:val="00F63A37"/>
    <w:rsid w:val="00F63B74"/>
    <w:rsid w:val="00F63CC1"/>
    <w:rsid w:val="00F640E4"/>
    <w:rsid w:val="00F64367"/>
    <w:rsid w:val="00F65130"/>
    <w:rsid w:val="00F662F8"/>
    <w:rsid w:val="00F66300"/>
    <w:rsid w:val="00F666EA"/>
    <w:rsid w:val="00F66E80"/>
    <w:rsid w:val="00F67031"/>
    <w:rsid w:val="00F670B8"/>
    <w:rsid w:val="00F6710B"/>
    <w:rsid w:val="00F6723B"/>
    <w:rsid w:val="00F67BFF"/>
    <w:rsid w:val="00F67CE0"/>
    <w:rsid w:val="00F67DF5"/>
    <w:rsid w:val="00F67E5B"/>
    <w:rsid w:val="00F67ECD"/>
    <w:rsid w:val="00F7003F"/>
    <w:rsid w:val="00F701F0"/>
    <w:rsid w:val="00F7062F"/>
    <w:rsid w:val="00F70BF1"/>
    <w:rsid w:val="00F70E3D"/>
    <w:rsid w:val="00F710CE"/>
    <w:rsid w:val="00F7160D"/>
    <w:rsid w:val="00F71652"/>
    <w:rsid w:val="00F7166C"/>
    <w:rsid w:val="00F71CD9"/>
    <w:rsid w:val="00F7264B"/>
    <w:rsid w:val="00F7274C"/>
    <w:rsid w:val="00F72ACE"/>
    <w:rsid w:val="00F72B98"/>
    <w:rsid w:val="00F72EE9"/>
    <w:rsid w:val="00F72F88"/>
    <w:rsid w:val="00F7353B"/>
    <w:rsid w:val="00F7363D"/>
    <w:rsid w:val="00F74247"/>
    <w:rsid w:val="00F742C3"/>
    <w:rsid w:val="00F74563"/>
    <w:rsid w:val="00F74BFA"/>
    <w:rsid w:val="00F74DF7"/>
    <w:rsid w:val="00F74E7F"/>
    <w:rsid w:val="00F74F4C"/>
    <w:rsid w:val="00F7536D"/>
    <w:rsid w:val="00F7536E"/>
    <w:rsid w:val="00F75449"/>
    <w:rsid w:val="00F754D5"/>
    <w:rsid w:val="00F75CE1"/>
    <w:rsid w:val="00F76394"/>
    <w:rsid w:val="00F764DF"/>
    <w:rsid w:val="00F76538"/>
    <w:rsid w:val="00F76593"/>
    <w:rsid w:val="00F768EF"/>
    <w:rsid w:val="00F76CB1"/>
    <w:rsid w:val="00F77294"/>
    <w:rsid w:val="00F7782D"/>
    <w:rsid w:val="00F77A75"/>
    <w:rsid w:val="00F77AEC"/>
    <w:rsid w:val="00F77CDD"/>
    <w:rsid w:val="00F804E3"/>
    <w:rsid w:val="00F80683"/>
    <w:rsid w:val="00F80897"/>
    <w:rsid w:val="00F80E84"/>
    <w:rsid w:val="00F810DC"/>
    <w:rsid w:val="00F81312"/>
    <w:rsid w:val="00F81EF4"/>
    <w:rsid w:val="00F82203"/>
    <w:rsid w:val="00F8224D"/>
    <w:rsid w:val="00F82B69"/>
    <w:rsid w:val="00F82DDE"/>
    <w:rsid w:val="00F82DEB"/>
    <w:rsid w:val="00F82DFE"/>
    <w:rsid w:val="00F82FA4"/>
    <w:rsid w:val="00F83761"/>
    <w:rsid w:val="00F8389A"/>
    <w:rsid w:val="00F83EE1"/>
    <w:rsid w:val="00F841F5"/>
    <w:rsid w:val="00F8427A"/>
    <w:rsid w:val="00F8435A"/>
    <w:rsid w:val="00F847D9"/>
    <w:rsid w:val="00F84968"/>
    <w:rsid w:val="00F84DD9"/>
    <w:rsid w:val="00F851A5"/>
    <w:rsid w:val="00F862CE"/>
    <w:rsid w:val="00F86BA0"/>
    <w:rsid w:val="00F8708F"/>
    <w:rsid w:val="00F87A5F"/>
    <w:rsid w:val="00F87E9A"/>
    <w:rsid w:val="00F87FC0"/>
    <w:rsid w:val="00F90092"/>
    <w:rsid w:val="00F902B5"/>
    <w:rsid w:val="00F906B9"/>
    <w:rsid w:val="00F908EE"/>
    <w:rsid w:val="00F90A59"/>
    <w:rsid w:val="00F90B69"/>
    <w:rsid w:val="00F90CE3"/>
    <w:rsid w:val="00F9134F"/>
    <w:rsid w:val="00F9136B"/>
    <w:rsid w:val="00F91431"/>
    <w:rsid w:val="00F91506"/>
    <w:rsid w:val="00F9192E"/>
    <w:rsid w:val="00F9194A"/>
    <w:rsid w:val="00F9199D"/>
    <w:rsid w:val="00F91C2B"/>
    <w:rsid w:val="00F91D87"/>
    <w:rsid w:val="00F92846"/>
    <w:rsid w:val="00F92FC4"/>
    <w:rsid w:val="00F93465"/>
    <w:rsid w:val="00F9362D"/>
    <w:rsid w:val="00F93664"/>
    <w:rsid w:val="00F93E9F"/>
    <w:rsid w:val="00F944CA"/>
    <w:rsid w:val="00F95109"/>
    <w:rsid w:val="00F95F25"/>
    <w:rsid w:val="00F9677A"/>
    <w:rsid w:val="00F967DF"/>
    <w:rsid w:val="00F96C80"/>
    <w:rsid w:val="00F96D4E"/>
    <w:rsid w:val="00F96D89"/>
    <w:rsid w:val="00F9732D"/>
    <w:rsid w:val="00F9776D"/>
    <w:rsid w:val="00F979C1"/>
    <w:rsid w:val="00F97EE3"/>
    <w:rsid w:val="00FA0017"/>
    <w:rsid w:val="00FA035B"/>
    <w:rsid w:val="00FA0791"/>
    <w:rsid w:val="00FA0A1E"/>
    <w:rsid w:val="00FA0C6B"/>
    <w:rsid w:val="00FA0FF0"/>
    <w:rsid w:val="00FA1C95"/>
    <w:rsid w:val="00FA2110"/>
    <w:rsid w:val="00FA25BD"/>
    <w:rsid w:val="00FA281A"/>
    <w:rsid w:val="00FA2DA2"/>
    <w:rsid w:val="00FA346A"/>
    <w:rsid w:val="00FA346B"/>
    <w:rsid w:val="00FA3ADA"/>
    <w:rsid w:val="00FA3CC2"/>
    <w:rsid w:val="00FA41ED"/>
    <w:rsid w:val="00FA4385"/>
    <w:rsid w:val="00FA453E"/>
    <w:rsid w:val="00FA4CB2"/>
    <w:rsid w:val="00FA4EFF"/>
    <w:rsid w:val="00FA5344"/>
    <w:rsid w:val="00FA55C0"/>
    <w:rsid w:val="00FA56E2"/>
    <w:rsid w:val="00FA625F"/>
    <w:rsid w:val="00FA6574"/>
    <w:rsid w:val="00FA66D1"/>
    <w:rsid w:val="00FA6E92"/>
    <w:rsid w:val="00FA6FA6"/>
    <w:rsid w:val="00FA72AB"/>
    <w:rsid w:val="00FA770C"/>
    <w:rsid w:val="00FA780A"/>
    <w:rsid w:val="00FA7B6F"/>
    <w:rsid w:val="00FB0B21"/>
    <w:rsid w:val="00FB1BA0"/>
    <w:rsid w:val="00FB1C95"/>
    <w:rsid w:val="00FB21D5"/>
    <w:rsid w:val="00FB330B"/>
    <w:rsid w:val="00FB3543"/>
    <w:rsid w:val="00FB381E"/>
    <w:rsid w:val="00FB39E2"/>
    <w:rsid w:val="00FB3D41"/>
    <w:rsid w:val="00FB3EA0"/>
    <w:rsid w:val="00FB57D5"/>
    <w:rsid w:val="00FB5858"/>
    <w:rsid w:val="00FB58BA"/>
    <w:rsid w:val="00FB5A1B"/>
    <w:rsid w:val="00FB5D49"/>
    <w:rsid w:val="00FB62DE"/>
    <w:rsid w:val="00FB68A5"/>
    <w:rsid w:val="00FB6A82"/>
    <w:rsid w:val="00FB7AF4"/>
    <w:rsid w:val="00FB7D53"/>
    <w:rsid w:val="00FC0035"/>
    <w:rsid w:val="00FC035D"/>
    <w:rsid w:val="00FC0A2B"/>
    <w:rsid w:val="00FC0D9C"/>
    <w:rsid w:val="00FC140B"/>
    <w:rsid w:val="00FC1E6C"/>
    <w:rsid w:val="00FC1EA6"/>
    <w:rsid w:val="00FC24E7"/>
    <w:rsid w:val="00FC2A11"/>
    <w:rsid w:val="00FC2AC1"/>
    <w:rsid w:val="00FC2ACC"/>
    <w:rsid w:val="00FC2D99"/>
    <w:rsid w:val="00FC38D8"/>
    <w:rsid w:val="00FC3C1C"/>
    <w:rsid w:val="00FC42E3"/>
    <w:rsid w:val="00FC4426"/>
    <w:rsid w:val="00FC44C2"/>
    <w:rsid w:val="00FC4935"/>
    <w:rsid w:val="00FC4D19"/>
    <w:rsid w:val="00FC4D6D"/>
    <w:rsid w:val="00FC50DC"/>
    <w:rsid w:val="00FC5552"/>
    <w:rsid w:val="00FC5B64"/>
    <w:rsid w:val="00FC5C0F"/>
    <w:rsid w:val="00FC5CF2"/>
    <w:rsid w:val="00FC60B3"/>
    <w:rsid w:val="00FC6108"/>
    <w:rsid w:val="00FC632B"/>
    <w:rsid w:val="00FC6390"/>
    <w:rsid w:val="00FC672E"/>
    <w:rsid w:val="00FC6811"/>
    <w:rsid w:val="00FC6A57"/>
    <w:rsid w:val="00FC6C07"/>
    <w:rsid w:val="00FC7BBD"/>
    <w:rsid w:val="00FC7EB1"/>
    <w:rsid w:val="00FD0020"/>
    <w:rsid w:val="00FD0715"/>
    <w:rsid w:val="00FD0A5E"/>
    <w:rsid w:val="00FD1639"/>
    <w:rsid w:val="00FD256A"/>
    <w:rsid w:val="00FD26F8"/>
    <w:rsid w:val="00FD291C"/>
    <w:rsid w:val="00FD2AB7"/>
    <w:rsid w:val="00FD2FAE"/>
    <w:rsid w:val="00FD2FF7"/>
    <w:rsid w:val="00FD3F63"/>
    <w:rsid w:val="00FD4A7D"/>
    <w:rsid w:val="00FD5D44"/>
    <w:rsid w:val="00FD6188"/>
    <w:rsid w:val="00FD6605"/>
    <w:rsid w:val="00FD6AE8"/>
    <w:rsid w:val="00FD6B98"/>
    <w:rsid w:val="00FD707A"/>
    <w:rsid w:val="00FD72C4"/>
    <w:rsid w:val="00FD7324"/>
    <w:rsid w:val="00FD7662"/>
    <w:rsid w:val="00FD7823"/>
    <w:rsid w:val="00FD7B1B"/>
    <w:rsid w:val="00FD7CF5"/>
    <w:rsid w:val="00FD7E5C"/>
    <w:rsid w:val="00FE090C"/>
    <w:rsid w:val="00FE091E"/>
    <w:rsid w:val="00FE0FE0"/>
    <w:rsid w:val="00FE1046"/>
    <w:rsid w:val="00FE15B7"/>
    <w:rsid w:val="00FE1D08"/>
    <w:rsid w:val="00FE1E2B"/>
    <w:rsid w:val="00FE243E"/>
    <w:rsid w:val="00FE24FE"/>
    <w:rsid w:val="00FE2558"/>
    <w:rsid w:val="00FE27F5"/>
    <w:rsid w:val="00FE2851"/>
    <w:rsid w:val="00FE3309"/>
    <w:rsid w:val="00FE34BE"/>
    <w:rsid w:val="00FE3EE0"/>
    <w:rsid w:val="00FE405B"/>
    <w:rsid w:val="00FE45DF"/>
    <w:rsid w:val="00FE48DB"/>
    <w:rsid w:val="00FE4C48"/>
    <w:rsid w:val="00FE4E33"/>
    <w:rsid w:val="00FE5190"/>
    <w:rsid w:val="00FE5382"/>
    <w:rsid w:val="00FE5456"/>
    <w:rsid w:val="00FE5C4E"/>
    <w:rsid w:val="00FE5E8A"/>
    <w:rsid w:val="00FE5FB8"/>
    <w:rsid w:val="00FE65CB"/>
    <w:rsid w:val="00FE7492"/>
    <w:rsid w:val="00FE76D8"/>
    <w:rsid w:val="00FE7B1D"/>
    <w:rsid w:val="00FE7E1E"/>
    <w:rsid w:val="00FF079B"/>
    <w:rsid w:val="00FF0A65"/>
    <w:rsid w:val="00FF0BF6"/>
    <w:rsid w:val="00FF0FFA"/>
    <w:rsid w:val="00FF1247"/>
    <w:rsid w:val="00FF1343"/>
    <w:rsid w:val="00FF1378"/>
    <w:rsid w:val="00FF1696"/>
    <w:rsid w:val="00FF17FE"/>
    <w:rsid w:val="00FF189D"/>
    <w:rsid w:val="00FF1949"/>
    <w:rsid w:val="00FF1CAF"/>
    <w:rsid w:val="00FF1EF1"/>
    <w:rsid w:val="00FF2072"/>
    <w:rsid w:val="00FF277B"/>
    <w:rsid w:val="00FF279F"/>
    <w:rsid w:val="00FF2DFD"/>
    <w:rsid w:val="00FF2ED9"/>
    <w:rsid w:val="00FF31B8"/>
    <w:rsid w:val="00FF328A"/>
    <w:rsid w:val="00FF3773"/>
    <w:rsid w:val="00FF397B"/>
    <w:rsid w:val="00FF44AB"/>
    <w:rsid w:val="00FF4B9C"/>
    <w:rsid w:val="00FF5209"/>
    <w:rsid w:val="00FF5343"/>
    <w:rsid w:val="00FF5468"/>
    <w:rsid w:val="00FF5615"/>
    <w:rsid w:val="00FF5826"/>
    <w:rsid w:val="00FF5A00"/>
    <w:rsid w:val="00FF5EF1"/>
    <w:rsid w:val="00FF61A3"/>
    <w:rsid w:val="00FF61C5"/>
    <w:rsid w:val="00FF65CE"/>
    <w:rsid w:val="00FF6738"/>
    <w:rsid w:val="00FF69DC"/>
    <w:rsid w:val="00FF6D57"/>
    <w:rsid w:val="00FF6D82"/>
    <w:rsid w:val="00FF6F90"/>
    <w:rsid w:val="00FF7171"/>
    <w:rsid w:val="00FF79D2"/>
    <w:rsid w:val="00FF7E50"/>
    <w:rsid w:val="011418DD"/>
    <w:rsid w:val="013060F4"/>
    <w:rsid w:val="013730A5"/>
    <w:rsid w:val="01521C8D"/>
    <w:rsid w:val="01543C57"/>
    <w:rsid w:val="015C4419"/>
    <w:rsid w:val="0160084E"/>
    <w:rsid w:val="016D4D19"/>
    <w:rsid w:val="019063A0"/>
    <w:rsid w:val="01D53754"/>
    <w:rsid w:val="01E44FDB"/>
    <w:rsid w:val="0227311A"/>
    <w:rsid w:val="02511314"/>
    <w:rsid w:val="02C50050"/>
    <w:rsid w:val="02F723DB"/>
    <w:rsid w:val="02F94BC3"/>
    <w:rsid w:val="031B2C7F"/>
    <w:rsid w:val="03465822"/>
    <w:rsid w:val="03B66504"/>
    <w:rsid w:val="03C530E5"/>
    <w:rsid w:val="042711AF"/>
    <w:rsid w:val="043B4C5B"/>
    <w:rsid w:val="04497378"/>
    <w:rsid w:val="04787C5D"/>
    <w:rsid w:val="049E177E"/>
    <w:rsid w:val="04B54A0D"/>
    <w:rsid w:val="04DE21B6"/>
    <w:rsid w:val="055E32F7"/>
    <w:rsid w:val="059122A6"/>
    <w:rsid w:val="05D67331"/>
    <w:rsid w:val="061A580F"/>
    <w:rsid w:val="063127B9"/>
    <w:rsid w:val="065C0B2C"/>
    <w:rsid w:val="06757435"/>
    <w:rsid w:val="06A42F8B"/>
    <w:rsid w:val="06D43B17"/>
    <w:rsid w:val="070677A2"/>
    <w:rsid w:val="0741366C"/>
    <w:rsid w:val="07731075"/>
    <w:rsid w:val="078A5E37"/>
    <w:rsid w:val="07EC4BEA"/>
    <w:rsid w:val="07F86FD0"/>
    <w:rsid w:val="07FC0BA5"/>
    <w:rsid w:val="0870581B"/>
    <w:rsid w:val="088334A6"/>
    <w:rsid w:val="08AB6853"/>
    <w:rsid w:val="08BD6586"/>
    <w:rsid w:val="08DA7138"/>
    <w:rsid w:val="09047592"/>
    <w:rsid w:val="0963712E"/>
    <w:rsid w:val="099626AA"/>
    <w:rsid w:val="09B554AF"/>
    <w:rsid w:val="09CC330B"/>
    <w:rsid w:val="0A081D5A"/>
    <w:rsid w:val="0A0C2BCA"/>
    <w:rsid w:val="0A0D0E47"/>
    <w:rsid w:val="0A0F4C61"/>
    <w:rsid w:val="0A8B31A5"/>
    <w:rsid w:val="0AB87005"/>
    <w:rsid w:val="0B521208"/>
    <w:rsid w:val="0B5A00BC"/>
    <w:rsid w:val="0C0A1AE2"/>
    <w:rsid w:val="0C175FAD"/>
    <w:rsid w:val="0C1E0792"/>
    <w:rsid w:val="0C2B1A59"/>
    <w:rsid w:val="0C460641"/>
    <w:rsid w:val="0CA57A5D"/>
    <w:rsid w:val="0CE71E24"/>
    <w:rsid w:val="0D1A13FA"/>
    <w:rsid w:val="0D3B225E"/>
    <w:rsid w:val="0D584706"/>
    <w:rsid w:val="0D7336B7"/>
    <w:rsid w:val="0D9F625A"/>
    <w:rsid w:val="0DFA793C"/>
    <w:rsid w:val="0E122ED0"/>
    <w:rsid w:val="0E385F24"/>
    <w:rsid w:val="0E4E2271"/>
    <w:rsid w:val="0E6A4ABA"/>
    <w:rsid w:val="0EB14497"/>
    <w:rsid w:val="0EFB3456"/>
    <w:rsid w:val="0F335D4C"/>
    <w:rsid w:val="0F3F126C"/>
    <w:rsid w:val="0F5D317B"/>
    <w:rsid w:val="0F5F460A"/>
    <w:rsid w:val="0FDB74BE"/>
    <w:rsid w:val="0FE12B5A"/>
    <w:rsid w:val="0FE8038D"/>
    <w:rsid w:val="10172A20"/>
    <w:rsid w:val="10185F05"/>
    <w:rsid w:val="102B0ED6"/>
    <w:rsid w:val="104D77A4"/>
    <w:rsid w:val="1065378B"/>
    <w:rsid w:val="10803007"/>
    <w:rsid w:val="10E01064"/>
    <w:rsid w:val="10F44B0F"/>
    <w:rsid w:val="12011292"/>
    <w:rsid w:val="12543AB7"/>
    <w:rsid w:val="12597320"/>
    <w:rsid w:val="128D6FC9"/>
    <w:rsid w:val="131F5C25"/>
    <w:rsid w:val="134C478E"/>
    <w:rsid w:val="137E6B56"/>
    <w:rsid w:val="13A7230D"/>
    <w:rsid w:val="14001B21"/>
    <w:rsid w:val="14515DD5"/>
    <w:rsid w:val="14740201"/>
    <w:rsid w:val="14B922F8"/>
    <w:rsid w:val="14E90674"/>
    <w:rsid w:val="156758B0"/>
    <w:rsid w:val="158A413B"/>
    <w:rsid w:val="15D00082"/>
    <w:rsid w:val="15E52C78"/>
    <w:rsid w:val="163F05DA"/>
    <w:rsid w:val="16BE391D"/>
    <w:rsid w:val="16D231FD"/>
    <w:rsid w:val="1711679D"/>
    <w:rsid w:val="17620A24"/>
    <w:rsid w:val="176C18A3"/>
    <w:rsid w:val="18893D8F"/>
    <w:rsid w:val="18D55226"/>
    <w:rsid w:val="18EE0096"/>
    <w:rsid w:val="192E0037"/>
    <w:rsid w:val="194B54E8"/>
    <w:rsid w:val="1977530E"/>
    <w:rsid w:val="19D159ED"/>
    <w:rsid w:val="19EC6CCB"/>
    <w:rsid w:val="1A0A0EFF"/>
    <w:rsid w:val="1A273773"/>
    <w:rsid w:val="1A352420"/>
    <w:rsid w:val="1A694CB7"/>
    <w:rsid w:val="1A9D0F5D"/>
    <w:rsid w:val="1B3E5D78"/>
    <w:rsid w:val="1B8151F1"/>
    <w:rsid w:val="1B8D3B96"/>
    <w:rsid w:val="1BB479C4"/>
    <w:rsid w:val="1BDD1B00"/>
    <w:rsid w:val="1C7F3E27"/>
    <w:rsid w:val="1D0D1432"/>
    <w:rsid w:val="1D1D441C"/>
    <w:rsid w:val="1D2422D8"/>
    <w:rsid w:val="1D672C88"/>
    <w:rsid w:val="1D6A3F2E"/>
    <w:rsid w:val="1E5B1148"/>
    <w:rsid w:val="1F122D30"/>
    <w:rsid w:val="1F257CB7"/>
    <w:rsid w:val="1F951D7E"/>
    <w:rsid w:val="1F9951FF"/>
    <w:rsid w:val="1FCB0CCB"/>
    <w:rsid w:val="207D68CF"/>
    <w:rsid w:val="209D43AF"/>
    <w:rsid w:val="20BE2EA1"/>
    <w:rsid w:val="20F01385"/>
    <w:rsid w:val="21611D4D"/>
    <w:rsid w:val="21BA145D"/>
    <w:rsid w:val="21D40771"/>
    <w:rsid w:val="21D97D81"/>
    <w:rsid w:val="21E604A4"/>
    <w:rsid w:val="22311B95"/>
    <w:rsid w:val="225C2514"/>
    <w:rsid w:val="228F7581"/>
    <w:rsid w:val="22CA1B01"/>
    <w:rsid w:val="22F81B0F"/>
    <w:rsid w:val="234436D4"/>
    <w:rsid w:val="23843AD1"/>
    <w:rsid w:val="23876920"/>
    <w:rsid w:val="23F70E6B"/>
    <w:rsid w:val="24273279"/>
    <w:rsid w:val="246A0F18"/>
    <w:rsid w:val="249613B2"/>
    <w:rsid w:val="24C83E91"/>
    <w:rsid w:val="250C6474"/>
    <w:rsid w:val="25396B3D"/>
    <w:rsid w:val="25912FE8"/>
    <w:rsid w:val="25C24D84"/>
    <w:rsid w:val="25D23219"/>
    <w:rsid w:val="2674607E"/>
    <w:rsid w:val="26A06232"/>
    <w:rsid w:val="26A821CC"/>
    <w:rsid w:val="26C1503C"/>
    <w:rsid w:val="27225ADA"/>
    <w:rsid w:val="27567236"/>
    <w:rsid w:val="275D4D64"/>
    <w:rsid w:val="27910EB2"/>
    <w:rsid w:val="27AC35F6"/>
    <w:rsid w:val="27BF157B"/>
    <w:rsid w:val="27FA0805"/>
    <w:rsid w:val="28025127"/>
    <w:rsid w:val="284321AC"/>
    <w:rsid w:val="2871062C"/>
    <w:rsid w:val="28A6098D"/>
    <w:rsid w:val="2961788D"/>
    <w:rsid w:val="297E7214"/>
    <w:rsid w:val="298A5BB9"/>
    <w:rsid w:val="29DF5F05"/>
    <w:rsid w:val="2A096D67"/>
    <w:rsid w:val="2A662182"/>
    <w:rsid w:val="2AA35184"/>
    <w:rsid w:val="2AA52955"/>
    <w:rsid w:val="2B4C75CA"/>
    <w:rsid w:val="2B725AAC"/>
    <w:rsid w:val="2B983E5B"/>
    <w:rsid w:val="2BA411B4"/>
    <w:rsid w:val="2BAA37FF"/>
    <w:rsid w:val="2C695F59"/>
    <w:rsid w:val="2C9A39C7"/>
    <w:rsid w:val="2CA84CD4"/>
    <w:rsid w:val="2CE455E0"/>
    <w:rsid w:val="2CE67C72"/>
    <w:rsid w:val="2D031F0A"/>
    <w:rsid w:val="2D0637A8"/>
    <w:rsid w:val="2D145EC5"/>
    <w:rsid w:val="2D452523"/>
    <w:rsid w:val="2D513B5D"/>
    <w:rsid w:val="2D883506"/>
    <w:rsid w:val="2D947006"/>
    <w:rsid w:val="2DCC054E"/>
    <w:rsid w:val="2DEE163E"/>
    <w:rsid w:val="2DF67CC1"/>
    <w:rsid w:val="2E163EBF"/>
    <w:rsid w:val="2E1C30BA"/>
    <w:rsid w:val="2E412B38"/>
    <w:rsid w:val="2E4B1DBB"/>
    <w:rsid w:val="2E89643F"/>
    <w:rsid w:val="2EAB0AAB"/>
    <w:rsid w:val="2EAD550D"/>
    <w:rsid w:val="2EAE5EA6"/>
    <w:rsid w:val="2ED718A0"/>
    <w:rsid w:val="2F100F0F"/>
    <w:rsid w:val="2F340AA1"/>
    <w:rsid w:val="2F9953DE"/>
    <w:rsid w:val="2FAA48BF"/>
    <w:rsid w:val="2FB810D0"/>
    <w:rsid w:val="2FC5794B"/>
    <w:rsid w:val="30040D64"/>
    <w:rsid w:val="300F4BFC"/>
    <w:rsid w:val="302F3016"/>
    <w:rsid w:val="30322FA2"/>
    <w:rsid w:val="30330D58"/>
    <w:rsid w:val="3034403B"/>
    <w:rsid w:val="303562C4"/>
    <w:rsid w:val="303D3985"/>
    <w:rsid w:val="30550CCF"/>
    <w:rsid w:val="30C916BD"/>
    <w:rsid w:val="311E37B6"/>
    <w:rsid w:val="31284256"/>
    <w:rsid w:val="315216B2"/>
    <w:rsid w:val="316A07AA"/>
    <w:rsid w:val="31C3435E"/>
    <w:rsid w:val="31F434C6"/>
    <w:rsid w:val="32024E86"/>
    <w:rsid w:val="3210174E"/>
    <w:rsid w:val="321D4E26"/>
    <w:rsid w:val="323952EF"/>
    <w:rsid w:val="32585D2D"/>
    <w:rsid w:val="326E6078"/>
    <w:rsid w:val="33354DE7"/>
    <w:rsid w:val="3369683F"/>
    <w:rsid w:val="3385767D"/>
    <w:rsid w:val="33C85C5B"/>
    <w:rsid w:val="342310E4"/>
    <w:rsid w:val="3491429F"/>
    <w:rsid w:val="35FE3BB6"/>
    <w:rsid w:val="361E6007"/>
    <w:rsid w:val="3635238D"/>
    <w:rsid w:val="3655397D"/>
    <w:rsid w:val="36857E34"/>
    <w:rsid w:val="36B6623F"/>
    <w:rsid w:val="370D20EC"/>
    <w:rsid w:val="37313B18"/>
    <w:rsid w:val="37B11CA8"/>
    <w:rsid w:val="37E172EC"/>
    <w:rsid w:val="38312021"/>
    <w:rsid w:val="383E029A"/>
    <w:rsid w:val="385B52F0"/>
    <w:rsid w:val="3862667F"/>
    <w:rsid w:val="38926838"/>
    <w:rsid w:val="38A04AB1"/>
    <w:rsid w:val="392C27E9"/>
    <w:rsid w:val="3936665A"/>
    <w:rsid w:val="393B2A2C"/>
    <w:rsid w:val="394E09B1"/>
    <w:rsid w:val="397523E2"/>
    <w:rsid w:val="39A2741B"/>
    <w:rsid w:val="3A03179B"/>
    <w:rsid w:val="3A2E433E"/>
    <w:rsid w:val="3A5B462D"/>
    <w:rsid w:val="3A7601BF"/>
    <w:rsid w:val="3A936E05"/>
    <w:rsid w:val="3B1F2605"/>
    <w:rsid w:val="3C243C4B"/>
    <w:rsid w:val="3C3C4A61"/>
    <w:rsid w:val="3C8D5447"/>
    <w:rsid w:val="3CB44FCF"/>
    <w:rsid w:val="3CBE19AA"/>
    <w:rsid w:val="3CDB69FF"/>
    <w:rsid w:val="3D632551"/>
    <w:rsid w:val="3D9B6278"/>
    <w:rsid w:val="3DAF5FC2"/>
    <w:rsid w:val="3DB35286"/>
    <w:rsid w:val="3DF775CF"/>
    <w:rsid w:val="3E6622F9"/>
    <w:rsid w:val="3E9600AC"/>
    <w:rsid w:val="3EB63280"/>
    <w:rsid w:val="3EB76FF8"/>
    <w:rsid w:val="3F11495A"/>
    <w:rsid w:val="3F6A5E19"/>
    <w:rsid w:val="3FEC0C2D"/>
    <w:rsid w:val="401B7113"/>
    <w:rsid w:val="415D3E87"/>
    <w:rsid w:val="41AD09C3"/>
    <w:rsid w:val="41CC64BD"/>
    <w:rsid w:val="420E74BA"/>
    <w:rsid w:val="42322819"/>
    <w:rsid w:val="4288311C"/>
    <w:rsid w:val="428E0070"/>
    <w:rsid w:val="42C6780A"/>
    <w:rsid w:val="42FE51F6"/>
    <w:rsid w:val="43792ACE"/>
    <w:rsid w:val="444D7A95"/>
    <w:rsid w:val="44823C05"/>
    <w:rsid w:val="44C350BE"/>
    <w:rsid w:val="451D2386"/>
    <w:rsid w:val="452E4AE8"/>
    <w:rsid w:val="45554E75"/>
    <w:rsid w:val="456214DF"/>
    <w:rsid w:val="45FB77CB"/>
    <w:rsid w:val="45FD79E7"/>
    <w:rsid w:val="463D7DE3"/>
    <w:rsid w:val="46850D20"/>
    <w:rsid w:val="4697739D"/>
    <w:rsid w:val="469F284C"/>
    <w:rsid w:val="46DD7FB0"/>
    <w:rsid w:val="473C332E"/>
    <w:rsid w:val="47624658"/>
    <w:rsid w:val="477041E8"/>
    <w:rsid w:val="477737C9"/>
    <w:rsid w:val="479223B1"/>
    <w:rsid w:val="480A0199"/>
    <w:rsid w:val="480E5EDB"/>
    <w:rsid w:val="480F755D"/>
    <w:rsid w:val="48163785"/>
    <w:rsid w:val="48401E0D"/>
    <w:rsid w:val="49521DF7"/>
    <w:rsid w:val="49747FC0"/>
    <w:rsid w:val="49EA2030"/>
    <w:rsid w:val="49F44C5D"/>
    <w:rsid w:val="4A5E47CC"/>
    <w:rsid w:val="4A881849"/>
    <w:rsid w:val="4A9A1CA8"/>
    <w:rsid w:val="4AC05F10"/>
    <w:rsid w:val="4B06733D"/>
    <w:rsid w:val="4B1507DD"/>
    <w:rsid w:val="4B440AC5"/>
    <w:rsid w:val="4B561890"/>
    <w:rsid w:val="4B7324F9"/>
    <w:rsid w:val="4BBA0128"/>
    <w:rsid w:val="4BC114B6"/>
    <w:rsid w:val="4C3B4DC5"/>
    <w:rsid w:val="4C6A33D7"/>
    <w:rsid w:val="4C7F3A08"/>
    <w:rsid w:val="4C8C6F39"/>
    <w:rsid w:val="4C9170DB"/>
    <w:rsid w:val="4D50664E"/>
    <w:rsid w:val="4D7F7E23"/>
    <w:rsid w:val="4DD44315"/>
    <w:rsid w:val="4DD82CE0"/>
    <w:rsid w:val="4E3221C7"/>
    <w:rsid w:val="4E65437B"/>
    <w:rsid w:val="4EA50C1B"/>
    <w:rsid w:val="4EB32846"/>
    <w:rsid w:val="4EB33338"/>
    <w:rsid w:val="4F1D6A04"/>
    <w:rsid w:val="4F277882"/>
    <w:rsid w:val="4FB8497E"/>
    <w:rsid w:val="50153B7F"/>
    <w:rsid w:val="50593A6B"/>
    <w:rsid w:val="505F63E3"/>
    <w:rsid w:val="50720FD1"/>
    <w:rsid w:val="50B05655"/>
    <w:rsid w:val="50B27620"/>
    <w:rsid w:val="50B9375A"/>
    <w:rsid w:val="50C335DB"/>
    <w:rsid w:val="50ED0658"/>
    <w:rsid w:val="51275918"/>
    <w:rsid w:val="516A1CA8"/>
    <w:rsid w:val="517F39A6"/>
    <w:rsid w:val="518647B8"/>
    <w:rsid w:val="51AE26BC"/>
    <w:rsid w:val="51E43809"/>
    <w:rsid w:val="51F31C9E"/>
    <w:rsid w:val="522D6594"/>
    <w:rsid w:val="52304CA0"/>
    <w:rsid w:val="524B491E"/>
    <w:rsid w:val="5277467D"/>
    <w:rsid w:val="528A2602"/>
    <w:rsid w:val="52DF776B"/>
    <w:rsid w:val="5322283B"/>
    <w:rsid w:val="532F6D06"/>
    <w:rsid w:val="53346A12"/>
    <w:rsid w:val="53426A39"/>
    <w:rsid w:val="53481693"/>
    <w:rsid w:val="5358625C"/>
    <w:rsid w:val="53D17DBD"/>
    <w:rsid w:val="540939FA"/>
    <w:rsid w:val="540C7047"/>
    <w:rsid w:val="54206589"/>
    <w:rsid w:val="545C1B41"/>
    <w:rsid w:val="546B1FBF"/>
    <w:rsid w:val="549A28A4"/>
    <w:rsid w:val="54CD67D6"/>
    <w:rsid w:val="55410F72"/>
    <w:rsid w:val="554676C9"/>
    <w:rsid w:val="55482300"/>
    <w:rsid w:val="554D7917"/>
    <w:rsid w:val="556A2277"/>
    <w:rsid w:val="55A37E6A"/>
    <w:rsid w:val="55CE2806"/>
    <w:rsid w:val="55FF33F6"/>
    <w:rsid w:val="56205857"/>
    <w:rsid w:val="5627460C"/>
    <w:rsid w:val="563A60ED"/>
    <w:rsid w:val="563A7E9B"/>
    <w:rsid w:val="566A00AD"/>
    <w:rsid w:val="569E48CE"/>
    <w:rsid w:val="56EB482D"/>
    <w:rsid w:val="56F33CCB"/>
    <w:rsid w:val="571C5DB6"/>
    <w:rsid w:val="57207434"/>
    <w:rsid w:val="57284198"/>
    <w:rsid w:val="57522A53"/>
    <w:rsid w:val="575651A9"/>
    <w:rsid w:val="5780396F"/>
    <w:rsid w:val="57850B01"/>
    <w:rsid w:val="57B8376D"/>
    <w:rsid w:val="57D52571"/>
    <w:rsid w:val="57EE718F"/>
    <w:rsid w:val="57EF4CB5"/>
    <w:rsid w:val="58977827"/>
    <w:rsid w:val="589E2AD0"/>
    <w:rsid w:val="59196865"/>
    <w:rsid w:val="59413C36"/>
    <w:rsid w:val="59D32AE1"/>
    <w:rsid w:val="59F51FF7"/>
    <w:rsid w:val="5AB04BD0"/>
    <w:rsid w:val="5AF365A6"/>
    <w:rsid w:val="5B2F51C1"/>
    <w:rsid w:val="5B5A5164"/>
    <w:rsid w:val="5B6E49A4"/>
    <w:rsid w:val="5B6F6839"/>
    <w:rsid w:val="5B743E4F"/>
    <w:rsid w:val="5BFB3C44"/>
    <w:rsid w:val="5BFD3E45"/>
    <w:rsid w:val="5C25514A"/>
    <w:rsid w:val="5C425CFC"/>
    <w:rsid w:val="5C5B0B6B"/>
    <w:rsid w:val="5D3F048D"/>
    <w:rsid w:val="5D6C2B99"/>
    <w:rsid w:val="5DDE3802"/>
    <w:rsid w:val="5E056FE1"/>
    <w:rsid w:val="5E4F265F"/>
    <w:rsid w:val="5E540064"/>
    <w:rsid w:val="5EF446BC"/>
    <w:rsid w:val="5F63183B"/>
    <w:rsid w:val="5F742670"/>
    <w:rsid w:val="5F982877"/>
    <w:rsid w:val="5FB7255D"/>
    <w:rsid w:val="5FBE38EB"/>
    <w:rsid w:val="602E46E6"/>
    <w:rsid w:val="605424A1"/>
    <w:rsid w:val="60763F7C"/>
    <w:rsid w:val="60DF25D6"/>
    <w:rsid w:val="60E94998"/>
    <w:rsid w:val="61120392"/>
    <w:rsid w:val="6115578D"/>
    <w:rsid w:val="61333E65"/>
    <w:rsid w:val="613876CD"/>
    <w:rsid w:val="616A1BD8"/>
    <w:rsid w:val="618B2F51"/>
    <w:rsid w:val="61A03ABA"/>
    <w:rsid w:val="61D440A9"/>
    <w:rsid w:val="61DC62AA"/>
    <w:rsid w:val="620A72BB"/>
    <w:rsid w:val="620C77DF"/>
    <w:rsid w:val="62447FC2"/>
    <w:rsid w:val="62502053"/>
    <w:rsid w:val="625E55BA"/>
    <w:rsid w:val="627604AD"/>
    <w:rsid w:val="63027F93"/>
    <w:rsid w:val="6331293E"/>
    <w:rsid w:val="63506F50"/>
    <w:rsid w:val="639A466F"/>
    <w:rsid w:val="63B82D47"/>
    <w:rsid w:val="63C82F8A"/>
    <w:rsid w:val="63D24211"/>
    <w:rsid w:val="642B176B"/>
    <w:rsid w:val="64504D2E"/>
    <w:rsid w:val="64744EC0"/>
    <w:rsid w:val="648578FA"/>
    <w:rsid w:val="648D254B"/>
    <w:rsid w:val="64D46F78"/>
    <w:rsid w:val="65295CAB"/>
    <w:rsid w:val="652A37D1"/>
    <w:rsid w:val="653C2CFA"/>
    <w:rsid w:val="657D6CEA"/>
    <w:rsid w:val="65A05841"/>
    <w:rsid w:val="65B65064"/>
    <w:rsid w:val="65ED6CD8"/>
    <w:rsid w:val="661A1A97"/>
    <w:rsid w:val="6647009D"/>
    <w:rsid w:val="66952ECC"/>
    <w:rsid w:val="67087B42"/>
    <w:rsid w:val="67242BCD"/>
    <w:rsid w:val="686E5E6F"/>
    <w:rsid w:val="68B25FB7"/>
    <w:rsid w:val="68E65C61"/>
    <w:rsid w:val="68FE2FAA"/>
    <w:rsid w:val="69257538"/>
    <w:rsid w:val="693E5A9D"/>
    <w:rsid w:val="69623539"/>
    <w:rsid w:val="69823B72"/>
    <w:rsid w:val="69872FA0"/>
    <w:rsid w:val="699456BD"/>
    <w:rsid w:val="699D0A15"/>
    <w:rsid w:val="69F12B0F"/>
    <w:rsid w:val="6A0274FC"/>
    <w:rsid w:val="6A5253B3"/>
    <w:rsid w:val="6A635D6D"/>
    <w:rsid w:val="6A815C41"/>
    <w:rsid w:val="6A9C6F1F"/>
    <w:rsid w:val="6A9F07BD"/>
    <w:rsid w:val="6AD13942"/>
    <w:rsid w:val="6AD40467"/>
    <w:rsid w:val="6AFC5C0F"/>
    <w:rsid w:val="6B873AEF"/>
    <w:rsid w:val="6B974A7B"/>
    <w:rsid w:val="6BAB1A06"/>
    <w:rsid w:val="6BB87D88"/>
    <w:rsid w:val="6BE91CF0"/>
    <w:rsid w:val="6BF008EB"/>
    <w:rsid w:val="6C2577CC"/>
    <w:rsid w:val="6C2B2308"/>
    <w:rsid w:val="6C3D028D"/>
    <w:rsid w:val="6C5A2BED"/>
    <w:rsid w:val="6C622C87"/>
    <w:rsid w:val="6C6872C6"/>
    <w:rsid w:val="6CC83FFB"/>
    <w:rsid w:val="6D3C6100"/>
    <w:rsid w:val="6D3D2BCE"/>
    <w:rsid w:val="6DA328FA"/>
    <w:rsid w:val="6E371278"/>
    <w:rsid w:val="6E3A0E77"/>
    <w:rsid w:val="6E40370E"/>
    <w:rsid w:val="6E4C2A0A"/>
    <w:rsid w:val="6EBF4F8A"/>
    <w:rsid w:val="6F0A5DD9"/>
    <w:rsid w:val="6F125A01"/>
    <w:rsid w:val="6F3B744C"/>
    <w:rsid w:val="6F7F4719"/>
    <w:rsid w:val="6F841A9E"/>
    <w:rsid w:val="6FC53980"/>
    <w:rsid w:val="6FCF646E"/>
    <w:rsid w:val="6FD827A7"/>
    <w:rsid w:val="70C02F97"/>
    <w:rsid w:val="7164006A"/>
    <w:rsid w:val="716770E4"/>
    <w:rsid w:val="716A5681"/>
    <w:rsid w:val="71752277"/>
    <w:rsid w:val="71CB2353"/>
    <w:rsid w:val="71F5059F"/>
    <w:rsid w:val="71FB452B"/>
    <w:rsid w:val="720977D9"/>
    <w:rsid w:val="720C498A"/>
    <w:rsid w:val="7256696C"/>
    <w:rsid w:val="727A074E"/>
    <w:rsid w:val="727D0104"/>
    <w:rsid w:val="732B7092"/>
    <w:rsid w:val="736600CA"/>
    <w:rsid w:val="745F5A78"/>
    <w:rsid w:val="746A1E3C"/>
    <w:rsid w:val="746C1710"/>
    <w:rsid w:val="74936C9D"/>
    <w:rsid w:val="74B5760C"/>
    <w:rsid w:val="74B81550"/>
    <w:rsid w:val="751123F6"/>
    <w:rsid w:val="753C37D8"/>
    <w:rsid w:val="762229CE"/>
    <w:rsid w:val="76236746"/>
    <w:rsid w:val="76361FD5"/>
    <w:rsid w:val="76535668"/>
    <w:rsid w:val="766550F5"/>
    <w:rsid w:val="766D036F"/>
    <w:rsid w:val="76883A7E"/>
    <w:rsid w:val="76A827A7"/>
    <w:rsid w:val="7726029C"/>
    <w:rsid w:val="77462F0D"/>
    <w:rsid w:val="7746449A"/>
    <w:rsid w:val="77472401"/>
    <w:rsid w:val="77972F48"/>
    <w:rsid w:val="7820118F"/>
    <w:rsid w:val="782A5B6A"/>
    <w:rsid w:val="78520C1D"/>
    <w:rsid w:val="78760F2E"/>
    <w:rsid w:val="78B73FBB"/>
    <w:rsid w:val="78B95140"/>
    <w:rsid w:val="792720A9"/>
    <w:rsid w:val="79E13F3E"/>
    <w:rsid w:val="79EC0B0A"/>
    <w:rsid w:val="7A0348C4"/>
    <w:rsid w:val="7A097A01"/>
    <w:rsid w:val="7A0D74F1"/>
    <w:rsid w:val="7A4E3666"/>
    <w:rsid w:val="7A6F1F5A"/>
    <w:rsid w:val="7A925C48"/>
    <w:rsid w:val="7AEA15E0"/>
    <w:rsid w:val="7AF745AA"/>
    <w:rsid w:val="7AF83CFD"/>
    <w:rsid w:val="7B0C1557"/>
    <w:rsid w:val="7B656EB9"/>
    <w:rsid w:val="7B71585E"/>
    <w:rsid w:val="7B9A3006"/>
    <w:rsid w:val="7B9D48A5"/>
    <w:rsid w:val="7BD209F2"/>
    <w:rsid w:val="7BFC1355"/>
    <w:rsid w:val="7C397567"/>
    <w:rsid w:val="7D0E5A5A"/>
    <w:rsid w:val="7D140B97"/>
    <w:rsid w:val="7D4F6073"/>
    <w:rsid w:val="7D523941"/>
    <w:rsid w:val="7D7B0C16"/>
    <w:rsid w:val="7D937B00"/>
    <w:rsid w:val="7DD325CF"/>
    <w:rsid w:val="7DD87E16"/>
    <w:rsid w:val="7DFF53D9"/>
    <w:rsid w:val="7E0724A9"/>
    <w:rsid w:val="7E6D661C"/>
    <w:rsid w:val="7ED92098"/>
    <w:rsid w:val="7ED93E46"/>
    <w:rsid w:val="7F731252"/>
    <w:rsid w:val="7F8A3392"/>
    <w:rsid w:val="7FA2692E"/>
    <w:rsid w:val="7FFF9A8A"/>
    <w:rsid w:val="EBFEC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154"/>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165"/>
    <w:qFormat/>
    <w:uiPriority w:val="0"/>
    <w:pPr>
      <w:keepNext/>
      <w:keepLines/>
      <w:widowControl/>
      <w:tabs>
        <w:tab w:val="left" w:pos="425"/>
        <w:tab w:val="left" w:pos="3229"/>
      </w:tabs>
      <w:spacing w:before="120" w:after="120" w:line="360" w:lineRule="auto"/>
      <w:jc w:val="center"/>
      <w:outlineLvl w:val="2"/>
    </w:pPr>
    <w:rPr>
      <w:b/>
      <w:kern w:val="0"/>
      <w:sz w:val="32"/>
      <w:szCs w:val="20"/>
    </w:rPr>
  </w:style>
  <w:style w:type="paragraph" w:styleId="6">
    <w:name w:val="heading 4"/>
    <w:basedOn w:val="1"/>
    <w:next w:val="4"/>
    <w:link w:val="166"/>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5"/>
    <w:basedOn w:val="1"/>
    <w:next w:val="1"/>
    <w:link w:val="156"/>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6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68"/>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69"/>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7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41"/>
    <w:qFormat/>
    <w:uiPriority w:val="0"/>
    <w:pPr>
      <w:ind w:firstLine="420" w:firstLineChars="200"/>
    </w:p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152"/>
    <w:qFormat/>
    <w:uiPriority w:val="0"/>
    <w:rPr>
      <w:rFonts w:ascii="宋体"/>
      <w:sz w:val="18"/>
      <w:szCs w:val="18"/>
    </w:rPr>
  </w:style>
  <w:style w:type="paragraph" w:styleId="15">
    <w:name w:val="annotation text"/>
    <w:basedOn w:val="1"/>
    <w:link w:val="174"/>
    <w:qFormat/>
    <w:uiPriority w:val="0"/>
    <w:pPr>
      <w:jc w:val="left"/>
    </w:pPr>
  </w:style>
  <w:style w:type="paragraph" w:styleId="16">
    <w:name w:val="Salutation"/>
    <w:basedOn w:val="1"/>
    <w:next w:val="1"/>
    <w:link w:val="158"/>
    <w:qFormat/>
    <w:uiPriority w:val="0"/>
    <w:rPr>
      <w:sz w:val="28"/>
      <w:szCs w:val="28"/>
    </w:rPr>
  </w:style>
  <w:style w:type="paragraph" w:styleId="17">
    <w:name w:val="Body Text 3"/>
    <w:basedOn w:val="1"/>
    <w:link w:val="176"/>
    <w:qFormat/>
    <w:uiPriority w:val="99"/>
    <w:rPr>
      <w:rFonts w:ascii="宋体"/>
      <w:sz w:val="24"/>
      <w:szCs w:val="20"/>
    </w:rPr>
  </w:style>
  <w:style w:type="paragraph" w:styleId="18">
    <w:name w:val="Body Text"/>
    <w:basedOn w:val="1"/>
    <w:next w:val="1"/>
    <w:link w:val="184"/>
    <w:qFormat/>
    <w:uiPriority w:val="0"/>
    <w:pPr>
      <w:spacing w:after="120"/>
    </w:pPr>
  </w:style>
  <w:style w:type="paragraph" w:styleId="19">
    <w:name w:val="Body Text Indent"/>
    <w:basedOn w:val="1"/>
    <w:link w:val="188"/>
    <w:qFormat/>
    <w:uiPriority w:val="0"/>
    <w:pPr>
      <w:spacing w:after="120"/>
      <w:ind w:left="420" w:leftChars="200"/>
    </w:pPr>
  </w:style>
  <w:style w:type="paragraph" w:styleId="20">
    <w:name w:val="List 2"/>
    <w:basedOn w:val="21"/>
    <w:qFormat/>
    <w:uiPriority w:val="0"/>
    <w:pPr>
      <w:ind w:left="1080"/>
    </w:pPr>
  </w:style>
  <w:style w:type="paragraph" w:styleId="21">
    <w:name w:val="List"/>
    <w:basedOn w:val="18"/>
    <w:qFormat/>
    <w:uiPriority w:val="0"/>
    <w:pPr>
      <w:spacing w:after="220" w:line="220" w:lineRule="atLeast"/>
      <w:ind w:left="720" w:hanging="360"/>
    </w:pPr>
    <w:rPr>
      <w:szCs w:val="21"/>
    </w:rPr>
  </w:style>
  <w:style w:type="paragraph" w:styleId="22">
    <w:name w:val="Block Text"/>
    <w:basedOn w:val="1"/>
    <w:qFormat/>
    <w:uiPriority w:val="0"/>
    <w:pPr>
      <w:adjustRightInd w:val="0"/>
      <w:snapToGrid w:val="0"/>
      <w:spacing w:line="380" w:lineRule="atLeast"/>
      <w:ind w:left="48" w:leftChars="20" w:right="98" w:firstLine="1"/>
    </w:pPr>
    <w:rPr>
      <w:sz w:val="24"/>
      <w:szCs w:val="20"/>
    </w:rPr>
  </w:style>
  <w:style w:type="paragraph" w:styleId="23">
    <w:name w:val="toc 5"/>
    <w:basedOn w:val="1"/>
    <w:next w:val="1"/>
    <w:qFormat/>
    <w:uiPriority w:val="39"/>
    <w:pPr>
      <w:ind w:left="840"/>
      <w:jc w:val="left"/>
    </w:pPr>
    <w:rPr>
      <w:sz w:val="18"/>
      <w:szCs w:val="18"/>
    </w:rPr>
  </w:style>
  <w:style w:type="paragraph" w:styleId="24">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25">
    <w:name w:val="Plain Text"/>
    <w:basedOn w:val="1"/>
    <w:link w:val="151"/>
    <w:qFormat/>
    <w:uiPriority w:val="0"/>
    <w:rPr>
      <w:rFonts w:ascii="宋体"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179"/>
    <w:qFormat/>
    <w:uiPriority w:val="0"/>
    <w:rPr>
      <w:sz w:val="24"/>
      <w:szCs w:val="20"/>
    </w:rPr>
  </w:style>
  <w:style w:type="paragraph" w:styleId="28">
    <w:name w:val="Body Text Indent 2"/>
    <w:basedOn w:val="1"/>
    <w:qFormat/>
    <w:uiPriority w:val="0"/>
    <w:pPr>
      <w:spacing w:line="500" w:lineRule="exact"/>
      <w:ind w:firstLine="540" w:firstLineChars="200"/>
    </w:pPr>
    <w:rPr>
      <w:rFonts w:ascii="宋体" w:hAnsi="宋体"/>
      <w:sz w:val="27"/>
      <w:szCs w:val="27"/>
    </w:rPr>
  </w:style>
  <w:style w:type="paragraph" w:styleId="29">
    <w:name w:val="endnote text"/>
    <w:basedOn w:val="1"/>
    <w:link w:val="160"/>
    <w:qFormat/>
    <w:uiPriority w:val="0"/>
    <w:pPr>
      <w:snapToGrid w:val="0"/>
      <w:jc w:val="left"/>
    </w:pPr>
  </w:style>
  <w:style w:type="paragraph" w:styleId="30">
    <w:name w:val="Balloon Text"/>
    <w:basedOn w:val="1"/>
    <w:link w:val="178"/>
    <w:qFormat/>
    <w:uiPriority w:val="0"/>
    <w:rPr>
      <w:sz w:val="18"/>
      <w:szCs w:val="18"/>
    </w:rPr>
  </w:style>
  <w:style w:type="paragraph" w:styleId="31">
    <w:name w:val="footer"/>
    <w:basedOn w:val="1"/>
    <w:link w:val="147"/>
    <w:qFormat/>
    <w:uiPriority w:val="0"/>
    <w:pPr>
      <w:tabs>
        <w:tab w:val="center" w:pos="4153"/>
        <w:tab w:val="right" w:pos="8306"/>
      </w:tabs>
      <w:snapToGrid w:val="0"/>
      <w:jc w:val="left"/>
    </w:pPr>
    <w:rPr>
      <w:sz w:val="18"/>
      <w:szCs w:val="18"/>
    </w:rPr>
  </w:style>
  <w:style w:type="paragraph" w:styleId="32">
    <w:name w:val="header"/>
    <w:basedOn w:val="1"/>
    <w:link w:val="161"/>
    <w:qFormat/>
    <w:uiPriority w:val="0"/>
    <w:pP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805"/>
      </w:tabs>
      <w:spacing w:line="440" w:lineRule="exact"/>
      <w:jc w:val="center"/>
    </w:pPr>
    <w:rPr>
      <w:color w:val="000000"/>
      <w:sz w:val="20"/>
      <w:szCs w:val="20"/>
    </w:rPr>
  </w:style>
  <w:style w:type="paragraph" w:styleId="34">
    <w:name w:val="toc 4"/>
    <w:basedOn w:val="1"/>
    <w:next w:val="1"/>
    <w:qFormat/>
    <w:uiPriority w:val="39"/>
    <w:pPr>
      <w:ind w:left="630"/>
      <w:jc w:val="left"/>
    </w:pPr>
    <w:rPr>
      <w:sz w:val="18"/>
      <w:szCs w:val="18"/>
    </w:rPr>
  </w:style>
  <w:style w:type="paragraph" w:styleId="35">
    <w:name w:val="Subtitle"/>
    <w:basedOn w:val="1"/>
    <w:link w:val="157"/>
    <w:qFormat/>
    <w:uiPriority w:val="0"/>
    <w:pPr>
      <w:spacing w:before="60" w:line="460" w:lineRule="exact"/>
      <w:jc w:val="center"/>
      <w:outlineLvl w:val="1"/>
    </w:pPr>
    <w:rPr>
      <w:rFonts w:ascii="黑体" w:eastAsia="黑体"/>
      <w:kern w:val="28"/>
      <w:sz w:val="24"/>
    </w:rPr>
  </w:style>
  <w:style w:type="paragraph" w:styleId="36">
    <w:name w:val="footnote text"/>
    <w:basedOn w:val="1"/>
    <w:next w:val="1"/>
    <w:link w:val="153"/>
    <w:qFormat/>
    <w:uiPriority w:val="0"/>
    <w:pPr>
      <w:adjustRightInd w:val="0"/>
      <w:snapToGrid w:val="0"/>
      <w:spacing w:line="420" w:lineRule="atLeast"/>
      <w:ind w:firstLine="454"/>
      <w:jc w:val="left"/>
      <w:textAlignment w:val="baseline"/>
    </w:pPr>
    <w:rPr>
      <w:kern w:val="0"/>
      <w:sz w:val="18"/>
      <w:szCs w:val="20"/>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177"/>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39"/>
    <w:pPr>
      <w:ind w:left="1680"/>
      <w:jc w:val="left"/>
    </w:pPr>
    <w:rPr>
      <w:sz w:val="18"/>
      <w:szCs w:val="18"/>
    </w:rPr>
  </w:style>
  <w:style w:type="paragraph" w:styleId="41">
    <w:name w:val="Body Text 2"/>
    <w:basedOn w:val="1"/>
    <w:qFormat/>
    <w:uiPriority w:val="0"/>
    <w:pPr>
      <w:spacing w:after="120" w:line="480" w:lineRule="auto"/>
    </w:p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4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5"/>
    <w:next w:val="15"/>
    <w:link w:val="175"/>
    <w:qFormat/>
    <w:uiPriority w:val="0"/>
    <w:rPr>
      <w:b/>
      <w:bCs/>
    </w:rPr>
  </w:style>
  <w:style w:type="paragraph" w:styleId="46">
    <w:name w:val="Body Text First Indent"/>
    <w:basedOn w:val="1"/>
    <w:link w:val="182"/>
    <w:qFormat/>
    <w:uiPriority w:val="0"/>
    <w:pPr>
      <w:spacing w:line="312" w:lineRule="auto"/>
      <w:ind w:firstLine="42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脚注文本 Char1"/>
    <w:qFormat/>
    <w:uiPriority w:val="0"/>
    <w:rPr>
      <w:rFonts w:ascii="Times New Roman" w:hAnsi="Times New Roman" w:eastAsia="宋体"/>
      <w:sz w:val="18"/>
      <w:szCs w:val="20"/>
    </w:rPr>
  </w:style>
  <w:style w:type="paragraph" w:customStyle="1" w:styleId="58">
    <w:name w:val="1"/>
    <w:basedOn w:val="1"/>
    <w:next w:val="1"/>
    <w:qFormat/>
    <w:uiPriority w:val="0"/>
  </w:style>
  <w:style w:type="paragraph" w:customStyle="1" w:styleId="5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0">
    <w:name w:val="表格"/>
    <w:basedOn w:val="1"/>
    <w:qFormat/>
    <w:uiPriority w:val="0"/>
    <w:pPr>
      <w:jc w:val="center"/>
      <w:textAlignment w:val="center"/>
    </w:pPr>
    <w:rPr>
      <w:rFonts w:ascii="华文细黑" w:hAnsi="华文细黑"/>
      <w:kern w:val="0"/>
      <w:szCs w:val="20"/>
    </w:rPr>
  </w:style>
  <w:style w:type="paragraph" w:customStyle="1" w:styleId="61">
    <w:name w:val="表格文字"/>
    <w:basedOn w:val="1"/>
    <w:qFormat/>
    <w:uiPriority w:val="0"/>
    <w:pPr>
      <w:adjustRightInd w:val="0"/>
      <w:spacing w:line="420" w:lineRule="atLeast"/>
      <w:jc w:val="left"/>
      <w:textAlignment w:val="baseline"/>
    </w:pPr>
    <w:rPr>
      <w:kern w:val="0"/>
      <w:szCs w:val="20"/>
    </w:rPr>
  </w:style>
  <w:style w:type="paragraph" w:customStyle="1" w:styleId="62">
    <w:name w:val="表格方字"/>
    <w:basedOn w:val="1"/>
    <w:qFormat/>
    <w:uiPriority w:val="0"/>
    <w:pPr>
      <w:adjustRightInd w:val="0"/>
      <w:spacing w:before="60" w:after="60" w:line="420" w:lineRule="atLeast"/>
      <w:jc w:val="left"/>
      <w:textAlignment w:val="baseline"/>
    </w:pPr>
    <w:rPr>
      <w:kern w:val="0"/>
      <w:szCs w:val="20"/>
    </w:rPr>
  </w:style>
  <w:style w:type="paragraph" w:customStyle="1" w:styleId="63">
    <w:name w:val="表头"/>
    <w:basedOn w:val="62"/>
    <w:qFormat/>
    <w:uiPriority w:val="0"/>
    <w:rPr>
      <w:rFonts w:ascii="黑体" w:eastAsia="黑体"/>
      <w:b/>
    </w:rPr>
  </w:style>
  <w:style w:type="paragraph" w:customStyle="1" w:styleId="64">
    <w:name w:val="表格1"/>
    <w:basedOn w:val="1"/>
    <w:qFormat/>
    <w:uiPriority w:val="0"/>
    <w:pPr>
      <w:adjustRightInd w:val="0"/>
      <w:spacing w:line="420" w:lineRule="atLeast"/>
      <w:ind w:left="284"/>
      <w:textAlignment w:val="baseline"/>
    </w:pPr>
    <w:rPr>
      <w:kern w:val="0"/>
      <w:szCs w:val="20"/>
    </w:rPr>
  </w:style>
  <w:style w:type="paragraph" w:customStyle="1" w:styleId="65">
    <w:name w:val="表格3"/>
    <w:basedOn w:val="1"/>
    <w:qFormat/>
    <w:uiPriority w:val="0"/>
    <w:pPr>
      <w:adjustRightInd w:val="0"/>
      <w:spacing w:line="420" w:lineRule="atLeast"/>
      <w:textAlignment w:val="baseline"/>
    </w:pPr>
    <w:rPr>
      <w:rFonts w:eastAsia="楷体"/>
      <w:kern w:val="0"/>
      <w:szCs w:val="20"/>
    </w:rPr>
  </w:style>
  <w:style w:type="paragraph" w:customStyle="1" w:styleId="66">
    <w:name w:val="表格5"/>
    <w:basedOn w:val="67"/>
    <w:qFormat/>
    <w:uiPriority w:val="0"/>
    <w:pPr>
      <w:ind w:left="1021" w:hanging="284"/>
    </w:pPr>
    <w:rPr>
      <w:rFonts w:ascii="宋体"/>
    </w:rPr>
  </w:style>
  <w:style w:type="paragraph" w:customStyle="1" w:styleId="67">
    <w:name w:val="表格2"/>
    <w:basedOn w:val="1"/>
    <w:qFormat/>
    <w:uiPriority w:val="0"/>
    <w:pPr>
      <w:adjustRightInd w:val="0"/>
      <w:spacing w:line="420" w:lineRule="atLeast"/>
      <w:ind w:left="284" w:firstLine="454"/>
      <w:textAlignment w:val="baseline"/>
    </w:pPr>
    <w:rPr>
      <w:kern w:val="0"/>
      <w:szCs w:val="20"/>
    </w:rPr>
  </w:style>
  <w:style w:type="paragraph" w:customStyle="1" w:styleId="68">
    <w:name w:val="表格4"/>
    <w:basedOn w:val="1"/>
    <w:qFormat/>
    <w:uiPriority w:val="0"/>
    <w:pPr>
      <w:adjustRightInd w:val="0"/>
      <w:spacing w:line="420" w:lineRule="atLeast"/>
      <w:ind w:left="1021"/>
      <w:textAlignment w:val="baseline"/>
    </w:pPr>
    <w:rPr>
      <w:kern w:val="0"/>
      <w:szCs w:val="20"/>
    </w:rPr>
  </w:style>
  <w:style w:type="paragraph" w:customStyle="1" w:styleId="69">
    <w:name w:val="表格6"/>
    <w:basedOn w:val="66"/>
    <w:qFormat/>
    <w:uiPriority w:val="0"/>
    <w:pPr>
      <w:ind w:left="737" w:firstLine="0"/>
    </w:pPr>
  </w:style>
  <w:style w:type="paragraph" w:customStyle="1" w:styleId="70">
    <w:name w:val="2"/>
    <w:basedOn w:val="1"/>
    <w:qFormat/>
    <w:uiPriority w:val="0"/>
    <w:pPr>
      <w:adjustRightInd w:val="0"/>
      <w:spacing w:line="420" w:lineRule="atLeast"/>
      <w:ind w:left="1134" w:hanging="227"/>
      <w:textAlignment w:val="baseline"/>
    </w:pPr>
    <w:rPr>
      <w:kern w:val="0"/>
      <w:szCs w:val="20"/>
    </w:rPr>
  </w:style>
  <w:style w:type="paragraph" w:customStyle="1" w:styleId="71">
    <w:name w:val="表中"/>
    <w:basedOn w:val="1"/>
    <w:qFormat/>
    <w:uiPriority w:val="0"/>
    <w:pPr>
      <w:adjustRightInd w:val="0"/>
      <w:spacing w:line="360" w:lineRule="atLeast"/>
      <w:jc w:val="center"/>
      <w:textAlignment w:val="baseline"/>
    </w:pPr>
    <w:rPr>
      <w:kern w:val="0"/>
      <w:szCs w:val="20"/>
    </w:rPr>
  </w:style>
  <w:style w:type="paragraph" w:customStyle="1" w:styleId="72">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3">
    <w:name w:val="Char Char Char Char Char Char"/>
    <w:basedOn w:val="1"/>
    <w:qFormat/>
    <w:uiPriority w:val="0"/>
  </w:style>
  <w:style w:type="paragraph" w:customStyle="1" w:styleId="74">
    <w:name w:val="Char"/>
    <w:basedOn w:val="1"/>
    <w:qFormat/>
    <w:uiPriority w:val="0"/>
  </w:style>
  <w:style w:type="paragraph" w:customStyle="1" w:styleId="75">
    <w:name w:val="Char1"/>
    <w:basedOn w:val="1"/>
    <w:qFormat/>
    <w:uiPriority w:val="0"/>
  </w:style>
  <w:style w:type="paragraph" w:customStyle="1" w:styleId="76">
    <w:name w:val="Char2"/>
    <w:basedOn w:val="1"/>
    <w:qFormat/>
    <w:uiPriority w:val="0"/>
  </w:style>
  <w:style w:type="paragraph" w:customStyle="1" w:styleId="77">
    <w:name w:val="Char Char Char Char Char Char Char Char Char Char Char Char Char Char Char Char Char Char1 Char Char Char Char"/>
    <w:basedOn w:val="1"/>
    <w:qFormat/>
    <w:uiPriority w:val="0"/>
  </w:style>
  <w:style w:type="paragraph" w:customStyle="1" w:styleId="78">
    <w:name w:val="_Style 75"/>
    <w:hidden/>
    <w:semiHidden/>
    <w:qFormat/>
    <w:uiPriority w:val="99"/>
    <w:rPr>
      <w:rFonts w:ascii="Times New Roman" w:hAnsi="Times New Roman" w:eastAsia="宋体" w:cs="Times New Roman"/>
      <w:kern w:val="2"/>
      <w:sz w:val="21"/>
      <w:szCs w:val="24"/>
      <w:lang w:val="en-US" w:eastAsia="zh-CN" w:bidi="ar-SA"/>
    </w:rPr>
  </w:style>
  <w:style w:type="paragraph" w:customStyle="1" w:styleId="79">
    <w:name w:val="_Style 7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0">
    <w:name w:val="Char Char Char"/>
    <w:basedOn w:val="1"/>
    <w:qFormat/>
    <w:uiPriority w:val="0"/>
    <w:rPr>
      <w:szCs w:val="20"/>
    </w:rPr>
  </w:style>
  <w:style w:type="paragraph" w:customStyle="1" w:styleId="81">
    <w:name w:val="Char Char Char1"/>
    <w:basedOn w:val="1"/>
    <w:qFormat/>
    <w:uiPriority w:val="0"/>
    <w:rPr>
      <w:szCs w:val="20"/>
    </w:rPr>
  </w:style>
  <w:style w:type="paragraph" w:customStyle="1" w:styleId="82">
    <w:name w:val="H001"/>
    <w:basedOn w:val="2"/>
    <w:link w:val="155"/>
    <w:qFormat/>
    <w:uiPriority w:val="0"/>
    <w:pPr>
      <w:spacing w:before="240" w:after="240" w:line="240" w:lineRule="exact"/>
    </w:pPr>
    <w:rPr>
      <w:rFonts w:eastAsia="黑体"/>
      <w:b w:val="0"/>
      <w:sz w:val="24"/>
    </w:rPr>
  </w:style>
  <w:style w:type="paragraph" w:customStyle="1" w:styleId="83">
    <w:name w:val="表"/>
    <w:basedOn w:val="1"/>
    <w:qFormat/>
    <w:uiPriority w:val="0"/>
    <w:pPr>
      <w:adjustRightInd w:val="0"/>
      <w:snapToGrid w:val="0"/>
      <w:spacing w:line="360" w:lineRule="exact"/>
    </w:pPr>
    <w:rPr>
      <w:szCs w:val="20"/>
    </w:rPr>
  </w:style>
  <w:style w:type="paragraph" w:customStyle="1" w:styleId="84">
    <w:name w:val="标准"/>
    <w:basedOn w:val="1"/>
    <w:qFormat/>
    <w:uiPriority w:val="0"/>
    <w:pPr>
      <w:adjustRightInd w:val="0"/>
      <w:spacing w:line="360" w:lineRule="auto"/>
      <w:jc w:val="center"/>
      <w:textAlignment w:val="baseline"/>
    </w:pPr>
    <w:rPr>
      <w:kern w:val="0"/>
      <w:sz w:val="24"/>
      <w:szCs w:val="20"/>
    </w:rPr>
  </w:style>
  <w:style w:type="paragraph" w:customStyle="1" w:styleId="85">
    <w:name w:val="表1"/>
    <w:basedOn w:val="1"/>
    <w:qFormat/>
    <w:uiPriority w:val="0"/>
    <w:pPr>
      <w:numPr>
        <w:ilvl w:val="0"/>
        <w:numId w:val="1"/>
      </w:numPr>
      <w:overflowPunct w:val="0"/>
      <w:autoSpaceDE w:val="0"/>
      <w:autoSpaceDN w:val="0"/>
      <w:adjustRightInd w:val="0"/>
      <w:spacing w:before="200" w:line="320" w:lineRule="atLeast"/>
      <w:textAlignment w:val="baseline"/>
    </w:pPr>
    <w:rPr>
      <w:kern w:val="0"/>
      <w:sz w:val="24"/>
      <w:szCs w:val="20"/>
    </w:rPr>
  </w:style>
  <w:style w:type="paragraph" w:customStyle="1" w:styleId="8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7">
    <w:name w:val="font6"/>
    <w:basedOn w:val="1"/>
    <w:qFormat/>
    <w:uiPriority w:val="0"/>
    <w:pPr>
      <w:widowControl/>
      <w:spacing w:before="100" w:beforeAutospacing="1" w:after="100" w:afterAutospacing="1"/>
      <w:jc w:val="left"/>
    </w:pPr>
    <w:rPr>
      <w:rFonts w:hint="eastAsia" w:ascii="黑体" w:hAnsi="宋体" w:eastAsia="黑体"/>
      <w:kern w:val="0"/>
      <w:sz w:val="22"/>
      <w:szCs w:val="22"/>
    </w:rPr>
  </w:style>
  <w:style w:type="paragraph" w:customStyle="1" w:styleId="88">
    <w:name w:val="font7"/>
    <w:basedOn w:val="1"/>
    <w:qFormat/>
    <w:uiPriority w:val="0"/>
    <w:pPr>
      <w:widowControl/>
      <w:spacing w:before="100" w:beforeAutospacing="1" w:after="100" w:afterAutospacing="1"/>
      <w:jc w:val="left"/>
    </w:pPr>
    <w:rPr>
      <w:kern w:val="0"/>
      <w:sz w:val="22"/>
      <w:szCs w:val="22"/>
    </w:rPr>
  </w:style>
  <w:style w:type="paragraph" w:customStyle="1" w:styleId="89">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90">
    <w:name w:val="xl32"/>
    <w:basedOn w:val="1"/>
    <w:qFormat/>
    <w:uiPriority w:val="0"/>
    <w:pPr>
      <w:widowControl/>
      <w:spacing w:before="100" w:beforeAutospacing="1" w:after="100" w:afterAutospacing="1"/>
      <w:jc w:val="center"/>
      <w:textAlignment w:val="center"/>
    </w:pPr>
    <w:rPr>
      <w:rFonts w:hint="eastAsia" w:ascii="黑体" w:hAnsi="宋体" w:eastAsia="黑体"/>
      <w:kern w:val="0"/>
      <w:sz w:val="32"/>
      <w:szCs w:val="32"/>
    </w:rPr>
  </w:style>
  <w:style w:type="paragraph" w:customStyle="1" w:styleId="9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9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9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9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95">
    <w:name w:val="xl3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9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9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9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01">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0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03">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0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05">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0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07">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0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0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10">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11">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12">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13">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14">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2"/>
      <w:szCs w:val="22"/>
    </w:rPr>
  </w:style>
  <w:style w:type="paragraph" w:customStyle="1" w:styleId="115">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16">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17">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18">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19">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20">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2">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23">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5">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26">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27">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28">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29">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30">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31">
    <w:name w:val="font9"/>
    <w:basedOn w:val="1"/>
    <w:qFormat/>
    <w:uiPriority w:val="0"/>
    <w:pPr>
      <w:widowControl/>
      <w:spacing w:before="100" w:beforeAutospacing="1" w:after="100" w:afterAutospacing="1"/>
      <w:jc w:val="left"/>
    </w:pPr>
    <w:rPr>
      <w:kern w:val="0"/>
      <w:szCs w:val="21"/>
    </w:rPr>
  </w:style>
  <w:style w:type="paragraph" w:customStyle="1" w:styleId="132">
    <w:name w:val="font10"/>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3">
    <w:name w:val="Char Char Char Char"/>
    <w:basedOn w:val="1"/>
    <w:semiHidden/>
    <w:qFormat/>
    <w:uiPriority w:val="0"/>
  </w:style>
  <w:style w:type="paragraph" w:customStyle="1" w:styleId="134">
    <w:name w:val="样式 港珠澳正文 + 首行缩进:  2 字符 段前: 1 行 段后: 1 行"/>
    <w:basedOn w:val="1"/>
    <w:qFormat/>
    <w:uiPriority w:val="0"/>
    <w:pPr>
      <w:spacing w:line="360" w:lineRule="auto"/>
      <w:ind w:firstLine="200" w:firstLineChars="200"/>
      <w:jc w:val="left"/>
    </w:pPr>
    <w:rPr>
      <w:rFonts w:cs="宋体"/>
      <w:color w:val="000000"/>
      <w:sz w:val="24"/>
      <w:szCs w:val="20"/>
    </w:rPr>
  </w:style>
  <w:style w:type="paragraph" w:customStyle="1" w:styleId="135">
    <w:name w:val="正文A"/>
    <w:qFormat/>
    <w:uiPriority w:val="0"/>
    <w:pPr>
      <w:widowControl w:val="0"/>
      <w:tabs>
        <w:tab w:val="left" w:pos="0"/>
      </w:tabs>
      <w:adjustRightInd w:val="0"/>
      <w:spacing w:line="360" w:lineRule="auto"/>
      <w:ind w:firstLine="200" w:firstLineChars="200"/>
      <w:jc w:val="both"/>
      <w:textAlignment w:val="baseline"/>
    </w:pPr>
    <w:rPr>
      <w:rFonts w:ascii="Times New Roman" w:hAnsi="Times New Roman" w:eastAsia="宋体" w:cs="Times New Roman"/>
      <w:snapToGrid w:val="0"/>
      <w:sz w:val="24"/>
      <w:lang w:val="en-US" w:eastAsia="zh-CN" w:bidi="ar-SA"/>
    </w:rPr>
  </w:style>
  <w:style w:type="paragraph" w:customStyle="1" w:styleId="136">
    <w:name w:val="表名A"/>
    <w:basedOn w:val="1"/>
    <w:qFormat/>
    <w:uiPriority w:val="0"/>
    <w:pPr>
      <w:widowControl/>
      <w:tabs>
        <w:tab w:val="left" w:pos="0"/>
      </w:tabs>
      <w:adjustRightInd w:val="0"/>
      <w:snapToGrid w:val="0"/>
      <w:spacing w:beforeLines="80" w:afterLines="20"/>
      <w:jc w:val="center"/>
    </w:pPr>
    <w:rPr>
      <w:b/>
      <w:snapToGrid w:val="0"/>
      <w:kern w:val="0"/>
      <w:szCs w:val="20"/>
    </w:rPr>
  </w:style>
  <w:style w:type="paragraph" w:customStyle="1" w:styleId="137">
    <w:name w:val="表文C"/>
    <w:basedOn w:val="1"/>
    <w:qFormat/>
    <w:uiPriority w:val="0"/>
    <w:pPr>
      <w:widowControl/>
      <w:tabs>
        <w:tab w:val="left" w:pos="0"/>
      </w:tabs>
      <w:adjustRightInd w:val="0"/>
      <w:snapToGrid w:val="0"/>
      <w:jc w:val="center"/>
    </w:pPr>
    <w:rPr>
      <w:snapToGrid w:val="0"/>
      <w:kern w:val="0"/>
      <w:szCs w:val="20"/>
    </w:rPr>
  </w:style>
  <w:style w:type="paragraph" w:customStyle="1" w:styleId="138">
    <w:name w:val="港珠澳表格"/>
    <w:basedOn w:val="1"/>
    <w:qFormat/>
    <w:uiPriority w:val="0"/>
    <w:pPr>
      <w:spacing w:beforeLines="100" w:after="60"/>
      <w:jc w:val="center"/>
    </w:pPr>
    <w:rPr>
      <w:sz w:val="24"/>
    </w:rPr>
  </w:style>
  <w:style w:type="paragraph" w:customStyle="1" w:styleId="139">
    <w:name w:val="样式 标题 3 + 首行缩进:  2 字符1"/>
    <w:basedOn w:val="5"/>
    <w:qFormat/>
    <w:uiPriority w:val="0"/>
    <w:pPr>
      <w:widowControl w:val="0"/>
      <w:spacing w:after="0" w:line="415" w:lineRule="auto"/>
      <w:ind w:firstLine="200" w:firstLineChars="200"/>
      <w:jc w:val="both"/>
    </w:pPr>
    <w:rPr>
      <w:rFonts w:cs="宋体"/>
      <w:bCs/>
      <w:kern w:val="2"/>
      <w:sz w:val="24"/>
    </w:rPr>
  </w:style>
  <w:style w:type="paragraph" w:customStyle="1" w:styleId="140">
    <w:name w:val="样式 标题 2 + Times New Roman 段前: 12 磅"/>
    <w:basedOn w:val="3"/>
    <w:qFormat/>
    <w:uiPriority w:val="0"/>
    <w:pPr>
      <w:snapToGrid w:val="0"/>
      <w:spacing w:before="120" w:after="120" w:line="240" w:lineRule="auto"/>
      <w:jc w:val="both"/>
    </w:pPr>
    <w:rPr>
      <w:rFonts w:ascii="黑体" w:hAnsi="Times New Roman" w:cs="宋体"/>
      <w:b/>
      <w:i w:val="0"/>
      <w:iCs w:val="0"/>
      <w:sz w:val="28"/>
      <w:szCs w:val="28"/>
    </w:rPr>
  </w:style>
  <w:style w:type="paragraph" w:customStyle="1" w:styleId="141">
    <w:name w:val="xl24"/>
    <w:basedOn w:val="1"/>
    <w:qFormat/>
    <w:uiPriority w:val="0"/>
    <w:pPr>
      <w:widowControl/>
      <w:spacing w:before="100" w:beforeAutospacing="1" w:after="100" w:afterAutospacing="1"/>
      <w:jc w:val="center"/>
      <w:textAlignment w:val="center"/>
    </w:pPr>
    <w:rPr>
      <w:rFonts w:ascii="宋体" w:eastAsia="Arial Unicode MS"/>
      <w:kern w:val="0"/>
      <w:sz w:val="24"/>
      <w:szCs w:val="21"/>
    </w:rPr>
  </w:style>
  <w:style w:type="paragraph" w:customStyle="1" w:styleId="142">
    <w:name w:val="Char Char Char Char Char Char Char Char Char Char Char Char Char Char Char Char Char Char Char Char Char Char"/>
    <w:basedOn w:val="1"/>
    <w:qFormat/>
    <w:uiPriority w:val="0"/>
  </w:style>
  <w:style w:type="paragraph" w:customStyle="1" w:styleId="143">
    <w:name w:val="标题C"/>
    <w:qFormat/>
    <w:uiPriority w:val="0"/>
    <w:pPr>
      <w:tabs>
        <w:tab w:val="left" w:pos="0"/>
      </w:tabs>
      <w:adjustRightInd w:val="0"/>
      <w:spacing w:line="600" w:lineRule="auto"/>
      <w:outlineLvl w:val="2"/>
    </w:pPr>
    <w:rPr>
      <w:rFonts w:ascii="Times New Roman" w:hAnsi="Times New Roman" w:eastAsia="宋体" w:cs="Plotter"/>
      <w:b/>
      <w:snapToGrid w:val="0"/>
      <w:sz w:val="28"/>
      <w:lang w:val="en-US" w:eastAsia="zh-CN" w:bidi="ar-SA"/>
    </w:rPr>
  </w:style>
  <w:style w:type="paragraph" w:customStyle="1" w:styleId="144">
    <w:name w:val="标题B"/>
    <w:qFormat/>
    <w:uiPriority w:val="0"/>
    <w:pPr>
      <w:adjustRightInd w:val="0"/>
      <w:spacing w:line="720" w:lineRule="auto"/>
      <w:outlineLvl w:val="1"/>
    </w:pPr>
    <w:rPr>
      <w:rFonts w:ascii="Times New Roman" w:hAnsi="Times New Roman" w:eastAsia="宋体" w:cs="Times New Roman"/>
      <w:b/>
      <w:sz w:val="30"/>
      <w:lang w:val="en-US" w:eastAsia="zh-CN" w:bidi="ar-SA"/>
    </w:rPr>
  </w:style>
  <w:style w:type="paragraph" w:customStyle="1" w:styleId="145">
    <w:name w:val="文章"/>
    <w:link w:val="159"/>
    <w:qFormat/>
    <w:uiPriority w:val="0"/>
    <w:pPr>
      <w:adjustRightInd w:val="0"/>
      <w:snapToGrid w:val="0"/>
      <w:spacing w:line="360" w:lineRule="auto"/>
      <w:ind w:firstLine="520" w:firstLineChars="200"/>
    </w:pPr>
    <w:rPr>
      <w:rFonts w:ascii="Garamond" w:hAnsi="Garamond" w:eastAsia="宋体" w:cs="Times New Roman"/>
      <w:kern w:val="2"/>
      <w:sz w:val="24"/>
      <w:szCs w:val="24"/>
      <w:lang w:val="en-US" w:eastAsia="zh-CN" w:bidi="ar-SA"/>
    </w:rPr>
  </w:style>
  <w:style w:type="paragraph" w:customStyle="1" w:styleId="146">
    <w:name w:val="_Style 143"/>
    <w:basedOn w:val="1"/>
    <w:qFormat/>
    <w:uiPriority w:val="0"/>
    <w:pPr>
      <w:ind w:firstLine="420" w:firstLineChars="200"/>
    </w:pPr>
    <w:rPr>
      <w:rFonts w:ascii="Calibri" w:hAnsi="Calibri"/>
      <w:szCs w:val="22"/>
    </w:rPr>
  </w:style>
  <w:style w:type="character" w:customStyle="1" w:styleId="147">
    <w:name w:val="页脚 Char"/>
    <w:link w:val="31"/>
    <w:qFormat/>
    <w:uiPriority w:val="0"/>
    <w:rPr>
      <w:rFonts w:eastAsia="宋体"/>
      <w:kern w:val="2"/>
      <w:sz w:val="18"/>
      <w:szCs w:val="18"/>
      <w:lang w:val="en-US" w:eastAsia="zh-CN" w:bidi="ar-SA"/>
    </w:rPr>
  </w:style>
  <w:style w:type="character" w:customStyle="1" w:styleId="148">
    <w:name w:val="font161"/>
    <w:qFormat/>
    <w:uiPriority w:val="0"/>
    <w:rPr>
      <w:b/>
      <w:bCs/>
      <w:sz w:val="32"/>
      <w:szCs w:val="32"/>
    </w:rPr>
  </w:style>
  <w:style w:type="character" w:customStyle="1" w:styleId="149">
    <w:name w:val="标题 Char"/>
    <w:link w:val="44"/>
    <w:qFormat/>
    <w:uiPriority w:val="0"/>
    <w:rPr>
      <w:rFonts w:ascii="Arial" w:hAnsi="Arial" w:eastAsia="宋体"/>
      <w:b/>
      <w:sz w:val="32"/>
      <w:lang w:val="en-US" w:eastAsia="zh-CN" w:bidi="ar-SA"/>
    </w:rPr>
  </w:style>
  <w:style w:type="character" w:customStyle="1" w:styleId="150">
    <w:name w:val="数字"/>
    <w:qFormat/>
    <w:uiPriority w:val="0"/>
    <w:rPr>
      <w:rFonts w:eastAsia="黑体"/>
      <w:b/>
      <w:sz w:val="21"/>
    </w:rPr>
  </w:style>
  <w:style w:type="character" w:customStyle="1" w:styleId="151">
    <w:name w:val="纯文本 Char"/>
    <w:link w:val="25"/>
    <w:qFormat/>
    <w:uiPriority w:val="0"/>
    <w:rPr>
      <w:rFonts w:ascii="宋体" w:hAnsi="Courier New" w:eastAsia="宋体"/>
      <w:kern w:val="2"/>
      <w:sz w:val="21"/>
      <w:lang w:val="en-US" w:eastAsia="zh-CN" w:bidi="ar-SA"/>
    </w:rPr>
  </w:style>
  <w:style w:type="character" w:customStyle="1" w:styleId="152">
    <w:name w:val="文档结构图 Char"/>
    <w:link w:val="14"/>
    <w:qFormat/>
    <w:uiPriority w:val="0"/>
    <w:rPr>
      <w:rFonts w:ascii="宋体"/>
      <w:kern w:val="2"/>
      <w:sz w:val="18"/>
      <w:szCs w:val="18"/>
    </w:rPr>
  </w:style>
  <w:style w:type="character" w:customStyle="1" w:styleId="153">
    <w:name w:val="脚注文本 Char"/>
    <w:link w:val="36"/>
    <w:qFormat/>
    <w:uiPriority w:val="0"/>
    <w:rPr>
      <w:sz w:val="18"/>
    </w:rPr>
  </w:style>
  <w:style w:type="character" w:customStyle="1" w:styleId="154">
    <w:name w:val="标题 2 Char"/>
    <w:link w:val="3"/>
    <w:qFormat/>
    <w:uiPriority w:val="0"/>
    <w:rPr>
      <w:rFonts w:ascii="宋体" w:hAnsi="宋体" w:eastAsia="黑体"/>
      <w:bCs/>
      <w:i/>
      <w:iCs/>
      <w:kern w:val="2"/>
      <w:sz w:val="24"/>
    </w:rPr>
  </w:style>
  <w:style w:type="character" w:customStyle="1" w:styleId="155">
    <w:name w:val="H001 Char"/>
    <w:link w:val="82"/>
    <w:qFormat/>
    <w:uiPriority w:val="0"/>
    <w:rPr>
      <w:rFonts w:eastAsia="黑体"/>
      <w:bCs/>
      <w:kern w:val="44"/>
      <w:sz w:val="24"/>
      <w:szCs w:val="44"/>
    </w:rPr>
  </w:style>
  <w:style w:type="character" w:customStyle="1" w:styleId="156">
    <w:name w:val="标题 5 Char"/>
    <w:link w:val="7"/>
    <w:qFormat/>
    <w:uiPriority w:val="9"/>
    <w:rPr>
      <w:b/>
      <w:sz w:val="28"/>
    </w:rPr>
  </w:style>
  <w:style w:type="character" w:customStyle="1" w:styleId="157">
    <w:name w:val="副标题 Char"/>
    <w:link w:val="35"/>
    <w:qFormat/>
    <w:uiPriority w:val="0"/>
    <w:rPr>
      <w:rFonts w:ascii="黑体" w:eastAsia="黑体"/>
      <w:kern w:val="28"/>
      <w:sz w:val="24"/>
      <w:szCs w:val="24"/>
    </w:rPr>
  </w:style>
  <w:style w:type="character" w:customStyle="1" w:styleId="158">
    <w:name w:val="称呼 Char"/>
    <w:link w:val="16"/>
    <w:qFormat/>
    <w:uiPriority w:val="0"/>
    <w:rPr>
      <w:kern w:val="2"/>
      <w:sz w:val="28"/>
      <w:szCs w:val="28"/>
    </w:rPr>
  </w:style>
  <w:style w:type="character" w:customStyle="1" w:styleId="159">
    <w:name w:val="文章 Char"/>
    <w:link w:val="145"/>
    <w:qFormat/>
    <w:uiPriority w:val="0"/>
    <w:rPr>
      <w:rFonts w:ascii="Garamond" w:hAnsi="Garamond"/>
      <w:kern w:val="2"/>
      <w:sz w:val="24"/>
      <w:szCs w:val="24"/>
      <w:lang w:bidi="ar-SA"/>
    </w:rPr>
  </w:style>
  <w:style w:type="character" w:customStyle="1" w:styleId="160">
    <w:name w:val="尾注文本 Char"/>
    <w:link w:val="29"/>
    <w:qFormat/>
    <w:uiPriority w:val="0"/>
    <w:rPr>
      <w:kern w:val="2"/>
      <w:sz w:val="21"/>
      <w:szCs w:val="24"/>
    </w:rPr>
  </w:style>
  <w:style w:type="character" w:customStyle="1" w:styleId="161">
    <w:name w:val="页眉 Char"/>
    <w:link w:val="32"/>
    <w:qFormat/>
    <w:uiPriority w:val="0"/>
    <w:rPr>
      <w:kern w:val="2"/>
      <w:sz w:val="18"/>
      <w:szCs w:val="18"/>
    </w:rPr>
  </w:style>
  <w:style w:type="table" w:customStyle="1" w:styleId="162">
    <w:name w:val="网格型1"/>
    <w:basedOn w:val="47"/>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3">
    <w:name w:val="修订1"/>
    <w:hidden/>
    <w:qFormat/>
    <w:uiPriority w:val="0"/>
    <w:rPr>
      <w:rFonts w:ascii="Times New Roman" w:hAnsi="Times New Roman" w:eastAsia="宋体" w:cs="Times New Roman"/>
      <w:kern w:val="2"/>
      <w:sz w:val="21"/>
      <w:szCs w:val="24"/>
      <w:lang w:val="en-US" w:eastAsia="zh-CN" w:bidi="ar-SA"/>
    </w:rPr>
  </w:style>
  <w:style w:type="character" w:customStyle="1" w:styleId="164">
    <w:name w:val="标题 1 Char"/>
    <w:link w:val="2"/>
    <w:qFormat/>
    <w:uiPriority w:val="0"/>
    <w:rPr>
      <w:b/>
      <w:bCs/>
      <w:kern w:val="44"/>
      <w:sz w:val="44"/>
      <w:szCs w:val="44"/>
    </w:rPr>
  </w:style>
  <w:style w:type="character" w:customStyle="1" w:styleId="165">
    <w:name w:val="标题 3 Char"/>
    <w:basedOn w:val="49"/>
    <w:link w:val="5"/>
    <w:qFormat/>
    <w:uiPriority w:val="0"/>
    <w:rPr>
      <w:b/>
      <w:sz w:val="32"/>
    </w:rPr>
  </w:style>
  <w:style w:type="character" w:customStyle="1" w:styleId="166">
    <w:name w:val="标题 4 Char"/>
    <w:basedOn w:val="49"/>
    <w:link w:val="6"/>
    <w:qFormat/>
    <w:uiPriority w:val="0"/>
    <w:rPr>
      <w:i/>
      <w:sz w:val="21"/>
    </w:rPr>
  </w:style>
  <w:style w:type="character" w:customStyle="1" w:styleId="167">
    <w:name w:val="标题 6 Char"/>
    <w:basedOn w:val="49"/>
    <w:link w:val="8"/>
    <w:qFormat/>
    <w:uiPriority w:val="0"/>
    <w:rPr>
      <w:rFonts w:ascii="Arial" w:hAnsi="Arial" w:eastAsia="黑体"/>
      <w:b/>
      <w:bCs/>
      <w:sz w:val="24"/>
      <w:szCs w:val="24"/>
    </w:rPr>
  </w:style>
  <w:style w:type="character" w:customStyle="1" w:styleId="168">
    <w:name w:val="标题 7 Char"/>
    <w:basedOn w:val="49"/>
    <w:link w:val="9"/>
    <w:qFormat/>
    <w:uiPriority w:val="0"/>
    <w:rPr>
      <w:b/>
      <w:bCs/>
      <w:sz w:val="24"/>
      <w:szCs w:val="24"/>
    </w:rPr>
  </w:style>
  <w:style w:type="character" w:customStyle="1" w:styleId="169">
    <w:name w:val="标题 8 Char"/>
    <w:basedOn w:val="49"/>
    <w:link w:val="10"/>
    <w:qFormat/>
    <w:uiPriority w:val="0"/>
    <w:rPr>
      <w:rFonts w:ascii="Arial" w:hAnsi="Arial" w:eastAsia="黑体"/>
      <w:sz w:val="24"/>
      <w:szCs w:val="24"/>
    </w:rPr>
  </w:style>
  <w:style w:type="character" w:customStyle="1" w:styleId="170">
    <w:name w:val="标题 9 Char"/>
    <w:basedOn w:val="49"/>
    <w:link w:val="11"/>
    <w:qFormat/>
    <w:uiPriority w:val="0"/>
    <w:rPr>
      <w:rFonts w:ascii="Arial" w:hAnsi="Arial" w:eastAsia="黑体"/>
      <w:sz w:val="21"/>
      <w:szCs w:val="21"/>
    </w:rPr>
  </w:style>
  <w:style w:type="character" w:customStyle="1" w:styleId="171">
    <w:name w:val="style_kwd"/>
    <w:basedOn w:val="49"/>
    <w:qFormat/>
    <w:uiPriority w:val="0"/>
  </w:style>
  <w:style w:type="character" w:customStyle="1" w:styleId="172">
    <w:name w:val="批注文字 Char1"/>
    <w:qFormat/>
    <w:uiPriority w:val="0"/>
    <w:rPr>
      <w:rFonts w:ascii="Times New Roman" w:hAnsi="Times New Roman" w:eastAsia="宋体" w:cs="Times New Roman"/>
      <w:sz w:val="20"/>
      <w:szCs w:val="20"/>
      <w:lang w:bidi="ar-SA"/>
    </w:rPr>
  </w:style>
  <w:style w:type="character" w:customStyle="1" w:styleId="173">
    <w:name w:val="Comment Text Char"/>
    <w:qFormat/>
    <w:uiPriority w:val="0"/>
  </w:style>
  <w:style w:type="character" w:customStyle="1" w:styleId="174">
    <w:name w:val="批注文字 Char"/>
    <w:basedOn w:val="49"/>
    <w:link w:val="15"/>
    <w:qFormat/>
    <w:uiPriority w:val="0"/>
    <w:rPr>
      <w:kern w:val="2"/>
      <w:sz w:val="21"/>
      <w:szCs w:val="24"/>
    </w:rPr>
  </w:style>
  <w:style w:type="character" w:customStyle="1" w:styleId="175">
    <w:name w:val="批注主题 Char"/>
    <w:link w:val="45"/>
    <w:qFormat/>
    <w:uiPriority w:val="0"/>
    <w:rPr>
      <w:b/>
      <w:bCs/>
      <w:kern w:val="2"/>
      <w:sz w:val="21"/>
      <w:szCs w:val="24"/>
    </w:rPr>
  </w:style>
  <w:style w:type="character" w:customStyle="1" w:styleId="176">
    <w:name w:val="正文文本 3 Char"/>
    <w:basedOn w:val="49"/>
    <w:link w:val="17"/>
    <w:qFormat/>
    <w:uiPriority w:val="99"/>
    <w:rPr>
      <w:rFonts w:ascii="宋体"/>
      <w:kern w:val="2"/>
      <w:sz w:val="24"/>
    </w:rPr>
  </w:style>
  <w:style w:type="character" w:customStyle="1" w:styleId="177">
    <w:name w:val="正文文本缩进 3 Char"/>
    <w:basedOn w:val="49"/>
    <w:link w:val="38"/>
    <w:qFormat/>
    <w:uiPriority w:val="0"/>
    <w:rPr>
      <w:kern w:val="2"/>
      <w:sz w:val="16"/>
      <w:szCs w:val="16"/>
    </w:rPr>
  </w:style>
  <w:style w:type="character" w:customStyle="1" w:styleId="178">
    <w:name w:val="批注框文本 Char"/>
    <w:link w:val="30"/>
    <w:qFormat/>
    <w:uiPriority w:val="0"/>
    <w:rPr>
      <w:kern w:val="2"/>
      <w:sz w:val="18"/>
      <w:szCs w:val="18"/>
    </w:rPr>
  </w:style>
  <w:style w:type="character" w:customStyle="1" w:styleId="179">
    <w:name w:val="日期 Char"/>
    <w:link w:val="27"/>
    <w:qFormat/>
    <w:uiPriority w:val="0"/>
    <w:rPr>
      <w:kern w:val="2"/>
      <w:sz w:val="24"/>
    </w:rPr>
  </w:style>
  <w:style w:type="paragraph" w:customStyle="1" w:styleId="180">
    <w:name w:val="_Style 23"/>
    <w:basedOn w:val="1"/>
    <w:qFormat/>
    <w:uiPriority w:val="0"/>
    <w:pPr>
      <w:widowControl/>
      <w:spacing w:after="160" w:line="240" w:lineRule="exact"/>
      <w:jc w:val="left"/>
    </w:pPr>
    <w:rPr>
      <w:rFonts w:ascii="Calibri" w:hAnsi="Calibri"/>
      <w:szCs w:val="22"/>
    </w:rPr>
  </w:style>
  <w:style w:type="paragraph" w:customStyle="1" w:styleId="181">
    <w:name w:val="TOC 标题1"/>
    <w:basedOn w:val="2"/>
    <w:next w:val="1"/>
    <w:qFormat/>
    <w:uiPriority w:val="39"/>
    <w:pPr>
      <w:widowControl/>
      <w:spacing w:before="480" w:after="0" w:line="276" w:lineRule="auto"/>
      <w:jc w:val="left"/>
      <w:outlineLvl w:val="9"/>
    </w:pPr>
    <w:rPr>
      <w:rFonts w:ascii="Cambria" w:hAnsi="Cambria"/>
      <w:bCs w:val="0"/>
      <w:color w:val="365F91"/>
      <w:kern w:val="0"/>
      <w:sz w:val="28"/>
      <w:szCs w:val="20"/>
    </w:rPr>
  </w:style>
  <w:style w:type="character" w:customStyle="1" w:styleId="182">
    <w:name w:val="正文首行缩进 Char"/>
    <w:basedOn w:val="183"/>
    <w:link w:val="46"/>
    <w:qFormat/>
    <w:uiPriority w:val="0"/>
    <w:rPr>
      <w:rFonts w:eastAsia="宋体"/>
      <w:kern w:val="2"/>
      <w:sz w:val="21"/>
      <w:szCs w:val="24"/>
      <w:lang w:val="en-US" w:eastAsia="zh-CN" w:bidi="ar-SA"/>
    </w:rPr>
  </w:style>
  <w:style w:type="character" w:customStyle="1" w:styleId="183">
    <w:name w:val="正文文本 Char"/>
    <w:qFormat/>
    <w:uiPriority w:val="0"/>
    <w:rPr>
      <w:rFonts w:eastAsia="宋体"/>
      <w:kern w:val="2"/>
      <w:sz w:val="21"/>
      <w:szCs w:val="24"/>
      <w:lang w:val="en-US" w:eastAsia="zh-CN" w:bidi="ar-SA"/>
    </w:rPr>
  </w:style>
  <w:style w:type="character" w:customStyle="1" w:styleId="184">
    <w:name w:val="正文文本 Char1"/>
    <w:basedOn w:val="49"/>
    <w:link w:val="18"/>
    <w:qFormat/>
    <w:uiPriority w:val="0"/>
    <w:rPr>
      <w:kern w:val="2"/>
      <w:sz w:val="21"/>
      <w:szCs w:val="24"/>
    </w:rPr>
  </w:style>
  <w:style w:type="character" w:customStyle="1" w:styleId="185">
    <w:name w:val="正文首行缩进 字符1"/>
    <w:basedOn w:val="184"/>
    <w:qFormat/>
    <w:uiPriority w:val="0"/>
    <w:rPr>
      <w:kern w:val="2"/>
      <w:sz w:val="21"/>
      <w:szCs w:val="24"/>
    </w:rPr>
  </w:style>
  <w:style w:type="paragraph" w:customStyle="1" w:styleId="186">
    <w:name w:val="列出段落1"/>
    <w:basedOn w:val="1"/>
    <w:qFormat/>
    <w:uiPriority w:val="0"/>
    <w:pPr>
      <w:ind w:firstLine="420" w:firstLineChars="200"/>
    </w:pPr>
    <w:rPr>
      <w:rFonts w:ascii="Calibri" w:hAnsi="Calibri"/>
      <w:szCs w:val="22"/>
    </w:rPr>
  </w:style>
  <w:style w:type="character" w:customStyle="1" w:styleId="187">
    <w:name w:val="正文首行缩进 Char1"/>
    <w:basedOn w:val="184"/>
    <w:qFormat/>
    <w:uiPriority w:val="99"/>
    <w:rPr>
      <w:rFonts w:eastAsia="宋体"/>
      <w:kern w:val="2"/>
      <w:sz w:val="21"/>
      <w:szCs w:val="24"/>
    </w:rPr>
  </w:style>
  <w:style w:type="character" w:customStyle="1" w:styleId="188">
    <w:name w:val="正文文本缩进 Char"/>
    <w:basedOn w:val="49"/>
    <w:link w:val="19"/>
    <w:qFormat/>
    <w:uiPriority w:val="0"/>
    <w:rPr>
      <w:kern w:val="2"/>
      <w:sz w:val="21"/>
      <w:szCs w:val="24"/>
    </w:rPr>
  </w:style>
  <w:style w:type="paragraph" w:customStyle="1" w:styleId="189">
    <w:name w:val="我的正文"/>
    <w:basedOn w:val="1"/>
    <w:qFormat/>
    <w:uiPriority w:val="0"/>
    <w:rPr>
      <w:rFonts w:ascii="宋体" w:hAnsi="宋体"/>
      <w:sz w:val="24"/>
    </w:rPr>
  </w:style>
  <w:style w:type="paragraph" w:customStyle="1" w:styleId="190">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cs="宋体"/>
      <w:bCs w:val="0"/>
      <w:i w:val="0"/>
      <w:iCs w:val="0"/>
      <w:sz w:val="28"/>
    </w:rPr>
  </w:style>
  <w:style w:type="paragraph" w:customStyle="1" w:styleId="191">
    <w:name w:val="样式2"/>
    <w:basedOn w:val="5"/>
    <w:qFormat/>
    <w:uiPriority w:val="0"/>
    <w:pPr>
      <w:widowControl w:val="0"/>
      <w:tabs>
        <w:tab w:val="clear" w:pos="3229"/>
      </w:tabs>
      <w:spacing w:before="260" w:after="260" w:line="415" w:lineRule="auto"/>
      <w:ind w:firstLine="137" w:firstLineChars="49"/>
      <w:jc w:val="both"/>
    </w:pPr>
    <w:rPr>
      <w:rFonts w:ascii="黑体" w:eastAsia="黑体"/>
      <w:b w:val="0"/>
      <w:bCs/>
      <w:i/>
      <w:kern w:val="2"/>
      <w:sz w:val="28"/>
      <w:szCs w:val="28"/>
    </w:rPr>
  </w:style>
  <w:style w:type="paragraph" w:customStyle="1" w:styleId="192">
    <w:name w:val="修订11"/>
    <w:qFormat/>
    <w:uiPriority w:val="0"/>
    <w:rPr>
      <w:rFonts w:ascii="Times New Roman" w:hAnsi="Times New Roman" w:eastAsia="宋体" w:cs="Times New Roman"/>
      <w:kern w:val="2"/>
      <w:sz w:val="21"/>
      <w:szCs w:val="24"/>
      <w:lang w:val="en-US" w:eastAsia="zh-CN" w:bidi="ar-SA"/>
    </w:rPr>
  </w:style>
  <w:style w:type="paragraph" w:customStyle="1" w:styleId="193">
    <w:name w:val="样式1"/>
    <w:basedOn w:val="1"/>
    <w:next w:val="6"/>
    <w:qFormat/>
    <w:uiPriority w:val="0"/>
    <w:pPr>
      <w:spacing w:line="360" w:lineRule="auto"/>
      <w:ind w:firstLine="420" w:firstLineChars="200"/>
    </w:pPr>
    <w:rPr>
      <w:rFonts w:ascii="宋体" w:hAnsi="宋体"/>
      <w:szCs w:val="21"/>
    </w:rPr>
  </w:style>
  <w:style w:type="paragraph" w:customStyle="1" w:styleId="19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95">
    <w:name w:val="样式 标题 3 + (中文) 黑体 小四 非加粗 段前: 7.8 磅 段后: 0 磅 行距: 固定值 20 磅"/>
    <w:basedOn w:val="5"/>
    <w:qFormat/>
    <w:uiPriority w:val="0"/>
    <w:pPr>
      <w:widowControl w:val="0"/>
      <w:tabs>
        <w:tab w:val="clear" w:pos="3229"/>
      </w:tabs>
      <w:spacing w:before="0" w:after="0" w:line="400" w:lineRule="exact"/>
      <w:ind w:firstLine="137" w:firstLineChars="49"/>
      <w:jc w:val="both"/>
    </w:pPr>
    <w:rPr>
      <w:rFonts w:ascii="黑体" w:eastAsia="黑体" w:cs="宋体"/>
      <w:b w:val="0"/>
      <w:kern w:val="2"/>
      <w:sz w:val="24"/>
    </w:rPr>
  </w:style>
  <w:style w:type="paragraph" w:customStyle="1" w:styleId="196">
    <w:name w:val="修订2"/>
    <w:qFormat/>
    <w:uiPriority w:val="0"/>
    <w:rPr>
      <w:rFonts w:ascii="Times New Roman" w:hAnsi="Times New Roman" w:eastAsia="宋体" w:cs="Times New Roman"/>
      <w:kern w:val="2"/>
      <w:sz w:val="21"/>
      <w:szCs w:val="24"/>
      <w:lang w:val="en-US" w:eastAsia="zh-CN" w:bidi="ar-SA"/>
    </w:rPr>
  </w:style>
  <w:style w:type="character" w:customStyle="1" w:styleId="197">
    <w:name w:val="f121"/>
    <w:qFormat/>
    <w:uiPriority w:val="0"/>
    <w:rPr>
      <w:sz w:val="20"/>
      <w:u w:val="none"/>
    </w:rPr>
  </w:style>
  <w:style w:type="character" w:customStyle="1" w:styleId="198">
    <w:name w:val="标题 #1_"/>
    <w:link w:val="199"/>
    <w:qFormat/>
    <w:locked/>
    <w:uiPriority w:val="99"/>
    <w:rPr>
      <w:rFonts w:ascii="MingLiU" w:eastAsia="MingLiU" w:cs="MingLiU"/>
      <w:spacing w:val="80"/>
      <w:sz w:val="90"/>
      <w:szCs w:val="90"/>
      <w:shd w:val="clear" w:color="auto" w:fill="FFFFFF"/>
    </w:rPr>
  </w:style>
  <w:style w:type="paragraph" w:customStyle="1" w:styleId="199">
    <w:name w:val="标题 #1"/>
    <w:basedOn w:val="1"/>
    <w:link w:val="198"/>
    <w:qFormat/>
    <w:uiPriority w:val="99"/>
    <w:pPr>
      <w:shd w:val="clear" w:color="auto" w:fill="FFFFFF"/>
      <w:spacing w:before="1140" w:line="1111" w:lineRule="exact"/>
      <w:jc w:val="center"/>
      <w:outlineLvl w:val="0"/>
    </w:pPr>
    <w:rPr>
      <w:rFonts w:ascii="MingLiU" w:eastAsia="MingLiU" w:cs="MingLiU"/>
      <w:spacing w:val="80"/>
      <w:kern w:val="0"/>
      <w:sz w:val="90"/>
      <w:szCs w:val="90"/>
    </w:rPr>
  </w:style>
  <w:style w:type="character" w:customStyle="1" w:styleId="200">
    <w:name w:val="第一卷-CCC Char"/>
    <w:link w:val="201"/>
    <w:qFormat/>
    <w:locked/>
    <w:uiPriority w:val="0"/>
    <w:rPr>
      <w:rFonts w:ascii="创艺简老宋" w:eastAsia="创艺简老宋"/>
      <w:kern w:val="2"/>
      <w:sz w:val="26"/>
    </w:rPr>
  </w:style>
  <w:style w:type="paragraph" w:customStyle="1" w:styleId="201">
    <w:name w:val="第一卷-CCC"/>
    <w:basedOn w:val="1"/>
    <w:link w:val="200"/>
    <w:qFormat/>
    <w:uiPriority w:val="0"/>
    <w:pPr>
      <w:spacing w:beforeLines="50" w:afterLines="50" w:line="400" w:lineRule="exact"/>
      <w:jc w:val="center"/>
    </w:pPr>
    <w:rPr>
      <w:rFonts w:ascii="创艺简老宋" w:eastAsia="创艺简老宋"/>
      <w:sz w:val="26"/>
      <w:szCs w:val="20"/>
    </w:rPr>
  </w:style>
  <w:style w:type="character" w:customStyle="1" w:styleId="202">
    <w:name w:val="正文文本 (4) + Times New Roman"/>
    <w:qFormat/>
    <w:uiPriority w:val="99"/>
    <w:rPr>
      <w:rFonts w:ascii="Times New Roman" w:hAnsi="Times New Roman" w:eastAsia="MingLiU" w:cs="Times New Roman"/>
      <w:spacing w:val="-30"/>
      <w:w w:val="100"/>
      <w:sz w:val="56"/>
      <w:szCs w:val="56"/>
      <w:u w:val="none"/>
      <w:lang w:val="en-US" w:eastAsia="en-US"/>
    </w:rPr>
  </w:style>
  <w:style w:type="character" w:customStyle="1" w:styleId="203">
    <w:name w:val="正文文本 (4)_"/>
    <w:link w:val="204"/>
    <w:qFormat/>
    <w:locked/>
    <w:uiPriority w:val="99"/>
    <w:rPr>
      <w:rFonts w:ascii="MingLiU" w:eastAsia="MingLiU" w:cs="MingLiU"/>
      <w:spacing w:val="110"/>
      <w:w w:val="70"/>
      <w:sz w:val="52"/>
      <w:szCs w:val="52"/>
      <w:shd w:val="clear" w:color="auto" w:fill="FFFFFF"/>
      <w:lang w:eastAsia="en-US"/>
    </w:rPr>
  </w:style>
  <w:style w:type="paragraph" w:customStyle="1" w:styleId="204">
    <w:name w:val="正文文本 (4)"/>
    <w:basedOn w:val="1"/>
    <w:link w:val="203"/>
    <w:qFormat/>
    <w:uiPriority w:val="99"/>
    <w:pPr>
      <w:shd w:val="clear" w:color="auto" w:fill="FFFFFF"/>
      <w:spacing w:after="1680" w:line="240" w:lineRule="atLeast"/>
      <w:jc w:val="center"/>
    </w:pPr>
    <w:rPr>
      <w:rFonts w:ascii="MingLiU" w:eastAsia="MingLiU" w:cs="MingLiU"/>
      <w:spacing w:val="110"/>
      <w:w w:val="70"/>
      <w:kern w:val="0"/>
      <w:sz w:val="52"/>
      <w:szCs w:val="52"/>
      <w:lang w:eastAsia="en-US"/>
    </w:rPr>
  </w:style>
  <w:style w:type="character" w:customStyle="1" w:styleId="205">
    <w:name w:val="正文文本 (3)_"/>
    <w:link w:val="206"/>
    <w:qFormat/>
    <w:locked/>
    <w:uiPriority w:val="99"/>
    <w:rPr>
      <w:rFonts w:ascii="MingLiU" w:eastAsia="MingLiU" w:cs="MingLiU"/>
      <w:sz w:val="34"/>
      <w:szCs w:val="34"/>
      <w:shd w:val="clear" w:color="auto" w:fill="FFFFFF"/>
    </w:rPr>
  </w:style>
  <w:style w:type="paragraph" w:customStyle="1" w:styleId="206">
    <w:name w:val="正文文本 (3)"/>
    <w:basedOn w:val="1"/>
    <w:link w:val="205"/>
    <w:qFormat/>
    <w:uiPriority w:val="99"/>
    <w:pPr>
      <w:shd w:val="clear" w:color="auto" w:fill="FFFFFF"/>
      <w:spacing w:after="1140" w:line="240" w:lineRule="atLeast"/>
      <w:jc w:val="center"/>
    </w:pPr>
    <w:rPr>
      <w:rFonts w:ascii="MingLiU" w:eastAsia="MingLiU" w:cs="MingLiU"/>
      <w:kern w:val="0"/>
      <w:sz w:val="34"/>
      <w:szCs w:val="34"/>
    </w:rPr>
  </w:style>
  <w:style w:type="character" w:customStyle="1" w:styleId="207">
    <w:name w:val="标题1-BBB Char"/>
    <w:link w:val="208"/>
    <w:qFormat/>
    <w:locked/>
    <w:uiPriority w:val="0"/>
    <w:rPr>
      <w:rFonts w:ascii="方正黑体_GBK" w:eastAsia="方正黑体_GBK"/>
      <w:b/>
      <w:kern w:val="2"/>
      <w:sz w:val="36"/>
    </w:rPr>
  </w:style>
  <w:style w:type="paragraph" w:customStyle="1" w:styleId="208">
    <w:name w:val="标题1-BBB"/>
    <w:basedOn w:val="1"/>
    <w:link w:val="207"/>
    <w:qFormat/>
    <w:uiPriority w:val="0"/>
    <w:pPr>
      <w:spacing w:beforeLines="100" w:line="540" w:lineRule="exact"/>
      <w:jc w:val="center"/>
    </w:pPr>
    <w:rPr>
      <w:rFonts w:ascii="方正黑体_GBK" w:eastAsia="方正黑体_GBK"/>
      <w:b/>
      <w:sz w:val="36"/>
      <w:szCs w:val="20"/>
    </w:rPr>
  </w:style>
  <w:style w:type="character" w:customStyle="1" w:styleId="209">
    <w:name w:val="正文文本 (2) + 间距 6 pt"/>
    <w:qFormat/>
    <w:uiPriority w:val="99"/>
    <w:rPr>
      <w:rFonts w:ascii="MingLiU" w:eastAsia="MingLiU" w:cs="MingLiU"/>
      <w:spacing w:val="120"/>
      <w:sz w:val="22"/>
      <w:szCs w:val="22"/>
      <w:u w:val="none"/>
    </w:rPr>
  </w:style>
  <w:style w:type="character" w:customStyle="1" w:styleId="210">
    <w:name w:val="正文文本 (2)_"/>
    <w:link w:val="211"/>
    <w:qFormat/>
    <w:locked/>
    <w:uiPriority w:val="99"/>
    <w:rPr>
      <w:rFonts w:ascii="MingLiU" w:eastAsia="MingLiU" w:cs="MingLiU"/>
      <w:spacing w:val="20"/>
      <w:sz w:val="22"/>
      <w:szCs w:val="22"/>
      <w:shd w:val="clear" w:color="auto" w:fill="FFFFFF"/>
    </w:rPr>
  </w:style>
  <w:style w:type="paragraph" w:customStyle="1" w:styleId="211">
    <w:name w:val="正文文本 (2)1"/>
    <w:basedOn w:val="1"/>
    <w:link w:val="210"/>
    <w:qFormat/>
    <w:uiPriority w:val="99"/>
    <w:pPr>
      <w:shd w:val="clear" w:color="auto" w:fill="FFFFFF"/>
      <w:spacing w:before="300" w:line="439" w:lineRule="exact"/>
      <w:jc w:val="distribute"/>
    </w:pPr>
    <w:rPr>
      <w:rFonts w:ascii="MingLiU" w:eastAsia="MingLiU" w:cs="MingLiU"/>
      <w:spacing w:val="20"/>
      <w:kern w:val="0"/>
      <w:sz w:val="22"/>
      <w:szCs w:val="22"/>
    </w:rPr>
  </w:style>
  <w:style w:type="character" w:customStyle="1" w:styleId="212">
    <w:name w:val="正文文本 (14)_"/>
    <w:link w:val="213"/>
    <w:qFormat/>
    <w:locked/>
    <w:uiPriority w:val="99"/>
    <w:rPr>
      <w:rFonts w:ascii="MingLiU" w:eastAsia="MingLiU" w:cs="MingLiU"/>
      <w:sz w:val="18"/>
      <w:szCs w:val="18"/>
      <w:shd w:val="clear" w:color="auto" w:fill="FFFFFF"/>
    </w:rPr>
  </w:style>
  <w:style w:type="paragraph" w:customStyle="1" w:styleId="213">
    <w:name w:val="正文文本 (14)"/>
    <w:basedOn w:val="1"/>
    <w:link w:val="212"/>
    <w:qFormat/>
    <w:uiPriority w:val="99"/>
    <w:pPr>
      <w:shd w:val="clear" w:color="auto" w:fill="FFFFFF"/>
      <w:spacing w:before="300" w:line="300" w:lineRule="exact"/>
      <w:jc w:val="distribute"/>
    </w:pPr>
    <w:rPr>
      <w:rFonts w:ascii="MingLiU" w:eastAsia="MingLiU" w:cs="MingLiU"/>
      <w:kern w:val="0"/>
      <w:sz w:val="18"/>
      <w:szCs w:val="18"/>
    </w:rPr>
  </w:style>
  <w:style w:type="character" w:customStyle="1" w:styleId="214">
    <w:name w:val="正文文本 (2) + 10 pt37"/>
    <w:qFormat/>
    <w:uiPriority w:val="99"/>
    <w:rPr>
      <w:rFonts w:ascii="MingLiU" w:eastAsia="MingLiU" w:cs="MingLiU"/>
      <w:spacing w:val="0"/>
      <w:sz w:val="20"/>
      <w:szCs w:val="20"/>
      <w:u w:val="none"/>
    </w:rPr>
  </w:style>
  <w:style w:type="character" w:customStyle="1" w:styleId="215">
    <w:name w:val="正文文本 (2) + 10 pt30"/>
    <w:qFormat/>
    <w:uiPriority w:val="99"/>
    <w:rPr>
      <w:rFonts w:ascii="MingLiU" w:eastAsia="MingLiU" w:cs="MingLiU"/>
      <w:spacing w:val="30"/>
      <w:sz w:val="20"/>
      <w:szCs w:val="20"/>
      <w:u w:val="none"/>
    </w:rPr>
  </w:style>
  <w:style w:type="character" w:customStyle="1" w:styleId="216">
    <w:name w:val="正文文本 (2) + 间距 0 pt3"/>
    <w:qFormat/>
    <w:uiPriority w:val="99"/>
    <w:rPr>
      <w:rFonts w:ascii="MingLiU" w:eastAsia="MingLiU" w:cs="MingLiU"/>
      <w:spacing w:val="0"/>
      <w:sz w:val="22"/>
      <w:szCs w:val="22"/>
      <w:u w:val="none"/>
    </w:rPr>
  </w:style>
  <w:style w:type="character" w:customStyle="1" w:styleId="217">
    <w:name w:val="正文文本 (2) + 间距 0 pt5"/>
    <w:qFormat/>
    <w:uiPriority w:val="99"/>
    <w:rPr>
      <w:rFonts w:ascii="MingLiU" w:eastAsia="MingLiU" w:cs="MingLiU"/>
      <w:spacing w:val="0"/>
      <w:sz w:val="22"/>
      <w:szCs w:val="22"/>
      <w:u w:val="none"/>
    </w:rPr>
  </w:style>
  <w:style w:type="character" w:customStyle="1" w:styleId="218">
    <w:name w:val="正文文本 (2) + 间距 -1 pt"/>
    <w:qFormat/>
    <w:uiPriority w:val="99"/>
    <w:rPr>
      <w:rFonts w:ascii="MingLiU" w:eastAsia="MingLiU" w:cs="MingLiU"/>
      <w:spacing w:val="-20"/>
      <w:sz w:val="22"/>
      <w:szCs w:val="22"/>
      <w:u w:val="none"/>
    </w:rPr>
  </w:style>
  <w:style w:type="paragraph" w:customStyle="1" w:styleId="219">
    <w:name w:val="Char Char Char Char1 Char Char Char"/>
    <w:basedOn w:val="1"/>
    <w:qFormat/>
    <w:uiPriority w:val="0"/>
    <w:rPr>
      <w:szCs w:val="22"/>
    </w:rPr>
  </w:style>
  <w:style w:type="paragraph" w:customStyle="1" w:styleId="220">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21">
    <w:name w:val="正文文本 (11)_"/>
    <w:link w:val="222"/>
    <w:qFormat/>
    <w:locked/>
    <w:uiPriority w:val="99"/>
    <w:rPr>
      <w:rFonts w:ascii="MingLiU" w:eastAsia="MingLiU" w:cs="MingLiU"/>
      <w:spacing w:val="260"/>
      <w:sz w:val="48"/>
      <w:szCs w:val="48"/>
      <w:shd w:val="clear" w:color="auto" w:fill="FFFFFF"/>
    </w:rPr>
  </w:style>
  <w:style w:type="paragraph" w:customStyle="1" w:styleId="222">
    <w:name w:val="正文文本 (11)"/>
    <w:basedOn w:val="1"/>
    <w:link w:val="221"/>
    <w:qFormat/>
    <w:uiPriority w:val="99"/>
    <w:pPr>
      <w:shd w:val="clear" w:color="auto" w:fill="FFFFFF"/>
      <w:spacing w:before="1620" w:after="5700" w:line="240" w:lineRule="atLeast"/>
      <w:jc w:val="center"/>
    </w:pPr>
    <w:rPr>
      <w:rFonts w:ascii="MingLiU" w:eastAsia="MingLiU" w:cs="MingLiU"/>
      <w:spacing w:val="260"/>
      <w:kern w:val="0"/>
      <w:sz w:val="48"/>
      <w:szCs w:val="48"/>
    </w:rPr>
  </w:style>
  <w:style w:type="character" w:customStyle="1" w:styleId="223">
    <w:name w:val="正文文本 (12)_"/>
    <w:basedOn w:val="49"/>
    <w:link w:val="224"/>
    <w:qFormat/>
    <w:locked/>
    <w:uiPriority w:val="99"/>
    <w:rPr>
      <w:rFonts w:ascii="MingLiU" w:eastAsia="MingLiU" w:cs="MingLiU"/>
      <w:sz w:val="17"/>
      <w:szCs w:val="17"/>
      <w:shd w:val="clear" w:color="auto" w:fill="FFFFFF"/>
    </w:rPr>
  </w:style>
  <w:style w:type="paragraph" w:customStyle="1" w:styleId="224">
    <w:name w:val="正文文本 (12)"/>
    <w:basedOn w:val="1"/>
    <w:link w:val="223"/>
    <w:qFormat/>
    <w:uiPriority w:val="99"/>
    <w:pPr>
      <w:shd w:val="clear" w:color="auto" w:fill="FFFFFF"/>
      <w:spacing w:before="120" w:line="298" w:lineRule="exact"/>
      <w:ind w:hanging="180"/>
      <w:jc w:val="distribute"/>
    </w:pPr>
    <w:rPr>
      <w:rFonts w:ascii="MingLiU" w:eastAsia="MingLiU" w:cs="MingLiU"/>
      <w:kern w:val="0"/>
      <w:sz w:val="17"/>
      <w:szCs w:val="17"/>
    </w:rPr>
  </w:style>
  <w:style w:type="paragraph" w:customStyle="1" w:styleId="225">
    <w:name w:val="附件正文ffff"/>
    <w:basedOn w:val="1"/>
    <w:qFormat/>
    <w:uiPriority w:val="0"/>
    <w:pPr>
      <w:spacing w:line="340" w:lineRule="exact"/>
      <w:ind w:firstLine="436" w:firstLineChars="200"/>
    </w:pPr>
    <w:rPr>
      <w:rFonts w:ascii="方正宋三简体" w:eastAsia="方正宋三简体"/>
      <w:spacing w:val="4"/>
      <w:szCs w:val="20"/>
    </w:rPr>
  </w:style>
  <w:style w:type="character" w:customStyle="1" w:styleId="226">
    <w:name w:val="fontstyle01"/>
    <w:basedOn w:val="49"/>
    <w:qFormat/>
    <w:uiPriority w:val="0"/>
    <w:rPr>
      <w:rFonts w:ascii="宋体" w:hAnsi="宋体" w:eastAsia="宋体" w:cs="宋体"/>
      <w:color w:val="000000"/>
      <w:sz w:val="24"/>
      <w:szCs w:val="24"/>
    </w:rPr>
  </w:style>
  <w:style w:type="character" w:customStyle="1" w:styleId="227">
    <w:name w:val="正文文本 (2) + 10 pt"/>
    <w:qFormat/>
    <w:uiPriority w:val="99"/>
    <w:rPr>
      <w:rFonts w:ascii="MingLiU" w:eastAsia="MingLiU" w:cs="MingLiU"/>
      <w:b/>
      <w:bCs/>
      <w:spacing w:val="10"/>
      <w:sz w:val="20"/>
      <w:szCs w:val="20"/>
      <w:u w:val="none"/>
    </w:rPr>
  </w:style>
  <w:style w:type="character" w:customStyle="1" w:styleId="228">
    <w:name w:val="正文文本 (5)_"/>
    <w:link w:val="229"/>
    <w:qFormat/>
    <w:locked/>
    <w:uiPriority w:val="99"/>
    <w:rPr>
      <w:rFonts w:ascii="MingLiU" w:eastAsia="MingLiU" w:cs="Times New Roman"/>
      <w:color w:val="auto"/>
      <w:sz w:val="20"/>
      <w:szCs w:val="20"/>
    </w:rPr>
  </w:style>
  <w:style w:type="paragraph" w:customStyle="1" w:styleId="229">
    <w:name w:val="正文文本 (5)1"/>
    <w:basedOn w:val="1"/>
    <w:link w:val="228"/>
    <w:qFormat/>
    <w:uiPriority w:val="99"/>
    <w:pPr>
      <w:shd w:val="clear" w:color="auto" w:fill="FFFFFF"/>
      <w:spacing w:before="5100" w:line="240" w:lineRule="atLeast"/>
    </w:pPr>
    <w:rPr>
      <w:rFonts w:ascii="MingLiU" w:eastAsia="MingLiU"/>
      <w:sz w:val="20"/>
      <w:szCs w:val="20"/>
    </w:rPr>
  </w:style>
  <w:style w:type="paragraph" w:customStyle="1" w:styleId="230">
    <w:name w:val="题目"/>
    <w:basedOn w:val="1"/>
    <w:qFormat/>
    <w:uiPriority w:val="0"/>
    <w:pPr>
      <w:spacing w:beforeLines="200"/>
      <w:jc w:val="center"/>
    </w:pPr>
    <w:rPr>
      <w:rFonts w:ascii="黑体" w:hAnsi="Calibri" w:eastAsia="黑体"/>
      <w:color w:val="C00000"/>
      <w:sz w:val="28"/>
      <w:szCs w:val="28"/>
    </w:rPr>
  </w:style>
  <w:style w:type="character" w:customStyle="1" w:styleId="231">
    <w:name w:val="fontstyle21"/>
    <w:basedOn w:val="49"/>
    <w:qFormat/>
    <w:uiPriority w:val="0"/>
    <w:rPr>
      <w:rFonts w:ascii="TimesNewRomanPSMT" w:hAnsi="TimesNewRomanPSMT" w:eastAsia="TimesNewRomanPSMT" w:cs="TimesNewRomanPSMT"/>
      <w:color w:val="000000"/>
      <w:sz w:val="18"/>
      <w:szCs w:val="18"/>
    </w:rPr>
  </w:style>
  <w:style w:type="character" w:customStyle="1" w:styleId="232">
    <w:name w:val="fontstyle11"/>
    <w:basedOn w:val="49"/>
    <w:qFormat/>
    <w:uiPriority w:val="0"/>
    <w:rPr>
      <w:rFonts w:ascii="TimesNewRomanPSMT" w:hAnsi="TimesNewRomanPSMT" w:eastAsia="TimesNewRomanPSMT" w:cs="TimesNewRomanPSMT"/>
      <w:color w:val="000000"/>
      <w:sz w:val="24"/>
      <w:szCs w:val="24"/>
    </w:rPr>
  </w:style>
  <w:style w:type="character" w:customStyle="1" w:styleId="233">
    <w:name w:val="fontstyle31"/>
    <w:basedOn w:val="49"/>
    <w:qFormat/>
    <w:uiPriority w:val="0"/>
    <w:rPr>
      <w:rFonts w:hint="eastAsia" w:ascii="宋体" w:hAnsi="宋体" w:eastAsia="宋体" w:cs="宋体"/>
      <w:color w:val="000000"/>
      <w:sz w:val="24"/>
      <w:szCs w:val="24"/>
    </w:rPr>
  </w:style>
  <w:style w:type="character" w:customStyle="1" w:styleId="234">
    <w:name w:val="正文文本 (13) + 间距 3 pt"/>
    <w:qFormat/>
    <w:uiPriority w:val="99"/>
    <w:rPr>
      <w:rFonts w:ascii="MingLiU" w:eastAsia="MingLiU" w:cs="MingLiU"/>
      <w:spacing w:val="70"/>
      <w:sz w:val="56"/>
      <w:szCs w:val="56"/>
      <w:u w:val="none"/>
    </w:rPr>
  </w:style>
  <w:style w:type="character" w:customStyle="1" w:styleId="235">
    <w:name w:val="目录 (2)_"/>
    <w:link w:val="236"/>
    <w:qFormat/>
    <w:locked/>
    <w:uiPriority w:val="99"/>
    <w:rPr>
      <w:rFonts w:ascii="MingLiU" w:eastAsia="MingLiU" w:cs="MingLiU"/>
      <w:spacing w:val="20"/>
      <w:sz w:val="22"/>
      <w:szCs w:val="22"/>
      <w:shd w:val="clear" w:color="auto" w:fill="FFFFFF"/>
    </w:rPr>
  </w:style>
  <w:style w:type="paragraph" w:customStyle="1" w:styleId="236">
    <w:name w:val="目录 (2)1"/>
    <w:basedOn w:val="1"/>
    <w:link w:val="235"/>
    <w:qFormat/>
    <w:uiPriority w:val="99"/>
    <w:pPr>
      <w:shd w:val="clear" w:color="auto" w:fill="FFFFFF"/>
      <w:spacing w:before="420" w:line="566" w:lineRule="exact"/>
      <w:jc w:val="distribute"/>
    </w:pPr>
    <w:rPr>
      <w:rFonts w:ascii="MingLiU" w:eastAsia="MingLiU" w:cs="MingLiU"/>
      <w:spacing w:val="20"/>
      <w:kern w:val="0"/>
      <w:sz w:val="22"/>
      <w:szCs w:val="22"/>
    </w:rPr>
  </w:style>
  <w:style w:type="character" w:customStyle="1" w:styleId="237">
    <w:name w:val="表格标题_"/>
    <w:link w:val="238"/>
    <w:qFormat/>
    <w:locked/>
    <w:uiPriority w:val="99"/>
    <w:rPr>
      <w:rFonts w:ascii="MingLiU" w:eastAsia="MingLiU" w:cs="MingLiU"/>
      <w:shd w:val="clear" w:color="auto" w:fill="FFFFFF"/>
    </w:rPr>
  </w:style>
  <w:style w:type="paragraph" w:customStyle="1" w:styleId="238">
    <w:name w:val="表格标题"/>
    <w:basedOn w:val="1"/>
    <w:link w:val="237"/>
    <w:qFormat/>
    <w:uiPriority w:val="99"/>
    <w:pPr>
      <w:shd w:val="clear" w:color="auto" w:fill="FFFFFF"/>
      <w:spacing w:line="322" w:lineRule="exact"/>
      <w:jc w:val="distribute"/>
    </w:pPr>
    <w:rPr>
      <w:rFonts w:ascii="MingLiU" w:eastAsia="MingLiU" w:cs="MingLiU"/>
      <w:kern w:val="0"/>
      <w:sz w:val="20"/>
      <w:szCs w:val="20"/>
    </w:rPr>
  </w:style>
  <w:style w:type="character" w:customStyle="1" w:styleId="239">
    <w:name w:val="页眉或页脚 (4)_"/>
    <w:link w:val="240"/>
    <w:qFormat/>
    <w:locked/>
    <w:uiPriority w:val="99"/>
    <w:rPr>
      <w:rFonts w:ascii="MingLiU" w:eastAsia="MingLiU" w:cs="MingLiU"/>
      <w:sz w:val="22"/>
      <w:szCs w:val="22"/>
      <w:shd w:val="clear" w:color="auto" w:fill="FFFFFF"/>
    </w:rPr>
  </w:style>
  <w:style w:type="paragraph" w:customStyle="1" w:styleId="240">
    <w:name w:val="页眉或页脚 (4)"/>
    <w:basedOn w:val="1"/>
    <w:link w:val="239"/>
    <w:qFormat/>
    <w:uiPriority w:val="99"/>
    <w:pPr>
      <w:shd w:val="clear" w:color="auto" w:fill="FFFFFF"/>
      <w:spacing w:line="240" w:lineRule="atLeast"/>
      <w:jc w:val="distribute"/>
    </w:pPr>
    <w:rPr>
      <w:rFonts w:ascii="MingLiU" w:eastAsia="MingLiU" w:cs="MingLiU"/>
      <w:kern w:val="0"/>
      <w:sz w:val="22"/>
      <w:szCs w:val="22"/>
    </w:rPr>
  </w:style>
  <w:style w:type="character" w:customStyle="1" w:styleId="241">
    <w:name w:val="正文缩进 Char"/>
    <w:link w:val="4"/>
    <w:qFormat/>
    <w:locked/>
    <w:uiPriority w:val="0"/>
    <w:rPr>
      <w:kern w:val="2"/>
      <w:sz w:val="21"/>
      <w:szCs w:val="24"/>
    </w:rPr>
  </w:style>
  <w:style w:type="character" w:customStyle="1" w:styleId="242">
    <w:name w:val="正文文本 (13)_"/>
    <w:link w:val="243"/>
    <w:qFormat/>
    <w:locked/>
    <w:uiPriority w:val="99"/>
    <w:rPr>
      <w:rFonts w:ascii="MingLiU" w:eastAsia="MingLiU" w:cs="MingLiU"/>
      <w:spacing w:val="40"/>
      <w:sz w:val="56"/>
      <w:szCs w:val="56"/>
      <w:shd w:val="clear" w:color="auto" w:fill="FFFFFF"/>
    </w:rPr>
  </w:style>
  <w:style w:type="paragraph" w:customStyle="1" w:styleId="243">
    <w:name w:val="正文文本 (13)"/>
    <w:basedOn w:val="1"/>
    <w:link w:val="242"/>
    <w:qFormat/>
    <w:uiPriority w:val="99"/>
    <w:pPr>
      <w:shd w:val="clear" w:color="auto" w:fill="FFFFFF"/>
      <w:spacing w:line="240" w:lineRule="atLeast"/>
      <w:jc w:val="left"/>
    </w:pPr>
    <w:rPr>
      <w:rFonts w:ascii="MingLiU" w:eastAsia="MingLiU" w:cs="MingLiU"/>
      <w:spacing w:val="40"/>
      <w:kern w:val="0"/>
      <w:sz w:val="56"/>
      <w:szCs w:val="56"/>
    </w:rPr>
  </w:style>
  <w:style w:type="character" w:customStyle="1" w:styleId="244">
    <w:name w:val="正文文本 (2) + AngsanaUPC3"/>
    <w:qFormat/>
    <w:uiPriority w:val="99"/>
    <w:rPr>
      <w:rFonts w:ascii="AngsanaUPC" w:hAnsi="AngsanaUPC" w:eastAsia="MingLiU" w:cs="AngsanaUPC"/>
      <w:b/>
      <w:bCs/>
      <w:spacing w:val="0"/>
      <w:sz w:val="30"/>
      <w:szCs w:val="30"/>
      <w:u w:val="none"/>
      <w:lang w:val="en-US" w:eastAsia="en-US"/>
    </w:rPr>
  </w:style>
  <w:style w:type="paragraph" w:customStyle="1" w:styleId="245">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header" Target="header7.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5.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4.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139</Pages>
  <Words>10530</Words>
  <Characters>60027</Characters>
  <Lines>500</Lines>
  <Paragraphs>140</Paragraphs>
  <TotalTime>1</TotalTime>
  <ScaleCrop>false</ScaleCrop>
  <LinksUpToDate>false</LinksUpToDate>
  <CharactersWithSpaces>70417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2018-05-15T07:33:00Z</dcterms:created>
  <dc:creator>袁静</dc:creator>
  <cp:lastModifiedBy>uos</cp:lastModifiedBy>
  <cp:lastPrinted>2018-05-17T08:25:00Z</cp:lastPrinted>
  <dcterms:modified xsi:type="dcterms:W3CDTF">2023-08-30T11:49:49Z</dcterms:modified>
  <dc:title>公路工程标准施工招标文件</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E31695AFFA6940EEB88602BA730F5930_13</vt:lpwstr>
  </property>
</Properties>
</file>